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2646" w14:textId="5A431062" w:rsidR="00FA2A59" w:rsidRPr="00030025" w:rsidRDefault="00FA2A59" w:rsidP="00030025">
      <w:pPr>
        <w:pStyle w:val="NoSpacing"/>
        <w:jc w:val="center"/>
        <w:rPr>
          <w:rFonts w:ascii="Times New Roman" w:hAnsi="Times New Roman" w:cs="Times New Roman"/>
          <w:b/>
          <w:bCs/>
          <w:sz w:val="28"/>
          <w:szCs w:val="28"/>
        </w:rPr>
      </w:pPr>
      <w:bookmarkStart w:id="0" w:name="_yo38gek99trd" w:colFirst="0" w:colLast="0"/>
      <w:bookmarkEnd w:id="0"/>
      <w:r w:rsidRPr="00030025">
        <w:rPr>
          <w:rFonts w:ascii="Times New Roman" w:hAnsi="Times New Roman" w:cs="Times New Roman"/>
          <w:b/>
          <w:bCs/>
          <w:sz w:val="28"/>
          <w:szCs w:val="28"/>
        </w:rPr>
        <w:t xml:space="preserve">Gonioscopy </w:t>
      </w:r>
      <w:r w:rsidR="00030025" w:rsidRPr="00030025">
        <w:rPr>
          <w:rFonts w:ascii="Times New Roman" w:hAnsi="Times New Roman" w:cs="Times New Roman"/>
          <w:b/>
          <w:bCs/>
          <w:sz w:val="28"/>
          <w:szCs w:val="28"/>
        </w:rPr>
        <w:t xml:space="preserve">And </w:t>
      </w:r>
      <w:r w:rsidRPr="00030025">
        <w:rPr>
          <w:rFonts w:ascii="Times New Roman" w:hAnsi="Times New Roman" w:cs="Times New Roman"/>
          <w:b/>
          <w:bCs/>
          <w:sz w:val="28"/>
          <w:szCs w:val="28"/>
        </w:rPr>
        <w:t xml:space="preserve">Ultrasound </w:t>
      </w:r>
      <w:proofErr w:type="spellStart"/>
      <w:r w:rsidRPr="00030025">
        <w:rPr>
          <w:rFonts w:ascii="Times New Roman" w:hAnsi="Times New Roman" w:cs="Times New Roman"/>
          <w:b/>
          <w:bCs/>
          <w:sz w:val="28"/>
          <w:szCs w:val="28"/>
        </w:rPr>
        <w:t>Biomicroscopy</w:t>
      </w:r>
      <w:proofErr w:type="spellEnd"/>
      <w:r w:rsidRPr="00030025">
        <w:rPr>
          <w:rFonts w:ascii="Times New Roman" w:hAnsi="Times New Roman" w:cs="Times New Roman"/>
          <w:b/>
          <w:bCs/>
          <w:sz w:val="28"/>
          <w:szCs w:val="28"/>
        </w:rPr>
        <w:t xml:space="preserve"> </w:t>
      </w:r>
      <w:r w:rsidR="00030025" w:rsidRPr="00030025">
        <w:rPr>
          <w:rFonts w:ascii="Times New Roman" w:hAnsi="Times New Roman" w:cs="Times New Roman"/>
          <w:b/>
          <w:bCs/>
          <w:sz w:val="28"/>
          <w:szCs w:val="28"/>
        </w:rPr>
        <w:t xml:space="preserve">in The </w:t>
      </w:r>
      <w:r w:rsidRPr="00030025">
        <w:rPr>
          <w:rFonts w:ascii="Times New Roman" w:hAnsi="Times New Roman" w:cs="Times New Roman"/>
          <w:b/>
          <w:bCs/>
          <w:sz w:val="28"/>
          <w:szCs w:val="28"/>
        </w:rPr>
        <w:t xml:space="preserve">Detection </w:t>
      </w:r>
      <w:r w:rsidR="00030025" w:rsidRPr="00030025">
        <w:rPr>
          <w:rFonts w:ascii="Times New Roman" w:hAnsi="Times New Roman" w:cs="Times New Roman"/>
          <w:b/>
          <w:bCs/>
          <w:sz w:val="28"/>
          <w:szCs w:val="28"/>
        </w:rPr>
        <w:t xml:space="preserve">of </w:t>
      </w:r>
      <w:r w:rsidRPr="00030025">
        <w:rPr>
          <w:rFonts w:ascii="Times New Roman" w:hAnsi="Times New Roman" w:cs="Times New Roman"/>
          <w:b/>
          <w:bCs/>
          <w:sz w:val="28"/>
          <w:szCs w:val="28"/>
        </w:rPr>
        <w:t>Narrow Anterior Chamber Angle</w:t>
      </w:r>
    </w:p>
    <w:p w14:paraId="43756664" w14:textId="77777777" w:rsidR="00030025" w:rsidRDefault="00030025" w:rsidP="00030025">
      <w:pPr>
        <w:pStyle w:val="NoSpacing"/>
        <w:spacing w:line="276" w:lineRule="auto"/>
        <w:jc w:val="center"/>
        <w:rPr>
          <w:rFonts w:ascii="Times New Roman" w:hAnsi="Times New Roman" w:cs="Times New Roman"/>
          <w:b/>
          <w:bCs/>
          <w:i/>
          <w:iCs/>
          <w:sz w:val="20"/>
          <w:szCs w:val="20"/>
        </w:rPr>
      </w:pPr>
    </w:p>
    <w:p w14:paraId="51F497D4" w14:textId="77777777" w:rsidR="007C7089" w:rsidRDefault="007C7089" w:rsidP="00030025">
      <w:pPr>
        <w:pStyle w:val="NoSpacing"/>
        <w:spacing w:line="276" w:lineRule="auto"/>
        <w:jc w:val="center"/>
        <w:rPr>
          <w:rFonts w:ascii="Times New Roman" w:hAnsi="Times New Roman" w:cs="Times New Roman"/>
          <w:b/>
          <w:bCs/>
          <w:i/>
          <w:iCs/>
          <w:sz w:val="20"/>
          <w:szCs w:val="20"/>
        </w:rPr>
      </w:pPr>
    </w:p>
    <w:p w14:paraId="0CC14126" w14:textId="637D1DFE" w:rsidR="00EC4F60" w:rsidRPr="00030025" w:rsidRDefault="00030025" w:rsidP="00030025">
      <w:pPr>
        <w:pStyle w:val="NoSpacing"/>
        <w:spacing w:line="276" w:lineRule="auto"/>
        <w:jc w:val="center"/>
        <w:rPr>
          <w:rFonts w:ascii="Times New Roman" w:hAnsi="Times New Roman" w:cs="Times New Roman"/>
          <w:b/>
          <w:bCs/>
          <w:i/>
          <w:iCs/>
          <w:sz w:val="20"/>
          <w:szCs w:val="20"/>
        </w:rPr>
      </w:pPr>
      <w:r w:rsidRPr="00030025">
        <w:rPr>
          <w:rFonts w:ascii="Times New Roman" w:hAnsi="Times New Roman" w:cs="Times New Roman"/>
          <w:b/>
          <w:bCs/>
          <w:i/>
          <w:iCs/>
          <w:sz w:val="20"/>
          <w:szCs w:val="20"/>
        </w:rPr>
        <w:t>ABSTRACT</w:t>
      </w:r>
    </w:p>
    <w:p w14:paraId="3E65391D" w14:textId="53DC5261" w:rsidR="00EC4F60" w:rsidRDefault="00EC4F60" w:rsidP="00030025">
      <w:pPr>
        <w:pStyle w:val="NoSpacing"/>
        <w:jc w:val="both"/>
        <w:rPr>
          <w:rFonts w:ascii="Times New Roman" w:hAnsi="Times New Roman" w:cs="Times New Roman"/>
          <w:i/>
          <w:iCs/>
          <w:sz w:val="20"/>
          <w:szCs w:val="20"/>
        </w:rPr>
      </w:pPr>
      <w:r w:rsidRPr="00030025">
        <w:rPr>
          <w:rFonts w:ascii="Times New Roman" w:hAnsi="Times New Roman" w:cs="Times New Roman"/>
          <w:b/>
          <w:i/>
          <w:iCs/>
          <w:sz w:val="20"/>
          <w:szCs w:val="20"/>
        </w:rPr>
        <w:t>Background:</w:t>
      </w:r>
      <w:r w:rsidRPr="00030025">
        <w:rPr>
          <w:rFonts w:ascii="Times New Roman" w:hAnsi="Times New Roman" w:cs="Times New Roman"/>
          <w:i/>
          <w:iCs/>
          <w:sz w:val="20"/>
          <w:szCs w:val="20"/>
        </w:rPr>
        <w:t xml:space="preserve"> Glaucoma, a leading cause of irreversible blindness worldwide, demands early detection to prevent vision loss. Primary angle-closure glaucoma (PACG) is more common and severe in Asian populations. Gonioscopy is the clinical gold standard for evaluating anterior chamber angles (ACA), but its subjective nature limits accuracy. Ultrasound </w:t>
      </w:r>
      <w:proofErr w:type="spellStart"/>
      <w:r w:rsidRPr="00030025">
        <w:rPr>
          <w:rFonts w:ascii="Times New Roman" w:hAnsi="Times New Roman" w:cs="Times New Roman"/>
          <w:i/>
          <w:iCs/>
          <w:sz w:val="20"/>
          <w:szCs w:val="20"/>
        </w:rPr>
        <w:t>biomicroscopy</w:t>
      </w:r>
      <w:proofErr w:type="spellEnd"/>
      <w:r w:rsidRPr="00030025">
        <w:rPr>
          <w:rFonts w:ascii="Times New Roman" w:hAnsi="Times New Roman" w:cs="Times New Roman"/>
          <w:i/>
          <w:iCs/>
          <w:sz w:val="20"/>
          <w:szCs w:val="20"/>
        </w:rPr>
        <w:t xml:space="preserve"> (UBM) offers an objective, high-resolution alternative.</w:t>
      </w:r>
      <w:r w:rsidR="00030025" w:rsidRPr="00030025">
        <w:rPr>
          <w:rFonts w:ascii="Times New Roman" w:hAnsi="Times New Roman" w:cs="Times New Roman"/>
          <w:i/>
          <w:iCs/>
          <w:sz w:val="20"/>
          <w:szCs w:val="20"/>
        </w:rPr>
        <w:t xml:space="preserve"> </w:t>
      </w:r>
      <w:r w:rsidRPr="00030025">
        <w:rPr>
          <w:rFonts w:ascii="Times New Roman" w:hAnsi="Times New Roman" w:cs="Times New Roman"/>
          <w:b/>
          <w:i/>
          <w:iCs/>
          <w:sz w:val="20"/>
          <w:szCs w:val="20"/>
        </w:rPr>
        <w:t>Objective:</w:t>
      </w:r>
      <w:r w:rsidRPr="00030025">
        <w:rPr>
          <w:rFonts w:ascii="Times New Roman" w:hAnsi="Times New Roman" w:cs="Times New Roman"/>
          <w:i/>
          <w:iCs/>
          <w:sz w:val="20"/>
          <w:szCs w:val="20"/>
        </w:rPr>
        <w:t xml:space="preserve"> This study aimed to compare the efficacy of gonioscopy and UBM in evaluating anterior chamber angles in patients with </w:t>
      </w:r>
      <w:proofErr w:type="spellStart"/>
      <w:r w:rsidRPr="00030025">
        <w:rPr>
          <w:rFonts w:ascii="Times New Roman" w:hAnsi="Times New Roman" w:cs="Times New Roman"/>
          <w:i/>
          <w:iCs/>
          <w:sz w:val="20"/>
          <w:szCs w:val="20"/>
        </w:rPr>
        <w:t>occludable</w:t>
      </w:r>
      <w:proofErr w:type="spellEnd"/>
      <w:r w:rsidRPr="00030025">
        <w:rPr>
          <w:rFonts w:ascii="Times New Roman" w:hAnsi="Times New Roman" w:cs="Times New Roman"/>
          <w:i/>
          <w:iCs/>
          <w:sz w:val="20"/>
          <w:szCs w:val="20"/>
        </w:rPr>
        <w:t xml:space="preserve"> angles identified by van Herick criteria. </w:t>
      </w:r>
      <w:r w:rsidRPr="00030025">
        <w:rPr>
          <w:rFonts w:ascii="Times New Roman" w:hAnsi="Times New Roman" w:cs="Times New Roman"/>
          <w:b/>
          <w:i/>
          <w:iCs/>
          <w:sz w:val="20"/>
          <w:szCs w:val="20"/>
        </w:rPr>
        <w:t>Methods:</w:t>
      </w:r>
      <w:r w:rsidRPr="00030025">
        <w:rPr>
          <w:rFonts w:ascii="Times New Roman" w:hAnsi="Times New Roman" w:cs="Times New Roman"/>
          <w:i/>
          <w:iCs/>
          <w:sz w:val="20"/>
          <w:szCs w:val="20"/>
        </w:rPr>
        <w:t xml:space="preserve">  A cross-sectional study was conducted at the National Institute of Ophthalmology &amp; Hospital (NIO&amp;H), Dhaka, from March 2018 to February 2020, involving 30 eyes of 30 patients. Each underwent gonioscopy with a Posner 4-mirror lens and UBM using a 50-MHz probe. Parameters measured included ACA, angle opening distance at 500 µm (AOD 500), and anterior chamber depth (ACD). Diagnostic values of UBM were analyzed using SPSS v25. </w:t>
      </w:r>
      <w:r w:rsidRPr="00030025">
        <w:rPr>
          <w:rFonts w:ascii="Times New Roman" w:hAnsi="Times New Roman" w:cs="Times New Roman"/>
          <w:b/>
          <w:i/>
          <w:iCs/>
          <w:sz w:val="20"/>
          <w:szCs w:val="20"/>
        </w:rPr>
        <w:t xml:space="preserve">Results: </w:t>
      </w:r>
      <w:r w:rsidRPr="00030025">
        <w:rPr>
          <w:rFonts w:ascii="Times New Roman" w:hAnsi="Times New Roman" w:cs="Times New Roman"/>
          <w:i/>
          <w:iCs/>
          <w:sz w:val="20"/>
          <w:szCs w:val="20"/>
        </w:rPr>
        <w:t xml:space="preserve">Participants had a mean age of 57.93 ± 6.65 years; 63.3% were female. Gonioscopy mostly revealed Grade 2 angles. UBM commonly showed angles between 110–200 µm. UBM exhibited high sensitivity (91.7%–100%) and specificity (50%–100%), with an overall diagnostic accuracy of 93.3%. </w:t>
      </w:r>
      <w:r w:rsidRPr="00030025">
        <w:rPr>
          <w:rFonts w:ascii="Times New Roman" w:hAnsi="Times New Roman" w:cs="Times New Roman"/>
          <w:b/>
          <w:i/>
          <w:iCs/>
          <w:sz w:val="20"/>
          <w:szCs w:val="20"/>
        </w:rPr>
        <w:t>Conclusion:</w:t>
      </w:r>
      <w:r w:rsidRPr="00030025">
        <w:rPr>
          <w:rFonts w:ascii="Times New Roman" w:hAnsi="Times New Roman" w:cs="Times New Roman"/>
          <w:i/>
          <w:iCs/>
          <w:sz w:val="20"/>
          <w:szCs w:val="20"/>
        </w:rPr>
        <w:t xml:space="preserve"> UBM is a reliable, sensitive, and specific tool for evaluating </w:t>
      </w:r>
      <w:proofErr w:type="spellStart"/>
      <w:r w:rsidRPr="00030025">
        <w:rPr>
          <w:rFonts w:ascii="Times New Roman" w:hAnsi="Times New Roman" w:cs="Times New Roman"/>
          <w:i/>
          <w:iCs/>
          <w:sz w:val="20"/>
          <w:szCs w:val="20"/>
        </w:rPr>
        <w:t>occludable</w:t>
      </w:r>
      <w:proofErr w:type="spellEnd"/>
      <w:r w:rsidRPr="00030025">
        <w:rPr>
          <w:rFonts w:ascii="Times New Roman" w:hAnsi="Times New Roman" w:cs="Times New Roman"/>
          <w:i/>
          <w:iCs/>
          <w:sz w:val="20"/>
          <w:szCs w:val="20"/>
        </w:rPr>
        <w:t xml:space="preserve"> angles. It complements gonioscopy and enhances diagnostic precision in glaucoma management, especially in tertiary care settings.</w:t>
      </w:r>
    </w:p>
    <w:p w14:paraId="24A9944C" w14:textId="77777777" w:rsidR="008B2888" w:rsidRDefault="008B2888" w:rsidP="00030025">
      <w:pPr>
        <w:pStyle w:val="NoSpacing"/>
        <w:jc w:val="both"/>
        <w:rPr>
          <w:rFonts w:ascii="Times New Roman" w:hAnsi="Times New Roman" w:cs="Times New Roman"/>
          <w:i/>
          <w:iCs/>
          <w:sz w:val="20"/>
          <w:szCs w:val="20"/>
        </w:rPr>
      </w:pPr>
    </w:p>
    <w:p w14:paraId="18AAE6B4" w14:textId="0C4A9F37" w:rsidR="008B2888" w:rsidRPr="0025511A" w:rsidRDefault="0025511A" w:rsidP="00030025">
      <w:pPr>
        <w:pStyle w:val="NoSpacing"/>
        <w:jc w:val="both"/>
        <w:rPr>
          <w:rFonts w:ascii="Times New Roman" w:hAnsi="Times New Roman" w:cs="Times New Roman"/>
          <w:i/>
          <w:iCs/>
          <w:sz w:val="20"/>
          <w:szCs w:val="20"/>
        </w:rPr>
      </w:pPr>
      <w:r w:rsidRPr="0025511A">
        <w:rPr>
          <w:rFonts w:ascii="Times New Roman" w:hAnsi="Times New Roman" w:cs="Times New Roman"/>
          <w:b/>
          <w:i/>
          <w:iCs/>
          <w:sz w:val="20"/>
          <w:szCs w:val="20"/>
        </w:rPr>
        <w:t>Keywords</w:t>
      </w:r>
      <w:r w:rsidRPr="0025511A">
        <w:rPr>
          <w:rFonts w:ascii="Times New Roman" w:hAnsi="Times New Roman" w:cs="Times New Roman"/>
          <w:i/>
          <w:iCs/>
          <w:sz w:val="20"/>
          <w:szCs w:val="20"/>
        </w:rPr>
        <w:t xml:space="preserve">: </w:t>
      </w:r>
      <w:r w:rsidR="008B2888" w:rsidRPr="0025511A">
        <w:rPr>
          <w:rFonts w:ascii="Times New Roman" w:hAnsi="Times New Roman" w:cs="Times New Roman"/>
          <w:i/>
          <w:iCs/>
          <w:sz w:val="20"/>
          <w:szCs w:val="20"/>
        </w:rPr>
        <w:t xml:space="preserve">Gonioscopy, Ultrasound </w:t>
      </w:r>
      <w:proofErr w:type="spellStart"/>
      <w:r w:rsidR="008B2888" w:rsidRPr="0025511A">
        <w:rPr>
          <w:rFonts w:ascii="Times New Roman" w:hAnsi="Times New Roman" w:cs="Times New Roman"/>
          <w:i/>
          <w:iCs/>
          <w:sz w:val="20"/>
          <w:szCs w:val="20"/>
        </w:rPr>
        <w:t>Biomicroscopy</w:t>
      </w:r>
      <w:proofErr w:type="spellEnd"/>
      <w:r w:rsidR="008B2888" w:rsidRPr="0025511A">
        <w:rPr>
          <w:rFonts w:ascii="Times New Roman" w:hAnsi="Times New Roman" w:cs="Times New Roman"/>
          <w:i/>
          <w:iCs/>
          <w:sz w:val="20"/>
          <w:szCs w:val="20"/>
        </w:rPr>
        <w:t xml:space="preserve">, Narrow Anterior Chamber Angle, Primary Angle-Closure Glaucoma, Anterior Chamber Depth, Angle Opening Distance, Anterior Chamber Angle, Glaucoma Diagnosis, UBM Sensitivity, </w:t>
      </w:r>
      <w:proofErr w:type="spellStart"/>
      <w:r w:rsidR="008B2888" w:rsidRPr="0025511A">
        <w:rPr>
          <w:rFonts w:ascii="Times New Roman" w:hAnsi="Times New Roman" w:cs="Times New Roman"/>
          <w:i/>
          <w:iCs/>
          <w:sz w:val="20"/>
          <w:szCs w:val="20"/>
        </w:rPr>
        <w:t>Occludable</w:t>
      </w:r>
      <w:proofErr w:type="spellEnd"/>
      <w:r w:rsidR="008B2888" w:rsidRPr="0025511A">
        <w:rPr>
          <w:rFonts w:ascii="Times New Roman" w:hAnsi="Times New Roman" w:cs="Times New Roman"/>
          <w:i/>
          <w:iCs/>
          <w:sz w:val="20"/>
          <w:szCs w:val="20"/>
        </w:rPr>
        <w:t xml:space="preserve"> Angles</w:t>
      </w:r>
    </w:p>
    <w:p w14:paraId="3151BBCE" w14:textId="77777777" w:rsidR="008138CC" w:rsidRDefault="008138CC" w:rsidP="00030025">
      <w:pPr>
        <w:pStyle w:val="NoSpacing"/>
        <w:jc w:val="both"/>
        <w:rPr>
          <w:rFonts w:ascii="Times New Roman" w:hAnsi="Times New Roman" w:cs="Times New Roman"/>
          <w:i/>
          <w:iCs/>
          <w:sz w:val="20"/>
          <w:szCs w:val="20"/>
        </w:rPr>
      </w:pPr>
    </w:p>
    <w:p w14:paraId="3BE2503B" w14:textId="77777777" w:rsidR="00EC4F60" w:rsidRPr="00030025" w:rsidRDefault="00EC4F60" w:rsidP="00030025">
      <w:pPr>
        <w:pStyle w:val="NoSpacing"/>
        <w:jc w:val="both"/>
        <w:rPr>
          <w:rFonts w:ascii="Times New Roman" w:hAnsi="Times New Roman" w:cs="Times New Roman"/>
          <w:color w:val="005A8B"/>
          <w:sz w:val="20"/>
          <w:szCs w:val="20"/>
        </w:rPr>
      </w:pPr>
    </w:p>
    <w:p w14:paraId="00000001" w14:textId="4D5CEF7C" w:rsidR="006B4221" w:rsidRPr="00030025" w:rsidRDefault="00965424" w:rsidP="00030025">
      <w:pPr>
        <w:pStyle w:val="NoSpacing"/>
        <w:spacing w:line="360" w:lineRule="auto"/>
        <w:jc w:val="both"/>
        <w:rPr>
          <w:rFonts w:ascii="Times New Roman" w:hAnsi="Times New Roman" w:cs="Times New Roman"/>
          <w:b/>
          <w:bCs/>
          <w:sz w:val="20"/>
          <w:szCs w:val="20"/>
        </w:rPr>
      </w:pPr>
      <w:r w:rsidRPr="00030025">
        <w:rPr>
          <w:rFonts w:ascii="Times New Roman" w:hAnsi="Times New Roman" w:cs="Times New Roman"/>
          <w:b/>
          <w:bCs/>
          <w:sz w:val="20"/>
          <w:szCs w:val="20"/>
        </w:rPr>
        <w:t>INTRODUCTION</w:t>
      </w:r>
    </w:p>
    <w:p w14:paraId="00000011" w14:textId="7B3CE34F" w:rsidR="006B4221" w:rsidRDefault="004B7046" w:rsidP="002B0FE1">
      <w:pPr>
        <w:pStyle w:val="NoSpacing"/>
        <w:spacing w:line="276" w:lineRule="auto"/>
        <w:jc w:val="both"/>
        <w:rPr>
          <w:rFonts w:ascii="Times New Roman" w:hAnsi="Times New Roman" w:cs="Times New Roman"/>
          <w:sz w:val="20"/>
          <w:szCs w:val="20"/>
        </w:rPr>
      </w:pPr>
      <w:r w:rsidRPr="00030025">
        <w:rPr>
          <w:rFonts w:ascii="Times New Roman" w:hAnsi="Times New Roman" w:cs="Times New Roman"/>
          <w:sz w:val="20"/>
          <w:szCs w:val="20"/>
        </w:rPr>
        <w:t>Glaucoma is a significant global health issue, and over 70 million people throughout the globe have it</w:t>
      </w:r>
      <w:r w:rsidR="001C3CAD" w:rsidRPr="00030025">
        <w:rPr>
          <w:rFonts w:ascii="Times New Roman" w:hAnsi="Times New Roman" w:cs="Times New Roman"/>
          <w:sz w:val="20"/>
          <w:szCs w:val="20"/>
        </w:rPr>
        <w:t xml:space="preserve"> [1]</w:t>
      </w:r>
      <w:r w:rsidR="00A13FAC" w:rsidRPr="00030025">
        <w:rPr>
          <w:rFonts w:ascii="Times New Roman" w:hAnsi="Times New Roman" w:cs="Times New Roman"/>
          <w:sz w:val="20"/>
          <w:szCs w:val="20"/>
        </w:rPr>
        <w:t>. About 8.4</w:t>
      </w:r>
      <w:r w:rsidRPr="00030025">
        <w:rPr>
          <w:rFonts w:ascii="Times New Roman" w:hAnsi="Times New Roman" w:cs="Times New Roman"/>
          <w:sz w:val="20"/>
          <w:szCs w:val="20"/>
        </w:rPr>
        <w:t>% of them go blind in both eyes from the illness. It's actually the second leading reason fo</w:t>
      </w:r>
      <w:r w:rsidR="00A13FAC" w:rsidRPr="00030025">
        <w:rPr>
          <w:rFonts w:ascii="Times New Roman" w:hAnsi="Times New Roman" w:cs="Times New Roman"/>
          <w:sz w:val="20"/>
          <w:szCs w:val="20"/>
        </w:rPr>
        <w:t xml:space="preserve">r permanent blindness globally [2]. </w:t>
      </w:r>
      <w:r w:rsidRPr="00030025">
        <w:rPr>
          <w:rFonts w:ascii="Times New Roman" w:hAnsi="Times New Roman" w:cs="Times New Roman"/>
          <w:sz w:val="20"/>
          <w:szCs w:val="20"/>
        </w:rPr>
        <w:t>Probably the most problematic aspect of glaucoma is that it often has no signs or symptoms until it's in its advanced stages. Due to this, individuals do not know they even possess it—research shows that 10% to 50% of glaucoma patients do not even realize t</w:t>
      </w:r>
      <w:r w:rsidR="00A13FAC" w:rsidRPr="00030025">
        <w:rPr>
          <w:rFonts w:ascii="Times New Roman" w:hAnsi="Times New Roman" w:cs="Times New Roman"/>
          <w:sz w:val="20"/>
          <w:szCs w:val="20"/>
        </w:rPr>
        <w:t>hey have it [3]</w:t>
      </w:r>
      <w:r w:rsidRPr="00030025">
        <w:rPr>
          <w:rFonts w:ascii="Times New Roman" w:hAnsi="Times New Roman" w:cs="Times New Roman"/>
          <w:sz w:val="20"/>
          <w:szCs w:val="20"/>
        </w:rPr>
        <w:t>.</w:t>
      </w:r>
      <w:r w:rsidR="00965424" w:rsidRPr="00030025">
        <w:rPr>
          <w:rFonts w:ascii="Times New Roman" w:hAnsi="Times New Roman" w:cs="Times New Roman"/>
          <w:sz w:val="20"/>
          <w:szCs w:val="20"/>
        </w:rPr>
        <w:t xml:space="preserve"> </w:t>
      </w:r>
      <w:r w:rsidRPr="00030025">
        <w:rPr>
          <w:rFonts w:ascii="Times New Roman" w:hAnsi="Times New Roman" w:cs="Times New Roman"/>
          <w:sz w:val="20"/>
          <w:szCs w:val="20"/>
        </w:rPr>
        <w:t>There are two major types of glaucoma, based on whether the fluid (also called aqueous humor) exits the eye and the anatomy of the front of the eye (the anterior chamber): open-angle glaucoma and angle-closure glauc</w:t>
      </w:r>
      <w:r w:rsidR="00A13FAC" w:rsidRPr="00030025">
        <w:rPr>
          <w:rFonts w:ascii="Times New Roman" w:hAnsi="Times New Roman" w:cs="Times New Roman"/>
          <w:sz w:val="20"/>
          <w:szCs w:val="20"/>
        </w:rPr>
        <w:t>oma [4]</w:t>
      </w:r>
      <w:r w:rsidRPr="00030025">
        <w:rPr>
          <w:rFonts w:ascii="Times New Roman" w:hAnsi="Times New Roman" w:cs="Times New Roman"/>
          <w:sz w:val="20"/>
          <w:szCs w:val="20"/>
        </w:rPr>
        <w:t>. Open-angle glaucoma is common in Western countries-over 80% of U.S. case</w:t>
      </w:r>
      <w:r w:rsidR="00D77430" w:rsidRPr="00030025">
        <w:rPr>
          <w:rFonts w:ascii="Times New Roman" w:hAnsi="Times New Roman" w:cs="Times New Roman"/>
          <w:sz w:val="20"/>
          <w:szCs w:val="20"/>
        </w:rPr>
        <w:t>s of glaucoma [5]</w:t>
      </w:r>
      <w:r w:rsidRPr="00030025">
        <w:rPr>
          <w:rFonts w:ascii="Times New Roman" w:hAnsi="Times New Roman" w:cs="Times New Roman"/>
          <w:sz w:val="20"/>
          <w:szCs w:val="20"/>
        </w:rPr>
        <w:t>. In turn, primary angle-closure glaucoma (PACG) is more aggressive and a major cause of blindness, especially in regions of Asia a</w:t>
      </w:r>
      <w:r w:rsidR="00D77430" w:rsidRPr="00030025">
        <w:rPr>
          <w:rFonts w:ascii="Times New Roman" w:hAnsi="Times New Roman" w:cs="Times New Roman"/>
          <w:sz w:val="20"/>
          <w:szCs w:val="20"/>
        </w:rPr>
        <w:t>nd Africa [6,7]</w:t>
      </w:r>
      <w:r w:rsidRPr="00030025">
        <w:rPr>
          <w:rFonts w:ascii="Times New Roman" w:hAnsi="Times New Roman" w:cs="Times New Roman"/>
          <w:sz w:val="20"/>
          <w:szCs w:val="20"/>
        </w:rPr>
        <w:t>. PACG is estimated to be responsible for nearly half of all glaucoma worldwide and a major cause of glaucoma-related blindne</w:t>
      </w:r>
      <w:r w:rsidR="00D77430" w:rsidRPr="00030025">
        <w:rPr>
          <w:rFonts w:ascii="Times New Roman" w:hAnsi="Times New Roman" w:cs="Times New Roman"/>
          <w:sz w:val="20"/>
          <w:szCs w:val="20"/>
        </w:rPr>
        <w:t>ss among East Asians [8]</w:t>
      </w:r>
      <w:r w:rsidRPr="00030025">
        <w:rPr>
          <w:rFonts w:ascii="Times New Roman" w:hAnsi="Times New Roman" w:cs="Times New Roman"/>
          <w:sz w:val="20"/>
          <w:szCs w:val="20"/>
        </w:rPr>
        <w:t>.</w:t>
      </w:r>
      <w:r w:rsidR="00965424" w:rsidRPr="00030025">
        <w:rPr>
          <w:rFonts w:ascii="Times New Roman" w:hAnsi="Times New Roman" w:cs="Times New Roman"/>
          <w:sz w:val="20"/>
          <w:szCs w:val="20"/>
        </w:rPr>
        <w:t xml:space="preserve"> </w:t>
      </w:r>
      <w:r w:rsidRPr="00030025">
        <w:rPr>
          <w:rFonts w:ascii="Times New Roman" w:hAnsi="Times New Roman" w:cs="Times New Roman"/>
          <w:sz w:val="20"/>
          <w:szCs w:val="20"/>
        </w:rPr>
        <w:t xml:space="preserve">The bright side is that PACG can typically be prevented if detected early. People who have narrow angles at the front of their eye are more susceptible to developing angle-closure glaucoma, especially if they have certain </w:t>
      </w:r>
      <w:r w:rsidR="00875B86" w:rsidRPr="00030025">
        <w:rPr>
          <w:rFonts w:ascii="Times New Roman" w:hAnsi="Times New Roman" w:cs="Times New Roman"/>
          <w:sz w:val="20"/>
          <w:szCs w:val="20"/>
        </w:rPr>
        <w:t>anatomical risk factors [9]</w:t>
      </w:r>
      <w:r w:rsidRPr="00030025">
        <w:rPr>
          <w:rFonts w:ascii="Times New Roman" w:hAnsi="Times New Roman" w:cs="Times New Roman"/>
          <w:sz w:val="20"/>
          <w:szCs w:val="20"/>
        </w:rPr>
        <w:t xml:space="preserve">. If they can catch these </w:t>
      </w:r>
      <w:proofErr w:type="spellStart"/>
      <w:r w:rsidRPr="00030025">
        <w:rPr>
          <w:rFonts w:ascii="Times New Roman" w:hAnsi="Times New Roman" w:cs="Times New Roman"/>
          <w:sz w:val="20"/>
          <w:szCs w:val="20"/>
        </w:rPr>
        <w:t>occludable</w:t>
      </w:r>
      <w:proofErr w:type="spellEnd"/>
      <w:r w:rsidRPr="00030025">
        <w:rPr>
          <w:rFonts w:ascii="Times New Roman" w:hAnsi="Times New Roman" w:cs="Times New Roman"/>
          <w:sz w:val="20"/>
          <w:szCs w:val="20"/>
        </w:rPr>
        <w:t xml:space="preserve"> or narrow angles early, they can then use interventions like laser peripheral iridotomy or </w:t>
      </w:r>
      <w:proofErr w:type="spellStart"/>
      <w:r w:rsidRPr="00030025">
        <w:rPr>
          <w:rFonts w:ascii="Times New Roman" w:hAnsi="Times New Roman" w:cs="Times New Roman"/>
          <w:sz w:val="20"/>
          <w:szCs w:val="20"/>
        </w:rPr>
        <w:t>iridoplasty</w:t>
      </w:r>
      <w:proofErr w:type="spellEnd"/>
      <w:r w:rsidRPr="00030025">
        <w:rPr>
          <w:rFonts w:ascii="Times New Roman" w:hAnsi="Times New Roman" w:cs="Times New Roman"/>
          <w:sz w:val="20"/>
          <w:szCs w:val="20"/>
        </w:rPr>
        <w:t xml:space="preserve"> in order to avoid damaging the opt</w:t>
      </w:r>
      <w:r w:rsidR="00875B86" w:rsidRPr="00030025">
        <w:rPr>
          <w:rFonts w:ascii="Times New Roman" w:hAnsi="Times New Roman" w:cs="Times New Roman"/>
          <w:sz w:val="20"/>
          <w:szCs w:val="20"/>
        </w:rPr>
        <w:t>ic nerve [10].</w:t>
      </w:r>
      <w:r w:rsidR="00965424" w:rsidRPr="00030025">
        <w:rPr>
          <w:rFonts w:ascii="Times New Roman" w:hAnsi="Times New Roman" w:cs="Times New Roman"/>
          <w:sz w:val="20"/>
          <w:szCs w:val="20"/>
        </w:rPr>
        <w:t xml:space="preserve"> </w:t>
      </w:r>
      <w:r w:rsidRPr="00030025">
        <w:rPr>
          <w:rFonts w:ascii="Times New Roman" w:hAnsi="Times New Roman" w:cs="Times New Roman"/>
          <w:sz w:val="20"/>
          <w:szCs w:val="20"/>
        </w:rPr>
        <w:t>To look at the angle within the eye, doctors usually use a method called gonioscopy, where they directly observe structures of the angle with a particu</w:t>
      </w:r>
      <w:r w:rsidR="00FB4409" w:rsidRPr="00030025">
        <w:rPr>
          <w:rFonts w:ascii="Times New Roman" w:hAnsi="Times New Roman" w:cs="Times New Roman"/>
          <w:sz w:val="20"/>
          <w:szCs w:val="20"/>
        </w:rPr>
        <w:t>lar lens [11]</w:t>
      </w:r>
      <w:r w:rsidRPr="00030025">
        <w:rPr>
          <w:rFonts w:ascii="Times New Roman" w:hAnsi="Times New Roman" w:cs="Times New Roman"/>
          <w:sz w:val="20"/>
          <w:szCs w:val="20"/>
        </w:rPr>
        <w:t>. The gold standard method, gonioscopy, however, is not perfect—it works heavily on experience, is a subjective test, and is cumbersome</w:t>
      </w:r>
      <w:r w:rsidR="00FB4409" w:rsidRPr="00030025">
        <w:rPr>
          <w:rFonts w:ascii="Times New Roman" w:hAnsi="Times New Roman" w:cs="Times New Roman"/>
          <w:sz w:val="20"/>
          <w:szCs w:val="20"/>
        </w:rPr>
        <w:t xml:space="preserve"> to perform [12]</w:t>
      </w:r>
      <w:r w:rsidR="00030025">
        <w:rPr>
          <w:rFonts w:ascii="Times New Roman" w:hAnsi="Times New Roman" w:cs="Times New Roman"/>
          <w:sz w:val="20"/>
          <w:szCs w:val="20"/>
        </w:rPr>
        <w:t xml:space="preserve"> </w:t>
      </w:r>
      <w:r w:rsidRPr="00030025">
        <w:rPr>
          <w:rFonts w:ascii="Times New Roman" w:hAnsi="Times New Roman" w:cs="Times New Roman"/>
          <w:sz w:val="20"/>
          <w:szCs w:val="20"/>
        </w:rPr>
        <w:t>Because of that, angle-closure glaucoma can become missed or inadequ</w:t>
      </w:r>
      <w:r w:rsidR="00FB4409" w:rsidRPr="00030025">
        <w:rPr>
          <w:rFonts w:ascii="Times New Roman" w:hAnsi="Times New Roman" w:cs="Times New Roman"/>
          <w:sz w:val="20"/>
          <w:szCs w:val="20"/>
        </w:rPr>
        <w:t>ately diagnosed [13]</w:t>
      </w:r>
      <w:r w:rsidR="00965424" w:rsidRPr="00030025">
        <w:rPr>
          <w:rFonts w:ascii="Times New Roman" w:hAnsi="Times New Roman" w:cs="Times New Roman"/>
          <w:sz w:val="20"/>
          <w:szCs w:val="20"/>
        </w:rPr>
        <w:t xml:space="preserve">. </w:t>
      </w:r>
      <w:r w:rsidRPr="00030025">
        <w:rPr>
          <w:rFonts w:ascii="Times New Roman" w:hAnsi="Times New Roman" w:cs="Times New Roman"/>
          <w:sz w:val="20"/>
          <w:szCs w:val="20"/>
        </w:rPr>
        <w:t xml:space="preserve">That's where ultrasound </w:t>
      </w:r>
      <w:proofErr w:type="spellStart"/>
      <w:r w:rsidRPr="00030025">
        <w:rPr>
          <w:rFonts w:ascii="Times New Roman" w:hAnsi="Times New Roman" w:cs="Times New Roman"/>
          <w:sz w:val="20"/>
          <w:szCs w:val="20"/>
        </w:rPr>
        <w:t>biomicroscopy</w:t>
      </w:r>
      <w:proofErr w:type="spellEnd"/>
      <w:r w:rsidRPr="00030025">
        <w:rPr>
          <w:rFonts w:ascii="Times New Roman" w:hAnsi="Times New Roman" w:cs="Times New Roman"/>
          <w:sz w:val="20"/>
          <w:szCs w:val="20"/>
        </w:rPr>
        <w:t xml:space="preserve"> (UBM) comes in. UBM is a highly detailed imaging method that gives a good view of the structures at the front of the eye, even when the med</w:t>
      </w:r>
      <w:r w:rsidR="00FB4409" w:rsidRPr="00030025">
        <w:rPr>
          <w:rFonts w:ascii="Times New Roman" w:hAnsi="Times New Roman" w:cs="Times New Roman"/>
          <w:sz w:val="20"/>
          <w:szCs w:val="20"/>
        </w:rPr>
        <w:t>ia are hazy [14]</w:t>
      </w:r>
      <w:r w:rsidRPr="00030025">
        <w:rPr>
          <w:rFonts w:ascii="Times New Roman" w:hAnsi="Times New Roman" w:cs="Times New Roman"/>
          <w:sz w:val="20"/>
          <w:szCs w:val="20"/>
        </w:rPr>
        <w:t xml:space="preserve">. It allows for accurate, quantitative assessment of the anterior chamber angle, which can help doctors figure out why the angle </w:t>
      </w:r>
      <w:r w:rsidR="00965424" w:rsidRPr="00030025">
        <w:rPr>
          <w:rFonts w:ascii="Times New Roman" w:hAnsi="Times New Roman" w:cs="Times New Roman"/>
          <w:sz w:val="20"/>
          <w:szCs w:val="20"/>
        </w:rPr>
        <w:t>is closed or reduced [15]</w:t>
      </w:r>
      <w:r w:rsidRPr="00030025">
        <w:rPr>
          <w:rFonts w:ascii="Times New Roman" w:hAnsi="Times New Roman" w:cs="Times New Roman"/>
          <w:sz w:val="20"/>
          <w:szCs w:val="20"/>
        </w:rPr>
        <w:t xml:space="preserve">. Although UBM is being utilized more and more—especially in Asia where there are high incidence rates of narrow angles—it remains not widely employed as a </w:t>
      </w:r>
      <w:r w:rsidR="00965424" w:rsidRPr="00030025">
        <w:rPr>
          <w:rFonts w:ascii="Times New Roman" w:hAnsi="Times New Roman" w:cs="Times New Roman"/>
          <w:sz w:val="20"/>
          <w:szCs w:val="20"/>
        </w:rPr>
        <w:t>screening tool [16]</w:t>
      </w:r>
      <w:r w:rsidRPr="00030025">
        <w:rPr>
          <w:rFonts w:ascii="Times New Roman" w:hAnsi="Times New Roman" w:cs="Times New Roman"/>
          <w:sz w:val="20"/>
          <w:szCs w:val="20"/>
        </w:rPr>
        <w:t>.</w:t>
      </w:r>
      <w:r w:rsidR="00965424" w:rsidRPr="00030025">
        <w:rPr>
          <w:rFonts w:ascii="Times New Roman" w:hAnsi="Times New Roman" w:cs="Times New Roman"/>
          <w:sz w:val="20"/>
          <w:szCs w:val="20"/>
        </w:rPr>
        <w:t xml:space="preserve"> </w:t>
      </w:r>
      <w:r w:rsidRPr="00030025">
        <w:rPr>
          <w:rFonts w:ascii="Times New Roman" w:hAnsi="Times New Roman" w:cs="Times New Roman"/>
          <w:sz w:val="20"/>
          <w:szCs w:val="20"/>
        </w:rPr>
        <w:t>In Bangladesh, there aren't many recent studies that compared the utility of UBM and gonioscopy in evaluating narrow angles in the eye. That's something which needs to be addressed.</w:t>
      </w:r>
      <w:r w:rsidR="00030025">
        <w:rPr>
          <w:rFonts w:ascii="Times New Roman" w:hAnsi="Times New Roman" w:cs="Times New Roman"/>
          <w:sz w:val="20"/>
          <w:szCs w:val="20"/>
        </w:rPr>
        <w:t xml:space="preserve"> </w:t>
      </w:r>
      <w:r w:rsidRPr="00030025">
        <w:rPr>
          <w:rFonts w:ascii="Times New Roman" w:hAnsi="Times New Roman" w:cs="Times New Roman"/>
          <w:sz w:val="20"/>
          <w:szCs w:val="20"/>
        </w:rPr>
        <w:t>While gonioscopy does have some definite limitations and UBM seems to be a more objective and subtle method of evaluating the anterior chamber angle, the current study is an effort to compare both the methods. To be more specific, it will examine the efficacy with which each of these methods can identify narrow or "</w:t>
      </w:r>
      <w:proofErr w:type="spellStart"/>
      <w:r w:rsidRPr="00030025">
        <w:rPr>
          <w:rFonts w:ascii="Times New Roman" w:hAnsi="Times New Roman" w:cs="Times New Roman"/>
          <w:sz w:val="20"/>
          <w:szCs w:val="20"/>
        </w:rPr>
        <w:t>occludable</w:t>
      </w:r>
      <w:proofErr w:type="spellEnd"/>
      <w:r w:rsidRPr="00030025">
        <w:rPr>
          <w:rFonts w:ascii="Times New Roman" w:hAnsi="Times New Roman" w:cs="Times New Roman"/>
          <w:sz w:val="20"/>
          <w:szCs w:val="20"/>
        </w:rPr>
        <w:t xml:space="preserve">" angles in patients as per van Herick criteria. Such a study is of particular importance to the eye care of Bangladesh. In high-volume tertiary care centers, </w:t>
      </w:r>
      <w:r w:rsidRPr="00030025">
        <w:rPr>
          <w:rFonts w:ascii="Times New Roman" w:hAnsi="Times New Roman" w:cs="Times New Roman"/>
          <w:sz w:val="20"/>
          <w:szCs w:val="20"/>
        </w:rPr>
        <w:lastRenderedPageBreak/>
        <w:t>employing more accurate diagnostic equipment such as UBM would assist physicians in making informed decisions regarding glaucoma management and surgical planning.</w:t>
      </w:r>
    </w:p>
    <w:p w14:paraId="359DD141" w14:textId="77777777" w:rsidR="002B0FE1" w:rsidRPr="002B0FE1" w:rsidRDefault="002B0FE1" w:rsidP="002B0FE1">
      <w:pPr>
        <w:pStyle w:val="NoSpacing"/>
        <w:spacing w:line="276" w:lineRule="auto"/>
        <w:jc w:val="both"/>
        <w:rPr>
          <w:rFonts w:ascii="Times New Roman" w:hAnsi="Times New Roman" w:cs="Times New Roman"/>
          <w:sz w:val="20"/>
          <w:szCs w:val="20"/>
        </w:rPr>
      </w:pPr>
    </w:p>
    <w:p w14:paraId="00000012" w14:textId="31BC9193" w:rsidR="006B4221" w:rsidRPr="00030025" w:rsidRDefault="00965424" w:rsidP="00030025">
      <w:pPr>
        <w:pStyle w:val="NoSpacing"/>
        <w:spacing w:line="360" w:lineRule="auto"/>
        <w:rPr>
          <w:rFonts w:ascii="Times New Roman" w:hAnsi="Times New Roman" w:cs="Times New Roman"/>
          <w:b/>
          <w:bCs/>
          <w:sz w:val="20"/>
          <w:szCs w:val="20"/>
        </w:rPr>
      </w:pPr>
      <w:bookmarkStart w:id="1" w:name="_x78ww2hnk1ak" w:colFirst="0" w:colLast="0"/>
      <w:bookmarkEnd w:id="1"/>
      <w:r w:rsidRPr="00030025">
        <w:rPr>
          <w:rFonts w:ascii="Times New Roman" w:hAnsi="Times New Roman" w:cs="Times New Roman"/>
          <w:b/>
          <w:bCs/>
          <w:sz w:val="20"/>
          <w:szCs w:val="20"/>
        </w:rPr>
        <w:t>METHODOLOGY</w:t>
      </w:r>
    </w:p>
    <w:p w14:paraId="14EAB61D" w14:textId="3605A540" w:rsidR="00965424" w:rsidRPr="00030025" w:rsidRDefault="004B7046" w:rsidP="00030025">
      <w:pPr>
        <w:pStyle w:val="NoSpacing"/>
        <w:spacing w:line="276" w:lineRule="auto"/>
        <w:jc w:val="both"/>
        <w:rPr>
          <w:rFonts w:ascii="Times New Roman" w:hAnsi="Times New Roman" w:cs="Times New Roman"/>
          <w:sz w:val="20"/>
          <w:szCs w:val="20"/>
        </w:rPr>
      </w:pPr>
      <w:r w:rsidRPr="00030025">
        <w:rPr>
          <w:rFonts w:ascii="Times New Roman" w:hAnsi="Times New Roman" w:cs="Times New Roman"/>
          <w:sz w:val="20"/>
          <w:szCs w:val="20"/>
        </w:rPr>
        <w:t xml:space="preserve">The study was a cross-sectional comparative investigation at the Glaucoma Department of the National Institute of Ophthalmology &amp; Hospital (NIO&amp;H), Dhaka. It was performed over a period of two years, namely, March 2018 to February 2020. The main objective was to compare whether gonioscopy can measure the anterior chamber angle in patients with suspected narrow angles as effectively as ultrasound </w:t>
      </w:r>
      <w:proofErr w:type="spellStart"/>
      <w:r w:rsidRPr="00030025">
        <w:rPr>
          <w:rFonts w:ascii="Times New Roman" w:hAnsi="Times New Roman" w:cs="Times New Roman"/>
          <w:sz w:val="20"/>
          <w:szCs w:val="20"/>
        </w:rPr>
        <w:t>biomicroscopy</w:t>
      </w:r>
      <w:proofErr w:type="spellEnd"/>
      <w:r w:rsidRPr="00030025">
        <w:rPr>
          <w:rFonts w:ascii="Times New Roman" w:hAnsi="Times New Roman" w:cs="Times New Roman"/>
          <w:sz w:val="20"/>
          <w:szCs w:val="20"/>
        </w:rPr>
        <w:t xml:space="preserve"> (UBM).</w:t>
      </w:r>
      <w:r w:rsidR="00965424" w:rsidRPr="00030025">
        <w:rPr>
          <w:rFonts w:ascii="Times New Roman" w:hAnsi="Times New Roman" w:cs="Times New Roman"/>
          <w:sz w:val="20"/>
          <w:szCs w:val="20"/>
        </w:rPr>
        <w:t xml:space="preserve"> </w:t>
      </w:r>
      <w:r w:rsidR="005824CB" w:rsidRPr="00030025">
        <w:rPr>
          <w:rFonts w:ascii="Times New Roman" w:hAnsi="Times New Roman" w:cs="Times New Roman"/>
          <w:sz w:val="20"/>
          <w:szCs w:val="20"/>
        </w:rPr>
        <w:t xml:space="preserve"> </w:t>
      </w:r>
      <w:r w:rsidRPr="00030025">
        <w:rPr>
          <w:rFonts w:ascii="Times New Roman" w:hAnsi="Times New Roman" w:cs="Times New Roman"/>
          <w:sz w:val="20"/>
          <w:szCs w:val="20"/>
        </w:rPr>
        <w:t>32 patients</w:t>
      </w:r>
      <w:r w:rsidR="005824CB" w:rsidRPr="00030025">
        <w:rPr>
          <w:rFonts w:ascii="Times New Roman" w:hAnsi="Times New Roman" w:cs="Times New Roman"/>
          <w:sz w:val="20"/>
          <w:szCs w:val="20"/>
        </w:rPr>
        <w:t xml:space="preserve"> were originally selected</w:t>
      </w:r>
      <w:r w:rsidRPr="00030025">
        <w:rPr>
          <w:rFonts w:ascii="Times New Roman" w:hAnsi="Times New Roman" w:cs="Times New Roman"/>
          <w:sz w:val="20"/>
          <w:szCs w:val="20"/>
        </w:rPr>
        <w:t xml:space="preserve"> via convenient sampling, but 2 of them dropped out. H</w:t>
      </w:r>
      <w:r w:rsidR="005824CB" w:rsidRPr="00030025">
        <w:rPr>
          <w:rFonts w:ascii="Times New Roman" w:hAnsi="Times New Roman" w:cs="Times New Roman"/>
          <w:sz w:val="20"/>
          <w:szCs w:val="20"/>
        </w:rPr>
        <w:t xml:space="preserve">ence, finally, the study was conducted with 30 eyes of 30 patients. </w:t>
      </w:r>
      <w:proofErr w:type="spellStart"/>
      <w:r w:rsidR="005824CB" w:rsidRPr="00030025">
        <w:rPr>
          <w:rFonts w:ascii="Times New Roman" w:hAnsi="Times New Roman" w:cs="Times New Roman"/>
          <w:sz w:val="20"/>
          <w:szCs w:val="20"/>
        </w:rPr>
        <w:t>Pecruited</w:t>
      </w:r>
      <w:proofErr w:type="spellEnd"/>
      <w:r w:rsidR="005824CB" w:rsidRPr="00030025">
        <w:rPr>
          <w:rFonts w:ascii="Times New Roman" w:hAnsi="Times New Roman" w:cs="Times New Roman"/>
          <w:sz w:val="20"/>
          <w:szCs w:val="20"/>
        </w:rPr>
        <w:t xml:space="preserve"> patients</w:t>
      </w:r>
      <w:r w:rsidRPr="00030025">
        <w:rPr>
          <w:rFonts w:ascii="Times New Roman" w:hAnsi="Times New Roman" w:cs="Times New Roman"/>
          <w:sz w:val="20"/>
          <w:szCs w:val="20"/>
        </w:rPr>
        <w:t xml:space="preserve"> peripheral anterior chamber depth was ≤¼ of the corneal thickness, based on van Herick's grading system (grades 1 and 2). If b</w:t>
      </w:r>
      <w:r w:rsidR="005824CB" w:rsidRPr="00030025">
        <w:rPr>
          <w:rFonts w:ascii="Times New Roman" w:hAnsi="Times New Roman" w:cs="Times New Roman"/>
          <w:sz w:val="20"/>
          <w:szCs w:val="20"/>
        </w:rPr>
        <w:t>oth eyes were qualified,</w:t>
      </w:r>
      <w:r w:rsidRPr="00030025">
        <w:rPr>
          <w:rFonts w:ascii="Times New Roman" w:hAnsi="Times New Roman" w:cs="Times New Roman"/>
          <w:sz w:val="20"/>
          <w:szCs w:val="20"/>
        </w:rPr>
        <w:t xml:space="preserve"> the one with the narrower angle</w:t>
      </w:r>
      <w:r w:rsidR="005824CB" w:rsidRPr="00030025">
        <w:rPr>
          <w:rFonts w:ascii="Times New Roman" w:hAnsi="Times New Roman" w:cs="Times New Roman"/>
          <w:sz w:val="20"/>
          <w:szCs w:val="20"/>
        </w:rPr>
        <w:t xml:space="preserve"> was used</w:t>
      </w:r>
      <w:r w:rsidRPr="00030025">
        <w:rPr>
          <w:rFonts w:ascii="Times New Roman" w:hAnsi="Times New Roman" w:cs="Times New Roman"/>
          <w:sz w:val="20"/>
          <w:szCs w:val="20"/>
        </w:rPr>
        <w:t>. If bo</w:t>
      </w:r>
      <w:r w:rsidR="005824CB" w:rsidRPr="00030025">
        <w:rPr>
          <w:rFonts w:ascii="Times New Roman" w:hAnsi="Times New Roman" w:cs="Times New Roman"/>
          <w:sz w:val="20"/>
          <w:szCs w:val="20"/>
        </w:rPr>
        <w:t xml:space="preserve">th eyes were the same, </w:t>
      </w:r>
      <w:r w:rsidRPr="00030025">
        <w:rPr>
          <w:rFonts w:ascii="Times New Roman" w:hAnsi="Times New Roman" w:cs="Times New Roman"/>
          <w:sz w:val="20"/>
          <w:szCs w:val="20"/>
        </w:rPr>
        <w:t>one at the discretion of the researcher</w:t>
      </w:r>
      <w:r w:rsidR="005824CB" w:rsidRPr="00030025">
        <w:rPr>
          <w:rFonts w:ascii="Times New Roman" w:hAnsi="Times New Roman" w:cs="Times New Roman"/>
          <w:sz w:val="20"/>
          <w:szCs w:val="20"/>
        </w:rPr>
        <w:t xml:space="preserve"> was chosen</w:t>
      </w:r>
      <w:r w:rsidRPr="00030025">
        <w:rPr>
          <w:rFonts w:ascii="Times New Roman" w:hAnsi="Times New Roman" w:cs="Times New Roman"/>
          <w:sz w:val="20"/>
          <w:szCs w:val="20"/>
        </w:rPr>
        <w:t>.</w:t>
      </w:r>
      <w:r w:rsidR="00965424" w:rsidRPr="00030025">
        <w:rPr>
          <w:rFonts w:ascii="Times New Roman" w:hAnsi="Times New Roman" w:cs="Times New Roman"/>
          <w:sz w:val="20"/>
          <w:szCs w:val="20"/>
        </w:rPr>
        <w:t xml:space="preserve"> </w:t>
      </w:r>
      <w:r w:rsidR="00F7525A" w:rsidRPr="00030025">
        <w:rPr>
          <w:rFonts w:ascii="Times New Roman" w:hAnsi="Times New Roman" w:cs="Times New Roman"/>
          <w:sz w:val="20"/>
          <w:szCs w:val="20"/>
        </w:rPr>
        <w:t>P</w:t>
      </w:r>
      <w:r w:rsidRPr="00030025">
        <w:rPr>
          <w:rFonts w:ascii="Times New Roman" w:hAnsi="Times New Roman" w:cs="Times New Roman"/>
          <w:sz w:val="20"/>
          <w:szCs w:val="20"/>
        </w:rPr>
        <w:t xml:space="preserve">atients with other eye diseases (except narrow angle), recent eye surgery, congenital eye problems, or </w:t>
      </w:r>
      <w:r w:rsidR="00F7525A" w:rsidRPr="00030025">
        <w:rPr>
          <w:rFonts w:ascii="Times New Roman" w:hAnsi="Times New Roman" w:cs="Times New Roman"/>
          <w:sz w:val="20"/>
          <w:szCs w:val="20"/>
        </w:rPr>
        <w:t>in other clinical trials were not enrolled</w:t>
      </w:r>
      <w:r w:rsidRPr="00030025">
        <w:rPr>
          <w:rFonts w:ascii="Times New Roman" w:hAnsi="Times New Roman" w:cs="Times New Roman"/>
          <w:sz w:val="20"/>
          <w:szCs w:val="20"/>
        </w:rPr>
        <w:t xml:space="preserve">. </w:t>
      </w:r>
      <w:r w:rsidR="005824CB" w:rsidRPr="00030025">
        <w:rPr>
          <w:rFonts w:ascii="Times New Roman" w:hAnsi="Times New Roman" w:cs="Times New Roman"/>
          <w:sz w:val="20"/>
          <w:szCs w:val="20"/>
        </w:rPr>
        <w:t xml:space="preserve">The sample was calculated based on a routine formula with a glaucoma prevalence rate of 3.1%. </w:t>
      </w:r>
      <w:r w:rsidRPr="00030025">
        <w:rPr>
          <w:rFonts w:ascii="Times New Roman" w:hAnsi="Times New Roman" w:cs="Times New Roman"/>
          <w:sz w:val="20"/>
          <w:szCs w:val="20"/>
        </w:rPr>
        <w:t xml:space="preserve">With 95% confidence </w:t>
      </w:r>
      <w:r w:rsidR="005824CB" w:rsidRPr="00030025">
        <w:rPr>
          <w:rFonts w:ascii="Times New Roman" w:hAnsi="Times New Roman" w:cs="Times New Roman"/>
          <w:sz w:val="20"/>
          <w:szCs w:val="20"/>
        </w:rPr>
        <w:t xml:space="preserve">and a margin error of 6%, it was </w:t>
      </w:r>
      <w:r w:rsidRPr="00030025">
        <w:rPr>
          <w:rFonts w:ascii="Times New Roman" w:hAnsi="Times New Roman" w:cs="Times New Roman"/>
          <w:sz w:val="20"/>
          <w:szCs w:val="20"/>
        </w:rPr>
        <w:t>calculated that 32 participants would be needed.</w:t>
      </w:r>
      <w:r w:rsidR="00965424" w:rsidRPr="00030025">
        <w:rPr>
          <w:rFonts w:ascii="Times New Roman" w:hAnsi="Times New Roman" w:cs="Times New Roman"/>
          <w:sz w:val="20"/>
          <w:szCs w:val="20"/>
        </w:rPr>
        <w:t xml:space="preserve"> </w:t>
      </w:r>
    </w:p>
    <w:p w14:paraId="00000020" w14:textId="0B5928E4" w:rsidR="006B4221" w:rsidRPr="00437B40" w:rsidRDefault="004B7046">
      <w:pPr>
        <w:spacing w:before="240" w:after="240"/>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All patients were given a full eye examination. These included:</w:t>
      </w:r>
    </w:p>
    <w:p w14:paraId="00000022" w14:textId="77777777" w:rsidR="006B4221" w:rsidRPr="00965424" w:rsidRDefault="004B7046" w:rsidP="00965424">
      <w:pPr>
        <w:pStyle w:val="ListParagraph"/>
        <w:numPr>
          <w:ilvl w:val="0"/>
          <w:numId w:val="5"/>
        </w:numPr>
        <w:spacing w:before="240" w:after="240"/>
        <w:rPr>
          <w:rFonts w:ascii="Times New Roman" w:eastAsiaTheme="minorHAnsi" w:hAnsi="Times New Roman" w:cs="Times New Roman"/>
          <w:sz w:val="20"/>
          <w:szCs w:val="20"/>
        </w:rPr>
      </w:pPr>
      <w:r w:rsidRPr="00965424">
        <w:rPr>
          <w:rFonts w:ascii="Times New Roman" w:eastAsiaTheme="minorHAnsi" w:hAnsi="Times New Roman" w:cs="Times New Roman"/>
          <w:sz w:val="20"/>
          <w:szCs w:val="20"/>
        </w:rPr>
        <w:t>Measuring visual acuity</w:t>
      </w:r>
    </w:p>
    <w:p w14:paraId="00000024" w14:textId="77777777" w:rsidR="006B4221" w:rsidRPr="00965424" w:rsidRDefault="004B7046" w:rsidP="00965424">
      <w:pPr>
        <w:pStyle w:val="ListParagraph"/>
        <w:numPr>
          <w:ilvl w:val="0"/>
          <w:numId w:val="5"/>
        </w:numPr>
        <w:spacing w:before="240" w:after="240"/>
        <w:rPr>
          <w:rFonts w:ascii="Times New Roman" w:eastAsiaTheme="minorHAnsi" w:hAnsi="Times New Roman" w:cs="Times New Roman"/>
          <w:sz w:val="20"/>
          <w:szCs w:val="20"/>
        </w:rPr>
      </w:pPr>
      <w:r w:rsidRPr="00965424">
        <w:rPr>
          <w:rFonts w:ascii="Times New Roman" w:eastAsiaTheme="minorHAnsi" w:hAnsi="Times New Roman" w:cs="Times New Roman"/>
          <w:sz w:val="20"/>
          <w:szCs w:val="20"/>
        </w:rPr>
        <w:t>Slit-lamp examination</w:t>
      </w:r>
    </w:p>
    <w:p w14:paraId="03F78BE0" w14:textId="77777777" w:rsidR="00965424" w:rsidRPr="00965424" w:rsidRDefault="004B7046" w:rsidP="00965424">
      <w:pPr>
        <w:pStyle w:val="ListParagraph"/>
        <w:numPr>
          <w:ilvl w:val="0"/>
          <w:numId w:val="5"/>
        </w:numPr>
        <w:spacing w:before="240" w:after="240"/>
        <w:rPr>
          <w:rFonts w:ascii="Times New Roman" w:eastAsiaTheme="minorHAnsi" w:hAnsi="Times New Roman" w:cs="Times New Roman"/>
          <w:sz w:val="20"/>
          <w:szCs w:val="20"/>
        </w:rPr>
      </w:pPr>
      <w:r w:rsidRPr="00965424">
        <w:rPr>
          <w:rFonts w:ascii="Times New Roman" w:eastAsiaTheme="minorHAnsi" w:hAnsi="Times New Roman" w:cs="Times New Roman"/>
          <w:sz w:val="20"/>
          <w:szCs w:val="20"/>
        </w:rPr>
        <w:t>IOP measurement using Goldmann applanation tonometry</w:t>
      </w:r>
    </w:p>
    <w:p w14:paraId="00000028" w14:textId="4ABDB29E" w:rsidR="006B4221" w:rsidRPr="00965424" w:rsidRDefault="004B7046" w:rsidP="00965424">
      <w:pPr>
        <w:pStyle w:val="ListParagraph"/>
        <w:numPr>
          <w:ilvl w:val="0"/>
          <w:numId w:val="5"/>
        </w:numPr>
        <w:spacing w:before="240" w:after="240"/>
        <w:rPr>
          <w:rFonts w:ascii="Times New Roman" w:eastAsiaTheme="minorHAnsi" w:hAnsi="Times New Roman" w:cs="Times New Roman"/>
          <w:sz w:val="20"/>
          <w:szCs w:val="20"/>
        </w:rPr>
      </w:pPr>
      <w:r w:rsidRPr="00965424">
        <w:rPr>
          <w:rFonts w:ascii="Times New Roman" w:eastAsiaTheme="minorHAnsi" w:hAnsi="Times New Roman" w:cs="Times New Roman"/>
          <w:sz w:val="20"/>
          <w:szCs w:val="20"/>
        </w:rPr>
        <w:t>Fundus examination to examine the posterior aspect of the eye</w:t>
      </w:r>
    </w:p>
    <w:p w14:paraId="00000035" w14:textId="068FE180" w:rsidR="006B4221" w:rsidRPr="00437B40" w:rsidRDefault="004B7046" w:rsidP="00030025">
      <w:pPr>
        <w:spacing w:before="240" w:after="240"/>
        <w:jc w:val="both"/>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In an attempt to ensure consistency, both gonioscopy and UBM were carried out using the same illumination.</w:t>
      </w:r>
      <w:r w:rsidR="00965424">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Gonioscopy</w:t>
      </w:r>
      <w:r w:rsidR="00965424">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 xml:space="preserve">was done while the patient sat, using a Posner 4-mirror </w:t>
      </w:r>
      <w:proofErr w:type="spellStart"/>
      <w:r w:rsidRPr="00437B40">
        <w:rPr>
          <w:rFonts w:ascii="Times New Roman" w:eastAsiaTheme="minorHAnsi" w:hAnsi="Times New Roman" w:cs="Times New Roman"/>
          <w:sz w:val="20"/>
          <w:szCs w:val="20"/>
        </w:rPr>
        <w:t>goniolens</w:t>
      </w:r>
      <w:proofErr w:type="spellEnd"/>
      <w:r w:rsidRPr="00437B40">
        <w:rPr>
          <w:rFonts w:ascii="Times New Roman" w:eastAsiaTheme="minorHAnsi" w:hAnsi="Times New Roman" w:cs="Times New Roman"/>
          <w:sz w:val="20"/>
          <w:szCs w:val="20"/>
        </w:rPr>
        <w:t xml:space="preserve"> after applying a numbing eye drop (0.4% </w:t>
      </w:r>
      <w:proofErr w:type="spellStart"/>
      <w:r w:rsidRPr="00437B40">
        <w:rPr>
          <w:rFonts w:ascii="Times New Roman" w:eastAsiaTheme="minorHAnsi" w:hAnsi="Times New Roman" w:cs="Times New Roman"/>
          <w:sz w:val="20"/>
          <w:szCs w:val="20"/>
        </w:rPr>
        <w:t>oxybuprocaine</w:t>
      </w:r>
      <w:proofErr w:type="spellEnd"/>
      <w:r w:rsidRPr="00437B40">
        <w:rPr>
          <w:rFonts w:ascii="Times New Roman" w:eastAsiaTheme="minorHAnsi" w:hAnsi="Times New Roman" w:cs="Times New Roman"/>
          <w:sz w:val="20"/>
          <w:szCs w:val="20"/>
        </w:rPr>
        <w:t>). A narrow beam of light was used under low lighting to avoid inducing constriction of the pupils. The patient was asked to look in the direction of the mirror to help visualize the angle, especially if their iris was tilted forward.</w:t>
      </w:r>
      <w:r w:rsidR="005824CB">
        <w:rPr>
          <w:rFonts w:ascii="Times New Roman" w:eastAsiaTheme="minorHAnsi" w:hAnsi="Times New Roman" w:cs="Times New Roman"/>
          <w:sz w:val="20"/>
          <w:szCs w:val="20"/>
        </w:rPr>
        <w:t xml:space="preserve"> T</w:t>
      </w:r>
      <w:r w:rsidRPr="00437B40">
        <w:rPr>
          <w:rFonts w:ascii="Times New Roman" w:eastAsiaTheme="minorHAnsi" w:hAnsi="Times New Roman" w:cs="Times New Roman"/>
          <w:sz w:val="20"/>
          <w:szCs w:val="20"/>
        </w:rPr>
        <w:t>he angles</w:t>
      </w:r>
      <w:r w:rsidR="005824CB">
        <w:rPr>
          <w:rFonts w:ascii="Times New Roman" w:eastAsiaTheme="minorHAnsi" w:hAnsi="Times New Roman" w:cs="Times New Roman"/>
          <w:sz w:val="20"/>
          <w:szCs w:val="20"/>
        </w:rPr>
        <w:t xml:space="preserve"> were measured</w:t>
      </w:r>
      <w:r w:rsidRPr="00437B40">
        <w:rPr>
          <w:rFonts w:ascii="Times New Roman" w:eastAsiaTheme="minorHAnsi" w:hAnsi="Times New Roman" w:cs="Times New Roman"/>
          <w:sz w:val="20"/>
          <w:szCs w:val="20"/>
        </w:rPr>
        <w:t xml:space="preserve"> according to Shaffer's classification. Peripheral anterior synechiae (PAS) were noted if present. Indentation gonioscopy was not performed </w:t>
      </w:r>
      <w:r w:rsidR="005824CB" w:rsidRPr="005824CB">
        <w:rPr>
          <w:rFonts w:ascii="Times New Roman" w:eastAsiaTheme="minorHAnsi" w:hAnsi="Times New Roman" w:cs="Times New Roman"/>
          <w:sz w:val="20"/>
          <w:szCs w:val="20"/>
        </w:rPr>
        <w:t>as the purpose was solely to measure</w:t>
      </w:r>
      <w:r w:rsidRPr="00437B40">
        <w:rPr>
          <w:rFonts w:ascii="Times New Roman" w:eastAsiaTheme="minorHAnsi" w:hAnsi="Times New Roman" w:cs="Times New Roman"/>
          <w:sz w:val="20"/>
          <w:szCs w:val="20"/>
        </w:rPr>
        <w:t xml:space="preserve"> the width of the angle—not if it was a temporary or permanent closure.</w:t>
      </w:r>
      <w:r w:rsidR="00965424">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 xml:space="preserve">UBM was carried out on the same day using a Humphrey-Zeiss UBM 840 device and a 50-MHz probe. The patient was in a flat position for </w:t>
      </w:r>
      <w:r w:rsidR="00965424">
        <w:rPr>
          <w:rFonts w:ascii="Times New Roman" w:eastAsiaTheme="minorHAnsi" w:hAnsi="Times New Roman" w:cs="Times New Roman"/>
          <w:sz w:val="20"/>
          <w:szCs w:val="20"/>
        </w:rPr>
        <w:t>the test. A</w:t>
      </w:r>
      <w:r w:rsidRPr="00437B40">
        <w:rPr>
          <w:rFonts w:ascii="Times New Roman" w:eastAsiaTheme="minorHAnsi" w:hAnsi="Times New Roman" w:cs="Times New Roman"/>
          <w:sz w:val="20"/>
          <w:szCs w:val="20"/>
        </w:rPr>
        <w:t>n immersion method</w:t>
      </w:r>
      <w:r w:rsidR="00965424">
        <w:rPr>
          <w:rFonts w:ascii="Times New Roman" w:eastAsiaTheme="minorHAnsi" w:hAnsi="Times New Roman" w:cs="Times New Roman"/>
          <w:sz w:val="20"/>
          <w:szCs w:val="20"/>
        </w:rPr>
        <w:t xml:space="preserve"> was used</w:t>
      </w:r>
      <w:r w:rsidRPr="00437B40">
        <w:rPr>
          <w:rFonts w:ascii="Times New Roman" w:eastAsiaTheme="minorHAnsi" w:hAnsi="Times New Roman" w:cs="Times New Roman"/>
          <w:sz w:val="20"/>
          <w:szCs w:val="20"/>
        </w:rPr>
        <w:t>—in placing a silicon cup filled with distilled water on the eye (after anesthesia) in order n</w:t>
      </w:r>
      <w:r w:rsidR="00965424">
        <w:rPr>
          <w:rFonts w:ascii="Times New Roman" w:eastAsiaTheme="minorHAnsi" w:hAnsi="Times New Roman" w:cs="Times New Roman"/>
          <w:sz w:val="20"/>
          <w:szCs w:val="20"/>
        </w:rPr>
        <w:t>ot to compress the eyeball. Scanning of</w:t>
      </w:r>
      <w:r w:rsidRPr="00437B40">
        <w:rPr>
          <w:rFonts w:ascii="Times New Roman" w:eastAsiaTheme="minorHAnsi" w:hAnsi="Times New Roman" w:cs="Times New Roman"/>
          <w:sz w:val="20"/>
          <w:szCs w:val="20"/>
        </w:rPr>
        <w:t xml:space="preserve"> the four quadrants: superior,</w:t>
      </w:r>
      <w:r w:rsidR="00965424">
        <w:rPr>
          <w:rFonts w:ascii="Times New Roman" w:eastAsiaTheme="minorHAnsi" w:hAnsi="Times New Roman" w:cs="Times New Roman"/>
          <w:sz w:val="20"/>
          <w:szCs w:val="20"/>
        </w:rPr>
        <w:t xml:space="preserve"> inferior, nasal, and temporal took place </w:t>
      </w:r>
      <w:r w:rsidRPr="00437B40">
        <w:rPr>
          <w:rFonts w:ascii="Times New Roman" w:eastAsiaTheme="minorHAnsi" w:hAnsi="Times New Roman" w:cs="Times New Roman"/>
          <w:sz w:val="20"/>
          <w:szCs w:val="20"/>
        </w:rPr>
        <w:t>as the patient was focusing on a target.</w:t>
      </w:r>
    </w:p>
    <w:p w14:paraId="00000036" w14:textId="77777777" w:rsidR="006B4221" w:rsidRPr="00AA7130" w:rsidRDefault="004B7046" w:rsidP="00030025">
      <w:pPr>
        <w:pStyle w:val="ListParagraph"/>
        <w:numPr>
          <w:ilvl w:val="0"/>
          <w:numId w:val="6"/>
        </w:numPr>
        <w:spacing w:before="240" w:after="240"/>
        <w:jc w:val="both"/>
        <w:rPr>
          <w:rFonts w:ascii="Times New Roman" w:eastAsiaTheme="minorHAnsi" w:hAnsi="Times New Roman" w:cs="Times New Roman"/>
          <w:sz w:val="20"/>
          <w:szCs w:val="20"/>
        </w:rPr>
      </w:pPr>
      <w:r w:rsidRPr="00AA7130">
        <w:rPr>
          <w:rFonts w:ascii="Times New Roman" w:eastAsiaTheme="minorHAnsi" w:hAnsi="Times New Roman" w:cs="Times New Roman"/>
          <w:sz w:val="20"/>
          <w:szCs w:val="20"/>
        </w:rPr>
        <w:t>Anterior Chamber Depth (ACD): The distance from the inner surface of the cornea to the anterior surface of the lens.</w:t>
      </w:r>
    </w:p>
    <w:p w14:paraId="00000038" w14:textId="77777777" w:rsidR="006B4221" w:rsidRPr="00AA7130" w:rsidRDefault="004B7046" w:rsidP="00030025">
      <w:pPr>
        <w:pStyle w:val="ListParagraph"/>
        <w:numPr>
          <w:ilvl w:val="0"/>
          <w:numId w:val="6"/>
        </w:numPr>
        <w:spacing w:before="240" w:after="240"/>
        <w:jc w:val="both"/>
        <w:rPr>
          <w:rFonts w:ascii="Times New Roman" w:eastAsiaTheme="minorHAnsi" w:hAnsi="Times New Roman" w:cs="Times New Roman"/>
          <w:sz w:val="20"/>
          <w:szCs w:val="20"/>
        </w:rPr>
      </w:pPr>
      <w:r w:rsidRPr="00AA7130">
        <w:rPr>
          <w:rFonts w:ascii="Times New Roman" w:eastAsiaTheme="minorHAnsi" w:hAnsi="Times New Roman" w:cs="Times New Roman"/>
          <w:sz w:val="20"/>
          <w:szCs w:val="20"/>
        </w:rPr>
        <w:t>Angle Opening Distance at 500 µm (AOD 500): The distance from a point 500 microns anterior to the scleral spur to where it intersects the iris.</w:t>
      </w:r>
    </w:p>
    <w:p w14:paraId="0000003A" w14:textId="77777777" w:rsidR="006B4221" w:rsidRPr="00AA7130" w:rsidRDefault="004B7046" w:rsidP="00030025">
      <w:pPr>
        <w:pStyle w:val="ListParagraph"/>
        <w:numPr>
          <w:ilvl w:val="0"/>
          <w:numId w:val="6"/>
        </w:numPr>
        <w:spacing w:before="240" w:after="240"/>
        <w:jc w:val="both"/>
        <w:rPr>
          <w:rFonts w:ascii="Times New Roman" w:eastAsiaTheme="minorHAnsi" w:hAnsi="Times New Roman" w:cs="Times New Roman"/>
          <w:sz w:val="20"/>
          <w:szCs w:val="20"/>
        </w:rPr>
      </w:pPr>
      <w:r w:rsidRPr="00AA7130">
        <w:rPr>
          <w:rFonts w:ascii="Times New Roman" w:eastAsiaTheme="minorHAnsi" w:hAnsi="Times New Roman" w:cs="Times New Roman"/>
          <w:sz w:val="20"/>
          <w:szCs w:val="20"/>
        </w:rPr>
        <w:t>Anterior Chamber Angle (ACA): The angle formed by two lines-one along the trabecular meshwork and one along the iris, both converging at the most apical part of the angle.</w:t>
      </w:r>
    </w:p>
    <w:p w14:paraId="00000047" w14:textId="59D05F21" w:rsidR="006B4221" w:rsidRPr="00DD35A3" w:rsidRDefault="004B7046" w:rsidP="00DD35A3">
      <w:pPr>
        <w:pStyle w:val="NoSpacing"/>
        <w:spacing w:line="276" w:lineRule="auto"/>
        <w:jc w:val="both"/>
        <w:rPr>
          <w:rFonts w:ascii="Times New Roman" w:hAnsi="Times New Roman" w:cs="Times New Roman"/>
          <w:sz w:val="20"/>
          <w:szCs w:val="20"/>
        </w:rPr>
      </w:pPr>
      <w:r w:rsidRPr="00DD35A3">
        <w:rPr>
          <w:rFonts w:ascii="Times New Roman" w:hAnsi="Times New Roman" w:cs="Times New Roman"/>
          <w:sz w:val="20"/>
          <w:szCs w:val="20"/>
        </w:rPr>
        <w:t xml:space="preserve">Angles were described as </w:t>
      </w:r>
      <w:proofErr w:type="spellStart"/>
      <w:r w:rsidRPr="00DD35A3">
        <w:rPr>
          <w:rFonts w:ascii="Times New Roman" w:hAnsi="Times New Roman" w:cs="Times New Roman"/>
          <w:sz w:val="20"/>
          <w:szCs w:val="20"/>
        </w:rPr>
        <w:t>occludable</w:t>
      </w:r>
      <w:proofErr w:type="spellEnd"/>
      <w:r w:rsidRPr="00DD35A3">
        <w:rPr>
          <w:rFonts w:ascii="Times New Roman" w:hAnsi="Times New Roman" w:cs="Times New Roman"/>
          <w:sz w:val="20"/>
          <w:szCs w:val="20"/>
        </w:rPr>
        <w:t xml:space="preserve"> </w:t>
      </w:r>
      <w:r w:rsidR="005824CB" w:rsidRPr="00DD35A3">
        <w:rPr>
          <w:rFonts w:ascii="Times New Roman" w:hAnsi="Times New Roman" w:cs="Times New Roman"/>
          <w:sz w:val="20"/>
          <w:szCs w:val="20"/>
        </w:rPr>
        <w:t>if the ACA was 20° or less, and</w:t>
      </w:r>
      <w:r w:rsidRPr="00DD35A3">
        <w:rPr>
          <w:rFonts w:ascii="Times New Roman" w:hAnsi="Times New Roman" w:cs="Times New Roman"/>
          <w:sz w:val="20"/>
          <w:szCs w:val="20"/>
        </w:rPr>
        <w:t xml:space="preserve"> the grading from the Shaffer system</w:t>
      </w:r>
      <w:r w:rsidR="005824CB" w:rsidRPr="00DD35A3">
        <w:rPr>
          <w:rFonts w:ascii="Times New Roman" w:hAnsi="Times New Roman" w:cs="Times New Roman"/>
          <w:sz w:val="20"/>
          <w:szCs w:val="20"/>
        </w:rPr>
        <w:t xml:space="preserve"> was altered</w:t>
      </w:r>
      <w:r w:rsidRPr="00DD35A3">
        <w:rPr>
          <w:rFonts w:ascii="Times New Roman" w:hAnsi="Times New Roman" w:cs="Times New Roman"/>
          <w:sz w:val="20"/>
          <w:szCs w:val="20"/>
        </w:rPr>
        <w:t>.</w:t>
      </w:r>
      <w:r w:rsidR="00AA7130" w:rsidRPr="00DD35A3">
        <w:rPr>
          <w:rFonts w:ascii="Times New Roman" w:hAnsi="Times New Roman" w:cs="Times New Roman"/>
          <w:sz w:val="20"/>
          <w:szCs w:val="20"/>
        </w:rPr>
        <w:t xml:space="preserve"> A</w:t>
      </w:r>
      <w:r w:rsidRPr="00DD35A3">
        <w:rPr>
          <w:rFonts w:ascii="Times New Roman" w:hAnsi="Times New Roman" w:cs="Times New Roman"/>
          <w:sz w:val="20"/>
          <w:szCs w:val="20"/>
        </w:rPr>
        <w:t xml:space="preserve"> pre-designed questionnaire</w:t>
      </w:r>
      <w:r w:rsidR="00AA7130" w:rsidRPr="00DD35A3">
        <w:rPr>
          <w:rFonts w:ascii="Times New Roman" w:hAnsi="Times New Roman" w:cs="Times New Roman"/>
          <w:sz w:val="20"/>
          <w:szCs w:val="20"/>
        </w:rPr>
        <w:t xml:space="preserve"> was used</w:t>
      </w:r>
      <w:r w:rsidRPr="00DD35A3">
        <w:rPr>
          <w:rFonts w:ascii="Times New Roman" w:hAnsi="Times New Roman" w:cs="Times New Roman"/>
          <w:sz w:val="20"/>
          <w:szCs w:val="20"/>
        </w:rPr>
        <w:t xml:space="preserve"> to obtain demographic and clinical data. Data were coded and inputted in Microsoft Excel, and analyzed with the aid of SPSS version </w:t>
      </w:r>
      <w:proofErr w:type="gramStart"/>
      <w:r w:rsidRPr="00DD35A3">
        <w:rPr>
          <w:rFonts w:ascii="Times New Roman" w:hAnsi="Times New Roman" w:cs="Times New Roman"/>
          <w:sz w:val="20"/>
          <w:szCs w:val="20"/>
        </w:rPr>
        <w:t>25.Continuous</w:t>
      </w:r>
      <w:proofErr w:type="gramEnd"/>
      <w:r w:rsidRPr="00DD35A3">
        <w:rPr>
          <w:rFonts w:ascii="Times New Roman" w:hAnsi="Times New Roman" w:cs="Times New Roman"/>
          <w:sz w:val="20"/>
          <w:szCs w:val="20"/>
        </w:rPr>
        <w:t xml:space="preserve"> data were presented as mean ± standard deviation (SD)</w:t>
      </w:r>
      <w:r w:rsidR="00AA7130" w:rsidRPr="00DD35A3">
        <w:rPr>
          <w:rFonts w:ascii="Times New Roman" w:hAnsi="Times New Roman" w:cs="Times New Roman"/>
          <w:sz w:val="20"/>
          <w:szCs w:val="20"/>
        </w:rPr>
        <w:t xml:space="preserve">. </w:t>
      </w:r>
      <w:r w:rsidRPr="00DD35A3">
        <w:rPr>
          <w:rFonts w:ascii="Times New Roman" w:hAnsi="Times New Roman" w:cs="Times New Roman"/>
          <w:sz w:val="20"/>
          <w:szCs w:val="20"/>
        </w:rPr>
        <w:t>Categorical data were presented as percentages and frequencies</w:t>
      </w:r>
      <w:r w:rsidR="00AA7130" w:rsidRPr="00DD35A3">
        <w:rPr>
          <w:rFonts w:ascii="Times New Roman" w:hAnsi="Times New Roman" w:cs="Times New Roman"/>
          <w:sz w:val="20"/>
          <w:szCs w:val="20"/>
        </w:rPr>
        <w:t>. The study</w:t>
      </w:r>
      <w:r w:rsidRPr="00DD35A3">
        <w:rPr>
          <w:rFonts w:ascii="Times New Roman" w:hAnsi="Times New Roman" w:cs="Times New Roman"/>
          <w:sz w:val="20"/>
          <w:szCs w:val="20"/>
        </w:rPr>
        <w:t xml:space="preserve"> calculated the sensitivity and specificity of UBM compared to gonioscopy in each eye quadrant</w:t>
      </w:r>
      <w:r w:rsidR="00AA7130" w:rsidRPr="00DD35A3">
        <w:rPr>
          <w:rFonts w:ascii="Times New Roman" w:hAnsi="Times New Roman" w:cs="Times New Roman"/>
          <w:sz w:val="20"/>
          <w:szCs w:val="20"/>
        </w:rPr>
        <w:t xml:space="preserve">. </w:t>
      </w:r>
      <w:r w:rsidRPr="00DD35A3">
        <w:rPr>
          <w:rFonts w:ascii="Times New Roman" w:hAnsi="Times New Roman" w:cs="Times New Roman"/>
          <w:sz w:val="20"/>
          <w:szCs w:val="20"/>
        </w:rPr>
        <w:t>A p-value of less than 0.05 was considered statistically significant</w:t>
      </w:r>
      <w:r w:rsidR="00AA7130" w:rsidRPr="00DD35A3">
        <w:rPr>
          <w:rFonts w:ascii="Times New Roman" w:hAnsi="Times New Roman" w:cs="Times New Roman"/>
          <w:sz w:val="20"/>
          <w:szCs w:val="20"/>
        </w:rPr>
        <w:t xml:space="preserve">. </w:t>
      </w:r>
    </w:p>
    <w:p w14:paraId="0000004A" w14:textId="77777777" w:rsidR="006B4221" w:rsidRPr="00DD35A3" w:rsidRDefault="004B7046" w:rsidP="00DD35A3">
      <w:pPr>
        <w:pStyle w:val="NoSpacing"/>
        <w:spacing w:line="276" w:lineRule="auto"/>
        <w:jc w:val="both"/>
        <w:rPr>
          <w:rFonts w:ascii="Times New Roman" w:hAnsi="Times New Roman" w:cs="Times New Roman"/>
          <w:sz w:val="20"/>
          <w:szCs w:val="20"/>
        </w:rPr>
      </w:pPr>
      <w:r w:rsidRPr="00DD35A3">
        <w:rPr>
          <w:rFonts w:ascii="Times New Roman" w:hAnsi="Times New Roman" w:cs="Times New Roman"/>
          <w:sz w:val="20"/>
          <w:szCs w:val="20"/>
        </w:rPr>
        <w:t>The study was approved by the NIO&amp;H Ethical Committee. Written informed consent was obtained from patients before recruitment. No extra or risky interventions were done in addition to normal care. There was no payment to participants, and their data were kept anonymously using ID codes and safe storage of data.</w:t>
      </w:r>
    </w:p>
    <w:p w14:paraId="7AE75A5E" w14:textId="77777777" w:rsidR="002B0FE1" w:rsidRDefault="002B0FE1" w:rsidP="002B0FE1">
      <w:pPr>
        <w:pStyle w:val="NoSpacing"/>
        <w:rPr>
          <w:rFonts w:ascii="Times New Roman" w:hAnsi="Times New Roman" w:cs="Times New Roman"/>
          <w:b/>
          <w:bCs/>
          <w:sz w:val="20"/>
          <w:szCs w:val="20"/>
        </w:rPr>
      </w:pPr>
      <w:bookmarkStart w:id="2" w:name="_13kmj6cvwg3q" w:colFirst="0" w:colLast="0"/>
      <w:bookmarkEnd w:id="2"/>
    </w:p>
    <w:p w14:paraId="0000004D" w14:textId="7DB098EB" w:rsidR="006B4221" w:rsidRPr="002B0FE1" w:rsidRDefault="00AA7130" w:rsidP="002B0FE1">
      <w:pPr>
        <w:pStyle w:val="NoSpacing"/>
        <w:rPr>
          <w:rFonts w:ascii="Times New Roman" w:hAnsi="Times New Roman" w:cs="Times New Roman"/>
          <w:b/>
          <w:bCs/>
          <w:sz w:val="20"/>
          <w:szCs w:val="20"/>
        </w:rPr>
      </w:pPr>
      <w:r w:rsidRPr="002B0FE1">
        <w:rPr>
          <w:rFonts w:ascii="Times New Roman" w:hAnsi="Times New Roman" w:cs="Times New Roman"/>
          <w:b/>
          <w:bCs/>
          <w:sz w:val="20"/>
          <w:szCs w:val="20"/>
        </w:rPr>
        <w:t xml:space="preserve">RESULTS </w:t>
      </w:r>
    </w:p>
    <w:p w14:paraId="4B9FEEF9" w14:textId="26966859" w:rsidR="006D1F4D" w:rsidRDefault="004B7046" w:rsidP="00030025">
      <w:pPr>
        <w:spacing w:before="240" w:after="240"/>
        <w:jc w:val="both"/>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lastRenderedPageBreak/>
        <w:t>A total of 30 patients with suspected narrow angles were included in the final analysis. The mean age of the participants was 57.93 ± 6.65 years, ranging from 48 to 75 years.</w:t>
      </w:r>
      <w:r w:rsidR="006D1F4D">
        <w:rPr>
          <w:rFonts w:ascii="Times New Roman" w:eastAsiaTheme="minorHAnsi" w:hAnsi="Times New Roman" w:cs="Times New Roman"/>
          <w:sz w:val="20"/>
          <w:szCs w:val="20"/>
        </w:rPr>
        <w:t xml:space="preserve"> </w:t>
      </w:r>
      <w:r w:rsidR="006D1F4D" w:rsidRPr="00437B40">
        <w:rPr>
          <w:rFonts w:ascii="Times New Roman" w:eastAsiaTheme="minorHAnsi" w:hAnsi="Times New Roman" w:cs="Times New Roman"/>
          <w:sz w:val="20"/>
          <w:szCs w:val="20"/>
        </w:rPr>
        <w:t>The majority (33.3%) were within the 48–52 years age group, followed by 30.0% in the 58–62 years group, and 16.7% in the 53–57 years group. Only 6.7% were aged 68 or above.</w:t>
      </w:r>
      <w:r w:rsidR="006D1F4D">
        <w:rPr>
          <w:rFonts w:ascii="Times New Roman" w:eastAsiaTheme="minorHAnsi" w:hAnsi="Times New Roman" w:cs="Times New Roman"/>
          <w:sz w:val="20"/>
          <w:szCs w:val="20"/>
        </w:rPr>
        <w:t xml:space="preserve"> O</w:t>
      </w:r>
      <w:r w:rsidR="006D1F4D" w:rsidRPr="00437B40">
        <w:rPr>
          <w:rFonts w:ascii="Times New Roman" w:eastAsiaTheme="minorHAnsi" w:hAnsi="Times New Roman" w:cs="Times New Roman"/>
          <w:sz w:val="20"/>
          <w:szCs w:val="20"/>
        </w:rPr>
        <w:t>ut of the 30 patients, 63.3% (n=19) were female, and 36.7% (n=11) were male. Regarding the laterality of the affected eye, 53.3% (n=16) had narrow angles in the right eye, while 46.7% (n=14) were affected in the left eye.</w:t>
      </w:r>
      <w:bookmarkStart w:id="3" w:name="_p46o2cq1z4k8" w:colFirst="0" w:colLast="0"/>
      <w:bookmarkEnd w:id="3"/>
      <w:r w:rsidR="006D1F4D">
        <w:rPr>
          <w:rFonts w:ascii="Times New Roman" w:eastAsiaTheme="minorHAnsi" w:hAnsi="Times New Roman" w:cs="Times New Roman"/>
          <w:sz w:val="20"/>
          <w:szCs w:val="20"/>
        </w:rPr>
        <w:t xml:space="preserve"> </w:t>
      </w:r>
      <w:r w:rsidR="006D1F4D" w:rsidRPr="00437B40">
        <w:rPr>
          <w:rFonts w:ascii="Times New Roman" w:eastAsiaTheme="minorHAnsi" w:hAnsi="Times New Roman" w:cs="Times New Roman"/>
          <w:sz w:val="20"/>
          <w:szCs w:val="20"/>
        </w:rPr>
        <w:t>Using gonioscopy, the majority of eyes had Grade 2 angles across all quadrants: 40.0% in the superior, 40.0% in the inferior, 53.3% in the nasal, and 53.3% in the temporal quadrants. Slit-like angles were observed in 6.7% to 20% of quadrants. Grades 3 and 4 were less common, and no superior quadrant had Grade 4 angles.</w:t>
      </w:r>
      <w:bookmarkStart w:id="4" w:name="_ad62v2p7n9he" w:colFirst="0" w:colLast="0"/>
      <w:bookmarkEnd w:id="4"/>
      <w:r w:rsidR="006D1F4D">
        <w:rPr>
          <w:rFonts w:ascii="Times New Roman" w:eastAsiaTheme="minorHAnsi" w:hAnsi="Times New Roman" w:cs="Times New Roman"/>
          <w:sz w:val="20"/>
          <w:szCs w:val="20"/>
        </w:rPr>
        <w:t xml:space="preserve"> </w:t>
      </w:r>
      <w:r w:rsidR="006D1F4D" w:rsidRPr="00437B40">
        <w:rPr>
          <w:rFonts w:ascii="Times New Roman" w:eastAsiaTheme="minorHAnsi" w:hAnsi="Times New Roman" w:cs="Times New Roman"/>
          <w:sz w:val="20"/>
          <w:szCs w:val="20"/>
        </w:rPr>
        <w:t>Measurement of anterior chamber angle (ACA) by UBM revealed that most patients had angles between 110–200 µm in all quadrants—53.3% in superior, 40.0% in inferior, 53.3% in nasal, and 80.0% in temporal quadrants. A small proportion had very narrow angles (≤50 µm), particularly in the superior and inferior quadrants (13.3% each).</w:t>
      </w:r>
      <w:r w:rsidR="006D1F4D">
        <w:rPr>
          <w:rFonts w:ascii="Times New Roman" w:eastAsiaTheme="minorHAnsi" w:hAnsi="Times New Roman" w:cs="Times New Roman"/>
          <w:sz w:val="20"/>
          <w:szCs w:val="20"/>
        </w:rPr>
        <w:t xml:space="preserve"> </w:t>
      </w:r>
      <w:r w:rsidR="006D1F4D" w:rsidRPr="00437B40">
        <w:rPr>
          <w:rFonts w:ascii="Times New Roman" w:eastAsiaTheme="minorHAnsi" w:hAnsi="Times New Roman" w:cs="Times New Roman"/>
          <w:sz w:val="20"/>
          <w:szCs w:val="20"/>
        </w:rPr>
        <w:t xml:space="preserve">When comparing the two modalities, UBM showed high sensitivity and specificity in detecting </w:t>
      </w:r>
      <w:proofErr w:type="spellStart"/>
      <w:r w:rsidR="006D1F4D" w:rsidRPr="00437B40">
        <w:rPr>
          <w:rFonts w:ascii="Times New Roman" w:eastAsiaTheme="minorHAnsi" w:hAnsi="Times New Roman" w:cs="Times New Roman"/>
          <w:sz w:val="20"/>
          <w:szCs w:val="20"/>
        </w:rPr>
        <w:t>occludable</w:t>
      </w:r>
      <w:proofErr w:type="spellEnd"/>
      <w:r w:rsidR="006D1F4D" w:rsidRPr="00437B40">
        <w:rPr>
          <w:rFonts w:ascii="Times New Roman" w:eastAsiaTheme="minorHAnsi" w:hAnsi="Times New Roman" w:cs="Times New Roman"/>
          <w:sz w:val="20"/>
          <w:szCs w:val="20"/>
        </w:rPr>
        <w:t xml:space="preserve"> angles. In the superior quadrant, UBM had 100.0% sensitivity and 66.7% specificity. In the inferior and nasal quadrants, sensitivity was 91.7% and 92.8%, respectively, both with 100.0% specificity. The temporal quadrant showed 100.0% sensitivity and 50.0% specificity. The overall diagnostic accuracy of UBM in all quadrants was 93.3%.</w:t>
      </w:r>
      <w:r w:rsidR="006D1F4D">
        <w:rPr>
          <w:rFonts w:ascii="Times New Roman" w:eastAsiaTheme="minorHAnsi" w:hAnsi="Times New Roman" w:cs="Times New Roman"/>
          <w:sz w:val="20"/>
          <w:szCs w:val="20"/>
        </w:rPr>
        <w:t xml:space="preserve"> </w:t>
      </w:r>
      <w:r w:rsidR="006D1F4D" w:rsidRPr="006D1F4D">
        <w:rPr>
          <w:rFonts w:ascii="Times New Roman" w:eastAsiaTheme="minorHAnsi" w:hAnsi="Times New Roman" w:cs="Times New Roman"/>
          <w:sz w:val="20"/>
          <w:szCs w:val="20"/>
        </w:rPr>
        <w:t xml:space="preserve">The quadrant-wise comparison between gonioscopy and UBM in detecting </w:t>
      </w:r>
      <w:proofErr w:type="spellStart"/>
      <w:r w:rsidR="006D1F4D" w:rsidRPr="006D1F4D">
        <w:rPr>
          <w:rFonts w:ascii="Times New Roman" w:eastAsiaTheme="minorHAnsi" w:hAnsi="Times New Roman" w:cs="Times New Roman"/>
          <w:sz w:val="20"/>
          <w:szCs w:val="20"/>
        </w:rPr>
        <w:t>o</w:t>
      </w:r>
      <w:r w:rsidR="006D1F4D">
        <w:rPr>
          <w:rFonts w:ascii="Times New Roman" w:eastAsiaTheme="minorHAnsi" w:hAnsi="Times New Roman" w:cs="Times New Roman"/>
          <w:sz w:val="20"/>
          <w:szCs w:val="20"/>
        </w:rPr>
        <w:t>ccludable</w:t>
      </w:r>
      <w:proofErr w:type="spellEnd"/>
      <w:r w:rsidR="006D1F4D">
        <w:rPr>
          <w:rFonts w:ascii="Times New Roman" w:eastAsiaTheme="minorHAnsi" w:hAnsi="Times New Roman" w:cs="Times New Roman"/>
          <w:sz w:val="20"/>
          <w:szCs w:val="20"/>
        </w:rPr>
        <w:t xml:space="preserve"> angles is as follows:</w:t>
      </w:r>
    </w:p>
    <w:p w14:paraId="23F4E4B1" w14:textId="3282F167" w:rsidR="006D1F4D" w:rsidRPr="00437B40" w:rsidRDefault="006D1F4D" w:rsidP="006D1F4D">
      <w:pPr>
        <w:numPr>
          <w:ilvl w:val="0"/>
          <w:numId w:val="2"/>
        </w:numPr>
        <w:spacing w:before="240"/>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 xml:space="preserve">In the superior quadrant, gonioscopy identified 80.0% as </w:t>
      </w:r>
      <w:proofErr w:type="spellStart"/>
      <w:r w:rsidRPr="00437B40">
        <w:rPr>
          <w:rFonts w:ascii="Times New Roman" w:eastAsiaTheme="minorHAnsi" w:hAnsi="Times New Roman" w:cs="Times New Roman"/>
          <w:sz w:val="20"/>
          <w:szCs w:val="20"/>
        </w:rPr>
        <w:t>occludable</w:t>
      </w:r>
      <w:proofErr w:type="spellEnd"/>
      <w:r w:rsidRPr="00437B40">
        <w:rPr>
          <w:rFonts w:ascii="Times New Roman" w:eastAsiaTheme="minorHAnsi" w:hAnsi="Times New Roman" w:cs="Times New Roman"/>
          <w:sz w:val="20"/>
          <w:szCs w:val="20"/>
        </w:rPr>
        <w:t xml:space="preserve">, while UBM </w:t>
      </w:r>
      <w:r>
        <w:rPr>
          <w:rFonts w:ascii="Times New Roman" w:eastAsiaTheme="minorHAnsi" w:hAnsi="Times New Roman" w:cs="Times New Roman"/>
          <w:sz w:val="20"/>
          <w:szCs w:val="20"/>
        </w:rPr>
        <w:t>detected 86.7%.</w:t>
      </w:r>
    </w:p>
    <w:p w14:paraId="04F61905" w14:textId="69ECA7EF" w:rsidR="006D1F4D" w:rsidRPr="00437B40" w:rsidRDefault="006D1F4D" w:rsidP="006D1F4D">
      <w:pPr>
        <w:numPr>
          <w:ilvl w:val="0"/>
          <w:numId w:val="2"/>
        </w:num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 xml:space="preserve">In the inferior quadrant, 80.0% were </w:t>
      </w:r>
      <w:proofErr w:type="spellStart"/>
      <w:r w:rsidRPr="00437B40">
        <w:rPr>
          <w:rFonts w:ascii="Times New Roman" w:eastAsiaTheme="minorHAnsi" w:hAnsi="Times New Roman" w:cs="Times New Roman"/>
          <w:sz w:val="20"/>
          <w:szCs w:val="20"/>
        </w:rPr>
        <w:t>occludable</w:t>
      </w:r>
      <w:proofErr w:type="spellEnd"/>
      <w:r w:rsidRPr="00437B40">
        <w:rPr>
          <w:rFonts w:ascii="Times New Roman" w:eastAsiaTheme="minorHAnsi" w:hAnsi="Times New Roman" w:cs="Times New Roman"/>
          <w:sz w:val="20"/>
          <w:szCs w:val="20"/>
        </w:rPr>
        <w:t xml:space="preserve"> by </w:t>
      </w:r>
      <w:r>
        <w:rPr>
          <w:rFonts w:ascii="Times New Roman" w:eastAsiaTheme="minorHAnsi" w:hAnsi="Times New Roman" w:cs="Times New Roman"/>
          <w:sz w:val="20"/>
          <w:szCs w:val="20"/>
        </w:rPr>
        <w:t>gonioscopy versus 73.3% by UBM.</w:t>
      </w:r>
    </w:p>
    <w:p w14:paraId="4E69C235" w14:textId="77777777" w:rsidR="006D1F4D" w:rsidRDefault="006D1F4D" w:rsidP="006D1F4D">
      <w:pPr>
        <w:numPr>
          <w:ilvl w:val="0"/>
          <w:numId w:val="2"/>
        </w:num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 xml:space="preserve">In the nasal quadrant, 93.3% were </w:t>
      </w:r>
      <w:proofErr w:type="spellStart"/>
      <w:r w:rsidRPr="00437B40">
        <w:rPr>
          <w:rFonts w:ascii="Times New Roman" w:eastAsiaTheme="minorHAnsi" w:hAnsi="Times New Roman" w:cs="Times New Roman"/>
          <w:sz w:val="20"/>
          <w:szCs w:val="20"/>
        </w:rPr>
        <w:t>occludable</w:t>
      </w:r>
      <w:proofErr w:type="spellEnd"/>
      <w:r w:rsidRPr="00437B40">
        <w:rPr>
          <w:rFonts w:ascii="Times New Roman" w:eastAsiaTheme="minorHAnsi" w:hAnsi="Times New Roman" w:cs="Times New Roman"/>
          <w:sz w:val="20"/>
          <w:szCs w:val="20"/>
        </w:rPr>
        <w:t xml:space="preserve"> by gonio</w:t>
      </w:r>
      <w:r>
        <w:rPr>
          <w:rFonts w:ascii="Times New Roman" w:eastAsiaTheme="minorHAnsi" w:hAnsi="Times New Roman" w:cs="Times New Roman"/>
          <w:sz w:val="20"/>
          <w:szCs w:val="20"/>
        </w:rPr>
        <w:t>scopy compared to 86.7% by UBM.</w:t>
      </w:r>
    </w:p>
    <w:p w14:paraId="580BF491" w14:textId="7E6F26B9" w:rsidR="006D1F4D" w:rsidRPr="006D1F4D" w:rsidRDefault="006D1F4D" w:rsidP="006D1F4D">
      <w:pPr>
        <w:numPr>
          <w:ilvl w:val="0"/>
          <w:numId w:val="2"/>
        </w:numPr>
        <w:rPr>
          <w:rFonts w:ascii="Times New Roman" w:eastAsiaTheme="minorHAnsi" w:hAnsi="Times New Roman" w:cs="Times New Roman"/>
          <w:sz w:val="20"/>
          <w:szCs w:val="20"/>
        </w:rPr>
      </w:pPr>
      <w:r w:rsidRPr="006D1F4D">
        <w:rPr>
          <w:rFonts w:ascii="Times New Roman" w:eastAsiaTheme="minorHAnsi" w:hAnsi="Times New Roman" w:cs="Times New Roman"/>
          <w:sz w:val="20"/>
          <w:szCs w:val="20"/>
        </w:rPr>
        <w:t xml:space="preserve">In the temporal quadrant, UBM classified 93.3% as </w:t>
      </w:r>
      <w:proofErr w:type="spellStart"/>
      <w:r w:rsidRPr="006D1F4D">
        <w:rPr>
          <w:rFonts w:ascii="Times New Roman" w:eastAsiaTheme="minorHAnsi" w:hAnsi="Times New Roman" w:cs="Times New Roman"/>
          <w:sz w:val="20"/>
          <w:szCs w:val="20"/>
        </w:rPr>
        <w:t>occludable</w:t>
      </w:r>
      <w:proofErr w:type="spellEnd"/>
      <w:r w:rsidRPr="006D1F4D">
        <w:rPr>
          <w:rFonts w:ascii="Times New Roman" w:eastAsiaTheme="minorHAnsi" w:hAnsi="Times New Roman" w:cs="Times New Roman"/>
          <w:sz w:val="20"/>
          <w:szCs w:val="20"/>
        </w:rPr>
        <w:t>, slightly higher than the 86.7% identified by gonioscopy.</w:t>
      </w:r>
    </w:p>
    <w:p w14:paraId="74602BF4" w14:textId="77777777" w:rsidR="006D1F4D" w:rsidRPr="00437B40" w:rsidRDefault="006D1F4D" w:rsidP="00030025">
      <w:pPr>
        <w:spacing w:before="240" w:after="240"/>
        <w:jc w:val="both"/>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Regarding anterior chamber depth (ACD), 33.3% (n=10) of patients had a depth of ≤2 mm, while 66.7% (n=20) had depths &gt;2 mm. The mean ACD was 2.04 ± 0.44 mm, with a range from 0.89 mm to 2.48 mm.</w:t>
      </w:r>
      <w:r>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The mean AOD 500 measured by UBM was:</w:t>
      </w:r>
    </w:p>
    <w:p w14:paraId="288322CF" w14:textId="4558A859" w:rsidR="006D1F4D" w:rsidRPr="00437B40" w:rsidRDefault="006D1F4D" w:rsidP="006D1F4D">
      <w:pPr>
        <w:numPr>
          <w:ilvl w:val="0"/>
          <w:numId w:val="4"/>
        </w:numPr>
        <w:spacing w:before="240"/>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108.07 ± 56.93 µm (superior)</w:t>
      </w:r>
    </w:p>
    <w:p w14:paraId="49DB19B8" w14:textId="753F44E8" w:rsidR="006D1F4D" w:rsidRPr="00437B40" w:rsidRDefault="006D1F4D" w:rsidP="006D1F4D">
      <w:pPr>
        <w:numPr>
          <w:ilvl w:val="0"/>
          <w:numId w:val="4"/>
        </w:num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128.87 ± 50.92 µm (inferior)</w:t>
      </w:r>
    </w:p>
    <w:p w14:paraId="75767C5C" w14:textId="17436BAC" w:rsidR="006D1F4D" w:rsidRPr="00437B40" w:rsidRDefault="006D1F4D" w:rsidP="006D1F4D">
      <w:pPr>
        <w:numPr>
          <w:ilvl w:val="0"/>
          <w:numId w:val="4"/>
        </w:num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113.13 ± 45.90 µm (nasal)</w:t>
      </w:r>
    </w:p>
    <w:p w14:paraId="5D8DD16D" w14:textId="643B1F20" w:rsidR="006D1F4D" w:rsidRDefault="006D1F4D" w:rsidP="006D1F4D">
      <w:pPr>
        <w:numPr>
          <w:ilvl w:val="0"/>
          <w:numId w:val="4"/>
        </w:numPr>
        <w:spacing w:after="240"/>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117.33 ± 51.72 µm (temporal)</w:t>
      </w:r>
    </w:p>
    <w:p w14:paraId="0BDA864C" w14:textId="77777777" w:rsidR="006D1F4D" w:rsidRPr="00437B40" w:rsidRDefault="006D1F4D" w:rsidP="00030025">
      <w:pPr>
        <w:spacing w:before="240" w:after="240"/>
        <w:jc w:val="both"/>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The comparison of mean ACA grades between gonioscopy and UBM across all quadrants showed no statistically significant difference (p &gt; 0.05 in all cases), indicating close agreement between the two methods:</w:t>
      </w:r>
    </w:p>
    <w:p w14:paraId="595ECEF9" w14:textId="108674D6" w:rsidR="006D1F4D" w:rsidRPr="00437B40" w:rsidRDefault="006D1F4D" w:rsidP="006D1F4D">
      <w:pPr>
        <w:numPr>
          <w:ilvl w:val="0"/>
          <w:numId w:val="1"/>
        </w:numPr>
        <w:spacing w:before="240"/>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Superior: p = 0.210</w:t>
      </w:r>
    </w:p>
    <w:p w14:paraId="25371D98" w14:textId="113CF6EF" w:rsidR="006D1F4D" w:rsidRPr="00437B40" w:rsidRDefault="006D1F4D" w:rsidP="006D1F4D">
      <w:pPr>
        <w:numPr>
          <w:ilvl w:val="0"/>
          <w:numId w:val="1"/>
        </w:num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Inferior: p = 0.703</w:t>
      </w:r>
    </w:p>
    <w:p w14:paraId="4E7722B7" w14:textId="6AD9E359" w:rsidR="006D1F4D" w:rsidRPr="00437B40" w:rsidRDefault="006D1F4D" w:rsidP="006D1F4D">
      <w:pPr>
        <w:numPr>
          <w:ilvl w:val="0"/>
          <w:numId w:val="1"/>
        </w:num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Nasal: p = 0.497</w:t>
      </w:r>
    </w:p>
    <w:p w14:paraId="01FE742C" w14:textId="464F1F4F" w:rsidR="006D1F4D" w:rsidRPr="002B0FE1" w:rsidRDefault="006D1F4D" w:rsidP="00030025">
      <w:pPr>
        <w:numPr>
          <w:ilvl w:val="0"/>
          <w:numId w:val="1"/>
        </w:numPr>
        <w:spacing w:after="240"/>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Temporal: p = 0.534</w:t>
      </w:r>
    </w:p>
    <w:p w14:paraId="052117B1" w14:textId="14251F0B" w:rsidR="00274FE2" w:rsidRPr="00030025" w:rsidRDefault="00437B40" w:rsidP="00030025">
      <w:pPr>
        <w:pStyle w:val="NoSpacing"/>
        <w:spacing w:line="360" w:lineRule="auto"/>
        <w:rPr>
          <w:rFonts w:ascii="Times New Roman" w:hAnsi="Times New Roman" w:cs="Times New Roman"/>
          <w:sz w:val="20"/>
          <w:szCs w:val="20"/>
        </w:rPr>
      </w:pPr>
      <w:r w:rsidRPr="00030025">
        <w:rPr>
          <w:rFonts w:ascii="Times New Roman" w:hAnsi="Times New Roman" w:cs="Times New Roman"/>
          <w:b/>
          <w:bCs/>
          <w:sz w:val="20"/>
          <w:szCs w:val="20"/>
        </w:rPr>
        <w:t>Table 1:</w:t>
      </w:r>
      <w:r w:rsidRPr="00030025">
        <w:rPr>
          <w:rFonts w:ascii="Times New Roman" w:hAnsi="Times New Roman" w:cs="Times New Roman"/>
          <w:sz w:val="20"/>
          <w:szCs w:val="20"/>
        </w:rPr>
        <w:t xml:space="preserve"> Age Distribution of Study Participants</w:t>
      </w:r>
    </w:p>
    <w:tbl>
      <w:tblPr>
        <w:tblStyle w:val="GridTable1Light-Accent51"/>
        <w:tblW w:w="0" w:type="auto"/>
        <w:tblInd w:w="108" w:type="dxa"/>
        <w:tblLook w:val="04A0" w:firstRow="1" w:lastRow="0" w:firstColumn="1" w:lastColumn="0" w:noHBand="0" w:noVBand="1"/>
      </w:tblPr>
      <w:tblGrid>
        <w:gridCol w:w="2790"/>
        <w:gridCol w:w="1710"/>
        <w:gridCol w:w="1800"/>
      </w:tblGrid>
      <w:tr w:rsidR="00274FE2" w:rsidRPr="00030025" w14:paraId="5FC77BF7" w14:textId="77777777" w:rsidTr="00030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hideMark/>
          </w:tcPr>
          <w:p w14:paraId="31C8FB27" w14:textId="77777777" w:rsidR="00274FE2" w:rsidRPr="00030025" w:rsidRDefault="00274FE2" w:rsidP="00030025">
            <w:pPr>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Age Group (years)</w:t>
            </w:r>
          </w:p>
        </w:tc>
        <w:tc>
          <w:tcPr>
            <w:tcW w:w="1710" w:type="dxa"/>
            <w:hideMark/>
          </w:tcPr>
          <w:p w14:paraId="0657D193" w14:textId="77777777" w:rsidR="00274FE2" w:rsidRPr="00030025" w:rsidRDefault="00274FE2" w:rsidP="00030025">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Frequency (n)</w:t>
            </w:r>
          </w:p>
        </w:tc>
        <w:tc>
          <w:tcPr>
            <w:tcW w:w="1800" w:type="dxa"/>
            <w:hideMark/>
          </w:tcPr>
          <w:p w14:paraId="720FB609" w14:textId="77777777" w:rsidR="00274FE2" w:rsidRPr="00030025" w:rsidRDefault="00274FE2" w:rsidP="00030025">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Percentage (%)</w:t>
            </w:r>
          </w:p>
        </w:tc>
      </w:tr>
      <w:tr w:rsidR="00274FE2" w:rsidRPr="00030025" w14:paraId="27DD68D5" w14:textId="77777777" w:rsidTr="00030025">
        <w:tc>
          <w:tcPr>
            <w:cnfStyle w:val="001000000000" w:firstRow="0" w:lastRow="0" w:firstColumn="1" w:lastColumn="0" w:oddVBand="0" w:evenVBand="0" w:oddHBand="0" w:evenHBand="0" w:firstRowFirstColumn="0" w:firstRowLastColumn="0" w:lastRowFirstColumn="0" w:lastRowLastColumn="0"/>
            <w:tcW w:w="2790" w:type="dxa"/>
            <w:hideMark/>
          </w:tcPr>
          <w:p w14:paraId="02EBA6F3" w14:textId="6630A136" w:rsidR="00274FE2" w:rsidRPr="00030025" w:rsidRDefault="00274FE2" w:rsidP="00274FE2">
            <w:pPr>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48–52</w:t>
            </w:r>
            <w:r w:rsidR="00030025">
              <w:rPr>
                <w:rFonts w:ascii="Times New Roman" w:eastAsiaTheme="minorHAnsi" w:hAnsi="Times New Roman" w:cs="Times New Roman"/>
                <w:b w:val="0"/>
                <w:bCs w:val="0"/>
                <w:sz w:val="20"/>
                <w:szCs w:val="20"/>
              </w:rPr>
              <w:t xml:space="preserve"> Yrs.</w:t>
            </w:r>
          </w:p>
        </w:tc>
        <w:tc>
          <w:tcPr>
            <w:tcW w:w="1710" w:type="dxa"/>
            <w:hideMark/>
          </w:tcPr>
          <w:p w14:paraId="25706131"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10</w:t>
            </w:r>
          </w:p>
        </w:tc>
        <w:tc>
          <w:tcPr>
            <w:tcW w:w="1800" w:type="dxa"/>
            <w:hideMark/>
          </w:tcPr>
          <w:p w14:paraId="634D4F05"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33.3%</w:t>
            </w:r>
          </w:p>
        </w:tc>
      </w:tr>
      <w:tr w:rsidR="00274FE2" w:rsidRPr="00030025" w14:paraId="1B16AE8B" w14:textId="77777777" w:rsidTr="00030025">
        <w:tc>
          <w:tcPr>
            <w:cnfStyle w:val="001000000000" w:firstRow="0" w:lastRow="0" w:firstColumn="1" w:lastColumn="0" w:oddVBand="0" w:evenVBand="0" w:oddHBand="0" w:evenHBand="0" w:firstRowFirstColumn="0" w:firstRowLastColumn="0" w:lastRowFirstColumn="0" w:lastRowLastColumn="0"/>
            <w:tcW w:w="2790" w:type="dxa"/>
            <w:hideMark/>
          </w:tcPr>
          <w:p w14:paraId="740B6A13" w14:textId="70AF2343" w:rsidR="00274FE2" w:rsidRPr="00030025" w:rsidRDefault="00274FE2" w:rsidP="00274FE2">
            <w:pPr>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53–57</w:t>
            </w:r>
            <w:r w:rsidR="00030025">
              <w:rPr>
                <w:rFonts w:ascii="Times New Roman" w:eastAsiaTheme="minorHAnsi" w:hAnsi="Times New Roman" w:cs="Times New Roman"/>
                <w:b w:val="0"/>
                <w:bCs w:val="0"/>
                <w:sz w:val="20"/>
                <w:szCs w:val="20"/>
              </w:rPr>
              <w:t xml:space="preserve"> Yrs.</w:t>
            </w:r>
          </w:p>
        </w:tc>
        <w:tc>
          <w:tcPr>
            <w:tcW w:w="1710" w:type="dxa"/>
            <w:hideMark/>
          </w:tcPr>
          <w:p w14:paraId="74F14BAB"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5</w:t>
            </w:r>
          </w:p>
        </w:tc>
        <w:tc>
          <w:tcPr>
            <w:tcW w:w="1800" w:type="dxa"/>
            <w:hideMark/>
          </w:tcPr>
          <w:p w14:paraId="67F0C732"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16.7%</w:t>
            </w:r>
          </w:p>
        </w:tc>
      </w:tr>
      <w:tr w:rsidR="00274FE2" w:rsidRPr="00030025" w14:paraId="4EC65857" w14:textId="77777777" w:rsidTr="00030025">
        <w:tc>
          <w:tcPr>
            <w:cnfStyle w:val="001000000000" w:firstRow="0" w:lastRow="0" w:firstColumn="1" w:lastColumn="0" w:oddVBand="0" w:evenVBand="0" w:oddHBand="0" w:evenHBand="0" w:firstRowFirstColumn="0" w:firstRowLastColumn="0" w:lastRowFirstColumn="0" w:lastRowLastColumn="0"/>
            <w:tcW w:w="2790" w:type="dxa"/>
            <w:hideMark/>
          </w:tcPr>
          <w:p w14:paraId="5032DB1E" w14:textId="40FCA72D" w:rsidR="00274FE2" w:rsidRPr="00030025" w:rsidRDefault="00274FE2" w:rsidP="00274FE2">
            <w:pPr>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58–62</w:t>
            </w:r>
            <w:r w:rsidR="00030025">
              <w:rPr>
                <w:rFonts w:ascii="Times New Roman" w:eastAsiaTheme="minorHAnsi" w:hAnsi="Times New Roman" w:cs="Times New Roman"/>
                <w:b w:val="0"/>
                <w:bCs w:val="0"/>
                <w:sz w:val="20"/>
                <w:szCs w:val="20"/>
              </w:rPr>
              <w:t xml:space="preserve"> Yrs.</w:t>
            </w:r>
          </w:p>
        </w:tc>
        <w:tc>
          <w:tcPr>
            <w:tcW w:w="1710" w:type="dxa"/>
            <w:hideMark/>
          </w:tcPr>
          <w:p w14:paraId="4A0CF8D2"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9</w:t>
            </w:r>
          </w:p>
        </w:tc>
        <w:tc>
          <w:tcPr>
            <w:tcW w:w="1800" w:type="dxa"/>
            <w:hideMark/>
          </w:tcPr>
          <w:p w14:paraId="6EB271D8"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30.0%</w:t>
            </w:r>
          </w:p>
        </w:tc>
      </w:tr>
      <w:tr w:rsidR="00274FE2" w:rsidRPr="00030025" w14:paraId="0657AD20" w14:textId="77777777" w:rsidTr="00030025">
        <w:tc>
          <w:tcPr>
            <w:cnfStyle w:val="001000000000" w:firstRow="0" w:lastRow="0" w:firstColumn="1" w:lastColumn="0" w:oddVBand="0" w:evenVBand="0" w:oddHBand="0" w:evenHBand="0" w:firstRowFirstColumn="0" w:firstRowLastColumn="0" w:lastRowFirstColumn="0" w:lastRowLastColumn="0"/>
            <w:tcW w:w="2790" w:type="dxa"/>
            <w:hideMark/>
          </w:tcPr>
          <w:p w14:paraId="2A37D899" w14:textId="0240E509" w:rsidR="00274FE2" w:rsidRPr="00030025" w:rsidRDefault="00274FE2" w:rsidP="00274FE2">
            <w:pPr>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63–67</w:t>
            </w:r>
            <w:r w:rsidR="00030025">
              <w:rPr>
                <w:rFonts w:ascii="Times New Roman" w:eastAsiaTheme="minorHAnsi" w:hAnsi="Times New Roman" w:cs="Times New Roman"/>
                <w:b w:val="0"/>
                <w:bCs w:val="0"/>
                <w:sz w:val="20"/>
                <w:szCs w:val="20"/>
              </w:rPr>
              <w:t xml:space="preserve"> Yrs.</w:t>
            </w:r>
          </w:p>
        </w:tc>
        <w:tc>
          <w:tcPr>
            <w:tcW w:w="1710" w:type="dxa"/>
            <w:hideMark/>
          </w:tcPr>
          <w:p w14:paraId="3B7D3B00"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4</w:t>
            </w:r>
          </w:p>
        </w:tc>
        <w:tc>
          <w:tcPr>
            <w:tcW w:w="1800" w:type="dxa"/>
            <w:hideMark/>
          </w:tcPr>
          <w:p w14:paraId="4E4D4B89"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13.3%</w:t>
            </w:r>
          </w:p>
        </w:tc>
      </w:tr>
      <w:tr w:rsidR="00274FE2" w:rsidRPr="00030025" w14:paraId="63E9B0AD" w14:textId="77777777" w:rsidTr="00030025">
        <w:tc>
          <w:tcPr>
            <w:cnfStyle w:val="001000000000" w:firstRow="0" w:lastRow="0" w:firstColumn="1" w:lastColumn="0" w:oddVBand="0" w:evenVBand="0" w:oddHBand="0" w:evenHBand="0" w:firstRowFirstColumn="0" w:firstRowLastColumn="0" w:lastRowFirstColumn="0" w:lastRowLastColumn="0"/>
            <w:tcW w:w="2790" w:type="dxa"/>
            <w:hideMark/>
          </w:tcPr>
          <w:p w14:paraId="6C995CBE" w14:textId="0B111C98" w:rsidR="00274FE2" w:rsidRPr="00030025" w:rsidRDefault="00274FE2" w:rsidP="00274FE2">
            <w:pPr>
              <w:rPr>
                <w:rFonts w:ascii="Times New Roman" w:eastAsiaTheme="minorHAnsi" w:hAnsi="Times New Roman" w:cs="Times New Roman"/>
                <w:b w:val="0"/>
                <w:bCs w:val="0"/>
                <w:sz w:val="20"/>
                <w:szCs w:val="20"/>
              </w:rPr>
            </w:pPr>
            <w:r w:rsidRPr="00030025">
              <w:rPr>
                <w:rFonts w:ascii="Times New Roman" w:eastAsiaTheme="minorHAnsi" w:hAnsi="Times New Roman" w:cs="Times New Roman"/>
                <w:b w:val="0"/>
                <w:bCs w:val="0"/>
                <w:sz w:val="20"/>
                <w:szCs w:val="20"/>
              </w:rPr>
              <w:t>≥68</w:t>
            </w:r>
            <w:r w:rsidR="00030025">
              <w:rPr>
                <w:rFonts w:ascii="Times New Roman" w:eastAsiaTheme="minorHAnsi" w:hAnsi="Times New Roman" w:cs="Times New Roman"/>
                <w:b w:val="0"/>
                <w:bCs w:val="0"/>
                <w:sz w:val="20"/>
                <w:szCs w:val="20"/>
              </w:rPr>
              <w:t xml:space="preserve"> Yrs.</w:t>
            </w:r>
          </w:p>
        </w:tc>
        <w:tc>
          <w:tcPr>
            <w:tcW w:w="1710" w:type="dxa"/>
            <w:hideMark/>
          </w:tcPr>
          <w:p w14:paraId="5287E719"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2</w:t>
            </w:r>
          </w:p>
        </w:tc>
        <w:tc>
          <w:tcPr>
            <w:tcW w:w="1800" w:type="dxa"/>
            <w:hideMark/>
          </w:tcPr>
          <w:p w14:paraId="42B99082" w14:textId="77777777" w:rsidR="00274FE2" w:rsidRPr="00030025" w:rsidRDefault="00274FE2" w:rsidP="0003002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030025">
              <w:rPr>
                <w:rFonts w:ascii="Times New Roman" w:eastAsiaTheme="minorHAnsi" w:hAnsi="Times New Roman" w:cs="Times New Roman"/>
                <w:sz w:val="20"/>
                <w:szCs w:val="20"/>
              </w:rPr>
              <w:t>6.7%</w:t>
            </w:r>
          </w:p>
        </w:tc>
      </w:tr>
    </w:tbl>
    <w:p w14:paraId="31FB0BA1" w14:textId="77777777" w:rsidR="006D1F4D" w:rsidRDefault="006D1F4D" w:rsidP="00A014CF">
      <w:pPr>
        <w:pStyle w:val="NoSpacing"/>
      </w:pPr>
    </w:p>
    <w:p w14:paraId="32E51915" w14:textId="77777777" w:rsidR="00A014CF" w:rsidRDefault="00A014CF" w:rsidP="00A014CF">
      <w:pPr>
        <w:pStyle w:val="NoSpacing"/>
      </w:pPr>
    </w:p>
    <w:p w14:paraId="15F0264E" w14:textId="46D34496" w:rsidR="00437B40" w:rsidRPr="006F6E26" w:rsidRDefault="00437B40" w:rsidP="006F6E26">
      <w:pPr>
        <w:pStyle w:val="NoSpacing"/>
        <w:spacing w:line="360" w:lineRule="auto"/>
        <w:jc w:val="both"/>
        <w:rPr>
          <w:rFonts w:ascii="Times New Roman" w:hAnsi="Times New Roman" w:cs="Times New Roman"/>
          <w:sz w:val="20"/>
          <w:szCs w:val="20"/>
        </w:rPr>
      </w:pPr>
      <w:r w:rsidRPr="006F6E26">
        <w:rPr>
          <w:rFonts w:ascii="Times New Roman" w:hAnsi="Times New Roman" w:cs="Times New Roman"/>
          <w:b/>
          <w:bCs/>
          <w:sz w:val="20"/>
          <w:szCs w:val="20"/>
        </w:rPr>
        <w:t>Table 2:</w:t>
      </w:r>
      <w:r w:rsidRPr="006F6E26">
        <w:rPr>
          <w:rFonts w:ascii="Times New Roman" w:hAnsi="Times New Roman" w:cs="Times New Roman"/>
          <w:sz w:val="20"/>
          <w:szCs w:val="20"/>
        </w:rPr>
        <w:t xml:space="preserve"> Sex Distribution of Study Participants</w:t>
      </w:r>
    </w:p>
    <w:tbl>
      <w:tblPr>
        <w:tblStyle w:val="GridTable1Light-Accent51"/>
        <w:tblW w:w="0" w:type="auto"/>
        <w:tblInd w:w="108" w:type="dxa"/>
        <w:tblLook w:val="04A0" w:firstRow="1" w:lastRow="0" w:firstColumn="1" w:lastColumn="0" w:noHBand="0" w:noVBand="1"/>
      </w:tblPr>
      <w:tblGrid>
        <w:gridCol w:w="2340"/>
        <w:gridCol w:w="1620"/>
        <w:gridCol w:w="1620"/>
      </w:tblGrid>
      <w:tr w:rsidR="00274FE2" w:rsidRPr="006F6E26" w14:paraId="0F71D0D3"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74C4F052" w14:textId="77777777" w:rsidR="00274FE2" w:rsidRPr="006F6E26" w:rsidRDefault="00274FE2"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Sex</w:t>
            </w:r>
          </w:p>
        </w:tc>
        <w:tc>
          <w:tcPr>
            <w:tcW w:w="1620" w:type="dxa"/>
            <w:hideMark/>
          </w:tcPr>
          <w:p w14:paraId="42447D10" w14:textId="77777777" w:rsidR="00274FE2" w:rsidRPr="006F6E26" w:rsidRDefault="00274FE2"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Frequency (n)</w:t>
            </w:r>
          </w:p>
        </w:tc>
        <w:tc>
          <w:tcPr>
            <w:tcW w:w="1620" w:type="dxa"/>
            <w:hideMark/>
          </w:tcPr>
          <w:p w14:paraId="587EB1A4" w14:textId="77777777" w:rsidR="00274FE2" w:rsidRPr="006F6E26" w:rsidRDefault="00274FE2"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Percentage (%)</w:t>
            </w:r>
          </w:p>
        </w:tc>
      </w:tr>
      <w:tr w:rsidR="00274FE2" w:rsidRPr="006F6E26" w14:paraId="46EA1862" w14:textId="77777777" w:rsidTr="006F6E26">
        <w:tc>
          <w:tcPr>
            <w:cnfStyle w:val="001000000000" w:firstRow="0" w:lastRow="0" w:firstColumn="1" w:lastColumn="0" w:oddVBand="0" w:evenVBand="0" w:oddHBand="0" w:evenHBand="0" w:firstRowFirstColumn="0" w:firstRowLastColumn="0" w:lastRowFirstColumn="0" w:lastRowLastColumn="0"/>
            <w:tcW w:w="2340" w:type="dxa"/>
            <w:hideMark/>
          </w:tcPr>
          <w:p w14:paraId="1C64E5E1" w14:textId="77777777" w:rsidR="00274FE2" w:rsidRPr="006F6E26" w:rsidRDefault="00274FE2"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Male</w:t>
            </w:r>
          </w:p>
        </w:tc>
        <w:tc>
          <w:tcPr>
            <w:tcW w:w="1620" w:type="dxa"/>
            <w:hideMark/>
          </w:tcPr>
          <w:p w14:paraId="65D39731" w14:textId="77777777" w:rsidR="00274FE2" w:rsidRPr="006F6E26" w:rsidRDefault="00274FE2"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11</w:t>
            </w:r>
          </w:p>
        </w:tc>
        <w:tc>
          <w:tcPr>
            <w:tcW w:w="1620" w:type="dxa"/>
            <w:hideMark/>
          </w:tcPr>
          <w:p w14:paraId="015C2452" w14:textId="77777777" w:rsidR="00274FE2" w:rsidRPr="006F6E26" w:rsidRDefault="00274FE2"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36.7%</w:t>
            </w:r>
          </w:p>
        </w:tc>
      </w:tr>
      <w:tr w:rsidR="00274FE2" w:rsidRPr="006F6E26" w14:paraId="3AA3F88A" w14:textId="77777777" w:rsidTr="006F6E26">
        <w:tc>
          <w:tcPr>
            <w:cnfStyle w:val="001000000000" w:firstRow="0" w:lastRow="0" w:firstColumn="1" w:lastColumn="0" w:oddVBand="0" w:evenVBand="0" w:oddHBand="0" w:evenHBand="0" w:firstRowFirstColumn="0" w:firstRowLastColumn="0" w:lastRowFirstColumn="0" w:lastRowLastColumn="0"/>
            <w:tcW w:w="2340" w:type="dxa"/>
            <w:hideMark/>
          </w:tcPr>
          <w:p w14:paraId="1DB64318" w14:textId="77777777" w:rsidR="00274FE2" w:rsidRPr="006F6E26" w:rsidRDefault="00274FE2"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Female</w:t>
            </w:r>
          </w:p>
        </w:tc>
        <w:tc>
          <w:tcPr>
            <w:tcW w:w="1620" w:type="dxa"/>
            <w:hideMark/>
          </w:tcPr>
          <w:p w14:paraId="7438A657" w14:textId="77777777" w:rsidR="00274FE2" w:rsidRPr="006F6E26" w:rsidRDefault="00274FE2"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19</w:t>
            </w:r>
          </w:p>
        </w:tc>
        <w:tc>
          <w:tcPr>
            <w:tcW w:w="1620" w:type="dxa"/>
            <w:hideMark/>
          </w:tcPr>
          <w:p w14:paraId="3C524168" w14:textId="77777777" w:rsidR="00274FE2" w:rsidRPr="006F6E26" w:rsidRDefault="00274FE2"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63.3%</w:t>
            </w:r>
          </w:p>
        </w:tc>
      </w:tr>
    </w:tbl>
    <w:p w14:paraId="07B078AC" w14:textId="48845D47" w:rsidR="00274FE2" w:rsidRPr="006F6E26" w:rsidRDefault="00274FE2" w:rsidP="006F6E26">
      <w:pPr>
        <w:pStyle w:val="NoSpacing"/>
        <w:jc w:val="both"/>
        <w:rPr>
          <w:rFonts w:ascii="Times New Roman" w:hAnsi="Times New Roman" w:cs="Times New Roman"/>
          <w:sz w:val="20"/>
          <w:szCs w:val="20"/>
        </w:rPr>
      </w:pPr>
    </w:p>
    <w:p w14:paraId="18FB4A62" w14:textId="2E3B97C5" w:rsidR="00274FE2" w:rsidRPr="006F6E26" w:rsidRDefault="00274FE2" w:rsidP="006F6E26">
      <w:pPr>
        <w:pStyle w:val="NoSpacing"/>
        <w:jc w:val="center"/>
        <w:rPr>
          <w:rFonts w:ascii="Times New Roman" w:hAnsi="Times New Roman" w:cs="Times New Roman"/>
          <w:sz w:val="20"/>
          <w:szCs w:val="20"/>
        </w:rPr>
      </w:pPr>
      <w:r w:rsidRPr="006F6E26">
        <w:rPr>
          <w:rFonts w:ascii="Times New Roman" w:hAnsi="Times New Roman" w:cs="Times New Roman"/>
          <w:noProof/>
          <w:sz w:val="20"/>
          <w:szCs w:val="20"/>
        </w:rPr>
        <w:drawing>
          <wp:inline distT="0" distB="0" distL="0" distR="0" wp14:anchorId="3F3A213B" wp14:editId="7BBA520B">
            <wp:extent cx="4552950" cy="2349500"/>
            <wp:effectExtent l="38100" t="0" r="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557B86" w14:textId="77777777" w:rsidR="00EC4F60" w:rsidRPr="007934F7" w:rsidRDefault="00EC4F60" w:rsidP="006F6E26">
      <w:pPr>
        <w:pStyle w:val="NoSpacing"/>
        <w:jc w:val="center"/>
        <w:rPr>
          <w:rFonts w:ascii="Times New Roman" w:hAnsi="Times New Roman" w:cs="Times New Roman"/>
          <w:i/>
          <w:iCs/>
          <w:color w:val="004E9A"/>
          <w:sz w:val="18"/>
          <w:szCs w:val="18"/>
        </w:rPr>
      </w:pPr>
      <w:r w:rsidRPr="007934F7">
        <w:rPr>
          <w:rFonts w:ascii="Times New Roman" w:hAnsi="Times New Roman" w:cs="Times New Roman"/>
          <w:i/>
          <w:iCs/>
          <w:color w:val="004E9A"/>
          <w:sz w:val="18"/>
          <w:szCs w:val="18"/>
        </w:rPr>
        <w:t>Figure 1: Pie chart showed sex distribution of the participants</w:t>
      </w:r>
    </w:p>
    <w:p w14:paraId="50DF7B64" w14:textId="77777777" w:rsidR="00274FE2" w:rsidRPr="006F6E26" w:rsidRDefault="00274FE2" w:rsidP="006F6E26">
      <w:pPr>
        <w:pStyle w:val="NoSpacing"/>
        <w:jc w:val="both"/>
        <w:rPr>
          <w:rFonts w:ascii="Times New Roman" w:hAnsi="Times New Roman" w:cs="Times New Roman"/>
          <w:sz w:val="20"/>
          <w:szCs w:val="20"/>
        </w:rPr>
      </w:pPr>
    </w:p>
    <w:p w14:paraId="3E587F7D" w14:textId="52319AD7" w:rsidR="00274FE2" w:rsidRPr="006F6E26" w:rsidRDefault="00274FE2" w:rsidP="006F6E26">
      <w:pPr>
        <w:pStyle w:val="NoSpacing"/>
        <w:jc w:val="both"/>
        <w:rPr>
          <w:rFonts w:ascii="Times New Roman" w:hAnsi="Times New Roman" w:cs="Times New Roman"/>
          <w:sz w:val="20"/>
          <w:szCs w:val="20"/>
        </w:rPr>
      </w:pPr>
    </w:p>
    <w:p w14:paraId="540E08E4" w14:textId="3977E40D" w:rsidR="00274FE2" w:rsidRPr="006F6E26" w:rsidRDefault="00274FE2" w:rsidP="006F6E26">
      <w:pPr>
        <w:pStyle w:val="NoSpacing"/>
        <w:jc w:val="center"/>
        <w:rPr>
          <w:rFonts w:ascii="Times New Roman" w:hAnsi="Times New Roman" w:cs="Times New Roman"/>
          <w:sz w:val="20"/>
          <w:szCs w:val="20"/>
        </w:rPr>
      </w:pPr>
      <w:r w:rsidRPr="006F6E26">
        <w:rPr>
          <w:rFonts w:ascii="Times New Roman" w:hAnsi="Times New Roman" w:cs="Times New Roman"/>
          <w:noProof/>
          <w:sz w:val="20"/>
          <w:szCs w:val="20"/>
        </w:rPr>
        <w:drawing>
          <wp:inline distT="0" distB="0" distL="0" distR="0" wp14:anchorId="47749CAA" wp14:editId="0F8F24DB">
            <wp:extent cx="4616450" cy="2457450"/>
            <wp:effectExtent l="0" t="0" r="1270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AA1D0D" w14:textId="7A911AA4" w:rsidR="00EC4F60" w:rsidRPr="007934F7" w:rsidRDefault="00EC4F60" w:rsidP="006F6E26">
      <w:pPr>
        <w:pStyle w:val="NoSpacing"/>
        <w:jc w:val="center"/>
        <w:rPr>
          <w:rFonts w:ascii="Times New Roman" w:hAnsi="Times New Roman" w:cs="Times New Roman"/>
          <w:i/>
          <w:iCs/>
          <w:color w:val="004E9A"/>
          <w:sz w:val="18"/>
          <w:szCs w:val="18"/>
        </w:rPr>
      </w:pPr>
      <w:r w:rsidRPr="007934F7">
        <w:rPr>
          <w:rFonts w:ascii="Times New Roman" w:hAnsi="Times New Roman" w:cs="Times New Roman"/>
          <w:i/>
          <w:iCs/>
          <w:color w:val="004E9A"/>
          <w:sz w:val="18"/>
          <w:szCs w:val="18"/>
        </w:rPr>
        <w:t xml:space="preserve">Figure </w:t>
      </w:r>
      <w:r w:rsidR="007934F7" w:rsidRPr="007934F7">
        <w:rPr>
          <w:rFonts w:ascii="Times New Roman" w:hAnsi="Times New Roman" w:cs="Times New Roman"/>
          <w:i/>
          <w:iCs/>
          <w:color w:val="004E9A"/>
          <w:sz w:val="18"/>
          <w:szCs w:val="18"/>
        </w:rPr>
        <w:t>II</w:t>
      </w:r>
      <w:r w:rsidRPr="007934F7">
        <w:rPr>
          <w:rFonts w:ascii="Times New Roman" w:hAnsi="Times New Roman" w:cs="Times New Roman"/>
          <w:i/>
          <w:iCs/>
          <w:color w:val="004E9A"/>
          <w:sz w:val="18"/>
          <w:szCs w:val="18"/>
        </w:rPr>
        <w:t xml:space="preserve">: </w:t>
      </w:r>
      <w:r w:rsidR="007934F7" w:rsidRPr="007934F7">
        <w:rPr>
          <w:rFonts w:ascii="Times New Roman" w:hAnsi="Times New Roman" w:cs="Times New Roman"/>
          <w:i/>
          <w:iCs/>
          <w:color w:val="004E9A"/>
          <w:sz w:val="18"/>
          <w:szCs w:val="18"/>
        </w:rPr>
        <w:t>Bar</w:t>
      </w:r>
      <w:r w:rsidRPr="007934F7">
        <w:rPr>
          <w:rFonts w:ascii="Times New Roman" w:hAnsi="Times New Roman" w:cs="Times New Roman"/>
          <w:i/>
          <w:iCs/>
          <w:color w:val="004E9A"/>
          <w:sz w:val="18"/>
          <w:szCs w:val="18"/>
        </w:rPr>
        <w:t xml:space="preserve"> chart showing laterality of affected eye</w:t>
      </w:r>
    </w:p>
    <w:p w14:paraId="6BF6F4E7" w14:textId="77777777" w:rsidR="00AA7130" w:rsidRPr="006F6E26" w:rsidRDefault="00AA7130" w:rsidP="006F6E26">
      <w:pPr>
        <w:pStyle w:val="NoSpacing"/>
        <w:jc w:val="both"/>
        <w:rPr>
          <w:rFonts w:ascii="Times New Roman" w:hAnsi="Times New Roman" w:cs="Times New Roman"/>
          <w:sz w:val="20"/>
          <w:szCs w:val="20"/>
        </w:rPr>
      </w:pPr>
    </w:p>
    <w:p w14:paraId="00000050" w14:textId="43CD9F40" w:rsidR="006B4221" w:rsidRPr="006F6E26" w:rsidRDefault="00EC4F60" w:rsidP="006F6E26">
      <w:pPr>
        <w:pStyle w:val="NoSpacing"/>
        <w:spacing w:line="360" w:lineRule="auto"/>
        <w:jc w:val="both"/>
        <w:rPr>
          <w:rFonts w:ascii="Times New Roman" w:hAnsi="Times New Roman" w:cs="Times New Roman"/>
          <w:sz w:val="20"/>
          <w:szCs w:val="20"/>
        </w:rPr>
      </w:pPr>
      <w:r w:rsidRPr="006F6E26">
        <w:rPr>
          <w:rFonts w:ascii="Times New Roman" w:hAnsi="Times New Roman" w:cs="Times New Roman"/>
          <w:b/>
          <w:bCs/>
          <w:sz w:val="20"/>
          <w:szCs w:val="20"/>
        </w:rPr>
        <w:t>Table 3:</w:t>
      </w:r>
      <w:r w:rsidRPr="006F6E26">
        <w:rPr>
          <w:rFonts w:ascii="Times New Roman" w:hAnsi="Times New Roman" w:cs="Times New Roman"/>
          <w:sz w:val="20"/>
          <w:szCs w:val="20"/>
        </w:rPr>
        <w:t xml:space="preserve"> Gonioscopy Findings (Shaffer Grading per Quadrant)</w:t>
      </w:r>
    </w:p>
    <w:tbl>
      <w:tblPr>
        <w:tblStyle w:val="GridTable1Light-Accent51"/>
        <w:tblW w:w="0" w:type="auto"/>
        <w:tblInd w:w="108" w:type="dxa"/>
        <w:tblLook w:val="04A0" w:firstRow="1" w:lastRow="0" w:firstColumn="1" w:lastColumn="0" w:noHBand="0" w:noVBand="1"/>
      </w:tblPr>
      <w:tblGrid>
        <w:gridCol w:w="1620"/>
        <w:gridCol w:w="1260"/>
        <w:gridCol w:w="1260"/>
        <w:gridCol w:w="1350"/>
        <w:gridCol w:w="1350"/>
        <w:gridCol w:w="1350"/>
      </w:tblGrid>
      <w:tr w:rsidR="00444CDE" w:rsidRPr="006F6E26" w14:paraId="58D4EF9C"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14:paraId="47E7F5A3"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Quadrant</w:t>
            </w:r>
          </w:p>
        </w:tc>
        <w:tc>
          <w:tcPr>
            <w:tcW w:w="1260" w:type="dxa"/>
            <w:hideMark/>
          </w:tcPr>
          <w:p w14:paraId="28C75565"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Slit-like (%)</w:t>
            </w:r>
          </w:p>
        </w:tc>
        <w:tc>
          <w:tcPr>
            <w:tcW w:w="1260" w:type="dxa"/>
            <w:hideMark/>
          </w:tcPr>
          <w:p w14:paraId="0223BBBE"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Grade 1 (%)</w:t>
            </w:r>
          </w:p>
        </w:tc>
        <w:tc>
          <w:tcPr>
            <w:tcW w:w="1350" w:type="dxa"/>
            <w:hideMark/>
          </w:tcPr>
          <w:p w14:paraId="2FE61668"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Grade 2 (%)</w:t>
            </w:r>
          </w:p>
        </w:tc>
        <w:tc>
          <w:tcPr>
            <w:tcW w:w="1350" w:type="dxa"/>
            <w:hideMark/>
          </w:tcPr>
          <w:p w14:paraId="28F657F8"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Grade 3 (%)</w:t>
            </w:r>
          </w:p>
        </w:tc>
        <w:tc>
          <w:tcPr>
            <w:tcW w:w="1350" w:type="dxa"/>
            <w:hideMark/>
          </w:tcPr>
          <w:p w14:paraId="0D999AD1"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Grade 4 (%)</w:t>
            </w:r>
          </w:p>
        </w:tc>
      </w:tr>
      <w:tr w:rsidR="00444CDE" w:rsidRPr="006F6E26" w14:paraId="1686B918" w14:textId="77777777" w:rsidTr="006F6E26">
        <w:tc>
          <w:tcPr>
            <w:cnfStyle w:val="001000000000" w:firstRow="0" w:lastRow="0" w:firstColumn="1" w:lastColumn="0" w:oddVBand="0" w:evenVBand="0" w:oddHBand="0" w:evenHBand="0" w:firstRowFirstColumn="0" w:firstRowLastColumn="0" w:lastRowFirstColumn="0" w:lastRowLastColumn="0"/>
            <w:tcW w:w="1620" w:type="dxa"/>
            <w:hideMark/>
          </w:tcPr>
          <w:p w14:paraId="7BF90989"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Superior</w:t>
            </w:r>
          </w:p>
        </w:tc>
        <w:tc>
          <w:tcPr>
            <w:tcW w:w="1260" w:type="dxa"/>
            <w:hideMark/>
          </w:tcPr>
          <w:p w14:paraId="1BEFD31E"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c>
          <w:tcPr>
            <w:tcW w:w="1260" w:type="dxa"/>
            <w:hideMark/>
          </w:tcPr>
          <w:p w14:paraId="5A82F399"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6CC81C48"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40.0%</w:t>
            </w:r>
          </w:p>
        </w:tc>
        <w:tc>
          <w:tcPr>
            <w:tcW w:w="1350" w:type="dxa"/>
            <w:hideMark/>
          </w:tcPr>
          <w:p w14:paraId="53F1DEFB"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26.7%</w:t>
            </w:r>
          </w:p>
        </w:tc>
        <w:tc>
          <w:tcPr>
            <w:tcW w:w="1350" w:type="dxa"/>
            <w:hideMark/>
          </w:tcPr>
          <w:p w14:paraId="01042186"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0.0%</w:t>
            </w:r>
          </w:p>
        </w:tc>
      </w:tr>
      <w:tr w:rsidR="00444CDE" w:rsidRPr="006F6E26" w14:paraId="76FAA385" w14:textId="77777777" w:rsidTr="006F6E26">
        <w:tc>
          <w:tcPr>
            <w:cnfStyle w:val="001000000000" w:firstRow="0" w:lastRow="0" w:firstColumn="1" w:lastColumn="0" w:oddVBand="0" w:evenVBand="0" w:oddHBand="0" w:evenHBand="0" w:firstRowFirstColumn="0" w:firstRowLastColumn="0" w:lastRowFirstColumn="0" w:lastRowLastColumn="0"/>
            <w:tcW w:w="1620" w:type="dxa"/>
            <w:hideMark/>
          </w:tcPr>
          <w:p w14:paraId="49779607"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Inferior</w:t>
            </w:r>
          </w:p>
        </w:tc>
        <w:tc>
          <w:tcPr>
            <w:tcW w:w="1260" w:type="dxa"/>
            <w:hideMark/>
          </w:tcPr>
          <w:p w14:paraId="0BC35463"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c>
          <w:tcPr>
            <w:tcW w:w="1260" w:type="dxa"/>
            <w:hideMark/>
          </w:tcPr>
          <w:p w14:paraId="5F8920D8"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26.7%</w:t>
            </w:r>
          </w:p>
        </w:tc>
        <w:tc>
          <w:tcPr>
            <w:tcW w:w="1350" w:type="dxa"/>
            <w:hideMark/>
          </w:tcPr>
          <w:p w14:paraId="2ABDF83B"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40.0%</w:t>
            </w:r>
          </w:p>
        </w:tc>
        <w:tc>
          <w:tcPr>
            <w:tcW w:w="1350" w:type="dxa"/>
            <w:hideMark/>
          </w:tcPr>
          <w:p w14:paraId="54E8A947"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7CB2EB52"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r>
      <w:tr w:rsidR="00444CDE" w:rsidRPr="006F6E26" w14:paraId="7ABDE011" w14:textId="77777777" w:rsidTr="006F6E26">
        <w:tc>
          <w:tcPr>
            <w:cnfStyle w:val="001000000000" w:firstRow="0" w:lastRow="0" w:firstColumn="1" w:lastColumn="0" w:oddVBand="0" w:evenVBand="0" w:oddHBand="0" w:evenHBand="0" w:firstRowFirstColumn="0" w:firstRowLastColumn="0" w:lastRowFirstColumn="0" w:lastRowLastColumn="0"/>
            <w:tcW w:w="1620" w:type="dxa"/>
            <w:hideMark/>
          </w:tcPr>
          <w:p w14:paraId="0860138A"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Nasal</w:t>
            </w:r>
          </w:p>
        </w:tc>
        <w:tc>
          <w:tcPr>
            <w:tcW w:w="1260" w:type="dxa"/>
            <w:hideMark/>
          </w:tcPr>
          <w:p w14:paraId="68DA5019"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c>
          <w:tcPr>
            <w:tcW w:w="1260" w:type="dxa"/>
            <w:hideMark/>
          </w:tcPr>
          <w:p w14:paraId="1A3FCD6A"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c>
          <w:tcPr>
            <w:tcW w:w="1350" w:type="dxa"/>
            <w:hideMark/>
          </w:tcPr>
          <w:p w14:paraId="1CB8186D"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53.3%</w:t>
            </w:r>
          </w:p>
        </w:tc>
        <w:tc>
          <w:tcPr>
            <w:tcW w:w="1350" w:type="dxa"/>
            <w:hideMark/>
          </w:tcPr>
          <w:p w14:paraId="5D8DDAEC"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26147AF5"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r>
      <w:tr w:rsidR="00444CDE" w:rsidRPr="006F6E26" w14:paraId="77A6B5E0" w14:textId="77777777" w:rsidTr="006F6E26">
        <w:tc>
          <w:tcPr>
            <w:cnfStyle w:val="001000000000" w:firstRow="0" w:lastRow="0" w:firstColumn="1" w:lastColumn="0" w:oddVBand="0" w:evenVBand="0" w:oddHBand="0" w:evenHBand="0" w:firstRowFirstColumn="0" w:firstRowLastColumn="0" w:lastRowFirstColumn="0" w:lastRowLastColumn="0"/>
            <w:tcW w:w="1620" w:type="dxa"/>
            <w:hideMark/>
          </w:tcPr>
          <w:p w14:paraId="6149EEED"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Temporal</w:t>
            </w:r>
          </w:p>
        </w:tc>
        <w:tc>
          <w:tcPr>
            <w:tcW w:w="1260" w:type="dxa"/>
            <w:hideMark/>
          </w:tcPr>
          <w:p w14:paraId="6C5FD296"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c>
          <w:tcPr>
            <w:tcW w:w="1260" w:type="dxa"/>
            <w:hideMark/>
          </w:tcPr>
          <w:p w14:paraId="331EB230"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c>
          <w:tcPr>
            <w:tcW w:w="1350" w:type="dxa"/>
            <w:hideMark/>
          </w:tcPr>
          <w:p w14:paraId="3BA6B248"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53.3%</w:t>
            </w:r>
          </w:p>
        </w:tc>
        <w:tc>
          <w:tcPr>
            <w:tcW w:w="1350" w:type="dxa"/>
            <w:hideMark/>
          </w:tcPr>
          <w:p w14:paraId="05123BA4"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2786C0FF"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r>
    </w:tbl>
    <w:p w14:paraId="11BC1FB2" w14:textId="77777777" w:rsidR="00444CDE" w:rsidRPr="006F6E26" w:rsidRDefault="00444CDE" w:rsidP="006F6E26">
      <w:pPr>
        <w:pStyle w:val="NoSpacing"/>
        <w:jc w:val="both"/>
        <w:rPr>
          <w:rFonts w:ascii="Times New Roman" w:hAnsi="Times New Roman" w:cs="Times New Roman"/>
          <w:sz w:val="20"/>
          <w:szCs w:val="20"/>
        </w:rPr>
      </w:pPr>
    </w:p>
    <w:p w14:paraId="68C09F4F" w14:textId="77777777" w:rsidR="002B0FE1" w:rsidRDefault="002B0FE1" w:rsidP="006F6E26">
      <w:pPr>
        <w:pStyle w:val="NoSpacing"/>
        <w:spacing w:line="360" w:lineRule="auto"/>
        <w:jc w:val="both"/>
        <w:rPr>
          <w:rFonts w:ascii="Times New Roman" w:hAnsi="Times New Roman" w:cs="Times New Roman"/>
          <w:b/>
          <w:bCs/>
          <w:sz w:val="20"/>
          <w:szCs w:val="20"/>
        </w:rPr>
      </w:pPr>
    </w:p>
    <w:p w14:paraId="3382DF2D" w14:textId="77777777" w:rsidR="002B0FE1" w:rsidRDefault="002B0FE1" w:rsidP="006F6E26">
      <w:pPr>
        <w:pStyle w:val="NoSpacing"/>
        <w:spacing w:line="360" w:lineRule="auto"/>
        <w:jc w:val="both"/>
        <w:rPr>
          <w:rFonts w:ascii="Times New Roman" w:hAnsi="Times New Roman" w:cs="Times New Roman"/>
          <w:b/>
          <w:bCs/>
          <w:sz w:val="20"/>
          <w:szCs w:val="20"/>
        </w:rPr>
      </w:pPr>
    </w:p>
    <w:p w14:paraId="5F2CE4EB" w14:textId="77777777" w:rsidR="002B0FE1" w:rsidRDefault="002B0FE1" w:rsidP="006F6E26">
      <w:pPr>
        <w:pStyle w:val="NoSpacing"/>
        <w:spacing w:line="360" w:lineRule="auto"/>
        <w:jc w:val="both"/>
        <w:rPr>
          <w:rFonts w:ascii="Times New Roman" w:hAnsi="Times New Roman" w:cs="Times New Roman"/>
          <w:b/>
          <w:bCs/>
          <w:sz w:val="20"/>
          <w:szCs w:val="20"/>
        </w:rPr>
      </w:pPr>
    </w:p>
    <w:p w14:paraId="1A3CE5ED" w14:textId="6471072B" w:rsidR="00437B40" w:rsidRPr="006F6E26" w:rsidRDefault="00EC4F60" w:rsidP="006F6E26">
      <w:pPr>
        <w:pStyle w:val="NoSpacing"/>
        <w:spacing w:line="360" w:lineRule="auto"/>
        <w:jc w:val="both"/>
        <w:rPr>
          <w:rFonts w:ascii="Times New Roman" w:hAnsi="Times New Roman" w:cs="Times New Roman"/>
          <w:sz w:val="20"/>
          <w:szCs w:val="20"/>
        </w:rPr>
      </w:pPr>
      <w:r w:rsidRPr="006F6E26">
        <w:rPr>
          <w:rFonts w:ascii="Times New Roman" w:hAnsi="Times New Roman" w:cs="Times New Roman"/>
          <w:b/>
          <w:bCs/>
          <w:sz w:val="20"/>
          <w:szCs w:val="20"/>
        </w:rPr>
        <w:t>Table 4:</w:t>
      </w:r>
      <w:r w:rsidRPr="006F6E26">
        <w:rPr>
          <w:rFonts w:ascii="Times New Roman" w:hAnsi="Times New Roman" w:cs="Times New Roman"/>
          <w:sz w:val="20"/>
          <w:szCs w:val="20"/>
        </w:rPr>
        <w:t xml:space="preserve"> UBM Findings – Anterior Chamber Angle (ACA) per Quadrant</w:t>
      </w:r>
    </w:p>
    <w:tbl>
      <w:tblPr>
        <w:tblStyle w:val="GridTable1Light-Accent51"/>
        <w:tblW w:w="0" w:type="auto"/>
        <w:tblInd w:w="108" w:type="dxa"/>
        <w:tblLook w:val="04A0" w:firstRow="1" w:lastRow="0" w:firstColumn="1" w:lastColumn="0" w:noHBand="0" w:noVBand="1"/>
      </w:tblPr>
      <w:tblGrid>
        <w:gridCol w:w="2520"/>
        <w:gridCol w:w="1620"/>
        <w:gridCol w:w="1350"/>
        <w:gridCol w:w="1350"/>
        <w:gridCol w:w="1350"/>
      </w:tblGrid>
      <w:tr w:rsidR="00444CDE" w:rsidRPr="006F6E26" w14:paraId="00FF3A99"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38357520"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ACA (µm)</w:t>
            </w:r>
          </w:p>
        </w:tc>
        <w:tc>
          <w:tcPr>
            <w:tcW w:w="1620" w:type="dxa"/>
            <w:hideMark/>
          </w:tcPr>
          <w:p w14:paraId="75DB31A0"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Superior (%)</w:t>
            </w:r>
          </w:p>
        </w:tc>
        <w:tc>
          <w:tcPr>
            <w:tcW w:w="1350" w:type="dxa"/>
            <w:hideMark/>
          </w:tcPr>
          <w:p w14:paraId="750BC1A1"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Inferior (%)</w:t>
            </w:r>
          </w:p>
        </w:tc>
        <w:tc>
          <w:tcPr>
            <w:tcW w:w="1350" w:type="dxa"/>
            <w:hideMark/>
          </w:tcPr>
          <w:p w14:paraId="5F103D17"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Nasal (%)</w:t>
            </w:r>
          </w:p>
        </w:tc>
        <w:tc>
          <w:tcPr>
            <w:tcW w:w="1350" w:type="dxa"/>
            <w:hideMark/>
          </w:tcPr>
          <w:p w14:paraId="0D048216"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Temporal (%)</w:t>
            </w:r>
          </w:p>
        </w:tc>
      </w:tr>
      <w:tr w:rsidR="00444CDE" w:rsidRPr="006F6E26" w14:paraId="4D9F362D" w14:textId="77777777" w:rsidTr="006F6E26">
        <w:tc>
          <w:tcPr>
            <w:cnfStyle w:val="001000000000" w:firstRow="0" w:lastRow="0" w:firstColumn="1" w:lastColumn="0" w:oddVBand="0" w:evenVBand="0" w:oddHBand="0" w:evenHBand="0" w:firstRowFirstColumn="0" w:firstRowLastColumn="0" w:lastRowFirstColumn="0" w:lastRowLastColumn="0"/>
            <w:tcW w:w="2520" w:type="dxa"/>
            <w:hideMark/>
          </w:tcPr>
          <w:p w14:paraId="5A77A053"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≤50</w:t>
            </w:r>
          </w:p>
        </w:tc>
        <w:tc>
          <w:tcPr>
            <w:tcW w:w="1620" w:type="dxa"/>
            <w:hideMark/>
          </w:tcPr>
          <w:p w14:paraId="3A4E7874"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c>
          <w:tcPr>
            <w:tcW w:w="1350" w:type="dxa"/>
            <w:hideMark/>
          </w:tcPr>
          <w:p w14:paraId="6F6FD972"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c>
          <w:tcPr>
            <w:tcW w:w="1350" w:type="dxa"/>
            <w:hideMark/>
          </w:tcPr>
          <w:p w14:paraId="30F5EC6A"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c>
          <w:tcPr>
            <w:tcW w:w="1350" w:type="dxa"/>
            <w:hideMark/>
          </w:tcPr>
          <w:p w14:paraId="657B7E0A"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0.0%</w:t>
            </w:r>
          </w:p>
        </w:tc>
      </w:tr>
      <w:tr w:rsidR="00444CDE" w:rsidRPr="006F6E26" w14:paraId="7D5BD9DC" w14:textId="77777777" w:rsidTr="006F6E26">
        <w:tc>
          <w:tcPr>
            <w:cnfStyle w:val="001000000000" w:firstRow="0" w:lastRow="0" w:firstColumn="1" w:lastColumn="0" w:oddVBand="0" w:evenVBand="0" w:oddHBand="0" w:evenHBand="0" w:firstRowFirstColumn="0" w:firstRowLastColumn="0" w:lastRowFirstColumn="0" w:lastRowLastColumn="0"/>
            <w:tcW w:w="2520" w:type="dxa"/>
            <w:hideMark/>
          </w:tcPr>
          <w:p w14:paraId="6FEE2F71"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51–100</w:t>
            </w:r>
          </w:p>
        </w:tc>
        <w:tc>
          <w:tcPr>
            <w:tcW w:w="1620" w:type="dxa"/>
            <w:hideMark/>
          </w:tcPr>
          <w:p w14:paraId="1F9EECC0"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2EED4E67"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26.7%</w:t>
            </w:r>
          </w:p>
        </w:tc>
        <w:tc>
          <w:tcPr>
            <w:tcW w:w="1350" w:type="dxa"/>
            <w:hideMark/>
          </w:tcPr>
          <w:p w14:paraId="60E59849"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631024AD"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6.7%</w:t>
            </w:r>
          </w:p>
        </w:tc>
      </w:tr>
      <w:tr w:rsidR="00444CDE" w:rsidRPr="006F6E26" w14:paraId="0233CCE3" w14:textId="77777777" w:rsidTr="006F6E26">
        <w:tc>
          <w:tcPr>
            <w:cnfStyle w:val="001000000000" w:firstRow="0" w:lastRow="0" w:firstColumn="1" w:lastColumn="0" w:oddVBand="0" w:evenVBand="0" w:oddHBand="0" w:evenHBand="0" w:firstRowFirstColumn="0" w:firstRowLastColumn="0" w:lastRowFirstColumn="0" w:lastRowLastColumn="0"/>
            <w:tcW w:w="2520" w:type="dxa"/>
            <w:hideMark/>
          </w:tcPr>
          <w:p w14:paraId="47C1C508"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101–200</w:t>
            </w:r>
          </w:p>
        </w:tc>
        <w:tc>
          <w:tcPr>
            <w:tcW w:w="1620" w:type="dxa"/>
            <w:hideMark/>
          </w:tcPr>
          <w:p w14:paraId="6FB0A456"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53.3%</w:t>
            </w:r>
          </w:p>
        </w:tc>
        <w:tc>
          <w:tcPr>
            <w:tcW w:w="1350" w:type="dxa"/>
            <w:hideMark/>
          </w:tcPr>
          <w:p w14:paraId="669D6EAD"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40.0%</w:t>
            </w:r>
          </w:p>
        </w:tc>
        <w:tc>
          <w:tcPr>
            <w:tcW w:w="1350" w:type="dxa"/>
            <w:hideMark/>
          </w:tcPr>
          <w:p w14:paraId="40ABD15E"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53.3%</w:t>
            </w:r>
          </w:p>
        </w:tc>
        <w:tc>
          <w:tcPr>
            <w:tcW w:w="1350" w:type="dxa"/>
            <w:hideMark/>
          </w:tcPr>
          <w:p w14:paraId="1A8BD9EB"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80.0%</w:t>
            </w:r>
          </w:p>
        </w:tc>
      </w:tr>
      <w:tr w:rsidR="00444CDE" w:rsidRPr="006F6E26" w14:paraId="231CDD91" w14:textId="77777777" w:rsidTr="006F6E26">
        <w:tc>
          <w:tcPr>
            <w:cnfStyle w:val="001000000000" w:firstRow="0" w:lastRow="0" w:firstColumn="1" w:lastColumn="0" w:oddVBand="0" w:evenVBand="0" w:oddHBand="0" w:evenHBand="0" w:firstRowFirstColumn="0" w:firstRowLastColumn="0" w:lastRowFirstColumn="0" w:lastRowLastColumn="0"/>
            <w:tcW w:w="2520" w:type="dxa"/>
            <w:hideMark/>
          </w:tcPr>
          <w:p w14:paraId="1847E301"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&gt;200</w:t>
            </w:r>
          </w:p>
        </w:tc>
        <w:tc>
          <w:tcPr>
            <w:tcW w:w="1620" w:type="dxa"/>
            <w:hideMark/>
          </w:tcPr>
          <w:p w14:paraId="18DC5C3C"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c>
          <w:tcPr>
            <w:tcW w:w="1350" w:type="dxa"/>
            <w:hideMark/>
          </w:tcPr>
          <w:p w14:paraId="58CB1D1F"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0329185D"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20.0%</w:t>
            </w:r>
          </w:p>
        </w:tc>
        <w:tc>
          <w:tcPr>
            <w:tcW w:w="1350" w:type="dxa"/>
            <w:hideMark/>
          </w:tcPr>
          <w:p w14:paraId="5A98630D"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13.3%</w:t>
            </w:r>
          </w:p>
        </w:tc>
      </w:tr>
    </w:tbl>
    <w:p w14:paraId="591F694B" w14:textId="77777777" w:rsidR="00444CDE" w:rsidRPr="006F6E26" w:rsidRDefault="00444CDE" w:rsidP="006F6E26">
      <w:pPr>
        <w:pStyle w:val="NoSpacing"/>
        <w:jc w:val="both"/>
        <w:rPr>
          <w:rFonts w:ascii="Times New Roman" w:hAnsi="Times New Roman" w:cs="Times New Roman"/>
          <w:sz w:val="20"/>
          <w:szCs w:val="20"/>
        </w:rPr>
      </w:pPr>
    </w:p>
    <w:p w14:paraId="4AA5CD9E" w14:textId="77777777" w:rsidR="006F6E26" w:rsidRDefault="006F6E26" w:rsidP="006F6E26">
      <w:pPr>
        <w:pStyle w:val="NoSpacing"/>
        <w:jc w:val="both"/>
        <w:rPr>
          <w:rFonts w:ascii="Times New Roman" w:hAnsi="Times New Roman" w:cs="Times New Roman"/>
          <w:sz w:val="20"/>
          <w:szCs w:val="20"/>
        </w:rPr>
      </w:pPr>
      <w:bookmarkStart w:id="5" w:name="_mbhcklveq99v" w:colFirst="0" w:colLast="0"/>
      <w:bookmarkEnd w:id="5"/>
    </w:p>
    <w:p w14:paraId="5CEC5EE3" w14:textId="10FCBB30" w:rsidR="00444CDE" w:rsidRPr="006F6E26" w:rsidRDefault="00EC4F60" w:rsidP="006F6E26">
      <w:pPr>
        <w:pStyle w:val="NoSpacing"/>
        <w:spacing w:line="360" w:lineRule="auto"/>
        <w:jc w:val="both"/>
        <w:rPr>
          <w:rFonts w:ascii="Times New Roman" w:hAnsi="Times New Roman" w:cs="Times New Roman"/>
          <w:sz w:val="20"/>
          <w:szCs w:val="20"/>
        </w:rPr>
      </w:pPr>
      <w:r w:rsidRPr="006F6E26">
        <w:rPr>
          <w:rFonts w:ascii="Times New Roman" w:hAnsi="Times New Roman" w:cs="Times New Roman"/>
          <w:b/>
          <w:bCs/>
          <w:sz w:val="20"/>
          <w:szCs w:val="20"/>
        </w:rPr>
        <w:lastRenderedPageBreak/>
        <w:t>Table 5</w:t>
      </w:r>
      <w:r w:rsidR="00444CDE" w:rsidRPr="006F6E26">
        <w:rPr>
          <w:rFonts w:ascii="Times New Roman" w:hAnsi="Times New Roman" w:cs="Times New Roman"/>
          <w:b/>
          <w:bCs/>
          <w:sz w:val="20"/>
          <w:szCs w:val="20"/>
        </w:rPr>
        <w:t>:</w:t>
      </w:r>
      <w:r w:rsidR="00444CDE" w:rsidRPr="006F6E26">
        <w:rPr>
          <w:rFonts w:ascii="Times New Roman" w:hAnsi="Times New Roman" w:cs="Times New Roman"/>
          <w:sz w:val="20"/>
          <w:szCs w:val="20"/>
        </w:rPr>
        <w:t xml:space="preserve"> Quadrant-wise </w:t>
      </w:r>
      <w:proofErr w:type="spellStart"/>
      <w:r w:rsidR="00444CDE" w:rsidRPr="006F6E26">
        <w:rPr>
          <w:rFonts w:ascii="Times New Roman" w:hAnsi="Times New Roman" w:cs="Times New Roman"/>
          <w:sz w:val="20"/>
          <w:szCs w:val="20"/>
        </w:rPr>
        <w:t>Occludable</w:t>
      </w:r>
      <w:proofErr w:type="spellEnd"/>
      <w:r w:rsidR="00444CDE" w:rsidRPr="006F6E26">
        <w:rPr>
          <w:rFonts w:ascii="Times New Roman" w:hAnsi="Times New Roman" w:cs="Times New Roman"/>
          <w:sz w:val="20"/>
          <w:szCs w:val="20"/>
        </w:rPr>
        <w:t xml:space="preserve"> Angles Detected by Gonioscopy vs UBM</w:t>
      </w:r>
    </w:p>
    <w:tbl>
      <w:tblPr>
        <w:tblStyle w:val="GridTable1Light-Accent51"/>
        <w:tblW w:w="0" w:type="auto"/>
        <w:tblInd w:w="108" w:type="dxa"/>
        <w:tblLook w:val="04A0" w:firstRow="1" w:lastRow="0" w:firstColumn="1" w:lastColumn="0" w:noHBand="0" w:noVBand="1"/>
      </w:tblPr>
      <w:tblGrid>
        <w:gridCol w:w="1800"/>
        <w:gridCol w:w="2520"/>
        <w:gridCol w:w="2430"/>
      </w:tblGrid>
      <w:tr w:rsidR="00444CDE" w:rsidRPr="006F6E26" w14:paraId="320708CF"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14:paraId="1CA27FCF"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Quadrant</w:t>
            </w:r>
          </w:p>
        </w:tc>
        <w:tc>
          <w:tcPr>
            <w:tcW w:w="2520" w:type="dxa"/>
            <w:hideMark/>
          </w:tcPr>
          <w:p w14:paraId="210DE950"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 xml:space="preserve">Gonioscopy </w:t>
            </w:r>
            <w:proofErr w:type="spellStart"/>
            <w:r w:rsidRPr="006F6E26">
              <w:rPr>
                <w:rFonts w:ascii="Times New Roman" w:hAnsi="Times New Roman" w:cs="Times New Roman"/>
                <w:b w:val="0"/>
                <w:bCs w:val="0"/>
                <w:sz w:val="20"/>
                <w:szCs w:val="20"/>
              </w:rPr>
              <w:t>Occludable</w:t>
            </w:r>
            <w:proofErr w:type="spellEnd"/>
            <w:r w:rsidRPr="006F6E26">
              <w:rPr>
                <w:rFonts w:ascii="Times New Roman" w:hAnsi="Times New Roman" w:cs="Times New Roman"/>
                <w:b w:val="0"/>
                <w:bCs w:val="0"/>
                <w:sz w:val="20"/>
                <w:szCs w:val="20"/>
              </w:rPr>
              <w:t xml:space="preserve"> (%)</w:t>
            </w:r>
          </w:p>
        </w:tc>
        <w:tc>
          <w:tcPr>
            <w:tcW w:w="2430" w:type="dxa"/>
            <w:hideMark/>
          </w:tcPr>
          <w:p w14:paraId="2DBC75FC" w14:textId="77777777" w:rsidR="00444CDE" w:rsidRPr="006F6E26" w:rsidRDefault="00444CDE"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 xml:space="preserve">UBM </w:t>
            </w:r>
            <w:proofErr w:type="spellStart"/>
            <w:r w:rsidRPr="006F6E26">
              <w:rPr>
                <w:rFonts w:ascii="Times New Roman" w:hAnsi="Times New Roman" w:cs="Times New Roman"/>
                <w:b w:val="0"/>
                <w:bCs w:val="0"/>
                <w:sz w:val="20"/>
                <w:szCs w:val="20"/>
              </w:rPr>
              <w:t>Occludable</w:t>
            </w:r>
            <w:proofErr w:type="spellEnd"/>
            <w:r w:rsidRPr="006F6E26">
              <w:rPr>
                <w:rFonts w:ascii="Times New Roman" w:hAnsi="Times New Roman" w:cs="Times New Roman"/>
                <w:b w:val="0"/>
                <w:bCs w:val="0"/>
                <w:sz w:val="20"/>
                <w:szCs w:val="20"/>
              </w:rPr>
              <w:t xml:space="preserve"> (%)</w:t>
            </w:r>
          </w:p>
        </w:tc>
      </w:tr>
      <w:tr w:rsidR="00444CDE" w:rsidRPr="006F6E26" w14:paraId="264BA841" w14:textId="77777777" w:rsidTr="006F6E26">
        <w:tc>
          <w:tcPr>
            <w:cnfStyle w:val="001000000000" w:firstRow="0" w:lastRow="0" w:firstColumn="1" w:lastColumn="0" w:oddVBand="0" w:evenVBand="0" w:oddHBand="0" w:evenHBand="0" w:firstRowFirstColumn="0" w:firstRowLastColumn="0" w:lastRowFirstColumn="0" w:lastRowLastColumn="0"/>
            <w:tcW w:w="1800" w:type="dxa"/>
            <w:hideMark/>
          </w:tcPr>
          <w:p w14:paraId="52E9B2E2"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Superior</w:t>
            </w:r>
          </w:p>
        </w:tc>
        <w:tc>
          <w:tcPr>
            <w:tcW w:w="2520" w:type="dxa"/>
            <w:hideMark/>
          </w:tcPr>
          <w:p w14:paraId="6A805F17"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80.0%</w:t>
            </w:r>
          </w:p>
        </w:tc>
        <w:tc>
          <w:tcPr>
            <w:tcW w:w="2430" w:type="dxa"/>
            <w:hideMark/>
          </w:tcPr>
          <w:p w14:paraId="59CCF123"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86.7%</w:t>
            </w:r>
          </w:p>
        </w:tc>
      </w:tr>
      <w:tr w:rsidR="00444CDE" w:rsidRPr="006F6E26" w14:paraId="0B10E2EA" w14:textId="77777777" w:rsidTr="006F6E26">
        <w:tc>
          <w:tcPr>
            <w:cnfStyle w:val="001000000000" w:firstRow="0" w:lastRow="0" w:firstColumn="1" w:lastColumn="0" w:oddVBand="0" w:evenVBand="0" w:oddHBand="0" w:evenHBand="0" w:firstRowFirstColumn="0" w:firstRowLastColumn="0" w:lastRowFirstColumn="0" w:lastRowLastColumn="0"/>
            <w:tcW w:w="1800" w:type="dxa"/>
            <w:hideMark/>
          </w:tcPr>
          <w:p w14:paraId="3F82859A"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Inferior</w:t>
            </w:r>
          </w:p>
        </w:tc>
        <w:tc>
          <w:tcPr>
            <w:tcW w:w="2520" w:type="dxa"/>
            <w:hideMark/>
          </w:tcPr>
          <w:p w14:paraId="0D4C436F"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80.0%</w:t>
            </w:r>
          </w:p>
        </w:tc>
        <w:tc>
          <w:tcPr>
            <w:tcW w:w="2430" w:type="dxa"/>
            <w:hideMark/>
          </w:tcPr>
          <w:p w14:paraId="41C3AEAC"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73.3%</w:t>
            </w:r>
          </w:p>
        </w:tc>
      </w:tr>
      <w:tr w:rsidR="00444CDE" w:rsidRPr="006F6E26" w14:paraId="04BC0374" w14:textId="77777777" w:rsidTr="006F6E26">
        <w:tc>
          <w:tcPr>
            <w:cnfStyle w:val="001000000000" w:firstRow="0" w:lastRow="0" w:firstColumn="1" w:lastColumn="0" w:oddVBand="0" w:evenVBand="0" w:oddHBand="0" w:evenHBand="0" w:firstRowFirstColumn="0" w:firstRowLastColumn="0" w:lastRowFirstColumn="0" w:lastRowLastColumn="0"/>
            <w:tcW w:w="1800" w:type="dxa"/>
            <w:hideMark/>
          </w:tcPr>
          <w:p w14:paraId="21DDEA19"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Nasal</w:t>
            </w:r>
          </w:p>
        </w:tc>
        <w:tc>
          <w:tcPr>
            <w:tcW w:w="2520" w:type="dxa"/>
            <w:hideMark/>
          </w:tcPr>
          <w:p w14:paraId="596A98AC"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93.3%</w:t>
            </w:r>
          </w:p>
        </w:tc>
        <w:tc>
          <w:tcPr>
            <w:tcW w:w="2430" w:type="dxa"/>
            <w:hideMark/>
          </w:tcPr>
          <w:p w14:paraId="696FE549"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86.7%</w:t>
            </w:r>
          </w:p>
        </w:tc>
      </w:tr>
      <w:tr w:rsidR="00444CDE" w:rsidRPr="006F6E26" w14:paraId="254964A9" w14:textId="77777777" w:rsidTr="006F6E26">
        <w:tc>
          <w:tcPr>
            <w:cnfStyle w:val="001000000000" w:firstRow="0" w:lastRow="0" w:firstColumn="1" w:lastColumn="0" w:oddVBand="0" w:evenVBand="0" w:oddHBand="0" w:evenHBand="0" w:firstRowFirstColumn="0" w:firstRowLastColumn="0" w:lastRowFirstColumn="0" w:lastRowLastColumn="0"/>
            <w:tcW w:w="1800" w:type="dxa"/>
            <w:hideMark/>
          </w:tcPr>
          <w:p w14:paraId="3BDD3C21" w14:textId="77777777" w:rsidR="00444CDE" w:rsidRPr="006F6E26" w:rsidRDefault="00444CDE"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Temporal</w:t>
            </w:r>
          </w:p>
        </w:tc>
        <w:tc>
          <w:tcPr>
            <w:tcW w:w="2520" w:type="dxa"/>
            <w:hideMark/>
          </w:tcPr>
          <w:p w14:paraId="3158804D"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86.7%</w:t>
            </w:r>
          </w:p>
        </w:tc>
        <w:tc>
          <w:tcPr>
            <w:tcW w:w="2430" w:type="dxa"/>
            <w:hideMark/>
          </w:tcPr>
          <w:p w14:paraId="2B3EDA4C" w14:textId="77777777" w:rsidR="00444CDE" w:rsidRPr="006F6E26" w:rsidRDefault="00444CDE"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93.3%</w:t>
            </w:r>
          </w:p>
        </w:tc>
      </w:tr>
    </w:tbl>
    <w:p w14:paraId="71FB0A9E" w14:textId="77777777" w:rsidR="006D1F4D" w:rsidRPr="006F6E26" w:rsidRDefault="006D1F4D" w:rsidP="006F6E26">
      <w:pPr>
        <w:pStyle w:val="NoSpacing"/>
        <w:jc w:val="both"/>
        <w:rPr>
          <w:rFonts w:ascii="Times New Roman" w:hAnsi="Times New Roman" w:cs="Times New Roman"/>
          <w:sz w:val="20"/>
          <w:szCs w:val="20"/>
        </w:rPr>
      </w:pPr>
    </w:p>
    <w:p w14:paraId="784CEAA5" w14:textId="519F93EF" w:rsidR="00437B40" w:rsidRPr="006F6E26" w:rsidRDefault="00EC4F60" w:rsidP="006F6E26">
      <w:pPr>
        <w:pStyle w:val="NoSpacing"/>
        <w:spacing w:line="360" w:lineRule="auto"/>
        <w:jc w:val="both"/>
        <w:rPr>
          <w:rFonts w:ascii="Times New Roman" w:hAnsi="Times New Roman" w:cs="Times New Roman"/>
          <w:sz w:val="20"/>
          <w:szCs w:val="20"/>
        </w:rPr>
      </w:pPr>
      <w:r w:rsidRPr="006F6E26">
        <w:rPr>
          <w:rFonts w:ascii="Times New Roman" w:hAnsi="Times New Roman" w:cs="Times New Roman"/>
          <w:b/>
          <w:bCs/>
          <w:sz w:val="20"/>
          <w:szCs w:val="20"/>
        </w:rPr>
        <w:t>Table 6</w:t>
      </w:r>
      <w:r w:rsidR="00437B40" w:rsidRPr="006F6E26">
        <w:rPr>
          <w:rFonts w:ascii="Times New Roman" w:hAnsi="Times New Roman" w:cs="Times New Roman"/>
          <w:b/>
          <w:bCs/>
          <w:sz w:val="20"/>
          <w:szCs w:val="20"/>
        </w:rPr>
        <w:t>:</w:t>
      </w:r>
      <w:r w:rsidR="00437B40" w:rsidRPr="006F6E26">
        <w:rPr>
          <w:rFonts w:ascii="Times New Roman" w:hAnsi="Times New Roman" w:cs="Times New Roman"/>
          <w:sz w:val="20"/>
          <w:szCs w:val="20"/>
        </w:rPr>
        <w:t xml:space="preserve"> Sensitivity, Specificity, and Accuracy of UBM Compared to</w:t>
      </w:r>
    </w:p>
    <w:tbl>
      <w:tblPr>
        <w:tblStyle w:val="GridTable1Light-Accent51"/>
        <w:tblW w:w="0" w:type="auto"/>
        <w:tblInd w:w="108" w:type="dxa"/>
        <w:tblLook w:val="04A0" w:firstRow="1" w:lastRow="0" w:firstColumn="1" w:lastColumn="0" w:noHBand="0" w:noVBand="1"/>
      </w:tblPr>
      <w:tblGrid>
        <w:gridCol w:w="1800"/>
        <w:gridCol w:w="1530"/>
        <w:gridCol w:w="1530"/>
        <w:gridCol w:w="1890"/>
      </w:tblGrid>
      <w:tr w:rsidR="00437B40" w:rsidRPr="006F6E26" w14:paraId="0B8259E7"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hideMark/>
          </w:tcPr>
          <w:p w14:paraId="18870522" w14:textId="77777777" w:rsidR="00437B40" w:rsidRPr="006F6E26" w:rsidRDefault="00437B40" w:rsidP="006F6E26">
            <w:pPr>
              <w:pStyle w:val="NoSpacing"/>
              <w:jc w:val="both"/>
              <w:rPr>
                <w:rFonts w:ascii="Times New Roman" w:hAnsi="Times New Roman" w:cs="Times New Roman"/>
                <w:b w:val="0"/>
                <w:bCs w:val="0"/>
                <w:sz w:val="20"/>
                <w:szCs w:val="20"/>
              </w:rPr>
            </w:pPr>
            <w:bookmarkStart w:id="6" w:name="_koxpwtj94fi2" w:colFirst="0" w:colLast="0"/>
            <w:bookmarkEnd w:id="6"/>
            <w:r w:rsidRPr="006F6E26">
              <w:rPr>
                <w:rFonts w:ascii="Times New Roman" w:hAnsi="Times New Roman" w:cs="Times New Roman"/>
                <w:b w:val="0"/>
                <w:bCs w:val="0"/>
                <w:sz w:val="20"/>
                <w:szCs w:val="20"/>
              </w:rPr>
              <w:t>Quadrant</w:t>
            </w:r>
          </w:p>
        </w:tc>
        <w:tc>
          <w:tcPr>
            <w:tcW w:w="1530" w:type="dxa"/>
            <w:vAlign w:val="center"/>
            <w:hideMark/>
          </w:tcPr>
          <w:p w14:paraId="0EDC963D"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Sensitivity (%)</w:t>
            </w:r>
          </w:p>
        </w:tc>
        <w:tc>
          <w:tcPr>
            <w:tcW w:w="1530" w:type="dxa"/>
            <w:vAlign w:val="center"/>
            <w:hideMark/>
          </w:tcPr>
          <w:p w14:paraId="3F7C4E12"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Specificity (%)</w:t>
            </w:r>
          </w:p>
        </w:tc>
        <w:tc>
          <w:tcPr>
            <w:tcW w:w="1890" w:type="dxa"/>
            <w:vAlign w:val="center"/>
            <w:hideMark/>
          </w:tcPr>
          <w:p w14:paraId="1ECBCCF3"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Diagnostic Accuracy (%)</w:t>
            </w:r>
          </w:p>
        </w:tc>
      </w:tr>
      <w:tr w:rsidR="00437B40" w:rsidRPr="006F6E26" w14:paraId="3CE1478B" w14:textId="77777777" w:rsidTr="006F6E26">
        <w:tc>
          <w:tcPr>
            <w:cnfStyle w:val="001000000000" w:firstRow="0" w:lastRow="0" w:firstColumn="1" w:lastColumn="0" w:oddVBand="0" w:evenVBand="0" w:oddHBand="0" w:evenHBand="0" w:firstRowFirstColumn="0" w:firstRowLastColumn="0" w:lastRowFirstColumn="0" w:lastRowLastColumn="0"/>
            <w:tcW w:w="1800" w:type="dxa"/>
            <w:vAlign w:val="center"/>
            <w:hideMark/>
          </w:tcPr>
          <w:p w14:paraId="22BF9B4E"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Superior</w:t>
            </w:r>
          </w:p>
        </w:tc>
        <w:tc>
          <w:tcPr>
            <w:tcW w:w="1530" w:type="dxa"/>
            <w:vAlign w:val="center"/>
            <w:hideMark/>
          </w:tcPr>
          <w:p w14:paraId="2BB5D581"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100.0%</w:t>
            </w:r>
          </w:p>
        </w:tc>
        <w:tc>
          <w:tcPr>
            <w:tcW w:w="1530" w:type="dxa"/>
            <w:vAlign w:val="center"/>
            <w:hideMark/>
          </w:tcPr>
          <w:p w14:paraId="79CC8B5A"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66.7%</w:t>
            </w:r>
          </w:p>
        </w:tc>
        <w:tc>
          <w:tcPr>
            <w:tcW w:w="1890" w:type="dxa"/>
            <w:vAlign w:val="center"/>
            <w:hideMark/>
          </w:tcPr>
          <w:p w14:paraId="370B0590"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93.3%</w:t>
            </w:r>
          </w:p>
        </w:tc>
      </w:tr>
      <w:tr w:rsidR="00437B40" w:rsidRPr="006F6E26" w14:paraId="248355A2" w14:textId="77777777" w:rsidTr="006F6E26">
        <w:tc>
          <w:tcPr>
            <w:cnfStyle w:val="001000000000" w:firstRow="0" w:lastRow="0" w:firstColumn="1" w:lastColumn="0" w:oddVBand="0" w:evenVBand="0" w:oddHBand="0" w:evenHBand="0" w:firstRowFirstColumn="0" w:firstRowLastColumn="0" w:lastRowFirstColumn="0" w:lastRowLastColumn="0"/>
            <w:tcW w:w="1800" w:type="dxa"/>
            <w:vAlign w:val="center"/>
            <w:hideMark/>
          </w:tcPr>
          <w:p w14:paraId="29827E5B"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Inferior</w:t>
            </w:r>
          </w:p>
        </w:tc>
        <w:tc>
          <w:tcPr>
            <w:tcW w:w="1530" w:type="dxa"/>
            <w:vAlign w:val="center"/>
            <w:hideMark/>
          </w:tcPr>
          <w:p w14:paraId="0E364141"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91.7%</w:t>
            </w:r>
          </w:p>
        </w:tc>
        <w:tc>
          <w:tcPr>
            <w:tcW w:w="1530" w:type="dxa"/>
            <w:vAlign w:val="center"/>
            <w:hideMark/>
          </w:tcPr>
          <w:p w14:paraId="52720612"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100.0%</w:t>
            </w:r>
          </w:p>
        </w:tc>
        <w:tc>
          <w:tcPr>
            <w:tcW w:w="1890" w:type="dxa"/>
            <w:vAlign w:val="center"/>
            <w:hideMark/>
          </w:tcPr>
          <w:p w14:paraId="7B5FC7DD"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93.3%</w:t>
            </w:r>
          </w:p>
        </w:tc>
      </w:tr>
      <w:tr w:rsidR="00437B40" w:rsidRPr="006F6E26" w14:paraId="37D8D642" w14:textId="77777777" w:rsidTr="006F6E26">
        <w:tc>
          <w:tcPr>
            <w:cnfStyle w:val="001000000000" w:firstRow="0" w:lastRow="0" w:firstColumn="1" w:lastColumn="0" w:oddVBand="0" w:evenVBand="0" w:oddHBand="0" w:evenHBand="0" w:firstRowFirstColumn="0" w:firstRowLastColumn="0" w:lastRowFirstColumn="0" w:lastRowLastColumn="0"/>
            <w:tcW w:w="1800" w:type="dxa"/>
            <w:vAlign w:val="center"/>
            <w:hideMark/>
          </w:tcPr>
          <w:p w14:paraId="5D78F480"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Nasal</w:t>
            </w:r>
          </w:p>
        </w:tc>
        <w:tc>
          <w:tcPr>
            <w:tcW w:w="1530" w:type="dxa"/>
            <w:vAlign w:val="center"/>
            <w:hideMark/>
          </w:tcPr>
          <w:p w14:paraId="0448CBBD"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92.8%</w:t>
            </w:r>
          </w:p>
        </w:tc>
        <w:tc>
          <w:tcPr>
            <w:tcW w:w="1530" w:type="dxa"/>
            <w:vAlign w:val="center"/>
            <w:hideMark/>
          </w:tcPr>
          <w:p w14:paraId="77BCC116"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100.0%</w:t>
            </w:r>
          </w:p>
        </w:tc>
        <w:tc>
          <w:tcPr>
            <w:tcW w:w="1890" w:type="dxa"/>
            <w:vAlign w:val="center"/>
            <w:hideMark/>
          </w:tcPr>
          <w:p w14:paraId="1F48685F"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93.3%</w:t>
            </w:r>
          </w:p>
        </w:tc>
      </w:tr>
      <w:tr w:rsidR="00437B40" w:rsidRPr="006F6E26" w14:paraId="4473AC81" w14:textId="77777777" w:rsidTr="006F6E26">
        <w:tc>
          <w:tcPr>
            <w:cnfStyle w:val="001000000000" w:firstRow="0" w:lastRow="0" w:firstColumn="1" w:lastColumn="0" w:oddVBand="0" w:evenVBand="0" w:oddHBand="0" w:evenHBand="0" w:firstRowFirstColumn="0" w:firstRowLastColumn="0" w:lastRowFirstColumn="0" w:lastRowLastColumn="0"/>
            <w:tcW w:w="1800" w:type="dxa"/>
            <w:vAlign w:val="center"/>
            <w:hideMark/>
          </w:tcPr>
          <w:p w14:paraId="14A08256"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Temporal</w:t>
            </w:r>
          </w:p>
        </w:tc>
        <w:tc>
          <w:tcPr>
            <w:tcW w:w="1530" w:type="dxa"/>
            <w:vAlign w:val="center"/>
            <w:hideMark/>
          </w:tcPr>
          <w:p w14:paraId="6CB4E758"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100.0%</w:t>
            </w:r>
          </w:p>
        </w:tc>
        <w:tc>
          <w:tcPr>
            <w:tcW w:w="1530" w:type="dxa"/>
            <w:vAlign w:val="center"/>
            <w:hideMark/>
          </w:tcPr>
          <w:p w14:paraId="731C0D75"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50.0%</w:t>
            </w:r>
          </w:p>
        </w:tc>
        <w:tc>
          <w:tcPr>
            <w:tcW w:w="1890" w:type="dxa"/>
            <w:vAlign w:val="center"/>
            <w:hideMark/>
          </w:tcPr>
          <w:p w14:paraId="163D3053"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93.3%</w:t>
            </w:r>
          </w:p>
        </w:tc>
      </w:tr>
    </w:tbl>
    <w:p w14:paraId="0000005A" w14:textId="4A21D76E" w:rsidR="006B4221" w:rsidRPr="006F6E26" w:rsidRDefault="006B4221" w:rsidP="006F6E26">
      <w:pPr>
        <w:pStyle w:val="NoSpacing"/>
        <w:jc w:val="both"/>
        <w:rPr>
          <w:rFonts w:ascii="Times New Roman" w:hAnsi="Times New Roman" w:cs="Times New Roman"/>
          <w:sz w:val="20"/>
          <w:szCs w:val="20"/>
        </w:rPr>
      </w:pPr>
    </w:p>
    <w:p w14:paraId="155ADAA6" w14:textId="59B18EAE" w:rsidR="00437B40" w:rsidRPr="006F6E26" w:rsidRDefault="00EC4F60" w:rsidP="006F6E26">
      <w:pPr>
        <w:pStyle w:val="NoSpacing"/>
        <w:spacing w:line="360" w:lineRule="auto"/>
        <w:jc w:val="both"/>
        <w:rPr>
          <w:rFonts w:ascii="Times New Roman" w:hAnsi="Times New Roman" w:cs="Times New Roman"/>
          <w:sz w:val="20"/>
          <w:szCs w:val="20"/>
        </w:rPr>
      </w:pPr>
      <w:bookmarkStart w:id="7" w:name="_qnce73tuv81b" w:colFirst="0" w:colLast="0"/>
      <w:bookmarkEnd w:id="7"/>
      <w:r w:rsidRPr="006F6E26">
        <w:rPr>
          <w:rFonts w:ascii="Times New Roman" w:hAnsi="Times New Roman" w:cs="Times New Roman"/>
          <w:b/>
          <w:bCs/>
          <w:sz w:val="20"/>
          <w:szCs w:val="20"/>
        </w:rPr>
        <w:t>Table 7</w:t>
      </w:r>
      <w:r w:rsidR="00437B40" w:rsidRPr="006F6E26">
        <w:rPr>
          <w:rFonts w:ascii="Times New Roman" w:hAnsi="Times New Roman" w:cs="Times New Roman"/>
          <w:b/>
          <w:bCs/>
          <w:sz w:val="20"/>
          <w:szCs w:val="20"/>
        </w:rPr>
        <w:t>:</w:t>
      </w:r>
      <w:r w:rsidR="00437B40" w:rsidRPr="006F6E26">
        <w:rPr>
          <w:rFonts w:ascii="Times New Roman" w:hAnsi="Times New Roman" w:cs="Times New Roman"/>
          <w:sz w:val="20"/>
          <w:szCs w:val="20"/>
        </w:rPr>
        <w:t xml:space="preserve"> Anterior Chamber Depth (ACD) by UBM</w:t>
      </w:r>
    </w:p>
    <w:tbl>
      <w:tblPr>
        <w:tblStyle w:val="GridTable1Light-Accent51"/>
        <w:tblW w:w="0" w:type="auto"/>
        <w:tblInd w:w="108" w:type="dxa"/>
        <w:tblLook w:val="04A0" w:firstRow="1" w:lastRow="0" w:firstColumn="1" w:lastColumn="0" w:noHBand="0" w:noVBand="1"/>
      </w:tblPr>
      <w:tblGrid>
        <w:gridCol w:w="2700"/>
        <w:gridCol w:w="1980"/>
        <w:gridCol w:w="2070"/>
      </w:tblGrid>
      <w:tr w:rsidR="00437B40" w:rsidRPr="006F6E26" w14:paraId="7170A524"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hideMark/>
          </w:tcPr>
          <w:p w14:paraId="280F9DE6"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ACD (mm) Range</w:t>
            </w:r>
          </w:p>
        </w:tc>
        <w:tc>
          <w:tcPr>
            <w:tcW w:w="1980" w:type="dxa"/>
            <w:hideMark/>
          </w:tcPr>
          <w:p w14:paraId="7A29590B"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Frequency (n)</w:t>
            </w:r>
          </w:p>
        </w:tc>
        <w:tc>
          <w:tcPr>
            <w:tcW w:w="2070" w:type="dxa"/>
            <w:hideMark/>
          </w:tcPr>
          <w:p w14:paraId="1F49E8B2"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Percentage (%)</w:t>
            </w:r>
          </w:p>
        </w:tc>
      </w:tr>
      <w:tr w:rsidR="00437B40" w:rsidRPr="006F6E26" w14:paraId="5ADF3D42" w14:textId="77777777" w:rsidTr="006F6E26">
        <w:tc>
          <w:tcPr>
            <w:cnfStyle w:val="001000000000" w:firstRow="0" w:lastRow="0" w:firstColumn="1" w:lastColumn="0" w:oddVBand="0" w:evenVBand="0" w:oddHBand="0" w:evenHBand="0" w:firstRowFirstColumn="0" w:firstRowLastColumn="0" w:lastRowFirstColumn="0" w:lastRowLastColumn="0"/>
            <w:tcW w:w="2700" w:type="dxa"/>
            <w:hideMark/>
          </w:tcPr>
          <w:p w14:paraId="097C43ED"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≤2.00 mm</w:t>
            </w:r>
          </w:p>
        </w:tc>
        <w:tc>
          <w:tcPr>
            <w:tcW w:w="1980" w:type="dxa"/>
            <w:hideMark/>
          </w:tcPr>
          <w:p w14:paraId="7F4699A9"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10</w:t>
            </w:r>
          </w:p>
        </w:tc>
        <w:tc>
          <w:tcPr>
            <w:tcW w:w="2070" w:type="dxa"/>
            <w:hideMark/>
          </w:tcPr>
          <w:p w14:paraId="5281DBEF"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33.3%</w:t>
            </w:r>
          </w:p>
        </w:tc>
      </w:tr>
      <w:tr w:rsidR="00437B40" w:rsidRPr="006F6E26" w14:paraId="592E2A33" w14:textId="77777777" w:rsidTr="006F6E26">
        <w:tc>
          <w:tcPr>
            <w:cnfStyle w:val="001000000000" w:firstRow="0" w:lastRow="0" w:firstColumn="1" w:lastColumn="0" w:oddVBand="0" w:evenVBand="0" w:oddHBand="0" w:evenHBand="0" w:firstRowFirstColumn="0" w:firstRowLastColumn="0" w:lastRowFirstColumn="0" w:lastRowLastColumn="0"/>
            <w:tcW w:w="2700" w:type="dxa"/>
            <w:hideMark/>
          </w:tcPr>
          <w:p w14:paraId="413DFA39"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&gt;2.00 mm</w:t>
            </w:r>
          </w:p>
        </w:tc>
        <w:tc>
          <w:tcPr>
            <w:tcW w:w="1980" w:type="dxa"/>
            <w:hideMark/>
          </w:tcPr>
          <w:p w14:paraId="01B5301B"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w:t>
            </w:r>
          </w:p>
        </w:tc>
        <w:tc>
          <w:tcPr>
            <w:tcW w:w="2070" w:type="dxa"/>
            <w:hideMark/>
          </w:tcPr>
          <w:p w14:paraId="1F0335A8"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66.7%</w:t>
            </w:r>
          </w:p>
        </w:tc>
      </w:tr>
      <w:tr w:rsidR="00437B40" w:rsidRPr="006F6E26" w14:paraId="151EBCF6" w14:textId="77777777" w:rsidTr="006F6E26">
        <w:tc>
          <w:tcPr>
            <w:cnfStyle w:val="001000000000" w:firstRow="0" w:lastRow="0" w:firstColumn="1" w:lastColumn="0" w:oddVBand="0" w:evenVBand="0" w:oddHBand="0" w:evenHBand="0" w:firstRowFirstColumn="0" w:firstRowLastColumn="0" w:lastRowFirstColumn="0" w:lastRowLastColumn="0"/>
            <w:tcW w:w="2700" w:type="dxa"/>
            <w:hideMark/>
          </w:tcPr>
          <w:p w14:paraId="5B15D1E6" w14:textId="77777777" w:rsidR="00437B40" w:rsidRPr="006F6E26" w:rsidRDefault="00437B40" w:rsidP="006F6E26">
            <w:pPr>
              <w:pStyle w:val="NoSpacing"/>
              <w:jc w:val="both"/>
              <w:rPr>
                <w:rFonts w:ascii="Times New Roman" w:hAnsi="Times New Roman" w:cs="Times New Roman"/>
                <w:b w:val="0"/>
                <w:bCs w:val="0"/>
                <w:sz w:val="20"/>
                <w:szCs w:val="20"/>
              </w:rPr>
            </w:pPr>
            <w:r w:rsidRPr="006F6E26">
              <w:rPr>
                <w:rFonts w:ascii="Times New Roman" w:hAnsi="Times New Roman" w:cs="Times New Roman"/>
                <w:b w:val="0"/>
                <w:bCs w:val="0"/>
                <w:sz w:val="20"/>
                <w:szCs w:val="20"/>
              </w:rPr>
              <w:t>Mean ACD</w:t>
            </w:r>
          </w:p>
        </w:tc>
        <w:tc>
          <w:tcPr>
            <w:tcW w:w="1980" w:type="dxa"/>
            <w:hideMark/>
          </w:tcPr>
          <w:p w14:paraId="6F22498E"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w:t>
            </w:r>
          </w:p>
        </w:tc>
        <w:tc>
          <w:tcPr>
            <w:tcW w:w="2070" w:type="dxa"/>
            <w:hideMark/>
          </w:tcPr>
          <w:p w14:paraId="116CC719"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2.04 ± 0.44 mm</w:t>
            </w:r>
          </w:p>
        </w:tc>
      </w:tr>
    </w:tbl>
    <w:p w14:paraId="35994F2B" w14:textId="4B361640" w:rsidR="00437B40" w:rsidRPr="006F6E26" w:rsidRDefault="00437B40" w:rsidP="006F6E26">
      <w:pPr>
        <w:pStyle w:val="NoSpacing"/>
        <w:jc w:val="both"/>
        <w:rPr>
          <w:rFonts w:ascii="Times New Roman" w:hAnsi="Times New Roman" w:cs="Times New Roman"/>
          <w:sz w:val="20"/>
          <w:szCs w:val="20"/>
        </w:rPr>
      </w:pPr>
    </w:p>
    <w:p w14:paraId="0536B80F" w14:textId="60692C93" w:rsidR="00437B40" w:rsidRPr="006F6E26" w:rsidRDefault="00EC4F60" w:rsidP="006F6E26">
      <w:pPr>
        <w:pStyle w:val="NoSpacing"/>
        <w:spacing w:line="360" w:lineRule="auto"/>
        <w:jc w:val="both"/>
        <w:rPr>
          <w:rFonts w:ascii="Times New Roman" w:hAnsi="Times New Roman" w:cs="Times New Roman"/>
          <w:sz w:val="20"/>
          <w:szCs w:val="20"/>
        </w:rPr>
      </w:pPr>
      <w:r w:rsidRPr="006F6E26">
        <w:rPr>
          <w:rFonts w:ascii="Times New Roman" w:hAnsi="Times New Roman" w:cs="Times New Roman"/>
          <w:b/>
          <w:bCs/>
          <w:sz w:val="20"/>
          <w:szCs w:val="20"/>
        </w:rPr>
        <w:t>Table 8</w:t>
      </w:r>
      <w:r w:rsidR="00437B40" w:rsidRPr="006F6E26">
        <w:rPr>
          <w:rFonts w:ascii="Times New Roman" w:hAnsi="Times New Roman" w:cs="Times New Roman"/>
          <w:b/>
          <w:bCs/>
          <w:sz w:val="20"/>
          <w:szCs w:val="20"/>
        </w:rPr>
        <w:t>:</w:t>
      </w:r>
      <w:r w:rsidR="00437B40" w:rsidRPr="006F6E26">
        <w:rPr>
          <w:rFonts w:ascii="Times New Roman" w:hAnsi="Times New Roman" w:cs="Times New Roman"/>
          <w:sz w:val="20"/>
          <w:szCs w:val="20"/>
        </w:rPr>
        <w:t xml:space="preserve"> Mean Angle Opening Distance (AOD 500) by UBM per Quadrant</w:t>
      </w:r>
    </w:p>
    <w:tbl>
      <w:tblPr>
        <w:tblStyle w:val="GridTable1Light-Accent51"/>
        <w:tblW w:w="0" w:type="auto"/>
        <w:tblInd w:w="108" w:type="dxa"/>
        <w:tblLook w:val="04A0" w:firstRow="1" w:lastRow="0" w:firstColumn="1" w:lastColumn="0" w:noHBand="0" w:noVBand="1"/>
      </w:tblPr>
      <w:tblGrid>
        <w:gridCol w:w="2250"/>
        <w:gridCol w:w="2160"/>
        <w:gridCol w:w="2340"/>
      </w:tblGrid>
      <w:tr w:rsidR="00437B40" w:rsidRPr="006F6E26" w14:paraId="571BED12" w14:textId="77777777" w:rsidTr="006F6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3DF53269" w14:textId="77777777" w:rsidR="00437B40" w:rsidRPr="006F6E26" w:rsidRDefault="00437B40" w:rsidP="006F6E26">
            <w:pPr>
              <w:pStyle w:val="NoSpacing"/>
              <w:rPr>
                <w:rFonts w:ascii="Times New Roman" w:hAnsi="Times New Roman" w:cs="Times New Roman"/>
                <w:b w:val="0"/>
                <w:bCs w:val="0"/>
                <w:sz w:val="20"/>
                <w:szCs w:val="20"/>
              </w:rPr>
            </w:pPr>
            <w:bookmarkStart w:id="8" w:name="_vegdvzaalerh" w:colFirst="0" w:colLast="0"/>
            <w:bookmarkEnd w:id="8"/>
            <w:r w:rsidRPr="006F6E26">
              <w:rPr>
                <w:rFonts w:ascii="Times New Roman" w:hAnsi="Times New Roman" w:cs="Times New Roman"/>
                <w:b w:val="0"/>
                <w:bCs w:val="0"/>
                <w:sz w:val="20"/>
                <w:szCs w:val="20"/>
              </w:rPr>
              <w:t>Quadrant</w:t>
            </w:r>
          </w:p>
        </w:tc>
        <w:tc>
          <w:tcPr>
            <w:tcW w:w="2160" w:type="dxa"/>
            <w:shd w:val="clear" w:color="auto" w:fill="auto"/>
            <w:hideMark/>
          </w:tcPr>
          <w:p w14:paraId="029BAD41"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Mean AOD 500 (µm)</w:t>
            </w:r>
          </w:p>
        </w:tc>
        <w:tc>
          <w:tcPr>
            <w:tcW w:w="2340" w:type="dxa"/>
            <w:shd w:val="clear" w:color="auto" w:fill="auto"/>
            <w:hideMark/>
          </w:tcPr>
          <w:p w14:paraId="2952588D" w14:textId="77777777" w:rsidR="00437B40" w:rsidRPr="006F6E26" w:rsidRDefault="00437B40" w:rsidP="006F6E2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F6E26">
              <w:rPr>
                <w:rFonts w:ascii="Times New Roman" w:hAnsi="Times New Roman" w:cs="Times New Roman"/>
                <w:b w:val="0"/>
                <w:bCs w:val="0"/>
                <w:sz w:val="20"/>
                <w:szCs w:val="20"/>
              </w:rPr>
              <w:t>Standard Deviation (µm)</w:t>
            </w:r>
          </w:p>
        </w:tc>
      </w:tr>
      <w:tr w:rsidR="00437B40" w:rsidRPr="006F6E26" w14:paraId="49320F7D" w14:textId="77777777" w:rsidTr="006F6E26">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65629FD5" w14:textId="77777777" w:rsidR="00437B40" w:rsidRPr="006F6E26" w:rsidRDefault="00437B40" w:rsidP="006F6E26">
            <w:pPr>
              <w:pStyle w:val="NoSpacing"/>
              <w:rPr>
                <w:rFonts w:ascii="Times New Roman" w:hAnsi="Times New Roman" w:cs="Times New Roman"/>
                <w:b w:val="0"/>
                <w:bCs w:val="0"/>
                <w:sz w:val="20"/>
                <w:szCs w:val="20"/>
              </w:rPr>
            </w:pPr>
            <w:r w:rsidRPr="006F6E26">
              <w:rPr>
                <w:rFonts w:ascii="Times New Roman" w:hAnsi="Times New Roman" w:cs="Times New Roman"/>
                <w:b w:val="0"/>
                <w:bCs w:val="0"/>
                <w:sz w:val="20"/>
                <w:szCs w:val="20"/>
              </w:rPr>
              <w:t>Superior</w:t>
            </w:r>
          </w:p>
        </w:tc>
        <w:tc>
          <w:tcPr>
            <w:tcW w:w="2160" w:type="dxa"/>
            <w:shd w:val="clear" w:color="auto" w:fill="auto"/>
            <w:hideMark/>
          </w:tcPr>
          <w:p w14:paraId="139A957C"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108.07</w:t>
            </w:r>
          </w:p>
        </w:tc>
        <w:tc>
          <w:tcPr>
            <w:tcW w:w="2340" w:type="dxa"/>
            <w:shd w:val="clear" w:color="auto" w:fill="auto"/>
            <w:hideMark/>
          </w:tcPr>
          <w:p w14:paraId="2C656720"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 56.93</w:t>
            </w:r>
          </w:p>
        </w:tc>
      </w:tr>
      <w:tr w:rsidR="00437B40" w:rsidRPr="006F6E26" w14:paraId="2308B10E" w14:textId="77777777" w:rsidTr="006F6E26">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20891896" w14:textId="77777777" w:rsidR="00437B40" w:rsidRPr="006F6E26" w:rsidRDefault="00437B40" w:rsidP="006F6E26">
            <w:pPr>
              <w:pStyle w:val="NoSpacing"/>
              <w:rPr>
                <w:rFonts w:ascii="Times New Roman" w:hAnsi="Times New Roman" w:cs="Times New Roman"/>
                <w:b w:val="0"/>
                <w:bCs w:val="0"/>
                <w:sz w:val="20"/>
                <w:szCs w:val="20"/>
              </w:rPr>
            </w:pPr>
            <w:r w:rsidRPr="006F6E26">
              <w:rPr>
                <w:rFonts w:ascii="Times New Roman" w:hAnsi="Times New Roman" w:cs="Times New Roman"/>
                <w:b w:val="0"/>
                <w:bCs w:val="0"/>
                <w:sz w:val="20"/>
                <w:szCs w:val="20"/>
              </w:rPr>
              <w:t>Inferior</w:t>
            </w:r>
          </w:p>
        </w:tc>
        <w:tc>
          <w:tcPr>
            <w:tcW w:w="2160" w:type="dxa"/>
            <w:shd w:val="clear" w:color="auto" w:fill="auto"/>
            <w:hideMark/>
          </w:tcPr>
          <w:p w14:paraId="4680F4BB"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128.87</w:t>
            </w:r>
          </w:p>
        </w:tc>
        <w:tc>
          <w:tcPr>
            <w:tcW w:w="2340" w:type="dxa"/>
            <w:shd w:val="clear" w:color="auto" w:fill="auto"/>
            <w:hideMark/>
          </w:tcPr>
          <w:p w14:paraId="5C397349"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 50.92</w:t>
            </w:r>
          </w:p>
        </w:tc>
      </w:tr>
      <w:tr w:rsidR="00437B40" w:rsidRPr="006F6E26" w14:paraId="1A12DBE5" w14:textId="77777777" w:rsidTr="006F6E26">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1F7D3164" w14:textId="77777777" w:rsidR="00437B40" w:rsidRPr="006F6E26" w:rsidRDefault="00437B40" w:rsidP="006F6E26">
            <w:pPr>
              <w:pStyle w:val="NoSpacing"/>
              <w:rPr>
                <w:rFonts w:ascii="Times New Roman" w:hAnsi="Times New Roman" w:cs="Times New Roman"/>
                <w:b w:val="0"/>
                <w:bCs w:val="0"/>
                <w:sz w:val="20"/>
                <w:szCs w:val="20"/>
              </w:rPr>
            </w:pPr>
            <w:r w:rsidRPr="006F6E26">
              <w:rPr>
                <w:rFonts w:ascii="Times New Roman" w:hAnsi="Times New Roman" w:cs="Times New Roman"/>
                <w:b w:val="0"/>
                <w:bCs w:val="0"/>
                <w:sz w:val="20"/>
                <w:szCs w:val="20"/>
              </w:rPr>
              <w:t>Nasal</w:t>
            </w:r>
          </w:p>
        </w:tc>
        <w:tc>
          <w:tcPr>
            <w:tcW w:w="2160" w:type="dxa"/>
            <w:shd w:val="clear" w:color="auto" w:fill="auto"/>
            <w:hideMark/>
          </w:tcPr>
          <w:p w14:paraId="20DC91DC"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113.13</w:t>
            </w:r>
          </w:p>
        </w:tc>
        <w:tc>
          <w:tcPr>
            <w:tcW w:w="2340" w:type="dxa"/>
            <w:shd w:val="clear" w:color="auto" w:fill="auto"/>
            <w:hideMark/>
          </w:tcPr>
          <w:p w14:paraId="48D4782B"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 45.90</w:t>
            </w:r>
          </w:p>
        </w:tc>
      </w:tr>
      <w:tr w:rsidR="00437B40" w:rsidRPr="006F6E26" w14:paraId="1F8F83C4" w14:textId="77777777" w:rsidTr="006F6E26">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14:paraId="608AA499" w14:textId="77777777" w:rsidR="00437B40" w:rsidRPr="006F6E26" w:rsidRDefault="00437B40" w:rsidP="006F6E26">
            <w:pPr>
              <w:pStyle w:val="NoSpacing"/>
              <w:rPr>
                <w:rFonts w:ascii="Times New Roman" w:hAnsi="Times New Roman" w:cs="Times New Roman"/>
                <w:b w:val="0"/>
                <w:bCs w:val="0"/>
                <w:sz w:val="20"/>
                <w:szCs w:val="20"/>
              </w:rPr>
            </w:pPr>
            <w:r w:rsidRPr="006F6E26">
              <w:rPr>
                <w:rFonts w:ascii="Times New Roman" w:hAnsi="Times New Roman" w:cs="Times New Roman"/>
                <w:b w:val="0"/>
                <w:bCs w:val="0"/>
                <w:sz w:val="20"/>
                <w:szCs w:val="20"/>
              </w:rPr>
              <w:t>Temporal</w:t>
            </w:r>
          </w:p>
        </w:tc>
        <w:tc>
          <w:tcPr>
            <w:tcW w:w="2160" w:type="dxa"/>
            <w:shd w:val="clear" w:color="auto" w:fill="auto"/>
            <w:hideMark/>
          </w:tcPr>
          <w:p w14:paraId="41D97B91"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117.33</w:t>
            </w:r>
          </w:p>
        </w:tc>
        <w:tc>
          <w:tcPr>
            <w:tcW w:w="2340" w:type="dxa"/>
            <w:shd w:val="clear" w:color="auto" w:fill="auto"/>
            <w:hideMark/>
          </w:tcPr>
          <w:p w14:paraId="4F66386D" w14:textId="77777777" w:rsidR="00437B40" w:rsidRPr="006F6E26" w:rsidRDefault="00437B40" w:rsidP="006F6E2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6E26">
              <w:rPr>
                <w:rFonts w:ascii="Times New Roman" w:hAnsi="Times New Roman" w:cs="Times New Roman"/>
                <w:sz w:val="20"/>
                <w:szCs w:val="20"/>
              </w:rPr>
              <w:t>± 51.72</w:t>
            </w:r>
          </w:p>
        </w:tc>
      </w:tr>
    </w:tbl>
    <w:p w14:paraId="44FA4EB8" w14:textId="77777777" w:rsidR="00437B40" w:rsidRPr="006F6E26" w:rsidRDefault="00437B40" w:rsidP="006F6E26">
      <w:pPr>
        <w:pStyle w:val="NoSpacing"/>
        <w:jc w:val="both"/>
        <w:rPr>
          <w:rFonts w:ascii="Times New Roman" w:hAnsi="Times New Roman" w:cs="Times New Roman"/>
          <w:sz w:val="20"/>
          <w:szCs w:val="20"/>
        </w:rPr>
      </w:pPr>
    </w:p>
    <w:p w14:paraId="00000062" w14:textId="2D2090AB" w:rsidR="006B4221" w:rsidRPr="006F6E26" w:rsidRDefault="00EC4F60" w:rsidP="003C35C1">
      <w:pPr>
        <w:pStyle w:val="NoSpacing"/>
        <w:spacing w:line="360" w:lineRule="auto"/>
        <w:jc w:val="both"/>
        <w:rPr>
          <w:rFonts w:ascii="Times New Roman" w:hAnsi="Times New Roman" w:cs="Times New Roman"/>
          <w:sz w:val="20"/>
          <w:szCs w:val="20"/>
        </w:rPr>
      </w:pPr>
      <w:r w:rsidRPr="003C35C1">
        <w:rPr>
          <w:rFonts w:ascii="Times New Roman" w:hAnsi="Times New Roman" w:cs="Times New Roman"/>
          <w:b/>
          <w:bCs/>
          <w:sz w:val="20"/>
          <w:szCs w:val="20"/>
        </w:rPr>
        <w:t>Table 9</w:t>
      </w:r>
      <w:r w:rsidR="00437B40" w:rsidRPr="003C35C1">
        <w:rPr>
          <w:rFonts w:ascii="Times New Roman" w:hAnsi="Times New Roman" w:cs="Times New Roman"/>
          <w:b/>
          <w:bCs/>
          <w:sz w:val="20"/>
          <w:szCs w:val="20"/>
        </w:rPr>
        <w:t>:</w:t>
      </w:r>
      <w:r w:rsidR="00437B40" w:rsidRPr="006F6E26">
        <w:rPr>
          <w:rFonts w:ascii="Times New Roman" w:hAnsi="Times New Roman" w:cs="Times New Roman"/>
          <w:sz w:val="20"/>
          <w:szCs w:val="20"/>
        </w:rPr>
        <w:t xml:space="preserve"> Statistical Comparison of Gonioscopy and UBM (Mean ACA Grading)</w:t>
      </w:r>
    </w:p>
    <w:tbl>
      <w:tblPr>
        <w:tblStyle w:val="GridTable1Light-Accent51"/>
        <w:tblW w:w="0" w:type="auto"/>
        <w:tblInd w:w="108" w:type="dxa"/>
        <w:tblLook w:val="04A0" w:firstRow="1" w:lastRow="0" w:firstColumn="1" w:lastColumn="0" w:noHBand="0" w:noVBand="1"/>
      </w:tblPr>
      <w:tblGrid>
        <w:gridCol w:w="2250"/>
        <w:gridCol w:w="2160"/>
        <w:gridCol w:w="2340"/>
      </w:tblGrid>
      <w:tr w:rsidR="00437B40" w:rsidRPr="003C35C1" w14:paraId="0DE2E7C6" w14:textId="77777777" w:rsidTr="003C3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hideMark/>
          </w:tcPr>
          <w:p w14:paraId="13634599" w14:textId="77777777" w:rsidR="00437B40" w:rsidRPr="003C35C1" w:rsidRDefault="00437B40" w:rsidP="006F6E26">
            <w:pPr>
              <w:pStyle w:val="NoSpacing"/>
              <w:jc w:val="both"/>
              <w:rPr>
                <w:rFonts w:ascii="Times New Roman" w:hAnsi="Times New Roman" w:cs="Times New Roman"/>
                <w:b w:val="0"/>
                <w:bCs w:val="0"/>
                <w:sz w:val="20"/>
                <w:szCs w:val="20"/>
              </w:rPr>
            </w:pPr>
            <w:bookmarkStart w:id="9" w:name="_hwfhuh6di0vf" w:colFirst="0" w:colLast="0"/>
            <w:bookmarkEnd w:id="9"/>
            <w:r w:rsidRPr="003C35C1">
              <w:rPr>
                <w:rFonts w:ascii="Times New Roman" w:hAnsi="Times New Roman" w:cs="Times New Roman"/>
                <w:b w:val="0"/>
                <w:bCs w:val="0"/>
                <w:sz w:val="20"/>
                <w:szCs w:val="20"/>
              </w:rPr>
              <w:t>Quadrant</w:t>
            </w:r>
          </w:p>
        </w:tc>
        <w:tc>
          <w:tcPr>
            <w:tcW w:w="2160" w:type="dxa"/>
            <w:hideMark/>
          </w:tcPr>
          <w:p w14:paraId="6271C52A" w14:textId="77777777" w:rsidR="00437B40" w:rsidRPr="003C35C1" w:rsidRDefault="00437B40" w:rsidP="003C35C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C35C1">
              <w:rPr>
                <w:rFonts w:ascii="Times New Roman" w:hAnsi="Times New Roman" w:cs="Times New Roman"/>
                <w:b w:val="0"/>
                <w:bCs w:val="0"/>
                <w:sz w:val="20"/>
                <w:szCs w:val="20"/>
              </w:rPr>
              <w:t>p-value</w:t>
            </w:r>
          </w:p>
        </w:tc>
        <w:tc>
          <w:tcPr>
            <w:tcW w:w="2340" w:type="dxa"/>
            <w:hideMark/>
          </w:tcPr>
          <w:p w14:paraId="41A5BA25" w14:textId="77777777" w:rsidR="00437B40" w:rsidRPr="003C35C1" w:rsidRDefault="00437B40" w:rsidP="003C35C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C35C1">
              <w:rPr>
                <w:rFonts w:ascii="Times New Roman" w:hAnsi="Times New Roman" w:cs="Times New Roman"/>
                <w:b w:val="0"/>
                <w:bCs w:val="0"/>
                <w:sz w:val="20"/>
                <w:szCs w:val="20"/>
              </w:rPr>
              <w:t>Significance</w:t>
            </w:r>
          </w:p>
        </w:tc>
      </w:tr>
      <w:tr w:rsidR="00437B40" w:rsidRPr="003C35C1" w14:paraId="39100319" w14:textId="77777777" w:rsidTr="003C35C1">
        <w:tc>
          <w:tcPr>
            <w:cnfStyle w:val="001000000000" w:firstRow="0" w:lastRow="0" w:firstColumn="1" w:lastColumn="0" w:oddVBand="0" w:evenVBand="0" w:oddHBand="0" w:evenHBand="0" w:firstRowFirstColumn="0" w:firstRowLastColumn="0" w:lastRowFirstColumn="0" w:lastRowLastColumn="0"/>
            <w:tcW w:w="2250" w:type="dxa"/>
            <w:hideMark/>
          </w:tcPr>
          <w:p w14:paraId="54E25199"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Superior</w:t>
            </w:r>
          </w:p>
        </w:tc>
        <w:tc>
          <w:tcPr>
            <w:tcW w:w="2160" w:type="dxa"/>
            <w:hideMark/>
          </w:tcPr>
          <w:p w14:paraId="09613D0B"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0.210</w:t>
            </w:r>
          </w:p>
        </w:tc>
        <w:tc>
          <w:tcPr>
            <w:tcW w:w="2340" w:type="dxa"/>
            <w:hideMark/>
          </w:tcPr>
          <w:p w14:paraId="726F7608"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Not Significant</w:t>
            </w:r>
          </w:p>
        </w:tc>
      </w:tr>
      <w:tr w:rsidR="00437B40" w:rsidRPr="003C35C1" w14:paraId="2757388F" w14:textId="77777777" w:rsidTr="003C35C1">
        <w:tc>
          <w:tcPr>
            <w:cnfStyle w:val="001000000000" w:firstRow="0" w:lastRow="0" w:firstColumn="1" w:lastColumn="0" w:oddVBand="0" w:evenVBand="0" w:oddHBand="0" w:evenHBand="0" w:firstRowFirstColumn="0" w:firstRowLastColumn="0" w:lastRowFirstColumn="0" w:lastRowLastColumn="0"/>
            <w:tcW w:w="2250" w:type="dxa"/>
            <w:hideMark/>
          </w:tcPr>
          <w:p w14:paraId="3653A907"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Inferior</w:t>
            </w:r>
          </w:p>
        </w:tc>
        <w:tc>
          <w:tcPr>
            <w:tcW w:w="2160" w:type="dxa"/>
            <w:hideMark/>
          </w:tcPr>
          <w:p w14:paraId="42884E4E"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0.703</w:t>
            </w:r>
          </w:p>
        </w:tc>
        <w:tc>
          <w:tcPr>
            <w:tcW w:w="2340" w:type="dxa"/>
            <w:hideMark/>
          </w:tcPr>
          <w:p w14:paraId="0230DB3C"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Not Significant</w:t>
            </w:r>
          </w:p>
        </w:tc>
      </w:tr>
      <w:tr w:rsidR="00437B40" w:rsidRPr="003C35C1" w14:paraId="28E64746" w14:textId="77777777" w:rsidTr="003C35C1">
        <w:tc>
          <w:tcPr>
            <w:cnfStyle w:val="001000000000" w:firstRow="0" w:lastRow="0" w:firstColumn="1" w:lastColumn="0" w:oddVBand="0" w:evenVBand="0" w:oddHBand="0" w:evenHBand="0" w:firstRowFirstColumn="0" w:firstRowLastColumn="0" w:lastRowFirstColumn="0" w:lastRowLastColumn="0"/>
            <w:tcW w:w="2250" w:type="dxa"/>
            <w:hideMark/>
          </w:tcPr>
          <w:p w14:paraId="58217C6C"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Nasal</w:t>
            </w:r>
          </w:p>
        </w:tc>
        <w:tc>
          <w:tcPr>
            <w:tcW w:w="2160" w:type="dxa"/>
            <w:hideMark/>
          </w:tcPr>
          <w:p w14:paraId="17AF2E1A"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0.497</w:t>
            </w:r>
          </w:p>
        </w:tc>
        <w:tc>
          <w:tcPr>
            <w:tcW w:w="2340" w:type="dxa"/>
            <w:hideMark/>
          </w:tcPr>
          <w:p w14:paraId="36886061"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Not Significant</w:t>
            </w:r>
          </w:p>
        </w:tc>
      </w:tr>
      <w:tr w:rsidR="00437B40" w:rsidRPr="003C35C1" w14:paraId="68FD3AB0" w14:textId="77777777" w:rsidTr="003C35C1">
        <w:tc>
          <w:tcPr>
            <w:cnfStyle w:val="001000000000" w:firstRow="0" w:lastRow="0" w:firstColumn="1" w:lastColumn="0" w:oddVBand="0" w:evenVBand="0" w:oddHBand="0" w:evenHBand="0" w:firstRowFirstColumn="0" w:firstRowLastColumn="0" w:lastRowFirstColumn="0" w:lastRowLastColumn="0"/>
            <w:tcW w:w="2250" w:type="dxa"/>
            <w:hideMark/>
          </w:tcPr>
          <w:p w14:paraId="254920B2"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Temporal</w:t>
            </w:r>
          </w:p>
        </w:tc>
        <w:tc>
          <w:tcPr>
            <w:tcW w:w="2160" w:type="dxa"/>
            <w:hideMark/>
          </w:tcPr>
          <w:p w14:paraId="01782575"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0.534</w:t>
            </w:r>
          </w:p>
        </w:tc>
        <w:tc>
          <w:tcPr>
            <w:tcW w:w="2340" w:type="dxa"/>
            <w:hideMark/>
          </w:tcPr>
          <w:p w14:paraId="7941B658" w14:textId="77777777" w:rsidR="00437B40" w:rsidRPr="003C35C1" w:rsidRDefault="00437B40" w:rsidP="003C35C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Not Significant</w:t>
            </w:r>
          </w:p>
        </w:tc>
      </w:tr>
    </w:tbl>
    <w:p w14:paraId="39E0F735" w14:textId="77777777" w:rsidR="00437B40" w:rsidRPr="006F6E26" w:rsidRDefault="00437B40" w:rsidP="006F6E26">
      <w:pPr>
        <w:pStyle w:val="NoSpacing"/>
        <w:jc w:val="both"/>
        <w:rPr>
          <w:rFonts w:ascii="Times New Roman" w:hAnsi="Times New Roman" w:cs="Times New Roman"/>
          <w:sz w:val="20"/>
          <w:szCs w:val="20"/>
        </w:rPr>
      </w:pPr>
    </w:p>
    <w:p w14:paraId="12BF46BC" w14:textId="02F356EC" w:rsidR="00437B40" w:rsidRPr="006F6E26" w:rsidRDefault="00EC4F60" w:rsidP="003C35C1">
      <w:pPr>
        <w:pStyle w:val="NoSpacing"/>
        <w:spacing w:line="360" w:lineRule="auto"/>
        <w:jc w:val="both"/>
        <w:rPr>
          <w:rFonts w:ascii="Times New Roman" w:hAnsi="Times New Roman" w:cs="Times New Roman"/>
          <w:sz w:val="20"/>
          <w:szCs w:val="20"/>
        </w:rPr>
      </w:pPr>
      <w:r w:rsidRPr="003C35C1">
        <w:rPr>
          <w:rFonts w:ascii="Times New Roman" w:hAnsi="Times New Roman" w:cs="Times New Roman"/>
          <w:b/>
          <w:bCs/>
          <w:sz w:val="20"/>
          <w:szCs w:val="20"/>
        </w:rPr>
        <w:t>Table 10</w:t>
      </w:r>
      <w:r w:rsidR="00437B40" w:rsidRPr="003C35C1">
        <w:rPr>
          <w:rFonts w:ascii="Times New Roman" w:hAnsi="Times New Roman" w:cs="Times New Roman"/>
          <w:b/>
          <w:bCs/>
          <w:sz w:val="20"/>
          <w:szCs w:val="20"/>
        </w:rPr>
        <w:t>:</w:t>
      </w:r>
      <w:r w:rsidR="00437B40" w:rsidRPr="006F6E26">
        <w:rPr>
          <w:rFonts w:ascii="Times New Roman" w:hAnsi="Times New Roman" w:cs="Times New Roman"/>
          <w:sz w:val="20"/>
          <w:szCs w:val="20"/>
        </w:rPr>
        <w:t xml:space="preserve"> Summary of Key Observations</w:t>
      </w:r>
    </w:p>
    <w:tbl>
      <w:tblPr>
        <w:tblStyle w:val="GridTable1Light-Accent51"/>
        <w:tblW w:w="0" w:type="auto"/>
        <w:tblInd w:w="108" w:type="dxa"/>
        <w:tblLook w:val="04A0" w:firstRow="1" w:lastRow="0" w:firstColumn="1" w:lastColumn="0" w:noHBand="0" w:noVBand="1"/>
      </w:tblPr>
      <w:tblGrid>
        <w:gridCol w:w="3060"/>
        <w:gridCol w:w="3690"/>
      </w:tblGrid>
      <w:tr w:rsidR="00437B40" w:rsidRPr="003C35C1" w14:paraId="04C8A3E6" w14:textId="77777777" w:rsidTr="003C3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hideMark/>
          </w:tcPr>
          <w:p w14:paraId="35352972"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Parameter</w:t>
            </w:r>
          </w:p>
        </w:tc>
        <w:tc>
          <w:tcPr>
            <w:tcW w:w="3690" w:type="dxa"/>
            <w:hideMark/>
          </w:tcPr>
          <w:p w14:paraId="5383DD2B" w14:textId="77777777" w:rsidR="00437B40" w:rsidRPr="003C35C1" w:rsidRDefault="00437B40" w:rsidP="006F6E26">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C35C1">
              <w:rPr>
                <w:rFonts w:ascii="Times New Roman" w:hAnsi="Times New Roman" w:cs="Times New Roman"/>
                <w:b w:val="0"/>
                <w:bCs w:val="0"/>
                <w:sz w:val="20"/>
                <w:szCs w:val="20"/>
              </w:rPr>
              <w:t>Key Result/Range</w:t>
            </w:r>
          </w:p>
        </w:tc>
      </w:tr>
      <w:tr w:rsidR="00437B40" w:rsidRPr="003C35C1" w14:paraId="2EBEDBAD"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204469E6"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Mean Age</w:t>
            </w:r>
          </w:p>
        </w:tc>
        <w:tc>
          <w:tcPr>
            <w:tcW w:w="3690" w:type="dxa"/>
            <w:hideMark/>
          </w:tcPr>
          <w:p w14:paraId="7B9F70FF"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57.93 ± 6.65 years</w:t>
            </w:r>
          </w:p>
        </w:tc>
      </w:tr>
      <w:tr w:rsidR="00437B40" w:rsidRPr="003C35C1" w14:paraId="2C96DB85"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6AFE4B32"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Most Affected Sex</w:t>
            </w:r>
          </w:p>
        </w:tc>
        <w:tc>
          <w:tcPr>
            <w:tcW w:w="3690" w:type="dxa"/>
            <w:hideMark/>
          </w:tcPr>
          <w:p w14:paraId="3897A4B7"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Female (63.3%)</w:t>
            </w:r>
          </w:p>
        </w:tc>
      </w:tr>
      <w:tr w:rsidR="00437B40" w:rsidRPr="003C35C1" w14:paraId="0E0A9273"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32704B65"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Most Common Affected Eye</w:t>
            </w:r>
          </w:p>
        </w:tc>
        <w:tc>
          <w:tcPr>
            <w:tcW w:w="3690" w:type="dxa"/>
            <w:hideMark/>
          </w:tcPr>
          <w:p w14:paraId="19091F83"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Right (53.3%)</w:t>
            </w:r>
          </w:p>
        </w:tc>
      </w:tr>
      <w:tr w:rsidR="00437B40" w:rsidRPr="003C35C1" w14:paraId="0DD6FCBA"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46A0FF8C"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Commonest Gonioscopy Grade</w:t>
            </w:r>
          </w:p>
        </w:tc>
        <w:tc>
          <w:tcPr>
            <w:tcW w:w="3690" w:type="dxa"/>
            <w:hideMark/>
          </w:tcPr>
          <w:p w14:paraId="2978796C"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Grade 2 in all quadrants</w:t>
            </w:r>
          </w:p>
        </w:tc>
      </w:tr>
      <w:tr w:rsidR="00437B40" w:rsidRPr="003C35C1" w14:paraId="242A6653"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0BAA32E8"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Most Frequent ACA Range</w:t>
            </w:r>
          </w:p>
        </w:tc>
        <w:tc>
          <w:tcPr>
            <w:tcW w:w="3690" w:type="dxa"/>
            <w:hideMark/>
          </w:tcPr>
          <w:p w14:paraId="1B6F9EC3"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110–200 µm</w:t>
            </w:r>
          </w:p>
        </w:tc>
      </w:tr>
      <w:tr w:rsidR="00437B40" w:rsidRPr="003C35C1" w14:paraId="30AAC552"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09A43C92"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Mean ACD (UBM)</w:t>
            </w:r>
          </w:p>
        </w:tc>
        <w:tc>
          <w:tcPr>
            <w:tcW w:w="3690" w:type="dxa"/>
            <w:hideMark/>
          </w:tcPr>
          <w:p w14:paraId="7CB46C46"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2.04 ± 0.44 mm</w:t>
            </w:r>
          </w:p>
        </w:tc>
      </w:tr>
      <w:tr w:rsidR="00437B40" w:rsidRPr="003C35C1" w14:paraId="33D6B54A"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2260B96D"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Highest Sensitivity (UBM)</w:t>
            </w:r>
          </w:p>
        </w:tc>
        <w:tc>
          <w:tcPr>
            <w:tcW w:w="3690" w:type="dxa"/>
            <w:hideMark/>
          </w:tcPr>
          <w:p w14:paraId="73B64DE1"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Superior and Temporal Quadrants (100%)</w:t>
            </w:r>
          </w:p>
        </w:tc>
      </w:tr>
      <w:tr w:rsidR="00437B40" w:rsidRPr="003C35C1" w14:paraId="63CE8DF5"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4EF597CC"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Lowest Specificity (UBM)</w:t>
            </w:r>
          </w:p>
        </w:tc>
        <w:tc>
          <w:tcPr>
            <w:tcW w:w="3690" w:type="dxa"/>
            <w:hideMark/>
          </w:tcPr>
          <w:p w14:paraId="3ECD44A0"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Temporal Quadrant (50%)</w:t>
            </w:r>
          </w:p>
        </w:tc>
      </w:tr>
      <w:tr w:rsidR="00437B40" w:rsidRPr="003C35C1" w14:paraId="4FDCEBA5" w14:textId="77777777" w:rsidTr="003C35C1">
        <w:tc>
          <w:tcPr>
            <w:cnfStyle w:val="001000000000" w:firstRow="0" w:lastRow="0" w:firstColumn="1" w:lastColumn="0" w:oddVBand="0" w:evenVBand="0" w:oddHBand="0" w:evenHBand="0" w:firstRowFirstColumn="0" w:firstRowLastColumn="0" w:lastRowFirstColumn="0" w:lastRowLastColumn="0"/>
            <w:tcW w:w="3060" w:type="dxa"/>
            <w:hideMark/>
          </w:tcPr>
          <w:p w14:paraId="0628D60F" w14:textId="77777777" w:rsidR="00437B40" w:rsidRPr="003C35C1" w:rsidRDefault="00437B40" w:rsidP="006F6E26">
            <w:pPr>
              <w:pStyle w:val="NoSpacing"/>
              <w:jc w:val="both"/>
              <w:rPr>
                <w:rFonts w:ascii="Times New Roman" w:hAnsi="Times New Roman" w:cs="Times New Roman"/>
                <w:b w:val="0"/>
                <w:bCs w:val="0"/>
                <w:sz w:val="20"/>
                <w:szCs w:val="20"/>
              </w:rPr>
            </w:pPr>
            <w:r w:rsidRPr="003C35C1">
              <w:rPr>
                <w:rFonts w:ascii="Times New Roman" w:hAnsi="Times New Roman" w:cs="Times New Roman"/>
                <w:b w:val="0"/>
                <w:bCs w:val="0"/>
                <w:sz w:val="20"/>
                <w:szCs w:val="20"/>
              </w:rPr>
              <w:t>Overall UBM Accuracy</w:t>
            </w:r>
          </w:p>
        </w:tc>
        <w:tc>
          <w:tcPr>
            <w:tcW w:w="3690" w:type="dxa"/>
            <w:hideMark/>
          </w:tcPr>
          <w:p w14:paraId="67A8C00F" w14:textId="77777777" w:rsidR="00437B40" w:rsidRPr="003C35C1" w:rsidRDefault="00437B40" w:rsidP="006F6E2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35C1">
              <w:rPr>
                <w:rFonts w:ascii="Times New Roman" w:hAnsi="Times New Roman" w:cs="Times New Roman"/>
                <w:sz w:val="20"/>
                <w:szCs w:val="20"/>
              </w:rPr>
              <w:t>93.3%</w:t>
            </w:r>
          </w:p>
        </w:tc>
      </w:tr>
    </w:tbl>
    <w:p w14:paraId="36B0EBCC" w14:textId="77777777" w:rsidR="00437B40" w:rsidRPr="00AA7130" w:rsidRDefault="00437B40" w:rsidP="007934F7">
      <w:pPr>
        <w:pStyle w:val="NoSpacing"/>
      </w:pPr>
    </w:p>
    <w:p w14:paraId="3D2538BE" w14:textId="4CAF1D92" w:rsidR="00EC4F60" w:rsidRPr="00030025" w:rsidRDefault="00AA7130" w:rsidP="00030025">
      <w:pPr>
        <w:spacing w:line="360" w:lineRule="auto"/>
        <w:rPr>
          <w:rFonts w:ascii="Times New Roman" w:eastAsiaTheme="minorHAnsi" w:hAnsi="Times New Roman" w:cs="Times New Roman"/>
          <w:b/>
          <w:sz w:val="20"/>
          <w:szCs w:val="20"/>
        </w:rPr>
      </w:pPr>
      <w:r w:rsidRPr="00AA7130">
        <w:rPr>
          <w:rFonts w:ascii="Times New Roman" w:eastAsiaTheme="minorHAnsi" w:hAnsi="Times New Roman" w:cs="Times New Roman"/>
          <w:b/>
          <w:sz w:val="20"/>
          <w:szCs w:val="20"/>
        </w:rPr>
        <w:t>DISCUSSION</w:t>
      </w:r>
    </w:p>
    <w:p w14:paraId="00000078" w14:textId="00CD8E1C" w:rsidR="006B4221" w:rsidRPr="00437B40" w:rsidRDefault="004B7046" w:rsidP="00030025">
      <w:pPr>
        <w:jc w:val="both"/>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 xml:space="preserve">It's very essential to diagnose primary angle-closure glaucoma (PACG) at an early stage, as once the optic nerve is damaged, it can't be reversed. To ensure that the condition doesn't get worse, it's essential to evaluate the narrowness of the eye's angle. In this study, two techniques—gonioscopy and ultrasound </w:t>
      </w:r>
      <w:proofErr w:type="spellStart"/>
      <w:r w:rsidRPr="00437B40">
        <w:rPr>
          <w:rFonts w:ascii="Times New Roman" w:eastAsiaTheme="minorHAnsi" w:hAnsi="Times New Roman" w:cs="Times New Roman"/>
          <w:sz w:val="20"/>
          <w:szCs w:val="20"/>
        </w:rPr>
        <w:t>biomicroscopy</w:t>
      </w:r>
      <w:proofErr w:type="spellEnd"/>
      <w:r w:rsidRPr="00437B40">
        <w:rPr>
          <w:rFonts w:ascii="Times New Roman" w:eastAsiaTheme="minorHAnsi" w:hAnsi="Times New Roman" w:cs="Times New Roman"/>
          <w:sz w:val="20"/>
          <w:szCs w:val="20"/>
        </w:rPr>
        <w:t xml:space="preserve"> (UBM)—were compared to see how they measure up in identifying narrow angles.</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 xml:space="preserve">The average age of patients was around 57 years, and, as might be anticipated, most were elderly patients. This aligns with what is already known: risk for PACG rises with age due to normal changes in the eye, including the anterior chamber becoming shallower. There were also more women affected </w:t>
      </w:r>
      <w:r w:rsidRPr="00437B40">
        <w:rPr>
          <w:rFonts w:ascii="Times New Roman" w:eastAsiaTheme="minorHAnsi" w:hAnsi="Times New Roman" w:cs="Times New Roman"/>
          <w:sz w:val="20"/>
          <w:szCs w:val="20"/>
        </w:rPr>
        <w:lastRenderedPageBreak/>
        <w:t>than men, which aligns with other research showing women to have narrower angles.</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Gonioscopy, a clinical tool with the Shaffer grading system, showed mostly Grade 2 angles, which are dangerous for angle closure. These were common in all quadrants of the eye, more so in the nasal and temporal areas.</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UBM, on the other h</w:t>
      </w:r>
      <w:r w:rsidR="00AA7130">
        <w:rPr>
          <w:rFonts w:ascii="Times New Roman" w:eastAsiaTheme="minorHAnsi" w:hAnsi="Times New Roman" w:cs="Times New Roman"/>
          <w:sz w:val="20"/>
          <w:szCs w:val="20"/>
        </w:rPr>
        <w:t>and, gave</w:t>
      </w:r>
      <w:r w:rsidRPr="00437B40">
        <w:rPr>
          <w:rFonts w:ascii="Times New Roman" w:eastAsiaTheme="minorHAnsi" w:hAnsi="Times New Roman" w:cs="Times New Roman"/>
          <w:sz w:val="20"/>
          <w:szCs w:val="20"/>
        </w:rPr>
        <w:t xml:space="preserve"> more quantified dimensions. Most patients had angles of 110–200 micrometers, which is very narrow. UBM also allowed doctors to measure the anterior chamber depth (ACD) and angle opening distance (AOD 500), giving a better picture of the eye's anatomy than gonioscopy alone.</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When comparing both methods, UBM was extremely accurate, especially in the identification of problematic angles in the superior and nasal quadrants. Overall, UBM had a 93.3% diagnostic accuracy, which is excellent and supports earlier research that also praised the imaging capabilities of UBM.</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That said, there were some differences. For example, UBM's specificity in the temporal quadrant was lower (50%), meaning that it had some false positives. That may be due to challenges in scanning that area of the eye, such as how patients are seated or the shape of the iris. Gonioscopy is done with the patient seated, and UBM in the supine position—that may also affect the way the angles look.</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Statistically, there was no difference between the UBM and gonioscopy findings, proving both to be useful tools. UBM, however, offers the added benefit in that it offers measurements and images that gonioscopy cannot.</w:t>
      </w:r>
      <w:r w:rsidR="00030025">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Thus, while gonioscopy is still the first choice for the evaluation of eye angles, UBM is a very useful adjunct—especially for difficult cases where more information is needed.</w:t>
      </w:r>
    </w:p>
    <w:p w14:paraId="00000079" w14:textId="77777777" w:rsidR="006B4221" w:rsidRPr="00AA7130" w:rsidRDefault="006B4221">
      <w:pPr>
        <w:rPr>
          <w:rFonts w:ascii="Times New Roman" w:eastAsiaTheme="minorHAnsi" w:hAnsi="Times New Roman" w:cs="Times New Roman"/>
          <w:b/>
          <w:sz w:val="20"/>
          <w:szCs w:val="20"/>
        </w:rPr>
      </w:pPr>
    </w:p>
    <w:p w14:paraId="095072D3" w14:textId="5B3507F6" w:rsidR="00437B40" w:rsidRPr="00030025" w:rsidRDefault="00AA7130" w:rsidP="00030025">
      <w:pPr>
        <w:spacing w:line="360" w:lineRule="auto"/>
        <w:rPr>
          <w:rFonts w:ascii="Times New Roman" w:eastAsiaTheme="minorHAnsi" w:hAnsi="Times New Roman" w:cs="Times New Roman"/>
          <w:b/>
          <w:sz w:val="20"/>
          <w:szCs w:val="20"/>
        </w:rPr>
      </w:pPr>
      <w:r w:rsidRPr="00AA7130">
        <w:rPr>
          <w:rFonts w:ascii="Times New Roman" w:eastAsiaTheme="minorHAnsi" w:hAnsi="Times New Roman" w:cs="Times New Roman"/>
          <w:b/>
          <w:sz w:val="20"/>
          <w:szCs w:val="20"/>
        </w:rPr>
        <w:t>CONCLUSION</w:t>
      </w:r>
    </w:p>
    <w:p w14:paraId="0000007E" w14:textId="23DB25B9" w:rsidR="006B4221" w:rsidRDefault="004B7046" w:rsidP="00030025">
      <w:pPr>
        <w:rPr>
          <w:rFonts w:ascii="Times New Roman" w:eastAsiaTheme="minorHAnsi" w:hAnsi="Times New Roman" w:cs="Times New Roman"/>
          <w:sz w:val="20"/>
          <w:szCs w:val="20"/>
        </w:rPr>
      </w:pPr>
      <w:r w:rsidRPr="00437B40">
        <w:rPr>
          <w:rFonts w:ascii="Times New Roman" w:eastAsiaTheme="minorHAnsi" w:hAnsi="Times New Roman" w:cs="Times New Roman"/>
          <w:sz w:val="20"/>
          <w:szCs w:val="20"/>
        </w:rPr>
        <w:t>This study illustrates that both gonioscopy and UBM are very good techniques for the assessment of narrow eye angles. Gonioscopy remains the clinical gold standard, but UBM offers more information because it can quantify and image the internal ocular structure.</w:t>
      </w:r>
      <w:r w:rsidR="00AA7130">
        <w:rPr>
          <w:rFonts w:ascii="Times New Roman" w:eastAsiaTheme="minorHAnsi" w:hAnsi="Times New Roman" w:cs="Times New Roman"/>
          <w:sz w:val="20"/>
          <w:szCs w:val="20"/>
        </w:rPr>
        <w:t xml:space="preserve"> </w:t>
      </w:r>
      <w:r w:rsidRPr="00437B40">
        <w:rPr>
          <w:rFonts w:ascii="Times New Roman" w:eastAsiaTheme="minorHAnsi" w:hAnsi="Times New Roman" w:cs="Times New Roman"/>
          <w:sz w:val="20"/>
          <w:szCs w:val="20"/>
        </w:rPr>
        <w:t xml:space="preserve">With its high sensitivity and good accuracy—especially for angles that may lead to PACG—UBM is an excellent adjunct to gonioscopy. Together, the two methods can lead to better diagnoses and </w:t>
      </w:r>
      <w:proofErr w:type="gramStart"/>
      <w:r w:rsidRPr="00437B40">
        <w:rPr>
          <w:rFonts w:ascii="Times New Roman" w:eastAsiaTheme="minorHAnsi" w:hAnsi="Times New Roman" w:cs="Times New Roman"/>
          <w:sz w:val="20"/>
          <w:szCs w:val="20"/>
        </w:rPr>
        <w:t>better informed</w:t>
      </w:r>
      <w:proofErr w:type="gramEnd"/>
      <w:r w:rsidRPr="00437B40">
        <w:rPr>
          <w:rFonts w:ascii="Times New Roman" w:eastAsiaTheme="minorHAnsi" w:hAnsi="Times New Roman" w:cs="Times New Roman"/>
          <w:sz w:val="20"/>
          <w:szCs w:val="20"/>
        </w:rPr>
        <w:t xml:space="preserve"> treatment plans, hopefully stopping PACG from progressing to advanced vision loss.</w:t>
      </w:r>
    </w:p>
    <w:p w14:paraId="0AD1141B" w14:textId="77777777" w:rsidR="00030025" w:rsidRPr="00437B40" w:rsidRDefault="00030025" w:rsidP="00030025">
      <w:pPr>
        <w:rPr>
          <w:rFonts w:ascii="Times New Roman" w:eastAsiaTheme="minorHAnsi" w:hAnsi="Times New Roman" w:cs="Times New Roman"/>
          <w:sz w:val="20"/>
          <w:szCs w:val="20"/>
        </w:rPr>
      </w:pPr>
    </w:p>
    <w:p w14:paraId="0000007F" w14:textId="58720E48" w:rsidR="006B4221" w:rsidRPr="00030025" w:rsidRDefault="00AA7130" w:rsidP="00030025">
      <w:pPr>
        <w:pStyle w:val="NoSpacing"/>
        <w:spacing w:line="360" w:lineRule="auto"/>
        <w:jc w:val="both"/>
        <w:rPr>
          <w:rFonts w:ascii="Times New Roman" w:hAnsi="Times New Roman" w:cs="Times New Roman"/>
          <w:b/>
          <w:bCs/>
          <w:sz w:val="20"/>
          <w:szCs w:val="20"/>
        </w:rPr>
      </w:pPr>
      <w:bookmarkStart w:id="10" w:name="_88khmck06238" w:colFirst="0" w:colLast="0"/>
      <w:bookmarkEnd w:id="10"/>
      <w:r w:rsidRPr="00030025">
        <w:rPr>
          <w:rFonts w:ascii="Times New Roman" w:hAnsi="Times New Roman" w:cs="Times New Roman"/>
          <w:b/>
          <w:bCs/>
          <w:sz w:val="20"/>
          <w:szCs w:val="20"/>
        </w:rPr>
        <w:t>LIMITATIONS OF THE STUDY</w:t>
      </w:r>
    </w:p>
    <w:p w14:paraId="00000080" w14:textId="27D9C02C" w:rsidR="006B4221" w:rsidRPr="00030025" w:rsidRDefault="004B7046" w:rsidP="006F6E26">
      <w:pPr>
        <w:pStyle w:val="NoSpacing"/>
        <w:numPr>
          <w:ilvl w:val="0"/>
          <w:numId w:val="8"/>
        </w:numPr>
        <w:spacing w:line="276" w:lineRule="auto"/>
        <w:rPr>
          <w:rFonts w:ascii="Times New Roman" w:hAnsi="Times New Roman" w:cs="Times New Roman"/>
          <w:sz w:val="20"/>
          <w:szCs w:val="20"/>
        </w:rPr>
      </w:pPr>
      <w:r w:rsidRPr="00030025">
        <w:rPr>
          <w:rFonts w:ascii="Times New Roman" w:hAnsi="Times New Roman" w:cs="Times New Roman"/>
          <w:sz w:val="20"/>
          <w:szCs w:val="20"/>
        </w:rPr>
        <w:t>The study was conducted at a single tertiary care center, limiting generalizability.</w:t>
      </w:r>
    </w:p>
    <w:p w14:paraId="00000081" w14:textId="67AE16D9" w:rsidR="006B4221" w:rsidRPr="00030025" w:rsidRDefault="004B7046" w:rsidP="006F6E26">
      <w:pPr>
        <w:pStyle w:val="NoSpacing"/>
        <w:numPr>
          <w:ilvl w:val="0"/>
          <w:numId w:val="8"/>
        </w:numPr>
        <w:spacing w:line="276" w:lineRule="auto"/>
        <w:rPr>
          <w:rFonts w:ascii="Times New Roman" w:hAnsi="Times New Roman" w:cs="Times New Roman"/>
          <w:sz w:val="20"/>
          <w:szCs w:val="20"/>
        </w:rPr>
      </w:pPr>
      <w:r w:rsidRPr="00030025">
        <w:rPr>
          <w:rFonts w:ascii="Times New Roman" w:hAnsi="Times New Roman" w:cs="Times New Roman"/>
          <w:sz w:val="20"/>
          <w:szCs w:val="20"/>
        </w:rPr>
        <w:t>The sample size was small (n=30), which may reduce statistical power and representation.</w:t>
      </w:r>
    </w:p>
    <w:p w14:paraId="00000082" w14:textId="1CAF6BE2" w:rsidR="006B4221" w:rsidRPr="00030025" w:rsidRDefault="004B7046" w:rsidP="006F6E26">
      <w:pPr>
        <w:pStyle w:val="NoSpacing"/>
        <w:numPr>
          <w:ilvl w:val="0"/>
          <w:numId w:val="8"/>
        </w:numPr>
        <w:spacing w:line="276" w:lineRule="auto"/>
        <w:rPr>
          <w:rFonts w:ascii="Times New Roman" w:hAnsi="Times New Roman" w:cs="Times New Roman"/>
          <w:sz w:val="20"/>
          <w:szCs w:val="20"/>
        </w:rPr>
      </w:pPr>
      <w:r w:rsidRPr="00030025">
        <w:rPr>
          <w:rFonts w:ascii="Times New Roman" w:hAnsi="Times New Roman" w:cs="Times New Roman"/>
          <w:sz w:val="20"/>
          <w:szCs w:val="20"/>
        </w:rPr>
        <w:t>All procedures were performed under uniform dim illumination; assessments under variable lighting conditions were not included.</w:t>
      </w:r>
    </w:p>
    <w:p w14:paraId="00000083" w14:textId="10CA89E8" w:rsidR="006B4221" w:rsidRPr="00030025" w:rsidRDefault="004B7046" w:rsidP="006F6E26">
      <w:pPr>
        <w:pStyle w:val="NoSpacing"/>
        <w:numPr>
          <w:ilvl w:val="0"/>
          <w:numId w:val="8"/>
        </w:numPr>
        <w:spacing w:line="276" w:lineRule="auto"/>
        <w:rPr>
          <w:rFonts w:ascii="Times New Roman" w:hAnsi="Times New Roman" w:cs="Times New Roman"/>
          <w:sz w:val="20"/>
          <w:szCs w:val="20"/>
        </w:rPr>
      </w:pPr>
      <w:r w:rsidRPr="00030025">
        <w:rPr>
          <w:rFonts w:ascii="Times New Roman" w:hAnsi="Times New Roman" w:cs="Times New Roman"/>
          <w:sz w:val="20"/>
          <w:szCs w:val="20"/>
        </w:rPr>
        <w:t>There was no randomization or blinding, which may introduce observer bias.</w:t>
      </w:r>
    </w:p>
    <w:p w14:paraId="00000084" w14:textId="77777777" w:rsidR="006B4221" w:rsidRDefault="004B7046" w:rsidP="006F6E26">
      <w:pPr>
        <w:pStyle w:val="NoSpacing"/>
        <w:numPr>
          <w:ilvl w:val="0"/>
          <w:numId w:val="8"/>
        </w:numPr>
        <w:spacing w:line="276" w:lineRule="auto"/>
        <w:rPr>
          <w:rFonts w:ascii="Times New Roman" w:hAnsi="Times New Roman" w:cs="Times New Roman"/>
          <w:sz w:val="20"/>
          <w:szCs w:val="20"/>
        </w:rPr>
      </w:pPr>
      <w:r w:rsidRPr="00030025">
        <w:rPr>
          <w:rFonts w:ascii="Times New Roman" w:hAnsi="Times New Roman" w:cs="Times New Roman"/>
          <w:sz w:val="20"/>
          <w:szCs w:val="20"/>
        </w:rPr>
        <w:t>UBM was performed only in the supine position, whereas gonioscopy was done in the sitting position—this positional difference may influence anterior segment configuration and angle assessment.</w:t>
      </w:r>
    </w:p>
    <w:p w14:paraId="3B2B483F" w14:textId="77777777" w:rsidR="008B2888" w:rsidRDefault="008B2888" w:rsidP="008B2888">
      <w:pPr>
        <w:pStyle w:val="NoSpacing"/>
        <w:spacing w:line="276" w:lineRule="auto"/>
        <w:rPr>
          <w:rFonts w:ascii="Times New Roman" w:hAnsi="Times New Roman" w:cs="Times New Roman"/>
          <w:b/>
          <w:bCs/>
          <w:sz w:val="20"/>
          <w:szCs w:val="20"/>
        </w:rPr>
      </w:pPr>
    </w:p>
    <w:p w14:paraId="3117D2DB" w14:textId="77777777" w:rsidR="008B2888" w:rsidRDefault="008B2888" w:rsidP="008B2888">
      <w:pPr>
        <w:pStyle w:val="NoSpacing"/>
        <w:spacing w:line="276" w:lineRule="auto"/>
        <w:rPr>
          <w:rFonts w:ascii="Times New Roman" w:hAnsi="Times New Roman" w:cs="Times New Roman"/>
          <w:b/>
          <w:bCs/>
          <w:sz w:val="20"/>
          <w:szCs w:val="20"/>
        </w:rPr>
      </w:pPr>
      <w:r w:rsidRPr="008B2888">
        <w:rPr>
          <w:rFonts w:ascii="Times New Roman" w:hAnsi="Times New Roman" w:cs="Times New Roman"/>
          <w:b/>
          <w:bCs/>
          <w:sz w:val="20"/>
          <w:szCs w:val="20"/>
        </w:rPr>
        <w:t>ABBREVIATIONS</w:t>
      </w:r>
    </w:p>
    <w:p w14:paraId="401A1824" w14:textId="7A00D985" w:rsidR="008B2888" w:rsidRDefault="008B2888" w:rsidP="008B2888">
      <w:pPr>
        <w:pStyle w:val="NoSpacing"/>
        <w:spacing w:line="276" w:lineRule="auto"/>
        <w:rPr>
          <w:rFonts w:ascii="Times New Roman" w:hAnsi="Times New Roman" w:cs="Times New Roman"/>
          <w:sz w:val="20"/>
          <w:szCs w:val="20"/>
        </w:rPr>
      </w:pPr>
      <w:r w:rsidRPr="008B2888">
        <w:rPr>
          <w:rFonts w:ascii="Times New Roman" w:hAnsi="Times New Roman" w:cs="Times New Roman"/>
          <w:sz w:val="20"/>
          <w:szCs w:val="20"/>
        </w:rPr>
        <w:br/>
      </w:r>
      <w:r w:rsidRPr="008B2888">
        <w:rPr>
          <w:rFonts w:ascii="Times New Roman" w:hAnsi="Times New Roman" w:cs="Times New Roman"/>
          <w:b/>
          <w:bCs/>
          <w:sz w:val="20"/>
          <w:szCs w:val="20"/>
        </w:rPr>
        <w:t>ACD</w:t>
      </w:r>
      <w:r w:rsidRPr="008B2888">
        <w:rPr>
          <w:rFonts w:ascii="Times New Roman" w:hAnsi="Times New Roman" w:cs="Times New Roman"/>
          <w:sz w:val="20"/>
          <w:szCs w:val="20"/>
        </w:rPr>
        <w:t xml:space="preserve"> – Anterior Chamber Depth</w:t>
      </w:r>
      <w:r w:rsidRPr="008B2888">
        <w:rPr>
          <w:rFonts w:ascii="Times New Roman" w:hAnsi="Times New Roman" w:cs="Times New Roman"/>
          <w:sz w:val="20"/>
          <w:szCs w:val="20"/>
        </w:rPr>
        <w:br/>
      </w:r>
      <w:r w:rsidRPr="008B2888">
        <w:rPr>
          <w:rFonts w:ascii="Times New Roman" w:hAnsi="Times New Roman" w:cs="Times New Roman"/>
          <w:b/>
          <w:bCs/>
          <w:sz w:val="20"/>
          <w:szCs w:val="20"/>
        </w:rPr>
        <w:t>AOD</w:t>
      </w:r>
      <w:r w:rsidRPr="008B2888">
        <w:rPr>
          <w:rFonts w:ascii="Times New Roman" w:hAnsi="Times New Roman" w:cs="Times New Roman"/>
          <w:sz w:val="20"/>
          <w:szCs w:val="20"/>
        </w:rPr>
        <w:t xml:space="preserve"> – Angle Opening Distance</w:t>
      </w:r>
      <w:r w:rsidRPr="008B2888">
        <w:rPr>
          <w:rFonts w:ascii="Times New Roman" w:hAnsi="Times New Roman" w:cs="Times New Roman"/>
          <w:sz w:val="20"/>
          <w:szCs w:val="20"/>
        </w:rPr>
        <w:br/>
      </w:r>
      <w:r w:rsidRPr="008B2888">
        <w:rPr>
          <w:rFonts w:ascii="Times New Roman" w:hAnsi="Times New Roman" w:cs="Times New Roman"/>
          <w:b/>
          <w:bCs/>
          <w:sz w:val="20"/>
          <w:szCs w:val="20"/>
        </w:rPr>
        <w:t>ACA</w:t>
      </w:r>
      <w:r w:rsidRPr="008B2888">
        <w:rPr>
          <w:rFonts w:ascii="Times New Roman" w:hAnsi="Times New Roman" w:cs="Times New Roman"/>
          <w:sz w:val="20"/>
          <w:szCs w:val="20"/>
        </w:rPr>
        <w:t xml:space="preserve"> – Anterior Chamber Angle</w:t>
      </w:r>
      <w:r w:rsidRPr="008B2888">
        <w:rPr>
          <w:rFonts w:ascii="Times New Roman" w:hAnsi="Times New Roman" w:cs="Times New Roman"/>
          <w:sz w:val="20"/>
          <w:szCs w:val="20"/>
        </w:rPr>
        <w:br/>
      </w:r>
      <w:r w:rsidRPr="008B2888">
        <w:rPr>
          <w:rFonts w:ascii="Times New Roman" w:hAnsi="Times New Roman" w:cs="Times New Roman"/>
          <w:b/>
          <w:bCs/>
          <w:sz w:val="20"/>
          <w:szCs w:val="20"/>
        </w:rPr>
        <w:t>IOP</w:t>
      </w:r>
      <w:r w:rsidRPr="008B2888">
        <w:rPr>
          <w:rFonts w:ascii="Times New Roman" w:hAnsi="Times New Roman" w:cs="Times New Roman"/>
          <w:sz w:val="20"/>
          <w:szCs w:val="20"/>
        </w:rPr>
        <w:t xml:space="preserve"> – Intraocular Pressure</w:t>
      </w:r>
      <w:r w:rsidRPr="008B2888">
        <w:rPr>
          <w:rFonts w:ascii="Times New Roman" w:hAnsi="Times New Roman" w:cs="Times New Roman"/>
          <w:sz w:val="20"/>
          <w:szCs w:val="20"/>
        </w:rPr>
        <w:br/>
      </w:r>
      <w:r w:rsidRPr="008B2888">
        <w:rPr>
          <w:rFonts w:ascii="Times New Roman" w:hAnsi="Times New Roman" w:cs="Times New Roman"/>
          <w:b/>
          <w:bCs/>
          <w:sz w:val="20"/>
          <w:szCs w:val="20"/>
        </w:rPr>
        <w:t>PACG</w:t>
      </w:r>
      <w:r w:rsidRPr="008B2888">
        <w:rPr>
          <w:rFonts w:ascii="Times New Roman" w:hAnsi="Times New Roman" w:cs="Times New Roman"/>
          <w:sz w:val="20"/>
          <w:szCs w:val="20"/>
        </w:rPr>
        <w:t xml:space="preserve"> – Primary Angle-Closure Glaucoma</w:t>
      </w:r>
      <w:r w:rsidRPr="008B2888">
        <w:rPr>
          <w:rFonts w:ascii="Times New Roman" w:hAnsi="Times New Roman" w:cs="Times New Roman"/>
          <w:sz w:val="20"/>
          <w:szCs w:val="20"/>
        </w:rPr>
        <w:br/>
      </w:r>
      <w:r w:rsidRPr="008B2888">
        <w:rPr>
          <w:rFonts w:ascii="Times New Roman" w:hAnsi="Times New Roman" w:cs="Times New Roman"/>
          <w:b/>
          <w:bCs/>
          <w:sz w:val="20"/>
          <w:szCs w:val="20"/>
        </w:rPr>
        <w:t>UBM</w:t>
      </w:r>
      <w:r w:rsidRPr="008B2888">
        <w:rPr>
          <w:rFonts w:ascii="Times New Roman" w:hAnsi="Times New Roman" w:cs="Times New Roman"/>
          <w:sz w:val="20"/>
          <w:szCs w:val="20"/>
        </w:rPr>
        <w:t xml:space="preserve"> – Ultrasound </w:t>
      </w:r>
      <w:proofErr w:type="spellStart"/>
      <w:r w:rsidRPr="008B2888">
        <w:rPr>
          <w:rFonts w:ascii="Times New Roman" w:hAnsi="Times New Roman" w:cs="Times New Roman"/>
          <w:sz w:val="20"/>
          <w:szCs w:val="20"/>
        </w:rPr>
        <w:t>Biomicroscopy</w:t>
      </w:r>
      <w:proofErr w:type="spellEnd"/>
      <w:r w:rsidRPr="008B2888">
        <w:rPr>
          <w:rFonts w:ascii="Times New Roman" w:hAnsi="Times New Roman" w:cs="Times New Roman"/>
          <w:sz w:val="20"/>
          <w:szCs w:val="20"/>
        </w:rPr>
        <w:br/>
      </w:r>
      <w:r w:rsidRPr="008B2888">
        <w:rPr>
          <w:rFonts w:ascii="Times New Roman" w:hAnsi="Times New Roman" w:cs="Times New Roman"/>
          <w:b/>
          <w:bCs/>
          <w:sz w:val="20"/>
          <w:szCs w:val="20"/>
        </w:rPr>
        <w:t>GONIO</w:t>
      </w:r>
      <w:r w:rsidRPr="008B2888">
        <w:rPr>
          <w:rFonts w:ascii="Times New Roman" w:hAnsi="Times New Roman" w:cs="Times New Roman"/>
          <w:sz w:val="20"/>
          <w:szCs w:val="20"/>
        </w:rPr>
        <w:t xml:space="preserve"> – Gonioscopy</w:t>
      </w:r>
      <w:r w:rsidRPr="008B2888">
        <w:rPr>
          <w:rFonts w:ascii="Times New Roman" w:hAnsi="Times New Roman" w:cs="Times New Roman"/>
          <w:sz w:val="20"/>
          <w:szCs w:val="20"/>
        </w:rPr>
        <w:br/>
      </w:r>
      <w:r w:rsidRPr="008B2888">
        <w:rPr>
          <w:rFonts w:ascii="Times New Roman" w:hAnsi="Times New Roman" w:cs="Times New Roman"/>
          <w:b/>
          <w:bCs/>
          <w:sz w:val="20"/>
          <w:szCs w:val="20"/>
        </w:rPr>
        <w:t>OCT</w:t>
      </w:r>
      <w:r w:rsidRPr="008B2888">
        <w:rPr>
          <w:rFonts w:ascii="Times New Roman" w:hAnsi="Times New Roman" w:cs="Times New Roman"/>
          <w:sz w:val="20"/>
          <w:szCs w:val="20"/>
        </w:rPr>
        <w:t xml:space="preserve"> – Optical Coherence Tomography</w:t>
      </w:r>
      <w:r w:rsidRPr="008B2888">
        <w:rPr>
          <w:rFonts w:ascii="Times New Roman" w:hAnsi="Times New Roman" w:cs="Times New Roman"/>
          <w:sz w:val="20"/>
          <w:szCs w:val="20"/>
        </w:rPr>
        <w:br/>
      </w:r>
      <w:r w:rsidRPr="008B2888">
        <w:rPr>
          <w:rFonts w:ascii="Times New Roman" w:hAnsi="Times New Roman" w:cs="Times New Roman"/>
          <w:b/>
          <w:bCs/>
          <w:sz w:val="20"/>
          <w:szCs w:val="20"/>
        </w:rPr>
        <w:t>VA</w:t>
      </w:r>
      <w:r w:rsidRPr="008B2888">
        <w:rPr>
          <w:rFonts w:ascii="Times New Roman" w:hAnsi="Times New Roman" w:cs="Times New Roman"/>
          <w:sz w:val="20"/>
          <w:szCs w:val="20"/>
        </w:rPr>
        <w:t xml:space="preserve"> – Visual Acuity</w:t>
      </w:r>
      <w:r w:rsidRPr="008B2888">
        <w:rPr>
          <w:rFonts w:ascii="Times New Roman" w:hAnsi="Times New Roman" w:cs="Times New Roman"/>
          <w:sz w:val="20"/>
          <w:szCs w:val="20"/>
        </w:rPr>
        <w:br/>
      </w:r>
      <w:r w:rsidRPr="008B2888">
        <w:rPr>
          <w:rFonts w:ascii="Times New Roman" w:hAnsi="Times New Roman" w:cs="Times New Roman"/>
          <w:b/>
          <w:bCs/>
          <w:sz w:val="20"/>
          <w:szCs w:val="20"/>
        </w:rPr>
        <w:t>mmHg</w:t>
      </w:r>
      <w:r w:rsidRPr="008B2888">
        <w:rPr>
          <w:rFonts w:ascii="Times New Roman" w:hAnsi="Times New Roman" w:cs="Times New Roman"/>
          <w:sz w:val="20"/>
          <w:szCs w:val="20"/>
        </w:rPr>
        <w:t xml:space="preserve"> – Millimeters of Mercury</w:t>
      </w:r>
    </w:p>
    <w:p w14:paraId="68F0AD40" w14:textId="77777777" w:rsidR="0025511A" w:rsidRDefault="0025511A" w:rsidP="008B2888">
      <w:pPr>
        <w:pStyle w:val="NoSpacing"/>
        <w:spacing w:line="276" w:lineRule="auto"/>
        <w:rPr>
          <w:rFonts w:ascii="Times New Roman" w:hAnsi="Times New Roman" w:cs="Times New Roman"/>
          <w:sz w:val="20"/>
          <w:szCs w:val="20"/>
        </w:rPr>
      </w:pPr>
    </w:p>
    <w:p w14:paraId="00000086" w14:textId="2D5F7D33" w:rsidR="006B4221" w:rsidRPr="006F6E26" w:rsidRDefault="006B4221" w:rsidP="006F6E26">
      <w:pPr>
        <w:pStyle w:val="NoSpacing"/>
        <w:spacing w:line="276" w:lineRule="auto"/>
        <w:ind w:left="720"/>
      </w:pPr>
    </w:p>
    <w:p w14:paraId="6C3A3D3F" w14:textId="4352E784" w:rsidR="004B7046" w:rsidRPr="00AA7130" w:rsidRDefault="00AA7130" w:rsidP="004B7046">
      <w:pPr>
        <w:rPr>
          <w:rFonts w:ascii="Times New Roman" w:eastAsiaTheme="minorHAnsi" w:hAnsi="Times New Roman" w:cs="Times New Roman"/>
          <w:b/>
          <w:sz w:val="20"/>
          <w:szCs w:val="20"/>
        </w:rPr>
      </w:pPr>
      <w:r w:rsidRPr="00AA7130">
        <w:rPr>
          <w:rFonts w:ascii="Times New Roman" w:eastAsiaTheme="minorHAnsi" w:hAnsi="Times New Roman" w:cs="Times New Roman"/>
          <w:b/>
          <w:sz w:val="20"/>
          <w:szCs w:val="20"/>
        </w:rPr>
        <w:t>REFERENCES</w:t>
      </w:r>
    </w:p>
    <w:p w14:paraId="369768ED" w14:textId="74F49CCE" w:rsidR="005824CB" w:rsidRPr="006F6E26" w:rsidRDefault="005824CB"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Allison, K., Patel, D., &amp; Alabi, O. (2020). Epidemiology of glaucoma: The past, present, and predictions for the future. Cureus, 12, e11686. https://doi.org/10.7759/cureus.11686</w:t>
      </w:r>
    </w:p>
    <w:p w14:paraId="50F72A7A" w14:textId="0FFEA1F2"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lastRenderedPageBreak/>
        <w:t>Tham, Y.-C., Li, X., Wong, T. Y., Quigley, H. A., Aung, T., &amp; Cheng, C.-Y. (2024). Global prevalence of glaucoma and projections of glaucoma burden through 2040: A systematic review and meta-analysis. Eye, 38, 1234–1245.</w:t>
      </w:r>
    </w:p>
    <w:p w14:paraId="35256A28" w14:textId="3833181C"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 xml:space="preserve">Leite, M. T., Sakata, L. M., &amp; Medeiros, F. A. (2011). Managing glaucoma in developing countries. </w:t>
      </w:r>
      <w:proofErr w:type="spellStart"/>
      <w:r w:rsidRPr="006F6E26">
        <w:rPr>
          <w:rFonts w:ascii="Times New Roman" w:eastAsiaTheme="minorHAnsi" w:hAnsi="Times New Roman" w:cs="Times New Roman"/>
          <w:sz w:val="20"/>
          <w:szCs w:val="20"/>
        </w:rPr>
        <w:t>Arquivos</w:t>
      </w:r>
      <w:proofErr w:type="spellEnd"/>
      <w:r w:rsidRPr="006F6E26">
        <w:rPr>
          <w:rFonts w:ascii="Times New Roman" w:eastAsiaTheme="minorHAnsi" w:hAnsi="Times New Roman" w:cs="Times New Roman"/>
          <w:sz w:val="20"/>
          <w:szCs w:val="20"/>
        </w:rPr>
        <w:t xml:space="preserve"> </w:t>
      </w:r>
      <w:proofErr w:type="spellStart"/>
      <w:r w:rsidRPr="006F6E26">
        <w:rPr>
          <w:rFonts w:ascii="Times New Roman" w:eastAsiaTheme="minorHAnsi" w:hAnsi="Times New Roman" w:cs="Times New Roman"/>
          <w:sz w:val="20"/>
          <w:szCs w:val="20"/>
        </w:rPr>
        <w:t>brasileiros</w:t>
      </w:r>
      <w:proofErr w:type="spellEnd"/>
      <w:r w:rsidRPr="006F6E26">
        <w:rPr>
          <w:rFonts w:ascii="Times New Roman" w:eastAsiaTheme="minorHAnsi" w:hAnsi="Times New Roman" w:cs="Times New Roman"/>
          <w:sz w:val="20"/>
          <w:szCs w:val="20"/>
        </w:rPr>
        <w:t xml:space="preserve"> de </w:t>
      </w:r>
      <w:proofErr w:type="spellStart"/>
      <w:r w:rsidRPr="006F6E26">
        <w:rPr>
          <w:rFonts w:ascii="Times New Roman" w:eastAsiaTheme="minorHAnsi" w:hAnsi="Times New Roman" w:cs="Times New Roman"/>
          <w:sz w:val="20"/>
          <w:szCs w:val="20"/>
        </w:rPr>
        <w:t>oftalmologia</w:t>
      </w:r>
      <w:proofErr w:type="spellEnd"/>
      <w:r w:rsidRPr="006F6E26">
        <w:rPr>
          <w:rFonts w:ascii="Times New Roman" w:eastAsiaTheme="minorHAnsi" w:hAnsi="Times New Roman" w:cs="Times New Roman"/>
          <w:sz w:val="20"/>
          <w:szCs w:val="20"/>
        </w:rPr>
        <w:t>, 74(2), 83-84.</w:t>
      </w:r>
    </w:p>
    <w:p w14:paraId="77664038" w14:textId="3E9108E1"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Bowling, B. (2016). Glaucoma. In Kanski's clinical ophthalmology: A systematic approach (8th ed., pp. 306-394). Edinburgh: Elsevier Health Sciences.</w:t>
      </w:r>
    </w:p>
    <w:p w14:paraId="28BA8D52" w14:textId="32BDB85E"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Kapetanakis, V. V., Chan, M. P., Foster, P. J., Cook, D. G., Owen, C. G., &amp; Rudnicka, A. R. (2016). Global variations and time trends in the prevalence of primary open angle glaucoma (POAG): A systematic review and meta-analysis. British Journal of Ophthalmology, 100(1), 86-93. https://doi.org/10.1136/bjophthalmol-2015-307223</w:t>
      </w:r>
    </w:p>
    <w:p w14:paraId="17CC48B3" w14:textId="30F62C38"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 xml:space="preserve">Azuara-Blanco, A., Burr, J., Ramsay, C., Cooper, D., Foster, P. J., </w:t>
      </w:r>
      <w:proofErr w:type="spellStart"/>
      <w:r w:rsidRPr="006F6E26">
        <w:rPr>
          <w:rFonts w:ascii="Times New Roman" w:eastAsiaTheme="minorHAnsi" w:hAnsi="Times New Roman" w:cs="Times New Roman"/>
          <w:sz w:val="20"/>
          <w:szCs w:val="20"/>
        </w:rPr>
        <w:t>Garway</w:t>
      </w:r>
      <w:proofErr w:type="spellEnd"/>
      <w:r w:rsidRPr="006F6E26">
        <w:rPr>
          <w:rFonts w:ascii="Times New Roman" w:eastAsiaTheme="minorHAnsi" w:hAnsi="Times New Roman" w:cs="Times New Roman"/>
          <w:sz w:val="20"/>
          <w:szCs w:val="20"/>
        </w:rPr>
        <w:t xml:space="preserve">-Heath, D., ... &amp; Cook, J. (2021). Risks of blindness in primary angle closure glaucoma versus primary open angle glaucoma: A systematic review and meta-analysis. Eye, 35, 2897–2905. </w:t>
      </w:r>
      <w:hyperlink r:id="rId9" w:tgtFrame="_new" w:history="1">
        <w:r w:rsidRPr="006F6E26">
          <w:rPr>
            <w:rFonts w:ascii="Times New Roman" w:eastAsiaTheme="minorHAnsi" w:hAnsi="Times New Roman" w:cs="Times New Roman"/>
            <w:sz w:val="20"/>
            <w:szCs w:val="20"/>
          </w:rPr>
          <w:t>https://doi.org/10.1038/s41433-021-01802-9</w:t>
        </w:r>
      </w:hyperlink>
    </w:p>
    <w:p w14:paraId="130DC090" w14:textId="4F44ADC6"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 xml:space="preserve">Kim, M., Kim, J. A., Park, K. H., &amp; Jeoung, J. W. (2023). The Ratio of Primary Angle-Closure Glaucoma to Primary Open-Angle Glaucoma in the Asian Population: A Meta-Analysis. Korean Journal of Ophthalmology, 37(2), 153–163. </w:t>
      </w:r>
      <w:hyperlink r:id="rId10" w:tgtFrame="_new" w:history="1">
        <w:r w:rsidRPr="006F6E26">
          <w:rPr>
            <w:rFonts w:ascii="Times New Roman" w:eastAsiaTheme="minorHAnsi" w:hAnsi="Times New Roman" w:cs="Times New Roman"/>
            <w:sz w:val="20"/>
            <w:szCs w:val="20"/>
          </w:rPr>
          <w:t>https://doi.org/10.3341/kjo.2022.0105</w:t>
        </w:r>
      </w:hyperlink>
    </w:p>
    <w:p w14:paraId="11A11D5F" w14:textId="655BC63F"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Zhang, N., Wang, J., Liu, X., &amp; Chen, B. (2021). Prevalence of primary angle closure glaucoma in the last 20 years: A meta-analysis and systematic review. Frontiers in Medicine, 7, 624179.</w:t>
      </w:r>
    </w:p>
    <w:p w14:paraId="6CF07CCE" w14:textId="7CFA1010"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Zhou, M., Wang, W., Huang, W., &amp; Zhang, X. (2023). Anatomical and physiological characteristics associated with primary angle-closure glaucoma: A systematic review and meta-analysis. Journal of Glaucoma, 32(10), e301–e312.</w:t>
      </w:r>
    </w:p>
    <w:p w14:paraId="60F0ECFC" w14:textId="2D13B826"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He, M., Jiang, Y., Huang, S., Chang, D. S., Munoz, B., Aung, T., &amp; Friedman, D. S. (2019). Laser peripheral iridotomy for the prevention of angle closure: A single-</w:t>
      </w:r>
      <w:proofErr w:type="spellStart"/>
      <w:r w:rsidRPr="006F6E26">
        <w:rPr>
          <w:rFonts w:ascii="Times New Roman" w:eastAsiaTheme="minorHAnsi" w:hAnsi="Times New Roman" w:cs="Times New Roman"/>
          <w:sz w:val="20"/>
          <w:szCs w:val="20"/>
        </w:rPr>
        <w:t>centre</w:t>
      </w:r>
      <w:proofErr w:type="spellEnd"/>
      <w:r w:rsidRPr="006F6E26">
        <w:rPr>
          <w:rFonts w:ascii="Times New Roman" w:eastAsiaTheme="minorHAnsi" w:hAnsi="Times New Roman" w:cs="Times New Roman"/>
          <w:sz w:val="20"/>
          <w:szCs w:val="20"/>
        </w:rPr>
        <w:t>, randomized controlled trial. The Lancet, 393(10181), 1609–1618.</w:t>
      </w:r>
    </w:p>
    <w:p w14:paraId="15C06D05" w14:textId="6649B230"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Campbell, P., Redmond, T., Agarwal, R., Marshall, L. R., &amp; Evans, B. J. (2015). Repeatability and comparison of clinical techniques for anterior chamber angle assessment. Ophthalmic and Physiological Optics, 35(2), 170-178.</w:t>
      </w:r>
    </w:p>
    <w:p w14:paraId="12231AC2" w14:textId="346678ED"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 xml:space="preserve">Cui, S. S., Zou, Y. H., Li, Q., Li, L. N., Zhang, N., &amp; Liu, X. P. (2014). Gonioscopy and Ultrasound </w:t>
      </w:r>
      <w:proofErr w:type="spellStart"/>
      <w:r w:rsidRPr="006F6E26">
        <w:rPr>
          <w:rFonts w:ascii="Times New Roman" w:eastAsiaTheme="minorHAnsi" w:hAnsi="Times New Roman" w:cs="Times New Roman"/>
          <w:sz w:val="20"/>
          <w:szCs w:val="20"/>
        </w:rPr>
        <w:t>Biomicroscopy</w:t>
      </w:r>
      <w:proofErr w:type="spellEnd"/>
      <w:r w:rsidRPr="006F6E26">
        <w:rPr>
          <w:rFonts w:ascii="Times New Roman" w:eastAsiaTheme="minorHAnsi" w:hAnsi="Times New Roman" w:cs="Times New Roman"/>
          <w:sz w:val="20"/>
          <w:szCs w:val="20"/>
        </w:rPr>
        <w:t xml:space="preserve"> in the Detection of Angle Closure in Patients with Shallow Anterior Chamber. Chinese Medical Sciences Journal, 29(4), 204-207.</w:t>
      </w:r>
    </w:p>
    <w:p w14:paraId="67C631F5" w14:textId="6EDDC084"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Wu, C., Chiang, M. F., &amp; Miller, J. B. (2022). Opportunities for Prevention of Acute Angle-Closure Crisis Among Medicare Beneficiaries. JAMA Ophthalmology, 140(6), 593–598.</w:t>
      </w:r>
    </w:p>
    <w:p w14:paraId="397767A9" w14:textId="110F2587"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Li, S., Wei, Y., &amp; Xu, Y. (2022). Ultrasound Biomicroscopic Comparison of Primary Open-Angle Glaucoma and Primary Angle-Closure Glaucoma Eyes in Dark and Light Conditions. Asian Journal of Ophthalmology, 24(2), 159-165.</w:t>
      </w:r>
    </w:p>
    <w:p w14:paraId="34D08833" w14:textId="3B36A8A7"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 xml:space="preserve">Lee, W. K., Kim, M. S., &amp; Kim, Y. H. (2019). Automatic Classification of Anterior Chamber Angle Using Ultrasound </w:t>
      </w:r>
      <w:proofErr w:type="spellStart"/>
      <w:r w:rsidRPr="006F6E26">
        <w:rPr>
          <w:rFonts w:ascii="Times New Roman" w:eastAsiaTheme="minorHAnsi" w:hAnsi="Times New Roman" w:cs="Times New Roman"/>
          <w:sz w:val="20"/>
          <w:szCs w:val="20"/>
        </w:rPr>
        <w:t>Biomicroscopy</w:t>
      </w:r>
      <w:proofErr w:type="spellEnd"/>
      <w:r w:rsidRPr="006F6E26">
        <w:rPr>
          <w:rFonts w:ascii="Times New Roman" w:eastAsiaTheme="minorHAnsi" w:hAnsi="Times New Roman" w:cs="Times New Roman"/>
          <w:sz w:val="20"/>
          <w:szCs w:val="20"/>
        </w:rPr>
        <w:t xml:space="preserve"> (UBM) Images. Ophthalmic Research, 64(5), 732-738.</w:t>
      </w:r>
    </w:p>
    <w:p w14:paraId="3F05E325" w14:textId="38D9AB35" w:rsidR="002E6A86" w:rsidRPr="006F6E26" w:rsidRDefault="002E6A86" w:rsidP="006F6E26">
      <w:pPr>
        <w:pStyle w:val="ListParagraph"/>
        <w:numPr>
          <w:ilvl w:val="0"/>
          <w:numId w:val="9"/>
        </w:numPr>
        <w:spacing w:before="100" w:beforeAutospacing="1" w:after="100" w:afterAutospacing="1"/>
        <w:rPr>
          <w:rFonts w:ascii="Times New Roman" w:eastAsiaTheme="minorHAnsi" w:hAnsi="Times New Roman" w:cs="Times New Roman"/>
          <w:sz w:val="20"/>
          <w:szCs w:val="20"/>
        </w:rPr>
      </w:pPr>
      <w:r w:rsidRPr="006F6E26">
        <w:rPr>
          <w:rFonts w:ascii="Times New Roman" w:eastAsiaTheme="minorHAnsi" w:hAnsi="Times New Roman" w:cs="Times New Roman"/>
          <w:sz w:val="20"/>
          <w:szCs w:val="20"/>
        </w:rPr>
        <w:t xml:space="preserve">He, M., Huang, W., Zheng, Y., Alsbirk, P. H., &amp; Foster, P. J. (2008). Anterior chamber depth in elderly Chinese: The </w:t>
      </w:r>
      <w:proofErr w:type="spellStart"/>
      <w:r w:rsidRPr="006F6E26">
        <w:rPr>
          <w:rFonts w:ascii="Times New Roman" w:eastAsiaTheme="minorHAnsi" w:hAnsi="Times New Roman" w:cs="Times New Roman"/>
          <w:sz w:val="20"/>
          <w:szCs w:val="20"/>
        </w:rPr>
        <w:t>Liwan</w:t>
      </w:r>
      <w:proofErr w:type="spellEnd"/>
      <w:r w:rsidRPr="006F6E26">
        <w:rPr>
          <w:rFonts w:ascii="Times New Roman" w:eastAsiaTheme="minorHAnsi" w:hAnsi="Times New Roman" w:cs="Times New Roman"/>
          <w:sz w:val="20"/>
          <w:szCs w:val="20"/>
        </w:rPr>
        <w:t xml:space="preserve"> eye study. Ophthalmology, 115(8), 1286-1290.</w:t>
      </w:r>
    </w:p>
    <w:p w14:paraId="3D8C518E" w14:textId="6BEBD27E" w:rsidR="00AA7130" w:rsidRPr="00437B40" w:rsidRDefault="00AA7130" w:rsidP="003F03B9">
      <w:pPr>
        <w:rPr>
          <w:rFonts w:ascii="Times New Roman" w:eastAsiaTheme="minorHAnsi" w:hAnsi="Times New Roman" w:cs="Times New Roman"/>
          <w:sz w:val="20"/>
          <w:szCs w:val="20"/>
        </w:rPr>
      </w:pPr>
    </w:p>
    <w:sectPr w:rsidR="00AA7130" w:rsidRPr="00437B40" w:rsidSect="00030025">
      <w:headerReference w:type="even" r:id="rId11"/>
      <w:headerReference w:type="default" r:id="rId12"/>
      <w:footerReference w:type="even" r:id="rId13"/>
      <w:footerReference w:type="default" r:id="rId14"/>
      <w:headerReference w:type="first" r:id="rId15"/>
      <w:footerReference w:type="first" r:id="rId16"/>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76F0C" w14:textId="77777777" w:rsidR="006104E8" w:rsidRDefault="006104E8" w:rsidP="007C7089">
      <w:pPr>
        <w:spacing w:line="240" w:lineRule="auto"/>
      </w:pPr>
      <w:r>
        <w:separator/>
      </w:r>
    </w:p>
  </w:endnote>
  <w:endnote w:type="continuationSeparator" w:id="0">
    <w:p w14:paraId="147F0943" w14:textId="77777777" w:rsidR="006104E8" w:rsidRDefault="006104E8" w:rsidP="007C7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D150" w14:textId="77777777" w:rsidR="007C7089" w:rsidRDefault="007C7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F1B2" w14:textId="77777777" w:rsidR="007C7089" w:rsidRDefault="007C7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BA78" w14:textId="77777777" w:rsidR="007C7089" w:rsidRDefault="007C7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A5C0" w14:textId="77777777" w:rsidR="006104E8" w:rsidRDefault="006104E8" w:rsidP="007C7089">
      <w:pPr>
        <w:spacing w:line="240" w:lineRule="auto"/>
      </w:pPr>
      <w:r>
        <w:separator/>
      </w:r>
    </w:p>
  </w:footnote>
  <w:footnote w:type="continuationSeparator" w:id="0">
    <w:p w14:paraId="35A16750" w14:textId="77777777" w:rsidR="006104E8" w:rsidRDefault="006104E8" w:rsidP="007C7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863E" w14:textId="006107ED" w:rsidR="007C7089" w:rsidRDefault="007C7089">
    <w:pPr>
      <w:pStyle w:val="Header"/>
    </w:pPr>
    <w:r>
      <w:rPr>
        <w:noProof/>
      </w:rPr>
      <w:pict w14:anchorId="7314C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86954" o:spid="_x0000_s1026" type="#_x0000_t136" style="position:absolute;margin-left:0;margin-top:0;width:618.55pt;height:68.7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416D" w14:textId="677C6749" w:rsidR="007C7089" w:rsidRDefault="007C7089">
    <w:pPr>
      <w:pStyle w:val="Header"/>
    </w:pPr>
    <w:r>
      <w:rPr>
        <w:noProof/>
      </w:rPr>
      <w:pict w14:anchorId="71A87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86955" o:spid="_x0000_s1027" type="#_x0000_t136" style="position:absolute;margin-left:0;margin-top:0;width:618.55pt;height:68.7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AA0C" w14:textId="326C6BE5" w:rsidR="007C7089" w:rsidRDefault="007C7089">
    <w:pPr>
      <w:pStyle w:val="Header"/>
    </w:pPr>
    <w:r>
      <w:rPr>
        <w:noProof/>
      </w:rPr>
      <w:pict w14:anchorId="4DA44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86953" o:spid="_x0000_s1025" type="#_x0000_t136" style="position:absolute;margin-left:0;margin-top:0;width:618.55pt;height:68.7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3466"/>
    <w:multiLevelType w:val="multilevel"/>
    <w:tmpl w:val="C9265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95A23"/>
    <w:multiLevelType w:val="hybridMultilevel"/>
    <w:tmpl w:val="69A2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61D3"/>
    <w:multiLevelType w:val="multilevel"/>
    <w:tmpl w:val="5A6E8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E70F99"/>
    <w:multiLevelType w:val="hybridMultilevel"/>
    <w:tmpl w:val="3EB0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945B0"/>
    <w:multiLevelType w:val="multilevel"/>
    <w:tmpl w:val="7DA0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4E053A"/>
    <w:multiLevelType w:val="multilevel"/>
    <w:tmpl w:val="6156A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2F4D2C"/>
    <w:multiLevelType w:val="hybridMultilevel"/>
    <w:tmpl w:val="B9EE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96CCD"/>
    <w:multiLevelType w:val="hybridMultilevel"/>
    <w:tmpl w:val="760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B08AA"/>
    <w:multiLevelType w:val="hybridMultilevel"/>
    <w:tmpl w:val="325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713413">
    <w:abstractNumId w:val="0"/>
  </w:num>
  <w:num w:numId="2" w16cid:durableId="795103458">
    <w:abstractNumId w:val="4"/>
  </w:num>
  <w:num w:numId="3" w16cid:durableId="445660806">
    <w:abstractNumId w:val="5"/>
  </w:num>
  <w:num w:numId="4" w16cid:durableId="201527771">
    <w:abstractNumId w:val="2"/>
  </w:num>
  <w:num w:numId="5" w16cid:durableId="1457287624">
    <w:abstractNumId w:val="7"/>
  </w:num>
  <w:num w:numId="6" w16cid:durableId="261494976">
    <w:abstractNumId w:val="1"/>
  </w:num>
  <w:num w:numId="7" w16cid:durableId="1992712231">
    <w:abstractNumId w:val="6"/>
  </w:num>
  <w:num w:numId="8" w16cid:durableId="949896316">
    <w:abstractNumId w:val="8"/>
  </w:num>
  <w:num w:numId="9" w16cid:durableId="34545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221"/>
    <w:rsid w:val="00030025"/>
    <w:rsid w:val="00171A7B"/>
    <w:rsid w:val="0018707A"/>
    <w:rsid w:val="001C3CAD"/>
    <w:rsid w:val="0025511A"/>
    <w:rsid w:val="00274FE2"/>
    <w:rsid w:val="00282520"/>
    <w:rsid w:val="002B0FE1"/>
    <w:rsid w:val="002E6A86"/>
    <w:rsid w:val="00355ED9"/>
    <w:rsid w:val="003C35C1"/>
    <w:rsid w:val="003F03B9"/>
    <w:rsid w:val="00423F1E"/>
    <w:rsid w:val="00437B40"/>
    <w:rsid w:val="00444CDE"/>
    <w:rsid w:val="00493EF8"/>
    <w:rsid w:val="004B7046"/>
    <w:rsid w:val="005824CB"/>
    <w:rsid w:val="006104E8"/>
    <w:rsid w:val="006B4221"/>
    <w:rsid w:val="006D1F4D"/>
    <w:rsid w:val="006F6E26"/>
    <w:rsid w:val="007934F7"/>
    <w:rsid w:val="007B34F8"/>
    <w:rsid w:val="007C7089"/>
    <w:rsid w:val="008138CC"/>
    <w:rsid w:val="00851EC1"/>
    <w:rsid w:val="00875B86"/>
    <w:rsid w:val="008B2888"/>
    <w:rsid w:val="00963955"/>
    <w:rsid w:val="00965424"/>
    <w:rsid w:val="00A014CF"/>
    <w:rsid w:val="00A13FAC"/>
    <w:rsid w:val="00A5329A"/>
    <w:rsid w:val="00A665EB"/>
    <w:rsid w:val="00AA7130"/>
    <w:rsid w:val="00B8046C"/>
    <w:rsid w:val="00D77430"/>
    <w:rsid w:val="00DD35A3"/>
    <w:rsid w:val="00EA3378"/>
    <w:rsid w:val="00EC4F60"/>
    <w:rsid w:val="00EC58E8"/>
    <w:rsid w:val="00F7525A"/>
    <w:rsid w:val="00FA2A59"/>
    <w:rsid w:val="00FB4409"/>
    <w:rsid w:val="00FE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B6E71"/>
  <w15:docId w15:val="{39619ECA-5E9E-43E9-95AB-135E0588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F4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437B40"/>
    <w:rPr>
      <w:b/>
      <w:bCs/>
    </w:rPr>
  </w:style>
  <w:style w:type="paragraph" w:styleId="NormalWeb">
    <w:name w:val="Normal (Web)"/>
    <w:basedOn w:val="Normal"/>
    <w:uiPriority w:val="99"/>
    <w:unhideWhenUsed/>
    <w:rsid w:val="00EC4F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5424"/>
    <w:pPr>
      <w:ind w:left="720"/>
      <w:contextualSpacing/>
    </w:pPr>
  </w:style>
  <w:style w:type="paragraph" w:styleId="BalloonText">
    <w:name w:val="Balloon Text"/>
    <w:basedOn w:val="Normal"/>
    <w:link w:val="BalloonTextChar"/>
    <w:uiPriority w:val="99"/>
    <w:semiHidden/>
    <w:unhideWhenUsed/>
    <w:rsid w:val="00AA71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130"/>
    <w:rPr>
      <w:rFonts w:ascii="Tahoma" w:hAnsi="Tahoma" w:cs="Tahoma"/>
      <w:sz w:val="16"/>
      <w:szCs w:val="16"/>
    </w:rPr>
  </w:style>
  <w:style w:type="character" w:styleId="Emphasis">
    <w:name w:val="Emphasis"/>
    <w:basedOn w:val="DefaultParagraphFont"/>
    <w:uiPriority w:val="20"/>
    <w:qFormat/>
    <w:rsid w:val="002E6A86"/>
    <w:rPr>
      <w:i/>
      <w:iCs/>
    </w:rPr>
  </w:style>
  <w:style w:type="character" w:styleId="Hyperlink">
    <w:name w:val="Hyperlink"/>
    <w:basedOn w:val="DefaultParagraphFont"/>
    <w:uiPriority w:val="99"/>
    <w:unhideWhenUsed/>
    <w:rsid w:val="002E6A86"/>
    <w:rPr>
      <w:color w:val="0000FF"/>
      <w:u w:val="single"/>
    </w:rPr>
  </w:style>
  <w:style w:type="paragraph" w:styleId="NoSpacing">
    <w:name w:val="No Spacing"/>
    <w:uiPriority w:val="1"/>
    <w:qFormat/>
    <w:rsid w:val="00030025"/>
    <w:pPr>
      <w:spacing w:line="240" w:lineRule="auto"/>
    </w:pPr>
  </w:style>
  <w:style w:type="table" w:customStyle="1" w:styleId="GridTable1Light-Accent51">
    <w:name w:val="Grid Table 1 Light - Accent 51"/>
    <w:basedOn w:val="TableNormal"/>
    <w:uiPriority w:val="46"/>
    <w:rsid w:val="00030025"/>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71A7B"/>
    <w:pPr>
      <w:tabs>
        <w:tab w:val="center" w:pos="4680"/>
        <w:tab w:val="right" w:pos="9360"/>
      </w:tabs>
      <w:spacing w:line="240" w:lineRule="auto"/>
    </w:pPr>
    <w:rPr>
      <w:rFonts w:asciiTheme="minorHAnsi" w:eastAsiaTheme="minorHAnsi" w:hAnsiTheme="minorHAnsi" w:cs="Vrinda"/>
      <w:sz w:val="24"/>
      <w:szCs w:val="30"/>
      <w:lang w:bidi="bn-IN"/>
    </w:rPr>
  </w:style>
  <w:style w:type="character" w:customStyle="1" w:styleId="HeaderChar">
    <w:name w:val="Header Char"/>
    <w:basedOn w:val="DefaultParagraphFont"/>
    <w:link w:val="Header"/>
    <w:uiPriority w:val="99"/>
    <w:rsid w:val="00171A7B"/>
    <w:rPr>
      <w:rFonts w:asciiTheme="minorHAnsi" w:eastAsiaTheme="minorHAnsi" w:hAnsiTheme="minorHAnsi" w:cs="Vrinda"/>
      <w:sz w:val="24"/>
      <w:szCs w:val="30"/>
      <w:lang w:bidi="bn-IN"/>
    </w:rPr>
  </w:style>
  <w:style w:type="character" w:styleId="UnresolvedMention">
    <w:name w:val="Unresolved Mention"/>
    <w:basedOn w:val="DefaultParagraphFont"/>
    <w:uiPriority w:val="99"/>
    <w:semiHidden/>
    <w:unhideWhenUsed/>
    <w:rsid w:val="00423F1E"/>
    <w:rPr>
      <w:color w:val="605E5C"/>
      <w:shd w:val="clear" w:color="auto" w:fill="E1DFDD"/>
    </w:rPr>
  </w:style>
  <w:style w:type="paragraph" w:styleId="Footer">
    <w:name w:val="footer"/>
    <w:basedOn w:val="Normal"/>
    <w:link w:val="FooterChar"/>
    <w:uiPriority w:val="99"/>
    <w:unhideWhenUsed/>
    <w:rsid w:val="007C7089"/>
    <w:pPr>
      <w:tabs>
        <w:tab w:val="center" w:pos="4680"/>
        <w:tab w:val="right" w:pos="9360"/>
      </w:tabs>
      <w:spacing w:line="240" w:lineRule="auto"/>
    </w:pPr>
  </w:style>
  <w:style w:type="character" w:customStyle="1" w:styleId="FooterChar">
    <w:name w:val="Footer Char"/>
    <w:basedOn w:val="DefaultParagraphFont"/>
    <w:link w:val="Footer"/>
    <w:uiPriority w:val="99"/>
    <w:rsid w:val="007C7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1223">
      <w:bodyDiv w:val="1"/>
      <w:marLeft w:val="0"/>
      <w:marRight w:val="0"/>
      <w:marTop w:val="0"/>
      <w:marBottom w:val="0"/>
      <w:divBdr>
        <w:top w:val="none" w:sz="0" w:space="0" w:color="auto"/>
        <w:left w:val="none" w:sz="0" w:space="0" w:color="auto"/>
        <w:bottom w:val="none" w:sz="0" w:space="0" w:color="auto"/>
        <w:right w:val="none" w:sz="0" w:space="0" w:color="auto"/>
      </w:divBdr>
    </w:div>
    <w:div w:id="277611230">
      <w:bodyDiv w:val="1"/>
      <w:marLeft w:val="0"/>
      <w:marRight w:val="0"/>
      <w:marTop w:val="0"/>
      <w:marBottom w:val="0"/>
      <w:divBdr>
        <w:top w:val="none" w:sz="0" w:space="0" w:color="auto"/>
        <w:left w:val="none" w:sz="0" w:space="0" w:color="auto"/>
        <w:bottom w:val="none" w:sz="0" w:space="0" w:color="auto"/>
        <w:right w:val="none" w:sz="0" w:space="0" w:color="auto"/>
      </w:divBdr>
    </w:div>
    <w:div w:id="351687642">
      <w:bodyDiv w:val="1"/>
      <w:marLeft w:val="0"/>
      <w:marRight w:val="0"/>
      <w:marTop w:val="0"/>
      <w:marBottom w:val="0"/>
      <w:divBdr>
        <w:top w:val="none" w:sz="0" w:space="0" w:color="auto"/>
        <w:left w:val="none" w:sz="0" w:space="0" w:color="auto"/>
        <w:bottom w:val="none" w:sz="0" w:space="0" w:color="auto"/>
        <w:right w:val="none" w:sz="0" w:space="0" w:color="auto"/>
      </w:divBdr>
    </w:div>
    <w:div w:id="409042462">
      <w:bodyDiv w:val="1"/>
      <w:marLeft w:val="0"/>
      <w:marRight w:val="0"/>
      <w:marTop w:val="0"/>
      <w:marBottom w:val="0"/>
      <w:divBdr>
        <w:top w:val="none" w:sz="0" w:space="0" w:color="auto"/>
        <w:left w:val="none" w:sz="0" w:space="0" w:color="auto"/>
        <w:bottom w:val="none" w:sz="0" w:space="0" w:color="auto"/>
        <w:right w:val="none" w:sz="0" w:space="0" w:color="auto"/>
      </w:divBdr>
    </w:div>
    <w:div w:id="409936330">
      <w:bodyDiv w:val="1"/>
      <w:marLeft w:val="0"/>
      <w:marRight w:val="0"/>
      <w:marTop w:val="0"/>
      <w:marBottom w:val="0"/>
      <w:divBdr>
        <w:top w:val="none" w:sz="0" w:space="0" w:color="auto"/>
        <w:left w:val="none" w:sz="0" w:space="0" w:color="auto"/>
        <w:bottom w:val="none" w:sz="0" w:space="0" w:color="auto"/>
        <w:right w:val="none" w:sz="0" w:space="0" w:color="auto"/>
      </w:divBdr>
    </w:div>
    <w:div w:id="622930602">
      <w:bodyDiv w:val="1"/>
      <w:marLeft w:val="0"/>
      <w:marRight w:val="0"/>
      <w:marTop w:val="0"/>
      <w:marBottom w:val="0"/>
      <w:divBdr>
        <w:top w:val="none" w:sz="0" w:space="0" w:color="auto"/>
        <w:left w:val="none" w:sz="0" w:space="0" w:color="auto"/>
        <w:bottom w:val="none" w:sz="0" w:space="0" w:color="auto"/>
        <w:right w:val="none" w:sz="0" w:space="0" w:color="auto"/>
      </w:divBdr>
    </w:div>
    <w:div w:id="644043451">
      <w:bodyDiv w:val="1"/>
      <w:marLeft w:val="0"/>
      <w:marRight w:val="0"/>
      <w:marTop w:val="0"/>
      <w:marBottom w:val="0"/>
      <w:divBdr>
        <w:top w:val="none" w:sz="0" w:space="0" w:color="auto"/>
        <w:left w:val="none" w:sz="0" w:space="0" w:color="auto"/>
        <w:bottom w:val="none" w:sz="0" w:space="0" w:color="auto"/>
        <w:right w:val="none" w:sz="0" w:space="0" w:color="auto"/>
      </w:divBdr>
    </w:div>
    <w:div w:id="757404610">
      <w:bodyDiv w:val="1"/>
      <w:marLeft w:val="0"/>
      <w:marRight w:val="0"/>
      <w:marTop w:val="0"/>
      <w:marBottom w:val="0"/>
      <w:divBdr>
        <w:top w:val="none" w:sz="0" w:space="0" w:color="auto"/>
        <w:left w:val="none" w:sz="0" w:space="0" w:color="auto"/>
        <w:bottom w:val="none" w:sz="0" w:space="0" w:color="auto"/>
        <w:right w:val="none" w:sz="0" w:space="0" w:color="auto"/>
      </w:divBdr>
    </w:div>
    <w:div w:id="765536026">
      <w:bodyDiv w:val="1"/>
      <w:marLeft w:val="0"/>
      <w:marRight w:val="0"/>
      <w:marTop w:val="0"/>
      <w:marBottom w:val="0"/>
      <w:divBdr>
        <w:top w:val="none" w:sz="0" w:space="0" w:color="auto"/>
        <w:left w:val="none" w:sz="0" w:space="0" w:color="auto"/>
        <w:bottom w:val="none" w:sz="0" w:space="0" w:color="auto"/>
        <w:right w:val="none" w:sz="0" w:space="0" w:color="auto"/>
      </w:divBdr>
    </w:div>
    <w:div w:id="770931036">
      <w:bodyDiv w:val="1"/>
      <w:marLeft w:val="0"/>
      <w:marRight w:val="0"/>
      <w:marTop w:val="0"/>
      <w:marBottom w:val="0"/>
      <w:divBdr>
        <w:top w:val="none" w:sz="0" w:space="0" w:color="auto"/>
        <w:left w:val="none" w:sz="0" w:space="0" w:color="auto"/>
        <w:bottom w:val="none" w:sz="0" w:space="0" w:color="auto"/>
        <w:right w:val="none" w:sz="0" w:space="0" w:color="auto"/>
      </w:divBdr>
    </w:div>
    <w:div w:id="1411926216">
      <w:bodyDiv w:val="1"/>
      <w:marLeft w:val="0"/>
      <w:marRight w:val="0"/>
      <w:marTop w:val="0"/>
      <w:marBottom w:val="0"/>
      <w:divBdr>
        <w:top w:val="none" w:sz="0" w:space="0" w:color="auto"/>
        <w:left w:val="none" w:sz="0" w:space="0" w:color="auto"/>
        <w:bottom w:val="none" w:sz="0" w:space="0" w:color="auto"/>
        <w:right w:val="none" w:sz="0" w:space="0" w:color="auto"/>
      </w:divBdr>
    </w:div>
    <w:div w:id="1661956414">
      <w:bodyDiv w:val="1"/>
      <w:marLeft w:val="0"/>
      <w:marRight w:val="0"/>
      <w:marTop w:val="0"/>
      <w:marBottom w:val="0"/>
      <w:divBdr>
        <w:top w:val="none" w:sz="0" w:space="0" w:color="auto"/>
        <w:left w:val="none" w:sz="0" w:space="0" w:color="auto"/>
        <w:bottom w:val="none" w:sz="0" w:space="0" w:color="auto"/>
        <w:right w:val="none" w:sz="0" w:space="0" w:color="auto"/>
      </w:divBdr>
    </w:div>
    <w:div w:id="1776560250">
      <w:bodyDiv w:val="1"/>
      <w:marLeft w:val="0"/>
      <w:marRight w:val="0"/>
      <w:marTop w:val="0"/>
      <w:marBottom w:val="0"/>
      <w:divBdr>
        <w:top w:val="none" w:sz="0" w:space="0" w:color="auto"/>
        <w:left w:val="none" w:sz="0" w:space="0" w:color="auto"/>
        <w:bottom w:val="none" w:sz="0" w:space="0" w:color="auto"/>
        <w:right w:val="none" w:sz="0" w:space="0" w:color="auto"/>
      </w:divBdr>
    </w:div>
    <w:div w:id="1881091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341/kjo.2022.0105" TargetMode="External"/><Relationship Id="rId4" Type="http://schemas.openxmlformats.org/officeDocument/2006/relationships/webSettings" Target="webSettings.xml"/><Relationship Id="rId9" Type="http://schemas.openxmlformats.org/officeDocument/2006/relationships/hyperlink" Target="https://doi.org/10.1038/s41433-021-01802-9"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000" b="0" i="0" baseline="0">
                <a:solidFill>
                  <a:schemeClr val="tx1"/>
                </a:solidFill>
                <a:effectLst/>
                <a:latin typeface="Times New Roman" panose="02020603050405020304" pitchFamily="18" charset="0"/>
                <a:cs typeface="Times New Roman" panose="02020603050405020304" pitchFamily="18" charset="0"/>
              </a:rPr>
              <a:t>Sex </a:t>
            </a:r>
            <a:r>
              <a:rPr lang="en-US" sz="1000" b="0" i="0" u="none" strike="noStrike" normalizeH="0" baseline="0">
                <a:solidFill>
                  <a:schemeClr val="tx1"/>
                </a:solidFill>
                <a:effectLst/>
                <a:latin typeface="Times New Roman" panose="02020603050405020304" pitchFamily="18" charset="0"/>
                <a:cs typeface="Times New Roman" panose="02020603050405020304" pitchFamily="18" charset="0"/>
              </a:rPr>
              <a:t>distribution of  the participants</a:t>
            </a:r>
            <a:endParaRPr lang="en-US" sz="1000" b="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10025410025409E-2"/>
          <c:y val="0.14647756335735876"/>
          <c:w val="0.76574484842201374"/>
          <c:h val="0.77912113461985588"/>
        </c:manualLayout>
      </c:layout>
      <c:pie3DChart>
        <c:varyColors val="1"/>
        <c:ser>
          <c:idx val="0"/>
          <c:order val="0"/>
          <c:tx>
            <c:strRef>
              <c:f>Sheet1!$B$1</c:f>
              <c:strCache>
                <c:ptCount val="1"/>
                <c:pt idx="0">
                  <c:v>Sales</c:v>
                </c:pt>
              </c:strCache>
            </c:strRef>
          </c:tx>
          <c:spPr>
            <a:ln>
              <a:solidFill>
                <a:schemeClr val="accent1"/>
              </a:solidFill>
            </a:ln>
          </c:spPr>
          <c:explosion val="2"/>
          <c:dPt>
            <c:idx val="0"/>
            <c:bubble3D val="0"/>
            <c:spPr>
              <a:solidFill>
                <a:schemeClr val="accent6"/>
              </a:solidFill>
              <a:ln w="50800">
                <a:solidFill>
                  <a:schemeClr val="accent6"/>
                </a:solidFill>
              </a:ln>
              <a:effectLst/>
              <a:sp3d contourW="50800">
                <a:contourClr>
                  <a:srgbClr val="002060"/>
                </a:contourClr>
              </a:sp3d>
            </c:spPr>
            <c:extLst>
              <c:ext xmlns:c16="http://schemas.microsoft.com/office/drawing/2014/chart" uri="{C3380CC4-5D6E-409C-BE32-E72D297353CC}">
                <c16:uniqueId val="{00000001-18AC-4C0C-A76A-A673B0AA1537}"/>
              </c:ext>
            </c:extLst>
          </c:dPt>
          <c:dPt>
            <c:idx val="1"/>
            <c:bubble3D val="0"/>
            <c:spPr>
              <a:solidFill>
                <a:srgbClr val="002060"/>
              </a:solidFill>
              <a:ln w="50800">
                <a:solidFill>
                  <a:srgbClr val="002060"/>
                </a:solidFill>
              </a:ln>
              <a:effectLst/>
              <a:sp3d contourW="50800">
                <a:contourClr>
                  <a:schemeClr val="accent4"/>
                </a:contourClr>
              </a:sp3d>
            </c:spPr>
            <c:extLst>
              <c:ext xmlns:c16="http://schemas.microsoft.com/office/drawing/2014/chart" uri="{C3380CC4-5D6E-409C-BE32-E72D297353CC}">
                <c16:uniqueId val="{00000003-18AC-4C0C-A76A-A673B0AA1537}"/>
              </c:ext>
            </c:extLst>
          </c:dPt>
          <c:dLbls>
            <c:dLbl>
              <c:idx val="0"/>
              <c:layout>
                <c:manualLayout>
                  <c:x val="-0.1866958717382729"/>
                  <c:y val="3.8328578732436863E-2"/>
                </c:manualLayout>
              </c:layout>
              <c:tx>
                <c:rich>
                  <a:bodyPr/>
                  <a:lstStyle/>
                  <a:p>
                    <a:r>
                      <a:rPr lang="en-US"/>
                      <a:t>36.7%</a:t>
                    </a:r>
                  </a:p>
                </c:rich>
              </c:tx>
              <c:showLegendKey val="0"/>
              <c:showVal val="1"/>
              <c:showCatName val="0"/>
              <c:showSerName val="0"/>
              <c:showPercent val="0"/>
              <c:showBubbleSize val="0"/>
              <c:extLst>
                <c:ext xmlns:c15="http://schemas.microsoft.com/office/drawing/2012/chart" uri="{CE6537A1-D6FC-4f65-9D91-7224C49458BB}">
                  <c15:layout>
                    <c:manualLayout>
                      <c:w val="9.4109972655091759E-2"/>
                      <c:h val="0.1006631198127261"/>
                    </c:manualLayout>
                  </c15:layout>
                  <c15:showDataLabelsRange val="0"/>
                </c:ext>
                <c:ext xmlns:c16="http://schemas.microsoft.com/office/drawing/2014/chart" uri="{C3380CC4-5D6E-409C-BE32-E72D297353CC}">
                  <c16:uniqueId val="{00000001-18AC-4C0C-A76A-A673B0AA1537}"/>
                </c:ext>
              </c:extLst>
            </c:dLbl>
            <c:dLbl>
              <c:idx val="1"/>
              <c:layout>
                <c:manualLayout>
                  <c:x val="0.23913742949414879"/>
                  <c:y val="-0.18027743153133735"/>
                </c:manualLayout>
              </c:layout>
              <c:tx>
                <c:rich>
                  <a:bodyPr/>
                  <a:lstStyle/>
                  <a:p>
                    <a:r>
                      <a:rPr lang="en-US"/>
                      <a:t>63.3%</a:t>
                    </a:r>
                  </a:p>
                </c:rich>
              </c:tx>
              <c:showLegendKey val="0"/>
              <c:showVal val="1"/>
              <c:showCatName val="0"/>
              <c:showSerName val="0"/>
              <c:showPercent val="0"/>
              <c:showBubbleSize val="0"/>
              <c:extLst>
                <c:ext xmlns:c15="http://schemas.microsoft.com/office/drawing/2012/chart" uri="{CE6537A1-D6FC-4f65-9D91-7224C49458BB}">
                  <c15:layout>
                    <c:manualLayout>
                      <c:w val="8.917229488573343E-2"/>
                      <c:h val="9.5021493934879755E-2"/>
                    </c:manualLayout>
                  </c15:layout>
                  <c15:showDataLabelsRange val="0"/>
                </c:ext>
                <c:ext xmlns:c16="http://schemas.microsoft.com/office/drawing/2014/chart" uri="{C3380CC4-5D6E-409C-BE32-E72D297353CC}">
                  <c16:uniqueId val="{00000003-18AC-4C0C-A76A-A673B0AA1537}"/>
                </c:ext>
              </c:extLst>
            </c:dLbl>
            <c:spPr>
              <a:effectLst>
                <a:softEdge rad="25400"/>
              </a:effectLst>
            </c:spPr>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rect">
                    <a:avLst/>
                  </a:prstGeom>
                </c15:spPr>
              </c:ext>
            </c:extLst>
          </c:dLbls>
          <c:cat>
            <c:strRef>
              <c:f>Sheet1!$A$2:$A$3</c:f>
              <c:strCache>
                <c:ptCount val="2"/>
                <c:pt idx="0">
                  <c:v>Male</c:v>
                </c:pt>
                <c:pt idx="1">
                  <c:v>Female</c:v>
                </c:pt>
              </c:strCache>
            </c:strRef>
          </c:cat>
          <c:val>
            <c:numRef>
              <c:f>Sheet1!$B$2:$B$3</c:f>
              <c:numCache>
                <c:formatCode>General</c:formatCode>
                <c:ptCount val="2"/>
                <c:pt idx="0">
                  <c:v>11</c:v>
                </c:pt>
                <c:pt idx="1">
                  <c:v>19</c:v>
                </c:pt>
              </c:numCache>
            </c:numRef>
          </c:val>
          <c:extLst>
            <c:ext xmlns:c16="http://schemas.microsoft.com/office/drawing/2014/chart" uri="{C3380CC4-5D6E-409C-BE32-E72D297353CC}">
              <c16:uniqueId val="{00000004-18AC-4C0C-A76A-A673B0AA1537}"/>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85250252372299617"/>
          <c:y val="0.47729701625609627"/>
          <c:w val="9.6215424994952559E-2"/>
          <c:h val="0.14834305641496043"/>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ysClr val="windowText" lastClr="000000"/>
                </a:solidFill>
                <a:latin typeface="+mn-lt"/>
                <a:ea typeface="+mn-ea"/>
                <a:cs typeface="+mn-cs"/>
              </a:defRPr>
            </a:pPr>
            <a:r>
              <a:rPr lang="en-US" sz="900" b="0" i="0" u="none" strike="noStrike" cap="none" baseline="0">
                <a:solidFill>
                  <a:sysClr val="windowText" lastClr="000000"/>
                </a:solidFill>
                <a:latin typeface="Times New Roman" panose="02020603050405020304" pitchFamily="18" charset="0"/>
                <a:cs typeface="Times New Roman" panose="02020603050405020304" pitchFamily="18" charset="0"/>
              </a:rPr>
              <a:t>Laterality of Affected Eye</a:t>
            </a:r>
            <a:endParaRPr lang="en-US"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71341672163726"/>
          <c:y val="0.13900613545615548"/>
          <c:w val="0.73266965038702081"/>
          <c:h val="0.68606807795383806"/>
        </c:manualLayout>
      </c:layout>
      <c:bar3DChart>
        <c:barDir val="bar"/>
        <c:grouping val="clustered"/>
        <c:varyColors val="0"/>
        <c:ser>
          <c:idx val="0"/>
          <c:order val="0"/>
          <c:tx>
            <c:strRef>
              <c:f>Sheet1!$B$1</c:f>
              <c:strCache>
                <c:ptCount val="1"/>
                <c:pt idx="0">
                  <c:v>Frequency (n)</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1.1004126547455195E-2"/>
                  <c:y val="-1.5503875968992248E-2"/>
                </c:manualLayout>
              </c:layout>
              <c:tx>
                <c:rich>
                  <a:bodyPr/>
                  <a:lstStyle/>
                  <a:p>
                    <a:r>
                      <a:rPr lang="en-US"/>
                      <a:t>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E0C-448D-B164-6D23F853E5CC}"/>
                </c:ext>
              </c:extLst>
            </c:dLbl>
            <c:dLbl>
              <c:idx val="1"/>
              <c:layout>
                <c:manualLayout>
                  <c:x val="1.6506189821182942E-2"/>
                  <c:y val="-2.5839793281653745E-2"/>
                </c:manualLayout>
              </c:layout>
              <c:tx>
                <c:rich>
                  <a:bodyPr/>
                  <a:lstStyle/>
                  <a:p>
                    <a:r>
                      <a:rPr lang="en-US"/>
                      <a:t>46.7%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E0C-448D-B164-6D23F853E5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Right </c:v>
                </c:pt>
                <c:pt idx="1">
                  <c:v>Left</c:v>
                </c:pt>
              </c:strCache>
            </c:strRef>
          </c:cat>
          <c:val>
            <c:numRef>
              <c:f>Sheet1!$B$2:$B$3</c:f>
              <c:numCache>
                <c:formatCode>General</c:formatCode>
                <c:ptCount val="2"/>
                <c:pt idx="0">
                  <c:v>16</c:v>
                </c:pt>
                <c:pt idx="1">
                  <c:v>14</c:v>
                </c:pt>
              </c:numCache>
            </c:numRef>
          </c:val>
          <c:extLst>
            <c:ext xmlns:c16="http://schemas.microsoft.com/office/drawing/2014/chart" uri="{C3380CC4-5D6E-409C-BE32-E72D297353CC}">
              <c16:uniqueId val="{00000000-4E0C-448D-B164-6D23F853E5CC}"/>
            </c:ext>
          </c:extLst>
        </c:ser>
        <c:dLbls>
          <c:showLegendKey val="0"/>
          <c:showVal val="0"/>
          <c:showCatName val="0"/>
          <c:showSerName val="0"/>
          <c:showPercent val="0"/>
          <c:showBubbleSize val="0"/>
        </c:dLbls>
        <c:gapWidth val="150"/>
        <c:shape val="box"/>
        <c:axId val="170019456"/>
        <c:axId val="170021248"/>
        <c:axId val="0"/>
      </c:bar3DChart>
      <c:catAx>
        <c:axId val="170019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021248"/>
        <c:crosses val="autoZero"/>
        <c:auto val="1"/>
        <c:lblAlgn val="ctr"/>
        <c:lblOffset val="100"/>
        <c:noMultiLvlLbl val="0"/>
      </c:catAx>
      <c:valAx>
        <c:axId val="170021248"/>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7001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25</cp:revision>
  <dcterms:created xsi:type="dcterms:W3CDTF">2025-05-06T21:56:00Z</dcterms:created>
  <dcterms:modified xsi:type="dcterms:W3CDTF">2025-05-28T10:45:00Z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480b55d8-a0cd-4bbc-b941-e9fd8a5ea30d</vt:lpwstr>
  </property>
</Properties>
</file>