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16732" w14:textId="77777777" w:rsidR="00181F9F" w:rsidRPr="00B27A7C" w:rsidRDefault="00181F9F" w:rsidP="004D08C6">
      <w:pPr>
        <w:jc w:val="center"/>
        <w:rPr>
          <w:b/>
          <w:bCs/>
          <w:sz w:val="4"/>
          <w:szCs w:val="2"/>
        </w:rPr>
      </w:pPr>
    </w:p>
    <w:p w14:paraId="7950A1F5" w14:textId="77777777" w:rsidR="00C44652" w:rsidRDefault="00C44652" w:rsidP="00181F9F">
      <w:pPr>
        <w:spacing w:line="240" w:lineRule="auto"/>
        <w:rPr>
          <w:b/>
          <w:bCs/>
        </w:rPr>
      </w:pPr>
    </w:p>
    <w:p w14:paraId="452BB38C" w14:textId="77777777" w:rsidR="00C44652" w:rsidRDefault="00C44652" w:rsidP="00181F9F">
      <w:pPr>
        <w:spacing w:line="240" w:lineRule="auto"/>
        <w:rPr>
          <w:b/>
          <w:bCs/>
        </w:rPr>
      </w:pPr>
    </w:p>
    <w:p w14:paraId="6650C85A" w14:textId="77777777" w:rsidR="00C44652" w:rsidRDefault="00C44652" w:rsidP="00181F9F">
      <w:pPr>
        <w:spacing w:line="240" w:lineRule="auto"/>
        <w:rPr>
          <w:b/>
          <w:bCs/>
        </w:rPr>
      </w:pPr>
    </w:p>
    <w:p w14:paraId="0DDC1BD3" w14:textId="1823ED19" w:rsidR="00C44652" w:rsidRDefault="00C44652" w:rsidP="00181F9F">
      <w:pPr>
        <w:spacing w:line="240" w:lineRule="auto"/>
        <w:rPr>
          <w:b/>
          <w:bCs/>
        </w:rPr>
      </w:pPr>
      <w:r w:rsidRPr="00C44652">
        <w:rPr>
          <w:b/>
          <w:bCs/>
        </w:rPr>
        <w:t>Original Research Article</w:t>
      </w:r>
    </w:p>
    <w:p w14:paraId="2DF0C1BA" w14:textId="77777777" w:rsidR="00C44652" w:rsidRDefault="00C44652" w:rsidP="00181F9F">
      <w:pPr>
        <w:spacing w:line="240" w:lineRule="auto"/>
        <w:rPr>
          <w:b/>
          <w:bCs/>
        </w:rPr>
      </w:pPr>
    </w:p>
    <w:p w14:paraId="51642887" w14:textId="77777777" w:rsidR="00C44652" w:rsidRDefault="00C44652" w:rsidP="00181F9F">
      <w:pPr>
        <w:spacing w:line="240" w:lineRule="auto"/>
        <w:rPr>
          <w:b/>
          <w:bCs/>
        </w:rPr>
      </w:pPr>
    </w:p>
    <w:p w14:paraId="17E01AA7" w14:textId="442300A2" w:rsidR="00F91E07" w:rsidRDefault="00F91E07" w:rsidP="00181F9F">
      <w:pPr>
        <w:spacing w:line="240" w:lineRule="auto"/>
        <w:rPr>
          <w:b/>
          <w:bCs/>
        </w:rPr>
      </w:pPr>
      <w:r w:rsidRPr="00CD51A0">
        <w:rPr>
          <w:b/>
          <w:bCs/>
        </w:rPr>
        <w:t>NON-ALCOHOLIC FATTY LIVER DISEASE</w:t>
      </w:r>
      <w:r>
        <w:rPr>
          <w:b/>
          <w:bCs/>
        </w:rPr>
        <w:t xml:space="preserve"> AND ASSOCIATED </w:t>
      </w:r>
      <w:r w:rsidRPr="004D08C6">
        <w:rPr>
          <w:b/>
          <w:bCs/>
        </w:rPr>
        <w:t xml:space="preserve">LIPID PROFILE </w:t>
      </w:r>
      <w:r>
        <w:rPr>
          <w:b/>
          <w:bCs/>
        </w:rPr>
        <w:t>IN TYPE II DIABETES</w:t>
      </w:r>
    </w:p>
    <w:p w14:paraId="06292F3A" w14:textId="77777777" w:rsidR="00C44652" w:rsidRPr="004D08C6" w:rsidRDefault="00C44652" w:rsidP="00181F9F">
      <w:pPr>
        <w:spacing w:line="240" w:lineRule="auto"/>
        <w:rPr>
          <w:b/>
          <w:bCs/>
        </w:rPr>
      </w:pPr>
    </w:p>
    <w:p w14:paraId="39FC1250" w14:textId="25699006" w:rsidR="00BA6A45" w:rsidRPr="00B27A7C" w:rsidRDefault="00BA6A45" w:rsidP="00BA6A45">
      <w:pPr>
        <w:rPr>
          <w:sz w:val="10"/>
          <w:szCs w:val="6"/>
        </w:rPr>
      </w:pPr>
    </w:p>
    <w:p w14:paraId="6E126EB0" w14:textId="77777777" w:rsidR="00CC6AA6" w:rsidRDefault="00CC6AA6" w:rsidP="002C177E">
      <w:pPr>
        <w:spacing w:line="240" w:lineRule="auto"/>
      </w:pPr>
    </w:p>
    <w:p w14:paraId="69881DD2" w14:textId="77777777" w:rsidR="00CC6AA6" w:rsidRDefault="00CC6AA6" w:rsidP="002C177E">
      <w:pPr>
        <w:spacing w:line="240" w:lineRule="auto"/>
      </w:pPr>
    </w:p>
    <w:p w14:paraId="1329DF8A" w14:textId="542D50F8" w:rsidR="00574A6F" w:rsidRDefault="00574A6F" w:rsidP="002C177E">
      <w:pPr>
        <w:spacing w:line="240" w:lineRule="auto"/>
      </w:pPr>
      <w:r>
        <w:t xml:space="preserve"> </w:t>
      </w:r>
    </w:p>
    <w:p w14:paraId="2A52E1F7" w14:textId="77777777" w:rsidR="003C60DF" w:rsidRDefault="003C60DF">
      <w:pPr>
        <w:rPr>
          <w:i/>
          <w:iCs/>
        </w:rPr>
      </w:pPr>
    </w:p>
    <w:p w14:paraId="32DED019" w14:textId="77777777" w:rsidR="00026845" w:rsidRDefault="00026845" w:rsidP="00026845">
      <w:pPr>
        <w:spacing w:line="240" w:lineRule="auto"/>
        <w:rPr>
          <w:b/>
          <w:bCs/>
        </w:rPr>
      </w:pPr>
      <w:r>
        <w:rPr>
          <w:b/>
          <w:bCs/>
        </w:rPr>
        <w:t>ABSTRACT</w:t>
      </w:r>
    </w:p>
    <w:p w14:paraId="28E225ED" w14:textId="77777777" w:rsidR="00026845" w:rsidRPr="007C0AAD" w:rsidRDefault="00026845" w:rsidP="00026845">
      <w:pPr>
        <w:spacing w:line="240" w:lineRule="auto"/>
      </w:pPr>
      <w:r>
        <w:rPr>
          <w:b/>
          <w:bCs/>
        </w:rPr>
        <w:t xml:space="preserve">Background: </w:t>
      </w:r>
      <w:r w:rsidRPr="007C0AAD">
        <w:t>Type II diabetes mellitus (T2DM) and non-alcoholic fatty liver disease (NAFLD) are rising chronic conditions that often co-occur, posing significant health risks. NAFLD is common among those with T2DM due to shared risk factors like insulin resistance and obesity. Understanding this link is crucial for effective prevention and treatment. This article explores the relationship between NAFLD and lipid profiles in individuals with T2DM.</w:t>
      </w:r>
    </w:p>
    <w:p w14:paraId="06D5BC95" w14:textId="77777777" w:rsidR="00026845" w:rsidRDefault="00026845" w:rsidP="00026845">
      <w:pPr>
        <w:spacing w:line="240" w:lineRule="auto"/>
        <w:rPr>
          <w:b/>
          <w:bCs/>
        </w:rPr>
      </w:pPr>
      <w:r>
        <w:rPr>
          <w:b/>
          <w:bCs/>
        </w:rPr>
        <w:t xml:space="preserve">Method: </w:t>
      </w:r>
      <w:r>
        <w:t xml:space="preserve">The study was carried out at the University of Port Harcourt Teaching Hospital (UPTH), Rivers State, Nigeria. The study included 300 participants aged 18 and above, consisting of 150 diabetic patients and 150 age- and sex-matched controls. Participants underwent clinical, biochemical, and anthropometric assessments. Blood samples were collected to </w:t>
      </w:r>
      <w:proofErr w:type="spellStart"/>
      <w:r>
        <w:t>analyze</w:t>
      </w:r>
      <w:proofErr w:type="spellEnd"/>
      <w:r>
        <w:t xml:space="preserve"> liver enzymes, glucose, and lipid profiles according to standard laboratory procedures. Additionally, all subjects received abdominal ultrasound examinations to detect hepatic steatosis, indicative of NAFLD.</w:t>
      </w:r>
    </w:p>
    <w:p w14:paraId="50B05E8B" w14:textId="77777777" w:rsidR="00026845" w:rsidRDefault="00026845" w:rsidP="00026845">
      <w:pPr>
        <w:spacing w:line="240" w:lineRule="auto"/>
      </w:pPr>
      <w:r w:rsidRPr="006648E4">
        <w:rPr>
          <w:b/>
          <w:bCs/>
        </w:rPr>
        <w:t>Results</w:t>
      </w:r>
      <w:r>
        <w:t>:  There was a 32.7% prevalence of NAFLD among the diabetic patients. Regression analysis show that individuals with uncontrolled diabetes are significantly more likely to have NAFLD The odds ratio was 7.3 (95% CI: 2.6 – 20.1; p = 0.0001). Also, an odds ratio of 4.9 (95% CI: 1.5 – 15.3), suggests a strong association between elevated triglycerides and NAFLD.</w:t>
      </w:r>
    </w:p>
    <w:p w14:paraId="1927E01A" w14:textId="77777777" w:rsidR="00026845" w:rsidRDefault="00026845" w:rsidP="00026845">
      <w:pPr>
        <w:spacing w:line="240" w:lineRule="auto"/>
      </w:pPr>
      <w:r>
        <w:t xml:space="preserve">For high-density lipoprotein (HDL) levels, none of the individuals with elevated HDL had NAFLD, whereas 100% of them were without NAFLD. This difference was also significant, with a chi-square value of 11.25 (p=0.0041). </w:t>
      </w:r>
    </w:p>
    <w:p w14:paraId="29CD049D" w14:textId="77777777" w:rsidR="00026845" w:rsidRPr="00DF6AAF" w:rsidRDefault="00026845" w:rsidP="00026845">
      <w:pPr>
        <w:spacing w:line="240" w:lineRule="auto"/>
        <w:rPr>
          <w:b/>
          <w:bCs/>
        </w:rPr>
      </w:pPr>
      <w:r>
        <w:rPr>
          <w:b/>
          <w:bCs/>
        </w:rPr>
        <w:t xml:space="preserve">Conclusion: </w:t>
      </w:r>
      <w:r w:rsidRPr="007C0AAD">
        <w:t xml:space="preserve">People with type 2 diabetes face a complex interplay between blood sugar control, cholesterol levels, and NAFLD. This study found that poor blood </w:t>
      </w:r>
      <w:r>
        <w:t xml:space="preserve">glucose </w:t>
      </w:r>
      <w:r w:rsidRPr="007C0AAD">
        <w:t xml:space="preserve">control (high HbA1c) and high triglycerides significantly increase NAFLD risk, while higher HDL levels offer some protection. LDL levels weren't directly linked to NAFLD, and standard liver tests for bilirubin and albumin were less informative. The study recommends regular NAFLD screening, especially for patients with poor blood </w:t>
      </w:r>
      <w:r>
        <w:t>glucose</w:t>
      </w:r>
      <w:r w:rsidRPr="007C0AAD">
        <w:t xml:space="preserve"> control or high triglycerides, and a comprehensive treatment approach to manage blood</w:t>
      </w:r>
      <w:r>
        <w:t xml:space="preserve"> glucose</w:t>
      </w:r>
      <w:r w:rsidRPr="007C0AAD">
        <w:t>, triglycerides, and potentially increase HDL. Tailoring treatment to individual risk profiles and educating patients on healthy habits is essential.</w:t>
      </w:r>
    </w:p>
    <w:p w14:paraId="3E6F7B04" w14:textId="77777777" w:rsidR="00026845" w:rsidRPr="00026845" w:rsidRDefault="00026845"/>
    <w:p w14:paraId="545D3880" w14:textId="0495B57B" w:rsidR="00F91E07" w:rsidRPr="00C80347" w:rsidRDefault="00F91E07" w:rsidP="00FF3EEA">
      <w:r>
        <w:rPr>
          <w:b/>
          <w:bCs/>
        </w:rPr>
        <w:t xml:space="preserve">Keywords: </w:t>
      </w:r>
      <w:r w:rsidRPr="00895A55">
        <w:rPr>
          <w:i/>
          <w:iCs/>
        </w:rPr>
        <w:t xml:space="preserve">NAFLD, Diabetes Mellitus (DM), </w:t>
      </w:r>
      <w:r>
        <w:rPr>
          <w:i/>
          <w:iCs/>
        </w:rPr>
        <w:t>Lipid Profile</w:t>
      </w:r>
      <w:r w:rsidR="007C0AAD">
        <w:rPr>
          <w:i/>
          <w:iCs/>
        </w:rPr>
        <w:t>, Glucose control</w:t>
      </w:r>
    </w:p>
    <w:p w14:paraId="174D69B5" w14:textId="77777777" w:rsidR="00F91E07" w:rsidRDefault="00F91E07" w:rsidP="00FF3EEA">
      <w:pPr>
        <w:rPr>
          <w:b/>
          <w:bCs/>
        </w:rPr>
      </w:pPr>
    </w:p>
    <w:p w14:paraId="59DDFC79" w14:textId="77777777" w:rsidR="00026845" w:rsidRDefault="00026845" w:rsidP="00FF3EEA">
      <w:pPr>
        <w:rPr>
          <w:b/>
          <w:bCs/>
        </w:rPr>
      </w:pPr>
    </w:p>
    <w:p w14:paraId="6DF80DF1" w14:textId="77777777" w:rsidR="00343AB7" w:rsidRDefault="00343AB7" w:rsidP="00FF3EEA">
      <w:pPr>
        <w:rPr>
          <w:b/>
          <w:bCs/>
        </w:rPr>
      </w:pPr>
    </w:p>
    <w:p w14:paraId="0FDD0B1D" w14:textId="77777777" w:rsidR="00F91E07" w:rsidRDefault="00F91E07" w:rsidP="00DD2E7F">
      <w:pPr>
        <w:spacing w:line="240" w:lineRule="auto"/>
        <w:rPr>
          <w:b/>
          <w:bCs/>
        </w:rPr>
      </w:pPr>
      <w:r>
        <w:rPr>
          <w:b/>
          <w:bCs/>
        </w:rPr>
        <w:lastRenderedPageBreak/>
        <w:t>1.0</w:t>
      </w:r>
      <w:r>
        <w:rPr>
          <w:b/>
          <w:bCs/>
        </w:rPr>
        <w:tab/>
        <w:t>INTRODUCTION</w:t>
      </w:r>
    </w:p>
    <w:p w14:paraId="652B5CEE" w14:textId="4A53AB7E" w:rsidR="00F91E07" w:rsidRDefault="00F91E07" w:rsidP="00DD2E7F">
      <w:pPr>
        <w:pStyle w:val="NormalWeb"/>
        <w:spacing w:before="0" w:beforeAutospacing="0" w:after="0" w:afterAutospacing="0"/>
        <w:jc w:val="both"/>
      </w:pPr>
      <w:r>
        <w:t>Non-alcoholic fatty liver disease (NAFLD) represents a spectrum of liver conditions characterized by excessive fat accumulation in the liver cells of individuals who consume little to no alcohol.</w:t>
      </w:r>
      <w:sdt>
        <w:sdtPr>
          <w:rPr>
            <w:color w:val="000000"/>
            <w:vertAlign w:val="superscript"/>
          </w:rPr>
          <w:tag w:val="MENDELEY_CITATION_v3_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"/>
          <w:id w:val="1551340451"/>
          <w:placeholder>
            <w:docPart w:val="DefaultPlaceholder_-1854013440"/>
          </w:placeholder>
        </w:sdtPr>
        <w:sdtContent>
          <w:r w:rsidR="00343AB7" w:rsidRPr="00343AB7">
            <w:rPr>
              <w:color w:val="000000"/>
              <w:vertAlign w:val="superscript"/>
            </w:rPr>
            <w:t>1,2</w:t>
          </w:r>
        </w:sdtContent>
      </w:sdt>
      <w:r>
        <w:t xml:space="preserve"> As one of the most common liver disorders globally, NAFLD ranges from simple hepatic steatosis to more severe conditions like non-alcoholic steatohepatitis (NASH), fibrosis, and cirrhosis.</w:t>
      </w:r>
      <w:sdt>
        <w:sdtPr>
          <w:rPr>
            <w:color w:val="000000"/>
            <w:vertAlign w:val="superscript"/>
          </w:rPr>
          <w:tag w:val="MENDELEY_CITATION_v3_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"/>
          <w:id w:val="-1834061209"/>
          <w:placeholder>
            <w:docPart w:val="DefaultPlaceholder_-1854013440"/>
          </w:placeholder>
        </w:sdtPr>
        <w:sdtContent>
          <w:r w:rsidR="00343AB7" w:rsidRPr="00343AB7">
            <w:rPr>
              <w:color w:val="000000"/>
              <w:vertAlign w:val="superscript"/>
            </w:rPr>
            <w:t>3,4</w:t>
          </w:r>
        </w:sdtContent>
      </w:sdt>
      <w:r>
        <w:t xml:space="preserve"> The increasing prevalence of NAFLD has paralleled the rise in metabolic disorders, notably type II diabetes mellitus (T2DM).</w:t>
      </w:r>
      <w:sdt>
        <w:sdtPr>
          <w:rPr>
            <w:color w:val="000000"/>
            <w:vertAlign w:val="superscript"/>
          </w:rPr>
          <w:tag w:val="MENDELEY_CITATION_v3_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"/>
          <w:id w:val="-710576939"/>
          <w:placeholder>
            <w:docPart w:val="DefaultPlaceholder_-1854013440"/>
          </w:placeholder>
        </w:sdtPr>
        <w:sdtContent>
          <w:r w:rsidR="00343AB7" w:rsidRPr="00343AB7">
            <w:rPr>
              <w:color w:val="000000"/>
              <w:vertAlign w:val="superscript"/>
            </w:rPr>
            <w:t>5</w:t>
          </w:r>
        </w:sdtContent>
      </w:sdt>
      <w:r>
        <w:rPr>
          <w:color w:val="000000"/>
          <w:vertAlign w:val="superscript"/>
        </w:rPr>
        <w:t xml:space="preserve"> </w:t>
      </w:r>
      <w:r>
        <w:t xml:space="preserve">Type II diabetes, a chronic metabolic condition marked by insulin resistance and </w:t>
      </w:r>
      <w:proofErr w:type="spellStart"/>
      <w:r>
        <w:t>hyperglycemia</w:t>
      </w:r>
      <w:proofErr w:type="spellEnd"/>
      <w:r>
        <w:t>, significantly heightens the risk of developing NAFLD.</w:t>
      </w:r>
      <w:sdt>
        <w:sdtPr>
          <w:rPr>
            <w:color w:val="000000"/>
            <w:vertAlign w:val="superscript"/>
          </w:rPr>
          <w:tag w:val="MENDELEY_CITATION_v3_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"/>
          <w:id w:val="-1617834915"/>
          <w:placeholder>
            <w:docPart w:val="DefaultPlaceholder_-1854013440"/>
          </w:placeholder>
        </w:sdtPr>
        <w:sdtContent>
          <w:r w:rsidR="00343AB7" w:rsidRPr="00343AB7">
            <w:rPr>
              <w:color w:val="000000"/>
              <w:vertAlign w:val="superscript"/>
            </w:rPr>
            <w:t>6,7</w:t>
          </w:r>
        </w:sdtContent>
      </w:sdt>
      <w:r>
        <w:t xml:space="preserve"> Approximately 70% of individuals with T2DM have been reported to exhibit NAFLD, making it a critical area of study.</w:t>
      </w:r>
      <w:sdt>
        <w:sdtPr>
          <w:rPr>
            <w:color w:val="000000"/>
            <w:vertAlign w:val="superscript"/>
          </w:rPr>
          <w:tag w:val="MENDELEY_CITATION_v3_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"/>
          <w:id w:val="-721745701"/>
          <w:placeholder>
            <w:docPart w:val="DefaultPlaceholder_-1854013440"/>
          </w:placeholder>
        </w:sdtPr>
        <w:sdtContent>
          <w:r w:rsidR="00343AB7" w:rsidRPr="00343AB7">
            <w:rPr>
              <w:color w:val="000000"/>
              <w:vertAlign w:val="superscript"/>
            </w:rPr>
            <w:t>7,8</w:t>
          </w:r>
        </w:sdtContent>
      </w:sdt>
      <w:r>
        <w:t xml:space="preserve"> The relationship between these two conditions is bidirectional; not only does T2DM exacerbate NAFLD progression, but NAFLD also contributes to poor </w:t>
      </w:r>
      <w:proofErr w:type="spellStart"/>
      <w:r>
        <w:t>glycemic</w:t>
      </w:r>
      <w:proofErr w:type="spellEnd"/>
      <w:r>
        <w:t xml:space="preserve"> control and worsens insulin resistance, creating a vicious cycle.</w:t>
      </w:r>
      <w:r w:rsidR="002C177E">
        <w:t xml:space="preserve"> </w:t>
      </w:r>
      <w:r>
        <w:t xml:space="preserve">A pivotal aspect of understanding the interplay between NAFLD and T2DM lies in examining the lipid profile associated with these conditions. </w:t>
      </w:r>
      <w:proofErr w:type="spellStart"/>
      <w:r>
        <w:t>Dyslipidemia</w:t>
      </w:r>
      <w:proofErr w:type="spellEnd"/>
      <w:r>
        <w:t>, characterized by elevated levels of triglycerides,</w:t>
      </w:r>
      <w:r w:rsidR="000B1D5E">
        <w:t xml:space="preserve"> </w:t>
      </w:r>
      <w:r w:rsidR="00215BD0">
        <w:t xml:space="preserve">elevated </w:t>
      </w:r>
      <w:r>
        <w:t>low-density lipoprotein cholesterol (LDL-C), and reduced high-density lipoprotein cholesterol (HDL-C), is a common metabolic anomaly in both NAFLD and T2DM.</w:t>
      </w:r>
      <w:sdt>
        <w:sdtPr>
          <w:rPr>
            <w:color w:val="000000"/>
            <w:vertAlign w:val="superscript"/>
          </w:rPr>
          <w:tag w:val="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"/>
          <w:id w:val="-1716500069"/>
          <w:placeholder>
            <w:docPart w:val="DefaultPlaceholder_-1854013440"/>
          </w:placeholder>
        </w:sdtPr>
        <w:sdtContent>
          <w:r w:rsidR="00343AB7" w:rsidRPr="00343AB7">
            <w:rPr>
              <w:color w:val="000000"/>
              <w:vertAlign w:val="superscript"/>
            </w:rPr>
            <w:t>9–11</w:t>
          </w:r>
        </w:sdtContent>
      </w:sdt>
      <w:r>
        <w:t xml:space="preserve"> This altered lipid metabolism plays a crucial role in the pathogenesis and progression of NAFLD in diabetic patients. </w:t>
      </w:r>
      <w:r w:rsidRPr="00D87399">
        <w:t>The increasing prevalence of NAFLD worldwide is linked to the increasing prevalence of obesity and DM which have been reported as major risk factors.</w:t>
      </w:r>
      <w:sdt>
        <w:sdtPr>
          <w:rPr>
            <w:color w:val="000000"/>
            <w:vertAlign w:val="superscript"/>
          </w:rPr>
          <w:tag w:val="MENDELEY_CITATION_v3_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"/>
          <w:id w:val="696116917"/>
          <w:placeholder>
            <w:docPart w:val="DefaultPlaceholder_-1854013440"/>
          </w:placeholder>
        </w:sdtPr>
        <w:sdtContent>
          <w:r w:rsidR="00343AB7" w:rsidRPr="00343AB7">
            <w:rPr>
              <w:color w:val="000000"/>
              <w:vertAlign w:val="superscript"/>
            </w:rPr>
            <w:t>12</w:t>
          </w:r>
        </w:sdtContent>
      </w:sdt>
      <w:r w:rsidRPr="00D87399">
        <w:t xml:space="preserve"> The global prevalence of NAFLD in DM is 57.19%, more than 2 times higher than in the general population</w:t>
      </w:r>
      <w:sdt>
        <w:sdtPr>
          <w:rPr>
            <w:color w:val="000000"/>
            <w:vertAlign w:val="superscript"/>
          </w:rPr>
          <w:tag w:val="MENDELEY_CITATION_v3_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"/>
          <w:id w:val="-1823428183"/>
          <w:placeholder>
            <w:docPart w:val="DefaultPlaceholder_-1854013440"/>
          </w:placeholder>
        </w:sdtPr>
        <w:sdtContent>
          <w:r w:rsidR="00343AB7" w:rsidRPr="00343AB7">
            <w:rPr>
              <w:color w:val="000000"/>
              <w:vertAlign w:val="superscript"/>
            </w:rPr>
            <w:t>13</w:t>
          </w:r>
        </w:sdtContent>
      </w:sdt>
      <w:r w:rsidRPr="00D87399">
        <w:rPr>
          <w:vertAlign w:val="superscript"/>
        </w:rPr>
        <w:t xml:space="preserve"> </w:t>
      </w:r>
      <w:r w:rsidRPr="00D87399">
        <w:t>A review of three studies carried out in the South-West part of Nigeria revealed variations in the prevalence rate in the region.</w:t>
      </w:r>
      <w:sdt>
        <w:sdtPr>
          <w:rPr>
            <w:color w:val="000000"/>
            <w:vertAlign w:val="superscript"/>
          </w:rPr>
          <w:tag w:val="MENDELEY_CITATION_v3_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"/>
          <w:id w:val="-1248955933"/>
          <w:placeholder>
            <w:docPart w:val="DefaultPlaceholder_-1854013440"/>
          </w:placeholder>
        </w:sdtPr>
        <w:sdtContent>
          <w:r w:rsidR="00343AB7" w:rsidRPr="00343AB7">
            <w:rPr>
              <w:color w:val="000000"/>
              <w:vertAlign w:val="superscript"/>
            </w:rPr>
            <w:t>10</w:t>
          </w:r>
        </w:sdtContent>
      </w:sdt>
      <w:r w:rsidRPr="00D87399">
        <w:t xml:space="preserve"> Onyekwere et al</w:t>
      </w:r>
      <w:sdt>
        <w:sdtPr>
          <w:rPr>
            <w:color w:val="000000"/>
            <w:vertAlign w:val="superscript"/>
          </w:rPr>
          <w:tag w:val="MENDELEY_CITATION_v3_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"/>
          <w:id w:val="327492601"/>
          <w:placeholder>
            <w:docPart w:val="DefaultPlaceholder_-1854013440"/>
          </w:placeholder>
        </w:sdtPr>
        <w:sdtContent>
          <w:r w:rsidR="00343AB7" w:rsidRPr="00343AB7">
            <w:rPr>
              <w:color w:val="000000"/>
              <w:vertAlign w:val="superscript"/>
            </w:rPr>
            <w:t>12</w:t>
          </w:r>
        </w:sdtContent>
      </w:sdt>
      <w:r w:rsidRPr="00D87399">
        <w:t xml:space="preserve"> reported a prevalence of 9.5% among 168 type 2 DM patients, while two other studies had higher prevalent rates of 16.7% (of 106 diabetic patients)</w:t>
      </w:r>
      <w:sdt>
        <w:sdtPr>
          <w:rPr>
            <w:color w:val="000000"/>
            <w:vertAlign w:val="superscript"/>
          </w:rPr>
          <w:tag w:val="MENDELEY_CITATION_v3_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"/>
          <w:id w:val="1659727650"/>
          <w:placeholder>
            <w:docPart w:val="DefaultPlaceholder_-1854013440"/>
          </w:placeholder>
        </w:sdtPr>
        <w:sdtContent>
          <w:r w:rsidR="00343AB7" w:rsidRPr="00343AB7">
            <w:rPr>
              <w:color w:val="000000"/>
              <w:vertAlign w:val="superscript"/>
            </w:rPr>
            <w:t>14</w:t>
          </w:r>
        </w:sdtContent>
      </w:sdt>
      <w:r w:rsidRPr="00D87399">
        <w:t xml:space="preserve"> and a whopping 66.8% (of 80 type 2 diabetic patients) respectively.</w:t>
      </w:r>
      <w:sdt>
        <w:sdtPr>
          <w:rPr>
            <w:color w:val="000000"/>
            <w:vertAlign w:val="superscript"/>
          </w:rPr>
          <w:tag w:val="MENDELEY_CITATION_v3_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"/>
          <w:id w:val="-602879995"/>
          <w:placeholder>
            <w:docPart w:val="DefaultPlaceholder_-1854013440"/>
          </w:placeholder>
        </w:sdtPr>
        <w:sdtContent>
          <w:r w:rsidR="00343AB7" w:rsidRPr="00343AB7">
            <w:rPr>
              <w:color w:val="000000"/>
              <w:vertAlign w:val="superscript"/>
            </w:rPr>
            <w:t>15</w:t>
          </w:r>
        </w:sdtContent>
      </w:sdt>
      <w:r w:rsidR="002C177E">
        <w:t xml:space="preserve"> </w:t>
      </w:r>
      <w:r>
        <w:t xml:space="preserve">Type II diabetes mellitus (T2DM) and non-alcoholic fatty liver disease (NAFLD) are rapidly rising chronic conditions, often co-occurring and posing a significant public health burden. While both diseases are individually concerning, their combined presence presents a heightened risk for serious health complications. NAFLD, characterized by excessive fat accumulation in the liver, is increasingly prevalent among individuals with T2DM. This association is likely due to shared underlying risk factors, such as insulin resistance and obesity. Understanding the link between these conditions is crucial for developing effective preventive and treatment strategies. This article delves into the relationship between NAFLD and lipid profile in individuals with T2DM. </w:t>
      </w:r>
    </w:p>
    <w:p w14:paraId="4B98F7DE" w14:textId="77777777" w:rsidR="00F91E07" w:rsidRDefault="00F91E07" w:rsidP="00DD2E7F">
      <w:pPr>
        <w:spacing w:line="240" w:lineRule="auto"/>
        <w:rPr>
          <w:b/>
          <w:bCs/>
        </w:rPr>
      </w:pPr>
      <w:r>
        <w:rPr>
          <w:b/>
          <w:bCs/>
        </w:rPr>
        <w:t>2.0</w:t>
      </w:r>
      <w:r>
        <w:rPr>
          <w:b/>
          <w:bCs/>
        </w:rPr>
        <w:tab/>
        <w:t>METHODS</w:t>
      </w:r>
    </w:p>
    <w:p w14:paraId="4669DE95" w14:textId="77777777" w:rsidR="00F91E07" w:rsidRDefault="00F91E07" w:rsidP="002C177E">
      <w:pPr>
        <w:spacing w:line="240" w:lineRule="auto"/>
        <w:rPr>
          <w:b/>
          <w:bCs/>
        </w:rPr>
      </w:pPr>
      <w:r>
        <w:rPr>
          <w:b/>
          <w:bCs/>
        </w:rPr>
        <w:t>2.1</w:t>
      </w:r>
      <w:r>
        <w:rPr>
          <w:b/>
          <w:bCs/>
        </w:rPr>
        <w:tab/>
        <w:t>Study Population</w:t>
      </w:r>
    </w:p>
    <w:p w14:paraId="668CD949" w14:textId="77777777" w:rsidR="00F91E07" w:rsidRDefault="00F91E07" w:rsidP="002C177E">
      <w:pPr>
        <w:spacing w:line="240" w:lineRule="auto"/>
        <w:rPr>
          <w:b/>
          <w:bCs/>
        </w:rPr>
      </w:pPr>
      <w:r>
        <w:t xml:space="preserve">The study was carried out at the University of Port Harcourt Teaching Hospital (UPTH), Rivers State, Nigeria. The study included 150 diabetic patients receiving care at UPTH. Diabetic patients were screened to exclude those positive for hepatitis B surface antigen, hepatitis C virus antibody, and those with significant alcohol history. </w:t>
      </w:r>
    </w:p>
    <w:p w14:paraId="4478B995" w14:textId="77777777" w:rsidR="00F91E07" w:rsidRDefault="00F91E07" w:rsidP="002C177E">
      <w:pPr>
        <w:spacing w:after="160" w:line="240" w:lineRule="auto"/>
        <w:jc w:val="left"/>
        <w:rPr>
          <w:b/>
          <w:bCs/>
        </w:rPr>
      </w:pPr>
      <w:r>
        <w:rPr>
          <w:b/>
          <w:bCs/>
        </w:rPr>
        <w:t>2.2</w:t>
      </w:r>
      <w:r>
        <w:rPr>
          <w:b/>
          <w:bCs/>
        </w:rPr>
        <w:tab/>
        <w:t>Sample Collection and Assessment</w:t>
      </w:r>
    </w:p>
    <w:p w14:paraId="667470D4" w14:textId="606A2FE0" w:rsidR="00F91E07" w:rsidRDefault="00F91E07" w:rsidP="002C177E">
      <w:pPr>
        <w:spacing w:after="160" w:line="240" w:lineRule="auto"/>
      </w:pPr>
      <w:r>
        <w:t xml:space="preserve">Participants underwent clinical, biochemical, and anthropometric assessments. Blood samples were collected to </w:t>
      </w:r>
      <w:proofErr w:type="spellStart"/>
      <w:r>
        <w:t>analyze</w:t>
      </w:r>
      <w:proofErr w:type="spellEnd"/>
      <w:r>
        <w:t xml:space="preserve"> liver enzymes, glucose, and lipid profiles according to standard laboratory procedures.</w:t>
      </w:r>
      <w:sdt>
        <w:sdtPr>
          <w:rPr>
            <w:color w:val="000000"/>
            <w:vertAlign w:val="superscript"/>
          </w:rPr>
          <w:tag w:val="MENDELEY_CITATION_v3_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"/>
          <w:id w:val="1561676653"/>
          <w:placeholder>
            <w:docPart w:val="D4F02A340E6849B297D0CB7267794A20"/>
          </w:placeholder>
        </w:sdtPr>
        <w:sdtContent>
          <w:r w:rsidR="00343AB7" w:rsidRPr="00343AB7">
            <w:rPr>
              <w:color w:val="000000"/>
              <w:vertAlign w:val="superscript"/>
            </w:rPr>
            <w:t>16</w:t>
          </w:r>
        </w:sdtContent>
      </w:sdt>
      <w:r>
        <w:t xml:space="preserve"> Additionally, all subjects received abdominal ultrasound examinations to detect hepatic steatosis, indicative of NAFLD.</w:t>
      </w:r>
    </w:p>
    <w:p w14:paraId="1C195DD8" w14:textId="77777777" w:rsidR="00F91E07" w:rsidRDefault="00F91E07" w:rsidP="002C177E">
      <w:pPr>
        <w:spacing w:after="160" w:line="240" w:lineRule="auto"/>
        <w:rPr>
          <w:b/>
          <w:bCs/>
        </w:rPr>
      </w:pPr>
      <w:r>
        <w:rPr>
          <w:b/>
          <w:bCs/>
        </w:rPr>
        <w:t>2.3</w:t>
      </w:r>
      <w:r>
        <w:rPr>
          <w:b/>
          <w:bCs/>
        </w:rPr>
        <w:tab/>
      </w:r>
      <w:r w:rsidRPr="00DB4AF0">
        <w:rPr>
          <w:b/>
          <w:bCs/>
        </w:rPr>
        <w:t>Data Collection</w:t>
      </w:r>
    </w:p>
    <w:p w14:paraId="1431DF5E" w14:textId="77777777" w:rsidR="00F91E07" w:rsidRDefault="00F91E07" w:rsidP="002C177E">
      <w:pPr>
        <w:spacing w:after="160" w:line="240" w:lineRule="auto"/>
      </w:pPr>
      <w:r>
        <w:t>Data were gathered through structured questionnaires and medical examinations. The questionnaire covered socio-demographic information and medical history. Physical examinations recorded anthropometric measurements, while laboratory tests provided biochemical data.</w:t>
      </w:r>
    </w:p>
    <w:p w14:paraId="5852DFF4" w14:textId="77777777" w:rsidR="00F91E07" w:rsidRDefault="00F91E07" w:rsidP="002C177E">
      <w:pPr>
        <w:spacing w:line="240" w:lineRule="auto"/>
        <w:rPr>
          <w:b/>
          <w:bCs/>
        </w:rPr>
      </w:pPr>
      <w:r>
        <w:rPr>
          <w:b/>
          <w:bCs/>
        </w:rPr>
        <w:lastRenderedPageBreak/>
        <w:t>2.4</w:t>
      </w:r>
      <w:r>
        <w:rPr>
          <w:b/>
          <w:bCs/>
        </w:rPr>
        <w:tab/>
      </w:r>
      <w:r w:rsidRPr="00825D0D">
        <w:rPr>
          <w:b/>
          <w:bCs/>
        </w:rPr>
        <w:t>Data Analysis</w:t>
      </w:r>
    </w:p>
    <w:p w14:paraId="7E66866D" w14:textId="14FEDAB3" w:rsidR="00F91E07" w:rsidRDefault="00F91E07" w:rsidP="002C177E">
      <w:pPr>
        <w:spacing w:line="240" w:lineRule="auto"/>
        <w:rPr>
          <w:szCs w:val="24"/>
        </w:rPr>
      </w:pPr>
      <w:r w:rsidRPr="00825D0D">
        <w:rPr>
          <w:szCs w:val="24"/>
        </w:rPr>
        <w:t xml:space="preserve">The collected data were </w:t>
      </w:r>
      <w:proofErr w:type="spellStart"/>
      <w:r w:rsidRPr="00825D0D">
        <w:rPr>
          <w:szCs w:val="24"/>
        </w:rPr>
        <w:t>analyzed</w:t>
      </w:r>
      <w:proofErr w:type="spellEnd"/>
      <w:r w:rsidRPr="00825D0D">
        <w:rPr>
          <w:szCs w:val="24"/>
        </w:rPr>
        <w:t xml:space="preserve"> using statistical software. Descriptive statistics summarized the socio-demographic and clinical characteristics of participants. Comparative analyses were performed to examine differences between diabetic patients with and without NAFLD, and logistic regression identified predictors of NAFLD within the diabetic cohort.</w:t>
      </w:r>
      <w:r>
        <w:rPr>
          <w:szCs w:val="24"/>
        </w:rPr>
        <w:t xml:space="preserve"> All analyses </w:t>
      </w:r>
      <w:r w:rsidR="000C5E82">
        <w:rPr>
          <w:szCs w:val="24"/>
        </w:rPr>
        <w:t>were</w:t>
      </w:r>
      <w:r>
        <w:rPr>
          <w:szCs w:val="24"/>
        </w:rPr>
        <w:t xml:space="preserve"> done with the Statistical Package for Social Sciences (v26) IBM, USA at a 95% confidence interval and a p-value less than 0.05 was considered statistically significant.</w:t>
      </w:r>
    </w:p>
    <w:p w14:paraId="3E400E4A" w14:textId="77777777" w:rsidR="00F91E07" w:rsidRPr="00825D0D" w:rsidRDefault="00F91E07" w:rsidP="002C177E">
      <w:pPr>
        <w:spacing w:line="240" w:lineRule="auto"/>
        <w:rPr>
          <w:b/>
          <w:bCs/>
        </w:rPr>
      </w:pPr>
      <w:r w:rsidRPr="00825D0D">
        <w:rPr>
          <w:b/>
          <w:bCs/>
          <w:szCs w:val="24"/>
        </w:rPr>
        <w:t>2.5</w:t>
      </w:r>
      <w:r w:rsidRPr="00825D0D">
        <w:rPr>
          <w:b/>
          <w:bCs/>
          <w:szCs w:val="24"/>
        </w:rPr>
        <w:tab/>
        <w:t>Ethical Considerations</w:t>
      </w:r>
    </w:p>
    <w:p w14:paraId="3A710F1D" w14:textId="77777777" w:rsidR="00F91E07" w:rsidRPr="00DB4AF0" w:rsidRDefault="00F91E07" w:rsidP="002C177E">
      <w:pPr>
        <w:spacing w:after="160" w:line="240" w:lineRule="auto"/>
        <w:rPr>
          <w:b/>
          <w:bCs/>
        </w:rPr>
      </w:pPr>
      <w:r>
        <w:t>Ethical approval was obtained from the UPTH Ethics Committee. Informed consent was secured from all participants after explaining the study's purpose, procedures, and potential risks. Confidentiality was maintained throughout the study.</w:t>
      </w:r>
    </w:p>
    <w:p w14:paraId="1E5DAA66" w14:textId="77777777" w:rsidR="00F91E07" w:rsidRDefault="00F91E07" w:rsidP="002C177E">
      <w:pPr>
        <w:spacing w:line="240" w:lineRule="auto"/>
        <w:rPr>
          <w:b/>
          <w:bCs/>
        </w:rPr>
      </w:pPr>
      <w:r>
        <w:rPr>
          <w:b/>
          <w:bCs/>
        </w:rPr>
        <w:t>3.0</w:t>
      </w:r>
      <w:r>
        <w:rPr>
          <w:b/>
          <w:bCs/>
        </w:rPr>
        <w:tab/>
        <w:t>RESULTS</w:t>
      </w:r>
    </w:p>
    <w:p w14:paraId="0A5EBCE3" w14:textId="4A43DF6E" w:rsidR="002C177E" w:rsidRDefault="00F91E07" w:rsidP="002C177E">
      <w:pPr>
        <w:spacing w:line="240" w:lineRule="auto"/>
        <w:rPr>
          <w:szCs w:val="24"/>
        </w:rPr>
      </w:pPr>
      <w:r>
        <w:rPr>
          <w:szCs w:val="24"/>
        </w:rPr>
        <w:t xml:space="preserve">Table 1 shows the demographic distribution of the study participants. </w:t>
      </w:r>
      <w:r w:rsidRPr="004266E8">
        <w:rPr>
          <w:szCs w:val="24"/>
        </w:rPr>
        <w:t>The table presents the demographic characteristics of a sample population of 150 individuals, broken down by age group, sex, education, and marital status.</w:t>
      </w:r>
      <w:r>
        <w:rPr>
          <w:szCs w:val="24"/>
        </w:rPr>
        <w:t xml:space="preserve"> </w:t>
      </w:r>
      <w:r w:rsidRPr="004266E8">
        <w:rPr>
          <w:szCs w:val="24"/>
        </w:rPr>
        <w:t>In terms of age distribution, the largest proportion of the sample, 36.7%, falls within the 50 to 59-year age range, followed by 24.7% aged 40 to 49 years, and 23.3% aged 60 to 69 years. The youngest group, aged 30 to 39 years, makes up 12.7% of the sample, while the oldest group, aged 70 to 79 years, comprises just 2.7%.</w:t>
      </w:r>
      <w:r>
        <w:rPr>
          <w:szCs w:val="24"/>
        </w:rPr>
        <w:t xml:space="preserve"> </w:t>
      </w:r>
      <w:r w:rsidRPr="004266E8">
        <w:rPr>
          <w:szCs w:val="24"/>
        </w:rPr>
        <w:t>Regarding sex, the majority of the sample is female, accounting for 80.7%, while males represent 19.3%.</w:t>
      </w:r>
      <w:r>
        <w:rPr>
          <w:szCs w:val="24"/>
        </w:rPr>
        <w:t xml:space="preserve"> </w:t>
      </w:r>
      <w:r w:rsidRPr="004266E8">
        <w:rPr>
          <w:szCs w:val="24"/>
        </w:rPr>
        <w:t>Educational attainment is varied, with the majority of individuals, 58.7%, having tertiary education. Those with secondary education make up 27.3% of the sample, and those with primary education account for 14%.</w:t>
      </w:r>
      <w:r>
        <w:rPr>
          <w:szCs w:val="24"/>
        </w:rPr>
        <w:t xml:space="preserve"> </w:t>
      </w:r>
      <w:r w:rsidRPr="004266E8">
        <w:rPr>
          <w:szCs w:val="24"/>
        </w:rPr>
        <w:t>Marital status reveals that a significant majority, 82.7%, are married. Widowed individuals constitute 12.7%, while those who are single make up 4.7% of the sample</w:t>
      </w:r>
      <w:r>
        <w:rPr>
          <w:szCs w:val="24"/>
        </w:rPr>
        <w:t>.</w:t>
      </w:r>
    </w:p>
    <w:p w14:paraId="6F80FBEC" w14:textId="38F04ED5" w:rsidR="00F91E07" w:rsidRDefault="00F91E07" w:rsidP="002C177E">
      <w:pPr>
        <w:pStyle w:val="Caption"/>
        <w:keepNext/>
        <w:jc w:val="center"/>
      </w:pPr>
      <w:r>
        <w:t xml:space="preserve">Table </w:t>
      </w:r>
      <w:r w:rsidR="00A61A89">
        <w:rPr>
          <w:noProof/>
        </w:rPr>
        <w:fldChar w:fldCharType="begin"/>
      </w:r>
      <w:r w:rsidR="00A61A89">
        <w:rPr>
          <w:noProof/>
        </w:rPr>
        <w:instrText xml:space="preserve"> SEQ Table \* ARABIC </w:instrText>
      </w:r>
      <w:r w:rsidR="00A61A89">
        <w:rPr>
          <w:noProof/>
        </w:rPr>
        <w:fldChar w:fldCharType="separate"/>
      </w:r>
      <w:r w:rsidR="00C51F88">
        <w:rPr>
          <w:noProof/>
        </w:rPr>
        <w:t>1</w:t>
      </w:r>
      <w:r w:rsidR="00A61A89">
        <w:rPr>
          <w:noProof/>
        </w:rPr>
        <w:fldChar w:fldCharType="end"/>
      </w:r>
      <w:r>
        <w:t>:</w:t>
      </w:r>
      <w:r w:rsidRPr="007A4BE9">
        <w:t>Sociodemographic distribution of Subjects</w:t>
      </w:r>
    </w:p>
    <w:tbl>
      <w:tblPr>
        <w:tblW w:w="5283" w:type="dxa"/>
        <w:jc w:val="center"/>
        <w:tblBorders>
          <w:top w:val="single" w:sz="4" w:space="0" w:color="auto"/>
          <w:bottom w:val="single" w:sz="4" w:space="0" w:color="auto"/>
        </w:tblBorders>
        <w:tblLook w:val="04A0" w:firstRow="1" w:lastRow="0" w:firstColumn="1" w:lastColumn="0" w:noHBand="0" w:noVBand="1"/>
      </w:tblPr>
      <w:tblGrid>
        <w:gridCol w:w="2970"/>
        <w:gridCol w:w="1310"/>
        <w:gridCol w:w="1003"/>
      </w:tblGrid>
      <w:tr w:rsidR="00F91E07" w:rsidRPr="002C177E" w14:paraId="48EAE2DC" w14:textId="77777777" w:rsidTr="00A5625B">
        <w:trPr>
          <w:trHeight w:val="300"/>
          <w:jc w:val="center"/>
        </w:trPr>
        <w:tc>
          <w:tcPr>
            <w:tcW w:w="2970" w:type="dxa"/>
            <w:tcBorders>
              <w:bottom w:val="single" w:sz="4" w:space="0" w:color="auto"/>
            </w:tcBorders>
            <w:shd w:val="clear" w:color="auto" w:fill="auto"/>
            <w:noWrap/>
            <w:vAlign w:val="bottom"/>
            <w:hideMark/>
          </w:tcPr>
          <w:p w14:paraId="424D7410" w14:textId="77777777" w:rsidR="00F91E07" w:rsidRPr="002C177E" w:rsidRDefault="00F91E07" w:rsidP="002C177E">
            <w:pPr>
              <w:spacing w:line="240" w:lineRule="auto"/>
              <w:rPr>
                <w:color w:val="000000"/>
                <w:sz w:val="16"/>
                <w:szCs w:val="16"/>
              </w:rPr>
            </w:pPr>
            <w:r w:rsidRPr="002C177E">
              <w:rPr>
                <w:b/>
                <w:bCs/>
                <w:color w:val="000000"/>
                <w:sz w:val="16"/>
                <w:szCs w:val="16"/>
              </w:rPr>
              <w:t>Demography</w:t>
            </w:r>
          </w:p>
        </w:tc>
        <w:tc>
          <w:tcPr>
            <w:tcW w:w="1310" w:type="dxa"/>
            <w:tcBorders>
              <w:bottom w:val="single" w:sz="4" w:space="0" w:color="auto"/>
            </w:tcBorders>
            <w:shd w:val="clear" w:color="auto" w:fill="auto"/>
            <w:noWrap/>
            <w:vAlign w:val="bottom"/>
            <w:hideMark/>
          </w:tcPr>
          <w:p w14:paraId="306A4FDF" w14:textId="77777777" w:rsidR="00F91E07" w:rsidRPr="002C177E" w:rsidRDefault="00F91E07" w:rsidP="002C177E">
            <w:pPr>
              <w:spacing w:line="240" w:lineRule="auto"/>
              <w:jc w:val="center"/>
              <w:rPr>
                <w:b/>
                <w:bCs/>
                <w:color w:val="000000"/>
                <w:sz w:val="16"/>
                <w:szCs w:val="16"/>
              </w:rPr>
            </w:pPr>
            <w:r w:rsidRPr="002C177E">
              <w:rPr>
                <w:b/>
                <w:bCs/>
                <w:color w:val="000000"/>
                <w:sz w:val="16"/>
                <w:szCs w:val="16"/>
              </w:rPr>
              <w:t>Frequency (n=150)</w:t>
            </w:r>
          </w:p>
        </w:tc>
        <w:tc>
          <w:tcPr>
            <w:tcW w:w="1003" w:type="dxa"/>
            <w:tcBorders>
              <w:bottom w:val="single" w:sz="4" w:space="0" w:color="auto"/>
            </w:tcBorders>
            <w:shd w:val="clear" w:color="auto" w:fill="auto"/>
            <w:noWrap/>
            <w:vAlign w:val="bottom"/>
            <w:hideMark/>
          </w:tcPr>
          <w:p w14:paraId="7986F17B" w14:textId="77777777" w:rsidR="00F91E07" w:rsidRPr="002C177E" w:rsidRDefault="00F91E07" w:rsidP="002C177E">
            <w:pPr>
              <w:spacing w:line="240" w:lineRule="auto"/>
              <w:jc w:val="center"/>
              <w:rPr>
                <w:b/>
                <w:bCs/>
                <w:color w:val="000000"/>
                <w:sz w:val="16"/>
                <w:szCs w:val="16"/>
              </w:rPr>
            </w:pPr>
            <w:r w:rsidRPr="002C177E">
              <w:rPr>
                <w:b/>
                <w:bCs/>
                <w:color w:val="000000"/>
                <w:sz w:val="16"/>
                <w:szCs w:val="16"/>
              </w:rPr>
              <w:t>Percent (%)</w:t>
            </w:r>
          </w:p>
        </w:tc>
      </w:tr>
      <w:tr w:rsidR="00F91E07" w:rsidRPr="002C177E" w14:paraId="46D79AFB" w14:textId="77777777" w:rsidTr="00A5625B">
        <w:trPr>
          <w:trHeight w:val="300"/>
          <w:jc w:val="center"/>
        </w:trPr>
        <w:tc>
          <w:tcPr>
            <w:tcW w:w="2970" w:type="dxa"/>
            <w:tcBorders>
              <w:top w:val="single" w:sz="4" w:space="0" w:color="auto"/>
              <w:bottom w:val="nil"/>
            </w:tcBorders>
            <w:shd w:val="clear" w:color="auto" w:fill="auto"/>
            <w:noWrap/>
            <w:vAlign w:val="bottom"/>
            <w:hideMark/>
          </w:tcPr>
          <w:p w14:paraId="760DF067" w14:textId="77777777" w:rsidR="00F91E07" w:rsidRPr="002C177E" w:rsidRDefault="00F91E07" w:rsidP="002C177E">
            <w:pPr>
              <w:spacing w:line="240" w:lineRule="auto"/>
              <w:rPr>
                <w:b/>
                <w:bCs/>
                <w:color w:val="000000"/>
                <w:sz w:val="16"/>
                <w:szCs w:val="16"/>
              </w:rPr>
            </w:pPr>
            <w:r w:rsidRPr="002C177E">
              <w:rPr>
                <w:b/>
                <w:bCs/>
                <w:color w:val="000000"/>
                <w:sz w:val="16"/>
                <w:szCs w:val="16"/>
              </w:rPr>
              <w:t>Age group</w:t>
            </w:r>
          </w:p>
        </w:tc>
        <w:tc>
          <w:tcPr>
            <w:tcW w:w="1310" w:type="dxa"/>
            <w:tcBorders>
              <w:top w:val="single" w:sz="4" w:space="0" w:color="auto"/>
              <w:bottom w:val="nil"/>
            </w:tcBorders>
            <w:shd w:val="clear" w:color="auto" w:fill="auto"/>
            <w:noWrap/>
            <w:vAlign w:val="bottom"/>
            <w:hideMark/>
          </w:tcPr>
          <w:p w14:paraId="0FCCA17F" w14:textId="77777777" w:rsidR="00F91E07" w:rsidRPr="002C177E" w:rsidRDefault="00F91E07" w:rsidP="002C177E">
            <w:pPr>
              <w:spacing w:line="240" w:lineRule="auto"/>
              <w:jc w:val="center"/>
              <w:rPr>
                <w:color w:val="000000"/>
                <w:sz w:val="16"/>
                <w:szCs w:val="16"/>
              </w:rPr>
            </w:pPr>
          </w:p>
        </w:tc>
        <w:tc>
          <w:tcPr>
            <w:tcW w:w="1003" w:type="dxa"/>
            <w:tcBorders>
              <w:top w:val="single" w:sz="4" w:space="0" w:color="auto"/>
              <w:bottom w:val="nil"/>
            </w:tcBorders>
            <w:shd w:val="clear" w:color="auto" w:fill="auto"/>
            <w:noWrap/>
            <w:vAlign w:val="bottom"/>
            <w:hideMark/>
          </w:tcPr>
          <w:p w14:paraId="385C4534" w14:textId="77777777" w:rsidR="00F91E07" w:rsidRPr="002C177E" w:rsidRDefault="00F91E07" w:rsidP="002C177E">
            <w:pPr>
              <w:spacing w:line="240" w:lineRule="auto"/>
              <w:jc w:val="center"/>
              <w:rPr>
                <w:sz w:val="16"/>
                <w:szCs w:val="16"/>
              </w:rPr>
            </w:pPr>
          </w:p>
        </w:tc>
      </w:tr>
      <w:tr w:rsidR="00F91E07" w:rsidRPr="002C177E" w14:paraId="1F2192A3" w14:textId="77777777" w:rsidTr="00A5625B">
        <w:trPr>
          <w:trHeight w:val="300"/>
          <w:jc w:val="center"/>
        </w:trPr>
        <w:tc>
          <w:tcPr>
            <w:tcW w:w="2970" w:type="dxa"/>
            <w:tcBorders>
              <w:top w:val="nil"/>
              <w:bottom w:val="nil"/>
            </w:tcBorders>
            <w:shd w:val="clear" w:color="auto" w:fill="auto"/>
            <w:noWrap/>
            <w:vAlign w:val="bottom"/>
            <w:hideMark/>
          </w:tcPr>
          <w:p w14:paraId="586166C6" w14:textId="77777777" w:rsidR="00F91E07" w:rsidRPr="002C177E" w:rsidRDefault="00F91E07" w:rsidP="002C177E">
            <w:pPr>
              <w:spacing w:line="240" w:lineRule="auto"/>
              <w:rPr>
                <w:color w:val="000000"/>
                <w:sz w:val="16"/>
                <w:szCs w:val="16"/>
              </w:rPr>
            </w:pPr>
            <w:r w:rsidRPr="002C177E">
              <w:rPr>
                <w:color w:val="000000"/>
                <w:sz w:val="16"/>
                <w:szCs w:val="16"/>
              </w:rPr>
              <w:t>30 - 39 years</w:t>
            </w:r>
          </w:p>
        </w:tc>
        <w:tc>
          <w:tcPr>
            <w:tcW w:w="1310" w:type="dxa"/>
            <w:tcBorders>
              <w:top w:val="nil"/>
              <w:bottom w:val="nil"/>
            </w:tcBorders>
            <w:shd w:val="clear" w:color="auto" w:fill="auto"/>
            <w:noWrap/>
            <w:vAlign w:val="bottom"/>
            <w:hideMark/>
          </w:tcPr>
          <w:p w14:paraId="2BB0A0BC" w14:textId="77777777" w:rsidR="00F91E07" w:rsidRPr="002C177E" w:rsidRDefault="00F91E07" w:rsidP="002C177E">
            <w:pPr>
              <w:spacing w:line="240" w:lineRule="auto"/>
              <w:jc w:val="center"/>
              <w:rPr>
                <w:color w:val="000000"/>
                <w:sz w:val="16"/>
                <w:szCs w:val="16"/>
              </w:rPr>
            </w:pPr>
            <w:r w:rsidRPr="002C177E">
              <w:rPr>
                <w:color w:val="000000"/>
                <w:sz w:val="16"/>
                <w:szCs w:val="16"/>
              </w:rPr>
              <w:t>19</w:t>
            </w:r>
          </w:p>
        </w:tc>
        <w:tc>
          <w:tcPr>
            <w:tcW w:w="1003" w:type="dxa"/>
            <w:tcBorders>
              <w:top w:val="nil"/>
              <w:bottom w:val="nil"/>
            </w:tcBorders>
            <w:shd w:val="clear" w:color="auto" w:fill="auto"/>
            <w:noWrap/>
            <w:vAlign w:val="bottom"/>
            <w:hideMark/>
          </w:tcPr>
          <w:p w14:paraId="321307DE" w14:textId="77777777" w:rsidR="00F91E07" w:rsidRPr="002C177E" w:rsidRDefault="00F91E07" w:rsidP="002C177E">
            <w:pPr>
              <w:spacing w:line="240" w:lineRule="auto"/>
              <w:jc w:val="center"/>
              <w:rPr>
                <w:color w:val="000000"/>
                <w:sz w:val="16"/>
                <w:szCs w:val="16"/>
              </w:rPr>
            </w:pPr>
            <w:r w:rsidRPr="002C177E">
              <w:rPr>
                <w:color w:val="000000"/>
                <w:sz w:val="16"/>
                <w:szCs w:val="16"/>
              </w:rPr>
              <w:t>12.7</w:t>
            </w:r>
          </w:p>
        </w:tc>
      </w:tr>
      <w:tr w:rsidR="00F91E07" w:rsidRPr="002C177E" w14:paraId="56806134" w14:textId="77777777" w:rsidTr="00A5625B">
        <w:trPr>
          <w:trHeight w:val="300"/>
          <w:jc w:val="center"/>
        </w:trPr>
        <w:tc>
          <w:tcPr>
            <w:tcW w:w="2970" w:type="dxa"/>
            <w:tcBorders>
              <w:top w:val="nil"/>
              <w:bottom w:val="nil"/>
            </w:tcBorders>
            <w:shd w:val="clear" w:color="auto" w:fill="auto"/>
            <w:noWrap/>
            <w:vAlign w:val="bottom"/>
            <w:hideMark/>
          </w:tcPr>
          <w:p w14:paraId="66033986" w14:textId="77777777" w:rsidR="00F91E07" w:rsidRPr="002C177E" w:rsidRDefault="00F91E07" w:rsidP="002C177E">
            <w:pPr>
              <w:spacing w:line="240" w:lineRule="auto"/>
              <w:rPr>
                <w:color w:val="000000"/>
                <w:sz w:val="16"/>
                <w:szCs w:val="16"/>
              </w:rPr>
            </w:pPr>
            <w:r w:rsidRPr="002C177E">
              <w:rPr>
                <w:color w:val="000000"/>
                <w:sz w:val="16"/>
                <w:szCs w:val="16"/>
              </w:rPr>
              <w:t>40 - 49 years</w:t>
            </w:r>
          </w:p>
        </w:tc>
        <w:tc>
          <w:tcPr>
            <w:tcW w:w="1310" w:type="dxa"/>
            <w:tcBorders>
              <w:top w:val="nil"/>
              <w:bottom w:val="nil"/>
            </w:tcBorders>
            <w:shd w:val="clear" w:color="auto" w:fill="auto"/>
            <w:noWrap/>
            <w:vAlign w:val="bottom"/>
            <w:hideMark/>
          </w:tcPr>
          <w:p w14:paraId="24C2C05E" w14:textId="77777777" w:rsidR="00F91E07" w:rsidRPr="002C177E" w:rsidRDefault="00F91E07" w:rsidP="002C177E">
            <w:pPr>
              <w:spacing w:line="240" w:lineRule="auto"/>
              <w:jc w:val="center"/>
              <w:rPr>
                <w:color w:val="000000"/>
                <w:sz w:val="16"/>
                <w:szCs w:val="16"/>
              </w:rPr>
            </w:pPr>
            <w:r w:rsidRPr="002C177E">
              <w:rPr>
                <w:color w:val="000000"/>
                <w:sz w:val="16"/>
                <w:szCs w:val="16"/>
              </w:rPr>
              <w:t>37</w:t>
            </w:r>
          </w:p>
        </w:tc>
        <w:tc>
          <w:tcPr>
            <w:tcW w:w="1003" w:type="dxa"/>
            <w:tcBorders>
              <w:top w:val="nil"/>
              <w:bottom w:val="nil"/>
            </w:tcBorders>
            <w:shd w:val="clear" w:color="auto" w:fill="auto"/>
            <w:noWrap/>
            <w:vAlign w:val="bottom"/>
            <w:hideMark/>
          </w:tcPr>
          <w:p w14:paraId="5E5AA532" w14:textId="77777777" w:rsidR="00F91E07" w:rsidRPr="002C177E" w:rsidRDefault="00F91E07" w:rsidP="002C177E">
            <w:pPr>
              <w:spacing w:line="240" w:lineRule="auto"/>
              <w:jc w:val="center"/>
              <w:rPr>
                <w:color w:val="000000"/>
                <w:sz w:val="16"/>
                <w:szCs w:val="16"/>
              </w:rPr>
            </w:pPr>
            <w:r w:rsidRPr="002C177E">
              <w:rPr>
                <w:color w:val="000000"/>
                <w:sz w:val="16"/>
                <w:szCs w:val="16"/>
              </w:rPr>
              <w:t>24.7</w:t>
            </w:r>
          </w:p>
        </w:tc>
      </w:tr>
      <w:tr w:rsidR="00F91E07" w:rsidRPr="002C177E" w14:paraId="71FF0BB2" w14:textId="77777777" w:rsidTr="00A5625B">
        <w:trPr>
          <w:trHeight w:val="300"/>
          <w:jc w:val="center"/>
        </w:trPr>
        <w:tc>
          <w:tcPr>
            <w:tcW w:w="2970" w:type="dxa"/>
            <w:tcBorders>
              <w:top w:val="nil"/>
            </w:tcBorders>
            <w:shd w:val="clear" w:color="auto" w:fill="auto"/>
            <w:noWrap/>
            <w:vAlign w:val="bottom"/>
            <w:hideMark/>
          </w:tcPr>
          <w:p w14:paraId="161DF344" w14:textId="77777777" w:rsidR="00F91E07" w:rsidRPr="002C177E" w:rsidRDefault="00F91E07" w:rsidP="002C177E">
            <w:pPr>
              <w:spacing w:line="240" w:lineRule="auto"/>
              <w:rPr>
                <w:color w:val="000000"/>
                <w:sz w:val="16"/>
                <w:szCs w:val="16"/>
              </w:rPr>
            </w:pPr>
            <w:r w:rsidRPr="002C177E">
              <w:rPr>
                <w:color w:val="000000"/>
                <w:sz w:val="16"/>
                <w:szCs w:val="16"/>
              </w:rPr>
              <w:t>50 - 59 years</w:t>
            </w:r>
          </w:p>
        </w:tc>
        <w:tc>
          <w:tcPr>
            <w:tcW w:w="1310" w:type="dxa"/>
            <w:tcBorders>
              <w:top w:val="nil"/>
            </w:tcBorders>
            <w:shd w:val="clear" w:color="auto" w:fill="auto"/>
            <w:noWrap/>
            <w:vAlign w:val="bottom"/>
            <w:hideMark/>
          </w:tcPr>
          <w:p w14:paraId="160A3659" w14:textId="77777777" w:rsidR="00F91E07" w:rsidRPr="002C177E" w:rsidRDefault="00F91E07" w:rsidP="002C177E">
            <w:pPr>
              <w:spacing w:line="240" w:lineRule="auto"/>
              <w:jc w:val="center"/>
              <w:rPr>
                <w:color w:val="000000"/>
                <w:sz w:val="16"/>
                <w:szCs w:val="16"/>
              </w:rPr>
            </w:pPr>
            <w:r w:rsidRPr="002C177E">
              <w:rPr>
                <w:color w:val="000000"/>
                <w:sz w:val="16"/>
                <w:szCs w:val="16"/>
              </w:rPr>
              <w:t>55</w:t>
            </w:r>
          </w:p>
        </w:tc>
        <w:tc>
          <w:tcPr>
            <w:tcW w:w="1003" w:type="dxa"/>
            <w:tcBorders>
              <w:top w:val="nil"/>
            </w:tcBorders>
            <w:shd w:val="clear" w:color="auto" w:fill="auto"/>
            <w:noWrap/>
            <w:vAlign w:val="bottom"/>
            <w:hideMark/>
          </w:tcPr>
          <w:p w14:paraId="20D3A21E" w14:textId="77777777" w:rsidR="00F91E07" w:rsidRPr="002C177E" w:rsidRDefault="00F91E07" w:rsidP="002C177E">
            <w:pPr>
              <w:spacing w:line="240" w:lineRule="auto"/>
              <w:jc w:val="center"/>
              <w:rPr>
                <w:color w:val="000000"/>
                <w:sz w:val="16"/>
                <w:szCs w:val="16"/>
              </w:rPr>
            </w:pPr>
            <w:r w:rsidRPr="002C177E">
              <w:rPr>
                <w:color w:val="000000"/>
                <w:sz w:val="16"/>
                <w:szCs w:val="16"/>
              </w:rPr>
              <w:t>36.7</w:t>
            </w:r>
          </w:p>
        </w:tc>
      </w:tr>
      <w:tr w:rsidR="00F91E07" w:rsidRPr="002C177E" w14:paraId="3E26E0A5" w14:textId="77777777" w:rsidTr="00A5625B">
        <w:trPr>
          <w:trHeight w:val="300"/>
          <w:jc w:val="center"/>
        </w:trPr>
        <w:tc>
          <w:tcPr>
            <w:tcW w:w="2970" w:type="dxa"/>
            <w:shd w:val="clear" w:color="auto" w:fill="auto"/>
            <w:noWrap/>
            <w:vAlign w:val="bottom"/>
            <w:hideMark/>
          </w:tcPr>
          <w:p w14:paraId="6070B1B6" w14:textId="77777777" w:rsidR="00F91E07" w:rsidRPr="002C177E" w:rsidRDefault="00F91E07" w:rsidP="002C177E">
            <w:pPr>
              <w:spacing w:line="240" w:lineRule="auto"/>
              <w:rPr>
                <w:color w:val="000000"/>
                <w:sz w:val="16"/>
                <w:szCs w:val="16"/>
              </w:rPr>
            </w:pPr>
            <w:r w:rsidRPr="002C177E">
              <w:rPr>
                <w:color w:val="000000"/>
                <w:sz w:val="16"/>
                <w:szCs w:val="16"/>
              </w:rPr>
              <w:t>60 - 69 years</w:t>
            </w:r>
          </w:p>
        </w:tc>
        <w:tc>
          <w:tcPr>
            <w:tcW w:w="1310" w:type="dxa"/>
            <w:shd w:val="clear" w:color="auto" w:fill="auto"/>
            <w:noWrap/>
            <w:vAlign w:val="bottom"/>
            <w:hideMark/>
          </w:tcPr>
          <w:p w14:paraId="5E5E6B4E" w14:textId="77777777" w:rsidR="00F91E07" w:rsidRPr="002C177E" w:rsidRDefault="00F91E07" w:rsidP="002C177E">
            <w:pPr>
              <w:spacing w:line="240" w:lineRule="auto"/>
              <w:jc w:val="center"/>
              <w:rPr>
                <w:color w:val="000000"/>
                <w:sz w:val="16"/>
                <w:szCs w:val="16"/>
              </w:rPr>
            </w:pPr>
            <w:r w:rsidRPr="002C177E">
              <w:rPr>
                <w:color w:val="000000"/>
                <w:sz w:val="16"/>
                <w:szCs w:val="16"/>
              </w:rPr>
              <w:t>35</w:t>
            </w:r>
          </w:p>
        </w:tc>
        <w:tc>
          <w:tcPr>
            <w:tcW w:w="1003" w:type="dxa"/>
            <w:shd w:val="clear" w:color="auto" w:fill="auto"/>
            <w:noWrap/>
            <w:vAlign w:val="bottom"/>
            <w:hideMark/>
          </w:tcPr>
          <w:p w14:paraId="67478785" w14:textId="77777777" w:rsidR="00F91E07" w:rsidRPr="002C177E" w:rsidRDefault="00F91E07" w:rsidP="002C177E">
            <w:pPr>
              <w:spacing w:line="240" w:lineRule="auto"/>
              <w:jc w:val="center"/>
              <w:rPr>
                <w:color w:val="000000"/>
                <w:sz w:val="16"/>
                <w:szCs w:val="16"/>
              </w:rPr>
            </w:pPr>
            <w:r w:rsidRPr="002C177E">
              <w:rPr>
                <w:color w:val="000000"/>
                <w:sz w:val="16"/>
                <w:szCs w:val="16"/>
              </w:rPr>
              <w:t>23.3</w:t>
            </w:r>
          </w:p>
        </w:tc>
      </w:tr>
      <w:tr w:rsidR="00F91E07" w:rsidRPr="002C177E" w14:paraId="5F1618A4" w14:textId="77777777" w:rsidTr="00A5625B">
        <w:trPr>
          <w:trHeight w:val="300"/>
          <w:jc w:val="center"/>
        </w:trPr>
        <w:tc>
          <w:tcPr>
            <w:tcW w:w="2970" w:type="dxa"/>
            <w:tcBorders>
              <w:bottom w:val="single" w:sz="4" w:space="0" w:color="auto"/>
            </w:tcBorders>
            <w:shd w:val="clear" w:color="auto" w:fill="auto"/>
            <w:noWrap/>
            <w:vAlign w:val="bottom"/>
            <w:hideMark/>
          </w:tcPr>
          <w:p w14:paraId="7484DFEC" w14:textId="77777777" w:rsidR="00F91E07" w:rsidRPr="002C177E" w:rsidRDefault="00F91E07" w:rsidP="002C177E">
            <w:pPr>
              <w:spacing w:line="240" w:lineRule="auto"/>
              <w:rPr>
                <w:color w:val="000000"/>
                <w:sz w:val="16"/>
                <w:szCs w:val="16"/>
              </w:rPr>
            </w:pPr>
            <w:r w:rsidRPr="002C177E">
              <w:rPr>
                <w:color w:val="000000"/>
                <w:sz w:val="16"/>
                <w:szCs w:val="16"/>
              </w:rPr>
              <w:t>70 - 79 years</w:t>
            </w:r>
          </w:p>
        </w:tc>
        <w:tc>
          <w:tcPr>
            <w:tcW w:w="1310" w:type="dxa"/>
            <w:tcBorders>
              <w:bottom w:val="single" w:sz="4" w:space="0" w:color="auto"/>
            </w:tcBorders>
            <w:shd w:val="clear" w:color="auto" w:fill="auto"/>
            <w:noWrap/>
            <w:vAlign w:val="bottom"/>
            <w:hideMark/>
          </w:tcPr>
          <w:p w14:paraId="288F539A" w14:textId="77777777" w:rsidR="00F91E07" w:rsidRPr="002C177E" w:rsidRDefault="00F91E07" w:rsidP="002C177E">
            <w:pPr>
              <w:spacing w:line="240" w:lineRule="auto"/>
              <w:jc w:val="center"/>
              <w:rPr>
                <w:color w:val="000000"/>
                <w:sz w:val="16"/>
                <w:szCs w:val="16"/>
              </w:rPr>
            </w:pPr>
            <w:r w:rsidRPr="002C177E">
              <w:rPr>
                <w:color w:val="000000"/>
                <w:sz w:val="16"/>
                <w:szCs w:val="16"/>
              </w:rPr>
              <w:t>4</w:t>
            </w:r>
          </w:p>
        </w:tc>
        <w:tc>
          <w:tcPr>
            <w:tcW w:w="1003" w:type="dxa"/>
            <w:tcBorders>
              <w:bottom w:val="single" w:sz="4" w:space="0" w:color="auto"/>
            </w:tcBorders>
            <w:shd w:val="clear" w:color="auto" w:fill="auto"/>
            <w:noWrap/>
            <w:vAlign w:val="bottom"/>
            <w:hideMark/>
          </w:tcPr>
          <w:p w14:paraId="1D86FFF5" w14:textId="77777777" w:rsidR="00F91E07" w:rsidRPr="002C177E" w:rsidRDefault="00F91E07" w:rsidP="002C177E">
            <w:pPr>
              <w:spacing w:line="240" w:lineRule="auto"/>
              <w:jc w:val="center"/>
              <w:rPr>
                <w:color w:val="000000"/>
                <w:sz w:val="16"/>
                <w:szCs w:val="16"/>
              </w:rPr>
            </w:pPr>
            <w:r w:rsidRPr="002C177E">
              <w:rPr>
                <w:color w:val="000000"/>
                <w:sz w:val="16"/>
                <w:szCs w:val="16"/>
              </w:rPr>
              <w:t>2.7</w:t>
            </w:r>
          </w:p>
        </w:tc>
      </w:tr>
      <w:tr w:rsidR="00F91E07" w:rsidRPr="002C177E" w14:paraId="7144E6E9" w14:textId="77777777" w:rsidTr="00A5625B">
        <w:trPr>
          <w:trHeight w:val="300"/>
          <w:jc w:val="center"/>
        </w:trPr>
        <w:tc>
          <w:tcPr>
            <w:tcW w:w="2970" w:type="dxa"/>
            <w:tcBorders>
              <w:top w:val="single" w:sz="4" w:space="0" w:color="auto"/>
              <w:bottom w:val="nil"/>
            </w:tcBorders>
            <w:shd w:val="clear" w:color="auto" w:fill="auto"/>
            <w:noWrap/>
            <w:vAlign w:val="bottom"/>
            <w:hideMark/>
          </w:tcPr>
          <w:p w14:paraId="6DBC4615" w14:textId="77777777" w:rsidR="00F91E07" w:rsidRPr="002C177E" w:rsidRDefault="00F91E07" w:rsidP="002C177E">
            <w:pPr>
              <w:spacing w:line="240" w:lineRule="auto"/>
              <w:rPr>
                <w:color w:val="000000"/>
                <w:sz w:val="16"/>
                <w:szCs w:val="16"/>
              </w:rPr>
            </w:pPr>
            <w:r w:rsidRPr="002C177E">
              <w:rPr>
                <w:b/>
                <w:bCs/>
                <w:color w:val="000000"/>
                <w:sz w:val="16"/>
                <w:szCs w:val="16"/>
              </w:rPr>
              <w:t>Sex</w:t>
            </w:r>
          </w:p>
        </w:tc>
        <w:tc>
          <w:tcPr>
            <w:tcW w:w="1310" w:type="dxa"/>
            <w:tcBorders>
              <w:top w:val="single" w:sz="4" w:space="0" w:color="auto"/>
              <w:bottom w:val="nil"/>
            </w:tcBorders>
            <w:shd w:val="clear" w:color="auto" w:fill="auto"/>
            <w:noWrap/>
            <w:vAlign w:val="bottom"/>
            <w:hideMark/>
          </w:tcPr>
          <w:p w14:paraId="6AD99328" w14:textId="77777777" w:rsidR="00F91E07" w:rsidRPr="002C177E" w:rsidRDefault="00F91E07" w:rsidP="002C177E">
            <w:pPr>
              <w:spacing w:line="240" w:lineRule="auto"/>
              <w:jc w:val="center"/>
              <w:rPr>
                <w:color w:val="000000"/>
                <w:sz w:val="16"/>
                <w:szCs w:val="16"/>
              </w:rPr>
            </w:pPr>
          </w:p>
        </w:tc>
        <w:tc>
          <w:tcPr>
            <w:tcW w:w="1003" w:type="dxa"/>
            <w:tcBorders>
              <w:top w:val="single" w:sz="4" w:space="0" w:color="auto"/>
              <w:bottom w:val="nil"/>
            </w:tcBorders>
            <w:shd w:val="clear" w:color="auto" w:fill="auto"/>
            <w:noWrap/>
            <w:vAlign w:val="bottom"/>
            <w:hideMark/>
          </w:tcPr>
          <w:p w14:paraId="37EF455E" w14:textId="77777777" w:rsidR="00F91E07" w:rsidRPr="002C177E" w:rsidRDefault="00F91E07" w:rsidP="002C177E">
            <w:pPr>
              <w:spacing w:line="240" w:lineRule="auto"/>
              <w:jc w:val="center"/>
              <w:rPr>
                <w:sz w:val="16"/>
                <w:szCs w:val="16"/>
              </w:rPr>
            </w:pPr>
          </w:p>
        </w:tc>
      </w:tr>
      <w:tr w:rsidR="00F91E07" w:rsidRPr="002C177E" w14:paraId="0D1AD792" w14:textId="77777777" w:rsidTr="00A5625B">
        <w:trPr>
          <w:trHeight w:val="300"/>
          <w:jc w:val="center"/>
        </w:trPr>
        <w:tc>
          <w:tcPr>
            <w:tcW w:w="2970" w:type="dxa"/>
            <w:tcBorders>
              <w:top w:val="nil"/>
              <w:bottom w:val="nil"/>
            </w:tcBorders>
            <w:shd w:val="clear" w:color="auto" w:fill="auto"/>
            <w:noWrap/>
            <w:vAlign w:val="bottom"/>
            <w:hideMark/>
          </w:tcPr>
          <w:p w14:paraId="7B5B6896" w14:textId="77777777" w:rsidR="00F91E07" w:rsidRPr="002C177E" w:rsidRDefault="00F91E07" w:rsidP="002C177E">
            <w:pPr>
              <w:spacing w:line="240" w:lineRule="auto"/>
              <w:rPr>
                <w:color w:val="000000"/>
                <w:sz w:val="16"/>
                <w:szCs w:val="16"/>
              </w:rPr>
            </w:pPr>
            <w:r w:rsidRPr="002C177E">
              <w:rPr>
                <w:color w:val="000000"/>
                <w:sz w:val="16"/>
                <w:szCs w:val="16"/>
              </w:rPr>
              <w:t>Male</w:t>
            </w:r>
          </w:p>
        </w:tc>
        <w:tc>
          <w:tcPr>
            <w:tcW w:w="1310" w:type="dxa"/>
            <w:tcBorders>
              <w:top w:val="nil"/>
              <w:bottom w:val="nil"/>
            </w:tcBorders>
            <w:shd w:val="clear" w:color="auto" w:fill="auto"/>
            <w:noWrap/>
            <w:vAlign w:val="bottom"/>
            <w:hideMark/>
          </w:tcPr>
          <w:p w14:paraId="7CC82AB7" w14:textId="77777777" w:rsidR="00F91E07" w:rsidRPr="002C177E" w:rsidRDefault="00F91E07" w:rsidP="002C177E">
            <w:pPr>
              <w:spacing w:line="240" w:lineRule="auto"/>
              <w:jc w:val="center"/>
              <w:rPr>
                <w:color w:val="000000"/>
                <w:sz w:val="16"/>
                <w:szCs w:val="16"/>
              </w:rPr>
            </w:pPr>
            <w:r w:rsidRPr="002C177E">
              <w:rPr>
                <w:color w:val="000000"/>
                <w:sz w:val="16"/>
                <w:szCs w:val="16"/>
              </w:rPr>
              <w:t>29</w:t>
            </w:r>
          </w:p>
        </w:tc>
        <w:tc>
          <w:tcPr>
            <w:tcW w:w="1003" w:type="dxa"/>
            <w:tcBorders>
              <w:top w:val="nil"/>
              <w:bottom w:val="nil"/>
            </w:tcBorders>
            <w:shd w:val="clear" w:color="auto" w:fill="auto"/>
            <w:noWrap/>
            <w:vAlign w:val="bottom"/>
            <w:hideMark/>
          </w:tcPr>
          <w:p w14:paraId="261BA1CC" w14:textId="77777777" w:rsidR="00F91E07" w:rsidRPr="002C177E" w:rsidRDefault="00F91E07" w:rsidP="002C177E">
            <w:pPr>
              <w:spacing w:line="240" w:lineRule="auto"/>
              <w:jc w:val="center"/>
              <w:rPr>
                <w:color w:val="000000"/>
                <w:sz w:val="16"/>
                <w:szCs w:val="16"/>
              </w:rPr>
            </w:pPr>
            <w:r w:rsidRPr="002C177E">
              <w:rPr>
                <w:color w:val="000000"/>
                <w:sz w:val="16"/>
                <w:szCs w:val="16"/>
              </w:rPr>
              <w:t>19.3</w:t>
            </w:r>
          </w:p>
        </w:tc>
      </w:tr>
      <w:tr w:rsidR="00F91E07" w:rsidRPr="002C177E" w14:paraId="0523147B" w14:textId="77777777" w:rsidTr="00A5625B">
        <w:trPr>
          <w:trHeight w:val="300"/>
          <w:jc w:val="center"/>
        </w:trPr>
        <w:tc>
          <w:tcPr>
            <w:tcW w:w="2970" w:type="dxa"/>
            <w:tcBorders>
              <w:top w:val="nil"/>
              <w:bottom w:val="single" w:sz="4" w:space="0" w:color="auto"/>
            </w:tcBorders>
            <w:shd w:val="clear" w:color="auto" w:fill="auto"/>
            <w:noWrap/>
            <w:vAlign w:val="bottom"/>
            <w:hideMark/>
          </w:tcPr>
          <w:p w14:paraId="59CCA1F4" w14:textId="77777777" w:rsidR="00F91E07" w:rsidRPr="002C177E" w:rsidRDefault="00F91E07" w:rsidP="002C177E">
            <w:pPr>
              <w:spacing w:line="240" w:lineRule="auto"/>
              <w:rPr>
                <w:color w:val="000000"/>
                <w:sz w:val="16"/>
                <w:szCs w:val="16"/>
              </w:rPr>
            </w:pPr>
            <w:r w:rsidRPr="002C177E">
              <w:rPr>
                <w:color w:val="000000"/>
                <w:sz w:val="16"/>
                <w:szCs w:val="16"/>
              </w:rPr>
              <w:t>Female</w:t>
            </w:r>
          </w:p>
        </w:tc>
        <w:tc>
          <w:tcPr>
            <w:tcW w:w="1310" w:type="dxa"/>
            <w:tcBorders>
              <w:top w:val="nil"/>
              <w:bottom w:val="single" w:sz="4" w:space="0" w:color="auto"/>
            </w:tcBorders>
            <w:shd w:val="clear" w:color="auto" w:fill="auto"/>
            <w:noWrap/>
            <w:vAlign w:val="bottom"/>
            <w:hideMark/>
          </w:tcPr>
          <w:p w14:paraId="1A6DE409" w14:textId="77777777" w:rsidR="00F91E07" w:rsidRPr="002C177E" w:rsidRDefault="00F91E07" w:rsidP="002C177E">
            <w:pPr>
              <w:spacing w:line="240" w:lineRule="auto"/>
              <w:jc w:val="center"/>
              <w:rPr>
                <w:color w:val="000000"/>
                <w:sz w:val="16"/>
                <w:szCs w:val="16"/>
              </w:rPr>
            </w:pPr>
            <w:r w:rsidRPr="002C177E">
              <w:rPr>
                <w:color w:val="000000"/>
                <w:sz w:val="16"/>
                <w:szCs w:val="16"/>
              </w:rPr>
              <w:t>121</w:t>
            </w:r>
          </w:p>
        </w:tc>
        <w:tc>
          <w:tcPr>
            <w:tcW w:w="1003" w:type="dxa"/>
            <w:tcBorders>
              <w:top w:val="nil"/>
              <w:bottom w:val="single" w:sz="4" w:space="0" w:color="auto"/>
            </w:tcBorders>
            <w:shd w:val="clear" w:color="auto" w:fill="auto"/>
            <w:noWrap/>
            <w:vAlign w:val="bottom"/>
            <w:hideMark/>
          </w:tcPr>
          <w:p w14:paraId="04D1F14F" w14:textId="77777777" w:rsidR="00F91E07" w:rsidRPr="002C177E" w:rsidRDefault="00F91E07" w:rsidP="002C177E">
            <w:pPr>
              <w:spacing w:line="240" w:lineRule="auto"/>
              <w:jc w:val="center"/>
              <w:rPr>
                <w:color w:val="000000"/>
                <w:sz w:val="16"/>
                <w:szCs w:val="16"/>
              </w:rPr>
            </w:pPr>
            <w:r w:rsidRPr="002C177E">
              <w:rPr>
                <w:color w:val="000000"/>
                <w:sz w:val="16"/>
                <w:szCs w:val="16"/>
              </w:rPr>
              <w:t>80.7</w:t>
            </w:r>
          </w:p>
        </w:tc>
      </w:tr>
      <w:tr w:rsidR="00F91E07" w:rsidRPr="002C177E" w14:paraId="35CF0C27" w14:textId="77777777" w:rsidTr="00A5625B">
        <w:trPr>
          <w:trHeight w:val="300"/>
          <w:jc w:val="center"/>
        </w:trPr>
        <w:tc>
          <w:tcPr>
            <w:tcW w:w="2970" w:type="dxa"/>
            <w:tcBorders>
              <w:top w:val="single" w:sz="4" w:space="0" w:color="auto"/>
              <w:bottom w:val="nil"/>
            </w:tcBorders>
            <w:shd w:val="clear" w:color="auto" w:fill="auto"/>
            <w:noWrap/>
            <w:vAlign w:val="bottom"/>
            <w:hideMark/>
          </w:tcPr>
          <w:p w14:paraId="2DD56FAD" w14:textId="77777777" w:rsidR="00F91E07" w:rsidRPr="002C177E" w:rsidRDefault="00F91E07" w:rsidP="002C177E">
            <w:pPr>
              <w:spacing w:line="240" w:lineRule="auto"/>
              <w:rPr>
                <w:color w:val="000000"/>
                <w:sz w:val="16"/>
                <w:szCs w:val="16"/>
              </w:rPr>
            </w:pPr>
            <w:r w:rsidRPr="002C177E">
              <w:rPr>
                <w:b/>
                <w:bCs/>
                <w:color w:val="000000"/>
                <w:sz w:val="16"/>
                <w:szCs w:val="16"/>
              </w:rPr>
              <w:t>Education</w:t>
            </w:r>
          </w:p>
        </w:tc>
        <w:tc>
          <w:tcPr>
            <w:tcW w:w="1310" w:type="dxa"/>
            <w:tcBorders>
              <w:top w:val="single" w:sz="4" w:space="0" w:color="auto"/>
              <w:bottom w:val="nil"/>
            </w:tcBorders>
            <w:shd w:val="clear" w:color="auto" w:fill="auto"/>
            <w:noWrap/>
            <w:vAlign w:val="bottom"/>
            <w:hideMark/>
          </w:tcPr>
          <w:p w14:paraId="702A1424" w14:textId="77777777" w:rsidR="00F91E07" w:rsidRPr="002C177E" w:rsidRDefault="00F91E07" w:rsidP="002C177E">
            <w:pPr>
              <w:spacing w:line="240" w:lineRule="auto"/>
              <w:jc w:val="center"/>
              <w:rPr>
                <w:color w:val="000000"/>
                <w:sz w:val="16"/>
                <w:szCs w:val="16"/>
              </w:rPr>
            </w:pPr>
          </w:p>
        </w:tc>
        <w:tc>
          <w:tcPr>
            <w:tcW w:w="1003" w:type="dxa"/>
            <w:tcBorders>
              <w:top w:val="single" w:sz="4" w:space="0" w:color="auto"/>
              <w:bottom w:val="nil"/>
            </w:tcBorders>
            <w:shd w:val="clear" w:color="auto" w:fill="auto"/>
            <w:noWrap/>
            <w:vAlign w:val="bottom"/>
            <w:hideMark/>
          </w:tcPr>
          <w:p w14:paraId="1953902F" w14:textId="77777777" w:rsidR="00F91E07" w:rsidRPr="002C177E" w:rsidRDefault="00F91E07" w:rsidP="002C177E">
            <w:pPr>
              <w:spacing w:line="240" w:lineRule="auto"/>
              <w:jc w:val="center"/>
              <w:rPr>
                <w:sz w:val="16"/>
                <w:szCs w:val="16"/>
              </w:rPr>
            </w:pPr>
          </w:p>
        </w:tc>
      </w:tr>
      <w:tr w:rsidR="00F91E07" w:rsidRPr="002C177E" w14:paraId="593EFF01" w14:textId="77777777" w:rsidTr="00A5625B">
        <w:trPr>
          <w:trHeight w:val="300"/>
          <w:jc w:val="center"/>
        </w:trPr>
        <w:tc>
          <w:tcPr>
            <w:tcW w:w="2970" w:type="dxa"/>
            <w:tcBorders>
              <w:top w:val="nil"/>
              <w:bottom w:val="nil"/>
            </w:tcBorders>
            <w:shd w:val="clear" w:color="auto" w:fill="auto"/>
            <w:noWrap/>
            <w:vAlign w:val="bottom"/>
            <w:hideMark/>
          </w:tcPr>
          <w:p w14:paraId="63120D08" w14:textId="77777777" w:rsidR="00F91E07" w:rsidRPr="002C177E" w:rsidRDefault="00F91E07" w:rsidP="002C177E">
            <w:pPr>
              <w:spacing w:line="240" w:lineRule="auto"/>
              <w:rPr>
                <w:color w:val="000000"/>
                <w:sz w:val="16"/>
                <w:szCs w:val="16"/>
              </w:rPr>
            </w:pPr>
            <w:r w:rsidRPr="002C177E">
              <w:rPr>
                <w:color w:val="000000"/>
                <w:sz w:val="16"/>
                <w:szCs w:val="16"/>
              </w:rPr>
              <w:t>Primary</w:t>
            </w:r>
          </w:p>
        </w:tc>
        <w:tc>
          <w:tcPr>
            <w:tcW w:w="1310" w:type="dxa"/>
            <w:tcBorders>
              <w:top w:val="nil"/>
              <w:bottom w:val="nil"/>
            </w:tcBorders>
            <w:shd w:val="clear" w:color="auto" w:fill="auto"/>
            <w:noWrap/>
            <w:vAlign w:val="bottom"/>
            <w:hideMark/>
          </w:tcPr>
          <w:p w14:paraId="468AD614" w14:textId="77777777" w:rsidR="00F91E07" w:rsidRPr="002C177E" w:rsidRDefault="00F91E07" w:rsidP="002C177E">
            <w:pPr>
              <w:spacing w:line="240" w:lineRule="auto"/>
              <w:jc w:val="center"/>
              <w:rPr>
                <w:color w:val="000000"/>
                <w:sz w:val="16"/>
                <w:szCs w:val="16"/>
              </w:rPr>
            </w:pPr>
            <w:r w:rsidRPr="002C177E">
              <w:rPr>
                <w:color w:val="000000"/>
                <w:sz w:val="16"/>
                <w:szCs w:val="16"/>
              </w:rPr>
              <w:t>21</w:t>
            </w:r>
          </w:p>
        </w:tc>
        <w:tc>
          <w:tcPr>
            <w:tcW w:w="1003" w:type="dxa"/>
            <w:tcBorders>
              <w:top w:val="nil"/>
              <w:bottom w:val="nil"/>
            </w:tcBorders>
            <w:shd w:val="clear" w:color="auto" w:fill="auto"/>
            <w:noWrap/>
            <w:vAlign w:val="bottom"/>
            <w:hideMark/>
          </w:tcPr>
          <w:p w14:paraId="5743A5DD" w14:textId="77777777" w:rsidR="00F91E07" w:rsidRPr="002C177E" w:rsidRDefault="00F91E07" w:rsidP="002C177E">
            <w:pPr>
              <w:spacing w:line="240" w:lineRule="auto"/>
              <w:jc w:val="center"/>
              <w:rPr>
                <w:color w:val="000000"/>
                <w:sz w:val="16"/>
                <w:szCs w:val="16"/>
              </w:rPr>
            </w:pPr>
            <w:r w:rsidRPr="002C177E">
              <w:rPr>
                <w:color w:val="000000"/>
                <w:sz w:val="16"/>
                <w:szCs w:val="16"/>
              </w:rPr>
              <w:t>14</w:t>
            </w:r>
          </w:p>
        </w:tc>
      </w:tr>
      <w:tr w:rsidR="00F91E07" w:rsidRPr="002C177E" w14:paraId="0FF22993" w14:textId="77777777" w:rsidTr="00A5625B">
        <w:trPr>
          <w:trHeight w:val="300"/>
          <w:jc w:val="center"/>
        </w:trPr>
        <w:tc>
          <w:tcPr>
            <w:tcW w:w="2970" w:type="dxa"/>
            <w:tcBorders>
              <w:top w:val="nil"/>
              <w:bottom w:val="nil"/>
            </w:tcBorders>
            <w:shd w:val="clear" w:color="auto" w:fill="auto"/>
            <w:noWrap/>
            <w:vAlign w:val="bottom"/>
            <w:hideMark/>
          </w:tcPr>
          <w:p w14:paraId="60C99C88" w14:textId="77777777" w:rsidR="00F91E07" w:rsidRPr="002C177E" w:rsidRDefault="00F91E07" w:rsidP="002C177E">
            <w:pPr>
              <w:spacing w:line="240" w:lineRule="auto"/>
              <w:rPr>
                <w:color w:val="000000"/>
                <w:sz w:val="16"/>
                <w:szCs w:val="16"/>
              </w:rPr>
            </w:pPr>
            <w:r w:rsidRPr="002C177E">
              <w:rPr>
                <w:color w:val="000000"/>
                <w:sz w:val="16"/>
                <w:szCs w:val="16"/>
              </w:rPr>
              <w:t>Secondary</w:t>
            </w:r>
          </w:p>
        </w:tc>
        <w:tc>
          <w:tcPr>
            <w:tcW w:w="1310" w:type="dxa"/>
            <w:tcBorders>
              <w:top w:val="nil"/>
              <w:bottom w:val="nil"/>
            </w:tcBorders>
            <w:shd w:val="clear" w:color="auto" w:fill="auto"/>
            <w:noWrap/>
            <w:vAlign w:val="bottom"/>
            <w:hideMark/>
          </w:tcPr>
          <w:p w14:paraId="3186FF13" w14:textId="77777777" w:rsidR="00F91E07" w:rsidRPr="002C177E" w:rsidRDefault="00F91E07" w:rsidP="002C177E">
            <w:pPr>
              <w:spacing w:line="240" w:lineRule="auto"/>
              <w:jc w:val="center"/>
              <w:rPr>
                <w:color w:val="000000"/>
                <w:sz w:val="16"/>
                <w:szCs w:val="16"/>
              </w:rPr>
            </w:pPr>
            <w:r w:rsidRPr="002C177E">
              <w:rPr>
                <w:color w:val="000000"/>
                <w:sz w:val="16"/>
                <w:szCs w:val="16"/>
              </w:rPr>
              <w:t>41</w:t>
            </w:r>
          </w:p>
        </w:tc>
        <w:tc>
          <w:tcPr>
            <w:tcW w:w="1003" w:type="dxa"/>
            <w:tcBorders>
              <w:top w:val="nil"/>
              <w:bottom w:val="nil"/>
            </w:tcBorders>
            <w:shd w:val="clear" w:color="auto" w:fill="auto"/>
            <w:noWrap/>
            <w:vAlign w:val="bottom"/>
            <w:hideMark/>
          </w:tcPr>
          <w:p w14:paraId="22F4446F" w14:textId="77777777" w:rsidR="00F91E07" w:rsidRPr="002C177E" w:rsidRDefault="00F91E07" w:rsidP="002C177E">
            <w:pPr>
              <w:spacing w:line="240" w:lineRule="auto"/>
              <w:jc w:val="center"/>
              <w:rPr>
                <w:color w:val="000000"/>
                <w:sz w:val="16"/>
                <w:szCs w:val="16"/>
              </w:rPr>
            </w:pPr>
            <w:r w:rsidRPr="002C177E">
              <w:rPr>
                <w:color w:val="000000"/>
                <w:sz w:val="16"/>
                <w:szCs w:val="16"/>
              </w:rPr>
              <w:t>27.3</w:t>
            </w:r>
          </w:p>
        </w:tc>
      </w:tr>
      <w:tr w:rsidR="00F91E07" w:rsidRPr="002C177E" w14:paraId="59647E84" w14:textId="77777777" w:rsidTr="00A5625B">
        <w:trPr>
          <w:trHeight w:val="300"/>
          <w:jc w:val="center"/>
        </w:trPr>
        <w:tc>
          <w:tcPr>
            <w:tcW w:w="2970" w:type="dxa"/>
            <w:tcBorders>
              <w:top w:val="nil"/>
              <w:bottom w:val="single" w:sz="4" w:space="0" w:color="auto"/>
            </w:tcBorders>
            <w:shd w:val="clear" w:color="auto" w:fill="auto"/>
            <w:noWrap/>
            <w:vAlign w:val="bottom"/>
            <w:hideMark/>
          </w:tcPr>
          <w:p w14:paraId="5831984F" w14:textId="77777777" w:rsidR="00F91E07" w:rsidRPr="002C177E" w:rsidRDefault="00F91E07" w:rsidP="002C177E">
            <w:pPr>
              <w:spacing w:line="240" w:lineRule="auto"/>
              <w:rPr>
                <w:color w:val="000000"/>
                <w:sz w:val="16"/>
                <w:szCs w:val="16"/>
              </w:rPr>
            </w:pPr>
            <w:r w:rsidRPr="002C177E">
              <w:rPr>
                <w:color w:val="000000"/>
                <w:sz w:val="16"/>
                <w:szCs w:val="16"/>
              </w:rPr>
              <w:t>Tertiary</w:t>
            </w:r>
          </w:p>
        </w:tc>
        <w:tc>
          <w:tcPr>
            <w:tcW w:w="1310" w:type="dxa"/>
            <w:tcBorders>
              <w:top w:val="nil"/>
              <w:bottom w:val="single" w:sz="4" w:space="0" w:color="auto"/>
            </w:tcBorders>
            <w:shd w:val="clear" w:color="auto" w:fill="auto"/>
            <w:noWrap/>
            <w:vAlign w:val="bottom"/>
            <w:hideMark/>
          </w:tcPr>
          <w:p w14:paraId="01ACF97A" w14:textId="77777777" w:rsidR="00F91E07" w:rsidRPr="002C177E" w:rsidRDefault="00F91E07" w:rsidP="002C177E">
            <w:pPr>
              <w:spacing w:line="240" w:lineRule="auto"/>
              <w:jc w:val="center"/>
              <w:rPr>
                <w:color w:val="000000"/>
                <w:sz w:val="16"/>
                <w:szCs w:val="16"/>
              </w:rPr>
            </w:pPr>
            <w:r w:rsidRPr="002C177E">
              <w:rPr>
                <w:color w:val="000000"/>
                <w:sz w:val="16"/>
                <w:szCs w:val="16"/>
              </w:rPr>
              <w:t>88</w:t>
            </w:r>
          </w:p>
        </w:tc>
        <w:tc>
          <w:tcPr>
            <w:tcW w:w="1003" w:type="dxa"/>
            <w:tcBorders>
              <w:top w:val="nil"/>
              <w:bottom w:val="single" w:sz="4" w:space="0" w:color="auto"/>
            </w:tcBorders>
            <w:shd w:val="clear" w:color="auto" w:fill="auto"/>
            <w:noWrap/>
            <w:vAlign w:val="bottom"/>
            <w:hideMark/>
          </w:tcPr>
          <w:p w14:paraId="63EB6A93" w14:textId="77777777" w:rsidR="00F91E07" w:rsidRPr="002C177E" w:rsidRDefault="00F91E07" w:rsidP="002C177E">
            <w:pPr>
              <w:spacing w:line="240" w:lineRule="auto"/>
              <w:jc w:val="center"/>
              <w:rPr>
                <w:color w:val="000000"/>
                <w:sz w:val="16"/>
                <w:szCs w:val="16"/>
              </w:rPr>
            </w:pPr>
            <w:r w:rsidRPr="002C177E">
              <w:rPr>
                <w:color w:val="000000"/>
                <w:sz w:val="16"/>
                <w:szCs w:val="16"/>
              </w:rPr>
              <w:t>58.7</w:t>
            </w:r>
          </w:p>
        </w:tc>
      </w:tr>
      <w:tr w:rsidR="00F91E07" w:rsidRPr="002C177E" w14:paraId="372DAEE1" w14:textId="77777777" w:rsidTr="00A5625B">
        <w:trPr>
          <w:trHeight w:val="300"/>
          <w:jc w:val="center"/>
        </w:trPr>
        <w:tc>
          <w:tcPr>
            <w:tcW w:w="2970" w:type="dxa"/>
            <w:tcBorders>
              <w:top w:val="single" w:sz="4" w:space="0" w:color="auto"/>
              <w:bottom w:val="nil"/>
            </w:tcBorders>
            <w:shd w:val="clear" w:color="auto" w:fill="auto"/>
            <w:noWrap/>
            <w:vAlign w:val="bottom"/>
            <w:hideMark/>
          </w:tcPr>
          <w:p w14:paraId="7F567B1F" w14:textId="77777777" w:rsidR="00F91E07" w:rsidRPr="002C177E" w:rsidRDefault="00F91E07" w:rsidP="002C177E">
            <w:pPr>
              <w:spacing w:line="240" w:lineRule="auto"/>
              <w:rPr>
                <w:b/>
                <w:bCs/>
                <w:color w:val="000000"/>
                <w:sz w:val="16"/>
                <w:szCs w:val="16"/>
              </w:rPr>
            </w:pPr>
            <w:r w:rsidRPr="002C177E">
              <w:rPr>
                <w:b/>
                <w:bCs/>
                <w:color w:val="000000"/>
                <w:sz w:val="16"/>
                <w:szCs w:val="16"/>
              </w:rPr>
              <w:t>Marital status</w:t>
            </w:r>
          </w:p>
        </w:tc>
        <w:tc>
          <w:tcPr>
            <w:tcW w:w="1310" w:type="dxa"/>
            <w:tcBorders>
              <w:top w:val="single" w:sz="4" w:space="0" w:color="auto"/>
              <w:bottom w:val="nil"/>
            </w:tcBorders>
            <w:shd w:val="clear" w:color="auto" w:fill="auto"/>
            <w:noWrap/>
            <w:vAlign w:val="bottom"/>
            <w:hideMark/>
          </w:tcPr>
          <w:p w14:paraId="33BE470E" w14:textId="77777777" w:rsidR="00F91E07" w:rsidRPr="002C177E" w:rsidRDefault="00F91E07" w:rsidP="002C177E">
            <w:pPr>
              <w:spacing w:line="240" w:lineRule="auto"/>
              <w:jc w:val="center"/>
              <w:rPr>
                <w:color w:val="000000"/>
                <w:sz w:val="16"/>
                <w:szCs w:val="16"/>
              </w:rPr>
            </w:pPr>
          </w:p>
        </w:tc>
        <w:tc>
          <w:tcPr>
            <w:tcW w:w="1003" w:type="dxa"/>
            <w:tcBorders>
              <w:top w:val="single" w:sz="4" w:space="0" w:color="auto"/>
              <w:bottom w:val="nil"/>
            </w:tcBorders>
            <w:shd w:val="clear" w:color="auto" w:fill="auto"/>
            <w:noWrap/>
            <w:vAlign w:val="bottom"/>
            <w:hideMark/>
          </w:tcPr>
          <w:p w14:paraId="25B8A20E" w14:textId="77777777" w:rsidR="00F91E07" w:rsidRPr="002C177E" w:rsidRDefault="00F91E07" w:rsidP="002C177E">
            <w:pPr>
              <w:spacing w:line="240" w:lineRule="auto"/>
              <w:jc w:val="center"/>
              <w:rPr>
                <w:sz w:val="16"/>
                <w:szCs w:val="16"/>
              </w:rPr>
            </w:pPr>
          </w:p>
        </w:tc>
      </w:tr>
      <w:tr w:rsidR="00F91E07" w:rsidRPr="002C177E" w14:paraId="045A9C39" w14:textId="77777777" w:rsidTr="00A5625B">
        <w:trPr>
          <w:trHeight w:val="300"/>
          <w:jc w:val="center"/>
        </w:trPr>
        <w:tc>
          <w:tcPr>
            <w:tcW w:w="2970" w:type="dxa"/>
            <w:tcBorders>
              <w:top w:val="nil"/>
              <w:bottom w:val="nil"/>
            </w:tcBorders>
            <w:shd w:val="clear" w:color="auto" w:fill="auto"/>
            <w:noWrap/>
            <w:vAlign w:val="bottom"/>
            <w:hideMark/>
          </w:tcPr>
          <w:p w14:paraId="6E9AC5A0" w14:textId="77777777" w:rsidR="00F91E07" w:rsidRPr="002C177E" w:rsidRDefault="00F91E07" w:rsidP="002C177E">
            <w:pPr>
              <w:spacing w:line="240" w:lineRule="auto"/>
              <w:rPr>
                <w:color w:val="000000"/>
                <w:sz w:val="16"/>
                <w:szCs w:val="16"/>
              </w:rPr>
            </w:pPr>
            <w:r w:rsidRPr="002C177E">
              <w:rPr>
                <w:color w:val="000000"/>
                <w:sz w:val="16"/>
                <w:szCs w:val="16"/>
              </w:rPr>
              <w:t>Married</w:t>
            </w:r>
          </w:p>
        </w:tc>
        <w:tc>
          <w:tcPr>
            <w:tcW w:w="1310" w:type="dxa"/>
            <w:tcBorders>
              <w:top w:val="nil"/>
              <w:bottom w:val="nil"/>
            </w:tcBorders>
            <w:shd w:val="clear" w:color="auto" w:fill="auto"/>
            <w:noWrap/>
            <w:vAlign w:val="bottom"/>
            <w:hideMark/>
          </w:tcPr>
          <w:p w14:paraId="429C8DCD" w14:textId="77777777" w:rsidR="00F91E07" w:rsidRPr="002C177E" w:rsidRDefault="00F91E07" w:rsidP="002C177E">
            <w:pPr>
              <w:spacing w:line="240" w:lineRule="auto"/>
              <w:jc w:val="center"/>
              <w:rPr>
                <w:color w:val="000000"/>
                <w:sz w:val="16"/>
                <w:szCs w:val="16"/>
              </w:rPr>
            </w:pPr>
            <w:r w:rsidRPr="002C177E">
              <w:rPr>
                <w:color w:val="000000"/>
                <w:sz w:val="16"/>
                <w:szCs w:val="16"/>
              </w:rPr>
              <w:t>124</w:t>
            </w:r>
          </w:p>
        </w:tc>
        <w:tc>
          <w:tcPr>
            <w:tcW w:w="1003" w:type="dxa"/>
            <w:tcBorders>
              <w:top w:val="nil"/>
              <w:bottom w:val="nil"/>
            </w:tcBorders>
            <w:shd w:val="clear" w:color="auto" w:fill="auto"/>
            <w:noWrap/>
            <w:vAlign w:val="bottom"/>
            <w:hideMark/>
          </w:tcPr>
          <w:p w14:paraId="0AF8C2EC" w14:textId="77777777" w:rsidR="00F91E07" w:rsidRPr="002C177E" w:rsidRDefault="00F91E07" w:rsidP="002C177E">
            <w:pPr>
              <w:spacing w:line="240" w:lineRule="auto"/>
              <w:jc w:val="center"/>
              <w:rPr>
                <w:color w:val="000000"/>
                <w:sz w:val="16"/>
                <w:szCs w:val="16"/>
              </w:rPr>
            </w:pPr>
            <w:r w:rsidRPr="002C177E">
              <w:rPr>
                <w:color w:val="000000"/>
                <w:sz w:val="16"/>
                <w:szCs w:val="16"/>
              </w:rPr>
              <w:t>82.7</w:t>
            </w:r>
          </w:p>
        </w:tc>
      </w:tr>
      <w:tr w:rsidR="00F91E07" w:rsidRPr="002C177E" w14:paraId="0EA1A88D" w14:textId="77777777" w:rsidTr="00A5625B">
        <w:trPr>
          <w:trHeight w:val="300"/>
          <w:jc w:val="center"/>
        </w:trPr>
        <w:tc>
          <w:tcPr>
            <w:tcW w:w="2970" w:type="dxa"/>
            <w:tcBorders>
              <w:top w:val="nil"/>
            </w:tcBorders>
            <w:shd w:val="clear" w:color="auto" w:fill="auto"/>
            <w:noWrap/>
            <w:vAlign w:val="bottom"/>
            <w:hideMark/>
          </w:tcPr>
          <w:p w14:paraId="2327EAEF" w14:textId="77777777" w:rsidR="00F91E07" w:rsidRPr="002C177E" w:rsidRDefault="00F91E07" w:rsidP="002C177E">
            <w:pPr>
              <w:spacing w:line="240" w:lineRule="auto"/>
              <w:rPr>
                <w:color w:val="000000"/>
                <w:sz w:val="16"/>
                <w:szCs w:val="16"/>
              </w:rPr>
            </w:pPr>
            <w:r w:rsidRPr="002C177E">
              <w:rPr>
                <w:color w:val="000000"/>
                <w:sz w:val="16"/>
                <w:szCs w:val="16"/>
              </w:rPr>
              <w:t>Single</w:t>
            </w:r>
          </w:p>
        </w:tc>
        <w:tc>
          <w:tcPr>
            <w:tcW w:w="1310" w:type="dxa"/>
            <w:tcBorders>
              <w:top w:val="nil"/>
            </w:tcBorders>
            <w:shd w:val="clear" w:color="auto" w:fill="auto"/>
            <w:noWrap/>
            <w:vAlign w:val="bottom"/>
            <w:hideMark/>
          </w:tcPr>
          <w:p w14:paraId="4D6C9D74" w14:textId="77777777" w:rsidR="00F91E07" w:rsidRPr="002C177E" w:rsidRDefault="00F91E07" w:rsidP="002C177E">
            <w:pPr>
              <w:spacing w:line="240" w:lineRule="auto"/>
              <w:jc w:val="center"/>
              <w:rPr>
                <w:color w:val="000000"/>
                <w:sz w:val="16"/>
                <w:szCs w:val="16"/>
              </w:rPr>
            </w:pPr>
            <w:r w:rsidRPr="002C177E">
              <w:rPr>
                <w:color w:val="000000"/>
                <w:sz w:val="16"/>
                <w:szCs w:val="16"/>
              </w:rPr>
              <w:t>7</w:t>
            </w:r>
          </w:p>
        </w:tc>
        <w:tc>
          <w:tcPr>
            <w:tcW w:w="1003" w:type="dxa"/>
            <w:tcBorders>
              <w:top w:val="nil"/>
            </w:tcBorders>
            <w:shd w:val="clear" w:color="auto" w:fill="auto"/>
            <w:noWrap/>
            <w:vAlign w:val="bottom"/>
            <w:hideMark/>
          </w:tcPr>
          <w:p w14:paraId="5AE141AE" w14:textId="77777777" w:rsidR="00F91E07" w:rsidRPr="002C177E" w:rsidRDefault="00F91E07" w:rsidP="002C177E">
            <w:pPr>
              <w:spacing w:line="240" w:lineRule="auto"/>
              <w:jc w:val="center"/>
              <w:rPr>
                <w:color w:val="000000"/>
                <w:sz w:val="16"/>
                <w:szCs w:val="16"/>
              </w:rPr>
            </w:pPr>
            <w:r w:rsidRPr="002C177E">
              <w:rPr>
                <w:color w:val="000000"/>
                <w:sz w:val="16"/>
                <w:szCs w:val="16"/>
              </w:rPr>
              <w:t>4.7</w:t>
            </w:r>
          </w:p>
        </w:tc>
      </w:tr>
      <w:tr w:rsidR="00F91E07" w:rsidRPr="002C177E" w14:paraId="1A97A57F" w14:textId="77777777" w:rsidTr="00A5625B">
        <w:trPr>
          <w:trHeight w:val="300"/>
          <w:jc w:val="center"/>
        </w:trPr>
        <w:tc>
          <w:tcPr>
            <w:tcW w:w="2970" w:type="dxa"/>
            <w:shd w:val="clear" w:color="auto" w:fill="auto"/>
            <w:noWrap/>
            <w:vAlign w:val="bottom"/>
            <w:hideMark/>
          </w:tcPr>
          <w:p w14:paraId="6ACBD1C2" w14:textId="77777777" w:rsidR="00F91E07" w:rsidRPr="002C177E" w:rsidRDefault="00F91E07" w:rsidP="002C177E">
            <w:pPr>
              <w:spacing w:line="240" w:lineRule="auto"/>
              <w:rPr>
                <w:color w:val="000000"/>
                <w:sz w:val="16"/>
                <w:szCs w:val="16"/>
              </w:rPr>
            </w:pPr>
            <w:r w:rsidRPr="002C177E">
              <w:rPr>
                <w:color w:val="000000"/>
                <w:sz w:val="16"/>
                <w:szCs w:val="16"/>
              </w:rPr>
              <w:t>Widowed</w:t>
            </w:r>
          </w:p>
        </w:tc>
        <w:tc>
          <w:tcPr>
            <w:tcW w:w="1310" w:type="dxa"/>
            <w:shd w:val="clear" w:color="auto" w:fill="auto"/>
            <w:noWrap/>
            <w:vAlign w:val="bottom"/>
            <w:hideMark/>
          </w:tcPr>
          <w:p w14:paraId="283AE395" w14:textId="77777777" w:rsidR="00F91E07" w:rsidRPr="002C177E" w:rsidRDefault="00F91E07" w:rsidP="002C177E">
            <w:pPr>
              <w:spacing w:line="240" w:lineRule="auto"/>
              <w:jc w:val="center"/>
              <w:rPr>
                <w:color w:val="000000"/>
                <w:sz w:val="16"/>
                <w:szCs w:val="16"/>
              </w:rPr>
            </w:pPr>
            <w:r w:rsidRPr="002C177E">
              <w:rPr>
                <w:color w:val="000000"/>
                <w:sz w:val="16"/>
                <w:szCs w:val="16"/>
              </w:rPr>
              <w:t>19</w:t>
            </w:r>
          </w:p>
        </w:tc>
        <w:tc>
          <w:tcPr>
            <w:tcW w:w="1003" w:type="dxa"/>
            <w:shd w:val="clear" w:color="auto" w:fill="auto"/>
            <w:noWrap/>
            <w:vAlign w:val="bottom"/>
            <w:hideMark/>
          </w:tcPr>
          <w:p w14:paraId="76399861" w14:textId="77777777" w:rsidR="00F91E07" w:rsidRPr="002C177E" w:rsidRDefault="00F91E07" w:rsidP="002C177E">
            <w:pPr>
              <w:spacing w:line="240" w:lineRule="auto"/>
              <w:jc w:val="center"/>
              <w:rPr>
                <w:color w:val="000000"/>
                <w:sz w:val="16"/>
                <w:szCs w:val="16"/>
              </w:rPr>
            </w:pPr>
            <w:r w:rsidRPr="002C177E">
              <w:rPr>
                <w:color w:val="000000"/>
                <w:sz w:val="16"/>
                <w:szCs w:val="16"/>
              </w:rPr>
              <w:t>12.7</w:t>
            </w:r>
          </w:p>
        </w:tc>
      </w:tr>
    </w:tbl>
    <w:p w14:paraId="46B4AE1C" w14:textId="77777777" w:rsidR="00F91E07" w:rsidRDefault="00F91E07" w:rsidP="002C177E">
      <w:pPr>
        <w:spacing w:line="240" w:lineRule="auto"/>
      </w:pPr>
    </w:p>
    <w:p w14:paraId="00E80A8B" w14:textId="77777777" w:rsidR="00931B7C" w:rsidRDefault="00931B7C" w:rsidP="002C177E">
      <w:pPr>
        <w:spacing w:line="240" w:lineRule="auto"/>
      </w:pPr>
    </w:p>
    <w:p w14:paraId="6E1E2E8E" w14:textId="77777777" w:rsidR="00931B7C" w:rsidRDefault="00931B7C" w:rsidP="002C177E">
      <w:pPr>
        <w:spacing w:line="240" w:lineRule="auto"/>
      </w:pPr>
    </w:p>
    <w:p w14:paraId="44CD4D34" w14:textId="77777777" w:rsidR="007C0AAD" w:rsidRDefault="007C0AAD" w:rsidP="002C177E">
      <w:pPr>
        <w:spacing w:line="240" w:lineRule="auto"/>
      </w:pPr>
    </w:p>
    <w:p w14:paraId="1C88521F" w14:textId="77777777" w:rsidR="00F91E07" w:rsidRDefault="00F91E07" w:rsidP="002C177E">
      <w:pPr>
        <w:spacing w:line="240" w:lineRule="auto"/>
      </w:pPr>
      <w:r>
        <w:rPr>
          <w:noProof/>
          <w14:ligatures w14:val="standardContextual"/>
        </w:rPr>
        <w:lastRenderedPageBreak/>
        <w:drawing>
          <wp:anchor distT="0" distB="0" distL="114300" distR="114300" simplePos="0" relativeHeight="251659264" behindDoc="0" locked="0" layoutInCell="1" allowOverlap="1" wp14:anchorId="403989AE" wp14:editId="7A63AEE6">
            <wp:simplePos x="0" y="0"/>
            <wp:positionH relativeFrom="margin">
              <wp:align>center</wp:align>
            </wp:positionH>
            <wp:positionV relativeFrom="paragraph">
              <wp:posOffset>247650</wp:posOffset>
            </wp:positionV>
            <wp:extent cx="4572000" cy="2743200"/>
            <wp:effectExtent l="0" t="0" r="0" b="0"/>
            <wp:wrapNone/>
            <wp:docPr id="623882060" name="Chart 1">
              <a:extLst xmlns:a="http://schemas.openxmlformats.org/drawingml/2006/main">
                <a:ext uri="{FF2B5EF4-FFF2-40B4-BE49-F238E27FC236}">
                  <a16:creationId xmlns:a16="http://schemas.microsoft.com/office/drawing/2014/main" id="{0BEFDA66-A846-94B8-C59E-79B8741DAF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t>Figure 1 shows that 32.7% of the patients had NAFLD.</w:t>
      </w:r>
    </w:p>
    <w:p w14:paraId="34C342F5" w14:textId="77777777" w:rsidR="00F91E07" w:rsidRDefault="00F91E07" w:rsidP="002C177E">
      <w:pPr>
        <w:spacing w:line="240" w:lineRule="auto"/>
      </w:pPr>
    </w:p>
    <w:p w14:paraId="41EC86B9" w14:textId="77777777" w:rsidR="00F91E07" w:rsidRDefault="00F91E07" w:rsidP="002C177E">
      <w:pPr>
        <w:spacing w:after="160" w:line="240" w:lineRule="auto"/>
        <w:jc w:val="left"/>
      </w:pPr>
      <w:r>
        <w:rPr>
          <w:noProof/>
        </w:rPr>
        <mc:AlternateContent>
          <mc:Choice Requires="wps">
            <w:drawing>
              <wp:anchor distT="0" distB="0" distL="114300" distR="114300" simplePos="0" relativeHeight="251660288" behindDoc="0" locked="0" layoutInCell="1" allowOverlap="1" wp14:anchorId="5D39B3D3" wp14:editId="09B492AD">
                <wp:simplePos x="0" y="0"/>
                <wp:positionH relativeFrom="column">
                  <wp:posOffset>495300</wp:posOffset>
                </wp:positionH>
                <wp:positionV relativeFrom="paragraph">
                  <wp:posOffset>2560320</wp:posOffset>
                </wp:positionV>
                <wp:extent cx="4572000" cy="635"/>
                <wp:effectExtent l="0" t="0" r="0" b="0"/>
                <wp:wrapNone/>
                <wp:docPr id="1061072377" name="Text Box 1"/>
                <wp:cNvGraphicFramePr/>
                <a:graphic xmlns:a="http://schemas.openxmlformats.org/drawingml/2006/main">
                  <a:graphicData uri="http://schemas.microsoft.com/office/word/2010/wordprocessingShape">
                    <wps:wsp>
                      <wps:cNvSpPr txBox="1"/>
                      <wps:spPr>
                        <a:xfrm>
                          <a:off x="0" y="0"/>
                          <a:ext cx="4572000" cy="635"/>
                        </a:xfrm>
                        <a:prstGeom prst="rect">
                          <a:avLst/>
                        </a:prstGeom>
                        <a:solidFill>
                          <a:prstClr val="white"/>
                        </a:solidFill>
                        <a:ln>
                          <a:noFill/>
                        </a:ln>
                      </wps:spPr>
                      <wps:txbx>
                        <w:txbxContent>
                          <w:p w14:paraId="17E06DC7" w14:textId="75C0576A" w:rsidR="00F91E07" w:rsidRPr="000944F9" w:rsidRDefault="00F91E07" w:rsidP="00481D7E">
                            <w:pPr>
                              <w:pStyle w:val="Caption"/>
                              <w:rPr>
                                <w:noProof/>
                                <w:szCs w:val="20"/>
                              </w:rPr>
                            </w:pPr>
                            <w:r>
                              <w:t xml:space="preserve">Figure </w:t>
                            </w:r>
                            <w:r w:rsidR="00A61A89">
                              <w:rPr>
                                <w:noProof/>
                              </w:rPr>
                              <w:fldChar w:fldCharType="begin"/>
                            </w:r>
                            <w:r w:rsidR="00A61A89">
                              <w:rPr>
                                <w:noProof/>
                              </w:rPr>
                              <w:instrText xml:space="preserve"> SEQ Figure \* ARABIC </w:instrText>
                            </w:r>
                            <w:r w:rsidR="00A61A89">
                              <w:rPr>
                                <w:noProof/>
                              </w:rPr>
                              <w:fldChar w:fldCharType="separate"/>
                            </w:r>
                            <w:r w:rsidR="00C51F88">
                              <w:rPr>
                                <w:noProof/>
                              </w:rPr>
                              <w:t>1</w:t>
                            </w:r>
                            <w:r w:rsidR="00A61A89">
                              <w:rPr>
                                <w:noProof/>
                              </w:rPr>
                              <w:fldChar w:fldCharType="end"/>
                            </w:r>
                            <w:r>
                              <w:t>: Proportion of DM patients with NAFLD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D39B3D3" id="_x0000_t202" coordsize="21600,21600" o:spt="202" path="m,l,21600r21600,l21600,xe">
                <v:stroke joinstyle="miter"/>
                <v:path gradientshapeok="t" o:connecttype="rect"/>
              </v:shapetype>
              <v:shape id="Text Box 1" o:spid="_x0000_s1026" type="#_x0000_t202" style="position:absolute;margin-left:39pt;margin-top:201.6pt;width:5in;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" stroked="f">
                <v:textbox style="mso-fit-shape-to-text:t" inset="0,0,0,0">
                  <w:txbxContent>
                    <w:p w14:paraId="17E06DC7" w14:textId="75C0576A" w:rsidR="00F91E07" w:rsidRPr="000944F9" w:rsidRDefault="00F91E07" w:rsidP="00481D7E">
                      <w:pPr>
                        <w:pStyle w:val="Caption"/>
                        <w:rPr>
                          <w:noProof/>
                          <w:szCs w:val="20"/>
                        </w:rPr>
                      </w:pPr>
                      <w:r>
                        <w:t xml:space="preserve">Figure </w:t>
                      </w:r>
                      <w:r w:rsidR="00A61A89">
                        <w:rPr>
                          <w:noProof/>
                        </w:rPr>
                        <w:fldChar w:fldCharType="begin"/>
                      </w:r>
                      <w:r w:rsidR="00A61A89">
                        <w:rPr>
                          <w:noProof/>
                        </w:rPr>
                        <w:instrText xml:space="preserve"> SEQ Figure \* ARABIC </w:instrText>
                      </w:r>
                      <w:r w:rsidR="00A61A89">
                        <w:rPr>
                          <w:noProof/>
                        </w:rPr>
                        <w:fldChar w:fldCharType="separate"/>
                      </w:r>
                      <w:r w:rsidR="00C51F88">
                        <w:rPr>
                          <w:noProof/>
                        </w:rPr>
                        <w:t>1</w:t>
                      </w:r>
                      <w:r w:rsidR="00A61A89">
                        <w:rPr>
                          <w:noProof/>
                        </w:rPr>
                        <w:fldChar w:fldCharType="end"/>
                      </w:r>
                      <w:r>
                        <w:t>: Proportion of DM patients with NAFLD</w:t>
                      </w:r>
                    </w:p>
                  </w:txbxContent>
                </v:textbox>
              </v:shape>
            </w:pict>
          </mc:Fallback>
        </mc:AlternateContent>
      </w:r>
    </w:p>
    <w:p w14:paraId="29F93941" w14:textId="77777777" w:rsidR="00F91E07" w:rsidRDefault="00F91E07" w:rsidP="002C177E">
      <w:pPr>
        <w:spacing w:after="160" w:line="240" w:lineRule="auto"/>
        <w:jc w:val="left"/>
      </w:pPr>
    </w:p>
    <w:p w14:paraId="5916487B" w14:textId="77777777" w:rsidR="00F91E07" w:rsidRDefault="00F91E07" w:rsidP="002C177E">
      <w:pPr>
        <w:spacing w:after="160" w:line="240" w:lineRule="auto"/>
        <w:jc w:val="left"/>
      </w:pPr>
    </w:p>
    <w:p w14:paraId="46E776AB" w14:textId="77777777" w:rsidR="00F91E07" w:rsidRDefault="00F91E07" w:rsidP="002C177E">
      <w:pPr>
        <w:spacing w:after="160" w:line="240" w:lineRule="auto"/>
        <w:jc w:val="left"/>
      </w:pPr>
    </w:p>
    <w:p w14:paraId="38C04BBF" w14:textId="77777777" w:rsidR="00F91E07" w:rsidRDefault="00F91E07" w:rsidP="002C177E">
      <w:pPr>
        <w:spacing w:after="160" w:line="240" w:lineRule="auto"/>
        <w:jc w:val="left"/>
      </w:pPr>
    </w:p>
    <w:p w14:paraId="4426BF1F" w14:textId="77777777" w:rsidR="00F91E07" w:rsidRDefault="00F91E07" w:rsidP="002C177E">
      <w:pPr>
        <w:spacing w:after="160" w:line="240" w:lineRule="auto"/>
        <w:jc w:val="left"/>
      </w:pPr>
    </w:p>
    <w:p w14:paraId="1D7ECED9" w14:textId="77777777" w:rsidR="00F91E07" w:rsidRDefault="00F91E07" w:rsidP="002C177E">
      <w:pPr>
        <w:spacing w:after="160" w:line="240" w:lineRule="auto"/>
        <w:jc w:val="left"/>
      </w:pPr>
    </w:p>
    <w:p w14:paraId="24D2125B" w14:textId="77777777" w:rsidR="00F91E07" w:rsidRDefault="00F91E07" w:rsidP="002C177E">
      <w:pPr>
        <w:spacing w:after="160" w:line="240" w:lineRule="auto"/>
        <w:jc w:val="left"/>
      </w:pPr>
    </w:p>
    <w:p w14:paraId="2A16F764" w14:textId="77777777" w:rsidR="00F91E07" w:rsidRDefault="00F91E07" w:rsidP="002C177E">
      <w:pPr>
        <w:spacing w:after="160" w:line="240" w:lineRule="auto"/>
        <w:jc w:val="left"/>
      </w:pPr>
    </w:p>
    <w:p w14:paraId="4E1D71FF" w14:textId="77777777" w:rsidR="00F91E07" w:rsidRDefault="00F91E07" w:rsidP="002C177E">
      <w:pPr>
        <w:spacing w:after="160" w:line="240" w:lineRule="auto"/>
        <w:jc w:val="left"/>
      </w:pPr>
    </w:p>
    <w:p w14:paraId="5AAB2617" w14:textId="77777777" w:rsidR="00F91E07" w:rsidRDefault="00F91E07" w:rsidP="002C177E">
      <w:pPr>
        <w:spacing w:after="160" w:line="240" w:lineRule="auto"/>
        <w:jc w:val="left"/>
      </w:pPr>
    </w:p>
    <w:p w14:paraId="72E1341E" w14:textId="5621A555" w:rsidR="00DD2E7F" w:rsidRDefault="00F91E07" w:rsidP="002C177E">
      <w:pPr>
        <w:spacing w:line="240" w:lineRule="auto"/>
      </w:pPr>
      <w:r>
        <w:t xml:space="preserve">Table 2 compares various biochemical parameters between individuals who tested positive for non-alcoholic fatty liver disease (NAFLD) and those who tested negative.  For cholesterol levels, the NAFLD-positive group had an average of 4.4 mmol/L (±0.8), while the NAFLD-negative group had an average of 4.3 mmol/L (±0.6), with a T-test value of 0.3937, indicating no significant difference. Triglyceride levels were notably higher in the NAFLD-positive group, averaging 1.4 mmol/L (±0.6) compared to 1.1 mmol/L (±0.5) in the NAFLD-negative group, with a significant T-test value of 0.0015. High-density lipoprotein (HDL) levels were slightly higher in the NAFLD-positive group, averaging 0.9 mmol/L (±0.3) compared to 0.8 mmol/L (±0.3) in the NAFLD-negative group, with a T-test value of 0.0574, suggesting a marginal significance. Low-density lipoprotein (LDL) levels were similar between the two groups, with the NAFLD-positive group at 2.9 mmol/L (±0.7) and the NAFLD-negative group at 3.0 mmol/L (±0.7), and a T-test value of 0.4132, indicating no significant difference. Total bilirubin levels averaged 9.3 μmol/L (±4.2) in the NAFLD-positive group and 8.8 μmol/L (±3.8) in the NAFLD-negative group, with a T-test value of 0.4655, showing no significant difference. Albumin levels were also similar, with the NAFLD-positive group averaging 46.1 g/L (±4.6) and the NAFLD-negative group averaging 47.1 g/L (±5.1), resulting in a T-test value of 0.2471. Glycated </w:t>
      </w:r>
      <w:proofErr w:type="spellStart"/>
      <w:r>
        <w:t>hemoglobin</w:t>
      </w:r>
      <w:proofErr w:type="spellEnd"/>
      <w:r>
        <w:t xml:space="preserve"> (HbA1c) levels were significantly higher in the NAFLD-positive group, averaging 10.9% (±4.3) compared to 7.5% (±2.4) in the NAFLD-negative group, with a T-test value of 0.0001, indicating a highly significant difference.</w:t>
      </w:r>
    </w:p>
    <w:p w14:paraId="63D09906" w14:textId="77777777" w:rsidR="00DD2E7F" w:rsidRDefault="00DD2E7F">
      <w:pPr>
        <w:spacing w:after="160" w:line="259" w:lineRule="auto"/>
        <w:jc w:val="left"/>
      </w:pPr>
      <w:r>
        <w:br w:type="page"/>
      </w:r>
    </w:p>
    <w:p w14:paraId="660482FA" w14:textId="77777777" w:rsidR="00F91E07" w:rsidRDefault="00F91E07" w:rsidP="002C177E">
      <w:pPr>
        <w:spacing w:line="240" w:lineRule="auto"/>
      </w:pPr>
    </w:p>
    <w:p w14:paraId="4962264D" w14:textId="77777777" w:rsidR="00F91E07" w:rsidRDefault="00F91E07" w:rsidP="002C177E">
      <w:pPr>
        <w:spacing w:line="240" w:lineRule="auto"/>
        <w:jc w:val="center"/>
        <w:rPr>
          <w:b/>
          <w:bCs/>
          <w:szCs w:val="24"/>
        </w:rPr>
      </w:pPr>
      <w:bookmarkStart w:id="0" w:name="_Hlk26989513"/>
    </w:p>
    <w:p w14:paraId="556434BC" w14:textId="1E6A2CCF" w:rsidR="00F91E07" w:rsidRDefault="00F91E07" w:rsidP="002C177E">
      <w:pPr>
        <w:pStyle w:val="Caption"/>
        <w:keepNext/>
      </w:pPr>
      <w:r>
        <w:t xml:space="preserve">Table </w:t>
      </w:r>
      <w:r w:rsidR="00A61A89">
        <w:rPr>
          <w:noProof/>
        </w:rPr>
        <w:fldChar w:fldCharType="begin"/>
      </w:r>
      <w:r w:rsidR="00A61A89">
        <w:rPr>
          <w:noProof/>
        </w:rPr>
        <w:instrText xml:space="preserve"> SEQ Table \* ARABIC </w:instrText>
      </w:r>
      <w:r w:rsidR="00A61A89">
        <w:rPr>
          <w:noProof/>
        </w:rPr>
        <w:fldChar w:fldCharType="separate"/>
      </w:r>
      <w:r w:rsidR="00C51F88">
        <w:rPr>
          <w:noProof/>
        </w:rPr>
        <w:t>2</w:t>
      </w:r>
      <w:r w:rsidR="00A61A89">
        <w:rPr>
          <w:noProof/>
        </w:rPr>
        <w:fldChar w:fldCharType="end"/>
      </w:r>
      <w:r>
        <w:t xml:space="preserve">: </w:t>
      </w:r>
      <w:r w:rsidRPr="003E7493">
        <w:t xml:space="preserve">Comparison of </w:t>
      </w:r>
      <w:r>
        <w:t xml:space="preserve">average levels of </w:t>
      </w:r>
      <w:r w:rsidRPr="003E7493">
        <w:t>biochemical features</w:t>
      </w:r>
    </w:p>
    <w:tbl>
      <w:tblPr>
        <w:tblW w:w="8931" w:type="dxa"/>
        <w:jc w:val="center"/>
        <w:tblLook w:val="04A0" w:firstRow="1" w:lastRow="0" w:firstColumn="1" w:lastColumn="0" w:noHBand="0" w:noVBand="1"/>
      </w:tblPr>
      <w:tblGrid>
        <w:gridCol w:w="3870"/>
        <w:gridCol w:w="1990"/>
        <w:gridCol w:w="1827"/>
        <w:gridCol w:w="1244"/>
      </w:tblGrid>
      <w:tr w:rsidR="00F91E07" w:rsidRPr="00C1033E" w14:paraId="6726F266" w14:textId="77777777" w:rsidTr="00A5625B">
        <w:trPr>
          <w:trHeight w:val="300"/>
          <w:jc w:val="center"/>
        </w:trPr>
        <w:tc>
          <w:tcPr>
            <w:tcW w:w="3870" w:type="dxa"/>
            <w:tcBorders>
              <w:top w:val="single" w:sz="4" w:space="0" w:color="auto"/>
              <w:left w:val="nil"/>
              <w:bottom w:val="single" w:sz="4" w:space="0" w:color="auto"/>
              <w:right w:val="nil"/>
            </w:tcBorders>
            <w:shd w:val="clear" w:color="auto" w:fill="auto"/>
            <w:noWrap/>
            <w:vAlign w:val="bottom"/>
            <w:hideMark/>
          </w:tcPr>
          <w:p w14:paraId="0047E532" w14:textId="77777777" w:rsidR="00F91E07" w:rsidRPr="00C1033E" w:rsidRDefault="00F91E07" w:rsidP="002C177E">
            <w:pPr>
              <w:spacing w:line="240" w:lineRule="auto"/>
              <w:rPr>
                <w:b/>
                <w:bCs/>
                <w:color w:val="000000"/>
                <w:szCs w:val="24"/>
              </w:rPr>
            </w:pPr>
            <w:r w:rsidRPr="00C1033E">
              <w:rPr>
                <w:b/>
                <w:bCs/>
                <w:color w:val="000000"/>
                <w:szCs w:val="24"/>
              </w:rPr>
              <w:t>Variables</w:t>
            </w:r>
          </w:p>
        </w:tc>
        <w:tc>
          <w:tcPr>
            <w:tcW w:w="1990" w:type="dxa"/>
            <w:tcBorders>
              <w:top w:val="single" w:sz="4" w:space="0" w:color="auto"/>
              <w:left w:val="nil"/>
              <w:bottom w:val="single" w:sz="4" w:space="0" w:color="auto"/>
              <w:right w:val="nil"/>
            </w:tcBorders>
            <w:shd w:val="clear" w:color="auto" w:fill="auto"/>
            <w:noWrap/>
            <w:vAlign w:val="bottom"/>
            <w:hideMark/>
          </w:tcPr>
          <w:p w14:paraId="61305AEC" w14:textId="77777777" w:rsidR="00F91E07" w:rsidRDefault="00F91E07" w:rsidP="002C177E">
            <w:pPr>
              <w:spacing w:line="240" w:lineRule="auto"/>
              <w:rPr>
                <w:b/>
                <w:bCs/>
                <w:color w:val="000000"/>
                <w:szCs w:val="24"/>
              </w:rPr>
            </w:pPr>
            <w:r w:rsidRPr="00C23EFC">
              <w:rPr>
                <w:b/>
                <w:bCs/>
                <w:color w:val="000000"/>
                <w:szCs w:val="24"/>
              </w:rPr>
              <w:t xml:space="preserve">NAFLD </w:t>
            </w:r>
          </w:p>
          <w:p w14:paraId="171CEC93" w14:textId="77777777" w:rsidR="00F91E07" w:rsidRPr="00C1033E" w:rsidRDefault="00F91E07" w:rsidP="002C177E">
            <w:pPr>
              <w:spacing w:line="240" w:lineRule="auto"/>
              <w:rPr>
                <w:b/>
                <w:bCs/>
                <w:color w:val="000000"/>
                <w:szCs w:val="24"/>
              </w:rPr>
            </w:pPr>
            <w:r w:rsidRPr="00C23EFC">
              <w:rPr>
                <w:b/>
                <w:bCs/>
                <w:color w:val="000000"/>
                <w:szCs w:val="24"/>
              </w:rPr>
              <w:t>positive</w:t>
            </w:r>
          </w:p>
        </w:tc>
        <w:tc>
          <w:tcPr>
            <w:tcW w:w="1827" w:type="dxa"/>
            <w:tcBorders>
              <w:top w:val="single" w:sz="4" w:space="0" w:color="auto"/>
              <w:left w:val="nil"/>
              <w:bottom w:val="single" w:sz="4" w:space="0" w:color="auto"/>
              <w:right w:val="nil"/>
            </w:tcBorders>
            <w:shd w:val="clear" w:color="auto" w:fill="auto"/>
            <w:noWrap/>
            <w:vAlign w:val="bottom"/>
            <w:hideMark/>
          </w:tcPr>
          <w:p w14:paraId="4BAC8749" w14:textId="77777777" w:rsidR="00F91E07" w:rsidRPr="00C1033E" w:rsidRDefault="00F91E07" w:rsidP="002C177E">
            <w:pPr>
              <w:spacing w:line="240" w:lineRule="auto"/>
              <w:rPr>
                <w:b/>
                <w:bCs/>
                <w:color w:val="000000"/>
                <w:szCs w:val="24"/>
              </w:rPr>
            </w:pPr>
            <w:r w:rsidRPr="00C23EFC">
              <w:rPr>
                <w:b/>
                <w:bCs/>
                <w:color w:val="000000"/>
                <w:szCs w:val="24"/>
              </w:rPr>
              <w:t xml:space="preserve">NAFLD negative </w:t>
            </w:r>
          </w:p>
        </w:tc>
        <w:tc>
          <w:tcPr>
            <w:tcW w:w="1244" w:type="dxa"/>
            <w:tcBorders>
              <w:top w:val="single" w:sz="4" w:space="0" w:color="auto"/>
              <w:left w:val="nil"/>
              <w:bottom w:val="single" w:sz="4" w:space="0" w:color="auto"/>
              <w:right w:val="nil"/>
            </w:tcBorders>
          </w:tcPr>
          <w:p w14:paraId="34CEEB17" w14:textId="77777777" w:rsidR="00F91E07" w:rsidRPr="00C23EFC" w:rsidRDefault="00F91E07" w:rsidP="002C177E">
            <w:pPr>
              <w:spacing w:line="240" w:lineRule="auto"/>
              <w:rPr>
                <w:b/>
                <w:bCs/>
                <w:color w:val="000000"/>
                <w:szCs w:val="24"/>
              </w:rPr>
            </w:pPr>
            <w:r w:rsidRPr="00C23EFC">
              <w:rPr>
                <w:b/>
                <w:bCs/>
                <w:color w:val="000000"/>
                <w:szCs w:val="24"/>
              </w:rPr>
              <w:t xml:space="preserve">T-test </w:t>
            </w:r>
          </w:p>
          <w:p w14:paraId="011D9698" w14:textId="77777777" w:rsidR="00F91E07" w:rsidRPr="00C23EFC" w:rsidRDefault="00F91E07" w:rsidP="002C177E">
            <w:pPr>
              <w:spacing w:line="240" w:lineRule="auto"/>
              <w:rPr>
                <w:b/>
                <w:bCs/>
                <w:color w:val="000000"/>
                <w:szCs w:val="24"/>
              </w:rPr>
            </w:pPr>
          </w:p>
        </w:tc>
      </w:tr>
      <w:tr w:rsidR="00F91E07" w:rsidRPr="00C1033E" w14:paraId="6D1FC48B" w14:textId="77777777" w:rsidTr="00A5625B">
        <w:trPr>
          <w:trHeight w:val="300"/>
          <w:jc w:val="center"/>
        </w:trPr>
        <w:tc>
          <w:tcPr>
            <w:tcW w:w="3870" w:type="dxa"/>
            <w:tcBorders>
              <w:top w:val="nil"/>
              <w:left w:val="nil"/>
              <w:bottom w:val="nil"/>
              <w:right w:val="nil"/>
            </w:tcBorders>
            <w:shd w:val="clear" w:color="auto" w:fill="auto"/>
            <w:noWrap/>
            <w:hideMark/>
          </w:tcPr>
          <w:p w14:paraId="5C2E2133" w14:textId="77777777" w:rsidR="00F91E07" w:rsidRPr="00C1033E" w:rsidRDefault="00F91E07" w:rsidP="002C177E">
            <w:pPr>
              <w:spacing w:line="240" w:lineRule="auto"/>
              <w:jc w:val="left"/>
              <w:rPr>
                <w:color w:val="000000"/>
                <w:szCs w:val="24"/>
              </w:rPr>
            </w:pPr>
            <w:r w:rsidRPr="00C1033E">
              <w:rPr>
                <w:color w:val="000000"/>
                <w:szCs w:val="24"/>
              </w:rPr>
              <w:t xml:space="preserve"> </w:t>
            </w:r>
            <w:r>
              <w:rPr>
                <w:color w:val="000000"/>
                <w:szCs w:val="24"/>
              </w:rPr>
              <w:t>Cholesterol (mmol/l)</w:t>
            </w:r>
          </w:p>
        </w:tc>
        <w:tc>
          <w:tcPr>
            <w:tcW w:w="1990" w:type="dxa"/>
            <w:tcBorders>
              <w:top w:val="nil"/>
              <w:left w:val="nil"/>
              <w:bottom w:val="nil"/>
              <w:right w:val="nil"/>
            </w:tcBorders>
            <w:shd w:val="clear" w:color="auto" w:fill="auto"/>
            <w:noWrap/>
            <w:vAlign w:val="bottom"/>
            <w:hideMark/>
          </w:tcPr>
          <w:p w14:paraId="70BC8747" w14:textId="77777777" w:rsidR="00F91E07" w:rsidRPr="00C1033E" w:rsidRDefault="00F91E07" w:rsidP="002C177E">
            <w:pPr>
              <w:spacing w:line="240" w:lineRule="auto"/>
              <w:jc w:val="left"/>
              <w:rPr>
                <w:color w:val="000000"/>
                <w:szCs w:val="24"/>
              </w:rPr>
            </w:pPr>
            <w:r w:rsidRPr="00C1033E">
              <w:rPr>
                <w:color w:val="000000"/>
                <w:szCs w:val="24"/>
              </w:rPr>
              <w:t>4.4</w:t>
            </w:r>
            <w:r>
              <w:rPr>
                <w:color w:val="000000"/>
                <w:szCs w:val="24"/>
              </w:rPr>
              <w:t xml:space="preserve"> ±0.8</w:t>
            </w:r>
          </w:p>
        </w:tc>
        <w:tc>
          <w:tcPr>
            <w:tcW w:w="1827" w:type="dxa"/>
            <w:tcBorders>
              <w:top w:val="nil"/>
              <w:left w:val="nil"/>
              <w:bottom w:val="nil"/>
              <w:right w:val="nil"/>
            </w:tcBorders>
            <w:shd w:val="clear" w:color="auto" w:fill="auto"/>
            <w:noWrap/>
            <w:vAlign w:val="bottom"/>
            <w:hideMark/>
          </w:tcPr>
          <w:p w14:paraId="0B9EA243" w14:textId="77777777" w:rsidR="00F91E07" w:rsidRPr="00C1033E" w:rsidRDefault="00F91E07" w:rsidP="002C177E">
            <w:pPr>
              <w:spacing w:line="240" w:lineRule="auto"/>
              <w:jc w:val="left"/>
              <w:rPr>
                <w:color w:val="000000"/>
                <w:szCs w:val="24"/>
              </w:rPr>
            </w:pPr>
            <w:r w:rsidRPr="00C1033E">
              <w:rPr>
                <w:color w:val="000000"/>
                <w:szCs w:val="24"/>
              </w:rPr>
              <w:t>4.3</w:t>
            </w:r>
            <w:r>
              <w:rPr>
                <w:color w:val="000000"/>
                <w:szCs w:val="24"/>
              </w:rPr>
              <w:t xml:space="preserve"> ±0.6</w:t>
            </w:r>
          </w:p>
        </w:tc>
        <w:tc>
          <w:tcPr>
            <w:tcW w:w="1244" w:type="dxa"/>
            <w:tcBorders>
              <w:top w:val="nil"/>
              <w:left w:val="nil"/>
              <w:bottom w:val="nil"/>
              <w:right w:val="nil"/>
            </w:tcBorders>
            <w:vAlign w:val="bottom"/>
          </w:tcPr>
          <w:p w14:paraId="5FC3945E" w14:textId="77777777" w:rsidR="00F91E07" w:rsidRPr="00C1033E" w:rsidRDefault="00F91E07" w:rsidP="002C177E">
            <w:pPr>
              <w:spacing w:line="240" w:lineRule="auto"/>
              <w:jc w:val="left"/>
              <w:rPr>
                <w:color w:val="000000"/>
                <w:szCs w:val="24"/>
              </w:rPr>
            </w:pPr>
            <w:r>
              <w:rPr>
                <w:color w:val="000000"/>
                <w:szCs w:val="24"/>
              </w:rPr>
              <w:t>0.3937**</w:t>
            </w:r>
          </w:p>
        </w:tc>
      </w:tr>
      <w:tr w:rsidR="00F91E07" w:rsidRPr="00C1033E" w14:paraId="30B3DEA5" w14:textId="77777777" w:rsidTr="00A5625B">
        <w:trPr>
          <w:trHeight w:val="300"/>
          <w:jc w:val="center"/>
        </w:trPr>
        <w:tc>
          <w:tcPr>
            <w:tcW w:w="3870" w:type="dxa"/>
            <w:tcBorders>
              <w:top w:val="nil"/>
              <w:left w:val="nil"/>
              <w:bottom w:val="nil"/>
              <w:right w:val="nil"/>
            </w:tcBorders>
            <w:shd w:val="clear" w:color="auto" w:fill="auto"/>
            <w:noWrap/>
            <w:hideMark/>
          </w:tcPr>
          <w:p w14:paraId="76C405FF" w14:textId="77777777" w:rsidR="00F91E07" w:rsidRPr="00C1033E" w:rsidRDefault="00F91E07" w:rsidP="002C177E">
            <w:pPr>
              <w:spacing w:line="240" w:lineRule="auto"/>
              <w:jc w:val="left"/>
              <w:rPr>
                <w:color w:val="000000"/>
                <w:szCs w:val="24"/>
              </w:rPr>
            </w:pPr>
            <w:r w:rsidRPr="00C1033E">
              <w:rPr>
                <w:color w:val="000000"/>
                <w:szCs w:val="24"/>
              </w:rPr>
              <w:t xml:space="preserve"> T</w:t>
            </w:r>
            <w:r>
              <w:rPr>
                <w:color w:val="000000"/>
                <w:szCs w:val="24"/>
              </w:rPr>
              <w:t>riglycerides (mmol/l)</w:t>
            </w:r>
          </w:p>
        </w:tc>
        <w:tc>
          <w:tcPr>
            <w:tcW w:w="1990" w:type="dxa"/>
            <w:tcBorders>
              <w:top w:val="nil"/>
              <w:left w:val="nil"/>
              <w:bottom w:val="nil"/>
              <w:right w:val="nil"/>
            </w:tcBorders>
            <w:shd w:val="clear" w:color="auto" w:fill="auto"/>
            <w:noWrap/>
            <w:vAlign w:val="bottom"/>
            <w:hideMark/>
          </w:tcPr>
          <w:p w14:paraId="5927116E" w14:textId="77777777" w:rsidR="00F91E07" w:rsidRPr="00C1033E" w:rsidRDefault="00F91E07" w:rsidP="002C177E">
            <w:pPr>
              <w:spacing w:line="240" w:lineRule="auto"/>
              <w:jc w:val="left"/>
              <w:rPr>
                <w:color w:val="000000"/>
                <w:szCs w:val="24"/>
              </w:rPr>
            </w:pPr>
            <w:r w:rsidRPr="00C1033E">
              <w:rPr>
                <w:color w:val="000000"/>
                <w:szCs w:val="24"/>
              </w:rPr>
              <w:t>1.4</w:t>
            </w:r>
            <w:r>
              <w:rPr>
                <w:color w:val="000000"/>
                <w:szCs w:val="24"/>
              </w:rPr>
              <w:t xml:space="preserve"> ±0.6</w:t>
            </w:r>
          </w:p>
        </w:tc>
        <w:tc>
          <w:tcPr>
            <w:tcW w:w="1827" w:type="dxa"/>
            <w:tcBorders>
              <w:top w:val="nil"/>
              <w:left w:val="nil"/>
              <w:bottom w:val="nil"/>
              <w:right w:val="nil"/>
            </w:tcBorders>
            <w:shd w:val="clear" w:color="auto" w:fill="auto"/>
            <w:noWrap/>
            <w:vAlign w:val="bottom"/>
            <w:hideMark/>
          </w:tcPr>
          <w:p w14:paraId="4AD4844C" w14:textId="77777777" w:rsidR="00F91E07" w:rsidRPr="00C1033E" w:rsidRDefault="00F91E07" w:rsidP="002C177E">
            <w:pPr>
              <w:spacing w:line="240" w:lineRule="auto"/>
              <w:jc w:val="left"/>
              <w:rPr>
                <w:color w:val="000000"/>
                <w:szCs w:val="24"/>
              </w:rPr>
            </w:pPr>
            <w:r w:rsidRPr="00C1033E">
              <w:rPr>
                <w:color w:val="000000"/>
                <w:szCs w:val="24"/>
              </w:rPr>
              <w:t>1.1</w:t>
            </w:r>
            <w:r>
              <w:rPr>
                <w:color w:val="000000"/>
                <w:szCs w:val="24"/>
              </w:rPr>
              <w:t xml:space="preserve"> ±0.5</w:t>
            </w:r>
          </w:p>
        </w:tc>
        <w:tc>
          <w:tcPr>
            <w:tcW w:w="1244" w:type="dxa"/>
            <w:tcBorders>
              <w:top w:val="nil"/>
              <w:left w:val="nil"/>
              <w:bottom w:val="nil"/>
              <w:right w:val="nil"/>
            </w:tcBorders>
            <w:vAlign w:val="bottom"/>
          </w:tcPr>
          <w:p w14:paraId="55E4418F" w14:textId="77777777" w:rsidR="00F91E07" w:rsidRPr="00C1033E" w:rsidRDefault="00F91E07" w:rsidP="002C177E">
            <w:pPr>
              <w:spacing w:line="240" w:lineRule="auto"/>
              <w:jc w:val="left"/>
              <w:rPr>
                <w:color w:val="000000"/>
                <w:szCs w:val="24"/>
              </w:rPr>
            </w:pPr>
            <w:r>
              <w:rPr>
                <w:color w:val="000000"/>
                <w:szCs w:val="24"/>
              </w:rPr>
              <w:t>0.0015*</w:t>
            </w:r>
          </w:p>
        </w:tc>
      </w:tr>
      <w:tr w:rsidR="00F91E07" w:rsidRPr="00C1033E" w14:paraId="18BC1794" w14:textId="77777777" w:rsidTr="00A5625B">
        <w:trPr>
          <w:trHeight w:val="300"/>
          <w:jc w:val="center"/>
        </w:trPr>
        <w:tc>
          <w:tcPr>
            <w:tcW w:w="3870" w:type="dxa"/>
            <w:tcBorders>
              <w:top w:val="nil"/>
              <w:left w:val="nil"/>
              <w:bottom w:val="nil"/>
              <w:right w:val="nil"/>
            </w:tcBorders>
            <w:shd w:val="clear" w:color="auto" w:fill="auto"/>
            <w:noWrap/>
            <w:hideMark/>
          </w:tcPr>
          <w:p w14:paraId="7F7135A8" w14:textId="77777777" w:rsidR="00F91E07" w:rsidRPr="00C1033E" w:rsidRDefault="00F91E07" w:rsidP="002C177E">
            <w:pPr>
              <w:spacing w:line="240" w:lineRule="auto"/>
              <w:jc w:val="left"/>
              <w:rPr>
                <w:color w:val="000000"/>
                <w:szCs w:val="24"/>
              </w:rPr>
            </w:pPr>
            <w:r w:rsidRPr="00C1033E">
              <w:rPr>
                <w:color w:val="000000"/>
                <w:szCs w:val="24"/>
              </w:rPr>
              <w:t xml:space="preserve"> H</w:t>
            </w:r>
            <w:r>
              <w:rPr>
                <w:color w:val="000000"/>
                <w:szCs w:val="24"/>
              </w:rPr>
              <w:t>igh Density Lipoprotein (mmol/l)</w:t>
            </w:r>
          </w:p>
        </w:tc>
        <w:tc>
          <w:tcPr>
            <w:tcW w:w="1990" w:type="dxa"/>
            <w:tcBorders>
              <w:top w:val="nil"/>
              <w:left w:val="nil"/>
              <w:bottom w:val="nil"/>
              <w:right w:val="nil"/>
            </w:tcBorders>
            <w:shd w:val="clear" w:color="auto" w:fill="auto"/>
            <w:noWrap/>
            <w:vAlign w:val="bottom"/>
            <w:hideMark/>
          </w:tcPr>
          <w:p w14:paraId="35246671" w14:textId="77777777" w:rsidR="00F91E07" w:rsidRPr="00C1033E" w:rsidRDefault="00F91E07" w:rsidP="002C177E">
            <w:pPr>
              <w:spacing w:line="240" w:lineRule="auto"/>
              <w:jc w:val="left"/>
              <w:rPr>
                <w:color w:val="000000"/>
                <w:szCs w:val="24"/>
              </w:rPr>
            </w:pPr>
            <w:r w:rsidRPr="00C1033E">
              <w:rPr>
                <w:color w:val="000000"/>
                <w:szCs w:val="24"/>
              </w:rPr>
              <w:t>0.9</w:t>
            </w:r>
            <w:r>
              <w:rPr>
                <w:color w:val="000000"/>
                <w:szCs w:val="24"/>
              </w:rPr>
              <w:t xml:space="preserve"> ±0.3</w:t>
            </w:r>
          </w:p>
        </w:tc>
        <w:tc>
          <w:tcPr>
            <w:tcW w:w="1827" w:type="dxa"/>
            <w:tcBorders>
              <w:top w:val="nil"/>
              <w:left w:val="nil"/>
              <w:bottom w:val="nil"/>
              <w:right w:val="nil"/>
            </w:tcBorders>
            <w:shd w:val="clear" w:color="auto" w:fill="auto"/>
            <w:noWrap/>
            <w:vAlign w:val="bottom"/>
            <w:hideMark/>
          </w:tcPr>
          <w:p w14:paraId="507AD2FE" w14:textId="77777777" w:rsidR="00F91E07" w:rsidRPr="00C1033E" w:rsidRDefault="00F91E07" w:rsidP="002C177E">
            <w:pPr>
              <w:spacing w:line="240" w:lineRule="auto"/>
              <w:jc w:val="left"/>
              <w:rPr>
                <w:color w:val="000000"/>
                <w:szCs w:val="24"/>
              </w:rPr>
            </w:pPr>
            <w:r w:rsidRPr="00C1033E">
              <w:rPr>
                <w:color w:val="000000"/>
                <w:szCs w:val="24"/>
              </w:rPr>
              <w:t>0.8</w:t>
            </w:r>
            <w:r>
              <w:rPr>
                <w:color w:val="000000"/>
                <w:szCs w:val="24"/>
              </w:rPr>
              <w:t xml:space="preserve"> ±0.3</w:t>
            </w:r>
          </w:p>
        </w:tc>
        <w:tc>
          <w:tcPr>
            <w:tcW w:w="1244" w:type="dxa"/>
            <w:tcBorders>
              <w:top w:val="nil"/>
              <w:left w:val="nil"/>
              <w:bottom w:val="nil"/>
              <w:right w:val="nil"/>
            </w:tcBorders>
            <w:vAlign w:val="bottom"/>
          </w:tcPr>
          <w:p w14:paraId="12FD413A" w14:textId="77777777" w:rsidR="00F91E07" w:rsidRPr="00C1033E" w:rsidRDefault="00F91E07" w:rsidP="002C177E">
            <w:pPr>
              <w:spacing w:line="240" w:lineRule="auto"/>
              <w:jc w:val="left"/>
              <w:rPr>
                <w:color w:val="000000"/>
                <w:szCs w:val="24"/>
              </w:rPr>
            </w:pPr>
            <w:r>
              <w:rPr>
                <w:color w:val="000000"/>
                <w:szCs w:val="24"/>
              </w:rPr>
              <w:t>0.0574**</w:t>
            </w:r>
          </w:p>
        </w:tc>
      </w:tr>
      <w:tr w:rsidR="00F91E07" w:rsidRPr="00C1033E" w14:paraId="16978268" w14:textId="77777777" w:rsidTr="00A5625B">
        <w:trPr>
          <w:trHeight w:val="300"/>
          <w:jc w:val="center"/>
        </w:trPr>
        <w:tc>
          <w:tcPr>
            <w:tcW w:w="3870" w:type="dxa"/>
            <w:tcBorders>
              <w:top w:val="nil"/>
              <w:left w:val="nil"/>
              <w:bottom w:val="nil"/>
              <w:right w:val="nil"/>
            </w:tcBorders>
            <w:shd w:val="clear" w:color="auto" w:fill="auto"/>
            <w:noWrap/>
            <w:hideMark/>
          </w:tcPr>
          <w:p w14:paraId="02E14383" w14:textId="77777777" w:rsidR="00F91E07" w:rsidRPr="00C1033E" w:rsidRDefault="00F91E07" w:rsidP="002C177E">
            <w:pPr>
              <w:spacing w:line="240" w:lineRule="auto"/>
              <w:jc w:val="left"/>
              <w:rPr>
                <w:color w:val="000000"/>
                <w:szCs w:val="24"/>
              </w:rPr>
            </w:pPr>
            <w:r w:rsidRPr="00C1033E">
              <w:rPr>
                <w:color w:val="000000"/>
                <w:szCs w:val="24"/>
              </w:rPr>
              <w:t xml:space="preserve"> L</w:t>
            </w:r>
            <w:r>
              <w:rPr>
                <w:color w:val="000000"/>
                <w:szCs w:val="24"/>
              </w:rPr>
              <w:t>ow density lipoprotein (mmol/l)</w:t>
            </w:r>
          </w:p>
        </w:tc>
        <w:tc>
          <w:tcPr>
            <w:tcW w:w="1990" w:type="dxa"/>
            <w:tcBorders>
              <w:top w:val="nil"/>
              <w:left w:val="nil"/>
              <w:bottom w:val="nil"/>
              <w:right w:val="nil"/>
            </w:tcBorders>
            <w:shd w:val="clear" w:color="auto" w:fill="auto"/>
            <w:noWrap/>
            <w:vAlign w:val="bottom"/>
            <w:hideMark/>
          </w:tcPr>
          <w:p w14:paraId="16E7BBA7" w14:textId="77777777" w:rsidR="00F91E07" w:rsidRPr="00C1033E" w:rsidRDefault="00F91E07" w:rsidP="002C177E">
            <w:pPr>
              <w:spacing w:line="240" w:lineRule="auto"/>
              <w:jc w:val="left"/>
              <w:rPr>
                <w:color w:val="000000"/>
                <w:szCs w:val="24"/>
              </w:rPr>
            </w:pPr>
            <w:r w:rsidRPr="00C1033E">
              <w:rPr>
                <w:color w:val="000000"/>
                <w:szCs w:val="24"/>
              </w:rPr>
              <w:t>2.9</w:t>
            </w:r>
            <w:r>
              <w:rPr>
                <w:color w:val="000000"/>
                <w:szCs w:val="24"/>
              </w:rPr>
              <w:t xml:space="preserve"> ±0.7</w:t>
            </w:r>
          </w:p>
        </w:tc>
        <w:tc>
          <w:tcPr>
            <w:tcW w:w="1827" w:type="dxa"/>
            <w:tcBorders>
              <w:top w:val="nil"/>
              <w:left w:val="nil"/>
              <w:bottom w:val="nil"/>
              <w:right w:val="nil"/>
            </w:tcBorders>
            <w:shd w:val="clear" w:color="auto" w:fill="auto"/>
            <w:noWrap/>
            <w:vAlign w:val="bottom"/>
            <w:hideMark/>
          </w:tcPr>
          <w:p w14:paraId="5316BEF3" w14:textId="77777777" w:rsidR="00F91E07" w:rsidRPr="00C1033E" w:rsidRDefault="00F91E07" w:rsidP="002C177E">
            <w:pPr>
              <w:spacing w:line="240" w:lineRule="auto"/>
              <w:jc w:val="left"/>
              <w:rPr>
                <w:color w:val="000000"/>
                <w:szCs w:val="24"/>
              </w:rPr>
            </w:pPr>
            <w:r w:rsidRPr="00C1033E">
              <w:rPr>
                <w:color w:val="000000"/>
                <w:szCs w:val="24"/>
              </w:rPr>
              <w:t>3.0</w:t>
            </w:r>
            <w:r>
              <w:rPr>
                <w:color w:val="000000"/>
                <w:szCs w:val="24"/>
              </w:rPr>
              <w:t xml:space="preserve"> ±0.7</w:t>
            </w:r>
          </w:p>
        </w:tc>
        <w:tc>
          <w:tcPr>
            <w:tcW w:w="1244" w:type="dxa"/>
            <w:tcBorders>
              <w:top w:val="nil"/>
              <w:left w:val="nil"/>
              <w:bottom w:val="nil"/>
              <w:right w:val="nil"/>
            </w:tcBorders>
            <w:vAlign w:val="bottom"/>
          </w:tcPr>
          <w:p w14:paraId="2AA8537C" w14:textId="77777777" w:rsidR="00F91E07" w:rsidRPr="00C1033E" w:rsidRDefault="00F91E07" w:rsidP="002C177E">
            <w:pPr>
              <w:spacing w:line="240" w:lineRule="auto"/>
              <w:jc w:val="left"/>
              <w:rPr>
                <w:color w:val="000000"/>
                <w:szCs w:val="24"/>
              </w:rPr>
            </w:pPr>
            <w:r>
              <w:rPr>
                <w:color w:val="000000"/>
                <w:szCs w:val="24"/>
              </w:rPr>
              <w:t>0.4132**</w:t>
            </w:r>
          </w:p>
        </w:tc>
      </w:tr>
      <w:tr w:rsidR="00F91E07" w:rsidRPr="00C1033E" w14:paraId="1532787C" w14:textId="77777777" w:rsidTr="00A5625B">
        <w:trPr>
          <w:trHeight w:val="300"/>
          <w:jc w:val="center"/>
        </w:trPr>
        <w:tc>
          <w:tcPr>
            <w:tcW w:w="3870" w:type="dxa"/>
            <w:tcBorders>
              <w:top w:val="nil"/>
              <w:left w:val="nil"/>
              <w:bottom w:val="nil"/>
              <w:right w:val="nil"/>
            </w:tcBorders>
            <w:shd w:val="clear" w:color="auto" w:fill="auto"/>
            <w:noWrap/>
            <w:hideMark/>
          </w:tcPr>
          <w:p w14:paraId="4D7298C3" w14:textId="77777777" w:rsidR="00F91E07" w:rsidRPr="00C1033E" w:rsidRDefault="00F91E07" w:rsidP="002C177E">
            <w:pPr>
              <w:spacing w:line="240" w:lineRule="auto"/>
              <w:jc w:val="left"/>
              <w:rPr>
                <w:color w:val="000000"/>
                <w:szCs w:val="24"/>
              </w:rPr>
            </w:pPr>
            <w:r>
              <w:rPr>
                <w:color w:val="000000"/>
                <w:szCs w:val="24"/>
              </w:rPr>
              <w:t>Total Bilirubin (</w:t>
            </w:r>
            <w:r>
              <w:t>μmol/L)</w:t>
            </w:r>
          </w:p>
        </w:tc>
        <w:tc>
          <w:tcPr>
            <w:tcW w:w="1990" w:type="dxa"/>
            <w:tcBorders>
              <w:top w:val="nil"/>
              <w:left w:val="nil"/>
              <w:bottom w:val="nil"/>
              <w:right w:val="nil"/>
            </w:tcBorders>
            <w:shd w:val="clear" w:color="auto" w:fill="auto"/>
            <w:noWrap/>
            <w:vAlign w:val="bottom"/>
            <w:hideMark/>
          </w:tcPr>
          <w:p w14:paraId="405B4788" w14:textId="77777777" w:rsidR="00F91E07" w:rsidRPr="00C1033E" w:rsidRDefault="00F91E07" w:rsidP="002C177E">
            <w:pPr>
              <w:spacing w:line="240" w:lineRule="auto"/>
              <w:jc w:val="left"/>
              <w:rPr>
                <w:color w:val="000000"/>
                <w:szCs w:val="24"/>
              </w:rPr>
            </w:pPr>
            <w:r w:rsidRPr="00C1033E">
              <w:rPr>
                <w:color w:val="000000"/>
                <w:szCs w:val="24"/>
              </w:rPr>
              <w:t>9.3</w:t>
            </w:r>
            <w:r>
              <w:rPr>
                <w:color w:val="000000"/>
                <w:szCs w:val="24"/>
              </w:rPr>
              <w:t xml:space="preserve"> ±4.2</w:t>
            </w:r>
          </w:p>
        </w:tc>
        <w:tc>
          <w:tcPr>
            <w:tcW w:w="1827" w:type="dxa"/>
            <w:tcBorders>
              <w:top w:val="nil"/>
              <w:left w:val="nil"/>
              <w:bottom w:val="nil"/>
              <w:right w:val="nil"/>
            </w:tcBorders>
            <w:shd w:val="clear" w:color="auto" w:fill="auto"/>
            <w:noWrap/>
            <w:vAlign w:val="bottom"/>
            <w:hideMark/>
          </w:tcPr>
          <w:p w14:paraId="08D40C51" w14:textId="77777777" w:rsidR="00F91E07" w:rsidRPr="00C1033E" w:rsidRDefault="00F91E07" w:rsidP="002C177E">
            <w:pPr>
              <w:spacing w:line="240" w:lineRule="auto"/>
              <w:jc w:val="left"/>
              <w:rPr>
                <w:color w:val="000000"/>
                <w:szCs w:val="24"/>
              </w:rPr>
            </w:pPr>
            <w:r w:rsidRPr="00C1033E">
              <w:rPr>
                <w:color w:val="000000"/>
                <w:szCs w:val="24"/>
              </w:rPr>
              <w:t>8.8</w:t>
            </w:r>
            <w:r>
              <w:rPr>
                <w:color w:val="000000"/>
                <w:szCs w:val="24"/>
              </w:rPr>
              <w:t xml:space="preserve"> ±3.8</w:t>
            </w:r>
          </w:p>
        </w:tc>
        <w:tc>
          <w:tcPr>
            <w:tcW w:w="1244" w:type="dxa"/>
            <w:tcBorders>
              <w:top w:val="nil"/>
              <w:left w:val="nil"/>
              <w:bottom w:val="nil"/>
              <w:right w:val="nil"/>
            </w:tcBorders>
            <w:vAlign w:val="bottom"/>
          </w:tcPr>
          <w:p w14:paraId="49E94615" w14:textId="77777777" w:rsidR="00F91E07" w:rsidRPr="00C1033E" w:rsidRDefault="00F91E07" w:rsidP="002C177E">
            <w:pPr>
              <w:spacing w:line="240" w:lineRule="auto"/>
              <w:jc w:val="left"/>
              <w:rPr>
                <w:color w:val="000000"/>
                <w:szCs w:val="24"/>
              </w:rPr>
            </w:pPr>
            <w:r>
              <w:rPr>
                <w:color w:val="000000"/>
                <w:szCs w:val="24"/>
              </w:rPr>
              <w:t>0.4655**</w:t>
            </w:r>
          </w:p>
        </w:tc>
      </w:tr>
      <w:tr w:rsidR="00F91E07" w:rsidRPr="00C1033E" w14:paraId="77B7D858" w14:textId="77777777" w:rsidTr="00A5625B">
        <w:trPr>
          <w:trHeight w:val="300"/>
          <w:jc w:val="center"/>
        </w:trPr>
        <w:tc>
          <w:tcPr>
            <w:tcW w:w="3870" w:type="dxa"/>
            <w:tcBorders>
              <w:top w:val="nil"/>
              <w:left w:val="nil"/>
              <w:bottom w:val="nil"/>
              <w:right w:val="nil"/>
            </w:tcBorders>
            <w:shd w:val="clear" w:color="auto" w:fill="auto"/>
            <w:noWrap/>
            <w:hideMark/>
          </w:tcPr>
          <w:p w14:paraId="4C44F341" w14:textId="77777777" w:rsidR="00F91E07" w:rsidRPr="00C1033E" w:rsidRDefault="00F91E07" w:rsidP="002C177E">
            <w:pPr>
              <w:spacing w:line="240" w:lineRule="auto"/>
              <w:jc w:val="left"/>
              <w:rPr>
                <w:color w:val="000000"/>
                <w:szCs w:val="24"/>
              </w:rPr>
            </w:pPr>
            <w:r w:rsidRPr="00C1033E">
              <w:rPr>
                <w:color w:val="000000"/>
                <w:szCs w:val="24"/>
              </w:rPr>
              <w:t xml:space="preserve"> A</w:t>
            </w:r>
            <w:r>
              <w:rPr>
                <w:color w:val="000000"/>
                <w:szCs w:val="24"/>
              </w:rPr>
              <w:t>lbumin (g/L)</w:t>
            </w:r>
          </w:p>
        </w:tc>
        <w:tc>
          <w:tcPr>
            <w:tcW w:w="1990" w:type="dxa"/>
            <w:tcBorders>
              <w:top w:val="nil"/>
              <w:left w:val="nil"/>
              <w:bottom w:val="nil"/>
              <w:right w:val="nil"/>
            </w:tcBorders>
            <w:shd w:val="clear" w:color="auto" w:fill="auto"/>
            <w:noWrap/>
            <w:vAlign w:val="bottom"/>
            <w:hideMark/>
          </w:tcPr>
          <w:p w14:paraId="0C34E606" w14:textId="77777777" w:rsidR="00F91E07" w:rsidRPr="00C1033E" w:rsidRDefault="00F91E07" w:rsidP="002C177E">
            <w:pPr>
              <w:spacing w:line="240" w:lineRule="auto"/>
              <w:jc w:val="left"/>
              <w:rPr>
                <w:color w:val="000000"/>
                <w:szCs w:val="24"/>
              </w:rPr>
            </w:pPr>
            <w:r w:rsidRPr="00C1033E">
              <w:rPr>
                <w:color w:val="000000"/>
                <w:szCs w:val="24"/>
              </w:rPr>
              <w:t>46.1</w:t>
            </w:r>
            <w:r>
              <w:rPr>
                <w:color w:val="000000"/>
                <w:szCs w:val="24"/>
              </w:rPr>
              <w:t xml:space="preserve"> ±4.6</w:t>
            </w:r>
          </w:p>
        </w:tc>
        <w:tc>
          <w:tcPr>
            <w:tcW w:w="1827" w:type="dxa"/>
            <w:tcBorders>
              <w:top w:val="nil"/>
              <w:left w:val="nil"/>
              <w:bottom w:val="nil"/>
              <w:right w:val="nil"/>
            </w:tcBorders>
            <w:shd w:val="clear" w:color="auto" w:fill="auto"/>
            <w:noWrap/>
            <w:vAlign w:val="bottom"/>
            <w:hideMark/>
          </w:tcPr>
          <w:p w14:paraId="64692CC0" w14:textId="77777777" w:rsidR="00F91E07" w:rsidRPr="00C1033E" w:rsidRDefault="00F91E07" w:rsidP="002C177E">
            <w:pPr>
              <w:spacing w:line="240" w:lineRule="auto"/>
              <w:jc w:val="left"/>
              <w:rPr>
                <w:color w:val="000000"/>
                <w:szCs w:val="24"/>
              </w:rPr>
            </w:pPr>
            <w:r w:rsidRPr="00C1033E">
              <w:rPr>
                <w:color w:val="000000"/>
                <w:szCs w:val="24"/>
              </w:rPr>
              <w:t>47.1</w:t>
            </w:r>
            <w:r>
              <w:rPr>
                <w:color w:val="000000"/>
                <w:szCs w:val="24"/>
              </w:rPr>
              <w:t xml:space="preserve"> ±5.1</w:t>
            </w:r>
          </w:p>
        </w:tc>
        <w:tc>
          <w:tcPr>
            <w:tcW w:w="1244" w:type="dxa"/>
            <w:tcBorders>
              <w:top w:val="nil"/>
              <w:left w:val="nil"/>
              <w:bottom w:val="nil"/>
              <w:right w:val="nil"/>
            </w:tcBorders>
            <w:vAlign w:val="bottom"/>
          </w:tcPr>
          <w:p w14:paraId="31E6A0E9" w14:textId="77777777" w:rsidR="00F91E07" w:rsidRPr="00C1033E" w:rsidRDefault="00F91E07" w:rsidP="002C177E">
            <w:pPr>
              <w:spacing w:line="240" w:lineRule="auto"/>
              <w:jc w:val="left"/>
              <w:rPr>
                <w:color w:val="000000"/>
                <w:szCs w:val="24"/>
              </w:rPr>
            </w:pPr>
            <w:r>
              <w:rPr>
                <w:color w:val="000000"/>
                <w:szCs w:val="24"/>
              </w:rPr>
              <w:t>0.2471**</w:t>
            </w:r>
          </w:p>
        </w:tc>
      </w:tr>
      <w:tr w:rsidR="00F91E07" w:rsidRPr="00C1033E" w14:paraId="35F734F6" w14:textId="77777777" w:rsidTr="00A5625B">
        <w:trPr>
          <w:trHeight w:val="300"/>
          <w:jc w:val="center"/>
        </w:trPr>
        <w:tc>
          <w:tcPr>
            <w:tcW w:w="3870" w:type="dxa"/>
            <w:tcBorders>
              <w:top w:val="nil"/>
              <w:left w:val="nil"/>
              <w:bottom w:val="single" w:sz="4" w:space="0" w:color="auto"/>
              <w:right w:val="nil"/>
            </w:tcBorders>
            <w:shd w:val="clear" w:color="auto" w:fill="auto"/>
            <w:noWrap/>
            <w:hideMark/>
          </w:tcPr>
          <w:p w14:paraId="62F38FAB" w14:textId="77777777" w:rsidR="00F91E07" w:rsidRPr="00C1033E" w:rsidRDefault="00F91E07" w:rsidP="002C177E">
            <w:pPr>
              <w:spacing w:line="240" w:lineRule="auto"/>
              <w:jc w:val="left"/>
              <w:rPr>
                <w:color w:val="000000"/>
                <w:szCs w:val="24"/>
              </w:rPr>
            </w:pPr>
            <w:r w:rsidRPr="00C1033E">
              <w:rPr>
                <w:color w:val="000000"/>
                <w:szCs w:val="24"/>
              </w:rPr>
              <w:t xml:space="preserve"> </w:t>
            </w:r>
            <w:r>
              <w:rPr>
                <w:color w:val="000000"/>
                <w:szCs w:val="24"/>
              </w:rPr>
              <w:t>Glycated haemoglobin (%)</w:t>
            </w:r>
          </w:p>
        </w:tc>
        <w:tc>
          <w:tcPr>
            <w:tcW w:w="1990" w:type="dxa"/>
            <w:tcBorders>
              <w:top w:val="nil"/>
              <w:left w:val="nil"/>
              <w:bottom w:val="single" w:sz="4" w:space="0" w:color="auto"/>
              <w:right w:val="nil"/>
            </w:tcBorders>
            <w:shd w:val="clear" w:color="auto" w:fill="auto"/>
            <w:noWrap/>
            <w:vAlign w:val="bottom"/>
            <w:hideMark/>
          </w:tcPr>
          <w:p w14:paraId="34DB7BF2" w14:textId="77777777" w:rsidR="00F91E07" w:rsidRPr="00C1033E" w:rsidRDefault="00F91E07" w:rsidP="002C177E">
            <w:pPr>
              <w:spacing w:line="240" w:lineRule="auto"/>
              <w:jc w:val="left"/>
              <w:rPr>
                <w:color w:val="000000"/>
                <w:szCs w:val="24"/>
              </w:rPr>
            </w:pPr>
            <w:r w:rsidRPr="00C1033E">
              <w:rPr>
                <w:color w:val="000000"/>
                <w:szCs w:val="24"/>
              </w:rPr>
              <w:t>10.9</w:t>
            </w:r>
            <w:r>
              <w:rPr>
                <w:color w:val="000000"/>
                <w:szCs w:val="24"/>
              </w:rPr>
              <w:t xml:space="preserve"> ±4.3</w:t>
            </w:r>
          </w:p>
        </w:tc>
        <w:tc>
          <w:tcPr>
            <w:tcW w:w="1827" w:type="dxa"/>
            <w:tcBorders>
              <w:top w:val="nil"/>
              <w:left w:val="nil"/>
              <w:bottom w:val="single" w:sz="4" w:space="0" w:color="auto"/>
              <w:right w:val="nil"/>
            </w:tcBorders>
            <w:shd w:val="clear" w:color="auto" w:fill="auto"/>
            <w:noWrap/>
            <w:vAlign w:val="bottom"/>
            <w:hideMark/>
          </w:tcPr>
          <w:p w14:paraId="632ED12C" w14:textId="77777777" w:rsidR="00F91E07" w:rsidRPr="00C1033E" w:rsidRDefault="00F91E07" w:rsidP="002C177E">
            <w:pPr>
              <w:spacing w:line="240" w:lineRule="auto"/>
              <w:jc w:val="left"/>
              <w:rPr>
                <w:color w:val="000000"/>
                <w:szCs w:val="24"/>
              </w:rPr>
            </w:pPr>
            <w:r w:rsidRPr="00C1033E">
              <w:rPr>
                <w:color w:val="000000"/>
                <w:szCs w:val="24"/>
              </w:rPr>
              <w:t>7.5</w:t>
            </w:r>
            <w:r>
              <w:rPr>
                <w:color w:val="000000"/>
                <w:szCs w:val="24"/>
              </w:rPr>
              <w:t xml:space="preserve"> ±2.4</w:t>
            </w:r>
          </w:p>
        </w:tc>
        <w:tc>
          <w:tcPr>
            <w:tcW w:w="1244" w:type="dxa"/>
            <w:tcBorders>
              <w:top w:val="nil"/>
              <w:left w:val="nil"/>
              <w:bottom w:val="single" w:sz="4" w:space="0" w:color="auto"/>
              <w:right w:val="nil"/>
            </w:tcBorders>
            <w:vAlign w:val="bottom"/>
          </w:tcPr>
          <w:p w14:paraId="161B7228" w14:textId="77777777" w:rsidR="00F91E07" w:rsidRPr="00C1033E" w:rsidRDefault="00F91E07" w:rsidP="002C177E">
            <w:pPr>
              <w:spacing w:line="240" w:lineRule="auto"/>
              <w:jc w:val="left"/>
              <w:rPr>
                <w:color w:val="000000"/>
                <w:szCs w:val="24"/>
              </w:rPr>
            </w:pPr>
            <w:r>
              <w:rPr>
                <w:color w:val="000000"/>
                <w:szCs w:val="24"/>
              </w:rPr>
              <w:t>0.0001*</w:t>
            </w:r>
          </w:p>
        </w:tc>
      </w:tr>
    </w:tbl>
    <w:p w14:paraId="67B77F55" w14:textId="77777777" w:rsidR="00F91E07" w:rsidRPr="00F1780A" w:rsidRDefault="00F91E07" w:rsidP="002C177E">
      <w:pPr>
        <w:spacing w:line="240" w:lineRule="auto"/>
        <w:jc w:val="left"/>
        <w:rPr>
          <w:szCs w:val="24"/>
        </w:rPr>
      </w:pPr>
      <w:r w:rsidRPr="00F1780A">
        <w:rPr>
          <w:szCs w:val="24"/>
        </w:rPr>
        <w:t xml:space="preserve">The data is presented in </w:t>
      </w:r>
      <w:r>
        <w:rPr>
          <w:szCs w:val="24"/>
        </w:rPr>
        <w:t>Mean ± Standard deviation</w:t>
      </w:r>
    </w:p>
    <w:p w14:paraId="059CC20A" w14:textId="77777777" w:rsidR="00F91E07" w:rsidRPr="00F1780A" w:rsidRDefault="00F91E07" w:rsidP="002C177E">
      <w:pPr>
        <w:spacing w:line="240" w:lineRule="auto"/>
        <w:jc w:val="left"/>
        <w:rPr>
          <w:i/>
          <w:iCs/>
          <w:szCs w:val="24"/>
        </w:rPr>
      </w:pPr>
      <w:r w:rsidRPr="00F1780A">
        <w:rPr>
          <w:szCs w:val="24"/>
        </w:rPr>
        <w:t>*</w:t>
      </w:r>
      <w:r w:rsidRPr="00F1780A">
        <w:rPr>
          <w:i/>
          <w:iCs/>
          <w:szCs w:val="24"/>
        </w:rPr>
        <w:t>D</w:t>
      </w:r>
      <w:r>
        <w:rPr>
          <w:i/>
          <w:iCs/>
          <w:szCs w:val="24"/>
        </w:rPr>
        <w:t>ifference</w:t>
      </w:r>
      <w:r w:rsidRPr="00F1780A">
        <w:rPr>
          <w:i/>
          <w:iCs/>
          <w:szCs w:val="24"/>
        </w:rPr>
        <w:t xml:space="preserve"> is statistically significant (p &lt; 0.05)</w:t>
      </w:r>
    </w:p>
    <w:p w14:paraId="69CCAB28" w14:textId="77777777" w:rsidR="00F91E07" w:rsidRPr="00F1780A" w:rsidRDefault="00F91E07" w:rsidP="002C177E">
      <w:pPr>
        <w:spacing w:line="240" w:lineRule="auto"/>
        <w:jc w:val="left"/>
        <w:rPr>
          <w:i/>
          <w:iCs/>
          <w:szCs w:val="24"/>
        </w:rPr>
      </w:pPr>
      <w:r w:rsidRPr="00F1780A">
        <w:rPr>
          <w:i/>
          <w:iCs/>
          <w:szCs w:val="24"/>
        </w:rPr>
        <w:t>**Di</w:t>
      </w:r>
      <w:r>
        <w:rPr>
          <w:i/>
          <w:iCs/>
          <w:szCs w:val="24"/>
        </w:rPr>
        <w:t>fference</w:t>
      </w:r>
      <w:r w:rsidRPr="00F1780A">
        <w:rPr>
          <w:i/>
          <w:iCs/>
          <w:szCs w:val="24"/>
        </w:rPr>
        <w:t xml:space="preserve"> is not statistically significant (p &gt; 0.05)</w:t>
      </w:r>
    </w:p>
    <w:bookmarkEnd w:id="0"/>
    <w:p w14:paraId="6BCF2034" w14:textId="77777777" w:rsidR="00F91E07" w:rsidRDefault="00F91E07" w:rsidP="002C177E">
      <w:pPr>
        <w:spacing w:line="240" w:lineRule="auto"/>
        <w:jc w:val="center"/>
        <w:rPr>
          <w:b/>
          <w:bCs/>
          <w:szCs w:val="24"/>
        </w:rPr>
      </w:pPr>
    </w:p>
    <w:p w14:paraId="76BE57F2" w14:textId="4035687A" w:rsidR="00F91E07" w:rsidRPr="004266E8" w:rsidRDefault="00F91E07" w:rsidP="002C177E">
      <w:pPr>
        <w:spacing w:line="240" w:lineRule="auto"/>
        <w:rPr>
          <w:szCs w:val="24"/>
        </w:rPr>
      </w:pPr>
      <w:r w:rsidRPr="004266E8">
        <w:rPr>
          <w:szCs w:val="24"/>
        </w:rPr>
        <w:t>Table 3 presents a comparison of biochemical variables between individuals with non-alcoholic fatty liver disease (NAFLD) and those without</w:t>
      </w:r>
      <w:r w:rsidR="00A742EE">
        <w:rPr>
          <w:szCs w:val="24"/>
        </w:rPr>
        <w:t>. F</w:t>
      </w:r>
      <w:r w:rsidR="005678CB" w:rsidRPr="004266E8">
        <w:rPr>
          <w:szCs w:val="24"/>
        </w:rPr>
        <w:t>or</w:t>
      </w:r>
      <w:r w:rsidRPr="004266E8">
        <w:rPr>
          <w:szCs w:val="24"/>
        </w:rPr>
        <w:t xml:space="preserve"> glycated </w:t>
      </w:r>
      <w:proofErr w:type="spellStart"/>
      <w:r w:rsidRPr="004266E8">
        <w:rPr>
          <w:szCs w:val="24"/>
        </w:rPr>
        <w:t>hemoglobin</w:t>
      </w:r>
      <w:proofErr w:type="spellEnd"/>
      <w:r w:rsidRPr="004266E8">
        <w:rPr>
          <w:szCs w:val="24"/>
        </w:rPr>
        <w:t xml:space="preserve"> (HbA1c), 44.4% of individuals with NAFLD had uncontrolled HbA1c levels (&gt;7%), compared to 55.6% without NAFLD, with a significant chi-square value of 18.36 (p=0.0001). The odds ratio was 7.3 (95% CI: 2.6 – 20.1), indicating that individuals with uncontrolled diabetes are significantly more likely to have NAFLD.</w:t>
      </w:r>
      <w:r>
        <w:rPr>
          <w:szCs w:val="24"/>
        </w:rPr>
        <w:t xml:space="preserve"> </w:t>
      </w:r>
      <w:r w:rsidRPr="004266E8">
        <w:rPr>
          <w:szCs w:val="24"/>
        </w:rPr>
        <w:t>Regarding triglyceride levels, 66.7% of those with elevated triglycerides had NAFLD, while 33.3% did not. This difference was significant, with a chi-square value of 8.75 (p=0.0031) and an odds ratio of 4.9 (95% CI: 1.5 – 15.3), suggesting a strong association between elevated triglycerides and NAFLD.</w:t>
      </w:r>
    </w:p>
    <w:p w14:paraId="7F40E6D5" w14:textId="77777777" w:rsidR="00F91E07" w:rsidRPr="004266E8" w:rsidRDefault="00F91E07" w:rsidP="002C177E">
      <w:pPr>
        <w:spacing w:line="240" w:lineRule="auto"/>
        <w:rPr>
          <w:szCs w:val="24"/>
        </w:rPr>
      </w:pPr>
      <w:r w:rsidRPr="004266E8">
        <w:rPr>
          <w:szCs w:val="24"/>
        </w:rPr>
        <w:t>For high-density lipoprotein (HDL) levels, none of the individuals with elevated HDL had NAFLD, whereas 100% of them were without NAFLD. This difference was also significant, with a chi-square value of 11.25 (p=0.0041). The odds ratio is not applicable (NA) because no NAFLD cases were observed in the elevated HDL group.</w:t>
      </w:r>
    </w:p>
    <w:p w14:paraId="77E46666" w14:textId="77777777" w:rsidR="00F91E07" w:rsidRPr="004266E8" w:rsidRDefault="00F91E07" w:rsidP="002C177E">
      <w:pPr>
        <w:spacing w:line="240" w:lineRule="auto"/>
        <w:rPr>
          <w:szCs w:val="24"/>
        </w:rPr>
      </w:pPr>
      <w:r w:rsidRPr="004266E8">
        <w:rPr>
          <w:szCs w:val="24"/>
        </w:rPr>
        <w:t>Low-density lipoprotein (LDL) levels showed that 31.3% of those with elevated LDL had NAFLD compared to 68.7% without NAFLD. For those with normal LDL levels, 37.1% had NAFLD and 62.9% did not. The chi-square value was 0.41 (p=0.519), indicating no significant difference. The odds ratio was 0.7 (95% CI: 0.3 – 1.7), suggesting no strong association between LDL levels and NAFLD.</w:t>
      </w:r>
    </w:p>
    <w:p w14:paraId="1D4136DE" w14:textId="3A99AD77" w:rsidR="00DD2E7F" w:rsidRDefault="00DD2E7F">
      <w:pPr>
        <w:spacing w:after="160" w:line="259" w:lineRule="auto"/>
        <w:jc w:val="left"/>
        <w:rPr>
          <w:b/>
          <w:bCs/>
          <w:szCs w:val="24"/>
        </w:rPr>
      </w:pPr>
      <w:r>
        <w:rPr>
          <w:b/>
          <w:bCs/>
          <w:szCs w:val="24"/>
        </w:rPr>
        <w:br w:type="page"/>
      </w:r>
    </w:p>
    <w:p w14:paraId="13B0887F" w14:textId="77777777" w:rsidR="007C0AAD" w:rsidRPr="003E3896" w:rsidRDefault="007C0AAD" w:rsidP="002C177E">
      <w:pPr>
        <w:spacing w:line="240" w:lineRule="auto"/>
        <w:jc w:val="center"/>
        <w:rPr>
          <w:b/>
          <w:bCs/>
          <w:szCs w:val="24"/>
        </w:rPr>
      </w:pPr>
    </w:p>
    <w:p w14:paraId="0068195E" w14:textId="5C9266A1" w:rsidR="00F91E07" w:rsidRDefault="00F91E07" w:rsidP="002C177E">
      <w:pPr>
        <w:pStyle w:val="Caption"/>
        <w:keepNext/>
      </w:pPr>
      <w:r>
        <w:t xml:space="preserve">Table </w:t>
      </w:r>
      <w:r w:rsidR="00A61A89">
        <w:rPr>
          <w:noProof/>
        </w:rPr>
        <w:fldChar w:fldCharType="begin"/>
      </w:r>
      <w:r w:rsidR="00A61A89">
        <w:rPr>
          <w:noProof/>
        </w:rPr>
        <w:instrText xml:space="preserve"> SEQ Table \* ARABIC </w:instrText>
      </w:r>
      <w:r w:rsidR="00A61A89">
        <w:rPr>
          <w:noProof/>
        </w:rPr>
        <w:fldChar w:fldCharType="separate"/>
      </w:r>
      <w:r w:rsidR="00C51F88">
        <w:rPr>
          <w:noProof/>
        </w:rPr>
        <w:t>3</w:t>
      </w:r>
      <w:r w:rsidR="00A61A89">
        <w:rPr>
          <w:noProof/>
        </w:rPr>
        <w:fldChar w:fldCharType="end"/>
      </w:r>
      <w:r>
        <w:t>: Association of Lipid profile and NAFLD</w:t>
      </w:r>
    </w:p>
    <w:tbl>
      <w:tblPr>
        <w:tblStyle w:val="TableGrid"/>
        <w:tblW w:w="9121" w:type="dxa"/>
        <w:jc w:val="center"/>
        <w:tblLook w:val="04A0" w:firstRow="1" w:lastRow="0" w:firstColumn="1" w:lastColumn="0" w:noHBand="0" w:noVBand="1"/>
      </w:tblPr>
      <w:tblGrid>
        <w:gridCol w:w="2520"/>
        <w:gridCol w:w="1105"/>
        <w:gridCol w:w="1235"/>
        <w:gridCol w:w="1103"/>
        <w:gridCol w:w="1678"/>
        <w:gridCol w:w="1480"/>
      </w:tblGrid>
      <w:tr w:rsidR="00F91E07" w:rsidRPr="00026CF7" w14:paraId="675B55D7" w14:textId="77777777" w:rsidTr="00A5625B">
        <w:trPr>
          <w:trHeight w:val="468"/>
          <w:jc w:val="center"/>
        </w:trPr>
        <w:tc>
          <w:tcPr>
            <w:tcW w:w="2520" w:type="dxa"/>
            <w:tcBorders>
              <w:top w:val="single" w:sz="4" w:space="0" w:color="auto"/>
              <w:left w:val="nil"/>
              <w:bottom w:val="single" w:sz="4" w:space="0" w:color="auto"/>
              <w:right w:val="nil"/>
            </w:tcBorders>
          </w:tcPr>
          <w:p w14:paraId="34A1E020" w14:textId="77777777" w:rsidR="00F91E07" w:rsidRPr="00A5625B" w:rsidRDefault="00F91E07" w:rsidP="002C177E">
            <w:pPr>
              <w:spacing w:line="240" w:lineRule="auto"/>
              <w:rPr>
                <w:rFonts w:eastAsia="Times New Roman"/>
                <w:b/>
                <w:bCs/>
                <w:sz w:val="20"/>
                <w:lang w:val="en-GB"/>
              </w:rPr>
            </w:pPr>
            <w:r w:rsidRPr="00A5625B">
              <w:rPr>
                <w:rFonts w:eastAsia="Times New Roman"/>
                <w:b/>
                <w:bCs/>
                <w:sz w:val="20"/>
                <w:lang w:val="en-GB"/>
              </w:rPr>
              <w:t>Variables</w:t>
            </w:r>
          </w:p>
        </w:tc>
        <w:tc>
          <w:tcPr>
            <w:tcW w:w="1105" w:type="dxa"/>
            <w:tcBorders>
              <w:top w:val="single" w:sz="4" w:space="0" w:color="auto"/>
              <w:left w:val="nil"/>
              <w:bottom w:val="single" w:sz="4" w:space="0" w:color="auto"/>
              <w:right w:val="nil"/>
            </w:tcBorders>
            <w:noWrap/>
            <w:hideMark/>
          </w:tcPr>
          <w:p w14:paraId="411FEF36" w14:textId="77777777" w:rsidR="00F91E07" w:rsidRPr="00A5625B" w:rsidRDefault="00F91E07" w:rsidP="002C177E">
            <w:pPr>
              <w:spacing w:line="240" w:lineRule="auto"/>
              <w:rPr>
                <w:rFonts w:eastAsia="Times New Roman"/>
                <w:b/>
                <w:bCs/>
                <w:color w:val="000000"/>
                <w:sz w:val="20"/>
                <w:lang w:val="en-GB"/>
              </w:rPr>
            </w:pPr>
            <w:r w:rsidRPr="00A5625B">
              <w:rPr>
                <w:rFonts w:eastAsia="Times New Roman"/>
                <w:b/>
                <w:bCs/>
                <w:color w:val="000000"/>
                <w:sz w:val="20"/>
                <w:lang w:val="en-GB"/>
              </w:rPr>
              <w:t>NAFLD</w:t>
            </w:r>
          </w:p>
          <w:p w14:paraId="0128CCB4" w14:textId="77777777" w:rsidR="00F91E07" w:rsidRPr="00A5625B" w:rsidRDefault="00F91E07" w:rsidP="002C177E">
            <w:pPr>
              <w:spacing w:line="240" w:lineRule="auto"/>
              <w:rPr>
                <w:rFonts w:eastAsia="Times New Roman"/>
                <w:b/>
                <w:bCs/>
                <w:color w:val="000000"/>
                <w:sz w:val="20"/>
                <w:lang w:val="en-GB"/>
              </w:rPr>
            </w:pPr>
            <w:r w:rsidRPr="00A5625B">
              <w:rPr>
                <w:rFonts w:eastAsia="Times New Roman"/>
                <w:b/>
                <w:bCs/>
                <w:color w:val="000000"/>
                <w:sz w:val="20"/>
                <w:lang w:val="en-GB"/>
              </w:rPr>
              <w:t>n, (%)</w:t>
            </w:r>
          </w:p>
        </w:tc>
        <w:tc>
          <w:tcPr>
            <w:tcW w:w="1235" w:type="dxa"/>
            <w:tcBorders>
              <w:top w:val="single" w:sz="4" w:space="0" w:color="auto"/>
              <w:left w:val="nil"/>
              <w:bottom w:val="single" w:sz="4" w:space="0" w:color="auto"/>
              <w:right w:val="nil"/>
            </w:tcBorders>
            <w:noWrap/>
            <w:hideMark/>
          </w:tcPr>
          <w:p w14:paraId="1541BFF4" w14:textId="77777777" w:rsidR="00F91E07" w:rsidRPr="00A5625B" w:rsidRDefault="00F91E07" w:rsidP="002C177E">
            <w:pPr>
              <w:spacing w:line="240" w:lineRule="auto"/>
              <w:rPr>
                <w:rFonts w:eastAsia="Times New Roman"/>
                <w:b/>
                <w:bCs/>
                <w:color w:val="000000"/>
                <w:sz w:val="20"/>
                <w:lang w:val="en-GB"/>
              </w:rPr>
            </w:pPr>
            <w:r w:rsidRPr="00A5625B">
              <w:rPr>
                <w:rFonts w:eastAsia="Times New Roman"/>
                <w:b/>
                <w:bCs/>
                <w:color w:val="000000"/>
                <w:sz w:val="20"/>
                <w:lang w:val="en-GB"/>
              </w:rPr>
              <w:t>No NAFLD</w:t>
            </w:r>
          </w:p>
          <w:p w14:paraId="166DADB7" w14:textId="77777777" w:rsidR="00F91E07" w:rsidRPr="00A5625B" w:rsidRDefault="00F91E07" w:rsidP="002C177E">
            <w:pPr>
              <w:spacing w:line="240" w:lineRule="auto"/>
              <w:rPr>
                <w:rFonts w:eastAsia="Times New Roman"/>
                <w:b/>
                <w:bCs/>
                <w:color w:val="000000"/>
                <w:sz w:val="20"/>
                <w:lang w:val="en-GB"/>
              </w:rPr>
            </w:pPr>
            <w:r w:rsidRPr="00A5625B">
              <w:rPr>
                <w:rFonts w:eastAsia="Times New Roman"/>
                <w:b/>
                <w:bCs/>
                <w:color w:val="000000"/>
                <w:sz w:val="20"/>
                <w:lang w:val="en-GB"/>
              </w:rPr>
              <w:t>n, (%)</w:t>
            </w:r>
          </w:p>
        </w:tc>
        <w:tc>
          <w:tcPr>
            <w:tcW w:w="1103" w:type="dxa"/>
            <w:tcBorders>
              <w:top w:val="single" w:sz="4" w:space="0" w:color="auto"/>
              <w:left w:val="nil"/>
              <w:bottom w:val="single" w:sz="4" w:space="0" w:color="auto"/>
              <w:right w:val="nil"/>
            </w:tcBorders>
          </w:tcPr>
          <w:p w14:paraId="08ADFBB2" w14:textId="77777777" w:rsidR="00F91E07" w:rsidRPr="00A5625B" w:rsidRDefault="00F91E07" w:rsidP="002C177E">
            <w:pPr>
              <w:spacing w:line="240" w:lineRule="auto"/>
              <w:jc w:val="center"/>
              <w:rPr>
                <w:b/>
                <w:bCs/>
                <w:color w:val="000000"/>
                <w:sz w:val="20"/>
              </w:rPr>
            </w:pPr>
            <w:r w:rsidRPr="00A5625B">
              <w:rPr>
                <w:b/>
                <w:bCs/>
                <w:color w:val="000000"/>
                <w:sz w:val="20"/>
              </w:rPr>
              <w:t>Total</w:t>
            </w:r>
          </w:p>
          <w:p w14:paraId="159D8BF5" w14:textId="77777777" w:rsidR="00F91E07" w:rsidRPr="00A5625B" w:rsidRDefault="00F91E07" w:rsidP="002C177E">
            <w:pPr>
              <w:spacing w:line="240" w:lineRule="auto"/>
              <w:jc w:val="center"/>
              <w:rPr>
                <w:b/>
                <w:bCs/>
                <w:color w:val="000000"/>
                <w:sz w:val="20"/>
              </w:rPr>
            </w:pPr>
            <w:r w:rsidRPr="00A5625B">
              <w:rPr>
                <w:b/>
                <w:bCs/>
                <w:color w:val="000000"/>
                <w:sz w:val="20"/>
              </w:rPr>
              <w:t>n, (%)</w:t>
            </w:r>
          </w:p>
        </w:tc>
        <w:tc>
          <w:tcPr>
            <w:tcW w:w="1678" w:type="dxa"/>
            <w:tcBorders>
              <w:top w:val="single" w:sz="4" w:space="0" w:color="auto"/>
              <w:left w:val="nil"/>
              <w:bottom w:val="single" w:sz="4" w:space="0" w:color="auto"/>
              <w:right w:val="nil"/>
            </w:tcBorders>
            <w:noWrap/>
            <w:hideMark/>
          </w:tcPr>
          <w:p w14:paraId="580EFF3F" w14:textId="77777777" w:rsidR="00F91E07" w:rsidRPr="00A5625B" w:rsidRDefault="00F91E07" w:rsidP="002C177E">
            <w:pPr>
              <w:spacing w:line="240" w:lineRule="auto"/>
              <w:rPr>
                <w:rFonts w:eastAsia="Times New Roman"/>
                <w:b/>
                <w:bCs/>
                <w:color w:val="000000"/>
                <w:sz w:val="20"/>
                <w:lang w:val="en-GB"/>
              </w:rPr>
            </w:pPr>
            <w:r w:rsidRPr="00A5625B">
              <w:rPr>
                <w:rFonts w:eastAsia="Times New Roman"/>
                <w:b/>
                <w:bCs/>
                <w:color w:val="000000"/>
                <w:sz w:val="20"/>
                <w:lang w:val="en-GB"/>
              </w:rPr>
              <w:t xml:space="preserve">Chi-square </w:t>
            </w:r>
          </w:p>
          <w:p w14:paraId="5262EFC9" w14:textId="77777777" w:rsidR="00F91E07" w:rsidRPr="00A5625B" w:rsidRDefault="00F91E07" w:rsidP="002C177E">
            <w:pPr>
              <w:spacing w:line="240" w:lineRule="auto"/>
              <w:rPr>
                <w:rFonts w:eastAsia="Times New Roman"/>
                <w:b/>
                <w:bCs/>
                <w:color w:val="000000"/>
                <w:sz w:val="20"/>
                <w:lang w:val="en-GB"/>
              </w:rPr>
            </w:pPr>
            <w:r w:rsidRPr="00A5625B">
              <w:rPr>
                <w:rFonts w:eastAsia="Times New Roman"/>
                <w:b/>
                <w:bCs/>
                <w:color w:val="000000"/>
                <w:sz w:val="20"/>
                <w:lang w:val="en-GB"/>
              </w:rPr>
              <w:t>(p-value)</w:t>
            </w:r>
          </w:p>
        </w:tc>
        <w:tc>
          <w:tcPr>
            <w:tcW w:w="1480" w:type="dxa"/>
            <w:tcBorders>
              <w:top w:val="single" w:sz="4" w:space="0" w:color="auto"/>
              <w:left w:val="nil"/>
              <w:bottom w:val="single" w:sz="4" w:space="0" w:color="auto"/>
              <w:right w:val="nil"/>
            </w:tcBorders>
          </w:tcPr>
          <w:p w14:paraId="3895D6B9" w14:textId="77777777" w:rsidR="00F91E07" w:rsidRPr="00A5625B" w:rsidRDefault="00F91E07" w:rsidP="002C177E">
            <w:pPr>
              <w:spacing w:line="240" w:lineRule="auto"/>
              <w:rPr>
                <w:b/>
                <w:bCs/>
                <w:color w:val="000000"/>
                <w:sz w:val="20"/>
              </w:rPr>
            </w:pPr>
            <w:r w:rsidRPr="00A5625B">
              <w:rPr>
                <w:b/>
                <w:bCs/>
                <w:color w:val="000000"/>
                <w:sz w:val="20"/>
              </w:rPr>
              <w:t>OR (95% C.I)</w:t>
            </w:r>
          </w:p>
        </w:tc>
      </w:tr>
      <w:tr w:rsidR="00F91E07" w:rsidRPr="00026CF7" w14:paraId="385BC278" w14:textId="77777777" w:rsidTr="00A5625B">
        <w:trPr>
          <w:trHeight w:val="468"/>
          <w:jc w:val="center"/>
        </w:trPr>
        <w:tc>
          <w:tcPr>
            <w:tcW w:w="2520" w:type="dxa"/>
            <w:tcBorders>
              <w:top w:val="single" w:sz="4" w:space="0" w:color="auto"/>
              <w:left w:val="nil"/>
              <w:bottom w:val="nil"/>
              <w:right w:val="nil"/>
            </w:tcBorders>
            <w:noWrap/>
          </w:tcPr>
          <w:p w14:paraId="35F902C1" w14:textId="77777777" w:rsidR="00F91E07" w:rsidRPr="00026CF7" w:rsidRDefault="00F91E07" w:rsidP="002C177E">
            <w:pPr>
              <w:spacing w:line="240" w:lineRule="auto"/>
              <w:rPr>
                <w:color w:val="000000"/>
                <w:sz w:val="20"/>
              </w:rPr>
            </w:pPr>
            <w:r w:rsidRPr="00026CF7">
              <w:rPr>
                <w:rFonts w:eastAsia="Times New Roman"/>
                <w:b/>
                <w:bCs/>
                <w:color w:val="000000"/>
                <w:sz w:val="20"/>
                <w:lang w:val="en-GB"/>
              </w:rPr>
              <w:t>Glycated haemoglobin</w:t>
            </w:r>
          </w:p>
        </w:tc>
        <w:tc>
          <w:tcPr>
            <w:tcW w:w="1105" w:type="dxa"/>
            <w:tcBorders>
              <w:top w:val="single" w:sz="4" w:space="0" w:color="auto"/>
              <w:left w:val="nil"/>
              <w:bottom w:val="nil"/>
              <w:right w:val="nil"/>
            </w:tcBorders>
            <w:noWrap/>
            <w:vAlign w:val="bottom"/>
          </w:tcPr>
          <w:p w14:paraId="2CEB844D" w14:textId="77777777" w:rsidR="00F91E07" w:rsidRPr="00026CF7" w:rsidRDefault="00F91E07" w:rsidP="002C177E">
            <w:pPr>
              <w:spacing w:line="240" w:lineRule="auto"/>
              <w:rPr>
                <w:color w:val="000000"/>
                <w:sz w:val="20"/>
              </w:rPr>
            </w:pPr>
          </w:p>
        </w:tc>
        <w:tc>
          <w:tcPr>
            <w:tcW w:w="1235" w:type="dxa"/>
            <w:tcBorders>
              <w:top w:val="single" w:sz="4" w:space="0" w:color="auto"/>
              <w:left w:val="nil"/>
              <w:bottom w:val="nil"/>
              <w:right w:val="nil"/>
            </w:tcBorders>
            <w:noWrap/>
            <w:vAlign w:val="bottom"/>
          </w:tcPr>
          <w:p w14:paraId="623F3DCF" w14:textId="77777777" w:rsidR="00F91E07" w:rsidRPr="00026CF7" w:rsidRDefault="00F91E07" w:rsidP="002C177E">
            <w:pPr>
              <w:spacing w:line="240" w:lineRule="auto"/>
              <w:rPr>
                <w:color w:val="000000"/>
                <w:sz w:val="20"/>
              </w:rPr>
            </w:pPr>
          </w:p>
        </w:tc>
        <w:tc>
          <w:tcPr>
            <w:tcW w:w="1103" w:type="dxa"/>
            <w:tcBorders>
              <w:top w:val="single" w:sz="4" w:space="0" w:color="auto"/>
              <w:left w:val="nil"/>
              <w:bottom w:val="nil"/>
              <w:right w:val="nil"/>
            </w:tcBorders>
            <w:vAlign w:val="bottom"/>
          </w:tcPr>
          <w:p w14:paraId="2F33251D" w14:textId="77777777" w:rsidR="00F91E07" w:rsidRPr="00026CF7" w:rsidRDefault="00F91E07" w:rsidP="002C177E">
            <w:pPr>
              <w:spacing w:line="240" w:lineRule="auto"/>
              <w:jc w:val="center"/>
              <w:rPr>
                <w:b/>
                <w:bCs/>
                <w:color w:val="000000"/>
                <w:sz w:val="20"/>
              </w:rPr>
            </w:pPr>
          </w:p>
        </w:tc>
        <w:tc>
          <w:tcPr>
            <w:tcW w:w="1678" w:type="dxa"/>
            <w:tcBorders>
              <w:top w:val="single" w:sz="4" w:space="0" w:color="auto"/>
              <w:left w:val="nil"/>
              <w:bottom w:val="nil"/>
              <w:right w:val="nil"/>
            </w:tcBorders>
            <w:noWrap/>
          </w:tcPr>
          <w:p w14:paraId="58238720" w14:textId="77777777" w:rsidR="00F91E07" w:rsidRPr="00026CF7" w:rsidRDefault="00F91E07" w:rsidP="002C177E">
            <w:pPr>
              <w:spacing w:line="240" w:lineRule="auto"/>
              <w:jc w:val="center"/>
              <w:rPr>
                <w:color w:val="000000"/>
                <w:sz w:val="20"/>
              </w:rPr>
            </w:pPr>
          </w:p>
        </w:tc>
        <w:tc>
          <w:tcPr>
            <w:tcW w:w="1480" w:type="dxa"/>
            <w:tcBorders>
              <w:top w:val="single" w:sz="4" w:space="0" w:color="auto"/>
              <w:left w:val="nil"/>
              <w:bottom w:val="nil"/>
              <w:right w:val="nil"/>
            </w:tcBorders>
          </w:tcPr>
          <w:p w14:paraId="6603BC4D" w14:textId="77777777" w:rsidR="00F91E07" w:rsidRPr="00026CF7" w:rsidRDefault="00F91E07" w:rsidP="002C177E">
            <w:pPr>
              <w:spacing w:line="240" w:lineRule="auto"/>
              <w:jc w:val="center"/>
              <w:rPr>
                <w:color w:val="000000"/>
                <w:sz w:val="20"/>
              </w:rPr>
            </w:pPr>
          </w:p>
        </w:tc>
      </w:tr>
      <w:tr w:rsidR="00F91E07" w:rsidRPr="00026CF7" w14:paraId="7EF5FB51" w14:textId="77777777" w:rsidTr="00A5625B">
        <w:trPr>
          <w:trHeight w:val="468"/>
          <w:jc w:val="center"/>
        </w:trPr>
        <w:tc>
          <w:tcPr>
            <w:tcW w:w="2520" w:type="dxa"/>
            <w:tcBorders>
              <w:top w:val="nil"/>
              <w:left w:val="nil"/>
              <w:bottom w:val="nil"/>
              <w:right w:val="nil"/>
            </w:tcBorders>
            <w:noWrap/>
          </w:tcPr>
          <w:p w14:paraId="33405009" w14:textId="77777777" w:rsidR="00F91E07" w:rsidRPr="00026CF7" w:rsidRDefault="00F91E07" w:rsidP="002C177E">
            <w:pPr>
              <w:spacing w:line="240" w:lineRule="auto"/>
              <w:jc w:val="left"/>
              <w:rPr>
                <w:rFonts w:eastAsia="Times New Roman"/>
                <w:color w:val="000000"/>
                <w:sz w:val="20"/>
                <w:lang w:val="en-GB"/>
              </w:rPr>
            </w:pPr>
            <w:r w:rsidRPr="00026CF7">
              <w:rPr>
                <w:rFonts w:eastAsia="Times New Roman"/>
                <w:color w:val="000000"/>
                <w:sz w:val="20"/>
                <w:lang w:val="en-GB"/>
              </w:rPr>
              <w:t>Uncontrolled (&gt;7%)</w:t>
            </w:r>
          </w:p>
        </w:tc>
        <w:tc>
          <w:tcPr>
            <w:tcW w:w="1105" w:type="dxa"/>
            <w:tcBorders>
              <w:top w:val="nil"/>
              <w:left w:val="nil"/>
              <w:bottom w:val="nil"/>
              <w:right w:val="nil"/>
            </w:tcBorders>
            <w:noWrap/>
            <w:hideMark/>
          </w:tcPr>
          <w:p w14:paraId="454B25F6" w14:textId="77777777" w:rsidR="00F91E07" w:rsidRPr="00026CF7" w:rsidRDefault="00F91E07" w:rsidP="002C177E">
            <w:pPr>
              <w:spacing w:line="240" w:lineRule="auto"/>
              <w:jc w:val="left"/>
              <w:rPr>
                <w:rFonts w:eastAsia="Times New Roman"/>
                <w:color w:val="000000"/>
                <w:sz w:val="20"/>
                <w:lang w:val="en-GB"/>
              </w:rPr>
            </w:pPr>
            <w:r w:rsidRPr="00026CF7">
              <w:rPr>
                <w:color w:val="000000"/>
                <w:sz w:val="20"/>
              </w:rPr>
              <w:t>44(44.4)</w:t>
            </w:r>
          </w:p>
        </w:tc>
        <w:tc>
          <w:tcPr>
            <w:tcW w:w="1235" w:type="dxa"/>
            <w:tcBorders>
              <w:top w:val="nil"/>
              <w:left w:val="nil"/>
              <w:bottom w:val="nil"/>
              <w:right w:val="nil"/>
            </w:tcBorders>
            <w:noWrap/>
            <w:hideMark/>
          </w:tcPr>
          <w:p w14:paraId="6EFC2D26" w14:textId="77777777" w:rsidR="00F91E07" w:rsidRPr="00026CF7" w:rsidRDefault="00F91E07" w:rsidP="002C177E">
            <w:pPr>
              <w:spacing w:line="240" w:lineRule="auto"/>
              <w:jc w:val="left"/>
              <w:rPr>
                <w:rFonts w:eastAsia="Times New Roman"/>
                <w:color w:val="000000"/>
                <w:sz w:val="20"/>
                <w:lang w:val="en-GB"/>
              </w:rPr>
            </w:pPr>
            <w:r w:rsidRPr="00026CF7">
              <w:rPr>
                <w:color w:val="000000"/>
                <w:sz w:val="20"/>
              </w:rPr>
              <w:t>55(55.6)</w:t>
            </w:r>
          </w:p>
        </w:tc>
        <w:tc>
          <w:tcPr>
            <w:tcW w:w="1103" w:type="dxa"/>
            <w:tcBorders>
              <w:top w:val="nil"/>
              <w:left w:val="nil"/>
              <w:bottom w:val="nil"/>
              <w:right w:val="nil"/>
            </w:tcBorders>
          </w:tcPr>
          <w:p w14:paraId="5B5D0264" w14:textId="77777777" w:rsidR="00F91E07" w:rsidRPr="00026CF7" w:rsidRDefault="00F91E07" w:rsidP="002C177E">
            <w:pPr>
              <w:spacing w:line="240" w:lineRule="auto"/>
              <w:jc w:val="left"/>
              <w:rPr>
                <w:b/>
                <w:bCs/>
                <w:color w:val="000000"/>
                <w:sz w:val="20"/>
              </w:rPr>
            </w:pPr>
            <w:r w:rsidRPr="00026CF7">
              <w:rPr>
                <w:b/>
                <w:bCs/>
                <w:color w:val="000000"/>
                <w:sz w:val="20"/>
              </w:rPr>
              <w:t>99(100.0)</w:t>
            </w:r>
          </w:p>
        </w:tc>
        <w:tc>
          <w:tcPr>
            <w:tcW w:w="1678" w:type="dxa"/>
            <w:vMerge w:val="restart"/>
            <w:tcBorders>
              <w:top w:val="nil"/>
              <w:left w:val="nil"/>
              <w:bottom w:val="nil"/>
              <w:right w:val="nil"/>
            </w:tcBorders>
            <w:noWrap/>
            <w:hideMark/>
          </w:tcPr>
          <w:p w14:paraId="1A318C46" w14:textId="77777777" w:rsidR="00F91E07" w:rsidRPr="00026CF7" w:rsidRDefault="00F91E07" w:rsidP="002C177E">
            <w:pPr>
              <w:spacing w:line="240" w:lineRule="auto"/>
              <w:jc w:val="center"/>
              <w:rPr>
                <w:rFonts w:eastAsia="Times New Roman"/>
                <w:color w:val="000000"/>
                <w:sz w:val="20"/>
                <w:lang w:val="en-GB"/>
              </w:rPr>
            </w:pPr>
            <w:r>
              <w:rPr>
                <w:rFonts w:eastAsia="Times New Roman"/>
                <w:color w:val="000000"/>
                <w:sz w:val="20"/>
                <w:lang w:val="en-GB"/>
              </w:rPr>
              <w:t>18.36(0.0001</w:t>
            </w:r>
            <w:r w:rsidRPr="00026CF7">
              <w:rPr>
                <w:rFonts w:eastAsia="Times New Roman"/>
                <w:color w:val="000000"/>
                <w:sz w:val="20"/>
                <w:lang w:val="en-GB"/>
              </w:rPr>
              <w:t>)*</w:t>
            </w:r>
          </w:p>
        </w:tc>
        <w:tc>
          <w:tcPr>
            <w:tcW w:w="1480" w:type="dxa"/>
            <w:tcBorders>
              <w:top w:val="nil"/>
              <w:left w:val="nil"/>
              <w:bottom w:val="nil"/>
              <w:right w:val="nil"/>
            </w:tcBorders>
          </w:tcPr>
          <w:p w14:paraId="79DF1A04" w14:textId="77777777" w:rsidR="00F91E07" w:rsidRPr="00026CF7" w:rsidRDefault="00F91E07" w:rsidP="002C177E">
            <w:pPr>
              <w:spacing w:line="240" w:lineRule="auto"/>
              <w:jc w:val="center"/>
              <w:rPr>
                <w:color w:val="000000"/>
                <w:sz w:val="20"/>
              </w:rPr>
            </w:pPr>
            <w:r>
              <w:rPr>
                <w:color w:val="000000"/>
                <w:sz w:val="20"/>
              </w:rPr>
              <w:t>7.3 (2.6 – 20.1)</w:t>
            </w:r>
          </w:p>
        </w:tc>
      </w:tr>
      <w:tr w:rsidR="00F91E07" w:rsidRPr="00026CF7" w14:paraId="45D9BC03" w14:textId="77777777" w:rsidTr="00A5625B">
        <w:trPr>
          <w:trHeight w:val="468"/>
          <w:jc w:val="center"/>
        </w:trPr>
        <w:tc>
          <w:tcPr>
            <w:tcW w:w="2520" w:type="dxa"/>
            <w:tcBorders>
              <w:top w:val="nil"/>
              <w:left w:val="nil"/>
              <w:bottom w:val="nil"/>
              <w:right w:val="nil"/>
            </w:tcBorders>
            <w:noWrap/>
          </w:tcPr>
          <w:p w14:paraId="3DB759F9" w14:textId="77777777" w:rsidR="00F91E07" w:rsidRPr="00026CF7" w:rsidRDefault="00F91E07" w:rsidP="002C177E">
            <w:pPr>
              <w:spacing w:line="240" w:lineRule="auto"/>
              <w:jc w:val="left"/>
              <w:rPr>
                <w:rFonts w:eastAsia="Times New Roman"/>
                <w:color w:val="000000"/>
                <w:sz w:val="20"/>
                <w:lang w:val="en-GB"/>
              </w:rPr>
            </w:pPr>
            <w:r w:rsidRPr="00026CF7">
              <w:rPr>
                <w:rFonts w:eastAsia="Times New Roman"/>
                <w:color w:val="000000"/>
                <w:sz w:val="20"/>
                <w:lang w:val="en-GB"/>
              </w:rPr>
              <w:t>Controlled (&lt;7%)</w:t>
            </w:r>
          </w:p>
        </w:tc>
        <w:tc>
          <w:tcPr>
            <w:tcW w:w="1105" w:type="dxa"/>
            <w:tcBorders>
              <w:top w:val="nil"/>
              <w:left w:val="nil"/>
              <w:bottom w:val="nil"/>
              <w:right w:val="nil"/>
            </w:tcBorders>
            <w:noWrap/>
            <w:hideMark/>
          </w:tcPr>
          <w:p w14:paraId="3E036F90" w14:textId="77777777" w:rsidR="00F91E07" w:rsidRPr="00026CF7" w:rsidRDefault="00F91E07" w:rsidP="002C177E">
            <w:pPr>
              <w:spacing w:line="240" w:lineRule="auto"/>
              <w:jc w:val="left"/>
              <w:rPr>
                <w:rFonts w:eastAsia="Times New Roman"/>
                <w:color w:val="000000"/>
                <w:sz w:val="20"/>
                <w:lang w:val="en-GB"/>
              </w:rPr>
            </w:pPr>
            <w:r w:rsidRPr="00026CF7">
              <w:rPr>
                <w:color w:val="000000"/>
                <w:sz w:val="20"/>
              </w:rPr>
              <w:t>5(9.8)</w:t>
            </w:r>
          </w:p>
        </w:tc>
        <w:tc>
          <w:tcPr>
            <w:tcW w:w="1235" w:type="dxa"/>
            <w:tcBorders>
              <w:top w:val="nil"/>
              <w:left w:val="nil"/>
              <w:bottom w:val="nil"/>
              <w:right w:val="nil"/>
            </w:tcBorders>
            <w:noWrap/>
            <w:hideMark/>
          </w:tcPr>
          <w:p w14:paraId="24DBB371" w14:textId="77777777" w:rsidR="00F91E07" w:rsidRPr="00026CF7" w:rsidRDefault="00F91E07" w:rsidP="002C177E">
            <w:pPr>
              <w:spacing w:line="240" w:lineRule="auto"/>
              <w:jc w:val="left"/>
              <w:rPr>
                <w:rFonts w:eastAsia="Times New Roman"/>
                <w:color w:val="000000"/>
                <w:sz w:val="20"/>
                <w:lang w:val="en-GB"/>
              </w:rPr>
            </w:pPr>
            <w:r w:rsidRPr="00026CF7">
              <w:rPr>
                <w:color w:val="000000"/>
                <w:sz w:val="20"/>
              </w:rPr>
              <w:t>46(90.2)</w:t>
            </w:r>
          </w:p>
        </w:tc>
        <w:tc>
          <w:tcPr>
            <w:tcW w:w="1103" w:type="dxa"/>
            <w:tcBorders>
              <w:top w:val="nil"/>
              <w:left w:val="nil"/>
              <w:bottom w:val="nil"/>
              <w:right w:val="nil"/>
            </w:tcBorders>
          </w:tcPr>
          <w:p w14:paraId="1B7FBE82" w14:textId="77777777" w:rsidR="00F91E07" w:rsidRPr="00026CF7" w:rsidRDefault="00F91E07" w:rsidP="002C177E">
            <w:pPr>
              <w:spacing w:line="240" w:lineRule="auto"/>
              <w:jc w:val="left"/>
              <w:rPr>
                <w:b/>
                <w:bCs/>
                <w:color w:val="000000"/>
                <w:sz w:val="20"/>
              </w:rPr>
            </w:pPr>
            <w:r w:rsidRPr="00026CF7">
              <w:rPr>
                <w:b/>
                <w:bCs/>
                <w:color w:val="000000"/>
                <w:sz w:val="20"/>
              </w:rPr>
              <w:t>51(100.0)</w:t>
            </w:r>
          </w:p>
        </w:tc>
        <w:tc>
          <w:tcPr>
            <w:tcW w:w="1678" w:type="dxa"/>
            <w:vMerge/>
            <w:tcBorders>
              <w:top w:val="nil"/>
              <w:left w:val="nil"/>
              <w:bottom w:val="nil"/>
              <w:right w:val="nil"/>
            </w:tcBorders>
            <w:noWrap/>
            <w:hideMark/>
          </w:tcPr>
          <w:p w14:paraId="0EBC4D82" w14:textId="77777777" w:rsidR="00F91E07" w:rsidRPr="00026CF7" w:rsidRDefault="00F91E07" w:rsidP="002C177E">
            <w:pPr>
              <w:spacing w:line="240" w:lineRule="auto"/>
              <w:jc w:val="center"/>
              <w:rPr>
                <w:rFonts w:eastAsia="Times New Roman"/>
                <w:color w:val="000000"/>
                <w:sz w:val="20"/>
                <w:lang w:val="en-GB"/>
              </w:rPr>
            </w:pPr>
          </w:p>
        </w:tc>
        <w:tc>
          <w:tcPr>
            <w:tcW w:w="1480" w:type="dxa"/>
            <w:tcBorders>
              <w:top w:val="nil"/>
              <w:left w:val="nil"/>
              <w:bottom w:val="nil"/>
              <w:right w:val="nil"/>
            </w:tcBorders>
          </w:tcPr>
          <w:p w14:paraId="68F62441" w14:textId="77777777" w:rsidR="00F91E07" w:rsidRPr="00026CF7" w:rsidRDefault="00F91E07" w:rsidP="002C177E">
            <w:pPr>
              <w:spacing w:line="240" w:lineRule="auto"/>
              <w:jc w:val="center"/>
              <w:rPr>
                <w:color w:val="000000"/>
                <w:sz w:val="20"/>
              </w:rPr>
            </w:pPr>
          </w:p>
        </w:tc>
      </w:tr>
      <w:tr w:rsidR="00F91E07" w:rsidRPr="00026CF7" w14:paraId="5B3F31CC" w14:textId="77777777" w:rsidTr="00A5625B">
        <w:trPr>
          <w:trHeight w:val="468"/>
          <w:jc w:val="center"/>
        </w:trPr>
        <w:tc>
          <w:tcPr>
            <w:tcW w:w="2520" w:type="dxa"/>
            <w:tcBorders>
              <w:top w:val="nil"/>
              <w:left w:val="nil"/>
              <w:bottom w:val="nil"/>
              <w:right w:val="nil"/>
            </w:tcBorders>
            <w:noWrap/>
          </w:tcPr>
          <w:p w14:paraId="4D0E963B" w14:textId="77777777" w:rsidR="00F91E07" w:rsidRPr="00026CF7" w:rsidRDefault="00F91E07" w:rsidP="002C177E">
            <w:pPr>
              <w:spacing w:line="240" w:lineRule="auto"/>
              <w:jc w:val="left"/>
              <w:rPr>
                <w:color w:val="000000"/>
                <w:sz w:val="20"/>
              </w:rPr>
            </w:pPr>
            <w:r w:rsidRPr="00026CF7">
              <w:rPr>
                <w:rFonts w:eastAsia="Times New Roman"/>
                <w:b/>
                <w:bCs/>
                <w:color w:val="000000"/>
                <w:sz w:val="20"/>
                <w:lang w:val="en-GB"/>
              </w:rPr>
              <w:t>Triglyceride</w:t>
            </w:r>
          </w:p>
        </w:tc>
        <w:tc>
          <w:tcPr>
            <w:tcW w:w="1105" w:type="dxa"/>
            <w:tcBorders>
              <w:top w:val="nil"/>
              <w:left w:val="nil"/>
              <w:bottom w:val="nil"/>
              <w:right w:val="nil"/>
            </w:tcBorders>
            <w:noWrap/>
          </w:tcPr>
          <w:p w14:paraId="43A638CA" w14:textId="77777777" w:rsidR="00F91E07" w:rsidRPr="00026CF7" w:rsidRDefault="00F91E07" w:rsidP="002C177E">
            <w:pPr>
              <w:spacing w:line="240" w:lineRule="auto"/>
              <w:jc w:val="left"/>
              <w:rPr>
                <w:color w:val="000000"/>
                <w:sz w:val="20"/>
              </w:rPr>
            </w:pPr>
          </w:p>
        </w:tc>
        <w:tc>
          <w:tcPr>
            <w:tcW w:w="1235" w:type="dxa"/>
            <w:tcBorders>
              <w:top w:val="nil"/>
              <w:left w:val="nil"/>
              <w:bottom w:val="nil"/>
              <w:right w:val="nil"/>
            </w:tcBorders>
            <w:noWrap/>
          </w:tcPr>
          <w:p w14:paraId="5ADD71AD" w14:textId="77777777" w:rsidR="00F91E07" w:rsidRPr="00026CF7" w:rsidRDefault="00F91E07" w:rsidP="002C177E">
            <w:pPr>
              <w:spacing w:line="240" w:lineRule="auto"/>
              <w:jc w:val="left"/>
              <w:rPr>
                <w:color w:val="000000"/>
                <w:sz w:val="20"/>
              </w:rPr>
            </w:pPr>
          </w:p>
        </w:tc>
        <w:tc>
          <w:tcPr>
            <w:tcW w:w="1103" w:type="dxa"/>
            <w:tcBorders>
              <w:top w:val="nil"/>
              <w:left w:val="nil"/>
              <w:bottom w:val="nil"/>
              <w:right w:val="nil"/>
            </w:tcBorders>
          </w:tcPr>
          <w:p w14:paraId="7C5EE0F2" w14:textId="77777777" w:rsidR="00F91E07" w:rsidRPr="00026CF7" w:rsidRDefault="00F91E07" w:rsidP="002C177E">
            <w:pPr>
              <w:spacing w:line="240" w:lineRule="auto"/>
              <w:jc w:val="left"/>
              <w:rPr>
                <w:b/>
                <w:bCs/>
                <w:color w:val="000000"/>
                <w:sz w:val="20"/>
              </w:rPr>
            </w:pPr>
          </w:p>
        </w:tc>
        <w:tc>
          <w:tcPr>
            <w:tcW w:w="1678" w:type="dxa"/>
            <w:tcBorders>
              <w:top w:val="nil"/>
              <w:left w:val="nil"/>
              <w:bottom w:val="nil"/>
              <w:right w:val="nil"/>
            </w:tcBorders>
            <w:noWrap/>
          </w:tcPr>
          <w:p w14:paraId="5EE8A1B8" w14:textId="77777777" w:rsidR="00F91E07" w:rsidRPr="00026CF7" w:rsidRDefault="00F91E07" w:rsidP="002C177E">
            <w:pPr>
              <w:spacing w:line="240" w:lineRule="auto"/>
              <w:jc w:val="center"/>
              <w:rPr>
                <w:color w:val="000000"/>
                <w:sz w:val="20"/>
              </w:rPr>
            </w:pPr>
          </w:p>
        </w:tc>
        <w:tc>
          <w:tcPr>
            <w:tcW w:w="1480" w:type="dxa"/>
            <w:tcBorders>
              <w:top w:val="nil"/>
              <w:left w:val="nil"/>
              <w:bottom w:val="nil"/>
              <w:right w:val="nil"/>
            </w:tcBorders>
          </w:tcPr>
          <w:p w14:paraId="1D90E8C9" w14:textId="77777777" w:rsidR="00F91E07" w:rsidRPr="00026CF7" w:rsidRDefault="00F91E07" w:rsidP="002C177E">
            <w:pPr>
              <w:spacing w:line="240" w:lineRule="auto"/>
              <w:jc w:val="center"/>
              <w:rPr>
                <w:color w:val="000000"/>
                <w:sz w:val="20"/>
              </w:rPr>
            </w:pPr>
          </w:p>
        </w:tc>
      </w:tr>
      <w:tr w:rsidR="00F91E07" w:rsidRPr="00026CF7" w14:paraId="15D59DE9" w14:textId="77777777" w:rsidTr="00A5625B">
        <w:trPr>
          <w:trHeight w:val="468"/>
          <w:jc w:val="center"/>
        </w:trPr>
        <w:tc>
          <w:tcPr>
            <w:tcW w:w="2520" w:type="dxa"/>
            <w:tcBorders>
              <w:top w:val="nil"/>
              <w:left w:val="nil"/>
              <w:bottom w:val="nil"/>
              <w:right w:val="nil"/>
            </w:tcBorders>
            <w:noWrap/>
            <w:hideMark/>
          </w:tcPr>
          <w:p w14:paraId="22664397" w14:textId="77777777" w:rsidR="00F91E07" w:rsidRPr="00026CF7" w:rsidRDefault="00F91E07" w:rsidP="002C177E">
            <w:pPr>
              <w:spacing w:line="240" w:lineRule="auto"/>
              <w:jc w:val="left"/>
              <w:rPr>
                <w:rFonts w:eastAsia="Times New Roman"/>
                <w:color w:val="000000"/>
                <w:sz w:val="20"/>
                <w:lang w:val="en-GB"/>
              </w:rPr>
            </w:pPr>
            <w:r w:rsidRPr="00026CF7">
              <w:rPr>
                <w:rFonts w:eastAsia="Times New Roman"/>
                <w:color w:val="000000"/>
                <w:sz w:val="20"/>
                <w:lang w:val="en-GB"/>
              </w:rPr>
              <w:t>Elevated</w:t>
            </w:r>
          </w:p>
        </w:tc>
        <w:tc>
          <w:tcPr>
            <w:tcW w:w="1105" w:type="dxa"/>
            <w:tcBorders>
              <w:top w:val="nil"/>
              <w:left w:val="nil"/>
              <w:bottom w:val="nil"/>
              <w:right w:val="nil"/>
            </w:tcBorders>
            <w:noWrap/>
            <w:hideMark/>
          </w:tcPr>
          <w:p w14:paraId="483BC196" w14:textId="77777777" w:rsidR="00F91E07" w:rsidRPr="00026CF7" w:rsidRDefault="00F91E07" w:rsidP="002C177E">
            <w:pPr>
              <w:spacing w:line="240" w:lineRule="auto"/>
              <w:jc w:val="left"/>
              <w:rPr>
                <w:rFonts w:eastAsia="Times New Roman"/>
                <w:color w:val="000000"/>
                <w:sz w:val="20"/>
                <w:lang w:val="en-GB"/>
              </w:rPr>
            </w:pPr>
            <w:r w:rsidRPr="00026CF7">
              <w:rPr>
                <w:color w:val="000000"/>
                <w:sz w:val="20"/>
              </w:rPr>
              <w:t>10(66.7)</w:t>
            </w:r>
          </w:p>
        </w:tc>
        <w:tc>
          <w:tcPr>
            <w:tcW w:w="1235" w:type="dxa"/>
            <w:tcBorders>
              <w:top w:val="nil"/>
              <w:left w:val="nil"/>
              <w:bottom w:val="nil"/>
              <w:right w:val="nil"/>
            </w:tcBorders>
            <w:noWrap/>
            <w:hideMark/>
          </w:tcPr>
          <w:p w14:paraId="377E6724" w14:textId="77777777" w:rsidR="00F91E07" w:rsidRPr="00026CF7" w:rsidRDefault="00F91E07" w:rsidP="002C177E">
            <w:pPr>
              <w:spacing w:line="240" w:lineRule="auto"/>
              <w:jc w:val="left"/>
              <w:rPr>
                <w:rFonts w:eastAsia="Times New Roman"/>
                <w:color w:val="000000"/>
                <w:sz w:val="20"/>
                <w:lang w:val="en-GB"/>
              </w:rPr>
            </w:pPr>
            <w:r w:rsidRPr="00026CF7">
              <w:rPr>
                <w:color w:val="000000"/>
                <w:sz w:val="20"/>
              </w:rPr>
              <w:t>5(33.3)</w:t>
            </w:r>
          </w:p>
        </w:tc>
        <w:tc>
          <w:tcPr>
            <w:tcW w:w="1103" w:type="dxa"/>
            <w:tcBorders>
              <w:top w:val="nil"/>
              <w:left w:val="nil"/>
              <w:bottom w:val="nil"/>
              <w:right w:val="nil"/>
            </w:tcBorders>
          </w:tcPr>
          <w:p w14:paraId="0747AD25" w14:textId="77777777" w:rsidR="00F91E07" w:rsidRPr="00026CF7" w:rsidRDefault="00F91E07" w:rsidP="002C177E">
            <w:pPr>
              <w:spacing w:line="240" w:lineRule="auto"/>
              <w:jc w:val="left"/>
              <w:rPr>
                <w:b/>
                <w:bCs/>
                <w:color w:val="000000"/>
                <w:sz w:val="20"/>
              </w:rPr>
            </w:pPr>
            <w:r w:rsidRPr="00026CF7">
              <w:rPr>
                <w:b/>
                <w:bCs/>
                <w:color w:val="000000"/>
                <w:sz w:val="20"/>
              </w:rPr>
              <w:t>15(100.0)</w:t>
            </w:r>
          </w:p>
        </w:tc>
        <w:tc>
          <w:tcPr>
            <w:tcW w:w="1678" w:type="dxa"/>
            <w:vMerge w:val="restart"/>
            <w:tcBorders>
              <w:top w:val="nil"/>
              <w:left w:val="nil"/>
              <w:bottom w:val="nil"/>
              <w:right w:val="nil"/>
            </w:tcBorders>
            <w:noWrap/>
            <w:hideMark/>
          </w:tcPr>
          <w:p w14:paraId="63CA087B" w14:textId="77777777" w:rsidR="00F91E07" w:rsidRPr="00026CF7" w:rsidRDefault="00F91E07" w:rsidP="002C177E">
            <w:pPr>
              <w:spacing w:line="240" w:lineRule="auto"/>
              <w:jc w:val="center"/>
              <w:rPr>
                <w:rFonts w:eastAsia="Times New Roman"/>
                <w:color w:val="000000"/>
                <w:sz w:val="20"/>
                <w:lang w:val="en-GB"/>
              </w:rPr>
            </w:pPr>
            <w:r w:rsidRPr="00026CF7">
              <w:rPr>
                <w:rFonts w:eastAsia="Times New Roman"/>
                <w:color w:val="000000"/>
                <w:sz w:val="20"/>
                <w:lang w:val="en-GB"/>
              </w:rPr>
              <w:t>8.75 (0.0031)*</w:t>
            </w:r>
          </w:p>
        </w:tc>
        <w:tc>
          <w:tcPr>
            <w:tcW w:w="1480" w:type="dxa"/>
            <w:tcBorders>
              <w:top w:val="nil"/>
              <w:left w:val="nil"/>
              <w:bottom w:val="nil"/>
              <w:right w:val="nil"/>
            </w:tcBorders>
          </w:tcPr>
          <w:p w14:paraId="58B43EAF" w14:textId="77777777" w:rsidR="00F91E07" w:rsidRPr="00026CF7" w:rsidRDefault="00F91E07" w:rsidP="002C177E">
            <w:pPr>
              <w:spacing w:line="240" w:lineRule="auto"/>
              <w:jc w:val="center"/>
              <w:rPr>
                <w:color w:val="000000"/>
                <w:sz w:val="20"/>
              </w:rPr>
            </w:pPr>
            <w:r>
              <w:rPr>
                <w:color w:val="000000"/>
                <w:sz w:val="20"/>
              </w:rPr>
              <w:t>4.9 (1.5 – 15.3)</w:t>
            </w:r>
          </w:p>
        </w:tc>
      </w:tr>
      <w:tr w:rsidR="00F91E07" w:rsidRPr="00026CF7" w14:paraId="557A007D" w14:textId="77777777" w:rsidTr="00A5625B">
        <w:trPr>
          <w:trHeight w:val="468"/>
          <w:jc w:val="center"/>
        </w:trPr>
        <w:tc>
          <w:tcPr>
            <w:tcW w:w="2520" w:type="dxa"/>
            <w:tcBorders>
              <w:top w:val="nil"/>
              <w:left w:val="nil"/>
              <w:bottom w:val="nil"/>
              <w:right w:val="nil"/>
            </w:tcBorders>
            <w:noWrap/>
            <w:hideMark/>
          </w:tcPr>
          <w:p w14:paraId="3F17C16C" w14:textId="77777777" w:rsidR="00F91E07" w:rsidRPr="00026CF7" w:rsidRDefault="00F91E07" w:rsidP="002C177E">
            <w:pPr>
              <w:spacing w:line="240" w:lineRule="auto"/>
              <w:jc w:val="left"/>
              <w:rPr>
                <w:rFonts w:eastAsia="Times New Roman"/>
                <w:color w:val="000000"/>
                <w:sz w:val="20"/>
                <w:lang w:val="en-GB"/>
              </w:rPr>
            </w:pPr>
            <w:r w:rsidRPr="00026CF7">
              <w:rPr>
                <w:rFonts w:eastAsia="Times New Roman"/>
                <w:color w:val="000000"/>
                <w:sz w:val="20"/>
                <w:lang w:val="en-GB"/>
              </w:rPr>
              <w:t>Normal</w:t>
            </w:r>
          </w:p>
        </w:tc>
        <w:tc>
          <w:tcPr>
            <w:tcW w:w="1105" w:type="dxa"/>
            <w:tcBorders>
              <w:top w:val="nil"/>
              <w:left w:val="nil"/>
              <w:bottom w:val="nil"/>
              <w:right w:val="nil"/>
            </w:tcBorders>
            <w:noWrap/>
            <w:hideMark/>
          </w:tcPr>
          <w:p w14:paraId="0D64148B" w14:textId="77777777" w:rsidR="00F91E07" w:rsidRPr="00026CF7" w:rsidRDefault="00F91E07" w:rsidP="002C177E">
            <w:pPr>
              <w:spacing w:line="240" w:lineRule="auto"/>
              <w:jc w:val="left"/>
              <w:rPr>
                <w:rFonts w:eastAsia="Times New Roman"/>
                <w:color w:val="000000"/>
                <w:sz w:val="20"/>
                <w:lang w:val="en-GB"/>
              </w:rPr>
            </w:pPr>
            <w:r w:rsidRPr="00026CF7">
              <w:rPr>
                <w:color w:val="000000"/>
                <w:sz w:val="20"/>
              </w:rPr>
              <w:t>39(28.9)</w:t>
            </w:r>
          </w:p>
        </w:tc>
        <w:tc>
          <w:tcPr>
            <w:tcW w:w="1235" w:type="dxa"/>
            <w:tcBorders>
              <w:top w:val="nil"/>
              <w:left w:val="nil"/>
              <w:bottom w:val="nil"/>
              <w:right w:val="nil"/>
            </w:tcBorders>
            <w:noWrap/>
            <w:hideMark/>
          </w:tcPr>
          <w:p w14:paraId="5374D6D6" w14:textId="77777777" w:rsidR="00F91E07" w:rsidRPr="00026CF7" w:rsidRDefault="00F91E07" w:rsidP="002C177E">
            <w:pPr>
              <w:spacing w:line="240" w:lineRule="auto"/>
              <w:jc w:val="left"/>
              <w:rPr>
                <w:rFonts w:eastAsia="Times New Roman"/>
                <w:color w:val="000000"/>
                <w:sz w:val="20"/>
                <w:lang w:val="en-GB"/>
              </w:rPr>
            </w:pPr>
            <w:r w:rsidRPr="00026CF7">
              <w:rPr>
                <w:color w:val="000000"/>
                <w:sz w:val="20"/>
              </w:rPr>
              <w:t>96(71.1)</w:t>
            </w:r>
          </w:p>
        </w:tc>
        <w:tc>
          <w:tcPr>
            <w:tcW w:w="1103" w:type="dxa"/>
            <w:tcBorders>
              <w:top w:val="nil"/>
              <w:left w:val="nil"/>
              <w:bottom w:val="nil"/>
              <w:right w:val="nil"/>
            </w:tcBorders>
          </w:tcPr>
          <w:p w14:paraId="4462AE60" w14:textId="77777777" w:rsidR="00F91E07" w:rsidRPr="00026CF7" w:rsidRDefault="00F91E07" w:rsidP="002C177E">
            <w:pPr>
              <w:spacing w:line="240" w:lineRule="auto"/>
              <w:jc w:val="left"/>
              <w:rPr>
                <w:b/>
                <w:bCs/>
                <w:color w:val="000000"/>
                <w:sz w:val="20"/>
              </w:rPr>
            </w:pPr>
            <w:r w:rsidRPr="00026CF7">
              <w:rPr>
                <w:b/>
                <w:bCs/>
                <w:color w:val="000000"/>
                <w:sz w:val="20"/>
              </w:rPr>
              <w:t>135(100.0)</w:t>
            </w:r>
          </w:p>
        </w:tc>
        <w:tc>
          <w:tcPr>
            <w:tcW w:w="1678" w:type="dxa"/>
            <w:vMerge/>
            <w:tcBorders>
              <w:top w:val="nil"/>
              <w:left w:val="nil"/>
              <w:bottom w:val="nil"/>
              <w:right w:val="nil"/>
            </w:tcBorders>
            <w:noWrap/>
            <w:hideMark/>
          </w:tcPr>
          <w:p w14:paraId="18C88287" w14:textId="77777777" w:rsidR="00F91E07" w:rsidRPr="00026CF7" w:rsidRDefault="00F91E07" w:rsidP="002C177E">
            <w:pPr>
              <w:spacing w:line="240" w:lineRule="auto"/>
              <w:jc w:val="center"/>
              <w:rPr>
                <w:rFonts w:eastAsia="Times New Roman"/>
                <w:color w:val="000000"/>
                <w:sz w:val="20"/>
                <w:lang w:val="en-GB"/>
              </w:rPr>
            </w:pPr>
          </w:p>
        </w:tc>
        <w:tc>
          <w:tcPr>
            <w:tcW w:w="1480" w:type="dxa"/>
            <w:tcBorders>
              <w:top w:val="nil"/>
              <w:left w:val="nil"/>
              <w:bottom w:val="nil"/>
              <w:right w:val="nil"/>
            </w:tcBorders>
          </w:tcPr>
          <w:p w14:paraId="5F442CDD" w14:textId="77777777" w:rsidR="00F91E07" w:rsidRPr="00026CF7" w:rsidRDefault="00F91E07" w:rsidP="002C177E">
            <w:pPr>
              <w:spacing w:line="240" w:lineRule="auto"/>
              <w:jc w:val="center"/>
              <w:rPr>
                <w:color w:val="000000"/>
                <w:sz w:val="20"/>
              </w:rPr>
            </w:pPr>
          </w:p>
        </w:tc>
      </w:tr>
      <w:tr w:rsidR="00F91E07" w:rsidRPr="00026CF7" w14:paraId="10618859" w14:textId="77777777" w:rsidTr="00A5625B">
        <w:trPr>
          <w:trHeight w:val="468"/>
          <w:jc w:val="center"/>
        </w:trPr>
        <w:tc>
          <w:tcPr>
            <w:tcW w:w="2520" w:type="dxa"/>
            <w:tcBorders>
              <w:top w:val="nil"/>
              <w:left w:val="nil"/>
              <w:bottom w:val="nil"/>
              <w:right w:val="nil"/>
            </w:tcBorders>
            <w:noWrap/>
          </w:tcPr>
          <w:p w14:paraId="44718BF5" w14:textId="77777777" w:rsidR="00F91E07" w:rsidRPr="00026CF7" w:rsidRDefault="00F91E07" w:rsidP="002C177E">
            <w:pPr>
              <w:spacing w:line="240" w:lineRule="auto"/>
              <w:jc w:val="left"/>
              <w:rPr>
                <w:color w:val="000000"/>
                <w:sz w:val="20"/>
              </w:rPr>
            </w:pPr>
            <w:r w:rsidRPr="00026CF7">
              <w:rPr>
                <w:rFonts w:eastAsia="Times New Roman"/>
                <w:b/>
                <w:bCs/>
                <w:color w:val="000000"/>
                <w:sz w:val="20"/>
                <w:lang w:val="en-GB"/>
              </w:rPr>
              <w:t>High density lipoprotein</w:t>
            </w:r>
          </w:p>
        </w:tc>
        <w:tc>
          <w:tcPr>
            <w:tcW w:w="1105" w:type="dxa"/>
            <w:tcBorders>
              <w:top w:val="nil"/>
              <w:left w:val="nil"/>
              <w:bottom w:val="nil"/>
              <w:right w:val="nil"/>
            </w:tcBorders>
            <w:noWrap/>
          </w:tcPr>
          <w:p w14:paraId="531319F5" w14:textId="77777777" w:rsidR="00F91E07" w:rsidRPr="00026CF7" w:rsidRDefault="00F91E07" w:rsidP="002C177E">
            <w:pPr>
              <w:spacing w:line="240" w:lineRule="auto"/>
              <w:jc w:val="left"/>
              <w:rPr>
                <w:color w:val="000000"/>
                <w:sz w:val="20"/>
              </w:rPr>
            </w:pPr>
          </w:p>
        </w:tc>
        <w:tc>
          <w:tcPr>
            <w:tcW w:w="1235" w:type="dxa"/>
            <w:tcBorders>
              <w:top w:val="nil"/>
              <w:left w:val="nil"/>
              <w:bottom w:val="nil"/>
              <w:right w:val="nil"/>
            </w:tcBorders>
            <w:noWrap/>
          </w:tcPr>
          <w:p w14:paraId="1ED7B1AF" w14:textId="77777777" w:rsidR="00F91E07" w:rsidRPr="00026CF7" w:rsidRDefault="00F91E07" w:rsidP="002C177E">
            <w:pPr>
              <w:spacing w:line="240" w:lineRule="auto"/>
              <w:jc w:val="left"/>
              <w:rPr>
                <w:color w:val="000000"/>
                <w:sz w:val="20"/>
              </w:rPr>
            </w:pPr>
          </w:p>
        </w:tc>
        <w:tc>
          <w:tcPr>
            <w:tcW w:w="1103" w:type="dxa"/>
            <w:tcBorders>
              <w:top w:val="nil"/>
              <w:left w:val="nil"/>
              <w:bottom w:val="nil"/>
              <w:right w:val="nil"/>
            </w:tcBorders>
          </w:tcPr>
          <w:p w14:paraId="53C84CB5" w14:textId="77777777" w:rsidR="00F91E07" w:rsidRPr="00026CF7" w:rsidRDefault="00F91E07" w:rsidP="002C177E">
            <w:pPr>
              <w:spacing w:line="240" w:lineRule="auto"/>
              <w:jc w:val="left"/>
              <w:rPr>
                <w:b/>
                <w:bCs/>
                <w:color w:val="000000"/>
                <w:sz w:val="20"/>
              </w:rPr>
            </w:pPr>
          </w:p>
        </w:tc>
        <w:tc>
          <w:tcPr>
            <w:tcW w:w="1678" w:type="dxa"/>
            <w:tcBorders>
              <w:top w:val="nil"/>
              <w:left w:val="nil"/>
              <w:bottom w:val="nil"/>
              <w:right w:val="nil"/>
            </w:tcBorders>
            <w:noWrap/>
          </w:tcPr>
          <w:p w14:paraId="46339631" w14:textId="77777777" w:rsidR="00F91E07" w:rsidRPr="00026CF7" w:rsidRDefault="00F91E07" w:rsidP="002C177E">
            <w:pPr>
              <w:spacing w:line="240" w:lineRule="auto"/>
              <w:jc w:val="center"/>
              <w:rPr>
                <w:color w:val="000000"/>
                <w:sz w:val="20"/>
              </w:rPr>
            </w:pPr>
          </w:p>
        </w:tc>
        <w:tc>
          <w:tcPr>
            <w:tcW w:w="1480" w:type="dxa"/>
            <w:tcBorders>
              <w:top w:val="nil"/>
              <w:left w:val="nil"/>
              <w:bottom w:val="nil"/>
              <w:right w:val="nil"/>
            </w:tcBorders>
          </w:tcPr>
          <w:p w14:paraId="4415B8DB" w14:textId="77777777" w:rsidR="00F91E07" w:rsidRPr="00026CF7" w:rsidRDefault="00F91E07" w:rsidP="002C177E">
            <w:pPr>
              <w:spacing w:line="240" w:lineRule="auto"/>
              <w:jc w:val="center"/>
              <w:rPr>
                <w:color w:val="000000"/>
                <w:sz w:val="20"/>
              </w:rPr>
            </w:pPr>
          </w:p>
        </w:tc>
      </w:tr>
      <w:tr w:rsidR="00F91E07" w:rsidRPr="00026CF7" w14:paraId="2C8703B3" w14:textId="77777777" w:rsidTr="00A5625B">
        <w:trPr>
          <w:trHeight w:val="468"/>
          <w:jc w:val="center"/>
        </w:trPr>
        <w:tc>
          <w:tcPr>
            <w:tcW w:w="2520" w:type="dxa"/>
            <w:tcBorders>
              <w:top w:val="nil"/>
              <w:left w:val="nil"/>
              <w:bottom w:val="nil"/>
              <w:right w:val="nil"/>
            </w:tcBorders>
            <w:noWrap/>
            <w:hideMark/>
          </w:tcPr>
          <w:p w14:paraId="08B86932" w14:textId="77777777" w:rsidR="00F91E07" w:rsidRPr="00026CF7" w:rsidRDefault="00F91E07" w:rsidP="002C177E">
            <w:pPr>
              <w:spacing w:line="240" w:lineRule="auto"/>
              <w:jc w:val="left"/>
              <w:rPr>
                <w:rFonts w:eastAsia="Times New Roman"/>
                <w:color w:val="000000"/>
                <w:sz w:val="20"/>
                <w:lang w:val="en-GB"/>
              </w:rPr>
            </w:pPr>
            <w:r w:rsidRPr="00026CF7">
              <w:rPr>
                <w:rFonts w:eastAsia="Times New Roman"/>
                <w:color w:val="000000"/>
                <w:sz w:val="20"/>
                <w:lang w:val="en-GB"/>
              </w:rPr>
              <w:t>Elevated</w:t>
            </w:r>
          </w:p>
        </w:tc>
        <w:tc>
          <w:tcPr>
            <w:tcW w:w="1105" w:type="dxa"/>
            <w:tcBorders>
              <w:top w:val="nil"/>
              <w:left w:val="nil"/>
              <w:bottom w:val="nil"/>
              <w:right w:val="nil"/>
            </w:tcBorders>
            <w:noWrap/>
            <w:hideMark/>
          </w:tcPr>
          <w:p w14:paraId="25A852BF" w14:textId="77777777" w:rsidR="00F91E07" w:rsidRPr="00026CF7" w:rsidRDefault="00F91E07" w:rsidP="002C177E">
            <w:pPr>
              <w:spacing w:line="240" w:lineRule="auto"/>
              <w:jc w:val="left"/>
              <w:rPr>
                <w:rFonts w:eastAsia="Times New Roman"/>
                <w:color w:val="000000"/>
                <w:sz w:val="20"/>
                <w:lang w:val="en-GB"/>
              </w:rPr>
            </w:pPr>
            <w:r w:rsidRPr="00026CF7">
              <w:rPr>
                <w:color w:val="000000"/>
                <w:sz w:val="20"/>
              </w:rPr>
              <w:t>0(0.0)</w:t>
            </w:r>
          </w:p>
        </w:tc>
        <w:tc>
          <w:tcPr>
            <w:tcW w:w="1235" w:type="dxa"/>
            <w:tcBorders>
              <w:top w:val="nil"/>
              <w:left w:val="nil"/>
              <w:bottom w:val="nil"/>
              <w:right w:val="nil"/>
            </w:tcBorders>
            <w:noWrap/>
            <w:hideMark/>
          </w:tcPr>
          <w:p w14:paraId="457B29FA" w14:textId="77777777" w:rsidR="00F91E07" w:rsidRPr="00026CF7" w:rsidRDefault="00F91E07" w:rsidP="002C177E">
            <w:pPr>
              <w:spacing w:line="240" w:lineRule="auto"/>
              <w:jc w:val="left"/>
              <w:rPr>
                <w:rFonts w:eastAsia="Times New Roman"/>
                <w:color w:val="000000"/>
                <w:sz w:val="20"/>
                <w:lang w:val="en-GB"/>
              </w:rPr>
            </w:pPr>
            <w:r w:rsidRPr="00026CF7">
              <w:rPr>
                <w:color w:val="000000"/>
                <w:sz w:val="20"/>
              </w:rPr>
              <w:t>4(100.0)</w:t>
            </w:r>
          </w:p>
        </w:tc>
        <w:tc>
          <w:tcPr>
            <w:tcW w:w="1103" w:type="dxa"/>
            <w:tcBorders>
              <w:top w:val="nil"/>
              <w:left w:val="nil"/>
              <w:bottom w:val="nil"/>
              <w:right w:val="nil"/>
            </w:tcBorders>
          </w:tcPr>
          <w:p w14:paraId="21062554" w14:textId="77777777" w:rsidR="00F91E07" w:rsidRPr="00026CF7" w:rsidRDefault="00F91E07" w:rsidP="002C177E">
            <w:pPr>
              <w:spacing w:line="240" w:lineRule="auto"/>
              <w:jc w:val="left"/>
              <w:rPr>
                <w:b/>
                <w:bCs/>
                <w:color w:val="000000"/>
                <w:sz w:val="20"/>
              </w:rPr>
            </w:pPr>
            <w:r w:rsidRPr="00026CF7">
              <w:rPr>
                <w:b/>
                <w:bCs/>
                <w:color w:val="000000"/>
                <w:sz w:val="20"/>
              </w:rPr>
              <w:t>4(100.0)</w:t>
            </w:r>
          </w:p>
        </w:tc>
        <w:tc>
          <w:tcPr>
            <w:tcW w:w="1678" w:type="dxa"/>
            <w:vMerge w:val="restart"/>
            <w:tcBorders>
              <w:top w:val="nil"/>
              <w:left w:val="nil"/>
              <w:bottom w:val="nil"/>
              <w:right w:val="nil"/>
            </w:tcBorders>
            <w:noWrap/>
            <w:hideMark/>
          </w:tcPr>
          <w:p w14:paraId="03D2C243" w14:textId="77777777" w:rsidR="00F91E07" w:rsidRPr="00026CF7" w:rsidRDefault="00F91E07" w:rsidP="002C177E">
            <w:pPr>
              <w:spacing w:line="240" w:lineRule="auto"/>
              <w:jc w:val="center"/>
              <w:rPr>
                <w:rFonts w:eastAsia="Times New Roman"/>
                <w:color w:val="000000"/>
                <w:sz w:val="20"/>
                <w:lang w:val="en-GB"/>
              </w:rPr>
            </w:pPr>
            <w:r w:rsidRPr="00026CF7">
              <w:rPr>
                <w:rFonts w:eastAsia="Times New Roman"/>
                <w:color w:val="000000"/>
                <w:sz w:val="20"/>
                <w:lang w:val="en-GB"/>
              </w:rPr>
              <w:t>11.25 (0.0041)*</w:t>
            </w:r>
          </w:p>
        </w:tc>
        <w:tc>
          <w:tcPr>
            <w:tcW w:w="1480" w:type="dxa"/>
            <w:tcBorders>
              <w:top w:val="nil"/>
              <w:left w:val="nil"/>
              <w:bottom w:val="nil"/>
              <w:right w:val="nil"/>
            </w:tcBorders>
          </w:tcPr>
          <w:p w14:paraId="47734767" w14:textId="57C8AB98" w:rsidR="00F91E07" w:rsidRPr="00F91E07" w:rsidRDefault="007C0AAD" w:rsidP="002C177E">
            <w:pPr>
              <w:spacing w:line="240" w:lineRule="auto"/>
              <w:jc w:val="center"/>
              <w:rPr>
                <w:color w:val="000000"/>
                <w:sz w:val="20"/>
              </w:rPr>
            </w:pPr>
            <w:r>
              <w:rPr>
                <w:color w:val="000000"/>
                <w:sz w:val="20"/>
              </w:rPr>
              <w:t>Not applicable</w:t>
            </w:r>
          </w:p>
        </w:tc>
      </w:tr>
      <w:tr w:rsidR="00F91E07" w:rsidRPr="00026CF7" w14:paraId="16BFCCB0" w14:textId="77777777" w:rsidTr="00A5625B">
        <w:trPr>
          <w:trHeight w:val="468"/>
          <w:jc w:val="center"/>
        </w:trPr>
        <w:tc>
          <w:tcPr>
            <w:tcW w:w="2520" w:type="dxa"/>
            <w:tcBorders>
              <w:top w:val="nil"/>
              <w:left w:val="nil"/>
              <w:bottom w:val="nil"/>
              <w:right w:val="nil"/>
            </w:tcBorders>
            <w:noWrap/>
            <w:hideMark/>
          </w:tcPr>
          <w:p w14:paraId="52A5B63B" w14:textId="77777777" w:rsidR="00F91E07" w:rsidRPr="00026CF7" w:rsidRDefault="00F91E07" w:rsidP="002C177E">
            <w:pPr>
              <w:spacing w:line="240" w:lineRule="auto"/>
              <w:jc w:val="left"/>
              <w:rPr>
                <w:rFonts w:eastAsia="Times New Roman"/>
                <w:color w:val="000000"/>
                <w:sz w:val="20"/>
                <w:lang w:val="en-GB"/>
              </w:rPr>
            </w:pPr>
            <w:r w:rsidRPr="00026CF7">
              <w:rPr>
                <w:rFonts w:eastAsia="Times New Roman"/>
                <w:color w:val="000000"/>
                <w:sz w:val="20"/>
                <w:lang w:val="en-GB"/>
              </w:rPr>
              <w:t>Normal</w:t>
            </w:r>
          </w:p>
        </w:tc>
        <w:tc>
          <w:tcPr>
            <w:tcW w:w="1105" w:type="dxa"/>
            <w:tcBorders>
              <w:top w:val="nil"/>
              <w:left w:val="nil"/>
              <w:bottom w:val="nil"/>
              <w:right w:val="nil"/>
            </w:tcBorders>
            <w:noWrap/>
            <w:hideMark/>
          </w:tcPr>
          <w:p w14:paraId="3A4CC4DC" w14:textId="77777777" w:rsidR="00F91E07" w:rsidRPr="00026CF7" w:rsidRDefault="00F91E07" w:rsidP="002C177E">
            <w:pPr>
              <w:spacing w:line="240" w:lineRule="auto"/>
              <w:jc w:val="left"/>
              <w:rPr>
                <w:rFonts w:eastAsia="Times New Roman"/>
                <w:color w:val="000000"/>
                <w:sz w:val="20"/>
                <w:lang w:val="en-GB"/>
              </w:rPr>
            </w:pPr>
            <w:r w:rsidRPr="00026CF7">
              <w:rPr>
                <w:color w:val="000000"/>
                <w:sz w:val="20"/>
              </w:rPr>
              <w:t>49(33.6)</w:t>
            </w:r>
          </w:p>
        </w:tc>
        <w:tc>
          <w:tcPr>
            <w:tcW w:w="1235" w:type="dxa"/>
            <w:tcBorders>
              <w:top w:val="nil"/>
              <w:left w:val="nil"/>
              <w:bottom w:val="nil"/>
              <w:right w:val="nil"/>
            </w:tcBorders>
            <w:noWrap/>
            <w:hideMark/>
          </w:tcPr>
          <w:p w14:paraId="2E28F414" w14:textId="77777777" w:rsidR="00F91E07" w:rsidRPr="00026CF7" w:rsidRDefault="00F91E07" w:rsidP="002C177E">
            <w:pPr>
              <w:spacing w:line="240" w:lineRule="auto"/>
              <w:jc w:val="left"/>
              <w:rPr>
                <w:rFonts w:eastAsia="Times New Roman"/>
                <w:color w:val="000000"/>
                <w:sz w:val="20"/>
                <w:lang w:val="en-GB"/>
              </w:rPr>
            </w:pPr>
            <w:r w:rsidRPr="00026CF7">
              <w:rPr>
                <w:color w:val="000000"/>
                <w:sz w:val="20"/>
              </w:rPr>
              <w:t>97(66.4)</w:t>
            </w:r>
          </w:p>
        </w:tc>
        <w:tc>
          <w:tcPr>
            <w:tcW w:w="1103" w:type="dxa"/>
            <w:tcBorders>
              <w:top w:val="nil"/>
              <w:left w:val="nil"/>
              <w:bottom w:val="nil"/>
              <w:right w:val="nil"/>
            </w:tcBorders>
          </w:tcPr>
          <w:p w14:paraId="74287A08" w14:textId="77777777" w:rsidR="00F91E07" w:rsidRPr="00026CF7" w:rsidRDefault="00F91E07" w:rsidP="002C177E">
            <w:pPr>
              <w:spacing w:line="240" w:lineRule="auto"/>
              <w:jc w:val="left"/>
              <w:rPr>
                <w:b/>
                <w:bCs/>
                <w:color w:val="000000"/>
                <w:sz w:val="20"/>
              </w:rPr>
            </w:pPr>
            <w:r w:rsidRPr="00026CF7">
              <w:rPr>
                <w:b/>
                <w:bCs/>
                <w:color w:val="000000"/>
                <w:sz w:val="20"/>
              </w:rPr>
              <w:t>146(100.0)</w:t>
            </w:r>
          </w:p>
        </w:tc>
        <w:tc>
          <w:tcPr>
            <w:tcW w:w="1678" w:type="dxa"/>
            <w:vMerge/>
            <w:tcBorders>
              <w:top w:val="nil"/>
              <w:left w:val="nil"/>
              <w:bottom w:val="nil"/>
              <w:right w:val="nil"/>
            </w:tcBorders>
            <w:noWrap/>
            <w:hideMark/>
          </w:tcPr>
          <w:p w14:paraId="4FDE6BC8" w14:textId="77777777" w:rsidR="00F91E07" w:rsidRPr="00026CF7" w:rsidRDefault="00F91E07" w:rsidP="002C177E">
            <w:pPr>
              <w:spacing w:line="240" w:lineRule="auto"/>
              <w:jc w:val="center"/>
              <w:rPr>
                <w:rFonts w:eastAsia="Times New Roman"/>
                <w:color w:val="000000"/>
                <w:sz w:val="20"/>
                <w:lang w:val="en-GB"/>
              </w:rPr>
            </w:pPr>
          </w:p>
        </w:tc>
        <w:tc>
          <w:tcPr>
            <w:tcW w:w="1480" w:type="dxa"/>
            <w:tcBorders>
              <w:top w:val="nil"/>
              <w:left w:val="nil"/>
              <w:bottom w:val="nil"/>
              <w:right w:val="nil"/>
            </w:tcBorders>
          </w:tcPr>
          <w:p w14:paraId="22D9C0A2" w14:textId="77777777" w:rsidR="00F91E07" w:rsidRPr="00026CF7" w:rsidRDefault="00F91E07" w:rsidP="002C177E">
            <w:pPr>
              <w:spacing w:line="240" w:lineRule="auto"/>
              <w:jc w:val="center"/>
              <w:rPr>
                <w:color w:val="000000"/>
                <w:sz w:val="20"/>
              </w:rPr>
            </w:pPr>
          </w:p>
        </w:tc>
      </w:tr>
      <w:tr w:rsidR="00F91E07" w:rsidRPr="00026CF7" w14:paraId="597747A9" w14:textId="77777777" w:rsidTr="00A5625B">
        <w:trPr>
          <w:trHeight w:val="468"/>
          <w:jc w:val="center"/>
        </w:trPr>
        <w:tc>
          <w:tcPr>
            <w:tcW w:w="2520" w:type="dxa"/>
            <w:tcBorders>
              <w:top w:val="nil"/>
              <w:left w:val="nil"/>
              <w:bottom w:val="nil"/>
              <w:right w:val="nil"/>
            </w:tcBorders>
            <w:noWrap/>
          </w:tcPr>
          <w:p w14:paraId="571C3A80" w14:textId="77777777" w:rsidR="00F91E07" w:rsidRPr="00026CF7" w:rsidRDefault="00F91E07" w:rsidP="002C177E">
            <w:pPr>
              <w:spacing w:line="240" w:lineRule="auto"/>
              <w:jc w:val="left"/>
              <w:rPr>
                <w:color w:val="000000"/>
                <w:sz w:val="20"/>
              </w:rPr>
            </w:pPr>
            <w:r w:rsidRPr="00026CF7">
              <w:rPr>
                <w:rFonts w:eastAsia="Times New Roman"/>
                <w:b/>
                <w:bCs/>
                <w:color w:val="000000"/>
                <w:sz w:val="20"/>
                <w:lang w:val="en-GB"/>
              </w:rPr>
              <w:t>Low density lipoprotein</w:t>
            </w:r>
          </w:p>
        </w:tc>
        <w:tc>
          <w:tcPr>
            <w:tcW w:w="1105" w:type="dxa"/>
            <w:tcBorders>
              <w:top w:val="nil"/>
              <w:left w:val="nil"/>
              <w:bottom w:val="nil"/>
              <w:right w:val="nil"/>
            </w:tcBorders>
            <w:noWrap/>
          </w:tcPr>
          <w:p w14:paraId="70FD3409" w14:textId="77777777" w:rsidR="00F91E07" w:rsidRPr="00026CF7" w:rsidRDefault="00F91E07" w:rsidP="002C177E">
            <w:pPr>
              <w:spacing w:line="240" w:lineRule="auto"/>
              <w:jc w:val="left"/>
              <w:rPr>
                <w:color w:val="000000"/>
                <w:sz w:val="20"/>
              </w:rPr>
            </w:pPr>
          </w:p>
        </w:tc>
        <w:tc>
          <w:tcPr>
            <w:tcW w:w="1235" w:type="dxa"/>
            <w:tcBorders>
              <w:top w:val="nil"/>
              <w:left w:val="nil"/>
              <w:bottom w:val="nil"/>
              <w:right w:val="nil"/>
            </w:tcBorders>
            <w:noWrap/>
          </w:tcPr>
          <w:p w14:paraId="3CC240EB" w14:textId="77777777" w:rsidR="00F91E07" w:rsidRPr="00026CF7" w:rsidRDefault="00F91E07" w:rsidP="002C177E">
            <w:pPr>
              <w:spacing w:line="240" w:lineRule="auto"/>
              <w:jc w:val="left"/>
              <w:rPr>
                <w:color w:val="000000"/>
                <w:sz w:val="20"/>
              </w:rPr>
            </w:pPr>
          </w:p>
        </w:tc>
        <w:tc>
          <w:tcPr>
            <w:tcW w:w="1103" w:type="dxa"/>
            <w:tcBorders>
              <w:top w:val="nil"/>
              <w:left w:val="nil"/>
              <w:bottom w:val="nil"/>
              <w:right w:val="nil"/>
            </w:tcBorders>
          </w:tcPr>
          <w:p w14:paraId="034156C2" w14:textId="77777777" w:rsidR="00F91E07" w:rsidRPr="00026CF7" w:rsidRDefault="00F91E07" w:rsidP="002C177E">
            <w:pPr>
              <w:spacing w:line="240" w:lineRule="auto"/>
              <w:jc w:val="left"/>
              <w:rPr>
                <w:b/>
                <w:bCs/>
                <w:color w:val="000000"/>
                <w:sz w:val="20"/>
              </w:rPr>
            </w:pPr>
          </w:p>
        </w:tc>
        <w:tc>
          <w:tcPr>
            <w:tcW w:w="1678" w:type="dxa"/>
            <w:tcBorders>
              <w:top w:val="nil"/>
              <w:left w:val="nil"/>
              <w:bottom w:val="nil"/>
              <w:right w:val="nil"/>
            </w:tcBorders>
            <w:noWrap/>
          </w:tcPr>
          <w:p w14:paraId="7CAA0CB7" w14:textId="77777777" w:rsidR="00F91E07" w:rsidRPr="00026CF7" w:rsidRDefault="00F91E07" w:rsidP="002C177E">
            <w:pPr>
              <w:spacing w:line="240" w:lineRule="auto"/>
              <w:jc w:val="center"/>
              <w:rPr>
                <w:color w:val="000000"/>
                <w:sz w:val="20"/>
              </w:rPr>
            </w:pPr>
          </w:p>
        </w:tc>
        <w:tc>
          <w:tcPr>
            <w:tcW w:w="1480" w:type="dxa"/>
            <w:tcBorders>
              <w:top w:val="nil"/>
              <w:left w:val="nil"/>
              <w:bottom w:val="nil"/>
              <w:right w:val="nil"/>
            </w:tcBorders>
          </w:tcPr>
          <w:p w14:paraId="22B6CA30" w14:textId="77777777" w:rsidR="00F91E07" w:rsidRPr="00026CF7" w:rsidRDefault="00F91E07" w:rsidP="002C177E">
            <w:pPr>
              <w:spacing w:line="240" w:lineRule="auto"/>
              <w:jc w:val="center"/>
              <w:rPr>
                <w:color w:val="000000"/>
                <w:sz w:val="20"/>
              </w:rPr>
            </w:pPr>
          </w:p>
        </w:tc>
      </w:tr>
      <w:tr w:rsidR="00F91E07" w:rsidRPr="00026CF7" w14:paraId="63D0963C" w14:textId="77777777" w:rsidTr="00A5625B">
        <w:trPr>
          <w:trHeight w:val="468"/>
          <w:jc w:val="center"/>
        </w:trPr>
        <w:tc>
          <w:tcPr>
            <w:tcW w:w="2520" w:type="dxa"/>
            <w:tcBorders>
              <w:top w:val="nil"/>
              <w:left w:val="nil"/>
              <w:bottom w:val="nil"/>
              <w:right w:val="nil"/>
            </w:tcBorders>
            <w:noWrap/>
            <w:hideMark/>
          </w:tcPr>
          <w:p w14:paraId="50050F63" w14:textId="77777777" w:rsidR="00F91E07" w:rsidRPr="00026CF7" w:rsidRDefault="00F91E07" w:rsidP="002C177E">
            <w:pPr>
              <w:spacing w:line="240" w:lineRule="auto"/>
              <w:jc w:val="left"/>
              <w:rPr>
                <w:rFonts w:eastAsia="Times New Roman"/>
                <w:color w:val="000000"/>
                <w:sz w:val="20"/>
                <w:lang w:val="en-GB"/>
              </w:rPr>
            </w:pPr>
            <w:r w:rsidRPr="00026CF7">
              <w:rPr>
                <w:rFonts w:eastAsia="Times New Roman"/>
                <w:color w:val="000000"/>
                <w:sz w:val="20"/>
                <w:lang w:val="en-GB"/>
              </w:rPr>
              <w:t>Elevated</w:t>
            </w:r>
          </w:p>
        </w:tc>
        <w:tc>
          <w:tcPr>
            <w:tcW w:w="1105" w:type="dxa"/>
            <w:tcBorders>
              <w:top w:val="nil"/>
              <w:left w:val="nil"/>
              <w:bottom w:val="nil"/>
              <w:right w:val="nil"/>
            </w:tcBorders>
            <w:noWrap/>
            <w:hideMark/>
          </w:tcPr>
          <w:p w14:paraId="6D2C1F81" w14:textId="77777777" w:rsidR="00F91E07" w:rsidRPr="00026CF7" w:rsidRDefault="00F91E07" w:rsidP="002C177E">
            <w:pPr>
              <w:spacing w:line="240" w:lineRule="auto"/>
              <w:jc w:val="left"/>
              <w:rPr>
                <w:rFonts w:eastAsia="Times New Roman"/>
                <w:color w:val="000000"/>
                <w:sz w:val="20"/>
                <w:lang w:val="en-GB"/>
              </w:rPr>
            </w:pPr>
            <w:r w:rsidRPr="00026CF7">
              <w:rPr>
                <w:color w:val="000000"/>
                <w:sz w:val="20"/>
              </w:rPr>
              <w:t>36(31.3)</w:t>
            </w:r>
          </w:p>
        </w:tc>
        <w:tc>
          <w:tcPr>
            <w:tcW w:w="1235" w:type="dxa"/>
            <w:tcBorders>
              <w:top w:val="nil"/>
              <w:left w:val="nil"/>
              <w:bottom w:val="nil"/>
              <w:right w:val="nil"/>
            </w:tcBorders>
            <w:noWrap/>
            <w:hideMark/>
          </w:tcPr>
          <w:p w14:paraId="50C19033" w14:textId="77777777" w:rsidR="00F91E07" w:rsidRPr="00026CF7" w:rsidRDefault="00F91E07" w:rsidP="002C177E">
            <w:pPr>
              <w:spacing w:line="240" w:lineRule="auto"/>
              <w:jc w:val="left"/>
              <w:rPr>
                <w:rFonts w:eastAsia="Times New Roman"/>
                <w:color w:val="000000"/>
                <w:sz w:val="20"/>
                <w:lang w:val="en-GB"/>
              </w:rPr>
            </w:pPr>
            <w:r w:rsidRPr="00026CF7">
              <w:rPr>
                <w:color w:val="000000"/>
                <w:sz w:val="20"/>
              </w:rPr>
              <w:t>79(68.7)</w:t>
            </w:r>
          </w:p>
        </w:tc>
        <w:tc>
          <w:tcPr>
            <w:tcW w:w="1103" w:type="dxa"/>
            <w:tcBorders>
              <w:top w:val="nil"/>
              <w:left w:val="nil"/>
              <w:bottom w:val="nil"/>
              <w:right w:val="nil"/>
            </w:tcBorders>
          </w:tcPr>
          <w:p w14:paraId="2CC5C394" w14:textId="77777777" w:rsidR="00F91E07" w:rsidRPr="00026CF7" w:rsidRDefault="00F91E07" w:rsidP="002C177E">
            <w:pPr>
              <w:spacing w:line="240" w:lineRule="auto"/>
              <w:jc w:val="left"/>
              <w:rPr>
                <w:b/>
                <w:bCs/>
                <w:color w:val="000000"/>
                <w:sz w:val="20"/>
              </w:rPr>
            </w:pPr>
            <w:r w:rsidRPr="00026CF7">
              <w:rPr>
                <w:b/>
                <w:bCs/>
                <w:color w:val="000000"/>
                <w:sz w:val="20"/>
              </w:rPr>
              <w:t>115(100.0)</w:t>
            </w:r>
          </w:p>
        </w:tc>
        <w:tc>
          <w:tcPr>
            <w:tcW w:w="1678" w:type="dxa"/>
            <w:vMerge w:val="restart"/>
            <w:tcBorders>
              <w:top w:val="nil"/>
              <w:left w:val="nil"/>
              <w:bottom w:val="single" w:sz="4" w:space="0" w:color="auto"/>
              <w:right w:val="nil"/>
            </w:tcBorders>
            <w:noWrap/>
            <w:hideMark/>
          </w:tcPr>
          <w:p w14:paraId="39ECD072" w14:textId="77777777" w:rsidR="00F91E07" w:rsidRPr="00026CF7" w:rsidRDefault="00F91E07" w:rsidP="002C177E">
            <w:pPr>
              <w:spacing w:line="240" w:lineRule="auto"/>
              <w:jc w:val="center"/>
              <w:rPr>
                <w:rFonts w:eastAsia="Times New Roman"/>
                <w:color w:val="000000"/>
                <w:sz w:val="20"/>
                <w:lang w:val="en-GB"/>
              </w:rPr>
            </w:pPr>
            <w:r w:rsidRPr="00026CF7">
              <w:rPr>
                <w:rFonts w:eastAsia="Times New Roman"/>
                <w:color w:val="000000"/>
                <w:sz w:val="20"/>
                <w:lang w:val="en-GB"/>
              </w:rPr>
              <w:t>0.41 (0.519)**</w:t>
            </w:r>
          </w:p>
        </w:tc>
        <w:tc>
          <w:tcPr>
            <w:tcW w:w="1480" w:type="dxa"/>
            <w:tcBorders>
              <w:top w:val="nil"/>
              <w:left w:val="nil"/>
              <w:bottom w:val="nil"/>
              <w:right w:val="nil"/>
            </w:tcBorders>
          </w:tcPr>
          <w:p w14:paraId="4D056A6C" w14:textId="77777777" w:rsidR="00F91E07" w:rsidRPr="00026CF7" w:rsidRDefault="00F91E07" w:rsidP="002C177E">
            <w:pPr>
              <w:spacing w:line="240" w:lineRule="auto"/>
              <w:jc w:val="center"/>
              <w:rPr>
                <w:color w:val="000000"/>
                <w:sz w:val="20"/>
              </w:rPr>
            </w:pPr>
            <w:r>
              <w:rPr>
                <w:color w:val="000000"/>
                <w:sz w:val="20"/>
              </w:rPr>
              <w:t>0.7 (0.3 – 1.7)</w:t>
            </w:r>
          </w:p>
        </w:tc>
      </w:tr>
      <w:tr w:rsidR="00F91E07" w:rsidRPr="00026CF7" w14:paraId="2CE268B6" w14:textId="77777777" w:rsidTr="00A5625B">
        <w:trPr>
          <w:trHeight w:val="468"/>
          <w:jc w:val="center"/>
        </w:trPr>
        <w:tc>
          <w:tcPr>
            <w:tcW w:w="2520" w:type="dxa"/>
            <w:tcBorders>
              <w:top w:val="nil"/>
              <w:left w:val="nil"/>
              <w:bottom w:val="single" w:sz="4" w:space="0" w:color="auto"/>
              <w:right w:val="nil"/>
            </w:tcBorders>
            <w:noWrap/>
            <w:hideMark/>
          </w:tcPr>
          <w:p w14:paraId="5420764E" w14:textId="77777777" w:rsidR="00F91E07" w:rsidRPr="00026CF7" w:rsidRDefault="00F91E07" w:rsidP="002C177E">
            <w:pPr>
              <w:spacing w:line="240" w:lineRule="auto"/>
              <w:jc w:val="left"/>
              <w:rPr>
                <w:rFonts w:eastAsia="Times New Roman"/>
                <w:color w:val="000000"/>
                <w:sz w:val="20"/>
                <w:lang w:val="en-GB"/>
              </w:rPr>
            </w:pPr>
            <w:r w:rsidRPr="00026CF7">
              <w:rPr>
                <w:rFonts w:eastAsia="Times New Roman"/>
                <w:color w:val="000000"/>
                <w:sz w:val="20"/>
                <w:lang w:val="en-GB"/>
              </w:rPr>
              <w:t>Normal</w:t>
            </w:r>
          </w:p>
        </w:tc>
        <w:tc>
          <w:tcPr>
            <w:tcW w:w="1105" w:type="dxa"/>
            <w:tcBorders>
              <w:top w:val="nil"/>
              <w:left w:val="nil"/>
              <w:bottom w:val="single" w:sz="4" w:space="0" w:color="auto"/>
              <w:right w:val="nil"/>
            </w:tcBorders>
            <w:noWrap/>
            <w:hideMark/>
          </w:tcPr>
          <w:p w14:paraId="7C67677F" w14:textId="77777777" w:rsidR="00F91E07" w:rsidRPr="00026CF7" w:rsidRDefault="00F91E07" w:rsidP="002C177E">
            <w:pPr>
              <w:spacing w:line="240" w:lineRule="auto"/>
              <w:jc w:val="left"/>
              <w:rPr>
                <w:rFonts w:eastAsia="Times New Roman"/>
                <w:color w:val="000000"/>
                <w:sz w:val="20"/>
                <w:lang w:val="en-GB"/>
              </w:rPr>
            </w:pPr>
            <w:r w:rsidRPr="00026CF7">
              <w:rPr>
                <w:color w:val="000000"/>
                <w:sz w:val="20"/>
              </w:rPr>
              <w:t>13(37.1)</w:t>
            </w:r>
          </w:p>
        </w:tc>
        <w:tc>
          <w:tcPr>
            <w:tcW w:w="1235" w:type="dxa"/>
            <w:tcBorders>
              <w:top w:val="nil"/>
              <w:left w:val="nil"/>
              <w:bottom w:val="single" w:sz="4" w:space="0" w:color="auto"/>
              <w:right w:val="nil"/>
            </w:tcBorders>
            <w:noWrap/>
            <w:hideMark/>
          </w:tcPr>
          <w:p w14:paraId="25FA792F" w14:textId="77777777" w:rsidR="00F91E07" w:rsidRPr="00026CF7" w:rsidRDefault="00F91E07" w:rsidP="002C177E">
            <w:pPr>
              <w:spacing w:line="240" w:lineRule="auto"/>
              <w:jc w:val="left"/>
              <w:rPr>
                <w:rFonts w:eastAsia="Times New Roman"/>
                <w:color w:val="000000"/>
                <w:sz w:val="20"/>
                <w:lang w:val="en-GB"/>
              </w:rPr>
            </w:pPr>
            <w:r w:rsidRPr="00026CF7">
              <w:rPr>
                <w:color w:val="000000"/>
                <w:sz w:val="20"/>
              </w:rPr>
              <w:t>22(62.9)</w:t>
            </w:r>
          </w:p>
        </w:tc>
        <w:tc>
          <w:tcPr>
            <w:tcW w:w="1103" w:type="dxa"/>
            <w:tcBorders>
              <w:top w:val="nil"/>
              <w:left w:val="nil"/>
              <w:bottom w:val="single" w:sz="4" w:space="0" w:color="auto"/>
              <w:right w:val="nil"/>
            </w:tcBorders>
          </w:tcPr>
          <w:p w14:paraId="1507D845" w14:textId="77777777" w:rsidR="00F91E07" w:rsidRPr="00026CF7" w:rsidRDefault="00F91E07" w:rsidP="002C177E">
            <w:pPr>
              <w:spacing w:line="240" w:lineRule="auto"/>
              <w:jc w:val="left"/>
              <w:rPr>
                <w:b/>
                <w:bCs/>
                <w:color w:val="000000"/>
                <w:sz w:val="20"/>
              </w:rPr>
            </w:pPr>
            <w:r w:rsidRPr="00026CF7">
              <w:rPr>
                <w:b/>
                <w:bCs/>
                <w:color w:val="000000"/>
                <w:sz w:val="20"/>
              </w:rPr>
              <w:t>35(100.0)</w:t>
            </w:r>
          </w:p>
        </w:tc>
        <w:tc>
          <w:tcPr>
            <w:tcW w:w="1678" w:type="dxa"/>
            <w:vMerge/>
            <w:tcBorders>
              <w:top w:val="nil"/>
              <w:left w:val="nil"/>
              <w:bottom w:val="single" w:sz="4" w:space="0" w:color="auto"/>
              <w:right w:val="nil"/>
            </w:tcBorders>
            <w:noWrap/>
            <w:hideMark/>
          </w:tcPr>
          <w:p w14:paraId="69007A86" w14:textId="77777777" w:rsidR="00F91E07" w:rsidRPr="00026CF7" w:rsidRDefault="00F91E07" w:rsidP="002C177E">
            <w:pPr>
              <w:spacing w:line="240" w:lineRule="auto"/>
              <w:jc w:val="center"/>
              <w:rPr>
                <w:rFonts w:eastAsia="Times New Roman"/>
                <w:color w:val="000000"/>
                <w:sz w:val="20"/>
                <w:lang w:val="en-GB"/>
              </w:rPr>
            </w:pPr>
          </w:p>
        </w:tc>
        <w:tc>
          <w:tcPr>
            <w:tcW w:w="1480" w:type="dxa"/>
            <w:tcBorders>
              <w:top w:val="nil"/>
              <w:left w:val="nil"/>
              <w:bottom w:val="single" w:sz="4" w:space="0" w:color="auto"/>
              <w:right w:val="nil"/>
            </w:tcBorders>
          </w:tcPr>
          <w:p w14:paraId="52694E01" w14:textId="77777777" w:rsidR="00F91E07" w:rsidRPr="00026CF7" w:rsidRDefault="00F91E07" w:rsidP="002C177E">
            <w:pPr>
              <w:spacing w:line="240" w:lineRule="auto"/>
              <w:jc w:val="center"/>
              <w:rPr>
                <w:color w:val="000000"/>
                <w:sz w:val="20"/>
              </w:rPr>
            </w:pPr>
          </w:p>
        </w:tc>
      </w:tr>
    </w:tbl>
    <w:p w14:paraId="04D7DA9F" w14:textId="77777777" w:rsidR="00F91E07" w:rsidRPr="00DE702A" w:rsidRDefault="00F91E07" w:rsidP="002C177E">
      <w:pPr>
        <w:spacing w:line="240" w:lineRule="auto"/>
        <w:ind w:left="720"/>
        <w:rPr>
          <w:i/>
          <w:iCs/>
          <w:szCs w:val="24"/>
        </w:rPr>
      </w:pPr>
      <w:r w:rsidRPr="00DE702A">
        <w:rPr>
          <w:szCs w:val="24"/>
        </w:rPr>
        <w:t>*</w:t>
      </w:r>
      <w:r w:rsidRPr="00DE702A">
        <w:rPr>
          <w:i/>
          <w:iCs/>
          <w:szCs w:val="24"/>
        </w:rPr>
        <w:t>Distribution is statistically significant (p &lt; 0.05)</w:t>
      </w:r>
    </w:p>
    <w:p w14:paraId="67EACAB2" w14:textId="77777777" w:rsidR="00F91E07" w:rsidRPr="00DE702A" w:rsidRDefault="00F91E07" w:rsidP="002C177E">
      <w:pPr>
        <w:spacing w:line="240" w:lineRule="auto"/>
        <w:ind w:left="720"/>
        <w:rPr>
          <w:i/>
          <w:iCs/>
          <w:szCs w:val="24"/>
        </w:rPr>
      </w:pPr>
      <w:r w:rsidRPr="00DE702A">
        <w:rPr>
          <w:i/>
          <w:iCs/>
          <w:szCs w:val="24"/>
        </w:rPr>
        <w:t>**Distribution is not statistically significant (p &gt; 0.05)</w:t>
      </w:r>
    </w:p>
    <w:p w14:paraId="356EECB3" w14:textId="77777777" w:rsidR="00F91E07" w:rsidRDefault="00F91E07" w:rsidP="002C177E">
      <w:pPr>
        <w:spacing w:line="240" w:lineRule="auto"/>
      </w:pPr>
    </w:p>
    <w:p w14:paraId="7B7B674A" w14:textId="77777777" w:rsidR="00F91E07" w:rsidRDefault="00F91E07" w:rsidP="002C177E">
      <w:pPr>
        <w:spacing w:line="240" w:lineRule="auto"/>
        <w:rPr>
          <w:b/>
          <w:bCs/>
        </w:rPr>
      </w:pPr>
      <w:r>
        <w:rPr>
          <w:b/>
          <w:bCs/>
        </w:rPr>
        <w:t>4.0</w:t>
      </w:r>
      <w:r>
        <w:rPr>
          <w:b/>
          <w:bCs/>
        </w:rPr>
        <w:tab/>
        <w:t>DISCUSSION</w:t>
      </w:r>
    </w:p>
    <w:p w14:paraId="6E01198C" w14:textId="35B1DF85" w:rsidR="00F91E07" w:rsidRDefault="00F91E07" w:rsidP="002C177E">
      <w:pPr>
        <w:pStyle w:val="first-token"/>
        <w:jc w:val="both"/>
      </w:pPr>
      <w:r>
        <w:t xml:space="preserve">The data from the current study paints a clear picture of the intricate relationship between NAFLD, </w:t>
      </w:r>
      <w:proofErr w:type="spellStart"/>
      <w:r>
        <w:t>glycemic</w:t>
      </w:r>
      <w:proofErr w:type="spellEnd"/>
      <w:r>
        <w:t xml:space="preserve"> control, and lipid profiles in individuals with T2DM. Individuals with NAFLD exhibited significantly higher HbA1c levels (10.9% ± 4.3%) compared to those without the condition (7.5% ± 2.4%). This finding aligns with the observation in the second table, where 44.4% of patients with uncontrolled HbA1c (&gt;7%) had NAFLD, compared to only 9.8% with controlled HbA1c (&lt;7%). The odds ratio (OR) of 7.3 (95% CI: 2.6 – 20.1) further strengthens this association, indicating that uncontrolled diabetes is associated with </w:t>
      </w:r>
      <w:r w:rsidR="00A139DD">
        <w:t>an</w:t>
      </w:r>
      <w:r>
        <w:t xml:space="preserve"> over sevenfold increased risk of NAFLD. This is consistent with the findings of similar studies which reported an 8 – 17 times increased likelihood of poor </w:t>
      </w:r>
      <w:proofErr w:type="spellStart"/>
      <w:r>
        <w:t>glycemic</w:t>
      </w:r>
      <w:proofErr w:type="spellEnd"/>
      <w:r>
        <w:t xml:space="preserve"> control associated with the occurrence of NAFLD among diabetics.</w:t>
      </w:r>
      <w:sdt>
        <w:sdtPr>
          <w:rPr>
            <w:color w:val="000000"/>
            <w:vertAlign w:val="superscript"/>
          </w:rPr>
          <w:tag w:val="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"/>
          <w:id w:val="-1841917067"/>
          <w:placeholder>
            <w:docPart w:val="DefaultPlaceholder_-1854013440"/>
          </w:placeholder>
        </w:sdtPr>
        <w:sdtContent>
          <w:r w:rsidR="00343AB7" w:rsidRPr="00343AB7">
            <w:rPr>
              <w:color w:val="000000"/>
              <w:vertAlign w:val="superscript"/>
            </w:rPr>
            <w:t>17–20</w:t>
          </w:r>
        </w:sdtContent>
      </w:sdt>
      <w:r>
        <w:t xml:space="preserve"> Poor </w:t>
      </w:r>
      <w:proofErr w:type="spellStart"/>
      <w:r>
        <w:t>glycemic</w:t>
      </w:r>
      <w:proofErr w:type="spellEnd"/>
      <w:r>
        <w:t xml:space="preserve"> control is a common occurring phenomena in diabetes, while NAFLD has been seen to be associated with an elevated increase in blood glucose levels when compared to non-NAFLD diabetic subjects.</w:t>
      </w:r>
      <w:sdt>
        <w:sdtPr>
          <w:rPr>
            <w:color w:val="000000"/>
            <w:vertAlign w:val="superscript"/>
          </w:rPr>
          <w:tag w:val="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"/>
          <w:id w:val="411591843"/>
          <w:placeholder>
            <w:docPart w:val="DefaultPlaceholder_-1854013440"/>
          </w:placeholder>
        </w:sdtPr>
        <w:sdtContent>
          <w:r w:rsidR="00343AB7" w:rsidRPr="00343AB7">
            <w:rPr>
              <w:color w:val="000000"/>
              <w:vertAlign w:val="superscript"/>
            </w:rPr>
            <w:t>21,22</w:t>
          </w:r>
        </w:sdtContent>
      </w:sdt>
      <w:r>
        <w:rPr>
          <w:color w:val="000000"/>
          <w:vertAlign w:val="superscript"/>
        </w:rPr>
        <w:t xml:space="preserve"> </w:t>
      </w:r>
      <w:r>
        <w:t xml:space="preserve">These findings underscore the critical role of maintaining good </w:t>
      </w:r>
      <w:proofErr w:type="spellStart"/>
      <w:r>
        <w:t>glycemic</w:t>
      </w:r>
      <w:proofErr w:type="spellEnd"/>
      <w:r>
        <w:t xml:space="preserve"> control in preventing or managing NAFLD among diabetic patients. Elevated HbA1c signifies prolonged periods of high blood sugar, which can worsen insulin resistance and promote fat accumulation in the liver. Regular monitoring of HbA1c levels in diabetic patients can serve as an early warning sign for NAFLD development.</w:t>
      </w:r>
      <w:sdt>
        <w:sdtPr>
          <w:rPr>
            <w:color w:val="000000"/>
            <w:vertAlign w:val="superscript"/>
          </w:rPr>
          <w:tag w:val="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"/>
          <w:id w:val="-17012481"/>
          <w:placeholder>
            <w:docPart w:val="DefaultPlaceholder_-1854013440"/>
          </w:placeholder>
        </w:sdtPr>
        <w:sdtContent>
          <w:r w:rsidR="00343AB7" w:rsidRPr="00343AB7">
            <w:rPr>
              <w:color w:val="000000"/>
              <w:vertAlign w:val="superscript"/>
            </w:rPr>
            <w:t>23,24</w:t>
          </w:r>
        </w:sdtContent>
      </w:sdt>
      <w:r>
        <w:t xml:space="preserve"> By implementing intensive </w:t>
      </w:r>
      <w:proofErr w:type="spellStart"/>
      <w:r>
        <w:t>glycemic</w:t>
      </w:r>
      <w:proofErr w:type="spellEnd"/>
      <w:r>
        <w:t xml:space="preserve"> control strategies, clinicians can potentially reduce the risk of NAFLD in this high-risk population.</w:t>
      </w:r>
    </w:p>
    <w:p w14:paraId="5157BA0D" w14:textId="7C007993" w:rsidR="00F91E07" w:rsidRDefault="00F91E07" w:rsidP="00DD2E7F">
      <w:pPr>
        <w:pStyle w:val="NormalWeb"/>
        <w:spacing w:before="0" w:beforeAutospacing="0" w:after="0" w:afterAutospacing="0"/>
        <w:jc w:val="both"/>
      </w:pPr>
      <w:r>
        <w:t xml:space="preserve">The analysis </w:t>
      </w:r>
      <w:r w:rsidR="007C0AAD">
        <w:t xml:space="preserve">of the current study </w:t>
      </w:r>
      <w:r>
        <w:t xml:space="preserve">revealed a clear association between elevated triglycerides (TG) and NAFLD. Individuals with NAFLD had significantly higher triglyceride levels (1.4 ± </w:t>
      </w:r>
      <w:r>
        <w:lastRenderedPageBreak/>
        <w:t xml:space="preserve">0.6 mmol/L) compared to those without (1.1 ± 0.5 mmol/L). This observation is further supported by the second table, where 66.7% of individuals with elevated triglycerides had NAFLD, compared to only 28.9% with normal triglyceride levels. The OR of 4.9 (95% CI: 1.5 – 15.3) translates to a nearly fivefold increased risk of NAFLD with high triglycerides. The current findings </w:t>
      </w:r>
      <w:r w:rsidR="007C0AAD">
        <w:t>are</w:t>
      </w:r>
      <w:r>
        <w:t xml:space="preserve"> consistent with the findings of a</w:t>
      </w:r>
      <w:r w:rsidRPr="00BF1340">
        <w:t xml:space="preserve"> cohort study </w:t>
      </w:r>
      <w:r>
        <w:t xml:space="preserve">which </w:t>
      </w:r>
      <w:r w:rsidRPr="00BF1340">
        <w:t>showed that higher TG was strongly associated with increased risk of incident fatty liver and NAFLD. Similarly, in a cross-sectional study involving a large sample of children and adolescents, TG was independently related to NAFLD.</w:t>
      </w:r>
      <w:sdt>
        <w:sdtPr>
          <w:rPr>
            <w:color w:val="000000"/>
            <w:vertAlign w:val="superscript"/>
          </w:rPr>
          <w:tag w:val="MENDELEY_CITATION_v3_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"/>
          <w:id w:val="125429832"/>
          <w:placeholder>
            <w:docPart w:val="DefaultPlaceholder_-1854013440"/>
          </w:placeholder>
        </w:sdtPr>
        <w:sdtContent>
          <w:r w:rsidR="00343AB7" w:rsidRPr="00343AB7">
            <w:rPr>
              <w:color w:val="000000"/>
              <w:vertAlign w:val="superscript"/>
            </w:rPr>
            <w:t>25</w:t>
          </w:r>
        </w:sdtContent>
      </w:sdt>
      <w:r w:rsidRPr="00BF1340">
        <w:t xml:space="preserve"> Consistently, </w:t>
      </w:r>
      <w:r>
        <w:t>the</w:t>
      </w:r>
      <w:r w:rsidRPr="00BF1340">
        <w:t xml:space="preserve"> present study also revealed a close relationship between TG and NAFLD. The prevalence and O</w:t>
      </w:r>
      <w:r>
        <w:t xml:space="preserve">dds </w:t>
      </w:r>
      <w:r w:rsidRPr="00BF1340">
        <w:t>R</w:t>
      </w:r>
      <w:r>
        <w:t>atios</w:t>
      </w:r>
      <w:r w:rsidRPr="00BF1340">
        <w:t xml:space="preserve"> of NAFLD increased progressively </w:t>
      </w:r>
      <w:r>
        <w:t>with elevated</w:t>
      </w:r>
      <w:r w:rsidRPr="00BF1340">
        <w:t xml:space="preserve"> TG. </w:t>
      </w:r>
      <w:r w:rsidRPr="00AF3330">
        <w:t>Though the mechanism underlying the link between TG</w:t>
      </w:r>
      <w:r>
        <w:t xml:space="preserve"> </w:t>
      </w:r>
      <w:r w:rsidRPr="00AF3330">
        <w:t xml:space="preserve">and NAFLD has not been fully elucidated, insulin resistance is a potential mediator. </w:t>
      </w:r>
      <w:r>
        <w:t xml:space="preserve">Triglyceride </w:t>
      </w:r>
      <w:r w:rsidRPr="00AF3330">
        <w:t>was found to be closely associated with insulin resistance in different populations including and has been recommended as a clinical indicator of insulin resistance.</w:t>
      </w:r>
      <w:sdt>
        <w:sdtPr>
          <w:rPr>
            <w:color w:val="000000"/>
            <w:vertAlign w:val="superscript"/>
          </w:rPr>
          <w:tag w:val="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"/>
          <w:id w:val="1731810330"/>
          <w:placeholder>
            <w:docPart w:val="DefaultPlaceholder_-1854013440"/>
          </w:placeholder>
        </w:sdtPr>
        <w:sdtContent>
          <w:r w:rsidR="00343AB7" w:rsidRPr="00343AB7">
            <w:rPr>
              <w:color w:val="000000"/>
              <w:vertAlign w:val="superscript"/>
            </w:rPr>
            <w:t>17,19,26,27</w:t>
          </w:r>
        </w:sdtContent>
      </w:sdt>
      <w:r w:rsidRPr="00AF3330">
        <w:t xml:space="preserve"> In experimental studies, insulin resistance was shown to promote the secretion of larger and TG over-enriched VLDL particles</w:t>
      </w:r>
      <w:r>
        <w:t xml:space="preserve">. </w:t>
      </w:r>
      <w:r w:rsidRPr="00AF3330">
        <w:t>Thus, insulin resistance contributes to the increase of TG. On the other hand, insulin resistance promotes NAFLD by inducing lipolysis of adipose tissue TG and de novo synthesis of TG in the liver.</w:t>
      </w:r>
      <w:sdt>
        <w:sdtPr>
          <w:rPr>
            <w:color w:val="000000"/>
            <w:vertAlign w:val="superscript"/>
          </w:rPr>
          <w:tag w:val="MENDELEY_CITATION_v3_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"/>
          <w:id w:val="-1480837180"/>
          <w:placeholder>
            <w:docPart w:val="DefaultPlaceholder_-1854013440"/>
          </w:placeholder>
        </w:sdtPr>
        <w:sdtContent>
          <w:r w:rsidR="00343AB7" w:rsidRPr="00343AB7">
            <w:rPr>
              <w:color w:val="000000"/>
              <w:vertAlign w:val="superscript"/>
            </w:rPr>
            <w:t>26</w:t>
          </w:r>
        </w:sdtContent>
      </w:sdt>
      <w:r w:rsidRPr="00AF3330">
        <w:t xml:space="preserve"> Thus, insulin resistance may be responsible for the association between TG</w:t>
      </w:r>
      <w:r>
        <w:t xml:space="preserve"> </w:t>
      </w:r>
      <w:r w:rsidRPr="00AF3330">
        <w:t>and NAF</w:t>
      </w:r>
      <w:r>
        <w:t>LD. Effective management of triglycerides is crucial in reducing NAFLD risk. This can be achieved through dietary modifications, increased physical activity, and potentially medications like fibrates or omega-3 fatty acids.</w:t>
      </w:r>
      <w:sdt>
        <w:sdtPr>
          <w:rPr>
            <w:color w:val="000000"/>
            <w:vertAlign w:val="superscript"/>
          </w:rPr>
          <w:tag w:val="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"/>
          <w:id w:val="-2085372207"/>
          <w:placeholder>
            <w:docPart w:val="DefaultPlaceholder_-1854013440"/>
          </w:placeholder>
        </w:sdtPr>
        <w:sdtContent>
          <w:r w:rsidR="00343AB7" w:rsidRPr="00343AB7">
            <w:rPr>
              <w:color w:val="000000"/>
              <w:vertAlign w:val="superscript"/>
            </w:rPr>
            <w:t>28,29</w:t>
          </w:r>
        </w:sdtContent>
      </w:sdt>
      <w:r>
        <w:t xml:space="preserve"> Clinicians managing T2DM patients should take a comprehensive approach to lipid management, addressing not only triglycerides but also other lipid profiles and metabolic parameters to holistically address NAFLD risk.</w:t>
      </w:r>
      <w:sdt>
        <w:sdtPr>
          <w:rPr>
            <w:color w:val="000000"/>
            <w:vertAlign w:val="superscript"/>
          </w:rPr>
          <w:tag w:val="MENDELEY_CITATION_v3_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"/>
          <w:id w:val="-1700472503"/>
          <w:placeholder>
            <w:docPart w:val="DefaultPlaceholder_-1854013440"/>
          </w:placeholder>
        </w:sdtPr>
        <w:sdtContent>
          <w:r w:rsidR="00343AB7" w:rsidRPr="00343AB7">
            <w:rPr>
              <w:color w:val="000000"/>
              <w:vertAlign w:val="superscript"/>
            </w:rPr>
            <w:t>30</w:t>
          </w:r>
        </w:sdtContent>
      </w:sdt>
    </w:p>
    <w:p w14:paraId="2D895D24" w14:textId="0B9399B4" w:rsidR="00F91E07" w:rsidRDefault="00F91E07" w:rsidP="00DD2E7F">
      <w:pPr>
        <w:pStyle w:val="NormalWeb"/>
        <w:spacing w:before="0" w:beforeAutospacing="0" w:after="0" w:afterAutospacing="0"/>
        <w:jc w:val="both"/>
      </w:pPr>
      <w:r>
        <w:t xml:space="preserve">The study suggests a potential protective effect of HDL against NAFLD. While the difference in HDL levels between NAFLD groups was slight (0.9 ± 0.3 mmol/L in NAFLD-positive vs 0.8 ± 0.3 mmol/L in NAFLD-negative), the second table revealed a key finding: none of the individuals with elevated HDL had NAFLD. Strategies to increase HDL, such as lifestyle changes and potentially specific medications, might benefit patients at risk of NAFLD. While lowering LDL and triglycerides often takes </w:t>
      </w:r>
      <w:r w:rsidR="007C45A9">
        <w:t>centre</w:t>
      </w:r>
      <w:r>
        <w:t xml:space="preserve"> stage, enhancing HDL levels should also be part of a comprehensive approach to reduce overall metabolic risk, including NAFLD.</w:t>
      </w:r>
      <w:sdt>
        <w:sdtPr>
          <w:rPr>
            <w:color w:val="000000"/>
            <w:vertAlign w:val="superscript"/>
          </w:rPr>
          <w:tag w:val="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"/>
          <w:id w:val="-1061548119"/>
          <w:placeholder>
            <w:docPart w:val="DefaultPlaceholder_-1854013440"/>
          </w:placeholder>
        </w:sdtPr>
        <w:sdtContent>
          <w:r w:rsidR="00343AB7" w:rsidRPr="00343AB7">
            <w:rPr>
              <w:color w:val="000000"/>
              <w:vertAlign w:val="superscript"/>
            </w:rPr>
            <w:t>9,10</w:t>
          </w:r>
        </w:sdtContent>
      </w:sdt>
    </w:p>
    <w:p w14:paraId="2FB64004" w14:textId="4D905BDA" w:rsidR="00F91E07" w:rsidRDefault="00F91E07" w:rsidP="002C177E">
      <w:pPr>
        <w:pStyle w:val="NormalWeb"/>
        <w:jc w:val="both"/>
      </w:pPr>
      <w:r>
        <w:t>The</w:t>
      </w:r>
      <w:r w:rsidR="007C0AAD">
        <w:t xml:space="preserve"> current</w:t>
      </w:r>
      <w:r>
        <w:t xml:space="preserve"> study did not </w:t>
      </w:r>
      <w:r w:rsidR="007C0AAD">
        <w:t>show</w:t>
      </w:r>
      <w:r>
        <w:t xml:space="preserve"> a significant association between LDL levels and NAFLD. There were no significant differences in LDL levels between individuals with and without NAFLD, and the second table showed similar proportions of NAFLD in both elevated and normal LDL groups. While LDL does not appear to directly influence NAFLD risk, its management remains critical for overall cardiovascular health, particularly in diabetic patients with a high risk of cardiovascular complications. Despite the lack of a direct link to NAFLD, LDL management should still be integrated into the treatment plan for </w:t>
      </w:r>
      <w:proofErr w:type="spellStart"/>
      <w:r>
        <w:t>dyslipidemia</w:t>
      </w:r>
      <w:proofErr w:type="spellEnd"/>
      <w:r>
        <w:t xml:space="preserve"> and cardiovascular risk reduction in diabetic patients.</w:t>
      </w:r>
      <w:r w:rsidR="007C0AAD">
        <w:t xml:space="preserve"> </w:t>
      </w:r>
      <w:r>
        <w:t>The analysis suggests that total bilirubin and albumin levels might not be directly impacted by or predictive of NAFLD in this population. There were no significant differences in these markers between the NAFLD-positive and negative groups. While total bilirubin and albumin are standard liver function tests, their lack of significant difference in this study suggests they may not be sensitive enough to diagnose NAFLD alone. However, they remain important for overall liver health and should be part of routine monitoring in patients with T2DM.</w:t>
      </w:r>
    </w:p>
    <w:p w14:paraId="2E967640" w14:textId="77777777" w:rsidR="00F91E07" w:rsidRDefault="00F91E07" w:rsidP="002C177E">
      <w:pPr>
        <w:spacing w:line="240" w:lineRule="auto"/>
        <w:rPr>
          <w:b/>
          <w:bCs/>
        </w:rPr>
      </w:pPr>
      <w:r>
        <w:rPr>
          <w:b/>
          <w:bCs/>
        </w:rPr>
        <w:t>5.0</w:t>
      </w:r>
      <w:r>
        <w:rPr>
          <w:b/>
          <w:bCs/>
        </w:rPr>
        <w:tab/>
        <w:t>CONCLUSION</w:t>
      </w:r>
    </w:p>
    <w:p w14:paraId="5D434918" w14:textId="44E520BC" w:rsidR="00F91E07" w:rsidRPr="00E54925" w:rsidRDefault="00F91E07" w:rsidP="002C177E">
      <w:pPr>
        <w:spacing w:line="240" w:lineRule="auto"/>
        <w:rPr>
          <w:b/>
          <w:bCs/>
        </w:rPr>
      </w:pPr>
      <w:r>
        <w:t xml:space="preserve">People with type 2 diabetes face a complex interplay between their blood </w:t>
      </w:r>
      <w:proofErr w:type="spellStart"/>
      <w:r w:rsidR="007C45A9">
        <w:t>glyceamic</w:t>
      </w:r>
      <w:proofErr w:type="spellEnd"/>
      <w:r>
        <w:t xml:space="preserve"> control, cholesterol levels, and a liver condition called NAFLD. This study explored these connections and found that poor blood </w:t>
      </w:r>
      <w:proofErr w:type="spellStart"/>
      <w:r w:rsidR="007C45A9">
        <w:t>glyceamic</w:t>
      </w:r>
      <w:proofErr w:type="spellEnd"/>
      <w:r>
        <w:t xml:space="preserve"> control, indicated by high HbA1c levels, and high </w:t>
      </w:r>
      <w:r>
        <w:lastRenderedPageBreak/>
        <w:t xml:space="preserve">triglycerides significantly increased the risk of NAFLD. Conversely, higher levels of HDL cholesterol seemed to offer some protection against developing NAFLD. Interestingly, LDL management, while crucial for overall heart health in diabetic patients, wasn't directly linked to NAFLD risk in this study. Standard liver function tests for bilirubin and albumin also proved to be less informative for diagnosing NAFLD in this population. Based on these findings, the study recommends several key strategies for managing NAFLD risk in diabetic patients. Doctors should prioritize regular screening for NAFLD, particularly in patients with poorly controlled blood </w:t>
      </w:r>
      <w:r w:rsidR="007C45A9">
        <w:t>glucose</w:t>
      </w:r>
      <w:r>
        <w:t xml:space="preserve"> or high triglycerides. A comprehensive treatment approach is vital, encompassing strategies to manage blood </w:t>
      </w:r>
      <w:r w:rsidR="007C45A9">
        <w:t>glucose</w:t>
      </w:r>
      <w:r>
        <w:t xml:space="preserve">, lower triglycerides, and potentially even explore ways to increase HDL levels. Empowering patients with knowledge about the importance of maintaining good blood </w:t>
      </w:r>
      <w:proofErr w:type="spellStart"/>
      <w:r w:rsidR="007C45A9">
        <w:t>glyceamic</w:t>
      </w:r>
      <w:proofErr w:type="spellEnd"/>
      <w:r>
        <w:t xml:space="preserve"> control and adopting healthy habits is also crucial. Finally, tailoring treatment plans to each patient's individual risk profile, considering both metabolic factors and potential risks to their liver and heart health, is essential. By implementing these recommendations, healthcare professionals can take significant strides towards mitigating the risk of NAFLD and its associated complications in the growing population of diabetic patients. </w:t>
      </w:r>
    </w:p>
    <w:p w14:paraId="7958015F" w14:textId="77777777" w:rsidR="00F91E07" w:rsidRDefault="00F91E07" w:rsidP="002C177E">
      <w:pPr>
        <w:spacing w:line="240" w:lineRule="auto"/>
      </w:pPr>
    </w:p>
    <w:p w14:paraId="1E4007E3" w14:textId="458FC177" w:rsidR="007C0AAD" w:rsidRDefault="007C0AAD" w:rsidP="002C177E">
      <w:pPr>
        <w:spacing w:line="240" w:lineRule="auto"/>
        <w:rPr>
          <w:b/>
          <w:bCs/>
        </w:rPr>
      </w:pPr>
      <w:r>
        <w:rPr>
          <w:b/>
          <w:bCs/>
        </w:rPr>
        <w:t>REFERENCES</w:t>
      </w:r>
    </w:p>
    <w:sdt>
      <w:sdtPr>
        <w:rPr>
          <w:b/>
          <w:bCs/>
        </w:rPr>
        <w:tag w:val="MENDELEY_BIBLIOGRAPHY"/>
        <w:id w:val="95759103"/>
        <w:placeholder>
          <w:docPart w:val="DefaultPlaceholder_-1854013440"/>
        </w:placeholder>
      </w:sdtPr>
      <w:sdtEndPr>
        <w:rPr>
          <w:sz w:val="22"/>
          <w:szCs w:val="18"/>
        </w:rPr>
      </w:sdtEndPr>
      <w:sdtContent>
        <w:p w14:paraId="75ACC65B" w14:textId="77777777" w:rsidR="00343AB7" w:rsidRDefault="00343AB7">
          <w:pPr>
            <w:autoSpaceDE w:val="0"/>
            <w:autoSpaceDN w:val="0"/>
            <w:ind w:hanging="640"/>
            <w:divId w:val="1510676115"/>
            <w:rPr>
              <w:szCs w:val="24"/>
            </w:rPr>
          </w:pPr>
          <w:r>
            <w:t xml:space="preserve">1. </w:t>
          </w:r>
          <w:r>
            <w:tab/>
            <w:t xml:space="preserve">McPherson S, Hardy T, Henderson E, Burt AD, Day CP, Anstee QM. Evidence of NAFLD progression from steatosis to fibrosing-steatohepatitis using paired biopsies: implications for prognosis and clinical management. </w:t>
          </w:r>
          <w:r>
            <w:rPr>
              <w:i/>
              <w:iCs/>
            </w:rPr>
            <w:t>J Hepatol.</w:t>
          </w:r>
          <w:r>
            <w:t xml:space="preserve"> 2015;62:1148–55. </w:t>
          </w:r>
        </w:p>
        <w:p w14:paraId="004280B5" w14:textId="77777777" w:rsidR="00343AB7" w:rsidRDefault="00343AB7">
          <w:pPr>
            <w:autoSpaceDE w:val="0"/>
            <w:autoSpaceDN w:val="0"/>
            <w:ind w:hanging="640"/>
            <w:divId w:val="1749111701"/>
          </w:pPr>
          <w:r>
            <w:t xml:space="preserve">2. </w:t>
          </w:r>
          <w:r>
            <w:tab/>
            <w:t xml:space="preserve">Kleiner DE, Brunt EM, Wilson LA, Behling C, Guy C, Contos M, et al. Association of histologic disease activity with progression of </w:t>
          </w:r>
          <w:proofErr w:type="spellStart"/>
          <w:r>
            <w:t>nonalcoholic</w:t>
          </w:r>
          <w:proofErr w:type="spellEnd"/>
          <w:r>
            <w:t xml:space="preserve"> fatty liver disease. </w:t>
          </w:r>
          <w:r>
            <w:rPr>
              <w:i/>
              <w:iCs/>
            </w:rPr>
            <w:t xml:space="preserve">JAMA </w:t>
          </w:r>
          <w:proofErr w:type="spellStart"/>
          <w:r>
            <w:rPr>
              <w:i/>
              <w:iCs/>
            </w:rPr>
            <w:t>Netw</w:t>
          </w:r>
          <w:proofErr w:type="spellEnd"/>
          <w:r>
            <w:rPr>
              <w:i/>
              <w:iCs/>
            </w:rPr>
            <w:t xml:space="preserve"> Open.</w:t>
          </w:r>
          <w:r>
            <w:t xml:space="preserve"> 2019;2. </w:t>
          </w:r>
        </w:p>
        <w:p w14:paraId="125045BF" w14:textId="77777777" w:rsidR="00343AB7" w:rsidRDefault="00343AB7">
          <w:pPr>
            <w:autoSpaceDE w:val="0"/>
            <w:autoSpaceDN w:val="0"/>
            <w:ind w:hanging="640"/>
            <w:divId w:val="1468234835"/>
          </w:pPr>
          <w:r>
            <w:t xml:space="preserve">3. </w:t>
          </w:r>
          <w:r>
            <w:tab/>
          </w:r>
          <w:proofErr w:type="spellStart"/>
          <w:r>
            <w:t>Younossi</w:t>
          </w:r>
          <w:proofErr w:type="spellEnd"/>
          <w:r>
            <w:t xml:space="preserve"> ZM, Koenig AB, </w:t>
          </w:r>
          <w:proofErr w:type="spellStart"/>
          <w:r>
            <w:t>Abdelatif</w:t>
          </w:r>
          <w:proofErr w:type="spellEnd"/>
          <w:r>
            <w:t xml:space="preserve"> D, Fazel Y, Henry L, Wymer M. Global epidemiology of </w:t>
          </w:r>
          <w:proofErr w:type="spellStart"/>
          <w:r>
            <w:t>nonalcoholic</w:t>
          </w:r>
          <w:proofErr w:type="spellEnd"/>
          <w:r>
            <w:t xml:space="preserve"> fatty liver disease-meta-analytic assessment of prevalence, incidence, and outcomes. </w:t>
          </w:r>
          <w:r>
            <w:rPr>
              <w:i/>
              <w:iCs/>
            </w:rPr>
            <w:t>Hepatology.</w:t>
          </w:r>
          <w:r>
            <w:t xml:space="preserve"> 2016;64:73–84. </w:t>
          </w:r>
        </w:p>
        <w:p w14:paraId="2C906763" w14:textId="77777777" w:rsidR="00343AB7" w:rsidRDefault="00343AB7">
          <w:pPr>
            <w:autoSpaceDE w:val="0"/>
            <w:autoSpaceDN w:val="0"/>
            <w:ind w:hanging="640"/>
            <w:divId w:val="515464382"/>
          </w:pPr>
          <w:r>
            <w:t xml:space="preserve">4. </w:t>
          </w:r>
          <w:r>
            <w:tab/>
            <w:t xml:space="preserve">Ryu S, Chang Y, Jung HS, Yun KE, Kwon MJ, Choi Y, et al. Relationship of sitting time and physical activity with non-alcoholic fatty liver disease. </w:t>
          </w:r>
          <w:r>
            <w:rPr>
              <w:i/>
              <w:iCs/>
            </w:rPr>
            <w:t>J Hepatol.</w:t>
          </w:r>
          <w:r>
            <w:t xml:space="preserve"> 2015 Nov 1;63(5):1229–37. </w:t>
          </w:r>
        </w:p>
        <w:p w14:paraId="3ADB0F3F" w14:textId="77777777" w:rsidR="00343AB7" w:rsidRDefault="00343AB7">
          <w:pPr>
            <w:autoSpaceDE w:val="0"/>
            <w:autoSpaceDN w:val="0"/>
            <w:ind w:hanging="640"/>
            <w:divId w:val="548031783"/>
          </w:pPr>
          <w:r>
            <w:t xml:space="preserve">5. </w:t>
          </w:r>
          <w:r>
            <w:tab/>
            <w:t xml:space="preserve">Hazlehurst JM, Woods C, </w:t>
          </w:r>
          <w:proofErr w:type="spellStart"/>
          <w:r>
            <w:t>Marjot</w:t>
          </w:r>
          <w:proofErr w:type="spellEnd"/>
          <w:r>
            <w:t xml:space="preserve"> T, Cobbold JF, Tomlinson JW. Non-alcoholic fatty liver disease and diabetes. </w:t>
          </w:r>
          <w:r>
            <w:rPr>
              <w:i/>
              <w:iCs/>
            </w:rPr>
            <w:t>Metabolism.</w:t>
          </w:r>
          <w:r>
            <w:t xml:space="preserve"> 2016 Aug 1;65(8):1096–108. </w:t>
          </w:r>
        </w:p>
        <w:p w14:paraId="00E4BE7B" w14:textId="77777777" w:rsidR="00343AB7" w:rsidRDefault="00343AB7">
          <w:pPr>
            <w:autoSpaceDE w:val="0"/>
            <w:autoSpaceDN w:val="0"/>
            <w:ind w:hanging="640"/>
            <w:divId w:val="1400516016"/>
          </w:pPr>
          <w:r>
            <w:t xml:space="preserve">6. </w:t>
          </w:r>
          <w:r>
            <w:tab/>
            <w:t xml:space="preserve">DiStefano JK, Gerhard GS. NAFLD in normal weight individuals. </w:t>
          </w:r>
          <w:proofErr w:type="spellStart"/>
          <w:r>
            <w:rPr>
              <w:i/>
              <w:iCs/>
            </w:rPr>
            <w:t>Diabetol</w:t>
          </w:r>
          <w:proofErr w:type="spellEnd"/>
          <w:r>
            <w:rPr>
              <w:i/>
              <w:iCs/>
            </w:rPr>
            <w:t xml:space="preserve"> </w:t>
          </w:r>
          <w:proofErr w:type="spellStart"/>
          <w:r>
            <w:rPr>
              <w:i/>
              <w:iCs/>
            </w:rPr>
            <w:t>Metab</w:t>
          </w:r>
          <w:proofErr w:type="spellEnd"/>
          <w:r>
            <w:rPr>
              <w:i/>
              <w:iCs/>
            </w:rPr>
            <w:t xml:space="preserve"> Syndr.</w:t>
          </w:r>
          <w:r>
            <w:t xml:space="preserve"> 2022 Dec 1;14(1). </w:t>
          </w:r>
        </w:p>
        <w:p w14:paraId="626C18F2" w14:textId="77777777" w:rsidR="00343AB7" w:rsidRDefault="00343AB7">
          <w:pPr>
            <w:autoSpaceDE w:val="0"/>
            <w:autoSpaceDN w:val="0"/>
            <w:ind w:hanging="640"/>
            <w:divId w:val="1718385264"/>
          </w:pPr>
          <w:r>
            <w:t xml:space="preserve">7. </w:t>
          </w:r>
          <w:r>
            <w:tab/>
          </w:r>
          <w:proofErr w:type="spellStart"/>
          <w:r>
            <w:t>Olaogun</w:t>
          </w:r>
          <w:proofErr w:type="spellEnd"/>
          <w:r>
            <w:t xml:space="preserve"> I, Farag M, Hamid P. The Pathophysiology of Type 2 Diabetes Mellitus in Non-obese Individuals: An Overview of the Current Understanding. </w:t>
          </w:r>
          <w:proofErr w:type="spellStart"/>
          <w:r>
            <w:rPr>
              <w:i/>
              <w:iCs/>
            </w:rPr>
            <w:t>Cureus</w:t>
          </w:r>
          <w:proofErr w:type="spellEnd"/>
          <w:r>
            <w:rPr>
              <w:i/>
              <w:iCs/>
            </w:rPr>
            <w:t>.</w:t>
          </w:r>
          <w:r>
            <w:t xml:space="preserve"> 2020 Apr 10; </w:t>
          </w:r>
        </w:p>
        <w:p w14:paraId="6805F8D2" w14:textId="77777777" w:rsidR="00343AB7" w:rsidRDefault="00343AB7">
          <w:pPr>
            <w:autoSpaceDE w:val="0"/>
            <w:autoSpaceDN w:val="0"/>
            <w:ind w:hanging="640"/>
            <w:divId w:val="1851096862"/>
          </w:pPr>
          <w:r>
            <w:t xml:space="preserve">8. </w:t>
          </w:r>
          <w:r>
            <w:tab/>
            <w:t xml:space="preserve">Weir GC, Gaglia J, Bonner-Weir S. Inadequate β-cell mass is essential for the pathogenesis of type 2 diabetes. </w:t>
          </w:r>
          <w:r>
            <w:rPr>
              <w:i/>
              <w:iCs/>
            </w:rPr>
            <w:t>Lancet Diabetes Endocrinol.</w:t>
          </w:r>
          <w:r>
            <w:t xml:space="preserve"> 2020 Mar 1;8(3):249–56. </w:t>
          </w:r>
        </w:p>
        <w:p w14:paraId="48276DB9" w14:textId="77777777" w:rsidR="00343AB7" w:rsidRDefault="00343AB7">
          <w:pPr>
            <w:autoSpaceDE w:val="0"/>
            <w:autoSpaceDN w:val="0"/>
            <w:ind w:hanging="640"/>
            <w:divId w:val="1212156278"/>
          </w:pPr>
          <w:r>
            <w:lastRenderedPageBreak/>
            <w:t xml:space="preserve">9. </w:t>
          </w:r>
          <w:r>
            <w:tab/>
            <w:t xml:space="preserve">Kosmalski M, Śliwińska A, </w:t>
          </w:r>
          <w:proofErr w:type="spellStart"/>
          <w:r>
            <w:t>Drzewoski</w:t>
          </w:r>
          <w:proofErr w:type="spellEnd"/>
          <w:r>
            <w:t xml:space="preserve"> J. Non-Alcoholic Fatty Liver Disease or Type 2 Diabetes Mellitus—The Chicken or the Egg Dilemma. </w:t>
          </w:r>
          <w:r>
            <w:rPr>
              <w:i/>
              <w:iCs/>
            </w:rPr>
            <w:t>Biomedicines 2023, Vol 11, Page 1097 [Internet].</w:t>
          </w:r>
          <w:r>
            <w:t xml:space="preserve"> 2023 Apr 4 [cited 2024 May 29];11(4):1097. Available from: https://www.mdpi.com/2227-9059/11/4/1097/htm</w:t>
          </w:r>
        </w:p>
        <w:p w14:paraId="2BA93F74" w14:textId="77777777" w:rsidR="00343AB7" w:rsidRDefault="00343AB7">
          <w:pPr>
            <w:autoSpaceDE w:val="0"/>
            <w:autoSpaceDN w:val="0"/>
            <w:ind w:hanging="640"/>
            <w:divId w:val="467164295"/>
          </w:pPr>
          <w:r>
            <w:t xml:space="preserve">10. </w:t>
          </w:r>
          <w:r>
            <w:tab/>
            <w:t xml:space="preserve">Atan NAD, </w:t>
          </w:r>
          <w:proofErr w:type="spellStart"/>
          <w:r>
            <w:t>Koushki</w:t>
          </w:r>
          <w:proofErr w:type="spellEnd"/>
          <w:r>
            <w:t xml:space="preserve"> M, </w:t>
          </w:r>
          <w:proofErr w:type="spellStart"/>
          <w:r>
            <w:t>Motedayen</w:t>
          </w:r>
          <w:proofErr w:type="spellEnd"/>
          <w:r>
            <w:t xml:space="preserve"> M, </w:t>
          </w:r>
          <w:proofErr w:type="spellStart"/>
          <w:r>
            <w:t>Dousti</w:t>
          </w:r>
          <w:proofErr w:type="spellEnd"/>
          <w:r>
            <w:t xml:space="preserve"> M, </w:t>
          </w:r>
          <w:proofErr w:type="spellStart"/>
          <w:r>
            <w:t>Sayehmiri</w:t>
          </w:r>
          <w:proofErr w:type="spellEnd"/>
          <w:r>
            <w:t xml:space="preserve"> F, Vafaee R, et al. Type 2 diabetes mellitus and non-alcoholic fatty liver disease: a systematic review and meta-analysis. </w:t>
          </w:r>
          <w:r>
            <w:rPr>
              <w:i/>
              <w:iCs/>
            </w:rPr>
            <w:t>Gastroenterol Hepatol Bed Bench [Internet].</w:t>
          </w:r>
          <w:r>
            <w:t xml:space="preserve"> 2017 [cited 2024 May 29];10(Suppl1):S1. Available from: /</w:t>
          </w:r>
          <w:proofErr w:type="spellStart"/>
          <w:r>
            <w:t>pmc</w:t>
          </w:r>
          <w:proofErr w:type="spellEnd"/>
          <w:r>
            <w:t>/articles/PMC5838173/</w:t>
          </w:r>
        </w:p>
        <w:p w14:paraId="16F4188A" w14:textId="77777777" w:rsidR="00343AB7" w:rsidRDefault="00343AB7">
          <w:pPr>
            <w:autoSpaceDE w:val="0"/>
            <w:autoSpaceDN w:val="0"/>
            <w:ind w:hanging="640"/>
            <w:divId w:val="2082173206"/>
          </w:pPr>
          <w:r>
            <w:t xml:space="preserve">11. </w:t>
          </w:r>
          <w:r>
            <w:tab/>
          </w:r>
          <w:proofErr w:type="spellStart"/>
          <w:r>
            <w:t>Dharmalingam</w:t>
          </w:r>
          <w:proofErr w:type="spellEnd"/>
          <w:r>
            <w:t xml:space="preserve"> M, </w:t>
          </w:r>
          <w:proofErr w:type="spellStart"/>
          <w:r>
            <w:t>Yamasandhi</w:t>
          </w:r>
          <w:proofErr w:type="spellEnd"/>
          <w:r>
            <w:t xml:space="preserve"> PG. </w:t>
          </w:r>
          <w:proofErr w:type="spellStart"/>
          <w:r>
            <w:t>Nonalcoholic</w:t>
          </w:r>
          <w:proofErr w:type="spellEnd"/>
          <w:r>
            <w:t xml:space="preserve"> Fatty Liver Disease and Type 2 Diabetes Mellitus. </w:t>
          </w:r>
          <w:r>
            <w:rPr>
              <w:i/>
              <w:iCs/>
            </w:rPr>
            <w:t xml:space="preserve">Indian J Endocrinol </w:t>
          </w:r>
          <w:proofErr w:type="spellStart"/>
          <w:r>
            <w:rPr>
              <w:i/>
              <w:iCs/>
            </w:rPr>
            <w:t>Metab</w:t>
          </w:r>
          <w:proofErr w:type="spellEnd"/>
          <w:r>
            <w:rPr>
              <w:i/>
              <w:iCs/>
            </w:rPr>
            <w:t xml:space="preserve"> [Internet].</w:t>
          </w:r>
          <w:r>
            <w:t xml:space="preserve"> 2018 [cited 2024 May 29];22(3):421. Available from: /</w:t>
          </w:r>
          <w:proofErr w:type="spellStart"/>
          <w:r>
            <w:t>pmc</w:t>
          </w:r>
          <w:proofErr w:type="spellEnd"/>
          <w:r>
            <w:t>/articles/PMC6063173/</w:t>
          </w:r>
        </w:p>
        <w:p w14:paraId="2D5E1FFB" w14:textId="77777777" w:rsidR="00343AB7" w:rsidRDefault="00343AB7">
          <w:pPr>
            <w:autoSpaceDE w:val="0"/>
            <w:autoSpaceDN w:val="0"/>
            <w:ind w:hanging="640"/>
            <w:divId w:val="369962460"/>
          </w:pPr>
          <w:r w:rsidRPr="00343AB7">
            <w:rPr>
              <w:lang w:val="it-IT"/>
            </w:rPr>
            <w:t xml:space="preserve">12. </w:t>
          </w:r>
          <w:r w:rsidRPr="00343AB7">
            <w:rPr>
              <w:lang w:val="it-IT"/>
            </w:rPr>
            <w:tab/>
            <w:t xml:space="preserve">Onyekwere CA, Ogbera AO, Balogun BO. </w:t>
          </w:r>
          <w:r>
            <w:t xml:space="preserve">Non-alcoholic fatty liver disease and the metabolic syndrome in an urban hospital serving an African community. </w:t>
          </w:r>
          <w:r>
            <w:rPr>
              <w:i/>
              <w:iCs/>
            </w:rPr>
            <w:t>Ann Hepatol.</w:t>
          </w:r>
          <w:r>
            <w:t xml:space="preserve"> 2011;10(2):119–24. </w:t>
          </w:r>
        </w:p>
        <w:p w14:paraId="0EFD9C5B" w14:textId="77777777" w:rsidR="00343AB7" w:rsidRDefault="00343AB7">
          <w:pPr>
            <w:autoSpaceDE w:val="0"/>
            <w:autoSpaceDN w:val="0"/>
            <w:ind w:hanging="640"/>
            <w:divId w:val="2012370935"/>
          </w:pPr>
          <w:r>
            <w:t xml:space="preserve">13. </w:t>
          </w:r>
          <w:r>
            <w:tab/>
          </w:r>
          <w:proofErr w:type="spellStart"/>
          <w:r>
            <w:t>Younossi</w:t>
          </w:r>
          <w:proofErr w:type="spellEnd"/>
          <w:r>
            <w:t xml:space="preserve"> ZM, </w:t>
          </w:r>
          <w:proofErr w:type="spellStart"/>
          <w:r>
            <w:t>Golabi</w:t>
          </w:r>
          <w:proofErr w:type="spellEnd"/>
          <w:r>
            <w:t xml:space="preserve"> P, de Avila L, Paik JM, </w:t>
          </w:r>
          <w:proofErr w:type="spellStart"/>
          <w:r>
            <w:t>Srishord</w:t>
          </w:r>
          <w:proofErr w:type="spellEnd"/>
          <w:r>
            <w:t xml:space="preserve"> M, Fukui N, et al. The global epidemiology of NAFLD and NASH in patients with type 2 diabetes: A systematic review and meta-analysis. </w:t>
          </w:r>
          <w:r>
            <w:rPr>
              <w:i/>
              <w:iCs/>
            </w:rPr>
            <w:t>J Hepatol.</w:t>
          </w:r>
          <w:r>
            <w:t xml:space="preserve"> 2019 Oct 1;71(4):793–801. </w:t>
          </w:r>
        </w:p>
        <w:p w14:paraId="3263FD11" w14:textId="77777777" w:rsidR="00343AB7" w:rsidRDefault="00343AB7">
          <w:pPr>
            <w:autoSpaceDE w:val="0"/>
            <w:autoSpaceDN w:val="0"/>
            <w:ind w:hanging="640"/>
            <w:divId w:val="172574536"/>
          </w:pPr>
          <w:r>
            <w:t xml:space="preserve">14. </w:t>
          </w:r>
          <w:r>
            <w:tab/>
            <w:t xml:space="preserve">Olusanya TO, Lesi OA, </w:t>
          </w:r>
          <w:proofErr w:type="spellStart"/>
          <w:r>
            <w:t>Adeyomoye</w:t>
          </w:r>
          <w:proofErr w:type="spellEnd"/>
          <w:r>
            <w:t xml:space="preserve"> AA, </w:t>
          </w:r>
          <w:proofErr w:type="spellStart"/>
          <w:r>
            <w:t>Fasanmade</w:t>
          </w:r>
          <w:proofErr w:type="spellEnd"/>
          <w:r>
            <w:t xml:space="preserve"> OA. </w:t>
          </w:r>
          <w:proofErr w:type="spellStart"/>
          <w:r>
            <w:t>Non alcoholic</w:t>
          </w:r>
          <w:proofErr w:type="spellEnd"/>
          <w:r>
            <w:t xml:space="preserve"> fatty liver disease in a Nigerian population with type II diabetes mellitus. </w:t>
          </w:r>
          <w:r>
            <w:rPr>
              <w:i/>
              <w:iCs/>
            </w:rPr>
            <w:t>Pan African Medical Journal.</w:t>
          </w:r>
          <w:r>
            <w:t xml:space="preserve"> 2016;24. </w:t>
          </w:r>
        </w:p>
        <w:p w14:paraId="40F03CE2" w14:textId="77777777" w:rsidR="00343AB7" w:rsidRDefault="00343AB7">
          <w:pPr>
            <w:autoSpaceDE w:val="0"/>
            <w:autoSpaceDN w:val="0"/>
            <w:ind w:hanging="640"/>
            <w:divId w:val="1260798508"/>
          </w:pPr>
          <w:r>
            <w:t xml:space="preserve">15. </w:t>
          </w:r>
          <w:r>
            <w:tab/>
            <w:t xml:space="preserve">Afolabi BI, Ibitoye BO, Ikem RT, Omisore AD, Idowu BM, </w:t>
          </w:r>
          <w:proofErr w:type="spellStart"/>
          <w:r>
            <w:t>Soyoye</w:t>
          </w:r>
          <w:proofErr w:type="spellEnd"/>
          <w:r>
            <w:t xml:space="preserve"> DO. The Relationship Between Glycaemic Control and Non-Alcoholic Fatty Liver Disease in Nigerian Type 2 Diabetic Patients. </w:t>
          </w:r>
          <w:r>
            <w:rPr>
              <w:i/>
              <w:iCs/>
            </w:rPr>
            <w:t>J Natl Med Assoc.</w:t>
          </w:r>
          <w:r>
            <w:t xml:space="preserve"> 2018 Jun 1;110(3):256–64. </w:t>
          </w:r>
        </w:p>
        <w:p w14:paraId="5B5C7D6C" w14:textId="77777777" w:rsidR="00343AB7" w:rsidRDefault="00343AB7">
          <w:pPr>
            <w:autoSpaceDE w:val="0"/>
            <w:autoSpaceDN w:val="0"/>
            <w:ind w:hanging="640"/>
            <w:divId w:val="1897162247"/>
          </w:pPr>
          <w:r>
            <w:t xml:space="preserve">16. </w:t>
          </w:r>
          <w:r>
            <w:tab/>
            <w:t xml:space="preserve">Cheesbrough M. </w:t>
          </w:r>
          <w:proofErr w:type="spellStart"/>
          <w:r>
            <w:t>Distric</w:t>
          </w:r>
          <w:proofErr w:type="spellEnd"/>
          <w:r>
            <w:t xml:space="preserve"> Laboratory practice in tropical countries. Second Edi. </w:t>
          </w:r>
          <w:r>
            <w:rPr>
              <w:i/>
              <w:iCs/>
            </w:rPr>
            <w:t>New York, NY, US: Cambridge University Press (CUP);</w:t>
          </w:r>
          <w:r>
            <w:t xml:space="preserve"> 2006. </w:t>
          </w:r>
        </w:p>
        <w:p w14:paraId="0644717A" w14:textId="77777777" w:rsidR="00343AB7" w:rsidRDefault="00343AB7">
          <w:pPr>
            <w:autoSpaceDE w:val="0"/>
            <w:autoSpaceDN w:val="0"/>
            <w:ind w:hanging="640"/>
            <w:divId w:val="478617865"/>
          </w:pPr>
          <w:r>
            <w:t xml:space="preserve">17. </w:t>
          </w:r>
          <w:r>
            <w:tab/>
            <w:t xml:space="preserve">Fukuda Y, Hashimoto Y, Hamaguchi M, Fukuda T, Nakamura N, </w:t>
          </w:r>
          <w:proofErr w:type="spellStart"/>
          <w:r>
            <w:t>Ohbora</w:t>
          </w:r>
          <w:proofErr w:type="spellEnd"/>
          <w:r>
            <w:t xml:space="preserve"> A, et al. Triglycerides to high-density lipoprotein cholesterol ratio is an independent predictor of incident fatty liver; a population-based cohort study. </w:t>
          </w:r>
          <w:r>
            <w:rPr>
              <w:i/>
              <w:iCs/>
            </w:rPr>
            <w:t>Liver International.</w:t>
          </w:r>
          <w:r>
            <w:t xml:space="preserve"> 2016 May 1;36(5):713–20. </w:t>
          </w:r>
        </w:p>
        <w:p w14:paraId="0AC2159D" w14:textId="77777777" w:rsidR="00343AB7" w:rsidRPr="00343AB7" w:rsidRDefault="00343AB7">
          <w:pPr>
            <w:autoSpaceDE w:val="0"/>
            <w:autoSpaceDN w:val="0"/>
            <w:ind w:hanging="640"/>
            <w:divId w:val="804078779"/>
            <w:rPr>
              <w:lang w:val="it-IT"/>
            </w:rPr>
          </w:pPr>
          <w:r>
            <w:t xml:space="preserve">18. </w:t>
          </w:r>
          <w:r>
            <w:tab/>
          </w:r>
          <w:proofErr w:type="spellStart"/>
          <w:r>
            <w:t>Vasunta</w:t>
          </w:r>
          <w:proofErr w:type="spellEnd"/>
          <w:r>
            <w:t xml:space="preserve"> RL, </w:t>
          </w:r>
          <w:proofErr w:type="spellStart"/>
          <w:r>
            <w:t>Kesäniemi</w:t>
          </w:r>
          <w:proofErr w:type="spellEnd"/>
          <w:r>
            <w:t xml:space="preserve"> YA, Ylitalo AS, </w:t>
          </w:r>
          <w:proofErr w:type="spellStart"/>
          <w:r>
            <w:t>Ukkola</w:t>
          </w:r>
          <w:proofErr w:type="spellEnd"/>
          <w:r>
            <w:t xml:space="preserve"> OH. High ambulatory blood pressure values associated with non-alcoholic fatty liver in middle-aged adults. </w:t>
          </w:r>
          <w:r w:rsidRPr="00343AB7">
            <w:rPr>
              <w:i/>
              <w:iCs/>
              <w:lang w:val="it-IT"/>
            </w:rPr>
            <w:t>J Hypertens.</w:t>
          </w:r>
          <w:r w:rsidRPr="00343AB7">
            <w:rPr>
              <w:lang w:val="it-IT"/>
            </w:rPr>
            <w:t xml:space="preserve"> 2012 Oct 1;30(10):2015–9. </w:t>
          </w:r>
        </w:p>
        <w:p w14:paraId="52C3D5AA" w14:textId="77777777" w:rsidR="00343AB7" w:rsidRDefault="00343AB7">
          <w:pPr>
            <w:autoSpaceDE w:val="0"/>
            <w:autoSpaceDN w:val="0"/>
            <w:ind w:hanging="640"/>
            <w:divId w:val="946157970"/>
          </w:pPr>
          <w:r w:rsidRPr="00343AB7">
            <w:rPr>
              <w:lang w:val="it-IT"/>
            </w:rPr>
            <w:t xml:space="preserve">19. </w:t>
          </w:r>
          <w:r w:rsidRPr="00343AB7">
            <w:rPr>
              <w:lang w:val="it-IT"/>
            </w:rPr>
            <w:tab/>
            <w:t xml:space="preserve">Leite NC, Villela-Nogueira CA, Pannain VLN, Bottino AC, Rezende GFM, Cardoso CRL, et al. </w:t>
          </w:r>
          <w:r>
            <w:t xml:space="preserve">Histopathological stages of </w:t>
          </w:r>
          <w:proofErr w:type="spellStart"/>
          <w:r>
            <w:t>nonalcoholic</w:t>
          </w:r>
          <w:proofErr w:type="spellEnd"/>
          <w:r>
            <w:t xml:space="preserve"> fatty liver disease in type 2 </w:t>
          </w:r>
          <w:r>
            <w:lastRenderedPageBreak/>
            <w:t xml:space="preserve">diabetes: prevalences and correlated factors. </w:t>
          </w:r>
          <w:r>
            <w:rPr>
              <w:i/>
              <w:iCs/>
            </w:rPr>
            <w:t>Liver International.</w:t>
          </w:r>
          <w:r>
            <w:t xml:space="preserve"> 2011 May 1;31(5):700–6. </w:t>
          </w:r>
        </w:p>
        <w:p w14:paraId="3DE8CC59" w14:textId="77777777" w:rsidR="00343AB7" w:rsidRDefault="00343AB7">
          <w:pPr>
            <w:autoSpaceDE w:val="0"/>
            <w:autoSpaceDN w:val="0"/>
            <w:ind w:hanging="640"/>
            <w:divId w:val="316308019"/>
          </w:pPr>
          <w:r>
            <w:t xml:space="preserve">20. </w:t>
          </w:r>
          <w:r>
            <w:tab/>
            <w:t xml:space="preserve">Williams CD, Stengel J, </w:t>
          </w:r>
          <w:proofErr w:type="spellStart"/>
          <w:r>
            <w:t>Asike</w:t>
          </w:r>
          <w:proofErr w:type="spellEnd"/>
          <w:r>
            <w:t xml:space="preserve"> MI, Torres DM, Shaw J, Contreras M, et al. Prevalence of </w:t>
          </w:r>
          <w:proofErr w:type="spellStart"/>
          <w:r>
            <w:t>nonalcoholic</w:t>
          </w:r>
          <w:proofErr w:type="spellEnd"/>
          <w:r>
            <w:t xml:space="preserve"> fatty liver disease and </w:t>
          </w:r>
          <w:proofErr w:type="spellStart"/>
          <w:r>
            <w:t>nonalcoholic</w:t>
          </w:r>
          <w:proofErr w:type="spellEnd"/>
          <w:r>
            <w:t xml:space="preserve"> steatohepatitis among a largely middle-aged population utilizing ultrasound and liver biopsy: A prospective study. </w:t>
          </w:r>
          <w:r>
            <w:rPr>
              <w:i/>
              <w:iCs/>
            </w:rPr>
            <w:t>Gastroenterology.</w:t>
          </w:r>
          <w:r>
            <w:t xml:space="preserve"> 2011 Jan 1;140(1):124–31. </w:t>
          </w:r>
        </w:p>
        <w:p w14:paraId="26F45A42" w14:textId="77777777" w:rsidR="00343AB7" w:rsidRDefault="00343AB7">
          <w:pPr>
            <w:autoSpaceDE w:val="0"/>
            <w:autoSpaceDN w:val="0"/>
            <w:ind w:hanging="640"/>
            <w:divId w:val="1529636483"/>
          </w:pPr>
          <w:r>
            <w:t xml:space="preserve">21. </w:t>
          </w:r>
          <w:r>
            <w:tab/>
            <w:t xml:space="preserve">Angulo P, Hui JM, Marchesini G, </w:t>
          </w:r>
          <w:proofErr w:type="spellStart"/>
          <w:r>
            <w:t>Bugianesi</w:t>
          </w:r>
          <w:proofErr w:type="spellEnd"/>
          <w:r>
            <w:t xml:space="preserve"> E, George J, Farrell GC, et al. The NAFLD fibrosis score: A </w:t>
          </w:r>
          <w:proofErr w:type="spellStart"/>
          <w:r>
            <w:t>noninvasive</w:t>
          </w:r>
          <w:proofErr w:type="spellEnd"/>
          <w:r>
            <w:t xml:space="preserve"> system that identifies liver fibrosis in patients with NAFLD. </w:t>
          </w:r>
          <w:r>
            <w:rPr>
              <w:i/>
              <w:iCs/>
            </w:rPr>
            <w:t>Hepatology.</w:t>
          </w:r>
          <w:r>
            <w:t xml:space="preserve"> 2007 Apr 1;45(4):846–54. </w:t>
          </w:r>
        </w:p>
        <w:p w14:paraId="07376D59" w14:textId="77777777" w:rsidR="00343AB7" w:rsidRPr="00343AB7" w:rsidRDefault="00343AB7">
          <w:pPr>
            <w:autoSpaceDE w:val="0"/>
            <w:autoSpaceDN w:val="0"/>
            <w:ind w:hanging="640"/>
            <w:divId w:val="1493912132"/>
            <w:rPr>
              <w:lang w:val="it-IT"/>
            </w:rPr>
          </w:pPr>
          <w:r>
            <w:t xml:space="preserve">22. </w:t>
          </w:r>
          <w:r>
            <w:tab/>
          </w:r>
          <w:proofErr w:type="spellStart"/>
          <w:r>
            <w:t>Ratziu</w:t>
          </w:r>
          <w:proofErr w:type="spellEnd"/>
          <w:r>
            <w:t xml:space="preserve"> V, Massard J, Charlotte F, </w:t>
          </w:r>
          <w:proofErr w:type="spellStart"/>
          <w:r>
            <w:t>Messous</w:t>
          </w:r>
          <w:proofErr w:type="spellEnd"/>
          <w:r>
            <w:t xml:space="preserve"> D, Imbert-</w:t>
          </w:r>
          <w:proofErr w:type="spellStart"/>
          <w:r>
            <w:t>Bismut</w:t>
          </w:r>
          <w:proofErr w:type="spellEnd"/>
          <w:r>
            <w:t xml:space="preserve"> F, </w:t>
          </w:r>
          <w:proofErr w:type="spellStart"/>
          <w:r>
            <w:t>Bonyhay</w:t>
          </w:r>
          <w:proofErr w:type="spellEnd"/>
          <w:r>
            <w:t xml:space="preserve"> L, et al. Diagnostic value of biochemical markers (Fibro Test-</w:t>
          </w:r>
          <w:proofErr w:type="spellStart"/>
          <w:r>
            <w:t>FibroSURE</w:t>
          </w:r>
          <w:proofErr w:type="spellEnd"/>
          <w:r>
            <w:t xml:space="preserve">) for the prediction of liver fibrosis in patients with non-alcoholic fatty liver disease. </w:t>
          </w:r>
          <w:r w:rsidRPr="00343AB7">
            <w:rPr>
              <w:i/>
              <w:iCs/>
              <w:lang w:val="it-IT"/>
            </w:rPr>
            <w:t>BMC Gastroenterol.</w:t>
          </w:r>
          <w:r w:rsidRPr="00343AB7">
            <w:rPr>
              <w:lang w:val="it-IT"/>
            </w:rPr>
            <w:t xml:space="preserve"> 2006;6. </w:t>
          </w:r>
        </w:p>
        <w:p w14:paraId="746A9ADD" w14:textId="77777777" w:rsidR="00343AB7" w:rsidRDefault="00343AB7">
          <w:pPr>
            <w:autoSpaceDE w:val="0"/>
            <w:autoSpaceDN w:val="0"/>
            <w:ind w:hanging="640"/>
            <w:divId w:val="312951739"/>
          </w:pPr>
          <w:r w:rsidRPr="00343AB7">
            <w:rPr>
              <w:lang w:val="it-IT"/>
            </w:rPr>
            <w:t xml:space="preserve">23. </w:t>
          </w:r>
          <w:r w:rsidRPr="00343AB7">
            <w:rPr>
              <w:lang w:val="it-IT"/>
            </w:rPr>
            <w:tab/>
            <w:t xml:space="preserve">Ballestri S, Zona S, Targher G, Romagnoli D, Baldelli E, Nascimbeni F, et al. </w:t>
          </w:r>
          <w:proofErr w:type="spellStart"/>
          <w:r>
            <w:t>Nonalcoholic</w:t>
          </w:r>
          <w:proofErr w:type="spellEnd"/>
          <w:r>
            <w:t xml:space="preserve"> fatty liver disease is associated with an almost twofold increased risk of incident type 2 diabetes and metabolic syndrome. Evidence from a systematic review and meta-analysis. </w:t>
          </w:r>
          <w:r>
            <w:rPr>
              <w:i/>
              <w:iCs/>
            </w:rPr>
            <w:t>Journal of Gastroenterology and Hepatology (Australia).</w:t>
          </w:r>
          <w:r>
            <w:t xml:space="preserve"> 2016 May 1;31(5):936–44. </w:t>
          </w:r>
        </w:p>
        <w:p w14:paraId="38C3FE95" w14:textId="77777777" w:rsidR="00343AB7" w:rsidRDefault="00343AB7">
          <w:pPr>
            <w:autoSpaceDE w:val="0"/>
            <w:autoSpaceDN w:val="0"/>
            <w:ind w:hanging="640"/>
            <w:divId w:val="1635326311"/>
          </w:pPr>
          <w:r>
            <w:t xml:space="preserve">24. </w:t>
          </w:r>
          <w:r>
            <w:tab/>
            <w:t xml:space="preserve">Lomonaco R, Leiva EG, Bril F, Shrestha S, Mansour L, Budd J, et al. Advanced liver fibrosis is common in patients with type 2 diabetes followed in the outpatient setting: The need for systematic screening. </w:t>
          </w:r>
          <w:r>
            <w:rPr>
              <w:i/>
              <w:iCs/>
            </w:rPr>
            <w:t>Diabetes Care.</w:t>
          </w:r>
          <w:r>
            <w:t xml:space="preserve"> 2021 Feb 1;44(2):399–406. </w:t>
          </w:r>
        </w:p>
        <w:p w14:paraId="520A5BFD" w14:textId="77777777" w:rsidR="00343AB7" w:rsidRDefault="00343AB7">
          <w:pPr>
            <w:autoSpaceDE w:val="0"/>
            <w:autoSpaceDN w:val="0"/>
            <w:ind w:hanging="640"/>
            <w:divId w:val="1372415375"/>
          </w:pPr>
          <w:r w:rsidRPr="00343AB7">
            <w:rPr>
              <w:lang w:val="it-IT"/>
            </w:rPr>
            <w:t xml:space="preserve">25. </w:t>
          </w:r>
          <w:r w:rsidRPr="00343AB7">
            <w:rPr>
              <w:lang w:val="it-IT"/>
            </w:rPr>
            <w:tab/>
            <w:t xml:space="preserve">Pacifico L, Bonci E, Andreoli G, Romaggioli S, Di Miscio R, Lombardo C V., et al. </w:t>
          </w:r>
          <w:r>
            <w:t xml:space="preserve">Association of serum triglyceride-to-HDL cholesterol ratio with carotid artery intima-media thickness, insulin resistance and </w:t>
          </w:r>
          <w:proofErr w:type="spellStart"/>
          <w:r>
            <w:t>nonalcoholic</w:t>
          </w:r>
          <w:proofErr w:type="spellEnd"/>
          <w:r>
            <w:t xml:space="preserve"> fatty liver disease in children and adolescents. </w:t>
          </w:r>
          <w:r>
            <w:rPr>
              <w:i/>
              <w:iCs/>
            </w:rPr>
            <w:t>Nutrition, Metabolism and Cardiovascular Diseases.</w:t>
          </w:r>
          <w:r>
            <w:t xml:space="preserve"> 2014 Jul 1;24(7):737–43. </w:t>
          </w:r>
        </w:p>
        <w:p w14:paraId="7277EC26" w14:textId="77777777" w:rsidR="00343AB7" w:rsidRDefault="00343AB7">
          <w:pPr>
            <w:autoSpaceDE w:val="0"/>
            <w:autoSpaceDN w:val="0"/>
            <w:ind w:hanging="640"/>
            <w:divId w:val="359864875"/>
          </w:pPr>
          <w:r>
            <w:t xml:space="preserve">26. </w:t>
          </w:r>
          <w:r>
            <w:tab/>
            <w:t xml:space="preserve">Fan N, Peng L, Xia Z, Zhang L, Song Z, Wang Y, et al. Triglycerides to high-density lipoprotein cholesterol ratio as a surrogate for </w:t>
          </w:r>
          <w:proofErr w:type="spellStart"/>
          <w:r>
            <w:t>nonalcoholic</w:t>
          </w:r>
          <w:proofErr w:type="spellEnd"/>
          <w:r>
            <w:t xml:space="preserve"> fatty liver disease: A cross-sectional study. </w:t>
          </w:r>
          <w:r>
            <w:rPr>
              <w:i/>
              <w:iCs/>
            </w:rPr>
            <w:t>Lipids Health Dis.</w:t>
          </w:r>
          <w:r>
            <w:t xml:space="preserve"> 2019 Feb 2;18(1):39. </w:t>
          </w:r>
        </w:p>
        <w:p w14:paraId="7DAB5594" w14:textId="77777777" w:rsidR="00343AB7" w:rsidRDefault="00343AB7">
          <w:pPr>
            <w:autoSpaceDE w:val="0"/>
            <w:autoSpaceDN w:val="0"/>
            <w:ind w:hanging="640"/>
            <w:divId w:val="1976369615"/>
          </w:pPr>
          <w:r>
            <w:t xml:space="preserve">27. </w:t>
          </w:r>
          <w:r>
            <w:tab/>
            <w:t xml:space="preserve">Ghimire S, Shakya S, Shakya J, Acharya P, </w:t>
          </w:r>
          <w:proofErr w:type="spellStart"/>
          <w:r>
            <w:t>Pardhe</w:t>
          </w:r>
          <w:proofErr w:type="spellEnd"/>
          <w:r>
            <w:t xml:space="preserve"> BD. Abnormal Liver Parameters among Individuals with Type 2 Diabetes Mellitus Nepalese Population. </w:t>
          </w:r>
          <w:proofErr w:type="spellStart"/>
          <w:r>
            <w:rPr>
              <w:i/>
              <w:iCs/>
            </w:rPr>
            <w:t>Biochem</w:t>
          </w:r>
          <w:proofErr w:type="spellEnd"/>
          <w:r>
            <w:rPr>
              <w:i/>
              <w:iCs/>
            </w:rPr>
            <w:t xml:space="preserve"> </w:t>
          </w:r>
          <w:proofErr w:type="spellStart"/>
          <w:r>
            <w:rPr>
              <w:i/>
              <w:iCs/>
            </w:rPr>
            <w:t>Pharmacol</w:t>
          </w:r>
          <w:proofErr w:type="spellEnd"/>
          <w:r>
            <w:rPr>
              <w:i/>
              <w:iCs/>
            </w:rPr>
            <w:t xml:space="preserve"> (Los Angel).</w:t>
          </w:r>
          <w:r>
            <w:t xml:space="preserve"> 2018;07(01). </w:t>
          </w:r>
        </w:p>
        <w:p w14:paraId="30FEFEA3" w14:textId="77777777" w:rsidR="00343AB7" w:rsidRDefault="00343AB7">
          <w:pPr>
            <w:autoSpaceDE w:val="0"/>
            <w:autoSpaceDN w:val="0"/>
            <w:ind w:hanging="640"/>
            <w:divId w:val="926496126"/>
          </w:pPr>
          <w:r>
            <w:lastRenderedPageBreak/>
            <w:t xml:space="preserve">28. </w:t>
          </w:r>
          <w:r>
            <w:tab/>
            <w:t xml:space="preserve">Davila JA, Morgan RO, Shaib Y, McGlynn KA, El-Serag HB. Diabetes increases the risk of hepatocellular carcinoma in the United States: A </w:t>
          </w:r>
          <w:proofErr w:type="gramStart"/>
          <w:r>
            <w:t>population based</w:t>
          </w:r>
          <w:proofErr w:type="gramEnd"/>
          <w:r>
            <w:t xml:space="preserve"> case control study. </w:t>
          </w:r>
          <w:r>
            <w:rPr>
              <w:i/>
              <w:iCs/>
            </w:rPr>
            <w:t>Gut.</w:t>
          </w:r>
          <w:r>
            <w:t xml:space="preserve"> 2005 Apr;54(4):533–9. </w:t>
          </w:r>
        </w:p>
        <w:p w14:paraId="417B6E09" w14:textId="77777777" w:rsidR="00343AB7" w:rsidRDefault="00343AB7">
          <w:pPr>
            <w:autoSpaceDE w:val="0"/>
            <w:autoSpaceDN w:val="0"/>
            <w:ind w:hanging="640"/>
            <w:divId w:val="737902249"/>
          </w:pPr>
          <w:r>
            <w:t xml:space="preserve">29. </w:t>
          </w:r>
          <w:r>
            <w:tab/>
          </w:r>
          <w:proofErr w:type="spellStart"/>
          <w:r>
            <w:t>Younossi</w:t>
          </w:r>
          <w:proofErr w:type="spellEnd"/>
          <w:r>
            <w:t xml:space="preserve"> ZM, </w:t>
          </w:r>
          <w:proofErr w:type="spellStart"/>
          <w:r>
            <w:t>Golabi</w:t>
          </w:r>
          <w:proofErr w:type="spellEnd"/>
          <w:r>
            <w:t xml:space="preserve"> P, de Avila L, Paik JM, </w:t>
          </w:r>
          <w:proofErr w:type="spellStart"/>
          <w:r>
            <w:t>Srishord</w:t>
          </w:r>
          <w:proofErr w:type="spellEnd"/>
          <w:r>
            <w:t xml:space="preserve"> M, Fukui N, et al. The global epidemiology of NAFLD and NASH in patients with type 2 diabetes: A systematic review and meta-analysis. </w:t>
          </w:r>
          <w:r>
            <w:rPr>
              <w:i/>
              <w:iCs/>
            </w:rPr>
            <w:t>J Hepatol.</w:t>
          </w:r>
          <w:r>
            <w:t xml:space="preserve"> 2019 Oct 1;71(4):793–801. </w:t>
          </w:r>
        </w:p>
        <w:p w14:paraId="3739194D" w14:textId="77777777" w:rsidR="00343AB7" w:rsidRDefault="00343AB7">
          <w:pPr>
            <w:autoSpaceDE w:val="0"/>
            <w:autoSpaceDN w:val="0"/>
            <w:ind w:hanging="640"/>
            <w:divId w:val="1101805337"/>
          </w:pPr>
          <w:r>
            <w:t xml:space="preserve">30. </w:t>
          </w:r>
          <w:r>
            <w:tab/>
            <w:t xml:space="preserve">Genua I, </w:t>
          </w:r>
          <w:proofErr w:type="spellStart"/>
          <w:r>
            <w:t>Iruzubieta</w:t>
          </w:r>
          <w:proofErr w:type="spellEnd"/>
          <w:r>
            <w:t xml:space="preserve"> P, Rodríguez-Duque JC, Pérez A, Crespo J. NAFLD and type 2 diabetes: A practical guide for the joint management. </w:t>
          </w:r>
          <w:proofErr w:type="spellStart"/>
          <w:r>
            <w:rPr>
              <w:i/>
              <w:iCs/>
            </w:rPr>
            <w:t>Gastroenterología</w:t>
          </w:r>
          <w:proofErr w:type="spellEnd"/>
          <w:r>
            <w:rPr>
              <w:i/>
              <w:iCs/>
            </w:rPr>
            <w:t xml:space="preserve"> y </w:t>
          </w:r>
          <w:proofErr w:type="spellStart"/>
          <w:r>
            <w:rPr>
              <w:i/>
              <w:iCs/>
            </w:rPr>
            <w:t>Hepatología</w:t>
          </w:r>
          <w:proofErr w:type="spellEnd"/>
          <w:r>
            <w:rPr>
              <w:i/>
              <w:iCs/>
            </w:rPr>
            <w:t xml:space="preserve"> (English Edition) [Internet].</w:t>
          </w:r>
          <w:r>
            <w:t xml:space="preserve"> 2023 Dec 1 [cited 2024 May 29];46(10):815–25. Available from: https://www.elsevier.es/en-revista-gastroenterologia-hepatologia-english-edition--382-articulo-nafld-type-2-diabetes-a-S2444382423001979</w:t>
          </w:r>
        </w:p>
        <w:p w14:paraId="43FD4405" w14:textId="248C6422" w:rsidR="007C0AAD" w:rsidRPr="007C0AAD" w:rsidRDefault="00343AB7" w:rsidP="007C0AAD">
          <w:pPr>
            <w:spacing w:line="276" w:lineRule="auto"/>
            <w:rPr>
              <w:b/>
              <w:bCs/>
              <w:sz w:val="22"/>
              <w:szCs w:val="18"/>
            </w:rPr>
          </w:pPr>
          <w:r>
            <w:t> </w:t>
          </w:r>
        </w:p>
      </w:sdtContent>
    </w:sdt>
    <w:sectPr w:rsidR="007C0AAD" w:rsidRPr="007C0AAD" w:rsidSect="0012546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350" w:left="1440" w:header="708" w:footer="708"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80BD7" w14:textId="77777777" w:rsidR="00283462" w:rsidRDefault="00283462" w:rsidP="00934329">
      <w:pPr>
        <w:spacing w:line="240" w:lineRule="auto"/>
      </w:pPr>
      <w:r>
        <w:separator/>
      </w:r>
    </w:p>
  </w:endnote>
  <w:endnote w:type="continuationSeparator" w:id="0">
    <w:p w14:paraId="2E0522BE" w14:textId="77777777" w:rsidR="00283462" w:rsidRDefault="00283462" w:rsidP="009343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859A1" w14:textId="77777777" w:rsidR="00CC6AA6" w:rsidRDefault="00CC6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445604"/>
      <w:docPartObj>
        <w:docPartGallery w:val="Page Numbers (Bottom of Page)"/>
        <w:docPartUnique/>
      </w:docPartObj>
    </w:sdtPr>
    <w:sdtContent>
      <w:p w14:paraId="5B49E6EE" w14:textId="7CAC8E96" w:rsidR="00515828" w:rsidRDefault="00515828">
        <w:pPr>
          <w:pStyle w:val="Footer"/>
          <w:jc w:val="right"/>
        </w:pPr>
        <w:r>
          <w:fldChar w:fldCharType="begin"/>
        </w:r>
        <w:r>
          <w:instrText>PAGE   \* MERGEFORMAT</w:instrText>
        </w:r>
        <w:r>
          <w:fldChar w:fldCharType="separate"/>
        </w:r>
        <w:r>
          <w:t>2</w:t>
        </w:r>
        <w:r>
          <w:fldChar w:fldCharType="end"/>
        </w:r>
      </w:p>
    </w:sdtContent>
  </w:sdt>
  <w:p w14:paraId="4A2EA1F7" w14:textId="7605E5B2" w:rsidR="0023620E" w:rsidRPr="0023620E" w:rsidRDefault="0023620E">
    <w:pPr>
      <w:pStyle w:val="Footer"/>
      <w:rPr>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4E4F5" w14:textId="77777777" w:rsidR="00CC6AA6" w:rsidRDefault="00CC6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46F37" w14:textId="77777777" w:rsidR="00283462" w:rsidRDefault="00283462" w:rsidP="00934329">
      <w:pPr>
        <w:spacing w:line="240" w:lineRule="auto"/>
      </w:pPr>
      <w:r>
        <w:separator/>
      </w:r>
    </w:p>
  </w:footnote>
  <w:footnote w:type="continuationSeparator" w:id="0">
    <w:p w14:paraId="218D857F" w14:textId="77777777" w:rsidR="00283462" w:rsidRDefault="00283462" w:rsidP="009343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AF7CD" w14:textId="54B436D5" w:rsidR="00CC6AA6" w:rsidRDefault="00CC6AA6">
    <w:pPr>
      <w:pStyle w:val="Header"/>
    </w:pPr>
    <w:r>
      <w:rPr>
        <w:noProof/>
      </w:rPr>
      <w:pict w14:anchorId="11AA7E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973501" o:spid="_x0000_s1026"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43373" w14:textId="4BBEBE79" w:rsidR="00CC6AA6" w:rsidRDefault="00CC6AA6">
    <w:pPr>
      <w:pStyle w:val="Header"/>
    </w:pPr>
    <w:r>
      <w:rPr>
        <w:noProof/>
      </w:rPr>
      <w:pict w14:anchorId="141A30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973502" o:spid="_x0000_s1027"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2F1B1" w14:textId="34BF02ED" w:rsidR="00CC6AA6" w:rsidRDefault="00CC6AA6">
    <w:pPr>
      <w:pStyle w:val="Header"/>
    </w:pPr>
    <w:r>
      <w:rPr>
        <w:noProof/>
      </w:rPr>
      <w:pict w14:anchorId="005415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973500" o:spid="_x0000_s1025"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95D31"/>
    <w:multiLevelType w:val="hybridMultilevel"/>
    <w:tmpl w:val="F20A1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2326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C6"/>
    <w:rsid w:val="00026845"/>
    <w:rsid w:val="00026CF7"/>
    <w:rsid w:val="000700AA"/>
    <w:rsid w:val="0008602D"/>
    <w:rsid w:val="000B1D5E"/>
    <w:rsid w:val="000C00D4"/>
    <w:rsid w:val="000C5E82"/>
    <w:rsid w:val="000E374E"/>
    <w:rsid w:val="00113A02"/>
    <w:rsid w:val="0012546D"/>
    <w:rsid w:val="00172A95"/>
    <w:rsid w:val="00181F9F"/>
    <w:rsid w:val="00191405"/>
    <w:rsid w:val="00215BD0"/>
    <w:rsid w:val="0022503F"/>
    <w:rsid w:val="00230F1D"/>
    <w:rsid w:val="0023620E"/>
    <w:rsid w:val="00283462"/>
    <w:rsid w:val="002C177E"/>
    <w:rsid w:val="002F64B0"/>
    <w:rsid w:val="0030120A"/>
    <w:rsid w:val="00343AB7"/>
    <w:rsid w:val="00355190"/>
    <w:rsid w:val="00384DC1"/>
    <w:rsid w:val="00395D6A"/>
    <w:rsid w:val="003A2610"/>
    <w:rsid w:val="003C60DF"/>
    <w:rsid w:val="00402551"/>
    <w:rsid w:val="004266E8"/>
    <w:rsid w:val="004708A8"/>
    <w:rsid w:val="00481D7E"/>
    <w:rsid w:val="004D08C6"/>
    <w:rsid w:val="00515828"/>
    <w:rsid w:val="005249AC"/>
    <w:rsid w:val="00543030"/>
    <w:rsid w:val="005638A9"/>
    <w:rsid w:val="005678CB"/>
    <w:rsid w:val="00574A6F"/>
    <w:rsid w:val="005F3892"/>
    <w:rsid w:val="005F7148"/>
    <w:rsid w:val="00653848"/>
    <w:rsid w:val="00747D39"/>
    <w:rsid w:val="007652D8"/>
    <w:rsid w:val="007B5C43"/>
    <w:rsid w:val="007C0AAD"/>
    <w:rsid w:val="007C1FA9"/>
    <w:rsid w:val="007C27EB"/>
    <w:rsid w:val="007C45A9"/>
    <w:rsid w:val="007D696F"/>
    <w:rsid w:val="007F63A0"/>
    <w:rsid w:val="00840A8A"/>
    <w:rsid w:val="008C5BD4"/>
    <w:rsid w:val="008E3BDC"/>
    <w:rsid w:val="009121CC"/>
    <w:rsid w:val="00931B7C"/>
    <w:rsid w:val="00934329"/>
    <w:rsid w:val="00975572"/>
    <w:rsid w:val="009C3A07"/>
    <w:rsid w:val="009C5D87"/>
    <w:rsid w:val="00A004BF"/>
    <w:rsid w:val="00A139DD"/>
    <w:rsid w:val="00A22BF1"/>
    <w:rsid w:val="00A50EAE"/>
    <w:rsid w:val="00A55E16"/>
    <w:rsid w:val="00A5625B"/>
    <w:rsid w:val="00A61A89"/>
    <w:rsid w:val="00A70EE6"/>
    <w:rsid w:val="00A742EE"/>
    <w:rsid w:val="00AC7A8A"/>
    <w:rsid w:val="00AD6FC8"/>
    <w:rsid w:val="00AF3D42"/>
    <w:rsid w:val="00B27A7C"/>
    <w:rsid w:val="00B37A30"/>
    <w:rsid w:val="00B44B98"/>
    <w:rsid w:val="00B71DC8"/>
    <w:rsid w:val="00B82C69"/>
    <w:rsid w:val="00BA42E8"/>
    <w:rsid w:val="00BA6A45"/>
    <w:rsid w:val="00BB3992"/>
    <w:rsid w:val="00C44652"/>
    <w:rsid w:val="00C51F88"/>
    <w:rsid w:val="00C539F5"/>
    <w:rsid w:val="00CC6AA6"/>
    <w:rsid w:val="00CE7BC8"/>
    <w:rsid w:val="00D033B0"/>
    <w:rsid w:val="00DD2E7F"/>
    <w:rsid w:val="00E10BF1"/>
    <w:rsid w:val="00E15B7B"/>
    <w:rsid w:val="00E24A18"/>
    <w:rsid w:val="00E46C20"/>
    <w:rsid w:val="00E54925"/>
    <w:rsid w:val="00ED0317"/>
    <w:rsid w:val="00F65347"/>
    <w:rsid w:val="00F666BD"/>
    <w:rsid w:val="00F814A5"/>
    <w:rsid w:val="00F81C9A"/>
    <w:rsid w:val="00F91E07"/>
    <w:rsid w:val="00FD45E1"/>
    <w:rsid w:val="00FF3EEA"/>
    <w:rsid w:val="00FF79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3EB40"/>
  <w15:chartTrackingRefBased/>
  <w15:docId w15:val="{81B20CAA-FE34-4E48-81A0-AB8CC58F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848"/>
    <w:pPr>
      <w:spacing w:after="0" w:line="360" w:lineRule="auto"/>
      <w:jc w:val="both"/>
    </w:pPr>
    <w:rPr>
      <w:rFonts w:ascii="Times New Roman" w:hAnsi="Times New Roman" w:cs="Times New Roman"/>
      <w:kern w:val="0"/>
      <w:sz w:val="24"/>
      <w:szCs w:val="20"/>
      <w:lang w:eastAsia="en-GB"/>
      <w14:ligatures w14:val="none"/>
    </w:rPr>
  </w:style>
  <w:style w:type="paragraph" w:styleId="Heading1">
    <w:name w:val="heading 1"/>
    <w:basedOn w:val="Normal"/>
    <w:next w:val="Normal"/>
    <w:link w:val="Heading1Char"/>
    <w:uiPriority w:val="9"/>
    <w:qFormat/>
    <w:rsid w:val="004D08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08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08C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08C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D08C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D08C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D08C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D08C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D08C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8C6"/>
    <w:rPr>
      <w:rFonts w:asciiTheme="majorHAnsi" w:eastAsiaTheme="majorEastAsia" w:hAnsiTheme="majorHAnsi" w:cstheme="majorBidi"/>
      <w:color w:val="0F4761" w:themeColor="accent1" w:themeShade="BF"/>
      <w:kern w:val="0"/>
      <w:sz w:val="40"/>
      <w:szCs w:val="40"/>
      <w:lang w:eastAsia="en-GB"/>
      <w14:ligatures w14:val="none"/>
    </w:rPr>
  </w:style>
  <w:style w:type="character" w:customStyle="1" w:styleId="Heading2Char">
    <w:name w:val="Heading 2 Char"/>
    <w:basedOn w:val="DefaultParagraphFont"/>
    <w:link w:val="Heading2"/>
    <w:uiPriority w:val="9"/>
    <w:semiHidden/>
    <w:rsid w:val="004D08C6"/>
    <w:rPr>
      <w:rFonts w:asciiTheme="majorHAnsi" w:eastAsiaTheme="majorEastAsia" w:hAnsiTheme="majorHAnsi" w:cstheme="majorBidi"/>
      <w:color w:val="0F4761" w:themeColor="accent1" w:themeShade="BF"/>
      <w:kern w:val="0"/>
      <w:sz w:val="32"/>
      <w:szCs w:val="32"/>
      <w:lang w:eastAsia="en-GB"/>
      <w14:ligatures w14:val="none"/>
    </w:rPr>
  </w:style>
  <w:style w:type="character" w:customStyle="1" w:styleId="Heading3Char">
    <w:name w:val="Heading 3 Char"/>
    <w:basedOn w:val="DefaultParagraphFont"/>
    <w:link w:val="Heading3"/>
    <w:uiPriority w:val="9"/>
    <w:semiHidden/>
    <w:rsid w:val="004D08C6"/>
    <w:rPr>
      <w:rFonts w:eastAsiaTheme="majorEastAsia" w:cstheme="majorBidi"/>
      <w:color w:val="0F4761" w:themeColor="accent1" w:themeShade="BF"/>
      <w:kern w:val="0"/>
      <w:sz w:val="28"/>
      <w:szCs w:val="28"/>
      <w:lang w:eastAsia="en-GB"/>
      <w14:ligatures w14:val="none"/>
    </w:rPr>
  </w:style>
  <w:style w:type="character" w:customStyle="1" w:styleId="Heading4Char">
    <w:name w:val="Heading 4 Char"/>
    <w:basedOn w:val="DefaultParagraphFont"/>
    <w:link w:val="Heading4"/>
    <w:uiPriority w:val="9"/>
    <w:semiHidden/>
    <w:rsid w:val="004D08C6"/>
    <w:rPr>
      <w:rFonts w:eastAsiaTheme="majorEastAsia" w:cstheme="majorBidi"/>
      <w:i/>
      <w:iCs/>
      <w:color w:val="0F4761" w:themeColor="accent1" w:themeShade="BF"/>
      <w:kern w:val="0"/>
      <w:sz w:val="24"/>
      <w:szCs w:val="20"/>
      <w:lang w:eastAsia="en-GB"/>
      <w14:ligatures w14:val="none"/>
    </w:rPr>
  </w:style>
  <w:style w:type="character" w:customStyle="1" w:styleId="Heading5Char">
    <w:name w:val="Heading 5 Char"/>
    <w:basedOn w:val="DefaultParagraphFont"/>
    <w:link w:val="Heading5"/>
    <w:uiPriority w:val="9"/>
    <w:semiHidden/>
    <w:rsid w:val="004D08C6"/>
    <w:rPr>
      <w:rFonts w:eastAsiaTheme="majorEastAsia" w:cstheme="majorBidi"/>
      <w:color w:val="0F4761" w:themeColor="accent1" w:themeShade="BF"/>
      <w:kern w:val="0"/>
      <w:sz w:val="24"/>
      <w:szCs w:val="20"/>
      <w:lang w:eastAsia="en-GB"/>
      <w14:ligatures w14:val="none"/>
    </w:rPr>
  </w:style>
  <w:style w:type="character" w:customStyle="1" w:styleId="Heading6Char">
    <w:name w:val="Heading 6 Char"/>
    <w:basedOn w:val="DefaultParagraphFont"/>
    <w:link w:val="Heading6"/>
    <w:uiPriority w:val="9"/>
    <w:semiHidden/>
    <w:rsid w:val="004D08C6"/>
    <w:rPr>
      <w:rFonts w:eastAsiaTheme="majorEastAsia" w:cstheme="majorBidi"/>
      <w:i/>
      <w:iCs/>
      <w:color w:val="595959" w:themeColor="text1" w:themeTint="A6"/>
      <w:kern w:val="0"/>
      <w:sz w:val="24"/>
      <w:szCs w:val="20"/>
      <w:lang w:eastAsia="en-GB"/>
      <w14:ligatures w14:val="none"/>
    </w:rPr>
  </w:style>
  <w:style w:type="character" w:customStyle="1" w:styleId="Heading7Char">
    <w:name w:val="Heading 7 Char"/>
    <w:basedOn w:val="DefaultParagraphFont"/>
    <w:link w:val="Heading7"/>
    <w:uiPriority w:val="9"/>
    <w:semiHidden/>
    <w:rsid w:val="004D08C6"/>
    <w:rPr>
      <w:rFonts w:eastAsiaTheme="majorEastAsia" w:cstheme="majorBidi"/>
      <w:color w:val="595959" w:themeColor="text1" w:themeTint="A6"/>
      <w:kern w:val="0"/>
      <w:sz w:val="24"/>
      <w:szCs w:val="20"/>
      <w:lang w:eastAsia="en-GB"/>
      <w14:ligatures w14:val="none"/>
    </w:rPr>
  </w:style>
  <w:style w:type="character" w:customStyle="1" w:styleId="Heading8Char">
    <w:name w:val="Heading 8 Char"/>
    <w:basedOn w:val="DefaultParagraphFont"/>
    <w:link w:val="Heading8"/>
    <w:uiPriority w:val="9"/>
    <w:semiHidden/>
    <w:rsid w:val="004D08C6"/>
    <w:rPr>
      <w:rFonts w:eastAsiaTheme="majorEastAsia" w:cstheme="majorBidi"/>
      <w:i/>
      <w:iCs/>
      <w:color w:val="272727" w:themeColor="text1" w:themeTint="D8"/>
      <w:kern w:val="0"/>
      <w:sz w:val="24"/>
      <w:szCs w:val="20"/>
      <w:lang w:eastAsia="en-GB"/>
      <w14:ligatures w14:val="none"/>
    </w:rPr>
  </w:style>
  <w:style w:type="character" w:customStyle="1" w:styleId="Heading9Char">
    <w:name w:val="Heading 9 Char"/>
    <w:basedOn w:val="DefaultParagraphFont"/>
    <w:link w:val="Heading9"/>
    <w:uiPriority w:val="9"/>
    <w:semiHidden/>
    <w:rsid w:val="004D08C6"/>
    <w:rPr>
      <w:rFonts w:eastAsiaTheme="majorEastAsia" w:cstheme="majorBidi"/>
      <w:color w:val="272727" w:themeColor="text1" w:themeTint="D8"/>
      <w:kern w:val="0"/>
      <w:sz w:val="24"/>
      <w:szCs w:val="20"/>
      <w:lang w:eastAsia="en-GB"/>
      <w14:ligatures w14:val="none"/>
    </w:rPr>
  </w:style>
  <w:style w:type="paragraph" w:styleId="Title">
    <w:name w:val="Title"/>
    <w:basedOn w:val="Normal"/>
    <w:next w:val="Normal"/>
    <w:link w:val="TitleChar"/>
    <w:uiPriority w:val="10"/>
    <w:qFormat/>
    <w:rsid w:val="004D08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08C6"/>
    <w:rPr>
      <w:rFonts w:asciiTheme="majorHAnsi" w:eastAsiaTheme="majorEastAsia" w:hAnsiTheme="majorHAnsi" w:cstheme="majorBidi"/>
      <w:spacing w:val="-10"/>
      <w:kern w:val="28"/>
      <w:sz w:val="56"/>
      <w:szCs w:val="56"/>
      <w:lang w:eastAsia="en-GB"/>
      <w14:ligatures w14:val="none"/>
    </w:rPr>
  </w:style>
  <w:style w:type="paragraph" w:styleId="Subtitle">
    <w:name w:val="Subtitle"/>
    <w:basedOn w:val="Normal"/>
    <w:next w:val="Normal"/>
    <w:link w:val="SubtitleChar"/>
    <w:uiPriority w:val="11"/>
    <w:qFormat/>
    <w:rsid w:val="004D08C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08C6"/>
    <w:rPr>
      <w:rFonts w:eastAsiaTheme="majorEastAsia" w:cstheme="majorBidi"/>
      <w:color w:val="595959" w:themeColor="text1" w:themeTint="A6"/>
      <w:spacing w:val="15"/>
      <w:kern w:val="0"/>
      <w:sz w:val="28"/>
      <w:szCs w:val="28"/>
      <w:lang w:eastAsia="en-GB"/>
      <w14:ligatures w14:val="none"/>
    </w:rPr>
  </w:style>
  <w:style w:type="paragraph" w:styleId="Quote">
    <w:name w:val="Quote"/>
    <w:basedOn w:val="Normal"/>
    <w:next w:val="Normal"/>
    <w:link w:val="QuoteChar"/>
    <w:uiPriority w:val="29"/>
    <w:qFormat/>
    <w:rsid w:val="004D08C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D08C6"/>
    <w:rPr>
      <w:rFonts w:ascii="Times New Roman" w:hAnsi="Times New Roman" w:cs="Times New Roman"/>
      <w:i/>
      <w:iCs/>
      <w:color w:val="404040" w:themeColor="text1" w:themeTint="BF"/>
      <w:kern w:val="0"/>
      <w:sz w:val="24"/>
      <w:szCs w:val="20"/>
      <w:lang w:eastAsia="en-GB"/>
      <w14:ligatures w14:val="none"/>
    </w:rPr>
  </w:style>
  <w:style w:type="paragraph" w:styleId="ListParagraph">
    <w:name w:val="List Paragraph"/>
    <w:basedOn w:val="Normal"/>
    <w:uiPriority w:val="34"/>
    <w:qFormat/>
    <w:rsid w:val="004D08C6"/>
    <w:pPr>
      <w:ind w:left="720"/>
      <w:contextualSpacing/>
    </w:pPr>
  </w:style>
  <w:style w:type="character" w:styleId="IntenseEmphasis">
    <w:name w:val="Intense Emphasis"/>
    <w:basedOn w:val="DefaultParagraphFont"/>
    <w:uiPriority w:val="21"/>
    <w:qFormat/>
    <w:rsid w:val="004D08C6"/>
    <w:rPr>
      <w:i/>
      <w:iCs/>
      <w:color w:val="0F4761" w:themeColor="accent1" w:themeShade="BF"/>
    </w:rPr>
  </w:style>
  <w:style w:type="paragraph" w:styleId="IntenseQuote">
    <w:name w:val="Intense Quote"/>
    <w:basedOn w:val="Normal"/>
    <w:next w:val="Normal"/>
    <w:link w:val="IntenseQuoteChar"/>
    <w:uiPriority w:val="30"/>
    <w:qFormat/>
    <w:rsid w:val="004D08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08C6"/>
    <w:rPr>
      <w:rFonts w:ascii="Times New Roman" w:hAnsi="Times New Roman" w:cs="Times New Roman"/>
      <w:i/>
      <w:iCs/>
      <w:color w:val="0F4761" w:themeColor="accent1" w:themeShade="BF"/>
      <w:kern w:val="0"/>
      <w:sz w:val="24"/>
      <w:szCs w:val="20"/>
      <w:lang w:eastAsia="en-GB"/>
      <w14:ligatures w14:val="none"/>
    </w:rPr>
  </w:style>
  <w:style w:type="character" w:styleId="IntenseReference">
    <w:name w:val="Intense Reference"/>
    <w:basedOn w:val="DefaultParagraphFont"/>
    <w:uiPriority w:val="32"/>
    <w:qFormat/>
    <w:rsid w:val="004D08C6"/>
    <w:rPr>
      <w:b/>
      <w:bCs/>
      <w:smallCaps/>
      <w:color w:val="0F4761" w:themeColor="accent1" w:themeShade="BF"/>
      <w:spacing w:val="5"/>
    </w:rPr>
  </w:style>
  <w:style w:type="table" w:styleId="TableGrid">
    <w:name w:val="Table Grid"/>
    <w:basedOn w:val="TableNormal"/>
    <w:uiPriority w:val="39"/>
    <w:rsid w:val="00172A95"/>
    <w:pPr>
      <w:spacing w:after="0" w:line="240" w:lineRule="auto"/>
    </w:pPr>
    <w:rPr>
      <w:rFonts w:eastAsia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3EEA"/>
    <w:pPr>
      <w:spacing w:before="100" w:beforeAutospacing="1" w:after="100" w:afterAutospacing="1" w:line="240" w:lineRule="auto"/>
      <w:jc w:val="left"/>
    </w:pPr>
    <w:rPr>
      <w:szCs w:val="24"/>
    </w:rPr>
  </w:style>
  <w:style w:type="paragraph" w:styleId="Caption">
    <w:name w:val="caption"/>
    <w:basedOn w:val="Normal"/>
    <w:next w:val="Normal"/>
    <w:uiPriority w:val="35"/>
    <w:unhideWhenUsed/>
    <w:qFormat/>
    <w:rsid w:val="00481D7E"/>
    <w:pPr>
      <w:spacing w:after="200" w:line="240" w:lineRule="auto"/>
    </w:pPr>
    <w:rPr>
      <w:i/>
      <w:iCs/>
      <w:color w:val="0E2841" w:themeColor="text2"/>
      <w:sz w:val="18"/>
      <w:szCs w:val="18"/>
    </w:rPr>
  </w:style>
  <w:style w:type="paragraph" w:customStyle="1" w:styleId="first-token">
    <w:name w:val="first-token"/>
    <w:basedOn w:val="Normal"/>
    <w:rsid w:val="00E54925"/>
    <w:pPr>
      <w:spacing w:before="100" w:beforeAutospacing="1" w:after="100" w:afterAutospacing="1" w:line="240" w:lineRule="auto"/>
      <w:jc w:val="left"/>
    </w:pPr>
    <w:rPr>
      <w:szCs w:val="24"/>
    </w:rPr>
  </w:style>
  <w:style w:type="character" w:styleId="PlaceholderText">
    <w:name w:val="Placeholder Text"/>
    <w:basedOn w:val="DefaultParagraphFont"/>
    <w:uiPriority w:val="99"/>
    <w:semiHidden/>
    <w:rsid w:val="00F91E07"/>
    <w:rPr>
      <w:color w:val="666666"/>
    </w:rPr>
  </w:style>
  <w:style w:type="paragraph" w:styleId="Header">
    <w:name w:val="header"/>
    <w:basedOn w:val="Normal"/>
    <w:link w:val="HeaderChar"/>
    <w:uiPriority w:val="99"/>
    <w:unhideWhenUsed/>
    <w:rsid w:val="00934329"/>
    <w:pPr>
      <w:tabs>
        <w:tab w:val="center" w:pos="4513"/>
        <w:tab w:val="right" w:pos="9026"/>
      </w:tabs>
      <w:spacing w:line="240" w:lineRule="auto"/>
    </w:pPr>
  </w:style>
  <w:style w:type="character" w:customStyle="1" w:styleId="HeaderChar">
    <w:name w:val="Header Char"/>
    <w:basedOn w:val="DefaultParagraphFont"/>
    <w:link w:val="Header"/>
    <w:uiPriority w:val="99"/>
    <w:rsid w:val="00934329"/>
    <w:rPr>
      <w:rFonts w:ascii="Times New Roman" w:hAnsi="Times New Roman" w:cs="Times New Roman"/>
      <w:kern w:val="0"/>
      <w:sz w:val="24"/>
      <w:szCs w:val="20"/>
      <w:lang w:eastAsia="en-GB"/>
      <w14:ligatures w14:val="none"/>
    </w:rPr>
  </w:style>
  <w:style w:type="paragraph" w:styleId="Footer">
    <w:name w:val="footer"/>
    <w:basedOn w:val="Normal"/>
    <w:link w:val="FooterChar"/>
    <w:uiPriority w:val="99"/>
    <w:unhideWhenUsed/>
    <w:rsid w:val="00934329"/>
    <w:pPr>
      <w:tabs>
        <w:tab w:val="center" w:pos="4513"/>
        <w:tab w:val="right" w:pos="9026"/>
      </w:tabs>
      <w:spacing w:line="240" w:lineRule="auto"/>
    </w:pPr>
  </w:style>
  <w:style w:type="character" w:customStyle="1" w:styleId="FooterChar">
    <w:name w:val="Footer Char"/>
    <w:basedOn w:val="DefaultParagraphFont"/>
    <w:link w:val="Footer"/>
    <w:uiPriority w:val="99"/>
    <w:rsid w:val="00934329"/>
    <w:rPr>
      <w:rFonts w:ascii="Times New Roman" w:hAnsi="Times New Roman" w:cs="Times New Roman"/>
      <w:kern w:val="0"/>
      <w:sz w:val="24"/>
      <w:szCs w:val="20"/>
      <w:lang w:eastAsia="en-GB"/>
      <w14:ligatures w14:val="none"/>
    </w:rPr>
  </w:style>
  <w:style w:type="character" w:styleId="CommentReference">
    <w:name w:val="annotation reference"/>
    <w:basedOn w:val="DefaultParagraphFont"/>
    <w:uiPriority w:val="99"/>
    <w:semiHidden/>
    <w:unhideWhenUsed/>
    <w:rsid w:val="00840A8A"/>
    <w:rPr>
      <w:sz w:val="16"/>
      <w:szCs w:val="16"/>
    </w:rPr>
  </w:style>
  <w:style w:type="paragraph" w:styleId="CommentText">
    <w:name w:val="annotation text"/>
    <w:basedOn w:val="Normal"/>
    <w:link w:val="CommentTextChar"/>
    <w:uiPriority w:val="99"/>
    <w:semiHidden/>
    <w:unhideWhenUsed/>
    <w:rsid w:val="00840A8A"/>
    <w:pPr>
      <w:spacing w:line="240" w:lineRule="auto"/>
    </w:pPr>
    <w:rPr>
      <w:sz w:val="20"/>
    </w:rPr>
  </w:style>
  <w:style w:type="character" w:customStyle="1" w:styleId="CommentTextChar">
    <w:name w:val="Comment Text Char"/>
    <w:basedOn w:val="DefaultParagraphFont"/>
    <w:link w:val="CommentText"/>
    <w:uiPriority w:val="99"/>
    <w:semiHidden/>
    <w:rsid w:val="00840A8A"/>
    <w:rPr>
      <w:rFonts w:ascii="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840A8A"/>
    <w:rPr>
      <w:b/>
      <w:bCs/>
    </w:rPr>
  </w:style>
  <w:style w:type="character" w:customStyle="1" w:styleId="CommentSubjectChar">
    <w:name w:val="Comment Subject Char"/>
    <w:basedOn w:val="CommentTextChar"/>
    <w:link w:val="CommentSubject"/>
    <w:uiPriority w:val="99"/>
    <w:semiHidden/>
    <w:rsid w:val="00840A8A"/>
    <w:rPr>
      <w:rFonts w:ascii="Times New Roman" w:hAnsi="Times New Roman" w:cs="Times New Roman"/>
      <w:b/>
      <w:bCs/>
      <w:kern w:val="0"/>
      <w:sz w:val="20"/>
      <w:szCs w:val="20"/>
      <w:lang w:eastAsia="en-GB"/>
      <w14:ligatures w14:val="none"/>
    </w:rPr>
  </w:style>
  <w:style w:type="paragraph" w:styleId="BalloonText">
    <w:name w:val="Balloon Text"/>
    <w:basedOn w:val="Normal"/>
    <w:link w:val="BalloonTextChar"/>
    <w:uiPriority w:val="99"/>
    <w:semiHidden/>
    <w:unhideWhenUsed/>
    <w:rsid w:val="00840A8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A8A"/>
    <w:rPr>
      <w:rFonts w:ascii="Segoe UI" w:hAnsi="Segoe UI" w:cs="Segoe UI"/>
      <w:kern w:val="0"/>
      <w:sz w:val="18"/>
      <w:szCs w:val="18"/>
      <w:lang w:eastAsia="en-GB"/>
      <w14:ligatures w14:val="none"/>
    </w:rPr>
  </w:style>
  <w:style w:type="character" w:styleId="Hyperlink">
    <w:name w:val="Hyperlink"/>
    <w:basedOn w:val="DefaultParagraphFont"/>
    <w:uiPriority w:val="99"/>
    <w:unhideWhenUsed/>
    <w:rsid w:val="00574A6F"/>
    <w:rPr>
      <w:color w:val="467886" w:themeColor="hyperlink"/>
      <w:u w:val="single"/>
    </w:rPr>
  </w:style>
  <w:style w:type="character" w:styleId="UnresolvedMention">
    <w:name w:val="Unresolved Mention"/>
    <w:basedOn w:val="DefaultParagraphFont"/>
    <w:uiPriority w:val="99"/>
    <w:semiHidden/>
    <w:unhideWhenUsed/>
    <w:rsid w:val="00574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270258">
      <w:bodyDiv w:val="1"/>
      <w:marLeft w:val="0"/>
      <w:marRight w:val="0"/>
      <w:marTop w:val="0"/>
      <w:marBottom w:val="0"/>
      <w:divBdr>
        <w:top w:val="none" w:sz="0" w:space="0" w:color="auto"/>
        <w:left w:val="none" w:sz="0" w:space="0" w:color="auto"/>
        <w:bottom w:val="none" w:sz="0" w:space="0" w:color="auto"/>
        <w:right w:val="none" w:sz="0" w:space="0" w:color="auto"/>
      </w:divBdr>
    </w:div>
    <w:div w:id="650646369">
      <w:bodyDiv w:val="1"/>
      <w:marLeft w:val="0"/>
      <w:marRight w:val="0"/>
      <w:marTop w:val="0"/>
      <w:marBottom w:val="0"/>
      <w:divBdr>
        <w:top w:val="none" w:sz="0" w:space="0" w:color="auto"/>
        <w:left w:val="none" w:sz="0" w:space="0" w:color="auto"/>
        <w:bottom w:val="none" w:sz="0" w:space="0" w:color="auto"/>
        <w:right w:val="none" w:sz="0" w:space="0" w:color="auto"/>
      </w:divBdr>
      <w:divsChild>
        <w:div w:id="1510676115">
          <w:marLeft w:val="640"/>
          <w:marRight w:val="0"/>
          <w:marTop w:val="0"/>
          <w:marBottom w:val="0"/>
          <w:divBdr>
            <w:top w:val="none" w:sz="0" w:space="0" w:color="auto"/>
            <w:left w:val="none" w:sz="0" w:space="0" w:color="auto"/>
            <w:bottom w:val="none" w:sz="0" w:space="0" w:color="auto"/>
            <w:right w:val="none" w:sz="0" w:space="0" w:color="auto"/>
          </w:divBdr>
        </w:div>
        <w:div w:id="1749111701">
          <w:marLeft w:val="640"/>
          <w:marRight w:val="0"/>
          <w:marTop w:val="0"/>
          <w:marBottom w:val="0"/>
          <w:divBdr>
            <w:top w:val="none" w:sz="0" w:space="0" w:color="auto"/>
            <w:left w:val="none" w:sz="0" w:space="0" w:color="auto"/>
            <w:bottom w:val="none" w:sz="0" w:space="0" w:color="auto"/>
            <w:right w:val="none" w:sz="0" w:space="0" w:color="auto"/>
          </w:divBdr>
        </w:div>
        <w:div w:id="1468234835">
          <w:marLeft w:val="640"/>
          <w:marRight w:val="0"/>
          <w:marTop w:val="0"/>
          <w:marBottom w:val="0"/>
          <w:divBdr>
            <w:top w:val="none" w:sz="0" w:space="0" w:color="auto"/>
            <w:left w:val="none" w:sz="0" w:space="0" w:color="auto"/>
            <w:bottom w:val="none" w:sz="0" w:space="0" w:color="auto"/>
            <w:right w:val="none" w:sz="0" w:space="0" w:color="auto"/>
          </w:divBdr>
        </w:div>
        <w:div w:id="515464382">
          <w:marLeft w:val="640"/>
          <w:marRight w:val="0"/>
          <w:marTop w:val="0"/>
          <w:marBottom w:val="0"/>
          <w:divBdr>
            <w:top w:val="none" w:sz="0" w:space="0" w:color="auto"/>
            <w:left w:val="none" w:sz="0" w:space="0" w:color="auto"/>
            <w:bottom w:val="none" w:sz="0" w:space="0" w:color="auto"/>
            <w:right w:val="none" w:sz="0" w:space="0" w:color="auto"/>
          </w:divBdr>
        </w:div>
        <w:div w:id="548031783">
          <w:marLeft w:val="640"/>
          <w:marRight w:val="0"/>
          <w:marTop w:val="0"/>
          <w:marBottom w:val="0"/>
          <w:divBdr>
            <w:top w:val="none" w:sz="0" w:space="0" w:color="auto"/>
            <w:left w:val="none" w:sz="0" w:space="0" w:color="auto"/>
            <w:bottom w:val="none" w:sz="0" w:space="0" w:color="auto"/>
            <w:right w:val="none" w:sz="0" w:space="0" w:color="auto"/>
          </w:divBdr>
        </w:div>
        <w:div w:id="1400516016">
          <w:marLeft w:val="640"/>
          <w:marRight w:val="0"/>
          <w:marTop w:val="0"/>
          <w:marBottom w:val="0"/>
          <w:divBdr>
            <w:top w:val="none" w:sz="0" w:space="0" w:color="auto"/>
            <w:left w:val="none" w:sz="0" w:space="0" w:color="auto"/>
            <w:bottom w:val="none" w:sz="0" w:space="0" w:color="auto"/>
            <w:right w:val="none" w:sz="0" w:space="0" w:color="auto"/>
          </w:divBdr>
        </w:div>
        <w:div w:id="1718385264">
          <w:marLeft w:val="640"/>
          <w:marRight w:val="0"/>
          <w:marTop w:val="0"/>
          <w:marBottom w:val="0"/>
          <w:divBdr>
            <w:top w:val="none" w:sz="0" w:space="0" w:color="auto"/>
            <w:left w:val="none" w:sz="0" w:space="0" w:color="auto"/>
            <w:bottom w:val="none" w:sz="0" w:space="0" w:color="auto"/>
            <w:right w:val="none" w:sz="0" w:space="0" w:color="auto"/>
          </w:divBdr>
        </w:div>
        <w:div w:id="1851096862">
          <w:marLeft w:val="640"/>
          <w:marRight w:val="0"/>
          <w:marTop w:val="0"/>
          <w:marBottom w:val="0"/>
          <w:divBdr>
            <w:top w:val="none" w:sz="0" w:space="0" w:color="auto"/>
            <w:left w:val="none" w:sz="0" w:space="0" w:color="auto"/>
            <w:bottom w:val="none" w:sz="0" w:space="0" w:color="auto"/>
            <w:right w:val="none" w:sz="0" w:space="0" w:color="auto"/>
          </w:divBdr>
        </w:div>
        <w:div w:id="1212156278">
          <w:marLeft w:val="640"/>
          <w:marRight w:val="0"/>
          <w:marTop w:val="0"/>
          <w:marBottom w:val="0"/>
          <w:divBdr>
            <w:top w:val="none" w:sz="0" w:space="0" w:color="auto"/>
            <w:left w:val="none" w:sz="0" w:space="0" w:color="auto"/>
            <w:bottom w:val="none" w:sz="0" w:space="0" w:color="auto"/>
            <w:right w:val="none" w:sz="0" w:space="0" w:color="auto"/>
          </w:divBdr>
        </w:div>
        <w:div w:id="467164295">
          <w:marLeft w:val="640"/>
          <w:marRight w:val="0"/>
          <w:marTop w:val="0"/>
          <w:marBottom w:val="0"/>
          <w:divBdr>
            <w:top w:val="none" w:sz="0" w:space="0" w:color="auto"/>
            <w:left w:val="none" w:sz="0" w:space="0" w:color="auto"/>
            <w:bottom w:val="none" w:sz="0" w:space="0" w:color="auto"/>
            <w:right w:val="none" w:sz="0" w:space="0" w:color="auto"/>
          </w:divBdr>
        </w:div>
        <w:div w:id="2082173206">
          <w:marLeft w:val="640"/>
          <w:marRight w:val="0"/>
          <w:marTop w:val="0"/>
          <w:marBottom w:val="0"/>
          <w:divBdr>
            <w:top w:val="none" w:sz="0" w:space="0" w:color="auto"/>
            <w:left w:val="none" w:sz="0" w:space="0" w:color="auto"/>
            <w:bottom w:val="none" w:sz="0" w:space="0" w:color="auto"/>
            <w:right w:val="none" w:sz="0" w:space="0" w:color="auto"/>
          </w:divBdr>
        </w:div>
        <w:div w:id="369962460">
          <w:marLeft w:val="640"/>
          <w:marRight w:val="0"/>
          <w:marTop w:val="0"/>
          <w:marBottom w:val="0"/>
          <w:divBdr>
            <w:top w:val="none" w:sz="0" w:space="0" w:color="auto"/>
            <w:left w:val="none" w:sz="0" w:space="0" w:color="auto"/>
            <w:bottom w:val="none" w:sz="0" w:space="0" w:color="auto"/>
            <w:right w:val="none" w:sz="0" w:space="0" w:color="auto"/>
          </w:divBdr>
        </w:div>
        <w:div w:id="2012370935">
          <w:marLeft w:val="640"/>
          <w:marRight w:val="0"/>
          <w:marTop w:val="0"/>
          <w:marBottom w:val="0"/>
          <w:divBdr>
            <w:top w:val="none" w:sz="0" w:space="0" w:color="auto"/>
            <w:left w:val="none" w:sz="0" w:space="0" w:color="auto"/>
            <w:bottom w:val="none" w:sz="0" w:space="0" w:color="auto"/>
            <w:right w:val="none" w:sz="0" w:space="0" w:color="auto"/>
          </w:divBdr>
        </w:div>
        <w:div w:id="172574536">
          <w:marLeft w:val="640"/>
          <w:marRight w:val="0"/>
          <w:marTop w:val="0"/>
          <w:marBottom w:val="0"/>
          <w:divBdr>
            <w:top w:val="none" w:sz="0" w:space="0" w:color="auto"/>
            <w:left w:val="none" w:sz="0" w:space="0" w:color="auto"/>
            <w:bottom w:val="none" w:sz="0" w:space="0" w:color="auto"/>
            <w:right w:val="none" w:sz="0" w:space="0" w:color="auto"/>
          </w:divBdr>
        </w:div>
        <w:div w:id="1260798508">
          <w:marLeft w:val="640"/>
          <w:marRight w:val="0"/>
          <w:marTop w:val="0"/>
          <w:marBottom w:val="0"/>
          <w:divBdr>
            <w:top w:val="none" w:sz="0" w:space="0" w:color="auto"/>
            <w:left w:val="none" w:sz="0" w:space="0" w:color="auto"/>
            <w:bottom w:val="none" w:sz="0" w:space="0" w:color="auto"/>
            <w:right w:val="none" w:sz="0" w:space="0" w:color="auto"/>
          </w:divBdr>
        </w:div>
        <w:div w:id="1897162247">
          <w:marLeft w:val="640"/>
          <w:marRight w:val="0"/>
          <w:marTop w:val="0"/>
          <w:marBottom w:val="0"/>
          <w:divBdr>
            <w:top w:val="none" w:sz="0" w:space="0" w:color="auto"/>
            <w:left w:val="none" w:sz="0" w:space="0" w:color="auto"/>
            <w:bottom w:val="none" w:sz="0" w:space="0" w:color="auto"/>
            <w:right w:val="none" w:sz="0" w:space="0" w:color="auto"/>
          </w:divBdr>
        </w:div>
        <w:div w:id="478617865">
          <w:marLeft w:val="640"/>
          <w:marRight w:val="0"/>
          <w:marTop w:val="0"/>
          <w:marBottom w:val="0"/>
          <w:divBdr>
            <w:top w:val="none" w:sz="0" w:space="0" w:color="auto"/>
            <w:left w:val="none" w:sz="0" w:space="0" w:color="auto"/>
            <w:bottom w:val="none" w:sz="0" w:space="0" w:color="auto"/>
            <w:right w:val="none" w:sz="0" w:space="0" w:color="auto"/>
          </w:divBdr>
        </w:div>
        <w:div w:id="804078779">
          <w:marLeft w:val="640"/>
          <w:marRight w:val="0"/>
          <w:marTop w:val="0"/>
          <w:marBottom w:val="0"/>
          <w:divBdr>
            <w:top w:val="none" w:sz="0" w:space="0" w:color="auto"/>
            <w:left w:val="none" w:sz="0" w:space="0" w:color="auto"/>
            <w:bottom w:val="none" w:sz="0" w:space="0" w:color="auto"/>
            <w:right w:val="none" w:sz="0" w:space="0" w:color="auto"/>
          </w:divBdr>
        </w:div>
        <w:div w:id="946157970">
          <w:marLeft w:val="640"/>
          <w:marRight w:val="0"/>
          <w:marTop w:val="0"/>
          <w:marBottom w:val="0"/>
          <w:divBdr>
            <w:top w:val="none" w:sz="0" w:space="0" w:color="auto"/>
            <w:left w:val="none" w:sz="0" w:space="0" w:color="auto"/>
            <w:bottom w:val="none" w:sz="0" w:space="0" w:color="auto"/>
            <w:right w:val="none" w:sz="0" w:space="0" w:color="auto"/>
          </w:divBdr>
        </w:div>
        <w:div w:id="316308019">
          <w:marLeft w:val="640"/>
          <w:marRight w:val="0"/>
          <w:marTop w:val="0"/>
          <w:marBottom w:val="0"/>
          <w:divBdr>
            <w:top w:val="none" w:sz="0" w:space="0" w:color="auto"/>
            <w:left w:val="none" w:sz="0" w:space="0" w:color="auto"/>
            <w:bottom w:val="none" w:sz="0" w:space="0" w:color="auto"/>
            <w:right w:val="none" w:sz="0" w:space="0" w:color="auto"/>
          </w:divBdr>
        </w:div>
        <w:div w:id="1529636483">
          <w:marLeft w:val="640"/>
          <w:marRight w:val="0"/>
          <w:marTop w:val="0"/>
          <w:marBottom w:val="0"/>
          <w:divBdr>
            <w:top w:val="none" w:sz="0" w:space="0" w:color="auto"/>
            <w:left w:val="none" w:sz="0" w:space="0" w:color="auto"/>
            <w:bottom w:val="none" w:sz="0" w:space="0" w:color="auto"/>
            <w:right w:val="none" w:sz="0" w:space="0" w:color="auto"/>
          </w:divBdr>
        </w:div>
        <w:div w:id="1493912132">
          <w:marLeft w:val="640"/>
          <w:marRight w:val="0"/>
          <w:marTop w:val="0"/>
          <w:marBottom w:val="0"/>
          <w:divBdr>
            <w:top w:val="none" w:sz="0" w:space="0" w:color="auto"/>
            <w:left w:val="none" w:sz="0" w:space="0" w:color="auto"/>
            <w:bottom w:val="none" w:sz="0" w:space="0" w:color="auto"/>
            <w:right w:val="none" w:sz="0" w:space="0" w:color="auto"/>
          </w:divBdr>
        </w:div>
        <w:div w:id="312951739">
          <w:marLeft w:val="640"/>
          <w:marRight w:val="0"/>
          <w:marTop w:val="0"/>
          <w:marBottom w:val="0"/>
          <w:divBdr>
            <w:top w:val="none" w:sz="0" w:space="0" w:color="auto"/>
            <w:left w:val="none" w:sz="0" w:space="0" w:color="auto"/>
            <w:bottom w:val="none" w:sz="0" w:space="0" w:color="auto"/>
            <w:right w:val="none" w:sz="0" w:space="0" w:color="auto"/>
          </w:divBdr>
        </w:div>
        <w:div w:id="1635326311">
          <w:marLeft w:val="640"/>
          <w:marRight w:val="0"/>
          <w:marTop w:val="0"/>
          <w:marBottom w:val="0"/>
          <w:divBdr>
            <w:top w:val="none" w:sz="0" w:space="0" w:color="auto"/>
            <w:left w:val="none" w:sz="0" w:space="0" w:color="auto"/>
            <w:bottom w:val="none" w:sz="0" w:space="0" w:color="auto"/>
            <w:right w:val="none" w:sz="0" w:space="0" w:color="auto"/>
          </w:divBdr>
        </w:div>
        <w:div w:id="1372415375">
          <w:marLeft w:val="640"/>
          <w:marRight w:val="0"/>
          <w:marTop w:val="0"/>
          <w:marBottom w:val="0"/>
          <w:divBdr>
            <w:top w:val="none" w:sz="0" w:space="0" w:color="auto"/>
            <w:left w:val="none" w:sz="0" w:space="0" w:color="auto"/>
            <w:bottom w:val="none" w:sz="0" w:space="0" w:color="auto"/>
            <w:right w:val="none" w:sz="0" w:space="0" w:color="auto"/>
          </w:divBdr>
        </w:div>
        <w:div w:id="359864875">
          <w:marLeft w:val="640"/>
          <w:marRight w:val="0"/>
          <w:marTop w:val="0"/>
          <w:marBottom w:val="0"/>
          <w:divBdr>
            <w:top w:val="none" w:sz="0" w:space="0" w:color="auto"/>
            <w:left w:val="none" w:sz="0" w:space="0" w:color="auto"/>
            <w:bottom w:val="none" w:sz="0" w:space="0" w:color="auto"/>
            <w:right w:val="none" w:sz="0" w:space="0" w:color="auto"/>
          </w:divBdr>
        </w:div>
        <w:div w:id="1976369615">
          <w:marLeft w:val="640"/>
          <w:marRight w:val="0"/>
          <w:marTop w:val="0"/>
          <w:marBottom w:val="0"/>
          <w:divBdr>
            <w:top w:val="none" w:sz="0" w:space="0" w:color="auto"/>
            <w:left w:val="none" w:sz="0" w:space="0" w:color="auto"/>
            <w:bottom w:val="none" w:sz="0" w:space="0" w:color="auto"/>
            <w:right w:val="none" w:sz="0" w:space="0" w:color="auto"/>
          </w:divBdr>
        </w:div>
        <w:div w:id="926496126">
          <w:marLeft w:val="640"/>
          <w:marRight w:val="0"/>
          <w:marTop w:val="0"/>
          <w:marBottom w:val="0"/>
          <w:divBdr>
            <w:top w:val="none" w:sz="0" w:space="0" w:color="auto"/>
            <w:left w:val="none" w:sz="0" w:space="0" w:color="auto"/>
            <w:bottom w:val="none" w:sz="0" w:space="0" w:color="auto"/>
            <w:right w:val="none" w:sz="0" w:space="0" w:color="auto"/>
          </w:divBdr>
        </w:div>
        <w:div w:id="737902249">
          <w:marLeft w:val="640"/>
          <w:marRight w:val="0"/>
          <w:marTop w:val="0"/>
          <w:marBottom w:val="0"/>
          <w:divBdr>
            <w:top w:val="none" w:sz="0" w:space="0" w:color="auto"/>
            <w:left w:val="none" w:sz="0" w:space="0" w:color="auto"/>
            <w:bottom w:val="none" w:sz="0" w:space="0" w:color="auto"/>
            <w:right w:val="none" w:sz="0" w:space="0" w:color="auto"/>
          </w:divBdr>
        </w:div>
        <w:div w:id="1101805337">
          <w:marLeft w:val="640"/>
          <w:marRight w:val="0"/>
          <w:marTop w:val="0"/>
          <w:marBottom w:val="0"/>
          <w:divBdr>
            <w:top w:val="none" w:sz="0" w:space="0" w:color="auto"/>
            <w:left w:val="none" w:sz="0" w:space="0" w:color="auto"/>
            <w:bottom w:val="none" w:sz="0" w:space="0" w:color="auto"/>
            <w:right w:val="none" w:sz="0" w:space="0" w:color="auto"/>
          </w:divBdr>
        </w:div>
      </w:divsChild>
    </w:div>
    <w:div w:id="1040714972">
      <w:bodyDiv w:val="1"/>
      <w:marLeft w:val="0"/>
      <w:marRight w:val="0"/>
      <w:marTop w:val="0"/>
      <w:marBottom w:val="0"/>
      <w:divBdr>
        <w:top w:val="none" w:sz="0" w:space="0" w:color="auto"/>
        <w:left w:val="none" w:sz="0" w:space="0" w:color="auto"/>
        <w:bottom w:val="none" w:sz="0" w:space="0" w:color="auto"/>
        <w:right w:val="none" w:sz="0" w:space="0" w:color="auto"/>
      </w:divBdr>
    </w:div>
    <w:div w:id="1263686022">
      <w:bodyDiv w:val="1"/>
      <w:marLeft w:val="0"/>
      <w:marRight w:val="0"/>
      <w:marTop w:val="0"/>
      <w:marBottom w:val="0"/>
      <w:divBdr>
        <w:top w:val="none" w:sz="0" w:space="0" w:color="auto"/>
        <w:left w:val="none" w:sz="0" w:space="0" w:color="auto"/>
        <w:bottom w:val="none" w:sz="0" w:space="0" w:color="auto"/>
        <w:right w:val="none" w:sz="0" w:space="0" w:color="auto"/>
      </w:divBdr>
      <w:divsChild>
        <w:div w:id="1801224175">
          <w:marLeft w:val="640"/>
          <w:marRight w:val="0"/>
          <w:marTop w:val="0"/>
          <w:marBottom w:val="0"/>
          <w:divBdr>
            <w:top w:val="none" w:sz="0" w:space="0" w:color="auto"/>
            <w:left w:val="none" w:sz="0" w:space="0" w:color="auto"/>
            <w:bottom w:val="none" w:sz="0" w:space="0" w:color="auto"/>
            <w:right w:val="none" w:sz="0" w:space="0" w:color="auto"/>
          </w:divBdr>
        </w:div>
        <w:div w:id="1215039504">
          <w:marLeft w:val="640"/>
          <w:marRight w:val="0"/>
          <w:marTop w:val="0"/>
          <w:marBottom w:val="0"/>
          <w:divBdr>
            <w:top w:val="none" w:sz="0" w:space="0" w:color="auto"/>
            <w:left w:val="none" w:sz="0" w:space="0" w:color="auto"/>
            <w:bottom w:val="none" w:sz="0" w:space="0" w:color="auto"/>
            <w:right w:val="none" w:sz="0" w:space="0" w:color="auto"/>
          </w:divBdr>
        </w:div>
        <w:div w:id="2137946258">
          <w:marLeft w:val="640"/>
          <w:marRight w:val="0"/>
          <w:marTop w:val="0"/>
          <w:marBottom w:val="0"/>
          <w:divBdr>
            <w:top w:val="none" w:sz="0" w:space="0" w:color="auto"/>
            <w:left w:val="none" w:sz="0" w:space="0" w:color="auto"/>
            <w:bottom w:val="none" w:sz="0" w:space="0" w:color="auto"/>
            <w:right w:val="none" w:sz="0" w:space="0" w:color="auto"/>
          </w:divBdr>
        </w:div>
        <w:div w:id="479734375">
          <w:marLeft w:val="640"/>
          <w:marRight w:val="0"/>
          <w:marTop w:val="0"/>
          <w:marBottom w:val="0"/>
          <w:divBdr>
            <w:top w:val="none" w:sz="0" w:space="0" w:color="auto"/>
            <w:left w:val="none" w:sz="0" w:space="0" w:color="auto"/>
            <w:bottom w:val="none" w:sz="0" w:space="0" w:color="auto"/>
            <w:right w:val="none" w:sz="0" w:space="0" w:color="auto"/>
          </w:divBdr>
        </w:div>
        <w:div w:id="1311592007">
          <w:marLeft w:val="640"/>
          <w:marRight w:val="0"/>
          <w:marTop w:val="0"/>
          <w:marBottom w:val="0"/>
          <w:divBdr>
            <w:top w:val="none" w:sz="0" w:space="0" w:color="auto"/>
            <w:left w:val="none" w:sz="0" w:space="0" w:color="auto"/>
            <w:bottom w:val="none" w:sz="0" w:space="0" w:color="auto"/>
            <w:right w:val="none" w:sz="0" w:space="0" w:color="auto"/>
          </w:divBdr>
        </w:div>
        <w:div w:id="946934779">
          <w:marLeft w:val="640"/>
          <w:marRight w:val="0"/>
          <w:marTop w:val="0"/>
          <w:marBottom w:val="0"/>
          <w:divBdr>
            <w:top w:val="none" w:sz="0" w:space="0" w:color="auto"/>
            <w:left w:val="none" w:sz="0" w:space="0" w:color="auto"/>
            <w:bottom w:val="none" w:sz="0" w:space="0" w:color="auto"/>
            <w:right w:val="none" w:sz="0" w:space="0" w:color="auto"/>
          </w:divBdr>
        </w:div>
        <w:div w:id="1742678115">
          <w:marLeft w:val="640"/>
          <w:marRight w:val="0"/>
          <w:marTop w:val="0"/>
          <w:marBottom w:val="0"/>
          <w:divBdr>
            <w:top w:val="none" w:sz="0" w:space="0" w:color="auto"/>
            <w:left w:val="none" w:sz="0" w:space="0" w:color="auto"/>
            <w:bottom w:val="none" w:sz="0" w:space="0" w:color="auto"/>
            <w:right w:val="none" w:sz="0" w:space="0" w:color="auto"/>
          </w:divBdr>
        </w:div>
        <w:div w:id="235820601">
          <w:marLeft w:val="640"/>
          <w:marRight w:val="0"/>
          <w:marTop w:val="0"/>
          <w:marBottom w:val="0"/>
          <w:divBdr>
            <w:top w:val="none" w:sz="0" w:space="0" w:color="auto"/>
            <w:left w:val="none" w:sz="0" w:space="0" w:color="auto"/>
            <w:bottom w:val="none" w:sz="0" w:space="0" w:color="auto"/>
            <w:right w:val="none" w:sz="0" w:space="0" w:color="auto"/>
          </w:divBdr>
        </w:div>
        <w:div w:id="279847818">
          <w:marLeft w:val="640"/>
          <w:marRight w:val="0"/>
          <w:marTop w:val="0"/>
          <w:marBottom w:val="0"/>
          <w:divBdr>
            <w:top w:val="none" w:sz="0" w:space="0" w:color="auto"/>
            <w:left w:val="none" w:sz="0" w:space="0" w:color="auto"/>
            <w:bottom w:val="none" w:sz="0" w:space="0" w:color="auto"/>
            <w:right w:val="none" w:sz="0" w:space="0" w:color="auto"/>
          </w:divBdr>
        </w:div>
        <w:div w:id="1824810636">
          <w:marLeft w:val="640"/>
          <w:marRight w:val="0"/>
          <w:marTop w:val="0"/>
          <w:marBottom w:val="0"/>
          <w:divBdr>
            <w:top w:val="none" w:sz="0" w:space="0" w:color="auto"/>
            <w:left w:val="none" w:sz="0" w:space="0" w:color="auto"/>
            <w:bottom w:val="none" w:sz="0" w:space="0" w:color="auto"/>
            <w:right w:val="none" w:sz="0" w:space="0" w:color="auto"/>
          </w:divBdr>
        </w:div>
        <w:div w:id="197475207">
          <w:marLeft w:val="640"/>
          <w:marRight w:val="0"/>
          <w:marTop w:val="0"/>
          <w:marBottom w:val="0"/>
          <w:divBdr>
            <w:top w:val="none" w:sz="0" w:space="0" w:color="auto"/>
            <w:left w:val="none" w:sz="0" w:space="0" w:color="auto"/>
            <w:bottom w:val="none" w:sz="0" w:space="0" w:color="auto"/>
            <w:right w:val="none" w:sz="0" w:space="0" w:color="auto"/>
          </w:divBdr>
        </w:div>
        <w:div w:id="347023172">
          <w:marLeft w:val="640"/>
          <w:marRight w:val="0"/>
          <w:marTop w:val="0"/>
          <w:marBottom w:val="0"/>
          <w:divBdr>
            <w:top w:val="none" w:sz="0" w:space="0" w:color="auto"/>
            <w:left w:val="none" w:sz="0" w:space="0" w:color="auto"/>
            <w:bottom w:val="none" w:sz="0" w:space="0" w:color="auto"/>
            <w:right w:val="none" w:sz="0" w:space="0" w:color="auto"/>
          </w:divBdr>
        </w:div>
        <w:div w:id="1150946801">
          <w:marLeft w:val="640"/>
          <w:marRight w:val="0"/>
          <w:marTop w:val="0"/>
          <w:marBottom w:val="0"/>
          <w:divBdr>
            <w:top w:val="none" w:sz="0" w:space="0" w:color="auto"/>
            <w:left w:val="none" w:sz="0" w:space="0" w:color="auto"/>
            <w:bottom w:val="none" w:sz="0" w:space="0" w:color="auto"/>
            <w:right w:val="none" w:sz="0" w:space="0" w:color="auto"/>
          </w:divBdr>
        </w:div>
        <w:div w:id="501235337">
          <w:marLeft w:val="640"/>
          <w:marRight w:val="0"/>
          <w:marTop w:val="0"/>
          <w:marBottom w:val="0"/>
          <w:divBdr>
            <w:top w:val="none" w:sz="0" w:space="0" w:color="auto"/>
            <w:left w:val="none" w:sz="0" w:space="0" w:color="auto"/>
            <w:bottom w:val="none" w:sz="0" w:space="0" w:color="auto"/>
            <w:right w:val="none" w:sz="0" w:space="0" w:color="auto"/>
          </w:divBdr>
        </w:div>
        <w:div w:id="1689408082">
          <w:marLeft w:val="640"/>
          <w:marRight w:val="0"/>
          <w:marTop w:val="0"/>
          <w:marBottom w:val="0"/>
          <w:divBdr>
            <w:top w:val="none" w:sz="0" w:space="0" w:color="auto"/>
            <w:left w:val="none" w:sz="0" w:space="0" w:color="auto"/>
            <w:bottom w:val="none" w:sz="0" w:space="0" w:color="auto"/>
            <w:right w:val="none" w:sz="0" w:space="0" w:color="auto"/>
          </w:divBdr>
        </w:div>
        <w:div w:id="1946305908">
          <w:marLeft w:val="640"/>
          <w:marRight w:val="0"/>
          <w:marTop w:val="0"/>
          <w:marBottom w:val="0"/>
          <w:divBdr>
            <w:top w:val="none" w:sz="0" w:space="0" w:color="auto"/>
            <w:left w:val="none" w:sz="0" w:space="0" w:color="auto"/>
            <w:bottom w:val="none" w:sz="0" w:space="0" w:color="auto"/>
            <w:right w:val="none" w:sz="0" w:space="0" w:color="auto"/>
          </w:divBdr>
        </w:div>
        <w:div w:id="1386567643">
          <w:marLeft w:val="640"/>
          <w:marRight w:val="0"/>
          <w:marTop w:val="0"/>
          <w:marBottom w:val="0"/>
          <w:divBdr>
            <w:top w:val="none" w:sz="0" w:space="0" w:color="auto"/>
            <w:left w:val="none" w:sz="0" w:space="0" w:color="auto"/>
            <w:bottom w:val="none" w:sz="0" w:space="0" w:color="auto"/>
            <w:right w:val="none" w:sz="0" w:space="0" w:color="auto"/>
          </w:divBdr>
        </w:div>
        <w:div w:id="1109009439">
          <w:marLeft w:val="640"/>
          <w:marRight w:val="0"/>
          <w:marTop w:val="0"/>
          <w:marBottom w:val="0"/>
          <w:divBdr>
            <w:top w:val="none" w:sz="0" w:space="0" w:color="auto"/>
            <w:left w:val="none" w:sz="0" w:space="0" w:color="auto"/>
            <w:bottom w:val="none" w:sz="0" w:space="0" w:color="auto"/>
            <w:right w:val="none" w:sz="0" w:space="0" w:color="auto"/>
          </w:divBdr>
        </w:div>
        <w:div w:id="917330844">
          <w:marLeft w:val="640"/>
          <w:marRight w:val="0"/>
          <w:marTop w:val="0"/>
          <w:marBottom w:val="0"/>
          <w:divBdr>
            <w:top w:val="none" w:sz="0" w:space="0" w:color="auto"/>
            <w:left w:val="none" w:sz="0" w:space="0" w:color="auto"/>
            <w:bottom w:val="none" w:sz="0" w:space="0" w:color="auto"/>
            <w:right w:val="none" w:sz="0" w:space="0" w:color="auto"/>
          </w:divBdr>
        </w:div>
        <w:div w:id="1377967939">
          <w:marLeft w:val="640"/>
          <w:marRight w:val="0"/>
          <w:marTop w:val="0"/>
          <w:marBottom w:val="0"/>
          <w:divBdr>
            <w:top w:val="none" w:sz="0" w:space="0" w:color="auto"/>
            <w:left w:val="none" w:sz="0" w:space="0" w:color="auto"/>
            <w:bottom w:val="none" w:sz="0" w:space="0" w:color="auto"/>
            <w:right w:val="none" w:sz="0" w:space="0" w:color="auto"/>
          </w:divBdr>
        </w:div>
        <w:div w:id="1351299669">
          <w:marLeft w:val="640"/>
          <w:marRight w:val="0"/>
          <w:marTop w:val="0"/>
          <w:marBottom w:val="0"/>
          <w:divBdr>
            <w:top w:val="none" w:sz="0" w:space="0" w:color="auto"/>
            <w:left w:val="none" w:sz="0" w:space="0" w:color="auto"/>
            <w:bottom w:val="none" w:sz="0" w:space="0" w:color="auto"/>
            <w:right w:val="none" w:sz="0" w:space="0" w:color="auto"/>
          </w:divBdr>
        </w:div>
        <w:div w:id="1627269311">
          <w:marLeft w:val="640"/>
          <w:marRight w:val="0"/>
          <w:marTop w:val="0"/>
          <w:marBottom w:val="0"/>
          <w:divBdr>
            <w:top w:val="none" w:sz="0" w:space="0" w:color="auto"/>
            <w:left w:val="none" w:sz="0" w:space="0" w:color="auto"/>
            <w:bottom w:val="none" w:sz="0" w:space="0" w:color="auto"/>
            <w:right w:val="none" w:sz="0" w:space="0" w:color="auto"/>
          </w:divBdr>
        </w:div>
        <w:div w:id="208734120">
          <w:marLeft w:val="640"/>
          <w:marRight w:val="0"/>
          <w:marTop w:val="0"/>
          <w:marBottom w:val="0"/>
          <w:divBdr>
            <w:top w:val="none" w:sz="0" w:space="0" w:color="auto"/>
            <w:left w:val="none" w:sz="0" w:space="0" w:color="auto"/>
            <w:bottom w:val="none" w:sz="0" w:space="0" w:color="auto"/>
            <w:right w:val="none" w:sz="0" w:space="0" w:color="auto"/>
          </w:divBdr>
        </w:div>
        <w:div w:id="1699433461">
          <w:marLeft w:val="640"/>
          <w:marRight w:val="0"/>
          <w:marTop w:val="0"/>
          <w:marBottom w:val="0"/>
          <w:divBdr>
            <w:top w:val="none" w:sz="0" w:space="0" w:color="auto"/>
            <w:left w:val="none" w:sz="0" w:space="0" w:color="auto"/>
            <w:bottom w:val="none" w:sz="0" w:space="0" w:color="auto"/>
            <w:right w:val="none" w:sz="0" w:space="0" w:color="auto"/>
          </w:divBdr>
        </w:div>
        <w:div w:id="1636905846">
          <w:marLeft w:val="640"/>
          <w:marRight w:val="0"/>
          <w:marTop w:val="0"/>
          <w:marBottom w:val="0"/>
          <w:divBdr>
            <w:top w:val="none" w:sz="0" w:space="0" w:color="auto"/>
            <w:left w:val="none" w:sz="0" w:space="0" w:color="auto"/>
            <w:bottom w:val="none" w:sz="0" w:space="0" w:color="auto"/>
            <w:right w:val="none" w:sz="0" w:space="0" w:color="auto"/>
          </w:divBdr>
        </w:div>
        <w:div w:id="1484204194">
          <w:marLeft w:val="640"/>
          <w:marRight w:val="0"/>
          <w:marTop w:val="0"/>
          <w:marBottom w:val="0"/>
          <w:divBdr>
            <w:top w:val="none" w:sz="0" w:space="0" w:color="auto"/>
            <w:left w:val="none" w:sz="0" w:space="0" w:color="auto"/>
            <w:bottom w:val="none" w:sz="0" w:space="0" w:color="auto"/>
            <w:right w:val="none" w:sz="0" w:space="0" w:color="auto"/>
          </w:divBdr>
        </w:div>
        <w:div w:id="422379931">
          <w:marLeft w:val="640"/>
          <w:marRight w:val="0"/>
          <w:marTop w:val="0"/>
          <w:marBottom w:val="0"/>
          <w:divBdr>
            <w:top w:val="none" w:sz="0" w:space="0" w:color="auto"/>
            <w:left w:val="none" w:sz="0" w:space="0" w:color="auto"/>
            <w:bottom w:val="none" w:sz="0" w:space="0" w:color="auto"/>
            <w:right w:val="none" w:sz="0" w:space="0" w:color="auto"/>
          </w:divBdr>
        </w:div>
        <w:div w:id="1095175025">
          <w:marLeft w:val="640"/>
          <w:marRight w:val="0"/>
          <w:marTop w:val="0"/>
          <w:marBottom w:val="0"/>
          <w:divBdr>
            <w:top w:val="none" w:sz="0" w:space="0" w:color="auto"/>
            <w:left w:val="none" w:sz="0" w:space="0" w:color="auto"/>
            <w:bottom w:val="none" w:sz="0" w:space="0" w:color="auto"/>
            <w:right w:val="none" w:sz="0" w:space="0" w:color="auto"/>
          </w:divBdr>
        </w:div>
        <w:div w:id="247615668">
          <w:marLeft w:val="640"/>
          <w:marRight w:val="0"/>
          <w:marTop w:val="0"/>
          <w:marBottom w:val="0"/>
          <w:divBdr>
            <w:top w:val="none" w:sz="0" w:space="0" w:color="auto"/>
            <w:left w:val="none" w:sz="0" w:space="0" w:color="auto"/>
            <w:bottom w:val="none" w:sz="0" w:space="0" w:color="auto"/>
            <w:right w:val="none" w:sz="0" w:space="0" w:color="auto"/>
          </w:divBdr>
        </w:div>
        <w:div w:id="1705788769">
          <w:marLeft w:val="640"/>
          <w:marRight w:val="0"/>
          <w:marTop w:val="0"/>
          <w:marBottom w:val="0"/>
          <w:divBdr>
            <w:top w:val="none" w:sz="0" w:space="0" w:color="auto"/>
            <w:left w:val="none" w:sz="0" w:space="0" w:color="auto"/>
            <w:bottom w:val="none" w:sz="0" w:space="0" w:color="auto"/>
            <w:right w:val="none" w:sz="0" w:space="0" w:color="auto"/>
          </w:divBdr>
        </w:div>
      </w:divsChild>
    </w:div>
    <w:div w:id="1723559691">
      <w:bodyDiv w:val="1"/>
      <w:marLeft w:val="0"/>
      <w:marRight w:val="0"/>
      <w:marTop w:val="0"/>
      <w:marBottom w:val="0"/>
      <w:divBdr>
        <w:top w:val="none" w:sz="0" w:space="0" w:color="auto"/>
        <w:left w:val="none" w:sz="0" w:space="0" w:color="auto"/>
        <w:bottom w:val="none" w:sz="0" w:space="0" w:color="auto"/>
        <w:right w:val="none" w:sz="0" w:space="0" w:color="auto"/>
      </w:divBdr>
    </w:div>
    <w:div w:id="1773361222">
      <w:bodyDiv w:val="1"/>
      <w:marLeft w:val="0"/>
      <w:marRight w:val="0"/>
      <w:marTop w:val="0"/>
      <w:marBottom w:val="0"/>
      <w:divBdr>
        <w:top w:val="none" w:sz="0" w:space="0" w:color="auto"/>
        <w:left w:val="none" w:sz="0" w:space="0" w:color="auto"/>
        <w:bottom w:val="none" w:sz="0" w:space="0" w:color="auto"/>
        <w:right w:val="none" w:sz="0" w:space="0" w:color="auto"/>
      </w:divBdr>
    </w:div>
    <w:div w:id="2035762999">
      <w:bodyDiv w:val="1"/>
      <w:marLeft w:val="0"/>
      <w:marRight w:val="0"/>
      <w:marTop w:val="0"/>
      <w:marBottom w:val="0"/>
      <w:divBdr>
        <w:top w:val="none" w:sz="0" w:space="0" w:color="auto"/>
        <w:left w:val="none" w:sz="0" w:space="0" w:color="auto"/>
        <w:bottom w:val="none" w:sz="0" w:space="0" w:color="auto"/>
        <w:right w:val="none" w:sz="0" w:space="0" w:color="auto"/>
      </w:divBdr>
      <w:divsChild>
        <w:div w:id="2098355493">
          <w:marLeft w:val="640"/>
          <w:marRight w:val="0"/>
          <w:marTop w:val="0"/>
          <w:marBottom w:val="0"/>
          <w:divBdr>
            <w:top w:val="none" w:sz="0" w:space="0" w:color="auto"/>
            <w:left w:val="none" w:sz="0" w:space="0" w:color="auto"/>
            <w:bottom w:val="none" w:sz="0" w:space="0" w:color="auto"/>
            <w:right w:val="none" w:sz="0" w:space="0" w:color="auto"/>
          </w:divBdr>
        </w:div>
        <w:div w:id="257249428">
          <w:marLeft w:val="640"/>
          <w:marRight w:val="0"/>
          <w:marTop w:val="0"/>
          <w:marBottom w:val="0"/>
          <w:divBdr>
            <w:top w:val="none" w:sz="0" w:space="0" w:color="auto"/>
            <w:left w:val="none" w:sz="0" w:space="0" w:color="auto"/>
            <w:bottom w:val="none" w:sz="0" w:space="0" w:color="auto"/>
            <w:right w:val="none" w:sz="0" w:space="0" w:color="auto"/>
          </w:divBdr>
        </w:div>
        <w:div w:id="1767581565">
          <w:marLeft w:val="640"/>
          <w:marRight w:val="0"/>
          <w:marTop w:val="0"/>
          <w:marBottom w:val="0"/>
          <w:divBdr>
            <w:top w:val="none" w:sz="0" w:space="0" w:color="auto"/>
            <w:left w:val="none" w:sz="0" w:space="0" w:color="auto"/>
            <w:bottom w:val="none" w:sz="0" w:space="0" w:color="auto"/>
            <w:right w:val="none" w:sz="0" w:space="0" w:color="auto"/>
          </w:divBdr>
        </w:div>
        <w:div w:id="1846745200">
          <w:marLeft w:val="640"/>
          <w:marRight w:val="0"/>
          <w:marTop w:val="0"/>
          <w:marBottom w:val="0"/>
          <w:divBdr>
            <w:top w:val="none" w:sz="0" w:space="0" w:color="auto"/>
            <w:left w:val="none" w:sz="0" w:space="0" w:color="auto"/>
            <w:bottom w:val="none" w:sz="0" w:space="0" w:color="auto"/>
            <w:right w:val="none" w:sz="0" w:space="0" w:color="auto"/>
          </w:divBdr>
        </w:div>
        <w:div w:id="997419198">
          <w:marLeft w:val="640"/>
          <w:marRight w:val="0"/>
          <w:marTop w:val="0"/>
          <w:marBottom w:val="0"/>
          <w:divBdr>
            <w:top w:val="none" w:sz="0" w:space="0" w:color="auto"/>
            <w:left w:val="none" w:sz="0" w:space="0" w:color="auto"/>
            <w:bottom w:val="none" w:sz="0" w:space="0" w:color="auto"/>
            <w:right w:val="none" w:sz="0" w:space="0" w:color="auto"/>
          </w:divBdr>
        </w:div>
        <w:div w:id="1031221267">
          <w:marLeft w:val="640"/>
          <w:marRight w:val="0"/>
          <w:marTop w:val="0"/>
          <w:marBottom w:val="0"/>
          <w:divBdr>
            <w:top w:val="none" w:sz="0" w:space="0" w:color="auto"/>
            <w:left w:val="none" w:sz="0" w:space="0" w:color="auto"/>
            <w:bottom w:val="none" w:sz="0" w:space="0" w:color="auto"/>
            <w:right w:val="none" w:sz="0" w:space="0" w:color="auto"/>
          </w:divBdr>
        </w:div>
        <w:div w:id="277954066">
          <w:marLeft w:val="640"/>
          <w:marRight w:val="0"/>
          <w:marTop w:val="0"/>
          <w:marBottom w:val="0"/>
          <w:divBdr>
            <w:top w:val="none" w:sz="0" w:space="0" w:color="auto"/>
            <w:left w:val="none" w:sz="0" w:space="0" w:color="auto"/>
            <w:bottom w:val="none" w:sz="0" w:space="0" w:color="auto"/>
            <w:right w:val="none" w:sz="0" w:space="0" w:color="auto"/>
          </w:divBdr>
        </w:div>
        <w:div w:id="1707829008">
          <w:marLeft w:val="640"/>
          <w:marRight w:val="0"/>
          <w:marTop w:val="0"/>
          <w:marBottom w:val="0"/>
          <w:divBdr>
            <w:top w:val="none" w:sz="0" w:space="0" w:color="auto"/>
            <w:left w:val="none" w:sz="0" w:space="0" w:color="auto"/>
            <w:bottom w:val="none" w:sz="0" w:space="0" w:color="auto"/>
            <w:right w:val="none" w:sz="0" w:space="0" w:color="auto"/>
          </w:divBdr>
        </w:div>
        <w:div w:id="235940305">
          <w:marLeft w:val="640"/>
          <w:marRight w:val="0"/>
          <w:marTop w:val="0"/>
          <w:marBottom w:val="0"/>
          <w:divBdr>
            <w:top w:val="none" w:sz="0" w:space="0" w:color="auto"/>
            <w:left w:val="none" w:sz="0" w:space="0" w:color="auto"/>
            <w:bottom w:val="none" w:sz="0" w:space="0" w:color="auto"/>
            <w:right w:val="none" w:sz="0" w:space="0" w:color="auto"/>
          </w:divBdr>
        </w:div>
        <w:div w:id="1479808436">
          <w:marLeft w:val="640"/>
          <w:marRight w:val="0"/>
          <w:marTop w:val="0"/>
          <w:marBottom w:val="0"/>
          <w:divBdr>
            <w:top w:val="none" w:sz="0" w:space="0" w:color="auto"/>
            <w:left w:val="none" w:sz="0" w:space="0" w:color="auto"/>
            <w:bottom w:val="none" w:sz="0" w:space="0" w:color="auto"/>
            <w:right w:val="none" w:sz="0" w:space="0" w:color="auto"/>
          </w:divBdr>
        </w:div>
        <w:div w:id="2142109779">
          <w:marLeft w:val="640"/>
          <w:marRight w:val="0"/>
          <w:marTop w:val="0"/>
          <w:marBottom w:val="0"/>
          <w:divBdr>
            <w:top w:val="none" w:sz="0" w:space="0" w:color="auto"/>
            <w:left w:val="none" w:sz="0" w:space="0" w:color="auto"/>
            <w:bottom w:val="none" w:sz="0" w:space="0" w:color="auto"/>
            <w:right w:val="none" w:sz="0" w:space="0" w:color="auto"/>
          </w:divBdr>
        </w:div>
        <w:div w:id="1755667172">
          <w:marLeft w:val="640"/>
          <w:marRight w:val="0"/>
          <w:marTop w:val="0"/>
          <w:marBottom w:val="0"/>
          <w:divBdr>
            <w:top w:val="none" w:sz="0" w:space="0" w:color="auto"/>
            <w:left w:val="none" w:sz="0" w:space="0" w:color="auto"/>
            <w:bottom w:val="none" w:sz="0" w:space="0" w:color="auto"/>
            <w:right w:val="none" w:sz="0" w:space="0" w:color="auto"/>
          </w:divBdr>
        </w:div>
        <w:div w:id="1681466789">
          <w:marLeft w:val="640"/>
          <w:marRight w:val="0"/>
          <w:marTop w:val="0"/>
          <w:marBottom w:val="0"/>
          <w:divBdr>
            <w:top w:val="none" w:sz="0" w:space="0" w:color="auto"/>
            <w:left w:val="none" w:sz="0" w:space="0" w:color="auto"/>
            <w:bottom w:val="none" w:sz="0" w:space="0" w:color="auto"/>
            <w:right w:val="none" w:sz="0" w:space="0" w:color="auto"/>
          </w:divBdr>
        </w:div>
        <w:div w:id="1441796280">
          <w:marLeft w:val="640"/>
          <w:marRight w:val="0"/>
          <w:marTop w:val="0"/>
          <w:marBottom w:val="0"/>
          <w:divBdr>
            <w:top w:val="none" w:sz="0" w:space="0" w:color="auto"/>
            <w:left w:val="none" w:sz="0" w:space="0" w:color="auto"/>
            <w:bottom w:val="none" w:sz="0" w:space="0" w:color="auto"/>
            <w:right w:val="none" w:sz="0" w:space="0" w:color="auto"/>
          </w:divBdr>
        </w:div>
        <w:div w:id="892347214">
          <w:marLeft w:val="640"/>
          <w:marRight w:val="0"/>
          <w:marTop w:val="0"/>
          <w:marBottom w:val="0"/>
          <w:divBdr>
            <w:top w:val="none" w:sz="0" w:space="0" w:color="auto"/>
            <w:left w:val="none" w:sz="0" w:space="0" w:color="auto"/>
            <w:bottom w:val="none" w:sz="0" w:space="0" w:color="auto"/>
            <w:right w:val="none" w:sz="0" w:space="0" w:color="auto"/>
          </w:divBdr>
        </w:div>
        <w:div w:id="1243876039">
          <w:marLeft w:val="640"/>
          <w:marRight w:val="0"/>
          <w:marTop w:val="0"/>
          <w:marBottom w:val="0"/>
          <w:divBdr>
            <w:top w:val="none" w:sz="0" w:space="0" w:color="auto"/>
            <w:left w:val="none" w:sz="0" w:space="0" w:color="auto"/>
            <w:bottom w:val="none" w:sz="0" w:space="0" w:color="auto"/>
            <w:right w:val="none" w:sz="0" w:space="0" w:color="auto"/>
          </w:divBdr>
        </w:div>
        <w:div w:id="495532302">
          <w:marLeft w:val="640"/>
          <w:marRight w:val="0"/>
          <w:marTop w:val="0"/>
          <w:marBottom w:val="0"/>
          <w:divBdr>
            <w:top w:val="none" w:sz="0" w:space="0" w:color="auto"/>
            <w:left w:val="none" w:sz="0" w:space="0" w:color="auto"/>
            <w:bottom w:val="none" w:sz="0" w:space="0" w:color="auto"/>
            <w:right w:val="none" w:sz="0" w:space="0" w:color="auto"/>
          </w:divBdr>
        </w:div>
        <w:div w:id="1911425669">
          <w:marLeft w:val="640"/>
          <w:marRight w:val="0"/>
          <w:marTop w:val="0"/>
          <w:marBottom w:val="0"/>
          <w:divBdr>
            <w:top w:val="none" w:sz="0" w:space="0" w:color="auto"/>
            <w:left w:val="none" w:sz="0" w:space="0" w:color="auto"/>
            <w:bottom w:val="none" w:sz="0" w:space="0" w:color="auto"/>
            <w:right w:val="none" w:sz="0" w:space="0" w:color="auto"/>
          </w:divBdr>
        </w:div>
        <w:div w:id="1122723597">
          <w:marLeft w:val="640"/>
          <w:marRight w:val="0"/>
          <w:marTop w:val="0"/>
          <w:marBottom w:val="0"/>
          <w:divBdr>
            <w:top w:val="none" w:sz="0" w:space="0" w:color="auto"/>
            <w:left w:val="none" w:sz="0" w:space="0" w:color="auto"/>
            <w:bottom w:val="none" w:sz="0" w:space="0" w:color="auto"/>
            <w:right w:val="none" w:sz="0" w:space="0" w:color="auto"/>
          </w:divBdr>
        </w:div>
        <w:div w:id="1307054715">
          <w:marLeft w:val="640"/>
          <w:marRight w:val="0"/>
          <w:marTop w:val="0"/>
          <w:marBottom w:val="0"/>
          <w:divBdr>
            <w:top w:val="none" w:sz="0" w:space="0" w:color="auto"/>
            <w:left w:val="none" w:sz="0" w:space="0" w:color="auto"/>
            <w:bottom w:val="none" w:sz="0" w:space="0" w:color="auto"/>
            <w:right w:val="none" w:sz="0" w:space="0" w:color="auto"/>
          </w:divBdr>
        </w:div>
        <w:div w:id="1702851724">
          <w:marLeft w:val="640"/>
          <w:marRight w:val="0"/>
          <w:marTop w:val="0"/>
          <w:marBottom w:val="0"/>
          <w:divBdr>
            <w:top w:val="none" w:sz="0" w:space="0" w:color="auto"/>
            <w:left w:val="none" w:sz="0" w:space="0" w:color="auto"/>
            <w:bottom w:val="none" w:sz="0" w:space="0" w:color="auto"/>
            <w:right w:val="none" w:sz="0" w:space="0" w:color="auto"/>
          </w:divBdr>
        </w:div>
        <w:div w:id="647250544">
          <w:marLeft w:val="640"/>
          <w:marRight w:val="0"/>
          <w:marTop w:val="0"/>
          <w:marBottom w:val="0"/>
          <w:divBdr>
            <w:top w:val="none" w:sz="0" w:space="0" w:color="auto"/>
            <w:left w:val="none" w:sz="0" w:space="0" w:color="auto"/>
            <w:bottom w:val="none" w:sz="0" w:space="0" w:color="auto"/>
            <w:right w:val="none" w:sz="0" w:space="0" w:color="auto"/>
          </w:divBdr>
        </w:div>
        <w:div w:id="1362631835">
          <w:marLeft w:val="640"/>
          <w:marRight w:val="0"/>
          <w:marTop w:val="0"/>
          <w:marBottom w:val="0"/>
          <w:divBdr>
            <w:top w:val="none" w:sz="0" w:space="0" w:color="auto"/>
            <w:left w:val="none" w:sz="0" w:space="0" w:color="auto"/>
            <w:bottom w:val="none" w:sz="0" w:space="0" w:color="auto"/>
            <w:right w:val="none" w:sz="0" w:space="0" w:color="auto"/>
          </w:divBdr>
        </w:div>
        <w:div w:id="506019936">
          <w:marLeft w:val="640"/>
          <w:marRight w:val="0"/>
          <w:marTop w:val="0"/>
          <w:marBottom w:val="0"/>
          <w:divBdr>
            <w:top w:val="none" w:sz="0" w:space="0" w:color="auto"/>
            <w:left w:val="none" w:sz="0" w:space="0" w:color="auto"/>
            <w:bottom w:val="none" w:sz="0" w:space="0" w:color="auto"/>
            <w:right w:val="none" w:sz="0" w:space="0" w:color="auto"/>
          </w:divBdr>
        </w:div>
        <w:div w:id="30300275">
          <w:marLeft w:val="640"/>
          <w:marRight w:val="0"/>
          <w:marTop w:val="0"/>
          <w:marBottom w:val="0"/>
          <w:divBdr>
            <w:top w:val="none" w:sz="0" w:space="0" w:color="auto"/>
            <w:left w:val="none" w:sz="0" w:space="0" w:color="auto"/>
            <w:bottom w:val="none" w:sz="0" w:space="0" w:color="auto"/>
            <w:right w:val="none" w:sz="0" w:space="0" w:color="auto"/>
          </w:divBdr>
        </w:div>
        <w:div w:id="1109475509">
          <w:marLeft w:val="640"/>
          <w:marRight w:val="0"/>
          <w:marTop w:val="0"/>
          <w:marBottom w:val="0"/>
          <w:divBdr>
            <w:top w:val="none" w:sz="0" w:space="0" w:color="auto"/>
            <w:left w:val="none" w:sz="0" w:space="0" w:color="auto"/>
            <w:bottom w:val="none" w:sz="0" w:space="0" w:color="auto"/>
            <w:right w:val="none" w:sz="0" w:space="0" w:color="auto"/>
          </w:divBdr>
        </w:div>
        <w:div w:id="1735155593">
          <w:marLeft w:val="640"/>
          <w:marRight w:val="0"/>
          <w:marTop w:val="0"/>
          <w:marBottom w:val="0"/>
          <w:divBdr>
            <w:top w:val="none" w:sz="0" w:space="0" w:color="auto"/>
            <w:left w:val="none" w:sz="0" w:space="0" w:color="auto"/>
            <w:bottom w:val="none" w:sz="0" w:space="0" w:color="auto"/>
            <w:right w:val="none" w:sz="0" w:space="0" w:color="auto"/>
          </w:divBdr>
        </w:div>
        <w:div w:id="2048018017">
          <w:marLeft w:val="640"/>
          <w:marRight w:val="0"/>
          <w:marTop w:val="0"/>
          <w:marBottom w:val="0"/>
          <w:divBdr>
            <w:top w:val="none" w:sz="0" w:space="0" w:color="auto"/>
            <w:left w:val="none" w:sz="0" w:space="0" w:color="auto"/>
            <w:bottom w:val="none" w:sz="0" w:space="0" w:color="auto"/>
            <w:right w:val="none" w:sz="0" w:space="0" w:color="auto"/>
          </w:divBdr>
        </w:div>
        <w:div w:id="387384390">
          <w:marLeft w:val="640"/>
          <w:marRight w:val="0"/>
          <w:marTop w:val="0"/>
          <w:marBottom w:val="0"/>
          <w:divBdr>
            <w:top w:val="none" w:sz="0" w:space="0" w:color="auto"/>
            <w:left w:val="none" w:sz="0" w:space="0" w:color="auto"/>
            <w:bottom w:val="none" w:sz="0" w:space="0" w:color="auto"/>
            <w:right w:val="none" w:sz="0" w:space="0" w:color="auto"/>
          </w:divBdr>
        </w:div>
        <w:div w:id="450980406">
          <w:marLeft w:val="640"/>
          <w:marRight w:val="0"/>
          <w:marTop w:val="0"/>
          <w:marBottom w:val="0"/>
          <w:divBdr>
            <w:top w:val="none" w:sz="0" w:space="0" w:color="auto"/>
            <w:left w:val="none" w:sz="0" w:space="0" w:color="auto"/>
            <w:bottom w:val="none" w:sz="0" w:space="0" w:color="auto"/>
            <w:right w:val="none" w:sz="0" w:space="0" w:color="auto"/>
          </w:divBdr>
        </w:div>
      </w:divsChild>
    </w:div>
    <w:div w:id="213274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97e805f9e80bcc0c/Documents/Dr%20Kiyesi/2024/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585498687664041"/>
          <c:y val="0.12995479731700205"/>
          <c:w val="0.40829002624671917"/>
          <c:h val="0.68048337707786521"/>
        </c:manualLayout>
      </c:layout>
      <c:pieChart>
        <c:varyColors val="1"/>
        <c:ser>
          <c:idx val="0"/>
          <c:order val="0"/>
          <c:dPt>
            <c:idx val="0"/>
            <c:bubble3D val="0"/>
            <c:spPr>
              <a:solidFill>
                <a:srgbClr val="C00000"/>
              </a:solidFill>
              <a:ln w="19050">
                <a:solidFill>
                  <a:schemeClr val="lt1"/>
                </a:solidFill>
              </a:ln>
              <a:effectLst/>
            </c:spPr>
            <c:extLst xmlns="http://schemas.openxmlformats.org/drawingml/2006/chart">
              <c:ext xmlns:c16="http://schemas.microsoft.com/office/drawing/2014/chart" uri="{C3380CC4-5D6E-409C-BE32-E72D297353CC}">
                <c16:uniqueId val="{00000001-F40F-48BF-97FE-A6B9B7AD2F03}"/>
              </c:ext>
            </c:extLst>
          </c:dPt>
          <c:dPt>
            <c:idx val="1"/>
            <c:bubble3D val="0"/>
            <c:explosion val="10"/>
            <c:spPr>
              <a:solidFill>
                <a:schemeClr val="accent3"/>
              </a:solidFill>
              <a:ln w="19050">
                <a:solidFill>
                  <a:schemeClr val="lt1"/>
                </a:solidFill>
              </a:ln>
              <a:effectLst/>
            </c:spPr>
            <c:extLst xmlns="http://schemas.openxmlformats.org/drawingml/2006/chart">
              <c:ext xmlns:c16="http://schemas.microsoft.com/office/drawing/2014/chart" uri="{C3380CC4-5D6E-409C-BE32-E72D297353CC}">
                <c16:uniqueId val="{00000003-F40F-48BF-97FE-A6B9B7AD2F03}"/>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http://schemas.openxmlformats.org/drawingml/2006/chart">
              <c:ext xmlns:c15="http://schemas.microsoft.com/office/drawing/2012/chart" uri="{CE6537A1-D6FC-4f65-9D91-7224C49458BB}"/>
            </c:extLst>
          </c:dLbls>
          <c:cat>
            <c:strRef>
              <c:f>'[New Microsoft Excel Worksheet.xlsx]Sheet1'!$I$5:$I$6</c:f>
              <c:strCache>
                <c:ptCount val="2"/>
                <c:pt idx="0">
                  <c:v>NAFLD</c:v>
                </c:pt>
                <c:pt idx="1">
                  <c:v>No NAFLD</c:v>
                </c:pt>
              </c:strCache>
            </c:strRef>
          </c:cat>
          <c:val>
            <c:numRef>
              <c:f>'[New Microsoft Excel Worksheet.xlsx]Sheet1'!$J$5:$J$6</c:f>
              <c:numCache>
                <c:formatCode>General</c:formatCode>
                <c:ptCount val="2"/>
                <c:pt idx="0">
                  <c:v>49</c:v>
                </c:pt>
                <c:pt idx="1">
                  <c:v>101</c:v>
                </c:pt>
              </c:numCache>
            </c:numRef>
          </c:val>
          <c:extLst xmlns="http://schemas.openxmlformats.org/drawingml/2006/chart">
            <c:ext xmlns:c16="http://schemas.microsoft.com/office/drawing/2014/chart" uri="{C3380CC4-5D6E-409C-BE32-E72D297353CC}">
              <c16:uniqueId val="{00000004-F40F-48BF-97FE-A6B9B7AD2F0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73947769028871391"/>
          <c:y val="0.40335593467483233"/>
          <c:w val="0.14882239720034995"/>
          <c:h val="0.1660885097696121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http://schemas.openxmlformats.org/drawingml/2006/char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4F02A340E6849B297D0CB7267794A20"/>
        <w:category>
          <w:name w:val="General"/>
          <w:gallery w:val="placeholder"/>
        </w:category>
        <w:types>
          <w:type w:val="bbPlcHdr"/>
        </w:types>
        <w:behaviors>
          <w:behavior w:val="content"/>
        </w:behaviors>
        <w:guid w:val="{EEA97BEB-9B51-422B-A954-217F55DC6A7F}"/>
      </w:docPartPr>
      <w:docPartBody>
        <w:p w:rsidR="00933CFD" w:rsidRDefault="00094CAC" w:rsidP="00094CAC">
          <w:pPr>
            <w:pStyle w:val="D4F02A340E6849B297D0CB7267794A20"/>
          </w:pPr>
          <w:r w:rsidRPr="006F0A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053C857-E1DA-4E43-BA18-731F5DD29928}"/>
      </w:docPartPr>
      <w:docPartBody>
        <w:p w:rsidR="00933CFD" w:rsidRDefault="00094CAC">
          <w:r w:rsidRPr="004D377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CAC"/>
    <w:rsid w:val="00094CAC"/>
    <w:rsid w:val="000C00D4"/>
    <w:rsid w:val="00303881"/>
    <w:rsid w:val="0062085F"/>
    <w:rsid w:val="006579A5"/>
    <w:rsid w:val="007071E5"/>
    <w:rsid w:val="007A7410"/>
    <w:rsid w:val="008C5BD4"/>
    <w:rsid w:val="008E3BDC"/>
    <w:rsid w:val="00933CFD"/>
    <w:rsid w:val="00B71DC8"/>
    <w:rsid w:val="00C265F3"/>
    <w:rsid w:val="00E24A18"/>
    <w:rsid w:val="00E43A8B"/>
    <w:rsid w:val="00E46C20"/>
    <w:rsid w:val="00F814A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4CAC"/>
    <w:rPr>
      <w:color w:val="666666"/>
    </w:rPr>
  </w:style>
  <w:style w:type="paragraph" w:customStyle="1" w:styleId="D4F02A340E6849B297D0CB7267794A20">
    <w:name w:val="D4F02A340E6849B297D0CB7267794A20"/>
    <w:rsid w:val="00094C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966FB46-471B-4AFF-B4C5-16A27CC88B69}">
  <we:reference id="wa104382081" version="1.55.1.0" store="en-GB" storeType="OMEX"/>
  <we:alternateReferences>
    <we:reference id="wa104382081" version="1.55.1.0" store="WA104382081" storeType="OMEX"/>
  </we:alternateReferences>
  <we:properties>
    <we:property name="MENDELEY_CITATIONS" value="[{&quot;citationID&quot;:&quot;MENDELEY_CITATION_80c80bbd-6627-4e76-85af-235c46e49798&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&quot;,&quot;citationItems&quot;:[{&quot;id&quot;:&quot;223de116-bf71-399b-a592-faa73a6a08b1&quot;,&quot;itemData&quot;:{&quot;type&quot;:&quot;article-journal&quot;,&quot;id&quot;:&quot;223de116-bf71-399b-a592-faa73a6a08b1&quot;,&quot;title&quot;:&quot;Evidence of NAFLD progression from steatosis to fibrosing-steatohepatitis using paired biopsies: implications for prognosis and clinical management&quot;,&quot;author&quot;:[{&quot;family&quot;:&quot;McPherson&quot;,&quot;given&quot;:&quot;S.&quot;,&quot;parse-names&quot;:false,&quot;dropping-particle&quot;:&quot;&quot;,&quot;non-dropping-particle&quot;:&quot;&quot;},{&quot;family&quot;:&quot;Hardy&quot;,&quot;given&quot;:&quot;T.&quot;,&quot;parse-names&quot;:false,&quot;dropping-particle&quot;:&quot;&quot;,&quot;non-dropping-particle&quot;:&quot;&quot;},{&quot;family&quot;:&quot;Henderson&quot;,&quot;given&quot;:&quot;E.&quot;,&quot;parse-names&quot;:false,&quot;dropping-particle&quot;:&quot;&quot;,&quot;non-dropping-particle&quot;:&quot;&quot;},{&quot;family&quot;:&quot;Burt&quot;,&quot;given&quot;:&quot;A.D.&quot;,&quot;parse-names&quot;:false,&quot;dropping-particle&quot;:&quot;&quot;,&quot;non-dropping-particle&quot;:&quot;&quot;},{&quot;family&quot;:&quot;Day&quot;,&quot;given&quot;:&quot;C.P.&quot;,&quot;parse-names&quot;:false,&quot;dropping-particle&quot;:&quot;&quot;,&quot;non-dropping-particle&quot;:&quot;&quot;},{&quot;family&quot;:&quot;Anstee&quot;,&quot;given&quot;:&quot;Q.M.&quot;,&quot;parse-names&quot;:false,&quot;dropping-particle&quot;:&quot;&quot;,&quot;non-dropping-particle&quot;:&quot;&quot;}],&quot;container-title&quot;:&quot;J Hepatol&quot;,&quot;accessed&quot;:{&quot;date-parts&quot;:[[2024,5,29]]},&quot;issued&quot;:{&quot;date-parts&quot;:[[2015]]},&quot;page&quot;:&quot;1148-1155&quot;,&quot;volume&quot;:&quot;62&quot;,&quot;container-title-short&quot;:&quot;&quot;},&quot;isTemporary&quot;:false},{&quot;id&quot;:&quot;7d883d2a-f0dc-3e89-9d06-cc3c3a348fac&quot;,&quot;itemData&quot;:{&quot;type&quot;:&quot;article-journal&quot;,&quot;id&quot;:&quot;7d883d2a-f0dc-3e89-9d06-cc3c3a348fac&quot;,&quot;title&quot;:&quot;Association of histologic disease activity with progression of nonalcoholic fatty liver disease&quot;,&quot;author&quot;:[{&quot;family&quot;:&quot;Kleiner&quot;,&quot;given&quot;:&quot;D.E.&quot;,&quot;parse-names&quot;:false,&quot;dropping-particle&quot;:&quot;&quot;,&quot;non-dropping-particle&quot;:&quot;&quot;},{&quot;family&quot;:&quot;Brunt&quot;,&quot;given&quot;:&quot;E.M.&quot;,&quot;parse-names&quot;:false,&quot;dropping-particle&quot;:&quot;&quot;,&quot;non-dropping-particle&quot;:&quot;&quot;},{&quot;family&quot;:&quot;Wilson&quot;,&quot;given&quot;:&quot;L.A.&quot;,&quot;parse-names&quot;:false,&quot;dropping-particle&quot;:&quot;&quot;,&quot;non-dropping-particle&quot;:&quot;&quot;},{&quot;family&quot;:&quot;Behling&quot;,&quot;given&quot;:&quot;C.&quot;,&quot;parse-names&quot;:false,&quot;dropping-particle&quot;:&quot;&quot;,&quot;non-dropping-particle&quot;:&quot;&quot;},{&quot;family&quot;:&quot;Guy&quot;,&quot;given&quot;:&quot;C.&quot;,&quot;parse-names&quot;:false,&quot;dropping-particle&quot;:&quot;&quot;,&quot;non-dropping-particle&quot;:&quot;&quot;},{&quot;family&quot;:&quot;Contos&quot;,&quot;given&quot;:&quot;M.&quot;,&quot;parse-names&quot;:false,&quot;dropping-particle&quot;:&quot;&quot;,&quot;non-dropping-particle&quot;:&quot;&quot;},{&quot;family&quot;:&quot;al.&quot;,&quot;given&quot;:&quot;et&quot;,&quot;parse-names&quot;:false,&quot;dropping-particle&quot;:&quot;&quot;,&quot;non-dropping-particle&quot;:&quot;&quot;}],&quot;container-title&quot;:&quot;JAMA Netw Open&quot;,&quot;accessed&quot;:{&quot;date-parts&quot;:[[2024,5,29]]},&quot;issued&quot;:{&quot;date-parts&quot;:[[2019]]},&quot;volume&quot;:&quot;2&quot;,&quot;container-title-short&quot;:&quot;&quot;},&quot;isTemporary&quot;:false}]},{&quot;citationID&quot;:&quot;MENDELEY_CITATION_86dc425c-cfc1-4802-bfe5-94cf6e553cda&quot;,&quot;properties&quot;:{&quot;noteIndex&quot;:0},&quot;isEdited&quot;:false,&quot;manualOverride&quot;:{&quot;isManuallyOverridden&quot;:false,&quot;citeprocText&quot;:&quot;&lt;sup&gt;3,4&lt;/sup&gt;&quot;,&quot;manualOverrideText&quot;:&quot;&quot;},&quot;citationTag&quot;:&quot;MENDELEY_CITATION_v3_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&quot;,&quot;citationItems&quot;:[{&quot;id&quot;:&quot;7a737c6d-97e9-3041-8ea6-51043c0e1995&quot;,&quot;itemData&quot;:{&quot;type&quot;:&quot;article-journal&quot;,&quot;id&quot;:&quot;7a737c6d-97e9-3041-8ea6-51043c0e1995&quot;,&quot;title&quot;:&quot;Global epidemiology of nonalcoholic fatty liver disease-meta-analytic assessment of prevalence, incidence, and outcomes&quot;,&quot;author&quot;:[{&quot;family&quot;:&quot;Younossi&quot;,&quot;given&quot;:&quot;Z.M.&quot;,&quot;parse-names&quot;:false,&quot;dropping-particle&quot;:&quot;&quot;,&quot;non-dropping-particle&quot;:&quot;&quot;},{&quot;family&quot;:&quot;Koenig&quot;,&quot;given&quot;:&quot;A.B.&quot;,&quot;parse-names&quot;:false,&quot;dropping-particle&quot;:&quot;&quot;,&quot;non-dropping-particle&quot;:&quot;&quot;},{&quot;family&quot;:&quot;Abdelatif&quot;,&quot;given&quot;:&quot;D.&quot;,&quot;parse-names&quot;:false,&quot;dropping-particle&quot;:&quot;&quot;,&quot;non-dropping-particle&quot;:&quot;&quot;},{&quot;family&quot;:&quot;Fazel&quot;,&quot;given&quot;:&quot;Y.&quot;,&quot;parse-names&quot;:false,&quot;dropping-particle&quot;:&quot;&quot;,&quot;non-dropping-particle&quot;:&quot;&quot;},{&quot;family&quot;:&quot;Henry&quot;,&quot;given&quot;:&quot;L.&quot;,&quot;parse-names&quot;:false,&quot;dropping-particle&quot;:&quot;&quot;,&quot;non-dropping-particle&quot;:&quot;&quot;},{&quot;family&quot;:&quot;Wymer&quot;,&quot;given&quot;:&quot;M.&quot;,&quot;parse-names&quot;:false,&quot;dropping-particle&quot;:&quot;&quot;,&quot;non-dropping-particle&quot;:&quot;&quot;}],&quot;container-title&quot;:&quot;Hepatology (Baltimore, Md)&quot;,&quot;container-title-short&quot;:&quot;Hepatology&quot;,&quot;accessed&quot;:{&quot;date-parts&quot;:[[2024,5,29]]},&quot;issued&quot;:{&quot;date-parts&quot;:[[2016]]},&quot;page&quot;:&quot;73-84&quot;,&quot;volume&quot;:&quot;64&quot;},&quot;isTemporary&quot;:false},{&quot;id&quot;:&quot;8b36e814-8d72-3642-be92-26eef3e9a13e&quot;,&quot;itemData&quot;:{&quot;type&quot;:&quot;article-journal&quot;,&quot;id&quot;:&quot;8b36e814-8d72-3642-be92-26eef3e9a13e&quot;,&quot;title&quot;:&quot;Relationship of sitting time and physical activity with non-alcoholic fatty liver disease&quot;,&quot;author&quot;:[{&quot;family&quot;:&quot;Ryu&quot;,&quot;given&quot;:&quot;Seungho&quot;,&quot;parse-names&quot;:false,&quot;dropping-particle&quot;:&quot;&quot;,&quot;non-dropping-particle&quot;:&quot;&quot;},{&quot;family&quot;:&quot;Chang&quot;,&quot;given&quot;:&quot;Yoosoo&quot;,&quot;parse-names&quot;:false,&quot;dropping-particle&quot;:&quot;&quot;,&quot;non-dropping-particle&quot;:&quot;&quot;},{&quot;family&quot;:&quot;Jung&quot;,&quot;given&quot;:&quot;Hyun Suk&quot;,&quot;parse-names&quot;:false,&quot;dropping-particle&quot;:&quot;&quot;,&quot;non-dropping-particle&quot;:&quot;&quot;},{&quot;family&quot;:&quot;Yun&quot;,&quot;given&quot;:&quot;Kyung Eun&quot;,&quot;parse-names&quot;:false,&quot;dropping-particle&quot;:&quot;&quot;,&quot;non-dropping-particle&quot;:&quot;&quot;},{&quot;family&quot;:&quot;Kwon&quot;,&quot;given&quot;:&quot;Min Jung&quot;,&quot;parse-names&quot;:false,&quot;dropping-particle&quot;:&quot;&quot;,&quot;non-dropping-particle&quot;:&quot;&quot;},{&quot;family&quot;:&quot;Choi&quot;,&quot;given&quot;:&quot;Yuni&quot;,&quot;parse-names&quot;:false,&quot;dropping-particle&quot;:&quot;&quot;,&quot;non-dropping-particle&quot;:&quot;&quot;},{&quot;family&quot;:&quot;Kim&quot;,&quot;given&quot;:&quot;Chan Won&quot;,&quot;parse-names&quot;:false,&quot;dropping-particle&quot;:&quot;&quot;,&quot;non-dropping-particle&quot;:&quot;&quot;},{&quot;family&quot;:&quot;Cho&quot;,&quot;given&quot;:&quot;Juhee&quot;,&quot;parse-names&quot;:false,&quot;dropping-particle&quot;:&quot;&quot;,&quot;non-dropping-particle&quot;:&quot;&quot;},{&quot;family&quot;:&quot;Suh&quot;,&quot;given&quot;:&quot;Byung Seong&quot;,&quot;parse-names&quot;:false,&quot;dropping-particle&quot;:&quot;&quot;,&quot;non-dropping-particle&quot;:&quot;&quot;},{&quot;family&quot;:&quot;Cho&quot;,&quot;given&quot;:&quot;Yong Kyun&quot;,&quot;parse-names&quot;:false,&quot;dropping-particle&quot;:&quot;&quot;,&quot;non-dropping-particle&quot;:&quot;&quot;},{&quot;family&quot;:&quot;Chung&quot;,&quot;given&quot;:&quot;Eun Chul&quot;,&quot;parse-names&quot;:false,&quot;dropping-particle&quot;:&quot;&quot;,&quot;non-dropping-particle&quot;:&quot;&quot;},{&quot;family&quot;:&quot;Shin&quot;,&quot;given&quot;:&quot;Hocheol&quot;,&quot;parse-names&quot;:false,&quot;dropping-particle&quot;:&quot;&quot;,&quot;non-dropping-particle&quot;:&quot;&quot;},{&quot;family&quot;:&quot;Kim&quot;,&quot;given&quot;:&quot;Yeon Soo&quot;,&quot;parse-names&quot;:false,&quot;dropping-particle&quot;:&quot;&quot;,&quot;non-dropping-particle&quot;:&quot;&quot;}],&quot;container-title&quot;:&quot;Journal of Hepatology&quot;,&quot;container-title-short&quot;:&quot;J Hepatol&quot;,&quot;accessed&quot;:{&quot;date-parts&quot;:[[2024,5,29]]},&quot;DOI&quot;:&quot;10.1016/J.JHEP.2015.07.010&quot;,&quot;ISSN&quot;:&quot;16000641&quot;,&quot;PMID&quot;:&quot;26385766&quot;,&quot;issued&quot;:{&quot;date-parts&quot;:[[2015,11,1]]},&quot;page&quot;:&quot;1229-1237&quot;,&quot;abstract&quot;:&quot;Background &amp; Aims The goal of this study was to examine the association of sitting time and physical activity level with non-alcoholic fatty liver disease (NAFLD) in Korean men and women and to explore whether any observed associations were mediated by adiposity. Methods A cross-sectional study was performed on 139,056 Koreans, who underwent a health examination between March 2011 and December 2013. Physical activity level and sitting time were assessed using the validated Korean version of the international Physical Activity Questionnaire Short Form. The presence of fatty liver was determined using ultrasonographic findings. Poisson regression models with robust variance were used to evaluate the association of sitting time and physical activity level with NAFLD. Results Of the 139,056 subjects, 39,257 had NAFLD. In a multivariable-adjusted model, both prolonged sitting time and decreased physical activity level were independently associated with increasing prevalence of NAFLD. The prevalence ratios (95% CIs) for NAFLD comparing 5-9 and ≥10 h/day sitting time to &lt;5 h/day were 1.04 (1.02-1.07) and 1.09 (1.06-1.11), respectively (p for trend &lt;0.001). These associations were still observed in subjects with BMI &lt;23 kg/m2. The prevalence ratios (95% CIs) for NAFLD comparing minimally active and health-enhancing physically active groups to the inactive group were 0.94 (0.92-0.95) and 0.80 (0.78-0.82), respectively (p for trend &lt;0.001). Conclusions Prolonged sitting time and decreased physical activity level were positively associated with the prevalence of NAFLD in a large sample of middle-aged Koreans, supporting the importance of reducing time spent sitting in addition to promoting physical activity.&quot;,&quot;publisher&quot;:&quot;Elsevier B.V.&quot;,&quot;issue&quot;:&quot;5&quot;,&quot;volume&quot;:&quot;63&quot;},&quot;isTemporary&quot;:false}]},{&quot;citationID&quot;:&quot;MENDELEY_CITATION_23bc6bd4-cb7c-4023-9ce5-414c4d7c7616&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&quot;,&quot;citationItems&quot;:[{&quot;id&quot;:&quot;209dbcdd-6fc5-30ca-bd79-4ebdf9c4a2db&quot;,&quot;itemData&quot;:{&quot;type&quot;:&quot;article-journal&quot;,&quot;id&quot;:&quot;209dbcdd-6fc5-30ca-bd79-4ebdf9c4a2db&quot;,&quot;title&quot;:&quot;Non-alcoholic fatty liver disease and diabetes&quot;,&quot;author&quot;:[{&quot;family&quot;:&quot;Hazlehurst&quot;,&quot;given&quot;:&quot;Jonathan M.&quot;,&quot;parse-names&quot;:false,&quot;dropping-particle&quot;:&quot;&quot;,&quot;non-dropping-particle&quot;:&quot;&quot;},{&quot;family&quot;:&quot;Woods&quot;,&quot;given&quot;:&quot;Conor&quot;,&quot;parse-names&quot;:false,&quot;dropping-particle&quot;:&quot;&quot;,&quot;non-dropping-particle&quot;:&quot;&quot;},{&quot;family&quot;:&quot;Marjot&quot;,&quot;given&quot;:&quot;Thomas&quot;,&quot;parse-names&quot;:false,&quot;dropping-particle&quot;:&quot;&quot;,&quot;non-dropping-particle&quot;:&quot;&quot;},{&quot;family&quot;:&quot;Cobbold&quot;,&quot;given&quot;:&quot;Jeremy F.&quot;,&quot;parse-names&quot;:false,&quot;dropping-particle&quot;:&quot;&quot;,&quot;non-dropping-particle&quot;:&quot;&quot;},{&quot;family&quot;:&quot;Tomlinson&quot;,&quot;given&quot;:&quot;Jeremy W.&quot;,&quot;parse-names&quot;:false,&quot;dropping-particle&quot;:&quot;&quot;,&quot;non-dropping-particle&quot;:&quot;&quot;}],&quot;container-title&quot;:&quot;Metabolism&quot;,&quot;accessed&quot;:{&quot;date-parts&quot;:[[2024,5,29]]},&quot;DOI&quot;:&quot;10.1016/J.METABOL.2016.01.001&quot;,&quot;ISSN&quot;:&quot;0026-0495&quot;,&quot;PMID&quot;:&quot;26856933&quot;,&quot;issued&quot;:{&quot;date-parts&quot;:[[2016,8,1]]},&quot;page&quot;:&quot;1096-1108&quot;,&quot;abstract&quot;:&quot;Non-alcoholic fatty liver disease (NAFLD) and type 2 diabetes (T2DM) are common conditions that regularly co-exist and can act synergistically to drive adverse outcomes. The presence of both NAFLD and T2DM increases the likelihood of the development of complications of diabetes (including both macro- and micro- vascular complications) as well as augmenting the risk of more severe NAFLD, including cirrhosis, hepatocellular carcinoma and death. The mainstay of NAFLD management is currently to reduce modifiable metabolic risk. Achieving good glycaemic control and optimising weight loss are pivotal to restricting disease progression. Once cirrhosis has developed, it is necessary to screen for complications and minimise the risk of hepatic decompensation. Therapeutic disease modifying options for patients with NAFLD are currently limited. When diabetes and NAFLD co-exist, there are published data that can help inform the clinician as to the most appropriate oral hypoglycaemic agent or injectable therapy that may improve NAFLD, however most of these data are drawn from observations in retrospective series and there is a paucity of well-designed randomised double blind placebo controlled studies with gold-standard end-points. Furthermore, given the heterogeneity of inclusion criteria and primary outcomes, as well as duration of follow-up, it is difficult to draw robust conclusions that are applicable across the entire spectrum of NAFLD and diabetes. In this review, we have summarised and critically evaluated the available data, with the aim of helping to inform the reader as to the most pertinent issues when managing patients with co-existent NAFLD and T2DM.&quot;,&quot;publisher&quot;:&quot;W.B. Saunders&quot;,&quot;issue&quot;:&quot;8&quot;,&quot;volume&quot;:&quot;65&quot;,&quot;container-title-short&quot;:&quot;&quot;},&quot;isTemporary&quot;:false}]},{&quot;citationID&quot;:&quot;MENDELEY_CITATION_519ab38b-34ee-418e-93da-ade6f884d213&quot;,&quot;properties&quot;:{&quot;noteIndex&quot;:0},&quot;isEdited&quot;:false,&quot;manualOverride&quot;:{&quot;isManuallyOverridden&quot;:false,&quot;citeprocText&quot;:&quot;&lt;sup&gt;6,7&lt;/sup&gt;&quot;,&quot;manualOverrideText&quot;:&quot;&quot;},&quot;citationTag&quot;:&quot;MENDELEY_CITATION_v3_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&quot;,&quot;citationItems&quot;:[{&quot;id&quot;:&quot;126928e5-7c29-3ac6-8d5c-277f8b78ee2d&quot;,&quot;itemData&quot;:{&quot;type&quot;:&quot;article-journal&quot;,&quot;id&quot;:&quot;126928e5-7c29-3ac6-8d5c-277f8b78ee2d&quot;,&quot;title&quot;:&quot;NAFLD in normal weight individuals&quot;,&quot;author&quot;:[{&quot;family&quot;:&quot;DiStefano&quot;,&quot;given&quot;:&quot;Johanna K.&quot;,&quot;parse-names&quot;:false,&quot;dropping-particle&quot;:&quot;&quot;,&quot;non-dropping-particle&quot;:&quot;&quot;},{&quot;family&quot;:&quot;Gerhard&quot;,&quot;given&quot;:&quot;Glenn S.&quot;,&quot;parse-names&quot;:false,&quot;dropping-particle&quot;:&quot;&quot;,&quot;non-dropping-particle&quot;:&quot;&quot;}],&quot;container-title&quot;:&quot;Diabetology and Metabolic Syndrome&quot;,&quot;container-title-short&quot;:&quot;Diabetol Metab Syndr&quot;,&quot;accessed&quot;:{&quot;date-parts&quot;:[[2024,5,29]]},&quot;DOI&quot;:&quot;10.1186/S13098-022-00814-Z&quot;,&quot;ISSN&quot;:&quot;17585996&quot;,&quot;issued&quot;:{&quot;date-parts&quot;:[[2022,12,1]]},&quot;abstract&quot;:&quot;Nonalcoholic fatty liver disease (NAFLD) can develop in lean individuals. Despite a better metabolic profile, the risk of disease progression to hepatic inflammation, fibrosis, and decompensated cirrhosis in the lean is similar to that in obesity-related NAFLD and lean individuals may experience more severe hepatic consequences and higher mortality relative to those with a higher body mass index (BMI). In the absence of early symptoms and abnormal laboratory findings, lean individuals are not likely to be screened for NAFLD or related comorbidities; however, given the progressive nature of the disease and the increased risk of morbidity and mortality, a clearer understanding of the natural history of NAFLD in lean individuals, as well as efforts to raise awareness of the potential health risks of NAFLD in lean individuals, are warranted. In this review, we summarize available data on NAFLD prevalence, clinical characteristics, outcomes, and mortality in lean individuals and discuss factors that may contribute to the development of NAFLD in this population, including links between dietary and genetic factors, menopausal status, and ethnicity. We also highlight the need for greater representation of lean individuals in NAFLD-related clinical trials, as well as more studies to better characterize lean NAFLD, develop improved screening algorithms, and determine specific treatment strategies based on underlying etiology.&quot;,&quot;publisher&quot;:&quot;BioMed Central Ltd&quot;,&quot;issue&quot;:&quot;1&quot;,&quot;volume&quot;:&quot;14&quot;},&quot;isTemporary&quot;:false},{&quot;id&quot;:&quot;4c49f3ca-1a3a-3ed2-8c89-c83c4384d5e9&quot;,&quot;itemData&quot;:{&quot;type&quot;:&quot;article-journal&quot;,&quot;id&quot;:&quot;4c49f3ca-1a3a-3ed2-8c89-c83c4384d5e9&quot;,&quot;title&quot;:&quot;The Pathophysiology of Type 2 Diabetes Mellitus in Non-obese Individuals: An Overview of the Current Understanding&quot;,&quot;author&quot;:[{&quot;family&quot;:&quot;Olaogun&quot;,&quot;given&quot;:&quot;Idowu&quot;,&quot;parse-names&quot;:false,&quot;dropping-particle&quot;:&quot;&quot;,&quot;non-dropping-particle&quot;:&quot;&quot;},{&quot;family&quot;:&quot;Farag&quot;,&quot;given&quot;:&quot;Mina&quot;,&quot;parse-names&quot;:false,&quot;dropping-particle&quot;:&quot;&quot;,&quot;non-dropping-particle&quot;:&quot;&quot;},{&quot;family&quot;:&quot;Hamid&quot;,&quot;given&quot;:&quot;Pousettef&quot;,&quot;parse-names&quot;:false,&quot;dropping-particle&quot;:&quot;&quot;,&quot;non-dropping-particle&quot;:&quot;&quot;}],&quot;container-title&quot;:&quot;Cureus&quot;,&quot;container-title-short&quot;:&quot;Cureus&quot;,&quot;accessed&quot;:{&quot;date-parts&quot;:[[2024,5,29]]},&quot;DOI&quot;:&quot;10.7759/CUREUS.7614&quot;,&quot;issued&quot;:{&quot;date-parts&quot;:[[2020,4,10]]},&quot;abstract&quot;:&quot;The pandemic of type 2 diabetes mellitus (T2DM) has been largely attributed to the increasing prevalence of worldwide obesity at a geometric rate. However, the number of non-obese patients with T2DM is also on the rise, and it is as high as 60-80% in some Asian countries. These non-obese individuals have certain peculiarities and have a higher mortality rate compared with obese individuals. The pathophysiology of T2DM in non-obese individuals remains poorly understood, and this has an impact on defining its management. This review discusses the current understanding of the pathophysiology of T2DM in non-obese individuals. The definition of T2DM in non-obese individuals remains controversial because of the limited clinical measurements, and the current definition of obesity using body mass index (BMI) is not very helpful as these individuals have BMIs of &lt;25K g/m3, which is considered normal. Many authors have argued that the so-called non-obese people are actually metabolically obese; however, in terms of the measurements clinically available, they are non-obese. The simplistic understanding of the mechanism of the pathophysiology sees it in terms of the balance between insulin secretion and insulin resistance. The pathogenesis of insulin resistance in a lean patient has been proven to be the same as what is seen in an obese individual, but most studies confirm more severe functional insulin secretory defects in lean individuals compared to the obese phenotype. The mechanism underlying this form of T2DM is still poorly defined, and more research is required to understand the mechanism of sarcopenic obesity, which some studies have revealed.&quot;,&quot;publisher&quot;:&quot;Springer Science and Business Media LLC&quot;},&quot;isTemporary&quot;:false}]},{&quot;citationID&quot;:&quot;MENDELEY_CITATION_5aac3f28-4387-4edf-92a3-6f823a626561&quot;,&quot;properties&quot;:{&quot;noteIndex&quot;:0},&quot;isEdited&quot;:false,&quot;manualOverride&quot;:{&quot;isManuallyOverridden&quot;:false,&quot;citeprocText&quot;:&quot;&lt;sup&gt;7,8&lt;/sup&gt;&quot;,&quot;manualOverrideText&quot;:&quot;&quot;},&quot;citationTag&quot;:&quot;MENDELEY_CITATION_v3_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&quot;,&quot;citationItems&quot;:[{&quot;id&quot;:&quot;4c49f3ca-1a3a-3ed2-8c89-c83c4384d5e9&quot;,&quot;itemData&quot;:{&quot;type&quot;:&quot;article-journal&quot;,&quot;id&quot;:&quot;4c49f3ca-1a3a-3ed2-8c89-c83c4384d5e9&quot;,&quot;title&quot;:&quot;The Pathophysiology of Type 2 Diabetes Mellitus in Non-obese Individuals: An Overview of the Current Understanding&quot;,&quot;author&quot;:[{&quot;family&quot;:&quot;Olaogun&quot;,&quot;given&quot;:&quot;Idowu&quot;,&quot;parse-names&quot;:false,&quot;dropping-particle&quot;:&quot;&quot;,&quot;non-dropping-particle&quot;:&quot;&quot;},{&quot;family&quot;:&quot;Farag&quot;,&quot;given&quot;:&quot;Mina&quot;,&quot;parse-names&quot;:false,&quot;dropping-particle&quot;:&quot;&quot;,&quot;non-dropping-particle&quot;:&quot;&quot;},{&quot;family&quot;:&quot;Hamid&quot;,&quot;given&quot;:&quot;Pousettef&quot;,&quot;parse-names&quot;:false,&quot;dropping-particle&quot;:&quot;&quot;,&quot;non-dropping-particle&quot;:&quot;&quot;}],&quot;container-title&quot;:&quot;Cureus&quot;,&quot;container-title-short&quot;:&quot;Cureus&quot;,&quot;accessed&quot;:{&quot;date-parts&quot;:[[2024,5,29]]},&quot;DOI&quot;:&quot;10.7759/CUREUS.7614&quot;,&quot;issued&quot;:{&quot;date-parts&quot;:[[2020,4,10]]},&quot;abstract&quot;:&quot;The pandemic of type 2 diabetes mellitus (T2DM) has been largely attributed to the increasing prevalence of worldwide obesity at a geometric rate. However, the number of non-obese patients with T2DM is also on the rise, and it is as high as 60-80% in some Asian countries. These non-obese individuals have certain peculiarities and have a higher mortality rate compared with obese individuals. The pathophysiology of T2DM in non-obese individuals remains poorly understood, and this has an impact on defining its management. This review discusses the current understanding of the pathophysiology of T2DM in non-obese individuals. The definition of T2DM in non-obese individuals remains controversial because of the limited clinical measurements, and the current definition of obesity using body mass index (BMI) is not very helpful as these individuals have BMIs of &lt;25K g/m3, which is considered normal. Many authors have argued that the so-called non-obese people are actually metabolically obese; however, in terms of the measurements clinically available, they are non-obese. The simplistic understanding of the mechanism of the pathophysiology sees it in terms of the balance between insulin secretion and insulin resistance. The pathogenesis of insulin resistance in a lean patient has been proven to be the same as what is seen in an obese individual, but most studies confirm more severe functional insulin secretory defects in lean individuals compared to the obese phenotype. The mechanism underlying this form of T2DM is still poorly defined, and more research is required to understand the mechanism of sarcopenic obesity, which some studies have revealed.&quot;,&quot;publisher&quot;:&quot;Springer Science and Business Media LLC&quot;},&quot;isTemporary&quot;:false},{&quot;id&quot;:&quot;7fcfe73c-e71a-3fa0-a8bd-40f4a4980db9&quot;,&quot;itemData&quot;:{&quot;type&quot;:&quot;article-journal&quot;,&quot;id&quot;:&quot;7fcfe73c-e71a-3fa0-a8bd-40f4a4980db9&quot;,&quot;title&quot;:&quot;Inadequate β-cell mass is essential for the pathogenesis of type 2 diabetes&quot;,&quot;author&quot;:[{&quot;family&quot;:&quot;Weir&quot;,&quot;given&quot;:&quot;Gordon C.&quot;,&quot;parse-names&quot;:false,&quot;dropping-particle&quot;:&quot;&quot;,&quot;non-dropping-particle&quot;:&quot;&quot;},{&quot;family&quot;:&quot;Gaglia&quot;,&quot;given&quot;:&quot;Jason&quot;,&quot;parse-names&quot;:false,&quot;dropping-particle&quot;:&quot;&quot;,&quot;non-dropping-particle&quot;:&quot;&quot;},{&quot;family&quot;:&quot;Bonner-Weir&quot;,&quot;given&quot;:&quot;Susan&quot;,&quot;parse-names&quot;:false,&quot;dropping-particle&quot;:&quot;&quot;,&quot;non-dropping-particle&quot;:&quot;&quot;}],&quot;container-title&quot;:&quot;The Lancet Diabetes and Endocrinology&quot;,&quot;container-title-short&quot;:&quot;Lancet Diabetes Endocrinol&quot;,&quot;accessed&quot;:{&quot;date-parts&quot;:[[2024,5,29]]},&quot;DOI&quot;:&quot;10.1016/S2213-8587(20)30022-X&quot;,&quot;ISSN&quot;:&quot;22138595&quot;,&quot;PMID&quot;:&quot;32006519&quot;,&quot;issued&quot;:{&quot;date-parts&quot;:[[2020,3,1]]},&quot;page&quot;:&quot;249-256&quot;,&quot;abstract&quot;:&quot;For patients with type 1 diabetes, it is accepted among the scientific community that there is a marked reduction in β-cell mass; however, with type 2 diabetes, there is disagreement as to whether this reduction in mass occurs in every case. Some have argued that β-cell mass in some patients with type 2 diabetes is normal and that the cause of the hyperglycaemia in these patients is a functional abnormality of insulin secretion. In this Personal View, we argue that a deficient β-cell mass is essential for the development of type 2 diabetes. The main point is that there are enormous (≥10 fold) variations in insulin sensitivity and insulin secretion in the general population, with a very close correlation between these two factors for any individual. Although β-cell mass cannot be accurately measured in living patients, it is highly likely that it too is highly correlated with insulin sensitivity and secretion. Thus, our argument is that a person with type 2 diabetes can have a β-cell mass that is the same as a person without type 2 diabetes, but because they are insulin resistant, the mass is inadequate and responsible for their diabetes. Because the abnormal insulin secretion of diabetes is caused by dysglycaemia and can be largely reversed with glycaemic control, it is a less serious problem than the reduction in β-cell mass, which is far more difficult to restore.&quot;,&quot;publisher&quot;:&quot;Lancet Publishing Group&quot;,&quot;issue&quot;:&quot;3&quot;,&quot;volume&quot;:&quot;8&quot;},&quot;isTemporary&quot;:false}]},{&quot;citationID&quot;:&quot;MENDELEY_CITATION_db90d194-f9de-4079-9cb8-8500ffb39241&quot;,&quot;properties&quot;:{&quot;noteIndex&quot;:0},&quot;isEdited&quot;:false,&quot;manualOverride&quot;:{&quot;isManuallyOverridden&quot;:false,&quot;citeprocText&quot;:&quot;&lt;sup&gt;9–11&lt;/sup&gt;&quot;,&quot;manualOverrideText&quot;:&quot;&quot;},&quot;citationTag&quot;:&quot;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&quot;,&quot;citationItems&quot;:[{&quot;id&quot;:&quot;13606c81-2adf-33f4-a728-a7caa5129f64&quot;,&quot;itemData&quot;:{&quot;type&quot;:&quot;article-journal&quot;,&quot;id&quot;:&quot;13606c81-2adf-33f4-a728-a7caa5129f64&quot;,&quot;title&quot;:&quot;Non-Alcoholic Fatty Liver Disease or Type 2 Diabetes Mellitus—The Chicken or the Egg Dilemma&quot;,&quot;author&quot;:[{&quot;family&quot;:&quot;Kosmalski&quot;,&quot;given&quot;:&quot;Marcin&quot;,&quot;parse-names&quot;:false,&quot;dropping-particle&quot;:&quot;&quot;,&quot;non-dropping-particle&quot;:&quot;&quot;},{&quot;family&quot;:&quot;Śliwińska&quot;,&quot;given&quot;:&quot;Agnieszka&quot;,&quot;parse-names&quot;:false,&quot;dropping-particle&quot;:&quot;&quot;,&quot;non-dropping-particle&quot;:&quot;&quot;},{&quot;family&quot;:&quot;Drzewoski&quot;,&quot;given&quot;:&quot;Józef&quot;,&quot;parse-names&quot;:false,&quot;dropping-particle&quot;:&quot;&quot;,&quot;non-dropping-particle&quot;:&quot;&quot;}],&quot;container-title&quot;:&quot;Biomedicines 2023, Vol. 11, Page 1097&quot;,&quot;accessed&quot;:{&quot;date-parts&quot;:[[2024,5,29]]},&quot;DOI&quot;:&quot;10.3390/BIOMEDICINES11041097&quot;,&quot;ISSN&quot;:&quot;2227-9059&quot;,&quot;URL&quot;:&quot;https://www.mdpi.com/2227-9059/11/4/1097/htm&quot;,&quot;issued&quot;:{&quot;date-parts&quot;:[[2023,4,4]]},&quot;page&quot;:&quot;1097&quot;,&quot;abstract&quot;:&quot;In clinical practice, we often deal with patients who suffer from non-alcoholic fatty liver disease (NAFLD) concurrent with type 2 diabetes mellitus (T2DM). The etiopathogenesis of NAFLD is mainly connected with insulin resistance (IR) and obesity. Similarly, the latter patients are in the process of developing T2DM. However, the mechanisms of NAFLD and T2DM coexistence have not been fully elucidated. Considering that both diseases and their complications are of epidemic proportions and significantly affect the length and quality of life, we aimed to answer which of these diseases appears first and thereby highlight the need for their diagnosis and treatment. To address this question, we present and discuss the epidemiological data, diagnoses, complications and pathomechanisms of these two coexisting metabolic diseases. This question is difficult to answer due to the lack of a uniform procedure for NAFLD diagnosis and the asymptomatic nature of both diseases, especially at their beginning stages. To conclude, most researchers suggest that NAFLD appears as the first disease and starts the sequence of circumstances leading ultimately to the development of T2DM. However, there are also data suggesting that T2DM develops before NAFLD. Despite the fact that we cannot definitively answer this question, it is very important to bring the attention of clinicians and researchers to the coexistence of NAFLD and T2DM in order to prevent their consequences.&quot;,&quot;publisher&quot;:&quot;Multidisciplinary Digital Publishing Institute&quot;,&quot;issue&quot;:&quot;4&quot;,&quot;volume&quot;:&quot;11&quot;,&quot;container-title-short&quot;:&quot;&quot;},&quot;isTemporary&quot;:false},{&quot;id&quot;:&quot;55d01389-df61-37d1-a73a-e6b9f4551e03&quot;,&quot;itemData&quot;:{&quot;type&quot;:&quot;article-journal&quot;,&quot;id&quot;:&quot;55d01389-df61-37d1-a73a-e6b9f4551e03&quot;,&quot;title&quot;:&quot;Type 2 diabetes mellitus and non-alcoholic fatty liver disease: a systematic review and meta-analysis&quot;,&quot;author&quot;:[{&quot;family&quot;:&quot;Atan&quot;,&quot;given&quot;:&quot;Nasrin Amiri Dash&quot;,&quot;parse-names&quot;:false,&quot;dropping-particle&quot;:&quot;&quot;,&quot;non-dropping-particle&quot;:&quot;&quot;},{&quot;family&quot;:&quot;Koushki&quot;,&quot;given&quot;:&quot;Mehdi&quot;,&quot;parse-names&quot;:false,&quot;dropping-particle&quot;:&quot;&quot;,&quot;non-dropping-particle&quot;:&quot;&quot;},{&quot;family&quot;:&quot;Motedayen&quot;,&quot;given&quot;:&quot;Morteza&quot;,&quot;parse-names&quot;:false,&quot;dropping-particle&quot;:&quot;&quot;,&quot;non-dropping-particle&quot;:&quot;&quot;},{&quot;family&quot;:&quot;Dousti&quot;,&quot;given&quot;:&quot;Majid&quot;,&quot;parse-names&quot;:false,&quot;dropping-particle&quot;:&quot;&quot;,&quot;non-dropping-particle&quot;:&quot;&quot;},{&quot;family&quot;:&quot;Sayehmiri&quot;,&quot;given&quot;:&quot;Fatemeh&quot;,&quot;parse-names&quot;:false,&quot;dropping-particle&quot;:&quot;&quot;,&quot;non-dropping-particle&quot;:&quot;&quot;},{&quot;family&quot;:&quot;Vafaee&quot;,&quot;given&quot;:&quot;Reza&quot;,&quot;parse-names&quot;:false,&quot;dropping-particle&quot;:&quot;&quot;,&quot;non-dropping-particle&quot;:&quot;&quot;},{&quot;family&quot;:&quot;Norouzinia&quot;,&quot;given&quot;:&quot;Mohsen&quot;,&quot;parse-names&quot;:false,&quot;dropping-particle&quot;:&quot;&quot;,&quot;non-dropping-particle&quot;:&quot;&quot;},{&quot;family&quot;:&quot;Gholami&quot;,&quot;given&quot;:&quot;Reza&quot;,&quot;parse-names&quot;:false,&quot;dropping-particle&quot;:&quot;&quot;,&quot;non-dropping-particle&quot;:&quot;&quot;}],&quot;container-title&quot;:&quot;Gastroenterology and Hepatology From Bed to Bench&quot;,&quot;container-title-short&quot;:&quot;Gastroenterol Hepatol Bed Bench&quot;,&quot;accessed&quot;:{&quot;date-parts&quot;:[[2024,5,29]]},&quot;DOI&quot;:&quot;10.22037/ghfbb.v0i0.1274&quot;,&quot;ISSN&quot;:&quot;20084234&quot;,&quot;PMID&quot;:&quot;29511464&quot;,&quot;URL&quot;:&quot;/pmc/articles/PMC5838173/&quot;,&quot;issued&quot;:{&quot;date-parts&quot;:[[2017]]},&quot;page&quot;:&quot;S1&quot;,&quot;abstract&quot;:&quot;Aim: The aim of this study was the evaluation of the prevalence of NAFLD in patients with type 2 diabetes mellitus. Background: Non-alcoholic fatty liver disease (NAFLD) is an emerging disease with high prevalence in patients with type 2 diabetes mellitus (T2DM). Many studies have reported the prevalence of NAFLD in type 2 diabetes mellitus patients. However, these results are inconsistent. Methods: A Literature search was conducted in PubMed, Scopus, web of science and Science Direct from 2005 to August 2017. The necessary information was extracted. Heterogeneity was evaluated using I2 statistic. Meta-regression analyses were performed to the estimation of the relationship between the year of study and sample size with the prevalence of NAFLD. Publication bias was assessed by both Begg rank correlation and Egger tests. Subgroup analysis was performed for identification of sources heterogeneity. Results: Seventeen studies involving 10897 type 2 diabetes mellitus patients with NAFLD were included in this meta-analysis. The overall prevalence of NAFLD in type 2 diabetes mellitus patients by random effects models was 54% (95% CI, 45%- 64%). There is a significant heterogeneity across studies with (I2= 99%, p &lt; 0.01). The funnel plot as graphically and Begg and Egger as statistically showed no publication bias among studies. Subgroup analysis indicated that the prevalence of NAFLD in type 2 diabetes mellitus patients differed in predictive factors such as lipid profile, BMI, HbA1c, AST, and ALT. This finding in spite of heterogeneity of documents is corresponding to the positive correlation between NAFLD and type 2 diabetes mellitus. Conclusion: The findings indicated that the overall prevalence of NAFLD among type 2 diabetes mellitus patients is significantly higher. It can be concluded that type 2 diabetes mellitus patients should be managed to prevent NAFLD.&quot;,&quot;publisher&quot;:&quot;Shahid Beheshti University of Medical Sciences&quot;,&quot;issue&quot;:&quot;Suppl1&quot;,&quot;volume&quot;:&quot;10&quot;},&quot;isTemporary&quot;:false},{&quot;id&quot;:&quot;5206f7c2-ff59-38c2-9cc5-ea5ea38ff2f9&quot;,&quot;itemData&quot;:{&quot;type&quot;:&quot;article-journal&quot;,&quot;id&quot;:&quot;5206f7c2-ff59-38c2-9cc5-ea5ea38ff2f9&quot;,&quot;title&quot;:&quot;Nonalcoholic Fatty Liver Disease and Type 2 Diabetes Mellitus&quot;,&quot;author&quot;:[{&quot;family&quot;:&quot;Dharmalingam&quot;,&quot;given&quot;:&quot;Mala&quot;,&quot;parse-names&quot;:false,&quot;dropping-particle&quot;:&quot;&quot;,&quot;non-dropping-particle&quot;:&quot;&quot;},{&quot;family&quot;:&quot;Yamasandhi&quot;,&quot;given&quot;:&quot;P. Ganavi&quot;,&quot;parse-names&quot;:false,&quot;dropping-particle&quot;:&quot;&quot;,&quot;non-dropping-particle&quot;:&quot;&quot;}],&quot;container-title&quot;:&quot;Indian Journal of Endocrinology and Metabolism&quot;,&quot;container-title-short&quot;:&quot;Indian J Endocrinol Metab&quot;,&quot;accessed&quot;:{&quot;date-parts&quot;:[[2024,5,29]]},&quot;DOI&quot;:&quot;10.4103/IJEM.IJEM_585_17&quot;,&quot;ISSN&quot;:&quot;2230-8210&quot;,&quot;PMID&quot;:&quot;30090738&quot;,&quot;URL&quot;:&quot;/pmc/articles/PMC6063173/&quot;,&quot;issued&quot;:{&quot;date-parts&quot;:[[2018]]},&quot;page&quot;:&quot;421&quot;,&quot;abstract&quot;:&quot;Type 2 diabetes mellitus (T2DM) and nonalcoholic fatty liver disease (NAFLD) commonly exist together. It has been regarded as a manifestation of the metabolic syndrome. The presentations of NAFLD range from simple steatosis (NAFL), nonalcoholic steatohepatitis (NASH), and cirrhosis. NAFLD has a prevalence of 70% among T2DM patients. Overweight/obesity and insulin resistance (IR) have been strongly linked with NAFLD. Noninvasive assessment and staging of disease are based on clinical parameters such as age, sex, liver function test, platelet count, lipid profile, BMI, and imaging modalities such as USG, transient elastography (TE), and magnetic resonance imaging mass spectroscopy. Such clinical scoring systems and TE are useful in the early detection of NAFLD and predicting fibrosis. The principle behind the management of NAFLD with T2DM involves an indirect effect through improvement in IR and glycemia and thus is used for the treatment of T2DM as well.&quot;,&quot;publisher&quot;:&quot;Wolters Kluwer -- Medknow Publications&quot;,&quot;issue&quot;:&quot;3&quot;,&quot;volume&quot;:&quot;22&quot;},&quot;isTemporary&quot;:false}]},{&quot;citationID&quot;:&quot;MENDELEY_CITATION_ac0c5264-b04d-4b2b-8759-10973290869a&quot;,&quot;properties&quot;:{&quot;noteIndex&quot;:0},&quot;isEdited&quot;:false,&quot;manualOverride&quot;:{&quot;citeprocText&quot;:&quot;&lt;sup&gt;12&lt;/sup&gt;&quot;,&quot;isManuallyOverridden&quot;:false,&quot;manualOverrideText&quot;:&quot;&quot;},&quot;citationTag&quot;:&quot;MENDELEY_CITATION_v3_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&quot;,&quot;citationItems&quot;:[{&quot;id&quot;:&quot;46672299-2678-53cd-bf88-d45406e056d4&quot;,&quot;itemData&quot;:{&quot;DOI&quot;:&quot;10.1016/s1665-2681(19)31559-5&quot;,&quot;ISBN&quot;:&quot;2348033080186&quot;,&quot;ISSN&quot;:&quot;16652681&quot;,&quot;PMID&quot;:&quot;21502672&quot;,&quot;abstract&quot;:&quot;Background. Liver disease continues to be a major cause of morbidity and mortality in sub-Saharan Africa, including Nigeria, due to the high endemicity of viral hepatitis B. However non-alcoholic fatty liver disease may be an important contributory factor. The impact of fatty liver disease in our region has not been evaluated. AIM. To determine the prevalence of non-alcoholic fatty liver disease (NAFLD) among a population of diabetic (DM) subjects attending the endocrine clinic of LASUTH compared with non-diabetic subjects; ascertain other contributing factors and compare the occurrence of the metabolic syndrome in subjects with and without NAFLD. Methodology. Consecutive patients who satisfy the study criteria were enrolled. An investigator- administered questionnaire was used to determine symptoms of liver disease, followed by physical examination to obtain anthropometric indices as well as signs of liver disease. Abdominal scan was performed to determine radiologic evidence of fatty liver and fasting blood samples were collected from for the measurement of fasting lipid profile, glucose, liver biochemistry and serology for hepatitis B and C markers. Results. One hundred and fifty subjects, mean age 56years (standard deviation = 9, range 20-80 yr) and gender ratio (F: M) of 83:67(55%:45%), were recruited. 106 were diabetics and 44 non-diabetics. The overall prevalence of NAFLD amongst all study subjects was 8.7%. The prevalence rate of NAFLD was higher in the DM cases than in the Control subjects but this difference was not statistically significant (9.5 vs. 4.5%, p = 0.2). Only one of the subjects with fatty liver disease had elevated transaminase levels (stea-tohepatitis) and also had type 2 DM. Central obesity as measured by waist circumference (WC) and SGPT levels were significantly higher in people with fatty liver. The mean body mass index (BMI) of diabetic and non-diabetic patients was similar (31 vs. 30 kg/m2). The prevalence of the metabolic syndrome was higher in the subjects with NAFLD than in those without fatty liver disease but this difference was not statistically significant (p = 0.8). Conclusion. Non-alcoholic fatty liver disease is present in Africa but is less than what one would expect based on American and European studies.&quot;,&quot;author&quot;:[{&quot;dropping-particle&quot;:&quot;&quot;,&quot;family&quot;:&quot;Onyekwere&quot;,&quot;given&quot;:&quot;Charles Asabamaka&quot;,&quot;non-dropping-particle&quot;:&quot;&quot;,&quot;parse-names&quot;:false,&quot;suffix&quot;:&quot;&quot;},{&quot;dropping-particle&quot;:&quot;&quot;,&quot;family&quot;:&quot;Ogbera&quot;,&quot;given&quot;:&quot;Anthonia O.&quot;,&quot;non-dropping-particle&quot;:&quot;&quot;,&quot;parse-names&quot;:false,&quot;suffix&quot;:&quot;&quot;},{&quot;dropping-particle&quot;:&quot;&quot;,&quot;family&quot;:&quot;Balogun&quot;,&quot;given&quot;:&quot;Babajide O.&quot;,&quot;non-dropping-particle&quot;:&quot;&quot;,&quot;parse-names&quot;:false,&quot;suffix&quot;:&quot;&quot;}],&quot;container-title&quot;:&quot;Annals of Hepatology&quot;,&quot;id&quot;:&quot;46672299-2678-53cd-bf88-d45406e056d4&quot;,&quot;issue&quot;:&quot;2&quot;,&quot;issued&quot;:{&quot;date-parts&quot;:[[&quot;2011&quot;]]},&quot;page&quot;:&quot;119-124&quot;,&quot;publisher&quot;:&quot;Elsevier&quot;,&quot;title&quot;:&quot;Non-alcoholic fatty liver disease and the metabolic syndrome in an urban hospital serving an African community&quot;,&quot;type&quot;:&quot;article-journal&quot;,&quot;volume&quot;:&quot;10&quot;,&quot;container-title-short&quot;:&quot;Ann Hepatol&quot;},&quot;uris&quot;:[&quot;http://www.mendeley.com/documents/?uuid=7dc04c7d-ea68-477b-920f-1af5da06ce9b&quot;],&quot;isTemporary&quot;:false,&quot;legacyDesktopId&quot;:&quot;7dc04c7d-ea68-477b-920f-1af5da06ce9b&quot;}]},{&quot;citationID&quot;:&quot;MENDELEY_CITATION_dac19ecd-0eab-460b-907f-26587cce24ae&quot;,&quot;properties&quot;:{&quot;noteIndex&quot;:0},&quot;isEdited&quot;:false,&quot;manualOverride&quot;:{&quot;citeprocText&quot;:&quot;&lt;sup&gt;13&lt;/sup&gt;&quot;,&quot;isManuallyOverridden&quot;:false,&quot;manualOverrideText&quot;:&quot;&quot;},&quot;citationTag&quot;:&quot;MENDELEY_CITATION_v3_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&quot;,&quot;citationItems&quot;:[{&quot;id&quot;:&quot;0275ffe9-8923-5c72-8bda-e34180bac142&quot;,&quot;itemData&quot;:{&quot;DOI&quot;:&quot;10.1016/j.jhep.2019.06.021&quot;,&quot;ISSN&quot;:&quot;16000641&quot;,&quot;abstract&quot;:&quot;Background &amp; Aims: Although non-alcoholic fatty liver disease (NAFLD), non-alcoholic steatohepatitis (NASH) and NASH with advanced fibrosis are closely associated with type 2 diabetes mellitus (T2DM), their global prevalence rates have not been well described. Our aim was to estimate the prevalence of NAFLD, NASH, and advanced fibrosis among patients with T2DM, by regions of the world. Methods: We searched for terms including NAFLD, NASH and T2DM in studies published from January 1989 to September 2018, using PubMed, Ovid MEDLINE®, EMBASE and Web of Science. Strict exclusion criteria were applied. Regional and global mean prevalence weighted by population size in each country were estimated and pooled using random-effects meta-analysis. Potential sources of heterogeneity were investigated using stratified meta-analysis and meta-regression. Results: Among 80 studies from 20 countries that met our inclusion criteria, there were 49,419 individuals with T2DM (mean age 58.5 years, mean body mass index 27.9 kg/m2, and males 52.9%). The global prevalence of NAFLD among patients with T2DM was 55.5% (95% CI 47.3–63.7). Studies from Europe reported the highest prevalence (68.0% [62.1–73.0%]). Among 10 studies that estimated the prevalence of NASH, the global prevalence of NASH among individuals with T2DM was 37.3% (95% CI 24.7–50.0%). Seven studies estimated the prevalence of advanced fibrosis in patients with NAFLD and T2DM to be 17.0% (95% CI 7.2–34.8). Meta-regression models showed that geographic region and mean age (p &lt;0.5) were associated with the prevalence of NAFLD, jointly accounting for 63.9% of the heterogeneity. Conclusions: This study provides the global prevalence rates for NAFLD, NASH, and advanced fibrosis in patients with T2DM. These data can be used to estimate the clinical and economic burden of NASH in patients with T2DM around the world. Lay summary: Non-alcoholic fatty liver disease (NAFLD) is now recognized as the most prevalent chronic liver disease worldwide. Type 2 diabetes mellitus (T2DM) is an important risk factor for NAFLD. Additionally, T2DM seems to accelerate the progression of liver disease in NAFLD. Despite the high prevalence and serious clinical implications of NAFLD in patients with T2DM, it is usually overlooked in clinical practice. This meta‐analysis provides evidence of the high prevalence of NAFLD and NASH in patients with T2DM. In this context, increasing awareness about the importance of NAFLD in patients with T2DM amo…&quot;,&quot;author&quot;:[{&quot;dropping-particle&quot;:&quot;&quot;,&quot;family&quot;:&quot;Younossi&quot;,&quot;given&quot;:&quot;Zobair M.&quot;,&quot;non-dropping-particle&quot;:&quot;&quot;,&quot;parse-names&quot;:false,&quot;suffix&quot;:&quot;&quot;},{&quot;dropping-particle&quot;:&quot;&quot;,&quot;family&quot;:&quot;Golabi&quot;,&quot;given&quot;:&quot;Pegah&quot;,&quot;non-dropping-particle&quot;:&quot;&quot;,&quot;parse-names&quot;:false,&quot;suffix&quot;:&quot;&quot;},{&quot;dropping-particle&quot;:&quot;&quot;,&quot;family&quot;:&quot;Avila&quot;,&quot;given&quot;:&quot;Leyla&quot;,&quot;non-dropping-particle&quot;:&quot;de&quot;,&quot;parse-names&quot;:false,&quot;suffix&quot;:&quot;&quot;},{&quot;dropping-particle&quot;:&quot;&quot;,&quot;family&quot;:&quot;Paik&quot;,&quot;given&quot;:&quot;James Minhui&quot;,&quot;non-dropping-particle&quot;:&quot;&quot;,&quot;parse-names&quot;:false,&quot;suffix&quot;:&quot;&quot;},{&quot;dropping-particle&quot;:&quot;&quot;,&quot;family&quot;:&quot;Srishord&quot;,&quot;given&quot;:&quot;Manirath&quot;,&quot;non-dropping-particle&quot;:&quot;&quot;,&quot;parse-names&quot;:false,&quot;suffix&quot;:&quot;&quot;},{&quot;dropping-particle&quot;:&quot;&quot;,&quot;family&quot;:&quot;Fukui&quot;,&quot;given&quot;:&quot;Natsu&quot;,&quot;non-dropping-particle&quot;:&quot;&quot;,&quot;parse-names&quot;:false,&quot;suffix&quot;:&quot;&quot;},{&quot;dropping-particle&quot;:&quot;&quot;,&quot;family&quot;:&quot;Qiu&quot;,&quot;given&quot;:&quot;Ying&quot;,&quot;non-dropping-particle&quot;:&quot;&quot;,&quot;parse-names&quot;:false,&quot;suffix&quot;:&quot;&quot;},{&quot;dropping-particle&quot;:&quot;&quot;,&quot;family&quot;:&quot;Burns&quot;,&quot;given&quot;:&quot;Leah&quot;,&quot;non-dropping-particle&quot;:&quot;&quot;,&quot;parse-names&quot;:false,&quot;suffix&quot;:&quot;&quot;},{&quot;dropping-particle&quot;:&quot;&quot;,&quot;family&quot;:&quot;Afendy&quot;,&quot;given&quot;:&quot;Arian&quot;,&quot;non-dropping-particle&quot;:&quot;&quot;,&quot;parse-names&quot;:false,&quot;suffix&quot;:&quot;&quot;},{&quot;dropping-particle&quot;:&quot;&quot;,&quot;family&quot;:&quot;Nader&quot;,&quot;given&quot;:&quot;Fatema&quot;,&quot;non-dropping-particle&quot;:&quot;&quot;,&quot;parse-names&quot;:false,&quot;suffix&quot;:&quot;&quot;}],&quot;container-title&quot;:&quot;Journal of Hepatology&quot;,&quot;id&quot;:&quot;0275ffe9-8923-5c72-8bda-e34180bac142&quot;,&quot;issue&quot;:&quot;4&quot;,&quot;issued&quot;:{&quot;date-parts&quot;:[[&quot;2019&quot;,&quot;10&quot;,&quot;1&quot;]]},&quot;page&quot;:&quot;793-801&quot;,&quot;publisher&quot;:&quot;Elsevier B.V.&quot;,&quot;title&quot;:&quot;The global epidemiology of NAFLD and NASH in patients with type 2 diabetes: A systematic review and meta-analysis&quot;,&quot;type&quot;:&quot;article-journal&quot;,&quot;volume&quot;:&quot;71&quot;,&quot;container-title-short&quot;:&quot;J Hepatol&quot;},&quot;uris&quot;:[&quot;http://www.mendeley.com/documents/?uuid=bd9d56f0-bf76-3ef4-9eae-e5eee9134129&quot;],&quot;isTemporary&quot;:false,&quot;legacyDesktopId&quot;:&quot;bd9d56f0-bf76-3ef4-9eae-e5eee9134129&quot;}]},{&quot;citationID&quot;:&quot;MENDELEY_CITATION_9473239c-ee2a-4092-8c36-5305b042f446&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&quot;,&quot;citationItems&quot;:[{&quot;id&quot;:&quot;55d01389-df61-37d1-a73a-e6b9f4551e03&quot;,&quot;itemData&quot;:{&quot;type&quot;:&quot;article-journal&quot;,&quot;id&quot;:&quot;55d01389-df61-37d1-a73a-e6b9f4551e03&quot;,&quot;title&quot;:&quot;Type 2 diabetes mellitus and non-alcoholic fatty liver disease: a systematic review and meta-analysis&quot;,&quot;author&quot;:[{&quot;family&quot;:&quot;Atan&quot;,&quot;given&quot;:&quot;Nasrin Amiri Dash&quot;,&quot;parse-names&quot;:false,&quot;dropping-particle&quot;:&quot;&quot;,&quot;non-dropping-particle&quot;:&quot;&quot;},{&quot;family&quot;:&quot;Koushki&quot;,&quot;given&quot;:&quot;Mehdi&quot;,&quot;parse-names&quot;:false,&quot;dropping-particle&quot;:&quot;&quot;,&quot;non-dropping-particle&quot;:&quot;&quot;},{&quot;family&quot;:&quot;Motedayen&quot;,&quot;given&quot;:&quot;Morteza&quot;,&quot;parse-names&quot;:false,&quot;dropping-particle&quot;:&quot;&quot;,&quot;non-dropping-particle&quot;:&quot;&quot;},{&quot;family&quot;:&quot;Dousti&quot;,&quot;given&quot;:&quot;Majid&quot;,&quot;parse-names&quot;:false,&quot;dropping-particle&quot;:&quot;&quot;,&quot;non-dropping-particle&quot;:&quot;&quot;},{&quot;family&quot;:&quot;Sayehmiri&quot;,&quot;given&quot;:&quot;Fatemeh&quot;,&quot;parse-names&quot;:false,&quot;dropping-particle&quot;:&quot;&quot;,&quot;non-dropping-particle&quot;:&quot;&quot;},{&quot;family&quot;:&quot;Vafaee&quot;,&quot;given&quot;:&quot;Reza&quot;,&quot;parse-names&quot;:false,&quot;dropping-particle&quot;:&quot;&quot;,&quot;non-dropping-particle&quot;:&quot;&quot;},{&quot;family&quot;:&quot;Norouzinia&quot;,&quot;given&quot;:&quot;Mohsen&quot;,&quot;parse-names&quot;:false,&quot;dropping-particle&quot;:&quot;&quot;,&quot;non-dropping-particle&quot;:&quot;&quot;},{&quot;family&quot;:&quot;Gholami&quot;,&quot;given&quot;:&quot;Reza&quot;,&quot;parse-names&quot;:false,&quot;dropping-particle&quot;:&quot;&quot;,&quot;non-dropping-particle&quot;:&quot;&quot;}],&quot;container-title&quot;:&quot;Gastroenterology and Hepatology From Bed to Bench&quot;,&quot;container-title-short&quot;:&quot;Gastroenterol Hepatol Bed Bench&quot;,&quot;accessed&quot;:{&quot;date-parts&quot;:[[2024,5,29]]},&quot;DOI&quot;:&quot;10.22037/ghfbb.v0i0.1274&quot;,&quot;ISSN&quot;:&quot;20084234&quot;,&quot;PMID&quot;:&quot;29511464&quot;,&quot;URL&quot;:&quot;/pmc/articles/PMC5838173/&quot;,&quot;issued&quot;:{&quot;date-parts&quot;:[[2017]]},&quot;page&quot;:&quot;S1&quot;,&quot;abstract&quot;:&quot;Aim: The aim of this study was the evaluation of the prevalence of NAFLD in patients with type 2 diabetes mellitus. Background: Non-alcoholic fatty liver disease (NAFLD) is an emerging disease with high prevalence in patients with type 2 diabetes mellitus (T2DM). Many studies have reported the prevalence of NAFLD in type 2 diabetes mellitus patients. However, these results are inconsistent. Methods: A Literature search was conducted in PubMed, Scopus, web of science and Science Direct from 2005 to August 2017. The necessary information was extracted. Heterogeneity was evaluated using I2 statistic. Meta-regression analyses were performed to the estimation of the relationship between the year of study and sample size with the prevalence of NAFLD. Publication bias was assessed by both Begg rank correlation and Egger tests. Subgroup analysis was performed for identification of sources heterogeneity. Results: Seventeen studies involving 10897 type 2 diabetes mellitus patients with NAFLD were included in this meta-analysis. The overall prevalence of NAFLD in type 2 diabetes mellitus patients by random effects models was 54% (95% CI, 45%- 64%). There is a significant heterogeneity across studies with (I2= 99%, p &lt; 0.01). The funnel plot as graphically and Begg and Egger as statistically showed no publication bias among studies. Subgroup analysis indicated that the prevalence of NAFLD in type 2 diabetes mellitus patients differed in predictive factors such as lipid profile, BMI, HbA1c, AST, and ALT. This finding in spite of heterogeneity of documents is corresponding to the positive correlation between NAFLD and type 2 diabetes mellitus. Conclusion: The findings indicated that the overall prevalence of NAFLD among type 2 diabetes mellitus patients is significantly higher. It can be concluded that type 2 diabetes mellitus patients should be managed to prevent NAFLD.&quot;,&quot;publisher&quot;:&quot;Shahid Beheshti University of Medical Sciences&quot;,&quot;issue&quot;:&quot;Suppl1&quot;,&quot;volume&quot;:&quot;10&quot;},&quot;isTemporary&quot;:false}]},{&quot;citationID&quot;:&quot;MENDELEY_CITATION_3c15a617-0e9c-49ba-a877-816186006bc0&quot;,&quot;properties&quot;:{&quot;noteIndex&quot;:0},&quot;isEdited&quot;:false,&quot;manualOverride&quot;:{&quot;citeprocText&quot;:&quot;&lt;sup&gt;12&lt;/sup&gt;&quot;,&quot;isManuallyOverridden&quot;:false,&quot;manualOverrideText&quot;:&quot;&quot;},&quot;citationTag&quot;:&quot;MENDELEY_CITATION_v3_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&quot;,&quot;citationItems&quot;:[{&quot;id&quot;:&quot;46672299-2678-53cd-bf88-d45406e056d4&quot;,&quot;itemData&quot;:{&quot;DOI&quot;:&quot;10.1016/s1665-2681(19)31559-5&quot;,&quot;ISBN&quot;:&quot;2348033080186&quot;,&quot;ISSN&quot;:&quot;16652681&quot;,&quot;PMID&quot;:&quot;21502672&quot;,&quot;abstract&quot;:&quot;Background. Liver disease continues to be a major cause of morbidity and mortality in sub-Saharan Africa, including Nigeria, due to the high endemicity of viral hepatitis B. However non-alcoholic fatty liver disease may be an important contributory factor. The impact of fatty liver disease in our region has not been evaluated. AIM. To determine the prevalence of non-alcoholic fatty liver disease (NAFLD) among a population of diabetic (DM) subjects attending the endocrine clinic of LASUTH compared with non-diabetic subjects; ascertain other contributing factors and compare the occurrence of the metabolic syndrome in subjects with and without NAFLD. Methodology. Consecutive patients who satisfy the study criteria were enrolled. An investigator- administered questionnaire was used to determine symptoms of liver disease, followed by physical examination to obtain anthropometric indices as well as signs of liver disease. Abdominal scan was performed to determine radiologic evidence of fatty liver and fasting blood samples were collected from for the measurement of fasting lipid profile, glucose, liver biochemistry and serology for hepatitis B and C markers. Results. One hundred and fifty subjects, mean age 56years (standard deviation = 9, range 20-80 yr) and gender ratio (F: M) of 83:67(55%:45%), were recruited. 106 were diabetics and 44 non-diabetics. The overall prevalence of NAFLD amongst all study subjects was 8.7%. The prevalence rate of NAFLD was higher in the DM cases than in the Control subjects but this difference was not statistically significant (9.5 vs. 4.5%, p = 0.2). Only one of the subjects with fatty liver disease had elevated transaminase levels (stea-tohepatitis) and also had type 2 DM. Central obesity as measured by waist circumference (WC) and SGPT levels were significantly higher in people with fatty liver. The mean body mass index (BMI) of diabetic and non-diabetic patients was similar (31 vs. 30 kg/m2). The prevalence of the metabolic syndrome was higher in the subjects with NAFLD than in those without fatty liver disease but this difference was not statistically significant (p = 0.8). Conclusion. Non-alcoholic fatty liver disease is present in Africa but is less than what one would expect based on American and European studies.&quot;,&quot;author&quot;:[{&quot;dropping-particle&quot;:&quot;&quot;,&quot;family&quot;:&quot;Onyekwere&quot;,&quot;given&quot;:&quot;Charles Asabamaka&quot;,&quot;non-dropping-particle&quot;:&quot;&quot;,&quot;parse-names&quot;:false,&quot;suffix&quot;:&quot;&quot;},{&quot;dropping-particle&quot;:&quot;&quot;,&quot;family&quot;:&quot;Ogbera&quot;,&quot;given&quot;:&quot;Anthonia O.&quot;,&quot;non-dropping-particle&quot;:&quot;&quot;,&quot;parse-names&quot;:false,&quot;suffix&quot;:&quot;&quot;},{&quot;dropping-particle&quot;:&quot;&quot;,&quot;family&quot;:&quot;Balogun&quot;,&quot;given&quot;:&quot;Babajide O.&quot;,&quot;non-dropping-particle&quot;:&quot;&quot;,&quot;parse-names&quot;:false,&quot;suffix&quot;:&quot;&quot;}],&quot;container-title&quot;:&quot;Annals of Hepatology&quot;,&quot;id&quot;:&quot;46672299-2678-53cd-bf88-d45406e056d4&quot;,&quot;issue&quot;:&quot;2&quot;,&quot;issued&quot;:{&quot;date-parts&quot;:[[&quot;2011&quot;]]},&quot;page&quot;:&quot;119-124&quot;,&quot;publisher&quot;:&quot;Elsevier&quot;,&quot;title&quot;:&quot;Non-alcoholic fatty liver disease and the metabolic syndrome in an urban hospital serving an African community&quot;,&quot;type&quot;:&quot;article-journal&quot;,&quot;volume&quot;:&quot;10&quot;,&quot;container-title-short&quot;:&quot;Ann Hepatol&quot;},&quot;uris&quot;:[&quot;http://www.mendeley.com/documents/?uuid=7dc04c7d-ea68-477b-920f-1af5da06ce9b&quot;],&quot;isTemporary&quot;:false,&quot;legacyDesktopId&quot;:&quot;7dc04c7d-ea68-477b-920f-1af5da06ce9b&quot;}]},{&quot;citationID&quot;:&quot;MENDELEY_CITATION_4c02ca5b-c83b-4e31-b28a-a8ab0fa16653&quot;,&quot;properties&quot;:{&quot;noteIndex&quot;:0},&quot;isEdited&quot;:false,&quot;manualOverride&quot;:{&quot;citeprocText&quot;:&quot;&lt;sup&gt;14&lt;/sup&gt;&quot;,&quot;isManuallyOverridden&quot;:false,&quot;manualOverrideText&quot;:&quot;&quot;},&quot;citationTag&quot;:&quot;MENDELEY_CITATION_v3_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&quot;,&quot;citationItems&quot;:[{&quot;id&quot;:&quot;6d994ce8-164d-59a1-bb74-77a0eabd4de7&quot;,&quot;itemData&quot;:{&quot;DOI&quot;:&quot;10.11604/pamj.2016.24.20.8181&quot;,&quot;ISSN&quot;:&quot;19378688&quot;,&quot;PMID&quot;:&quot;27583084&quot;,&quot;abstract&quot;:&quot;Introduction: Worldwide, Non-alcoholic fatty liver disease (NAFLD) has become an important cause of chronic liver disease and cardiovascular morbidity, even more so in subjects with Type II Diabetes Mellitus (T2DM). The aim of this study was to determine the prevalence and risk factors of NAFLD in an African population with Type II Diabetes Mellitus. Methods: We performed a case control study and evaluated anthropometric and biochemical risk factors for NAFLD in 336 subjects (T2DM and non-diabetic controls). Parameters assessed included estimation of BMI (Body Mass Index), measurement of waist circumference (WC), serum cholesterol including HDL-C, LDL-C and triglyceride and serum transaminases (ALT and AST). Hepatitis B and C viral antibody screening was also performed. The diagnosis of NAFLD was confirmed by identification of hepatic steatosis on abdominal ultrasound scan evaluation and exclusion of significant alcohol consumption. Results: NAFLD was identified in 16.7% (28 of 168) patients with T2DM compared with 1.2% (2 of 168) non-diabetic controls (Odds Ratio 16.6; p&lt;0.001). Central obesity (WC &gt; 102cm) and dyslipidaemia (HDL-c &lt; 40mg/dl) were independently associated with NAFLD in male subjects with T2DM (p=0.03 and p=0.04 respectively). Conclusion: NAFLD occurred more frequently in patients with T2DM than controls and was associated with central obesity and dyslipidaemia. The diabetic subjects with NAFLD will require more intensive therapy to decrease the risk of hepatic, cardiovascular and other adverse events.&quot;,&quot;author&quot;:[{&quot;dropping-particle&quot;:&quot;&quot;,&quot;family&quot;:&quot;Olusanya&quot;,&quot;given&quot;:&quot;Titilola Osawaye&quot;,&quot;non-dropping-particle&quot;:&quot;&quot;,&quot;parse-names&quot;:false,&quot;suffix&quot;:&quot;&quot;},{&quot;dropping-particle&quot;:&quot;&quot;,&quot;family&quot;:&quot;Lesi&quot;,&quot;given&quot;:&quot;Olufunmilayo Adenike&quot;,&quot;non-dropping-particle&quot;:&quot;&quot;,&quot;parse-names&quot;:false,&quot;suffix&quot;:&quot;&quot;},{&quot;dropping-particle&quot;:&quot;&quot;,&quot;family&quot;:&quot;Adeyomoye&quot;,&quot;given&quot;:&quot;Adekunle Ayokunle&quot;,&quot;non-dropping-particle&quot;:&quot;&quot;,&quot;parse-names&quot;:false,&quot;suffix&quot;:&quot;&quot;},{&quot;dropping-particle&quot;:&quot;&quot;,&quot;family&quot;:&quot;Fasanmade&quot;,&quot;given&quot;:&quot;Olufemi Adetola&quot;,&quot;non-dropping-particle&quot;:&quot;&quot;,&quot;parse-names&quot;:false,&quot;suffix&quot;:&quot;&quot;}],&quot;container-title&quot;:&quot;Pan African Medical Journal&quot;,&quot;id&quot;:&quot;6d994ce8-164d-59a1-bb74-77a0eabd4de7&quot;,&quot;issued&quot;:{&quot;date-parts&quot;:[[&quot;2016&quot;]]},&quot;title&quot;:&quot;Non alcoholic fatty liver disease in a Nigerian population with type II diabetes mellitus&quot;,&quot;type&quot;:&quot;article-journal&quot;,&quot;volume&quot;:&quot;24&quot;,&quot;container-title-short&quot;:&quot;&quot;},&quot;uris&quot;:[&quot;http://www.mendeley.com/documents/?uuid=092ddebf-c951-40a7-b91f-5a9752bd922e&quot;],&quot;isTemporary&quot;:false,&quot;legacyDesktopId&quot;:&quot;092ddebf-c951-40a7-b91f-5a9752bd922e&quot;}]},{&quot;citationID&quot;:&quot;MENDELEY_CITATION_9b6312e3-4e9f-4961-acd8-2af5891da352&quot;,&quot;properties&quot;:{&quot;noteIndex&quot;:0},&quot;isEdited&quot;:false,&quot;manualOverride&quot;:{&quot;citeprocText&quot;:&quot;&lt;sup&gt;15&lt;/sup&gt;&quot;,&quot;isManuallyOverridden&quot;:false,&quot;manualOverrideText&quot;:&quot;&quot;},&quot;citationTag&quot;:&quot;MENDELEY_CITATION_v3_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&quot;,&quot;citationItems&quot;:[{&quot;id&quot;:&quot;713be170-1fe2-5247-b1ff-438a4d3ac3be&quot;,&quot;itemData&quot;:{&quot;DOI&quot;:&quot;10.1016/j.jnma.2017.06.001&quot;,&quot;ISSN&quot;:&quot;00279684&quot;,&quot;abstract&quot;:&quot;Background: Metabolic risk factors associated with non-alcoholic fatty liver disease (NAFLD) include Type 2 diabetes mellitus (T2DM), obesity and dyslipidaemia. Prevention or management of these risk factors with glycaemic control, weight reduction and low serum lipid levels respectively have been reported to reduce the risk of NAFLD or slow its progression. Since ultrasound (USS) is a safe and reliable method of identifying fatty changes in the liver, this study was done to determine the relationship between glycaemic control and ultrasound diagnosed NAFLD in T2DM. Methodology: : Demographic data, anthropometric measurements and laboratory tests including glycated haemoglobin (HbA1c), fasting blood glucose (FBG) and serum lipids of 80 T2DM subjects aged 40-80 years were taken. Their livers were evaluated using B-mode ultrasound, and the data obtained were statistically analysed using SPSS version 20. Results: Fifty-five of all participants (68.8%) were diagnosed with NAFLD sonographic grades 1, 2 and 3 made up of 13 (16.3%), 26 (32.5%) and 16 (20.0%), respectively while 25 (37.2%) had grade 0. The prevalence of NAFLD in T2DM varied significantly with BMI (p = 0.001) and glycaemic control (p = 0.048) while the USS grades of NAFLD varied significantly with age (p = 0.043) and BMI (p = 0.006). The independent strong predictors of NAFLD were overweight (r = 0.409, p = 0.012, OR = 6.626) and obesity (r = 0.411 p = 0.009, OR = 11.508), while poor glycaemic control (r = 0.270, p = 0.015, OR = 3.473) was a moderate independent predictor. Conclusion: The prevalence of NAFLD increases with increasing BMI and HBA1c in T2DM, while its ultrasound grade varies with BMI. Overweight, obesity and poor glycaemic control are independent predictors of NAFLD.&quot;,&quot;author&quot;:[{&quot;dropping-particle&quot;:&quot;&quot;,&quot;family&quot;:&quot;Afolabi&quot;,&quot;given&quot;:&quot;Babalola Ishmael&quot;,&quot;non-dropping-particle&quot;:&quot;&quot;,&quot;parse-names&quot;:false,&quot;suffix&quot;:&quot;&quot;},{&quot;dropping-particle&quot;:&quot;&quot;,&quot;family&quot;:&quot;Ibitoye&quot;,&quot;given&quot;:&quot;Bolanle Olubunmi&quot;,&quot;non-dropping-particle&quot;:&quot;&quot;,&quot;parse-names&quot;:false,&quot;suffix&quot;:&quot;&quot;},{&quot;dropping-particle&quot;:&quot;&quot;,&quot;family&quot;:&quot;Ikem&quot;,&quot;given&quot;:&quot;Rosemary Temidayo&quot;,&quot;non-dropping-particle&quot;:&quot;&quot;,&quot;parse-names&quot;:false,&quot;suffix&quot;:&quot;&quot;},{&quot;dropping-particle&quot;:&quot;&quot;,&quot;family&quot;:&quot;Omisore&quot;,&quot;given&quot;:&quot;Adeleye Dorcas&quot;,&quot;non-dropping-particle&quot;:&quot;&quot;,&quot;parse-names&quot;:false,&quot;suffix&quot;:&quot;&quot;},{&quot;dropping-particle&quot;:&quot;&quot;,&quot;family&quot;:&quot;Idowu&quot;,&quot;given&quot;:&quot;Bukunmi Michael&quot;,&quot;non-dropping-particle&quot;:&quot;&quot;,&quot;parse-names&quot;:false,&quot;suffix&quot;:&quot;&quot;},{&quot;dropping-particle&quot;:&quot;&quot;,&quot;family&quot;:&quot;Soyoye&quot;,&quot;given&quot;:&quot;David Olubukunmi&quot;,&quot;non-dropping-particle&quot;:&quot;&quot;,&quot;parse-names&quot;:false,&quot;suffix&quot;:&quot;&quot;}],&quot;container-title&quot;:&quot;Journal of the National Medical Association&quot;,&quot;id&quot;:&quot;713be170-1fe2-5247-b1ff-438a4d3ac3be&quot;,&quot;issue&quot;:&quot;3&quot;,&quot;issued&quot;:{&quot;date-parts&quot;:[[&quot;2018&quot;,&quot;6&quot;,&quot;1&quot;]]},&quot;page&quot;:&quot;256-264&quot;,&quot;publisher&quot;:&quot;National Medical Association&quot;,&quot;title&quot;:&quot;The Relationship Between Glycaemic Control and Non-Alcoholic Fatty Liver Disease in Nigerian Type 2 Diabetic Patients&quot;,&quot;type&quot;:&quot;article-journal&quot;,&quot;volume&quot;:&quot;110&quot;,&quot;container-title-short&quot;:&quot;J Natl Med Assoc&quot;},&quot;uris&quot;:[&quot;http://www.mendeley.com/documents/?uuid=9dac6f46-7286-3c6a-92f8-6db85eb0e9a0&quot;],&quot;isTemporary&quot;:false,&quot;legacyDesktopId&quot;:&quot;9dac6f46-7286-3c6a-92f8-6db85eb0e9a0&quot;}]},{&quot;citationID&quot;:&quot;MENDELEY_CITATION_132ac14f-5770-4d98-b0a4-5c9349a1ea85&quot;,&quot;properties&quot;:{&quot;noteIndex&quot;:0},&quot;isEdited&quot;:false,&quot;manualOverride&quot;:{&quot;isManuallyOverridden&quot;:false,&quot;citeprocText&quot;:&quot;&lt;sup&gt;16&lt;/sup&gt;&quot;,&quot;manualOverrideText&quot;:&quot;&quot;},&quot;citationTag&quot;:&quot;MENDELEY_CITATION_v3_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&quot;,&quot;citationItems&quot;:[{&quot;id&quot;:&quot;f69c0b4f-2e9c-3588-9708-167185605fc6&quot;,&quot;itemData&quot;:{&quot;type&quot;:&quot;book&quot;,&quot;id&quot;:&quot;f69c0b4f-2e9c-3588-9708-167185605fc6&quot;,&quot;title&quot;:&quot;Distric Laboratory practice in tropical countries&quot;,&quot;author&quot;:[{&quot;family&quot;:&quot;Cheesbrough&quot;,&quot;given&quot;:&quot;Monica&quot;,&quot;parse-names&quot;:false,&quot;dropping-particle&quot;:&quot;&quot;,&quot;non-dropping-particle&quot;:&quot;&quot;}],&quot;ISBN&quot;:&quot;9780521676311&quot;,&quot;issued&quot;:{&quot;date-parts&quot;:[[2006]]},&quot;publisher-place&quot;:&quot;New York, NY, US&quot;,&quot;abstract&quot;:&quot;The Mexican transition zone is the area where the Neotropical and Nearctic regions overlap (Figure 4.1). In its broad sense, it comprises southwestern United States, Mexico, and most of Central America (Halffter, 1987; Zunino and Halffter, 1988; Gutiérrez-Velázquez et al., 2013). It is partially coincident with the areas named Megamexico 3 (Rzedowski, 1991) and biotic Mesoamerica (Ríos-Muñoz, 2013). The Mexican transition zone in the strict sense, which is followed in this book, corresponds to the moderate to high elevation highlands of Mexico, Guatemala, Honduras, El Salvador, and Nicaragua (Morrone, 2006, 2010b, 2014b, 2015c; Espinosa Organista et al., 2008).&quot;,&quot;edition&quot;:&quot;Second Edi&quot;,&quot;publisher&quot;:&quot;Cambridge University Press (CUP)&quot;,&quot;container-title-short&quot;:&quot;&quot;},&quot;isTemporary&quot;:false}]},{&quot;citationID&quot;:&quot;MENDELEY_CITATION_066e79e5-efd7-42c8-bca1-f2366ee4c18e&quot;,&quot;properties&quot;:{&quot;noteIndex&quot;:0},&quot;isEdited&quot;:false,&quot;manualOverride&quot;:{&quot;citeprocText&quot;:&quot;&lt;sup&gt;17–20&lt;/sup&gt;&quot;,&quot;isManuallyOverridden&quot;:false,&quot;manualOverrideText&quot;:&quot;&quot;},&quot;citationTag&quot;:&quot;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&quot;,&quot;citationItems&quot;:[{&quot;id&quot;:&quot;0c3acc2f-31c7-5b5f-a4fa-38c7801a3861&quot;,&quot;itemData&quot;:{&quot;DOI&quot;:&quot;10.1111/liv.12977&quot;,&quot;ISSN&quot;:&quot;14783223&quot;,&quot;abstract&quot;:&quot;Background: Triglycerides (TG) to high-density lipoprotein cholesterol (HDL-C) ratio (TG/HDL-C) has been recommended for surrogates of insulin resistance. However, it remains to be elucidated the association between TG/HDL-C and incident fatty liver. Aims: To investigate the association between TG/HDL-C and incident fatty liver. Methods: We performed population-based historical cohort study consisted with 4518 healthy Japanese who received yearly health-checkup programmes over decade. Fatty liver was diagnosed using ultrasonography. Results: During the observation periods, 38.8% (case/N = 1023/2637) of men and 17.2% (case/N = 324/1881) of women developed fatty liver. Adjusting odds ratio of TG/HDL-C for incident fatty liver were 1.59 (95% confidence interval (CI) 1.42-1.79, P &lt; 0.0001) in men and 2.50 (95% CI 1.80-3.51, P &lt; 0.0001) in women. In addition, adjusting odds ratio of TG/HDL-C for incident non-alcoholic fatty liver disease were 1.55 (95% CI 1.35-1.77, P &lt; 0.0001) in men and 2.72 (95% CI 1.88-3.95, P &lt; 0.0001) in women. According to the receiver operator characteristic (ROC) analysis, the optimal cut-off point of TG/HDL-C for incident fatty liver was 0.88 (area under the ROC curve (AUC) 0.67 [95% CI 0.65-0.69], sensitivity = 0.64, specificity = 0.60, P &lt; 0.0001) in men and 0.64 (AUC 0.69 [95% CI 0.66-0.72], sensitivity = 0.50, specificity = 0.78, P &lt; 0.0001) in women. Conclusions: The TG/HDL-C could predict the incident fatty liver. Thus, it is important to check TG/HDL-C and lifestyles modification is needed for preventing future fatty liver disease in patients with high TG/HDL-C.&quot;,&quot;author&quot;:[{&quot;dropping-particle&quot;:&quot;&quot;,&quot;family&quot;:&quot;Fukuda&quot;,&quot;given&quot;:&quot;Yukiko&quot;,&quot;non-dropping-particle&quot;:&quot;&quot;,&quot;parse-names&quot;:false,&quot;suffix&quot;:&quot;&quot;},{&quot;dropping-particle&quot;:&quot;&quot;,&quot;family&quot;:&quot;Hashimoto&quot;,&quot;given&quot;:&quot;Yoshitaka&quot;,&quot;non-dropping-particle&quot;:&quot;&quot;,&quot;parse-names&quot;:false,&quot;suffix&quot;:&quot;&quot;},{&quot;dropping-particle&quot;:&quot;&quot;,&quot;family&quot;:&quot;Hamaguchi&quot;,&quot;given&quot;:&quot;Masahide&quot;,&quot;non-dropping-particle&quot;:&quot;&quot;,&quot;parse-names&quot;:false,&quot;suffix&quot;:&quot;&quot;},{&quot;dropping-particle&quot;:&quot;&quot;,&quot;family&quot;:&quot;Fukuda&quot;,&quot;given&quot;:&quot;Takuya&quot;,&quot;non-dropping-particle&quot;:&quot;&quot;,&quot;parse-names&quot;:false,&quot;suffix&quot;:&quot;&quot;},{&quot;dropping-particle&quot;:&quot;&quot;,&quot;family&quot;:&quot;Nakamura&quot;,&quot;given&quot;:&quot;Naoto&quot;,&quot;non-dropping-particle&quot;:&quot;&quot;,&quot;parse-names&quot;:false,&quot;suffix&quot;:&quot;&quot;},{&quot;dropping-particle&quot;:&quot;&quot;,&quot;family&quot;:&quot;Ohbora&quot;,&quot;given&quot;:&quot;Akihiro&quot;,&quot;non-dropping-particle&quot;:&quot;&quot;,&quot;parse-names&quot;:false,&quot;suffix&quot;:&quot;&quot;},{&quot;dropping-particle&quot;:&quot;&quot;,&quot;family&quot;:&quot;Kato&quot;,&quot;given&quot;:&quot;Takahiro&quot;,&quot;non-dropping-particle&quot;:&quot;&quot;,&quot;parse-names&quot;:false,&quot;suffix&quot;:&quot;&quot;},{&quot;dropping-particle&quot;:&quot;&quot;,&quot;family&quot;:&quot;Kojima&quot;,&quot;given&quot;:&quot;Takao&quot;,&quot;non-dropping-particle&quot;:&quot;&quot;,&quot;parse-names&quot;:false,&quot;suffix&quot;:&quot;&quot;},{&quot;dropping-particle&quot;:&quot;&quot;,&quot;family&quot;:&quot;Fukui&quot;,&quot;given&quot;:&quot;Michiaki&quot;,&quot;non-dropping-particle&quot;:&quot;&quot;,&quot;parse-names&quot;:false,&quot;suffix&quot;:&quot;&quot;}],&quot;container-title&quot;:&quot;Liver International&quot;,&quot;id&quot;:&quot;0c3acc2f-31c7-5b5f-a4fa-38c7801a3861&quot;,&quot;issue&quot;:&quot;5&quot;,&quot;issued&quot;:{&quot;date-parts&quot;:[[&quot;2016&quot;,&quot;5&quot;,&quot;1&quot;]]},&quot;page&quot;:&quot;713-720&quot;,&quot;publisher&quot;:&quot;Blackwell Publishing Ltd&quot;,&quot;title&quot;:&quot;Triglycerides to high-density lipoprotein cholesterol ratio is an independent predictor of incident fatty liver; a population-based cohort study&quot;,&quot;type&quot;:&quot;article-journal&quot;,&quot;volume&quot;:&quot;36&quot;,&quot;container-title-short&quot;:&quot;&quot;},&quot;uris&quot;:[&quot;http://www.mendeley.com/documents/?uuid=0b2e2693-828f-38ac-bf48-bb36827de50e&quot;],&quot;isTemporary&quot;:false,&quot;legacyDesktopId&quot;:&quot;0b2e2693-828f-38ac-bf48-bb36827de50e&quot;},{&quot;id&quot;:&quot;deef548b-36e3-599d-b77d-754b49f0d56e&quot;,&quot;itemData&quot;:{&quot;DOI&quot;:&quot;10.1097/HJH.0b013e3283576faf&quot;,&quot;ISSN&quot;:&quot;0263-6352&quot;,&quot;abstract&quot;:&quot;OBJECTIVE: Nonalcoholic fatty liver and hypertension are associated with metabolic syndrome. Both conditions increase the risk for cardiovascular morbidity. The objective of this study was to analyze whether 24-h blood pressure (BP) levels and nondipping phenomenon associate with hepatic steatosis defined as liver brightness. METHODS: Twenty-four hour ambulatory BP measurement (ABPM) and liver brightness were investigated in a population-based cohort of 890 hypertensive (n=433) and normotensive (n=457) individuals aged 40-60 years. ABPM was recorded using the fully automatic SpaceLabs90207 oscillometric unit. RESULTS: Fatty liver was associated with male sex, increased alcohol consumption, high BMI, large waist (P&lt;0.001 for all) and increased prevalence of smoking (P&lt;0.03). Values of alanine aminotransferase (ALT), gamma-glutamyltransferase (GGT), triglycerides and high-sensitivity CRP (hsCRP) were higher and high-density lipoprotein cholesterol lower (P&lt;0.001 for all) in individuals with fatty liver. After adjustments for BMI, sex and age, fatty liver was associated with 24-h (P&lt;0.005), daytime (P&lt;0.02) and night-time (P&lt;0.005) SBP measurements and DBP at daytime (P&lt;0.03). The association with nondipping showed only a trend (P=0.057). CONCLUSION: Significantly higher ambulatory daytime and night-time SBP levels were seen in individuals with fatty liver. Nondipping does not seem to associate with liver fat. The coexistence of liver fat accumulation and high BP are likely to potentiate the risk for cardiovascular disease. Copyright © Lippincott Williams &amp; Wilkins. Unauthorized reproduction of this article is prohibited.&quot;,&quot;author&quot;:[{&quot;dropping-particle&quot;:&quot;&quot;,&quot;family&quot;:&quot;Vasunta&quot;,&quot;given&quot;:&quot;Riitta-Liisa&quot;,&quot;non-dropping-particle&quot;:&quot;&quot;,&quot;parse-names&quot;:false,&quot;suffix&quot;:&quot;&quot;},{&quot;dropping-particle&quot;:&quot;&quot;,&quot;family&quot;:&quot;Kesäniemi&quot;,&quot;given&quot;:&quot;Y. Antero&quot;,&quot;non-dropping-particle&quot;:&quot;&quot;,&quot;parse-names&quot;:false,&quot;suffix&quot;:&quot;&quot;},{&quot;dropping-particle&quot;:&quot;&quot;,&quot;family&quot;:&quot;Ylitalo&quot;,&quot;given&quot;:&quot;Antti S.&quot;,&quot;non-dropping-particle&quot;:&quot;&quot;,&quot;parse-names&quot;:false,&quot;suffix&quot;:&quot;&quot;},{&quot;dropping-particle&quot;:&quot;&quot;,&quot;family&quot;:&quot;Ukkola&quot;,&quot;given&quot;:&quot;Olavi H.&quot;,&quot;non-dropping-particle&quot;:&quot;&quot;,&quot;parse-names&quot;:false,&quot;suffix&quot;:&quot;&quot;}],&quot;container-title&quot;:&quot;Journal of Hypertension&quot;,&quot;id&quot;:&quot;deef548b-36e3-599d-b77d-754b49f0d56e&quot;,&quot;issue&quot;:&quot;10&quot;,&quot;issued&quot;:{&quot;date-parts&quot;:[[&quot;2012&quot;,&quot;10&quot;,&quot;1&quot;]]},&quot;page&quot;:&quot;2015-2019&quot;,&quot;title&quot;:&quot;High ambulatory blood pressure values associated with non-alcoholic fatty liver in middle-aged adults&quot;,&quot;type&quot;:&quot;article-journal&quot;,&quot;volume&quot;:&quot;30&quot;,&quot;container-title-short&quot;:&quot;J Hypertens&quot;},&quot;uris&quot;:[&quot;http://www.mendeley.com/documents/?uuid=40b3d8ed-ab40-3f50-a201-d78406a7a2c7&quot;],&quot;isTemporary&quot;:false,&quot;legacyDesktopId&quot;:&quot;40b3d8ed-ab40-3f50-a201-d78406a7a2c7&quot;},{&quot;id&quot;:&quot;ccfcf45c-0d75-54ab-9cf5-ea64682df4d2&quot;,&quot;itemData&quot;:{&quot;DOI&quot;:&quot;10.1111/j.1478-3231.2011.02482.x&quot;,&quot;ISSN&quot;:&quot;14783223&quot;,&quot;abstract&quot;:&quot;Background/Aims: Nonalcoholic fatty liver disease (NAFLD) is highly prevalent in type 2 diabetes mellitus (T2DM). However, data regarding the prevalence and correlates of its histopathological stages are scarce. The aim was to investigate the prevalence and correlates of the more severe histopathological features of NAFLD, nonalcoholic steatohepatitis (NASH) and advanced fibrosis, in T2DM. Methods: From 125 patients with ultrasonographic evidence of NAFLD, 98 patients underwent liver biopsies, which were examined by two independent pathologists regarding the presence of NASH and graded according to the NASH Clinical Research Network scoring system. Agreement between pathologists was assessed by weighted κ coefficients and independent correlates of NASH and advanced fibrosis (grade ≥2) by multivariate logistic regression. Results: Ninety-two (94%) patients presented histological NAFLD. Interobserver agreement was substantial to excellent for NASH diagnosis (κ=0.82) and steatosis grading (κ=0.76), and moderate for the NAFLD activity score (κ=0.58) and fibrosis grading (κ=0.52). The prevalence of NASH was 78%, and its independent correlates were hypertriglyceridaemia (P=0.034), high alanine aminotranferase level (P=0.044) and low serum high-density lipoprotein-cholesterol (P=0.079). The prevalence of advanced fibrosis ranged from 34% in the best scenario (lowest fibrosis score) to 60% in the worst scenario (highest score). Its independent correlates were a high serum γ-glutamyl transferase (P=0.002), older age (P=0.022) and male gender (P=0.064). No diabetes-related clinical characteristic was associated with NASH or advanced liver fibrosis. Conclusions: The prevalence of the severe features of NAFLD is high in T2DM patients. Liver biopsy shall be considered in all diabetic patients with ultrasonographic evidence of NAFLD. © 2011 John Wiley Sons A/S.&quot;,&quot;author&quot;:[{&quot;dropping-particle&quot;:&quot;&quot;,&quot;family&quot;:&quot;Leite&quot;,&quot;given&quot;:&quot;Nathalie C.&quot;,&quot;non-dropping-particle&quot;:&quot;&quot;,&quot;parse-names&quot;:false,&quot;suffix&quot;:&quot;&quot;},{&quot;dropping-particle&quot;:&quot;&quot;,&quot;family&quot;:&quot;Villela-Nogueira&quot;,&quot;given&quot;:&quot;Cristiane A.&quot;,&quot;non-dropping-particle&quot;:&quot;&quot;,&quot;parse-names&quot;:false,&quot;suffix&quot;:&quot;&quot;},{&quot;dropping-particle&quot;:&quot;&quot;,&quot;family&quot;:&quot;Pannain&quot;,&quot;given&quot;:&quot;Vera L. N.&quot;,&quot;non-dropping-particle&quot;:&quot;&quot;,&quot;parse-names&quot;:false,&quot;suffix&quot;:&quot;&quot;},{&quot;dropping-particle&quot;:&quot;&quot;,&quot;family&quot;:&quot;Bottino&quot;,&quot;given&quot;:&quot;Adriana C.&quot;,&quot;non-dropping-particle&quot;:&quot;&quot;,&quot;parse-names&quot;:false,&quot;suffix&quot;:&quot;&quot;},{&quot;dropping-particle&quot;:&quot;&quot;,&quot;family&quot;:&quot;Rezende&quot;,&quot;given&quot;:&quot;Guilherme F. M.&quot;,&quot;non-dropping-particle&quot;:&quot;&quot;,&quot;parse-names&quot;:false,&quot;suffix&quot;:&quot;&quot;},{&quot;dropping-particle&quot;:&quot;&quot;,&quot;family&quot;:&quot;Cardoso&quot;,&quot;given&quot;:&quot;Claudia R. L.&quot;,&quot;non-dropping-particle&quot;:&quot;&quot;,&quot;parse-names&quot;:false,&quot;suffix&quot;:&quot;&quot;},{&quot;dropping-particle&quot;:&quot;&quot;,&quot;family&quot;:&quot;Salles&quot;,&quot;given&quot;:&quot;Gil F.&quot;,&quot;non-dropping-particle&quot;:&quot;&quot;,&quot;parse-names&quot;:false,&quot;suffix&quot;:&quot;&quot;}],&quot;container-title&quot;:&quot;Liver International&quot;,&quot;id&quot;:&quot;ccfcf45c-0d75-54ab-9cf5-ea64682df4d2&quot;,&quot;issue&quot;:&quot;5&quot;,&quot;issued&quot;:{&quot;date-parts&quot;:[[&quot;2011&quot;,&quot;5&quot;,&quot;1&quot;]]},&quot;page&quot;:&quot;700-706&quot;,&quot;publisher&quot;:&quot;John Wiley &amp; Sons, Ltd&quot;,&quot;title&quot;:&quot;Histopathological stages of nonalcoholic fatty liver disease in type 2 diabetes: prevalences and correlated factors&quot;,&quot;type&quot;:&quot;article-journal&quot;,&quot;volume&quot;:&quot;31&quot;,&quot;container-title-short&quot;:&quot;&quot;},&quot;uris&quot;:[&quot;http://www.mendeley.com/documents/?uuid=7bb55ae2-84b7-34b9-9975-c9af4091eb37&quot;],&quot;isTemporary&quot;:false,&quot;legacyDesktopId&quot;:&quot;7bb55ae2-84b7-34b9-9975-c9af4091eb37&quot;},{&quot;id&quot;:&quot;9987b124-39f5-505f-adf1-92fa26baf76f&quot;,&quot;itemData&quot;:{&quot;DOI&quot;:&quot;10.1053/j.gastro.2010.09.038&quot;,&quot;ISSN&quot;:&quot;00165085&quot;,&quot;abstract&quot;:&quot;Background &amp; Aims: Prevalence of nonalcoholic fatty liver disease (NAFLD) has not been well established. The purpose of this study was to prospectively define the prevalence of both NAFLD and nonalcoholic steatohepatitis (NASH). Methods: Outpatients 18 to 70 years old were recruited from Brooke Army Medical Center. All patients completed a baseline questionnaire and ultrasound. If fatty liver was identified, then laboratory data and a liver biopsy were obtained. Results: Four hundred patients were enrolled. Three hundred and twenty-eight patients completed the questionnaire and ultrasound. Mean age (range, 28-70 years) was 54.6 years (7.35); 62.5% Caucasian, 22% Hispanic, and 11.3% African American; 50.9% female; mean body mass index (BMI) (calculated as kg/m2) was 29.8 (5.64); and diabetes and hypertension prevalence 16.5% and 49.7%, respectively. Prevalence of NAFLD was 46%. NASH was confirmed in 40 patients (12.2% of total cohort, 29.9% of ultrasound positive patients). Hispanics had the highest prevalence of NAFLD (58.3%), then Caucasians (44.4%) and African Americans (35.1%). NAFLD patients were more likely to be male (58.9%), older (P = .004), hypertensive (P &lt; .00005), and diabetic (P &lt; .00005). They had a higher BMI (P &lt; .0005), ate fast food more often (P = .049), and exercised less (P = 0.02) than their non-NAFLD counterparts. Hispanics had a higher prevalence of NASH compared with Caucasians (19.4% vs 9.8%; P = .03). Alanine aminotransferase, aspartate aminotransferase, BMI, insulin, Quantitative Insulin-Sensitivity Check Index, and cytokeratin-18 correlated with NASH. Among the 54 diabetic patients, NAFLD was found in 74% and NASH in 22.2%. Conclusion: Prevalence of NAFLD and NASH is higher than estimated previously. Hispanics and patients with diabetes are at greatest risk for both NAFLD and NASH. © 2011 AGA Institute.&quot;,&quot;author&quot;:[{&quot;dropping-particle&quot;:&quot;&quot;,&quot;family&quot;:&quot;Williams&quot;,&quot;given&quot;:&quot;Christopher D.&quot;,&quot;non-dropping-particle&quot;:&quot;&quot;,&quot;parse-names&quot;:false,&quot;suffix&quot;:&quot;&quot;},{&quot;dropping-particle&quot;:&quot;&quot;,&quot;family&quot;:&quot;Stengel&quot;,&quot;given&quot;:&quot;Joel&quot;,&quot;non-dropping-particle&quot;:&quot;&quot;,&quot;parse-names&quot;:false,&quot;suffix&quot;:&quot;&quot;},{&quot;dropping-particle&quot;:&quot;&quot;,&quot;family&quot;:&quot;Asike&quot;,&quot;given&quot;:&quot;Michael I.&quot;,&quot;non-dropping-particle&quot;:&quot;&quot;,&quot;parse-names&quot;:false,&quot;suffix&quot;:&quot;&quot;},{&quot;dropping-particle&quot;:&quot;&quot;,&quot;family&quot;:&quot;Torres&quot;,&quot;given&quot;:&quot;Dawn M.&quot;,&quot;non-dropping-particle&quot;:&quot;&quot;,&quot;parse-names&quot;:false,&quot;suffix&quot;:&quot;&quot;},{&quot;dropping-particle&quot;:&quot;&quot;,&quot;family&quot;:&quot;Shaw&quot;,&quot;given&quot;:&quot;Janet&quot;,&quot;non-dropping-particle&quot;:&quot;&quot;,&quot;parse-names&quot;:false,&quot;suffix&quot;:&quot;&quot;},{&quot;dropping-particle&quot;:&quot;&quot;,&quot;family&quot;:&quot;Contreras&quot;,&quot;given&quot;:&quot;Maricela&quot;,&quot;non-dropping-particle&quot;:&quot;&quot;,&quot;parse-names&quot;:false,&quot;suffix&quot;:&quot;&quot;},{&quot;dropping-particle&quot;:&quot;&quot;,&quot;family&quot;:&quot;Landt&quot;,&quot;given&quot;:&quot;Cristy L.&quot;,&quot;non-dropping-particle&quot;:&quot;&quot;,&quot;parse-names&quot;:false,&quot;suffix&quot;:&quot;&quot;},{&quot;dropping-particle&quot;:&quot;&quot;,&quot;family&quot;:&quot;Harrison&quot;,&quot;given&quot;:&quot;Stephen A.&quot;,&quot;non-dropping-particle&quot;:&quot;&quot;,&quot;parse-names&quot;:false,&quot;suffix&quot;:&quot;&quot;}],&quot;container-title&quot;:&quot;Gastroenterology&quot;,&quot;id&quot;:&quot;9987b124-39f5-505f-adf1-92fa26baf76f&quot;,&quot;issue&quot;:&quot;1&quot;,&quot;issued&quot;:{&quot;date-parts&quot;:[[&quot;2011&quot;,&quot;1&quot;,&quot;1&quot;]]},&quot;page&quot;:&quot;124-131&quot;,&quot;publisher&quot;:&quot;W.B. Saunders&quot;,&quot;title&quot;:&quot;Prevalence of nonalcoholic fatty liver disease and nonalcoholic steatohepatitis among a largely middle-aged population utilizing ultrasound and liver biopsy: A prospective study&quot;,&quot;type&quot;:&quot;article-journal&quot;,&quot;volume&quot;:&quot;140&quot;,&quot;container-title-short&quot;:&quot;Gastroenterology&quot;},&quot;uris&quot;:[&quot;http://www.mendeley.com/documents/?uuid=45f1f41c-c945-40c5-a467-253eac5859c2&quot;],&quot;isTemporary&quot;:false,&quot;legacyDesktopId&quot;:&quot;45f1f41c-c945-40c5-a467-253eac5859c2&quot;}]},{&quot;citationID&quot;:&quot;MENDELEY_CITATION_03936afa-4718-484c-a151-993a11923e26&quot;,&quot;properties&quot;:{&quot;noteIndex&quot;:0},&quot;isEdited&quot;:false,&quot;manualOverride&quot;:{&quot;citeprocText&quot;:&quot;&lt;sup&gt;21,22&lt;/sup&gt;&quot;,&quot;isManuallyOverridden&quot;:false,&quot;manualOverrideText&quot;:&quot;&quot;},&quot;citationTag&quot;:&quot;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&quot;,&quot;citationItems&quot;:[{&quot;id&quot;:&quot;0bd72a23-6733-54c6-b0c4-ed0491e5d302&quot;,&quot;itemData&quot;:{&quot;DOI&quot;:&quot;10.1002/hep.21496&quot;,&quot;ISSN&quot;:&quot;02709139&quot;,&quot;PMID&quot;:&quot;17393509&quot;,&quot;abstract&quot;:&quot;Patients with nonalcoholic fatty liver disease (NAFLD) and advanced liver fibrosis are at the highest risk for progressing to end-stage liver disease. We constructed and validated a scoring system consisting of routinely measured and readily available clinical and laboratory data to separate NAFLD patients with and without advanced fibrosis. A total of 733 patients with NAFLD confirmed by liver biopsy were divided into 2 groups to construct (n = 480) and validate (n = 253) a scoring system. Routine demographic, clinical, and laboratory variables were analyzed by multivariate modeling to predict presence or absence of advanced fibrosis. Age, hyperglycemia, body mass index, platelet count, albumin, and AST/ALT ratio were independent indicators of advanced liver fibrosis. A scoring system with these 6 variables had an area under the receiver operating characteristic curve of 0.88 and 0.82 in the estimation and validation groups, respectively. By applying the low cutoff score (-1.455), advanced fibrosis could be excluded with high accuracy (negative predictive value of 93% and 88% in the estimation and validation groups, respectively). By applying the high cutoff score (0.676), the presence of advanced fibrosis could be diagnosed with high accuracy (positive predictive value of 90% and 82% in the estimation and validation groups, respectively). By applying this model, a liver biopsy would have been avoided in 549 (75%) of the 733 patients, with correct prediction in 496 (90%). Conclusion: a simple scoring system accurately separates patients with NAFLD with and without advanced fibrosis, rendering liver biopsy for identification of advanced fibrosis unnecessary in a substantial proportion of patients. Copyright © 2007 by the American Association for the Study of Liver Diseases.&quot;,&quot;author&quot;:[{&quot;dropping-particle&quot;:&quot;&quot;,&quot;family&quot;:&quot;Angulo&quot;,&quot;given&quot;:&quot;Paul&quot;,&quot;non-dropping-particle&quot;:&quot;&quot;,&quot;parse-names&quot;:false,&quot;suffix&quot;:&quot;&quot;},{&quot;dropping-particle&quot;:&quot;&quot;,&quot;family&quot;:&quot;Hui&quot;,&quot;given&quot;:&quot;Jason M.&quot;,&quot;non-dropping-particle&quot;:&quot;&quot;,&quot;parse-names&quot;:false,&quot;suffix&quot;:&quot;&quot;},{&quot;dropping-particle&quot;:&quot;&quot;,&quot;family&quot;:&quot;Marchesini&quot;,&quot;given&quot;:&quot;Giulio&quot;,&quot;non-dropping-particle&quot;:&quot;&quot;,&quot;parse-names&quot;:false,&quot;suffix&quot;:&quot;&quot;},{&quot;dropping-particle&quot;:&quot;&quot;,&quot;family&quot;:&quot;Bugianesi&quot;,&quot;given&quot;:&quot;Ellisabetta&quot;,&quot;non-dropping-particle&quot;:&quot;&quot;,&quot;parse-names&quot;:false,&quot;suffix&quot;:&quot;&quot;},{&quot;dropping-particle&quot;:&quot;&quot;,&quot;family&quot;:&quot;George&quot;,&quot;given&quot;:&quot;Jacob&quot;,&quot;non-dropping-particle&quot;:&quot;&quot;,&quot;parse-names&quot;:false,&quot;suffix&quot;:&quot;&quot;},{&quot;dropping-particle&quot;:&quot;&quot;,&quot;family&quot;:&quot;Farrell&quot;,&quot;given&quot;:&quot;Geoffrey C.&quot;,&quot;non-dropping-particle&quot;:&quot;&quot;,&quot;parse-names&quot;:false,&quot;suffix&quot;:&quot;&quot;},{&quot;dropping-particle&quot;:&quot;&quot;,&quot;family&quot;:&quot;Enders&quot;,&quot;given&quot;:&quot;Felicity&quot;,&quot;non-dropping-particle&quot;:&quot;&quot;,&quot;parse-names&quot;:false,&quot;suffix&quot;:&quot;&quot;},{&quot;dropping-particle&quot;:&quot;&quot;,&quot;family&quot;:&quot;Saksena&quot;,&quot;given&quot;:&quot;Sushma&quot;,&quot;non-dropping-particle&quot;:&quot;&quot;,&quot;parse-names&quot;:false,&quot;suffix&quot;:&quot;&quot;},{&quot;dropping-particle&quot;:&quot;&quot;,&quot;family&quot;:&quot;Burt&quot;,&quot;given&quot;:&quot;Alastair D.&quot;,&quot;non-dropping-particle&quot;:&quot;&quot;,&quot;parse-names&quot;:false,&quot;suffix&quot;:&quot;&quot;},{&quot;dropping-particle&quot;:&quot;&quot;,&quot;family&quot;:&quot;Bida&quot;,&quot;given&quot;:&quot;John P.&quot;,&quot;non-dropping-particle&quot;:&quot;&quot;,&quot;parse-names&quot;:false,&quot;suffix&quot;:&quot;&quot;},{&quot;dropping-particle&quot;:&quot;&quot;,&quot;family&quot;:&quot;Lindor&quot;,&quot;given&quot;:&quot;Keith&quot;,&quot;non-dropping-particle&quot;:&quot;&quot;,&quot;parse-names&quot;:false,&quot;suffix&quot;:&quot;&quot;},{&quot;dropping-particle&quot;:&quot;&quot;,&quot;family&quot;:&quot;Sanderson&quot;,&quot;given&quot;:&quot;Schuyler O.&quot;,&quot;non-dropping-particle&quot;:&quot;&quot;,&quot;parse-names&quot;:false,&quot;suffix&quot;:&quot;&quot;},{&quot;dropping-particle&quot;:&quot;&quot;,&quot;family&quot;:&quot;Lenzi&quot;,&quot;given&quot;:&quot;Marco&quot;,&quot;non-dropping-particle&quot;:&quot;&quot;,&quot;parse-names&quot;:false,&quot;suffix&quot;:&quot;&quot;},{&quot;dropping-particle&quot;:&quot;&quot;,&quot;family&quot;:&quot;Adams&quot;,&quot;given&quot;:&quot;Leon A.&quot;,&quot;non-dropping-particle&quot;:&quot;&quot;,&quot;parse-names&quot;:false,&quot;suffix&quot;:&quot;&quot;},{&quot;dropping-particle&quot;:&quot;&quot;,&quot;family&quot;:&quot;Kench&quot;,&quot;given&quot;:&quot;James&quot;,&quot;non-dropping-particle&quot;:&quot;&quot;,&quot;parse-names&quot;:false,&quot;suffix&quot;:&quot;&quot;},{&quot;dropping-particle&quot;:&quot;&quot;,&quot;family&quot;:&quot;Therneau&quot;,&quot;given&quot;:&quot;Terry M.&quot;,&quot;non-dropping-particle&quot;:&quot;&quot;,&quot;parse-names&quot;:false,&quot;suffix&quot;:&quot;&quot;},{&quot;dropping-particle&quot;:&quot;&quot;,&quot;family&quot;:&quot;Day&quot;,&quot;given&quot;:&quot;Christopher P.&quot;,&quot;non-dropping-particle&quot;:&quot;&quot;,&quot;parse-names&quot;:false,&quot;suffix&quot;:&quot;&quot;}],&quot;container-title&quot;:&quot;Hepatology&quot;,&quot;id&quot;:&quot;0bd72a23-6733-54c6-b0c4-ed0491e5d302&quot;,&quot;issue&quot;:&quot;4&quot;,&quot;issued&quot;:{&quot;date-parts&quot;:[[&quot;2007&quot;,&quot;4&quot;,&quot;1&quot;]]},&quot;page&quot;:&quot;846-854&quot;,&quot;publisher&quot;:&quot;John Wiley &amp; Sons, Ltd&quot;,&quot;title&quot;:&quot;The NAFLD fibrosis score: A noninvasive system that identifies liver fibrosis in patients with NAFLD&quot;,&quot;type&quot;:&quot;article-journal&quot;,&quot;volume&quot;:&quot;45&quot;,&quot;container-title-short&quot;:&quot;&quot;},&quot;uris&quot;:[&quot;http://www.mendeley.com/documents/?uuid=c8279423-de2e-3fb2-9e5b-fce562d31848&quot;],&quot;isTemporary&quot;:false,&quot;legacyDesktopId&quot;:&quot;c8279423-de2e-3fb2-9e5b-fce562d31848&quot;},{&quot;id&quot;:&quot;c4716f06-48f5-5bf4-a2d0-8f6bfcdafde3&quot;,&quot;itemData&quot;:{&quot;DOI&quot;:&quot;10.1186/1471-230X-6-6&quot;,&quot;ISSN&quot;:&quot;1471230X&quot;,&quot;abstract&quot;:&quot;Background: Liver biopsy is considered as the gold standard for assessing non-alcoholic fatty liver disease (NAFLD) histologic lesions. The aim of this study was to determine the diagnostic utility of non-invasive markers of fibrosis, validated in chronic viral hepatitis and alcoholic liver disease (FibroTest, FT), in patients with NAFLD. Methods: 170 patients with suspected NAFLD were prospectively included in a reference center (Group 1), 97 in a multicenter study (Group 2) and 954 blood donors as controls. Fibrosis was assessed on a 5 stage histological scale validated by Kleiner et al from F0 = none, F1 = perisinusoidal or periportal, F2 = perisinusoidal and portal/periportal, F3 = bridging and F4 = cirrhosis. Histology and the biochemical measurements were blinded to any other characteristics. The area under the ROC curves (AUROC), sensitivity (Se), specificity (Sp), positive and negative predictive values (PPV, NPV) were assessed. Results: In both g roups FT has elevated and not different AUROCs for the diagnosis of advanced fibrosis (F2F3F4): 0.86 (95%Cl 0.77-0.91) versus 0.75 (95%Cl 0.61-0.83; P = 0.10), and for F3F4: 0.92 (95%Cl 0.83-0.96) versus 0.81 (95%Cl 0.64-0.91; P = 0.12) in Group 1 and Group 2 respectively. When the 2 groups were pooled together a FT cutoff of 0.30 had a 90% NPV for advanced fibrosis (Se 77%); a FT cutoff of 0.70 had a 73% PPV for advanced fibrosis (Sp 98%). Conclusion: In patients with NAFLD, Fibro Test, a simple and non-invasive quantitative estimate of liver fibrosis reliably predicts advanced fibrosis. © 2006 Ratziu et al; licensee BioMed Central Ltd.&quot;,&quot;author&quot;:[{&quot;dropping-particle&quot;:&quot;&quot;,&quot;family&quot;:&quot;Ratziu&quot;,&quot;given&quot;:&quot;Vlad&quot;,&quot;non-dropping-particle&quot;:&quot;&quot;,&quot;parse-names&quot;:false,&quot;suffix&quot;:&quot;&quot;},{&quot;dropping-particle&quot;:&quot;&quot;,&quot;family&quot;:&quot;Massard&quot;,&quot;given&quot;:&quot;Julien&quot;,&quot;non-dropping-particle&quot;:&quot;&quot;,&quot;parse-names&quot;:false,&quot;suffix&quot;:&quot;&quot;},{&quot;dropping-particle&quot;:&quot;&quot;,&quot;family&quot;:&quot;Charlotte&quot;,&quot;given&quot;:&quot;Frederic&quot;,&quot;non-dropping-particle&quot;:&quot;&quot;,&quot;parse-names&quot;:false,&quot;suffix&quot;:&quot;&quot;},{&quot;dropping-particle&quot;:&quot;&quot;,&quot;family&quot;:&quot;Messous&quot;,&quot;given&quot;:&quot;Djamila&quot;,&quot;non-dropping-particle&quot;:&quot;&quot;,&quot;parse-names&quot;:false,&quot;suffix&quot;:&quot;&quot;},{&quot;dropping-particle&quot;:&quot;&quot;,&quot;family&quot;:&quot;Imbert-Bismut&quot;,&quot;given&quot;:&quot;Françoise&quot;,&quot;non-dropping-particle&quot;:&quot;&quot;,&quot;parse-names&quot;:false,&quot;suffix&quot;:&quot;&quot;},{&quot;dropping-particle&quot;:&quot;&quot;,&quot;family&quot;:&quot;Bonyhay&quot;,&quot;given&quot;:&quot;Luninita&quot;,&quot;non-dropping-particle&quot;:&quot;&quot;,&quot;parse-names&quot;:false,&quot;suffix&quot;:&quot;&quot;},{&quot;dropping-particle&quot;:&quot;&quot;,&quot;family&quot;:&quot;Tahiri&quot;,&quot;given&quot;:&quot;Mohamed&quot;,&quot;non-dropping-particle&quot;:&quot;&quot;,&quot;parse-names&quot;:false,&quot;suffix&quot;:&quot;&quot;},{&quot;dropping-particle&quot;:&quot;&quot;,&quot;family&quot;:&quot;Munteanu&quot;,&quot;given&quot;:&quot;Mona&quot;,&quot;non-dropping-particle&quot;:&quot;&quot;,&quot;parse-names&quot;:false,&quot;suffix&quot;:&quot;&quot;},{&quot;dropping-particle&quot;:&quot;&quot;,&quot;family&quot;:&quot;Thabut&quot;,&quot;given&quot;:&quot;Dominique&quot;,&quot;non-dropping-particle&quot;:&quot;&quot;,&quot;parse-names&quot;:false,&quot;suffix&quot;:&quot;&quot;},{&quot;dropping-particle&quot;:&quot;&quot;,&quot;family&quot;:&quot;Cadranel&quot;,&quot;given&quot;:&quot;Jean François&quot;,&quot;non-dropping-particle&quot;:&quot;&quot;,&quot;parse-names&quot;:false,&quot;suffix&quot;:&quot;&quot;},{&quot;dropping-particle&quot;:&quot;&quot;,&quot;family&quot;:&quot;Bail&quot;,&quot;given&quot;:&quot;Brigitte&quot;,&quot;non-dropping-particle&quot;:&quot;Le&quot;,&quot;parse-names&quot;:false,&quot;suffix&quot;:&quot;&quot;},{&quot;dropping-particle&quot;:&quot;&quot;,&quot;family&quot;:&quot;Ledinghen&quot;,&quot;given&quot;:&quot;Victor&quot;,&quot;non-dropping-particle&quot;:&quot;de&quot;,&quot;parse-names&quot;:false,&quot;suffix&quot;:&quot;&quot;},{&quot;dropping-particle&quot;:&quot;&quot;,&quot;family&quot;:&quot;Poynard&quot;,&quot;given&quot;:&quot;Thierry&quot;,&quot;non-dropping-particle&quot;:&quot;&quot;,&quot;parse-names&quot;:false,&quot;suffix&quot;:&quot;&quot;},{&quot;dropping-particle&quot;:&quot;&quot;,&quot;family&quot;:&quot;Grimaldi&quot;,&quot;given&quot;:&quot;André&quot;,&quot;non-dropping-particle&quot;:&quot;&quot;,&quot;parse-names&quot;:false,&quot;suffix&quot;:&quot;&quot;},{&quot;dropping-particle&quot;:&quot;&quot;,&quot;family&quot;:&quot;Giral&quot;,&quot;given&quot;:&quot;Philippe&quot;,&quot;non-dropping-particle&quot;:&quot;&quot;,&quot;parse-names&quot;:false,&quot;suffix&quot;:&quot;&quot;},{&quot;dropping-particle&quot;:&quot;&quot;,&quot;family&quot;:&quot;Bruckert&quot;,&quot;given&quot;:&quot;Eric&quot;,&quot;non-dropping-particle&quot;:&quot;&quot;,&quot;parse-names&quot;:false,&quot;suffix&quot;:&quot;&quot;},{&quot;dropping-particle&quot;:&quot;&quot;,&quot;family&quot;:&quot;Turpin&quot;,&quot;given&quot;:&quot;Gérard&quot;,&quot;non-dropping-particle&quot;:&quot;&quot;,&quot;parse-names&quot;:false,&quot;suffix&quot;:&quot;&quot;},{&quot;dropping-particle&quot;:&quot;&quot;,&quot;family&quot;:&quot;Heurtier&quot;,&quot;given&quot;:&quot;Agnès&quot;,&quot;non-dropping-particle&quot;:&quot;&quot;,&quot;parse-names&quot;:false,&quot;suffix&quot;:&quot;&quot;},{&quot;dropping-particle&quot;:&quot;&quot;,&quot;family&quot;:&quot;Gombert&quot;,&quot;given&quot;:&quot;Sophie&quot;,&quot;non-dropping-particle&quot;:&quot;&quot;,&quot;parse-names&quot;:false,&quot;suffix&quot;:&quot;&quot;},{&quot;dropping-particle&quot;:&quot;&quot;,&quot;family&quot;:&quot;Lamaison&quot;,&quot;given&quot;:&quot;Francine&quot;,&quot;non-dropping-particle&quot;:&quot;&quot;,&quot;parse-names&quot;:false,&quot;suffix&quot;:&quot;&quot;},{&quot;dropping-particle&quot;:&quot;&quot;,&quot;family&quot;:&quot;Moussalli&quot;,&quot;given&quot;:&quot;Joseph&quot;,&quot;non-dropping-particle&quot;:&quot;&quot;,&quot;parse-names&quot;:false,&quot;suffix&quot;:&quot;&quot;},{&quot;dropping-particle&quot;:&quot;&quot;,&quot;family&quot;:&quot;Galvez&quot;,&quot;given&quot;:&quot;Sophie&quot;,&quot;non-dropping-particle&quot;:&quot;Le&quot;,&quot;parse-names&quot;:false,&quot;suffix&quot;:&quot;&quot;},{&quot;dropping-particle&quot;:&quot;&quot;,&quot;family&quot;:&quot;Benhamou&quot;,&quot;given&quot;:&quot;Yves&quot;,&quot;non-dropping-particle&quot;:&quot;&quot;,&quot;parse-names&quot;:false,&quot;suffix&quot;:&quot;&quot;},{&quot;dropping-particle&quot;:&quot;&quot;,&quot;family&quot;:&quot;D'Arrondel&quot;,&quot;given&quot;:&quot;Cecilia&quot;,&quot;non-dropping-particle&quot;:&quot;&quot;,&quot;parse-names&quot;:false,&quot;suffix&quot;:&quot;&quot;},{&quot;dropping-particle&quot;:&quot;&quot;,&quot;family&quot;:&quot;Cocaul&quot;,&quot;given&quot;:&quot;Arnaud&quot;,&quot;non-dropping-particle&quot;:&quot;&quot;,&quot;parse-names&quot;:false,&quot;suffix&quot;:&quot;&quot;},{&quot;dropping-particle&quot;:&quot;&quot;,&quot;family&quot;:&quot;Ravalet&quot;,&quot;given&quot;:&quot;Isabelle&quot;,&quot;non-dropping-particle&quot;:&quot;&quot;,&quot;parse-names&quot;:false,&quot;suffix&quot;:&quot;&quot;},{&quot;dropping-particle&quot;:&quot;&quot;,&quot;family&quot;:&quot;Combet&quot;,&quot;given&quot;:&quot;Stépahnie&quot;,&quot;non-dropping-particle&quot;:&quot;&quot;,&quot;parse-names&quot;:false,&quot;suffix&quot;:&quot;&quot;},{&quot;dropping-particle&quot;:&quot;&quot;,&quot;family&quot;:&quot;Podevin&quot;,&quot;given&quot;:&quot;Philippe&quot;,&quot;non-dropping-particle&quot;:&quot;&quot;,&quot;parse-names&quot;:false,&quot;suffix&quot;:&quot;&quot;},{&quot;dropping-particle&quot;:&quot;&quot;,&quot;family&quot;:&quot;Basdevant&quot;,&quot;given&quot;:&quot;Arnaud&quot;,&quot;non-dropping-particle&quot;:&quot;&quot;,&quot;parse-names&quot;:false,&quot;suffix&quot;:&quot;&quot;},{&quot;dropping-particle&quot;:&quot;&quot;,&quot;family&quot;:&quot;Slama&quot;,&quot;given&quot;:&quot;Gérard&quot;,&quot;non-dropping-particle&quot;:&quot;&quot;,&quot;parse-names&quot;:false,&quot;suffix&quot;:&quot;&quot;},{&quot;dropping-particle&quot;:&quot;&quot;,&quot;family&quot;:&quot;Clement&quot;,&quot;given&quot;:&quot;Karine&quot;,&quot;non-dropping-particle&quot;:&quot;&quot;,&quot;parse-names&quot;:false,&quot;suffix&quot;:&quot;&quot;},{&quot;dropping-particle&quot;:&quot;&quot;,&quot;family&quot;:&quot;Serfaty&quot;,&quot;given&quot;:&quot;Lawrence&quot;,&quot;non-dropping-particle&quot;:&quot;&quot;,&quot;parse-names&quot;:false,&quot;suffix&quot;:&quot;&quot;},{&quot;dropping-particle&quot;:&quot;&quot;,&quot;family&quot;:&quot;Housset&quot;,&quot;given&quot;:&quot;Chantal&quot;,&quot;non-dropping-particle&quot;:&quot;&quot;,&quot;parse-names&quot;:false,&quot;suffix&quot;:&quot;&quot;},{&quot;dropping-particle&quot;:&quot;&quot;,&quot;family&quot;:&quot;Capeau&quot;,&quot;given&quot;:&quot;Jacqueline&quot;,&quot;non-dropping-particle&quot;:&quot;&quot;,&quot;parse-names&quot;:false,&quot;suffix&quot;:&quot;&quot;},{&quot;dropping-particle&quot;:&quot;&quot;,&quot;family&quot;:&quot;Blanchi&quot;,&quot;given&quot;:&quot;Alain&quot;,&quot;non-dropping-particle&quot;:&quot;&quot;,&quot;parse-names&quot;:false,&quot;suffix&quot;:&quot;&quot;},{&quot;dropping-particle&quot;:&quot;&quot;,&quot;family&quot;:&quot;Pilette&quot;,&quot;given&quot;:&quot;Christophe&quot;,&quot;non-dropping-particle&quot;:&quot;&quot;,&quot;parse-names&quot;:false,&quot;suffix&quot;:&quot;&quot;},{&quot;dropping-particle&quot;:&quot;&quot;,&quot;family&quot;:&quot;Bourlière&quot;,&quot;given&quot;:&quot;Marc&quot;,&quot;non-dropping-particle&quot;:&quot;&quot;,&quot;parse-names&quot;:false,&quot;suffix&quot;:&quot;&quot;},{&quot;dropping-particle&quot;:&quot;&quot;,&quot;family&quot;:&quot;Oulès&quot;,&quot;given&quot;:&quot;Valérie&quot;,&quot;non-dropping-particle&quot;:&quot;&quot;,&quot;parse-names&quot;:false,&quot;suffix&quot;:&quot;&quot;},{&quot;dropping-particle&quot;:&quot;&quot;,&quot;family&quot;:&quot;Renou&quot;,&quot;given&quot;:&quot;Christophe&quot;,&quot;non-dropping-particle&quot;:&quot;&quot;,&quot;parse-names&quot;:false,&quot;suffix&quot;:&quot;&quot;},{&quot;dropping-particle&quot;:&quot;&quot;,&quot;family&quot;:&quot;Capron&quot;,&quot;given&quot;:&quot;Dominique&quot;,&quot;non-dropping-particle&quot;:&quot;&quot;,&quot;parse-names&quot;:false,&quot;suffix&quot;:&quot;&quot;},{&quot;dropping-particle&quot;:&quot;&quot;,&quot;family&quot;:&quot;Oberti&quot;,&quot;given&quot;:&quot;Frédéric&quot;,&quot;non-dropping-particle&quot;:&quot;&quot;,&quot;parse-names&quot;:false,&quot;suffix&quot;:&quot;&quot;},{&quot;dropping-particle&quot;:&quot;&quot;,&quot;family&quot;:&quot;Calès&quot;,&quot;given&quot;:&quot;Paul&quot;,&quot;non-dropping-particle&quot;:&quot;&quot;,&quot;parse-names&quot;:false,&quot;suffix&quot;:&quot;&quot;},{&quot;dropping-particle&quot;:&quot;&quot;,&quot;family&quot;:&quot;Tran&quot;,&quot;given&quot;:&quot;Albert&quot;,&quot;non-dropping-particle&quot;:&quot;&quot;,&quot;parse-names&quot;:false,&quot;suffix&quot;:&quot;&quot;},{&quot;dropping-particle&quot;:&quot;&quot;,&quot;family&quot;:&quot;Gelsi&quot;,&quot;given&quot;:&quot;Eve&quot;,&quot;non-dropping-particle&quot;:&quot;&quot;,&quot;parse-names&quot;:false,&quot;suffix&quot;:&quot;&quot;},{&quot;dropping-particle&quot;:&quot;&quot;,&quot;family&quot;:&quot;Gournay&quot;,&quot;given&quot;:&quot;Jèrôme&quot;,&quot;non-dropping-particle&quot;:&quot;&quot;,&quot;parse-names&quot;:false,&quot;suffix&quot;:&quot;&quot;},{&quot;dropping-particle&quot;:&quot;&quot;,&quot;family&quot;:&quot;Vallet-Pichard&quot;,&quot;given&quot;:&quot;Anais&quot;,&quot;non-dropping-particle&quot;:&quot;&quot;,&quot;parse-names&quot;:false,&quot;suffix&quot;:&quot;&quot;},{&quot;dropping-particle&quot;:&quot;&quot;,&quot;family&quot;:&quot;Pol&quot;,&quot;given&quot;:&quot;Stanislaw&quot;,&quot;non-dropping-particle&quot;:&quot;&quot;,&quot;parse-names&quot;:false,&quot;suffix&quot;:&quot;&quot;},{&quot;dropping-particle&quot;:&quot;&quot;,&quot;family&quot;:&quot;Causse&quot;,&quot;given&quot;:&quot;Xavier&quot;,&quot;non-dropping-particle&quot;:&quot;&quot;,&quot;parse-names&quot;:false,&quot;suffix&quot;:&quot;&quot;}],&quot;container-title&quot;:&quot;BMC Gastroenterology&quot;,&quot;id&quot;:&quot;c4716f06-48f5-5bf4-a2d0-8f6bfcdafde3&quot;,&quot;issued&quot;:{&quot;date-parts&quot;:[[&quot;2006&quot;]]},&quot;title&quot;:&quot;Diagnostic value of biochemical markers (Fibro Test-FibroSURE) for the prediction of liver fibrosis in patients with non-alcoholic fatty liver disease&quot;,&quot;type&quot;:&quot;article-journal&quot;,&quot;volume&quot;:&quot;6&quot;,&quot;container-title-short&quot;:&quot;BMC Gastroenterol&quot;},&quot;uris&quot;:[&quot;http://www.mendeley.com/documents/?uuid=6e026ee6-e847-3058-b140-e55eccbd097e&quot;],&quot;isTemporary&quot;:false,&quot;legacyDesktopId&quot;:&quot;6e026ee6-e847-3058-b140-e55eccbd097e&quot;}]},{&quot;citationID&quot;:&quot;MENDELEY_CITATION_aaec5acf-ad6b-42cc-a9da-701d06e3c708&quot;,&quot;properties&quot;:{&quot;noteIndex&quot;:0},&quot;isEdited&quot;:false,&quot;manualOverride&quot;:{&quot;isManuallyOverridden&quot;:false,&quot;citeprocText&quot;:&quot;&lt;sup&gt;23,24&lt;/sup&gt;&quot;,&quot;manualOverrideText&quot;:&quot;&quot;},&quot;citationTag&quot;:&quot;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&quot;,&quot;citationItems&quot;:[{&quot;id&quot;:&quot;a0f97640-0c04-3301-be31-e41b6b1b76ad&quot;,&quot;itemData&quot;:{&quot;type&quot;:&quot;article-journal&quot;,&quot;id&quot;:&quot;a0f97640-0c04-3301-be31-e41b6b1b76ad&quot;,&quot;title&quot;:&quot;Nonalcoholic fatty liver disease is associated with an almost twofold increased risk of incident type 2 diabetes and metabolic syndrome. Evidence from a systematic review and meta-analysis&quot;,&quot;author&quot;:[{&quot;family&quot;:&quot;Ballestri&quot;,&quot;given&quot;:&quot;Stefano&quot;,&quot;parse-names&quot;:false,&quot;dropping-particle&quot;:&quot;&quot;,&quot;non-dropping-particle&quot;:&quot;&quot;},{&quot;family&quot;:&quot;Zona&quot;,&quot;given&quot;:&quot;Stefano&quot;,&quot;parse-names&quot;:false,&quot;dropping-particle&quot;:&quot;&quot;,&quot;non-dropping-particle&quot;:&quot;&quot;},{&quot;family&quot;:&quot;Targher&quot;,&quot;given&quot;:&quot;Giovanni&quot;,&quot;parse-names&quot;:false,&quot;dropping-particle&quot;:&quot;&quot;,&quot;non-dropping-particle&quot;:&quot;&quot;},{&quot;family&quot;:&quot;Romagnoli&quot;,&quot;given&quot;:&quot;Dante&quot;,&quot;parse-names&quot;:false,&quot;dropping-particle&quot;:&quot;&quot;,&quot;non-dropping-particle&quot;:&quot;&quot;},{&quot;family&quot;:&quot;Baldelli&quot;,&quot;given&quot;:&quot;Enrica&quot;,&quot;parse-names&quot;:false,&quot;dropping-particle&quot;:&quot;&quot;,&quot;non-dropping-particle&quot;:&quot;&quot;},{&quot;family&quot;:&quot;Nascimbeni&quot;,&quot;given&quot;:&quot;Fabio&quot;,&quot;parse-names&quot;:false,&quot;dropping-particle&quot;:&quot;&quot;,&quot;non-dropping-particle&quot;:&quot;&quot;},{&quot;family&quot;:&quot;Roverato&quot;,&quot;given&quot;:&quot;Alberto&quot;,&quot;parse-names&quot;:false,&quot;dropping-particle&quot;:&quot;&quot;,&quot;non-dropping-particle&quot;:&quot;&quot;},{&quot;family&quot;:&quot;Guaraldi&quot;,&quot;given&quot;:&quot;Giovanni&quot;,&quot;parse-names&quot;:false,&quot;dropping-particle&quot;:&quot;&quot;,&quot;non-dropping-particle&quot;:&quot;&quot;},{&quot;family&quot;:&quot;Lonardo&quot;,&quot;given&quot;:&quot;Amedeo&quot;,&quot;parse-names&quot;:false,&quot;dropping-particle&quot;:&quot;&quot;,&quot;non-dropping-particle&quot;:&quot;&quot;}],&quot;container-title&quot;:&quot;Journal of Gastroenterology and Hepatology (Australia)&quot;,&quot;accessed&quot;:{&quot;date-parts&quot;:[[2024,5,29]]},&quot;DOI&quot;:&quot;10.1111/JGH.13264&quot;,&quot;ISSN&quot;:&quot;14401746&quot;,&quot;PMID&quot;:&quot;26667191&quot;,&quot;issued&quot;:{&quot;date-parts&quot;:[[2016,5,1]]},&quot;page&quot;:&quot;936-944&quot;,&quot;abstract&quot;:&quot;Background and Aim:: The magnitude of the risk of incident type 2 diabetes (T2D) and metabolic syndrome (MetS) among patients with nonalcoholic fatty liver disease (NAFLD) is poorly known. We gauged the risk of developing T2D and MetS in patients with NAFLD diagnosed by either serum liver enzymes (aminotransferases or gamma-glutamyltransferase [GGT]) or ultrasonography. Methods:: Pertinent prospective studies were identified through extensive electronic database research, and studies fulfilling enrolment criteria were included in the meta-analysis. Results: Overall, in a pooled population of 117020 patients (from 20 studies), who were followed-up for a median period of 5years (range: 3-14.7years), NAFLD was associated with an increased risk of incident T2D with a pooled relative risk of 1.97 (95% confidence interval [CI], 1.80-2.15) for alanine aminotransferase, 1.58 (95% CI, 1.43-1.74) for aspartate aminotransferase, 1.86 (95% CI, 1.71-2.03) for GGT (last vs first quartile or quintile), and 1.86 (95% CI, 1.76-1.95) for ultrasonography, respectively. Overall, in a pooled population of 81411 patients (from eight studies) who were followed-up for a median period of 4.5years (range: 3-11years), NAFLD was associated with an increased risk of incident MetS with a pooled relative risk of 1.80 (95% CI, 1.72-1.89) for alanine aminotransferase (last vs first quartile or quintile), 1.98 (95% CI, 1.89-2.07) for GGT, and 3.22 (95% CI, 3.05-3.41) for ultrasonography, respectively. Conclusions:: Nonalcoholic fatty liver disease, as diagnosed by either liver enzymes or ultrasonography, significantly increases the risk of incident T2D and MetS over a median 5-year follow-up.&quot;,&quot;publisher&quot;:&quot;Blackwell Publishing&quot;,&quot;issue&quot;:&quot;5&quot;,&quot;volume&quot;:&quot;31&quot;,&quot;container-title-short&quot;:&quot;&quot;},&quot;isTemporary&quot;:false},{&quot;id&quot;:&quot;6f939730-31ec-3794-b59b-f1c926a45c0d&quot;,&quot;itemData&quot;:{&quot;type&quot;:&quot;article-journal&quot;,&quot;id&quot;:&quot;6f939730-31ec-3794-b59b-f1c926a45c0d&quot;,&quot;title&quot;:&quot;Advanced liver fibrosis is common in patients with type 2 diabetes followed in the outpatient setting: The need for systematic screening&quot;,&quot;author&quot;:[{&quot;family&quot;:&quot;Lomonaco&quot;,&quot;given&quot;:&quot;Romina&quot;,&quot;parse-names&quot;:false,&quot;dropping-particle&quot;:&quot;&quot;,&quot;non-dropping-particle&quot;:&quot;&quot;},{&quot;family&quot;:&quot;Leiva&quot;,&quot;given&quot;:&quot;Eddison Godinez&quot;,&quot;parse-names&quot;:false,&quot;dropping-particle&quot;:&quot;&quot;,&quot;non-dropping-particle&quot;:&quot;&quot;},{&quot;family&quot;:&quot;Bril&quot;,&quot;given&quot;:&quot;Fernando&quot;,&quot;parse-names&quot;:false,&quot;dropping-particle&quot;:&quot;&quot;,&quot;non-dropping-particle&quot;:&quot;&quot;},{&quot;family&quot;:&quot;Shrestha&quot;,&quot;given&quot;:&quot;Sulav&quot;,&quot;parse-names&quot;:false,&quot;dropping-particle&quot;:&quot;&quot;,&quot;non-dropping-particle&quot;:&quot;&quot;},{&quot;family&quot;:&quot;Mansour&quot;,&quot;given&quot;:&quot;Lydia&quot;,&quot;parse-names&quot;:false,&quot;dropping-particle&quot;:&quot;&quot;,&quot;non-dropping-particle&quot;:&quot;&quot;},{&quot;family&quot;:&quot;Budd&quot;,&quot;given&quot;:&quot;Jeff&quot;,&quot;parse-names&quot;:false,&quot;dropping-particle&quot;:&quot;&quot;,&quot;non-dropping-particle&quot;:&quot;&quot;},{&quot;family&quot;:&quot;Romero&quot;,&quot;given&quot;:&quot;Jessica Portillo&quot;,&quot;parse-names&quot;:false,&quot;dropping-particle&quot;:&quot;&quot;,&quot;non-dropping-particle&quot;:&quot;&quot;},{&quot;family&quot;:&quot;Schmidt&quot;,&quot;given&quot;:&quot;Siegfried&quot;,&quot;parse-names&quot;:false,&quot;dropping-particle&quot;:&quot;&quot;,&quot;non-dropping-particle&quot;:&quot;&quot;},{&quot;family&quot;:&quot;Chang&quot;,&quot;given&quot;:&quot;Ku Lang&quot;,&quot;parse-names&quot;:false,&quot;dropping-particle&quot;:&quot;&quot;,&quot;non-dropping-particle&quot;:&quot;&quot;},{&quot;family&quot;:&quot;Samraj&quot;,&quot;given&quot;:&quot;George&quot;,&quot;parse-names&quot;:false,&quot;dropping-particle&quot;:&quot;&quot;,&quot;non-dropping-particle&quot;:&quot;&quot;},{&quot;family&quot;:&quot;Malaty&quot;,&quot;given&quot;:&quot;John&quot;,&quot;parse-names&quot;:false,&quot;dropping-particle&quot;:&quot;&quot;,&quot;non-dropping-particle&quot;:&quot;&quot;},{&quot;family&quot;:&quot;Huber&quot;,&quot;given&quot;:&quot;Katherine&quot;,&quot;parse-names&quot;:false,&quot;dropping-particle&quot;:&quot;&quot;,&quot;non-dropping-particle&quot;:&quot;&quot;},{&quot;family&quot;:&quot;Bedossa&quot;,&quot;given&quot;:&quot;Pierre&quot;,&quot;parse-names&quot;:false,&quot;dropping-particle&quot;:&quot;&quot;,&quot;non-dropping-particle&quot;:&quot;&quot;},{&quot;family&quot;:&quot;Kalavalapalli&quot;,&quot;given&quot;:&quot;Srilaxmi&quot;,&quot;parse-names&quot;:false,&quot;dropping-particle&quot;:&quot;&quot;,&quot;non-dropping-particle&quot;:&quot;&quot;},{&quot;family&quot;:&quot;Marte&quot;,&quot;given&quot;:&quot;Jonathan&quot;,&quot;parse-names&quot;:false,&quot;dropping-particle&quot;:&quot;&quot;,&quot;non-dropping-particle&quot;:&quot;&quot;},{&quot;family&quot;:&quot;Barb&quot;,&quot;given&quot;:&quot;Diana&quot;,&quot;parse-names&quot;:false,&quot;dropping-particle&quot;:&quot;&quot;,&quot;non-dropping-particle&quot;:&quot;&quot;},{&quot;family&quot;:&quot;Poulton&quot;,&quot;given&quot;:&quot;Danielle&quot;,&quot;parse-names&quot;:false,&quot;dropping-particle&quot;:&quot;&quot;,&quot;non-dropping-particle&quot;:&quot;&quot;},{&quot;family&quot;:&quot;Fanous&quot;,&quot;given&quot;:&quot;Nada&quot;,&quot;parse-names&quot;:false,&quot;dropping-particle&quot;:&quot;&quot;,&quot;non-dropping-particle&quot;:&quot;&quot;},{&quot;family&quot;:&quot;Cusi&quot;,&quot;given&quot;:&quot;Kenneth&quot;,&quot;parse-names&quot;:false,&quot;dropping-particle&quot;:&quot;&quot;,&quot;non-dropping-particle&quot;:&quot;&quot;}],&quot;container-title&quot;:&quot;Diabetes Care&quot;,&quot;container-title-short&quot;:&quot;Diabetes Care&quot;,&quot;accessed&quot;:{&quot;date-parts&quot;:[[2024,5,29]]},&quot;DOI&quot;:&quot;10.2337/DC20-1997&quot;,&quot;ISSN&quot;:&quot;19355548&quot;,&quot;PMID&quot;:&quot;33355256&quot;,&quot;issued&quot;:{&quot;date-parts&quot;:[[2021,2,1]]},&quot;page&quot;:&quot;399-406&quot;,&quot;abstract&quot;:&quot;OBJECTIVE Assess the prevalence of nonalcoholic fatty liver disease (NAFLD) and of liver fibrosis associated with nonalcoholic steatohepatitis in unselected patients with type 2 diabetes mellitus (T2DM). RESEARCH DESIGN AND METHODS A total of 561 patients with T2DM (age: 60 6 11 years; BMI: 33.4 6 6.2 kg/m2; and HbA1c: 7.5 6 1.8%) attending primary care or endocrinology outpatient clinics and unaware of having NAFLD were recruited. At the visit, volunteers were invited to be screened by elastography for steatosis and fibrosis by controlled attenuation parameter (≥274 dB/m) and liver stiffness measurement (LSM; ≥7.0 kPa), respectively. Secondary causes of liver disease were ruled out. Diagnostic panels for prediction of advanced fibrosis, such as AST-to-platelet ratio index (APRI) and Fibrosis-4 (FIB-4) index, were also measured. A liver biopsy was performed if results were suggestive of fibrosis. RESULTS: The prevalence of steatosis was 70% and of fibrosis 21% (LSM≥7.0 kPa). Moderate fibrosis (F2: LSM≥8.2 kPa) was present in 6% and severe fibrosis or cirrhosis (F3-4: LSM≥9.7 kPa) in 9%, similar to that estimated by FIB-4 and APRI panels. Noninvasive testing was consistent with liver biopsy results. Elevated AST or ALT≥40 units/L was present in a minority of patients with steatosis (8% and 13%, respectively) or with liver fibrosis (18% and 28%, respectively). This suggests that AST/ALT alone are insufficient as initial screening. However, performance may be enhanced by imaging (e.g., transient elastography) and plasma diagnostic panels (e.g., FIB-4 and APRI). CONCLUSIONS: Moderate-to-advanced fibrosis (F2 or higher), an established risk factor for cirrhosis and overall mortality, affects at least one out of six (15%) patients with T2DM. These results support the American Diabetes Association guidelines to screen for clinically significant fibrosis in patients with T2DM with steatosis or elevated ALT.&quot;,&quot;publisher&quot;:&quot;American Diabetes Association Inc.&quot;,&quot;issue&quot;:&quot;2&quot;,&quot;volume&quot;:&quot;44&quot;},&quot;isTemporary&quot;:false}]},{&quot;citationID&quot;:&quot;MENDELEY_CITATION_48b9c6f3-b3be-453f-a3e1-c5d417025dd2&quot;,&quot;properties&quot;:{&quot;noteIndex&quot;:0},&quot;isEdited&quot;:false,&quot;manualOverride&quot;:{&quot;citeprocText&quot;:&quot;&lt;sup&gt;25&lt;/sup&gt;&quot;,&quot;isManuallyOverridden&quot;:false,&quot;manualOverrideText&quot;:&quot;&quot;},&quot;citationTag&quot;:&quot;MENDELEY_CITATION_v3_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&quot;,&quot;citationItems&quot;:[{&quot;id&quot;:&quot;4d557ee1-3d20-52e5-a6b5-c5c8c27c57c9&quot;,&quot;itemData&quot;:{&quot;DOI&quot;:&quot;10.1016/j.numecd.2014.01.010&quot;,&quot;ISSN&quot;:&quot;15903729&quot;,&quot;abstract&quot;:&quot;Background and aims: The triglyceride (TG)/high-density lipoprotein-cholesterol (HDL-C) ratio has been reported as a useful marker of atherogenic lipid abnormalities, insulin resistance, and cardiovascular disease. We evaluated in a large sample of children and adolescents the association of TG/HDL-C ratio with early signs of morphological vascular changes and cardiometabolic risk factors including nonalcoholic fatty liver disease (NAFLD). Methods and results: The study population, including 548 children (aged 6-16 years), of whom 157 were normal-weight, 118 overweight, and 273 obese, had anthropometric, laboratory, liver and carotid ultrasonography (carotid artery intima-media thickness-cIMT) data collected. Subjects were stratified into tertiles of TG/HDL-C. There was a progressive increase in body mass index (BMI), BMI-SD score (SDS), waist circumference, blood pressure (BP), liver enzymes, glucose, insulin, homeostasis model assessment of insulin resistance, high-sensitivity C-reactive protein (hsCRP), and cIMT values across TG/HDL-C tertiles. The odds ratios for central obesity, insulin resistance, high hsCRP, NAFLD, metabolic syndrome, and elevated cIMT increased significantly with the increasing tertile of TG/HDL-C ratio, after adjustment for age, gender, pubertal status, and BMI-SDS. In a stepwise multivariate logistic regression analysis, increased cIMT was associated with high TG/HDL-C ratio [OR, 1.81 (95% CI, 1.08-3.04); P&lt;0.05], elevated BP [5.13 (95% CI, 1.03-15.08); P&lt;0.05], insulin resistance [2.16 (95% CI, 1.30-3.39); P&lt;0.01], and NAFLD [2.70 (95% CI, 1.62-4.56); P&lt;0.01]. Conclusion: TG/HDL-C ratio may help identify children and adolescents at high risk for structural vascular changes and metabolic derangement. © 2014 Elsevier B.V.&quot;,&quot;author&quot;:[{&quot;dropping-particle&quot;:&quot;&quot;,&quot;family&quot;:&quot;Pacifico&quot;,&quot;given&quot;:&quot;L.&quot;,&quot;non-dropping-particle&quot;:&quot;&quot;,&quot;parse-names&quot;:false,&quot;suffix&quot;:&quot;&quot;},{&quot;dropping-particle&quot;:&quot;&quot;,&quot;family&quot;:&quot;Bonci&quot;,&quot;given&quot;:&quot;E.&quot;,&quot;non-dropping-particle&quot;:&quot;&quot;,&quot;parse-names&quot;:false,&quot;suffix&quot;:&quot;&quot;},{&quot;dropping-particle&quot;:&quot;&quot;,&quot;family&quot;:&quot;Andreoli&quot;,&quot;given&quot;:&quot;G.&quot;,&quot;non-dropping-particle&quot;:&quot;&quot;,&quot;parse-names&quot;:false,&quot;suffix&quot;:&quot;&quot;},{&quot;dropping-particle&quot;:&quot;&quot;,&quot;family&quot;:&quot;Romaggioli&quot;,&quot;given&quot;:&quot;S.&quot;,&quot;non-dropping-particle&quot;:&quot;&quot;,&quot;parse-names&quot;:false,&quot;suffix&quot;:&quot;&quot;},{&quot;dropping-particle&quot;:&quot;&quot;,&quot;family&quot;:&quot;Miscio&quot;,&quot;given&quot;:&quot;R.&quot;,&quot;non-dropping-particle&quot;:&quot;Di&quot;,&quot;parse-names&quot;:false,&quot;suffix&quot;:&quot;&quot;},{&quot;dropping-particle&quot;:&quot;V.&quot;,&quot;family&quot;:&quot;Lombardo&quot;,&quot;given&quot;:&quot;C.&quot;,&quot;non-dropping-particle&quot;:&quot;&quot;,&quot;parse-names&quot;:false,&quot;suffix&quot;:&quot;&quot;},{&quot;dropping-particle&quot;:&quot;&quot;,&quot;family&quot;:&quot;Chiesa&quot;,&quot;given&quot;:&quot;C.&quot;,&quot;non-dropping-particle&quot;:&quot;&quot;,&quot;parse-names&quot;:false,&quot;suffix&quot;:&quot;&quot;}],&quot;container-title&quot;:&quot;Nutrition, Metabolism and Cardiovascular Diseases&quot;,&quot;id&quot;:&quot;4d557ee1-3d20-52e5-a6b5-c5c8c27c57c9&quot;,&quot;issue&quot;:&quot;7&quot;,&quot;issued&quot;:{&quot;date-parts&quot;:[[&quot;2014&quot;,&quot;7&quot;,&quot;1&quot;]]},&quot;page&quot;:&quot;737-743&quot;,&quot;publisher&quot;:&quot;Elsevier&quot;,&quot;title&quot;:&quot;Association of serum triglyceride-to-HDL cholesterol ratio with carotid artery intima-media thickness, insulin resistance and nonalcoholic fatty liver disease in children and adolescents&quot;,&quot;type&quot;:&quot;article-journal&quot;,&quot;volume&quot;:&quot;24&quot;,&quot;container-title-short&quot;:&quot;&quot;},&quot;uris&quot;:[&quot;http://www.mendeley.com/documents/?uuid=ad8760dc-5c67-3834-9aad-d97f7ac79be9&quot;],&quot;isTemporary&quot;:false,&quot;legacyDesktopId&quot;:&quot;ad8760dc-5c67-3834-9aad-d97f7ac79be9&quot;}]},{&quot;citationID&quot;:&quot;MENDELEY_CITATION_fb39675b-0884-4ea9-9362-3a360a194b97&quot;,&quot;properties&quot;:{&quot;noteIndex&quot;:0},&quot;isEdited&quot;:false,&quot;manualOverride&quot;:{&quot;citeprocText&quot;:&quot;&lt;sup&gt;17,19,26,27&lt;/sup&gt;&quot;,&quot;isManuallyOverridden&quot;:false,&quot;manualOverrideText&quot;:&quot;&quot;},&quot;citationTag&quot;:&quot;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&quot;,&quot;citationItems&quot;:[{&quot;id&quot;:&quot;0c3acc2f-31c7-5b5f-a4fa-38c7801a3861&quot;,&quot;itemData&quot;:{&quot;DOI&quot;:&quot;10.1111/liv.12977&quot;,&quot;ISSN&quot;:&quot;14783223&quot;,&quot;abstract&quot;:&quot;Background: Triglycerides (TG) to high-density lipoprotein cholesterol (HDL-C) ratio (TG/HDL-C) has been recommended for surrogates of insulin resistance. However, it remains to be elucidated the association between TG/HDL-C and incident fatty liver. Aims: To investigate the association between TG/HDL-C and incident fatty liver. Methods: We performed population-based historical cohort study consisted with 4518 healthy Japanese who received yearly health-checkup programmes over decade. Fatty liver was diagnosed using ultrasonography. Results: During the observation periods, 38.8% (case/N = 1023/2637) of men and 17.2% (case/N = 324/1881) of women developed fatty liver. Adjusting odds ratio of TG/HDL-C for incident fatty liver were 1.59 (95% confidence interval (CI) 1.42-1.79, P &lt; 0.0001) in men and 2.50 (95% CI 1.80-3.51, P &lt; 0.0001) in women. In addition, adjusting odds ratio of TG/HDL-C for incident non-alcoholic fatty liver disease were 1.55 (95% CI 1.35-1.77, P &lt; 0.0001) in men and 2.72 (95% CI 1.88-3.95, P &lt; 0.0001) in women. According to the receiver operator characteristic (ROC) analysis, the optimal cut-off point of TG/HDL-C for incident fatty liver was 0.88 (area under the ROC curve (AUC) 0.67 [95% CI 0.65-0.69], sensitivity = 0.64, specificity = 0.60, P &lt; 0.0001) in men and 0.64 (AUC 0.69 [95% CI 0.66-0.72], sensitivity = 0.50, specificity = 0.78, P &lt; 0.0001) in women. Conclusions: The TG/HDL-C could predict the incident fatty liver. Thus, it is important to check TG/HDL-C and lifestyles modification is needed for preventing future fatty liver disease in patients with high TG/HDL-C.&quot;,&quot;author&quot;:[{&quot;dropping-particle&quot;:&quot;&quot;,&quot;family&quot;:&quot;Fukuda&quot;,&quot;given&quot;:&quot;Yukiko&quot;,&quot;non-dropping-particle&quot;:&quot;&quot;,&quot;parse-names&quot;:false,&quot;suffix&quot;:&quot;&quot;},{&quot;dropping-particle&quot;:&quot;&quot;,&quot;family&quot;:&quot;Hashimoto&quot;,&quot;given&quot;:&quot;Yoshitaka&quot;,&quot;non-dropping-particle&quot;:&quot;&quot;,&quot;parse-names&quot;:false,&quot;suffix&quot;:&quot;&quot;},{&quot;dropping-particle&quot;:&quot;&quot;,&quot;family&quot;:&quot;Hamaguchi&quot;,&quot;given&quot;:&quot;Masahide&quot;,&quot;non-dropping-particle&quot;:&quot;&quot;,&quot;parse-names&quot;:false,&quot;suffix&quot;:&quot;&quot;},{&quot;dropping-particle&quot;:&quot;&quot;,&quot;family&quot;:&quot;Fukuda&quot;,&quot;given&quot;:&quot;Takuya&quot;,&quot;non-dropping-particle&quot;:&quot;&quot;,&quot;parse-names&quot;:false,&quot;suffix&quot;:&quot;&quot;},{&quot;dropping-particle&quot;:&quot;&quot;,&quot;family&quot;:&quot;Nakamura&quot;,&quot;given&quot;:&quot;Naoto&quot;,&quot;non-dropping-particle&quot;:&quot;&quot;,&quot;parse-names&quot;:false,&quot;suffix&quot;:&quot;&quot;},{&quot;dropping-particle&quot;:&quot;&quot;,&quot;family&quot;:&quot;Ohbora&quot;,&quot;given&quot;:&quot;Akihiro&quot;,&quot;non-dropping-particle&quot;:&quot;&quot;,&quot;parse-names&quot;:false,&quot;suffix&quot;:&quot;&quot;},{&quot;dropping-particle&quot;:&quot;&quot;,&quot;family&quot;:&quot;Kato&quot;,&quot;given&quot;:&quot;Takahiro&quot;,&quot;non-dropping-particle&quot;:&quot;&quot;,&quot;parse-names&quot;:false,&quot;suffix&quot;:&quot;&quot;},{&quot;dropping-particle&quot;:&quot;&quot;,&quot;family&quot;:&quot;Kojima&quot;,&quot;given&quot;:&quot;Takao&quot;,&quot;non-dropping-particle&quot;:&quot;&quot;,&quot;parse-names&quot;:false,&quot;suffix&quot;:&quot;&quot;},{&quot;dropping-particle&quot;:&quot;&quot;,&quot;family&quot;:&quot;Fukui&quot;,&quot;given&quot;:&quot;Michiaki&quot;,&quot;non-dropping-particle&quot;:&quot;&quot;,&quot;parse-names&quot;:false,&quot;suffix&quot;:&quot;&quot;}],&quot;container-title&quot;:&quot;Liver International&quot;,&quot;id&quot;:&quot;0c3acc2f-31c7-5b5f-a4fa-38c7801a3861&quot;,&quot;issue&quot;:&quot;5&quot;,&quot;issued&quot;:{&quot;date-parts&quot;:[[&quot;2016&quot;,&quot;5&quot;,&quot;1&quot;]]},&quot;page&quot;:&quot;713-720&quot;,&quot;publisher&quot;:&quot;Blackwell Publishing Ltd&quot;,&quot;title&quot;:&quot;Triglycerides to high-density lipoprotein cholesterol ratio is an independent predictor of incident fatty liver; a population-based cohort study&quot;,&quot;type&quot;:&quot;article-journal&quot;,&quot;volume&quot;:&quot;36&quot;,&quot;container-title-short&quot;:&quot;&quot;},&quot;uris&quot;:[&quot;http://www.mendeley.com/documents/?uuid=0b2e2693-828f-38ac-bf48-bb36827de50e&quot;],&quot;isTemporary&quot;:false,&quot;legacyDesktopId&quot;:&quot;0b2e2693-828f-38ac-bf48-bb36827de50e&quot;},{&quot;id&quot;:&quot;8ee97d4d-3b4e-5de4-95ed-1c4c2ef6184f&quot;,&quot;itemData&quot;:{&quot;DOI&quot;:&quot;10.1186/s12944-019-0986-7&quot;,&quot;ISSN&quot;:&quot;1476511X&quot;,&quot;abstract&quot;:&quot;Background: Triglycerides (TG) to high-density lipoprotein cholesterol (HDL-C) ratio (TG/HDL-C) has been recommended as a surrogate marker for insulin resistance. In the present study, we aimed to investigate the relationship between TG/HDL-C and NAFLD in an apparently healthy population. Methods: A total of 18,061 subjects who participated in a health checkup program were included. NAFLD was diagnosed by ultrasonography. Results: The prevalence rate of NAFLD was 24.8% in the whole population, and progressively increased across the quartiles of TG/HDL-C (4.9, 14.1, 26.8 and 53.5%, respectively, P &lt; 0.001). After adjustment for confounding factors, TG/HDL-C was independently associated with the risk of NAFLD. Compared with the first quartile of TG/HDL-C (Q1), the odds ratios (95% confidence intervals) for NAFLD in the increasing quartiles (Q2-Q4) were 2.1(1.8-2.6), 3.6 (3.0-4.3) and 9.2(7.6-11.1), respectively. In addition, the area under receiver operator characteristic curve (95% confidence interval) of TG/HDL-C for NAFLD was 0.85 (0.84-0.86) in women and 0.79 (0.78-0.80) in men, significantly higher than that of TG, TC, LDL-C, HDL-C, ALT and AST (P &lt; 0.05). The optimal cutoff point of TG/HDL-C for detection of NAFLD was 0.9 in women (sensitivity = 78.8%, specificity = 77.3%) and 1.4 in men (sensitivity = 70.7%, specificity = 73.5%). Conclusions: TG/HDL-C is independently associated with NAFLD in apparently healthy individuals and may be used as a surrogate for NAFLD.&quot;,&quot;author&quot;:[{&quot;dropping-particle&quot;:&quot;&quot;,&quot;family&quot;:&quot;Fan&quot;,&quot;given&quot;:&quot;Nengguang&quot;,&quot;non-dropping-particle&quot;:&quot;&quot;,&quot;parse-names&quot;:false,&quot;suffix&quot;:&quot;&quot;},{&quot;dropping-particle&quot;:&quot;&quot;,&quot;family&quot;:&quot;Peng&quot;,&quot;given&quot;:&quot;Liang&quot;,&quot;non-dropping-particle&quot;:&quot;&quot;,&quot;parse-names&quot;:false,&quot;suffix&quot;:&quot;&quot;},{&quot;dropping-particle&quot;:&quot;&quot;,&quot;family&quot;:&quot;Xia&quot;,&quot;given&quot;:&quot;Zhenhua&quot;,&quot;non-dropping-particle&quot;:&quot;&quot;,&quot;parse-names&quot;:false,&quot;suffix&quot;:&quot;&quot;},{&quot;dropping-particle&quot;:&quot;&quot;,&quot;family&quot;:&quot;Zhang&quot;,&quot;given&quot;:&quot;Lijuan&quot;,&quot;non-dropping-particle&quot;:&quot;&quot;,&quot;parse-names&quot;:false,&quot;suffix&quot;:&quot;&quot;},{&quot;dropping-particle&quot;:&quot;&quot;,&quot;family&quot;:&quot;Song&quot;,&quot;given&quot;:&quot;Zhiyi&quot;,&quot;non-dropping-particle&quot;:&quot;&quot;,&quot;parse-names&quot;:false,&quot;suffix&quot;:&quot;&quot;},{&quot;dropping-particle&quot;:&quot;&quot;,&quot;family&quot;:&quot;Wang&quot;,&quot;given&quot;:&quot;Yufan&quot;,&quot;non-dropping-particle&quot;:&quot;&quot;,&quot;parse-names&quot;:false,&quot;suffix&quot;:&quot;&quot;},{&quot;dropping-particle&quot;:&quot;&quot;,&quot;family&quot;:&quot;Peng&quot;,&quot;given&quot;:&quot;Yongde&quot;,&quot;non-dropping-particle&quot;:&quot;&quot;,&quot;parse-names&quot;:false,&quot;suffix&quot;:&quot;&quot;}],&quot;container-title&quot;:&quot;Lipids in Health and Disease&quot;,&quot;id&quot;:&quot;8ee97d4d-3b4e-5de4-95ed-1c4c2ef6184f&quot;,&quot;issue&quot;:&quot;1&quot;,&quot;issued&quot;:{&quot;date-parts&quot;:[[&quot;2019&quot;,&quot;2&quot;,&quot;2&quot;]]},&quot;page&quot;:&quot;39&quot;,&quot;publisher&quot;:&quot;BioMed Central Ltd.&quot;,&quot;title&quot;:&quot;Triglycerides to high-density lipoprotein cholesterol ratio as a surrogate for nonalcoholic fatty liver disease: A cross-sectional study&quot;,&quot;type&quot;:&quot;article-journal&quot;,&quot;volume&quot;:&quot;18&quot;,&quot;container-title-short&quot;:&quot;Lipids Health Dis&quot;},&quot;uris&quot;:[&quot;http://www.mendeley.com/documents/?uuid=6dc53f98-7106-3cf6-a0d2-53154d1c7bd4&quot;],&quot;isTemporary&quot;:false,&quot;legacyDesktopId&quot;:&quot;6dc53f98-7106-3cf6-a0d2-53154d1c7bd4&quot;},{&quot;id&quot;:&quot;ccfcf45c-0d75-54ab-9cf5-ea64682df4d2&quot;,&quot;itemData&quot;:{&quot;DOI&quot;:&quot;10.1111/j.1478-3231.2011.02482.x&quot;,&quot;ISSN&quot;:&quot;14783223&quot;,&quot;abstract&quot;:&quot;Background/Aims: Nonalcoholic fatty liver disease (NAFLD) is highly prevalent in type 2 diabetes mellitus (T2DM). However, data regarding the prevalence and correlates of its histopathological stages are scarce. The aim was to investigate the prevalence and correlates of the more severe histopathological features of NAFLD, nonalcoholic steatohepatitis (NASH) and advanced fibrosis, in T2DM. Methods: From 125 patients with ultrasonographic evidence of NAFLD, 98 patients underwent liver biopsies, which were examined by two independent pathologists regarding the presence of NASH and graded according to the NASH Clinical Research Network scoring system. Agreement between pathologists was assessed by weighted κ coefficients and independent correlates of NASH and advanced fibrosis (grade ≥2) by multivariate logistic regression. Results: Ninety-two (94%) patients presented histological NAFLD. Interobserver agreement was substantial to excellent for NASH diagnosis (κ=0.82) and steatosis grading (κ=0.76), and moderate for the NAFLD activity score (κ=0.58) and fibrosis grading (κ=0.52). The prevalence of NASH was 78%, and its independent correlates were hypertriglyceridaemia (P=0.034), high alanine aminotranferase level (P=0.044) and low serum high-density lipoprotein-cholesterol (P=0.079). The prevalence of advanced fibrosis ranged from 34% in the best scenario (lowest fibrosis score) to 60% in the worst scenario (highest score). Its independent correlates were a high serum γ-glutamyl transferase (P=0.002), older age (P=0.022) and male gender (P=0.064). No diabetes-related clinical characteristic was associated with NASH or advanced liver fibrosis. Conclusions: The prevalence of the severe features of NAFLD is high in T2DM patients. Liver biopsy shall be considered in all diabetic patients with ultrasonographic evidence of NAFLD. © 2011 John Wiley Sons A/S.&quot;,&quot;author&quot;:[{&quot;dropping-particle&quot;:&quot;&quot;,&quot;family&quot;:&quot;Leite&quot;,&quot;given&quot;:&quot;Nathalie C.&quot;,&quot;non-dropping-particle&quot;:&quot;&quot;,&quot;parse-names&quot;:false,&quot;suffix&quot;:&quot;&quot;},{&quot;dropping-particle&quot;:&quot;&quot;,&quot;family&quot;:&quot;Villela-Nogueira&quot;,&quot;given&quot;:&quot;Cristiane A.&quot;,&quot;non-dropping-particle&quot;:&quot;&quot;,&quot;parse-names&quot;:false,&quot;suffix&quot;:&quot;&quot;},{&quot;dropping-particle&quot;:&quot;&quot;,&quot;family&quot;:&quot;Pannain&quot;,&quot;given&quot;:&quot;Vera L. N.&quot;,&quot;non-dropping-particle&quot;:&quot;&quot;,&quot;parse-names&quot;:false,&quot;suffix&quot;:&quot;&quot;},{&quot;dropping-particle&quot;:&quot;&quot;,&quot;family&quot;:&quot;Bottino&quot;,&quot;given&quot;:&quot;Adriana C.&quot;,&quot;non-dropping-particle&quot;:&quot;&quot;,&quot;parse-names&quot;:false,&quot;suffix&quot;:&quot;&quot;},{&quot;dropping-particle&quot;:&quot;&quot;,&quot;family&quot;:&quot;Rezende&quot;,&quot;given&quot;:&quot;Guilherme F. M.&quot;,&quot;non-dropping-particle&quot;:&quot;&quot;,&quot;parse-names&quot;:false,&quot;suffix&quot;:&quot;&quot;},{&quot;dropping-particle&quot;:&quot;&quot;,&quot;family&quot;:&quot;Cardoso&quot;,&quot;given&quot;:&quot;Claudia R. L.&quot;,&quot;non-dropping-particle&quot;:&quot;&quot;,&quot;parse-names&quot;:false,&quot;suffix&quot;:&quot;&quot;},{&quot;dropping-particle&quot;:&quot;&quot;,&quot;family&quot;:&quot;Salles&quot;,&quot;given&quot;:&quot;Gil F.&quot;,&quot;non-dropping-particle&quot;:&quot;&quot;,&quot;parse-names&quot;:false,&quot;suffix&quot;:&quot;&quot;}],&quot;container-title&quot;:&quot;Liver International&quot;,&quot;id&quot;:&quot;ccfcf45c-0d75-54ab-9cf5-ea64682df4d2&quot;,&quot;issue&quot;:&quot;5&quot;,&quot;issued&quot;:{&quot;date-parts&quot;:[[&quot;2011&quot;,&quot;5&quot;,&quot;1&quot;]]},&quot;page&quot;:&quot;700-706&quot;,&quot;publisher&quot;:&quot;John Wiley &amp; Sons, Ltd&quot;,&quot;title&quot;:&quot;Histopathological stages of nonalcoholic fatty liver disease in type 2 diabetes: prevalences and correlated factors&quot;,&quot;type&quot;:&quot;article-journal&quot;,&quot;volume&quot;:&quot;31&quot;,&quot;container-title-short&quot;:&quot;&quot;},&quot;uris&quot;:[&quot;http://www.mendeley.com/documents/?uuid=7bb55ae2-84b7-34b9-9975-c9af4091eb37&quot;],&quot;isTemporary&quot;:false,&quot;legacyDesktopId&quot;:&quot;7bb55ae2-84b7-34b9-9975-c9af4091eb37&quot;},{&quot;id&quot;:&quot;db4d0958-a48e-51c0-9c56-56c5e525168e&quot;,&quot;itemData&quot;:{&quot;DOI&quot;:&quot;10.4172/2167-0501.1000243&quot;,&quot;ISSN&quot;:&quot;2167-0501&quot;,&quot;abstract&quot;:&quot;Background: Diabetes Mellitus (DM) is one of the major lifestyle-related metabolic disorders with emerging high incidence around the globe. The prevalence of type 2 Diabetes Mellitus is around 4.5% among Nepalese population as per the data of 2013 and the trend is just increasing yearly. Among various complications associated with DM, different patterns of liver diseases like fatty liver, cirrhosis and acute liver failure also count to be crucial ones. Early assessment of liver profile parameters provides better information for the management and cure of possible liver damages in type 2 diabetic population. The present study aimed to assess and compare liver parameters in Nepalese type 2 diabetic population.&quot;,&quot;author&quot;:[{&quot;dropping-particle&quot;:&quot;&quot;,&quot;family&quot;:&quot;Ghimire&quot;,&quot;given&quot;:&quot;Sumitra&quot;,&quot;non-dropping-particle&quot;:&quot;&quot;,&quot;parse-names&quot;:false,&quot;suffix&quot;:&quot;&quot;},{&quot;dropping-particle&quot;:&quot;&quot;,&quot;family&quot;:&quot;Shakya&quot;,&quot;given&quot;:&quot;Shreena&quot;,&quot;non-dropping-particle&quot;:&quot;&quot;,&quot;parse-names&quot;:false,&quot;suffix&quot;:&quot;&quot;},{&quot;dropping-particle&quot;:&quot;&quot;,&quot;family&quot;:&quot;Shakya&quot;,&quot;given&quot;:&quot;Jyotsna&quot;,&quot;non-dropping-particle&quot;:&quot;&quot;,&quot;parse-names&quot;:false,&quot;suffix&quot;:&quot;&quot;},{&quot;dropping-particle&quot;:&quot;&quot;,&quot;family&quot;:&quot;Acharya&quot;,&quot;given&quot;:&quot;Puspa&quot;,&quot;non-dropping-particle&quot;:&quot;&quot;,&quot;parse-names&quot;:false,&quot;suffix&quot;:&quot;&quot;},{&quot;dropping-particle&quot;:&quot;&quot;,&quot;family&quot;:&quot;Pardhe&quot;,&quot;given&quot;:&quot;Bashu Dev&quot;,&quot;non-dropping-particle&quot;:&quot;&quot;,&quot;parse-names&quot;:false,&quot;suffix&quot;:&quot;&quot;}],&quot;container-title&quot;:&quot;Biochemistry &amp; Pharmacology: Open Access&quot;,&quot;id&quot;:&quot;db4d0958-a48e-51c0-9c56-56c5e525168e&quot;,&quot;issue&quot;:&quot;01&quot;,&quot;issued&quot;:{&quot;date-parts&quot;:[[&quot;2018&quot;]]},&quot;title&quot;:&quot;Abnormal Liver Parameters among Individuals with Type 2 Diabetes Mellitus Nepalese Population&quot;,&quot;type&quot;:&quot;article-journal&quot;,&quot;volume&quot;:&quot;07&quot;,&quot;container-title-short&quot;:&quot;Biochem Pharmacol (Los Angel)&quot;},&quot;uris&quot;:[&quot;http://www.mendeley.com/documents/?uuid=4497fbf8-27b8-3eab-8d32-fc57a9d0bd98&quot;],&quot;isTemporary&quot;:false,&quot;legacyDesktopId&quot;:&quot;4497fbf8-27b8-3eab-8d32-fc57a9d0bd98&quot;}]},{&quot;citationID&quot;:&quot;MENDELEY_CITATION_f46079d8-06a6-491f-8cff-8b0ab927afd5&quot;,&quot;properties&quot;:{&quot;noteIndex&quot;:0},&quot;isEdited&quot;:false,&quot;manualOverride&quot;:{&quot;citeprocText&quot;:&quot;&lt;sup&gt;26&lt;/sup&gt;&quot;,&quot;isManuallyOverridden&quot;:false,&quot;manualOverrideText&quot;:&quot;&quot;},&quot;citationTag&quot;:&quot;MENDELEY_CITATION_v3_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&quot;,&quot;citationItems&quot;:[{&quot;id&quot;:&quot;8ee97d4d-3b4e-5de4-95ed-1c4c2ef6184f&quot;,&quot;itemData&quot;:{&quot;DOI&quot;:&quot;10.1186/s12944-019-0986-7&quot;,&quot;ISSN&quot;:&quot;1476511X&quot;,&quot;abstract&quot;:&quot;Background: Triglycerides (TG) to high-density lipoprotein cholesterol (HDL-C) ratio (TG/HDL-C) has been recommended as a surrogate marker for insulin resistance. In the present study, we aimed to investigate the relationship between TG/HDL-C and NAFLD in an apparently healthy population. Methods: A total of 18,061 subjects who participated in a health checkup program were included. NAFLD was diagnosed by ultrasonography. Results: The prevalence rate of NAFLD was 24.8% in the whole population, and progressively increased across the quartiles of TG/HDL-C (4.9, 14.1, 26.8 and 53.5%, respectively, P &lt; 0.001). After adjustment for confounding factors, TG/HDL-C was independently associated with the risk of NAFLD. Compared with the first quartile of TG/HDL-C (Q1), the odds ratios (95% confidence intervals) for NAFLD in the increasing quartiles (Q2-Q4) were 2.1(1.8-2.6), 3.6 (3.0-4.3) and 9.2(7.6-11.1), respectively. In addition, the area under receiver operator characteristic curve (95% confidence interval) of TG/HDL-C for NAFLD was 0.85 (0.84-0.86) in women and 0.79 (0.78-0.80) in men, significantly higher than that of TG, TC, LDL-C, HDL-C, ALT and AST (P &lt; 0.05). The optimal cutoff point of TG/HDL-C for detection of NAFLD was 0.9 in women (sensitivity = 78.8%, specificity = 77.3%) and 1.4 in men (sensitivity = 70.7%, specificity = 73.5%). Conclusions: TG/HDL-C is independently associated with NAFLD in apparently healthy individuals and may be used as a surrogate for NAFLD.&quot;,&quot;author&quot;:[{&quot;dropping-particle&quot;:&quot;&quot;,&quot;family&quot;:&quot;Fan&quot;,&quot;given&quot;:&quot;Nengguang&quot;,&quot;non-dropping-particle&quot;:&quot;&quot;,&quot;parse-names&quot;:false,&quot;suffix&quot;:&quot;&quot;},{&quot;dropping-particle&quot;:&quot;&quot;,&quot;family&quot;:&quot;Peng&quot;,&quot;given&quot;:&quot;Liang&quot;,&quot;non-dropping-particle&quot;:&quot;&quot;,&quot;parse-names&quot;:false,&quot;suffix&quot;:&quot;&quot;},{&quot;dropping-particle&quot;:&quot;&quot;,&quot;family&quot;:&quot;Xia&quot;,&quot;given&quot;:&quot;Zhenhua&quot;,&quot;non-dropping-particle&quot;:&quot;&quot;,&quot;parse-names&quot;:false,&quot;suffix&quot;:&quot;&quot;},{&quot;dropping-particle&quot;:&quot;&quot;,&quot;family&quot;:&quot;Zhang&quot;,&quot;given&quot;:&quot;Lijuan&quot;,&quot;non-dropping-particle&quot;:&quot;&quot;,&quot;parse-names&quot;:false,&quot;suffix&quot;:&quot;&quot;},{&quot;dropping-particle&quot;:&quot;&quot;,&quot;family&quot;:&quot;Song&quot;,&quot;given&quot;:&quot;Zhiyi&quot;,&quot;non-dropping-particle&quot;:&quot;&quot;,&quot;parse-names&quot;:false,&quot;suffix&quot;:&quot;&quot;},{&quot;dropping-particle&quot;:&quot;&quot;,&quot;family&quot;:&quot;Wang&quot;,&quot;given&quot;:&quot;Yufan&quot;,&quot;non-dropping-particle&quot;:&quot;&quot;,&quot;parse-names&quot;:false,&quot;suffix&quot;:&quot;&quot;},{&quot;dropping-particle&quot;:&quot;&quot;,&quot;family&quot;:&quot;Peng&quot;,&quot;given&quot;:&quot;Yongde&quot;,&quot;non-dropping-particle&quot;:&quot;&quot;,&quot;parse-names&quot;:false,&quot;suffix&quot;:&quot;&quot;}],&quot;container-title&quot;:&quot;Lipids in Health and Disease&quot;,&quot;id&quot;:&quot;8ee97d4d-3b4e-5de4-95ed-1c4c2ef6184f&quot;,&quot;issue&quot;:&quot;1&quot;,&quot;issued&quot;:{&quot;date-parts&quot;:[[&quot;2019&quot;,&quot;2&quot;,&quot;2&quot;]]},&quot;page&quot;:&quot;39&quot;,&quot;publisher&quot;:&quot;BioMed Central Ltd.&quot;,&quot;title&quot;:&quot;Triglycerides to high-density lipoprotein cholesterol ratio as a surrogate for nonalcoholic fatty liver disease: A cross-sectional study&quot;,&quot;type&quot;:&quot;article-journal&quot;,&quot;volume&quot;:&quot;18&quot;,&quot;container-title-short&quot;:&quot;Lipids Health Dis&quot;},&quot;uris&quot;:[&quot;http://www.mendeley.com/documents/?uuid=6dc53f98-7106-3cf6-a0d2-53154d1c7bd4&quot;],&quot;isTemporary&quot;:false,&quot;legacyDesktopId&quot;:&quot;6dc53f98-7106-3cf6-a0d2-53154d1c7bd4&quot;}]},{&quot;citationID&quot;:&quot;MENDELEY_CITATION_f08519d4-208e-4ffe-b1bd-72d5518b7ba5&quot;,&quot;properties&quot;:{&quot;noteIndex&quot;:0},&quot;isEdited&quot;:false,&quot;manualOverride&quot;:{&quot;isManuallyOverridden&quot;:false,&quot;citeprocText&quot;:&quot;&lt;sup&gt;28,29&lt;/sup&gt;&quot;,&quot;manualOverrideText&quot;:&quot;&quot;},&quot;citationTag&quot;:&quot;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&quot;,&quot;citationItems&quot;:[{&quot;id&quot;:&quot;8831acba-58b8-3b11-91aa-fd005f64eb45&quot;,&quot;itemData&quot;:{&quot;type&quot;:&quot;article-journal&quot;,&quot;id&quot;:&quot;8831acba-58b8-3b11-91aa-fd005f64eb45&quot;,&quot;title&quot;:&quot;Diabetes increases the risk of hepatocellular carcinoma in the United States: A population based case control study&quot;,&quot;author&quot;:[{&quot;family&quot;:&quot;Davila&quot;,&quot;given&quot;:&quot;J. A.&quot;,&quot;parse-names&quot;:false,&quot;dropping-particle&quot;:&quot;&quot;,&quot;non-dropping-particle&quot;:&quot;&quot;},{&quot;family&quot;:&quot;Morgan&quot;,&quot;given&quot;:&quot;R. O.&quot;,&quot;parse-names&quot;:false,&quot;dropping-particle&quot;:&quot;&quot;,&quot;non-dropping-particle&quot;:&quot;&quot;},{&quot;family&quot;:&quot;Shaib&quot;,&quot;given&quot;:&quot;Y.&quot;,&quot;parse-names&quot;:false,&quot;dropping-particle&quot;:&quot;&quot;,&quot;non-dropping-particle&quot;:&quot;&quot;},{&quot;family&quot;:&quot;McGlynn&quot;,&quot;given&quot;:&quot;K. A.&quot;,&quot;parse-names&quot;:false,&quot;dropping-particle&quot;:&quot;&quot;,&quot;non-dropping-particle&quot;:&quot;&quot;},{&quot;family&quot;:&quot;El-Serag&quot;,&quot;given&quot;:&quot;H. B.&quot;,&quot;parse-names&quot;:false,&quot;dropping-particle&quot;:&quot;&quot;,&quot;non-dropping-particle&quot;:&quot;&quot;}],&quot;container-title&quot;:&quot;Gut&quot;,&quot;container-title-short&quot;:&quot;Gut&quot;,&quot;accessed&quot;:{&quot;date-parts&quot;:[[2024,5,29]]},&quot;DOI&quot;:&quot;10.1136/GUT.2004.052167&quot;,&quot;ISSN&quot;:&quot;00175749&quot;,&quot;PMID&quot;:&quot;15753540&quot;,&quot;issued&quot;:{&quot;date-parts&quot;:[[2005,4]]},&quot;page&quot;:&quot;533-539&quot;,&quot;abstract&quot;:&quot;Background: Diabetes has been associated with an increased risk of hepatocellular carcinoma (HCC) in studies of referred patients. This is the first population based case control study in the USA to examine this association while adjusting for other major risk factors related to HCC. Methods: We used the Surveillance Epidemiology and End-Results Program (SEER)-Medicare linked database to identify patients aged 65 years and older diagnosed with HCC and randomly selected non-cancer controls between 1994 and 1999. Only cases and controls with continuous Medicare enrolment for three years prior to the index date were examined. Inpatient and outpatient claims files were searched for diagnostic codes indicative of diabetes, hepatitis C virus (HCV), hepatitis B virus (HBV), alcoholic liver disease, and haemochromatosis. HCC patients without these conditions were categorised as idiopathic. Unadjusted and adjusted odds ratios were calculated in logistic regression analyses. Results: We identified 2061 HCC patients and 6183 non-cancer controls. Compared with non-cancer controls, patients with HCC were male (66% v 36%) and non-White (34% v 18%). The proportion of HCC patients with diabetes (43%) was significantly greater than non-cancer controls (19%). In multiple logistic regression analyses that adjusted for demographics features and other HCC risk factors (HCV, HBV, alcoholic liver disease, and haemochromatosis), diabetes was associated with a threefold increase in the risk of HCC. In a subset of patients without these major risk factors, the adjusted odds ratio for diabetes declined but remained significant (adjusted odds ratio 2.87 (95% confidence interval 2.49-3.30)). A significant positive interaction between HCV and diabetes was detected (p&lt;0.0001). Similar findings persisted in analyses restricted to diabetes recorded between two and three years prior to HCC diagnosis. Conclusions: Diabetes is associated with a 2-3-fold increase in the risk of HCC, regardless of the presence of other major HCC risk factors. Findings from this population based study suggest that diabetes is an independent risk factor for HCC.&quot;,&quot;issue&quot;:&quot;4&quot;,&quot;volume&quot;:&quot;54&quot;},&quot;isTemporary&quot;:false},{&quot;id&quot;:&quot;95357f0c-0b5f-38a0-9cd5-d3a12c4afb19&quot;,&quot;itemData&quot;:{&quot;type&quot;:&quot;article-journal&quot;,&quot;id&quot;:&quot;95357f0c-0b5f-38a0-9cd5-d3a12c4afb19&quot;,&quot;title&quot;:&quot;The global epidemiology of NAFLD and NASH in patients with type 2 diabetes: A systematic review and meta-analysis&quot;,&quot;author&quot;:[{&quot;family&quot;:&quot;Younossi&quot;,&quot;given&quot;:&quot;Zobair M.&quot;,&quot;parse-names&quot;:false,&quot;dropping-particle&quot;:&quot;&quot;,&quot;non-dropping-particle&quot;:&quot;&quot;},{&quot;family&quot;:&quot;Golabi&quot;,&quot;given&quot;:&quot;Pegah&quot;,&quot;parse-names&quot;:false,&quot;dropping-particle&quot;:&quot;&quot;,&quot;non-dropping-particle&quot;:&quot;&quot;},{&quot;family&quot;:&quot;Avila&quot;,&quot;given&quot;:&quot;Leyla&quot;,&quot;parse-names&quot;:false,&quot;dropping-particle&quot;:&quot;&quot;,&quot;non-dropping-particle&quot;:&quot;de&quot;},{&quot;family&quot;:&quot;Paik&quot;,&quot;given&quot;:&quot;James Minhui&quot;,&quot;parse-names&quot;:false,&quot;dropping-particle&quot;:&quot;&quot;,&quot;non-dropping-particle&quot;:&quot;&quot;},{&quot;family&quot;:&quot;Srishord&quot;,&quot;given&quot;:&quot;Manirath&quot;,&quot;parse-names&quot;:false,&quot;dropping-particle&quot;:&quot;&quot;,&quot;non-dropping-particle&quot;:&quot;&quot;},{&quot;family&quot;:&quot;Fukui&quot;,&quot;given&quot;:&quot;Natsu&quot;,&quot;parse-names&quot;:false,&quot;dropping-particle&quot;:&quot;&quot;,&quot;non-dropping-particle&quot;:&quot;&quot;},{&quot;family&quot;:&quot;Qiu&quot;,&quot;given&quot;:&quot;Ying&quot;,&quot;parse-names&quot;:false,&quot;dropping-particle&quot;:&quot;&quot;,&quot;non-dropping-particle&quot;:&quot;&quot;},{&quot;family&quot;:&quot;Burns&quot;,&quot;given&quot;:&quot;Leah&quot;,&quot;parse-names&quot;:false,&quot;dropping-particle&quot;:&quot;&quot;,&quot;non-dropping-particle&quot;:&quot;&quot;},{&quot;family&quot;:&quot;Afendy&quot;,&quot;given&quot;:&quot;Arian&quot;,&quot;parse-names&quot;:false,&quot;dropping-particle&quot;:&quot;&quot;,&quot;non-dropping-particle&quot;:&quot;&quot;},{&quot;family&quot;:&quot;Nader&quot;,&quot;given&quot;:&quot;Fatema&quot;,&quot;parse-names&quot;:false,&quot;dropping-particle&quot;:&quot;&quot;,&quot;non-dropping-particle&quot;:&quot;&quot;}],&quot;container-title&quot;:&quot;Journal of Hepatology&quot;,&quot;container-title-short&quot;:&quot;J Hepatol&quot;,&quot;accessed&quot;:{&quot;date-parts&quot;:[[2024,5,29]]},&quot;DOI&quot;:&quot;10.1016/J.JHEP.2019.06.021&quot;,&quot;ISSN&quot;:&quot;16000641&quot;,&quot;PMID&quot;:&quot;31279902&quot;,&quot;issued&quot;:{&quot;date-parts&quot;:[[2019,10,1]]},&quot;page&quot;:&quot;793-801&quot;,&quot;abstract&quot;:&quot;Background &amp; Aims: Although non-alcoholic fatty liver disease (NAFLD), non-alcoholic steatohepatitis (NASH) and NASH with advanced fibrosis are closely associated with type 2 diabetes mellitus (T2DM), their global prevalence rates have not been well described. Our aim was to estimate the prevalence of NAFLD, NASH, and advanced fibrosis among patients with T2DM, by regions of the world. Methods: We searched for terms including NAFLD, NASH and T2DM in studies published from January 1989 to September 2018, using PubMed, Ovid MEDLINE®, EMBASE and Web of Science. Strict exclusion criteria were applied. Regional and global mean prevalence weighted by population size in each country were estimated and pooled using random-effects meta-analysis. Potential sources of heterogeneity were investigated using stratified meta-analysis and meta-regression. Results: Among 80 studies from 20 countries that met our inclusion criteria, there were 49,419 individuals with T2DM (mean age 58.5 years, mean body mass index 27.9 kg/m2, and males 52.9%). The global prevalence of NAFLD among patients with T2DM was 55.5% (95% CI 47.3–63.7). Studies from Europe reported the highest prevalence (68.0% [62.1–73.0%]). Among 10 studies that estimated the prevalence of NASH, the global prevalence of NASH among individuals with T2DM was 37.3% (95% CI 24.7–50.0%). Seven studies estimated the prevalence of advanced fibrosis in patients with NAFLD and T2DM to be 17.0% (95% CI 7.2–34.8). Meta-regression models showed that geographic region and mean age (p &lt;0.5) were associated with the prevalence of NAFLD, jointly accounting for 63.9% of the heterogeneity. Conclusions: This study provides the global prevalence rates for NAFLD, NASH, and advanced fibrosis in patients with T2DM. These data can be used to estimate the clinical and economic burden of NASH in patients with T2DM around the world. Lay summary: Non-alcoholic fatty liver disease (NAFLD) is now recognized as the most prevalent chronic liver disease worldwide. Type 2 diabetes mellitus (T2DM) is an important risk factor for NAFLD. Additionally, T2DM seems to accelerate the progression of liver disease in NAFLD. Despite the high prevalence and serious clinical implications of NAFLD in patients with T2DM, it is usually overlooked in clinical practice. This meta‐analysis provides evidence of the high prevalence of NAFLD and NASH in patients with T2DM. In this context, increasing awareness about the importance of NAFLD in patients with T2DM among all important stakeholders (primary care physicians, specialists, and health policy makers) must be prioritized.&quot;,&quot;publisher&quot;:&quot;Elsevier B.V.&quot;,&quot;issue&quot;:&quot;4&quot;,&quot;volume&quot;:&quot;71&quot;},&quot;isTemporary&quot;:false}]},{&quot;citationID&quot;:&quot;MENDELEY_CITATION_5c2e1241-b2c5-4052-a46b-fcbe44853621&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&quot;,&quot;citationItems&quot;:[{&quot;id&quot;:&quot;f95b2358-230b-392f-a922-89186cd807b6&quot;,&quot;itemData&quot;:{&quot;type&quot;:&quot;article-journal&quot;,&quot;id&quot;:&quot;f95b2358-230b-392f-a922-89186cd807b6&quot;,&quot;title&quot;:&quot;NAFLD and type 2 diabetes: A practical guide for the joint management&quot;,&quot;author&quot;:[{&quot;family&quot;:&quot;Genua&quot;,&quot;given&quot;:&quot;Idoia&quot;,&quot;parse-names&quot;:false,&quot;dropping-particle&quot;:&quot;&quot;,&quot;non-dropping-particle&quot;:&quot;&quot;},{&quot;family&quot;:&quot;Iruzubieta&quot;,&quot;given&quot;:&quot;Paula&quot;,&quot;parse-names&quot;:false,&quot;dropping-particle&quot;:&quot;&quot;,&quot;non-dropping-particle&quot;:&quot;&quot;},{&quot;family&quot;:&quot;Rodríguez-Duque&quot;,&quot;given&quot;:&quot;Juan Carlos&quot;,&quot;parse-names&quot;:false,&quot;dropping-particle&quot;:&quot;&quot;,&quot;non-dropping-particle&quot;:&quot;&quot;},{&quot;family&quot;:&quot;Pérez&quot;,&quot;given&quot;:&quot;Antonio&quot;,&quot;parse-names&quot;:false,&quot;dropping-particle&quot;:&quot;&quot;,&quot;non-dropping-particle&quot;:&quot;&quot;},{&quot;family&quot;:&quot;Crespo&quot;,&quot;given&quot;:&quot;Javier&quot;,&quot;parse-names&quot;:false,&quot;dropping-particle&quot;:&quot;&quot;,&quot;non-dropping-particle&quot;:&quot;&quot;}],&quot;container-title&quot;:&quot;Gastroenterología y Hepatología (English Edition)&quot;,&quot;accessed&quot;:{&quot;date-parts&quot;:[[2024,5,29]]},&quot;DOI&quot;:&quot;10.1016/J.GASTRE.2022.12.010&quot;,&quot;ISSN&quot;:&quot;2444-3824&quot;,&quot;URL&quot;:&quot;https://www.elsevier.es/en-revista-gastroenterologia-hepatologia-english-edition--382-articulo-nafld-type-2-diabetes-a-S2444382423001979&quot;,&quot;issued&quot;:{&quot;date-parts&quot;:[[2023,12,1]]},&quot;page&quot;:&quot;815-825&quot;,&quot;abstract&quot;:&quot;Non-alcoholic fatty liver disease (NAFLD) is becoming a major cause of liver disease-related morbidity, as well as mortality. Importantly, NAFLD is considered a mediator of systemic diseases including cardiovascular disease. Its prevalence is expected to increase, mainly due to its close association with obesity and type 2 diabetes mellitus (T2D). In addition, T2D and NAFLD share common pathophysiological mechanisms, and one can lead to or worsen the other. Therefore, a close collaboration between primary care physician, endocrinologists and hepatologists is essential to optimize the management of patients with NAFLD and T2D. Here, we summarize relevant aspects about NAFLD and T2D that all clinician managing these patients should know as well as current therapeutic options for the treatment of T2D associated with NAFLD.\nResumen\nLa esteatosis hepática metabólica (EHmet) se está convirtiendo en una de las causas más importantes de morbimortalidad relacionada con las enfermedades hepáticas. Es importante destacar que la EHmet se considera un mediador de enfermedades sistémicas, incluidas las enfermedades cardiovasculares. Se espera que su prevalencia aumente, principalmente debido a su estrecha relación con la obesidad y la diabetes mellitus tipo 2 (DM2). Además, la DM2 y la EHmet comparten mecanismos fisiopatológicos comunes y una puede provocar o empeorar la otra. Por lo tanto, una estrecha colaboración entre el médico de atención primaria, endocrinólogos y hepatólogos es fundamental para optimizar el manejo de los pacientes con EHmet y DM2. En esta guía resumimos aspectos relevantes sobre EHmet y DM2 que todo médico que maneja a estos pacientes debe conocer, así como las opciones terapéuticas actuales para el tratamiento de DM2 asociada a EHmet.&quot;,&quot;publisher&quot;:&quot;Elsevier&quot;,&quot;issue&quot;:&quot;10&quot;,&quot;volume&quot;:&quot;46&quot;,&quot;container-title-short&quot;:&quot;&quot;},&quot;isTemporary&quot;:false}]},{&quot;citationID&quot;:&quot;MENDELEY_CITATION_ccdd1b03-188f-4e9a-b10f-d5a2e7ee110a&quot;,&quot;properties&quot;:{&quot;noteIndex&quot;:0},&quot;isEdited&quot;:false,&quot;manualOverride&quot;:{&quot;isManuallyOverridden&quot;:false,&quot;citeprocText&quot;:&quot;&lt;sup&gt;9,10&lt;/sup&gt;&quot;,&quot;manualOverrideText&quot;:&quot;&quot;},&quot;citationTag&quot;:&quot;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&quot;,&quot;citationItems&quot;:[{&quot;id&quot;:&quot;13606c81-2adf-33f4-a728-a7caa5129f64&quot;,&quot;itemData&quot;:{&quot;type&quot;:&quot;article-journal&quot;,&quot;id&quot;:&quot;13606c81-2adf-33f4-a728-a7caa5129f64&quot;,&quot;title&quot;:&quot;Non-Alcoholic Fatty Liver Disease or Type 2 Diabetes Mellitus—The Chicken or the Egg Dilemma&quot;,&quot;author&quot;:[{&quot;family&quot;:&quot;Kosmalski&quot;,&quot;given&quot;:&quot;Marcin&quot;,&quot;parse-names&quot;:false,&quot;dropping-particle&quot;:&quot;&quot;,&quot;non-dropping-particle&quot;:&quot;&quot;},{&quot;family&quot;:&quot;Śliwińska&quot;,&quot;given&quot;:&quot;Agnieszka&quot;,&quot;parse-names&quot;:false,&quot;dropping-particle&quot;:&quot;&quot;,&quot;non-dropping-particle&quot;:&quot;&quot;},{&quot;family&quot;:&quot;Drzewoski&quot;,&quot;given&quot;:&quot;Józef&quot;,&quot;parse-names&quot;:false,&quot;dropping-particle&quot;:&quot;&quot;,&quot;non-dropping-particle&quot;:&quot;&quot;}],&quot;container-title&quot;:&quot;Biomedicines 2023, Vol. 11, Page 1097&quot;,&quot;accessed&quot;:{&quot;date-parts&quot;:[[2024,5,29]]},&quot;DOI&quot;:&quot;10.3390/BIOMEDICINES11041097&quot;,&quot;ISSN&quot;:&quot;2227-9059&quot;,&quot;URL&quot;:&quot;https://www.mdpi.com/2227-9059/11/4/1097/htm&quot;,&quot;issued&quot;:{&quot;date-parts&quot;:[[2023,4,4]]},&quot;page&quot;:&quot;1097&quot;,&quot;abstract&quot;:&quot;In clinical practice, we often deal with patients who suffer from non-alcoholic fatty liver disease (NAFLD) concurrent with type 2 diabetes mellitus (T2DM). The etiopathogenesis of NAFLD is mainly connected with insulin resistance (IR) and obesity. Similarly, the latter patients are in the process of developing T2DM. However, the mechanisms of NAFLD and T2DM coexistence have not been fully elucidated. Considering that both diseases and their complications are of epidemic proportions and significantly affect the length and quality of life, we aimed to answer which of these diseases appears first and thereby highlight the need for their diagnosis and treatment. To address this question, we present and discuss the epidemiological data, diagnoses, complications and pathomechanisms of these two coexisting metabolic diseases. This question is difficult to answer due to the lack of a uniform procedure for NAFLD diagnosis and the asymptomatic nature of both diseases, especially at their beginning stages. To conclude, most researchers suggest that NAFLD appears as the first disease and starts the sequence of circumstances leading ultimately to the development of T2DM. However, there are also data suggesting that T2DM develops before NAFLD. Despite the fact that we cannot definitively answer this question, it is very important to bring the attention of clinicians and researchers to the coexistence of NAFLD and T2DM in order to prevent their consequences.&quot;,&quot;publisher&quot;:&quot;Multidisciplinary Digital Publishing Institute&quot;,&quot;issue&quot;:&quot;4&quot;,&quot;volume&quot;:&quot;11&quot;,&quot;container-title-short&quot;:&quot;&quot;},&quot;isTemporary&quot;:false},{&quot;id&quot;:&quot;55d01389-df61-37d1-a73a-e6b9f4551e03&quot;,&quot;itemData&quot;:{&quot;type&quot;:&quot;article-journal&quot;,&quot;id&quot;:&quot;55d01389-df61-37d1-a73a-e6b9f4551e03&quot;,&quot;title&quot;:&quot;Type 2 diabetes mellitus and non-alcoholic fatty liver disease: a systematic review and meta-analysis&quot;,&quot;author&quot;:[{&quot;family&quot;:&quot;Atan&quot;,&quot;given&quot;:&quot;Nasrin Amiri Dash&quot;,&quot;parse-names&quot;:false,&quot;dropping-particle&quot;:&quot;&quot;,&quot;non-dropping-particle&quot;:&quot;&quot;},{&quot;family&quot;:&quot;Koushki&quot;,&quot;given&quot;:&quot;Mehdi&quot;,&quot;parse-names&quot;:false,&quot;dropping-particle&quot;:&quot;&quot;,&quot;non-dropping-particle&quot;:&quot;&quot;},{&quot;family&quot;:&quot;Motedayen&quot;,&quot;given&quot;:&quot;Morteza&quot;,&quot;parse-names&quot;:false,&quot;dropping-particle&quot;:&quot;&quot;,&quot;non-dropping-particle&quot;:&quot;&quot;},{&quot;family&quot;:&quot;Dousti&quot;,&quot;given&quot;:&quot;Majid&quot;,&quot;parse-names&quot;:false,&quot;dropping-particle&quot;:&quot;&quot;,&quot;non-dropping-particle&quot;:&quot;&quot;},{&quot;family&quot;:&quot;Sayehmiri&quot;,&quot;given&quot;:&quot;Fatemeh&quot;,&quot;parse-names&quot;:false,&quot;dropping-particle&quot;:&quot;&quot;,&quot;non-dropping-particle&quot;:&quot;&quot;},{&quot;family&quot;:&quot;Vafaee&quot;,&quot;given&quot;:&quot;Reza&quot;,&quot;parse-names&quot;:false,&quot;dropping-particle&quot;:&quot;&quot;,&quot;non-dropping-particle&quot;:&quot;&quot;},{&quot;family&quot;:&quot;Norouzinia&quot;,&quot;given&quot;:&quot;Mohsen&quot;,&quot;parse-names&quot;:false,&quot;dropping-particle&quot;:&quot;&quot;,&quot;non-dropping-particle&quot;:&quot;&quot;},{&quot;family&quot;:&quot;Gholami&quot;,&quot;given&quot;:&quot;Reza&quot;,&quot;parse-names&quot;:false,&quot;dropping-particle&quot;:&quot;&quot;,&quot;non-dropping-particle&quot;:&quot;&quot;}],&quot;container-title&quot;:&quot;Gastroenterology and Hepatology From Bed to Bench&quot;,&quot;container-title-short&quot;:&quot;Gastroenterol Hepatol Bed Bench&quot;,&quot;accessed&quot;:{&quot;date-parts&quot;:[[2024,5,29]]},&quot;DOI&quot;:&quot;10.22037/ghfbb.v0i0.1274&quot;,&quot;ISSN&quot;:&quot;20084234&quot;,&quot;PMID&quot;:&quot;29511464&quot;,&quot;URL&quot;:&quot;/pmc/articles/PMC5838173/&quot;,&quot;issued&quot;:{&quot;date-parts&quot;:[[2017]]},&quot;page&quot;:&quot;S1&quot;,&quot;abstract&quot;:&quot;Aim: The aim of this study was the evaluation of the prevalence of NAFLD in patients with type 2 diabetes mellitus. Background: Non-alcoholic fatty liver disease (NAFLD) is an emerging disease with high prevalence in patients with type 2 diabetes mellitus (T2DM). Many studies have reported the prevalence of NAFLD in type 2 diabetes mellitus patients. However, these results are inconsistent. Methods: A Literature search was conducted in PubMed, Scopus, web of science and Science Direct from 2005 to August 2017. The necessary information was extracted. Heterogeneity was evaluated using I2 statistic. Meta-regression analyses were performed to the estimation of the relationship between the year of study and sample size with the prevalence of NAFLD. Publication bias was assessed by both Begg rank correlation and Egger tests. Subgroup analysis was performed for identification of sources heterogeneity. Results: Seventeen studies involving 10897 type 2 diabetes mellitus patients with NAFLD were included in this meta-analysis. The overall prevalence of NAFLD in type 2 diabetes mellitus patients by random effects models was 54% (95% CI, 45%- 64%). There is a significant heterogeneity across studies with (I2= 99%, p &lt; 0.01). The funnel plot as graphically and Begg and Egger as statistically showed no publication bias among studies. Subgroup analysis indicated that the prevalence of NAFLD in type 2 diabetes mellitus patients differed in predictive factors such as lipid profile, BMI, HbA1c, AST, and ALT. This finding in spite of heterogeneity of documents is corresponding to the positive correlation between NAFLD and type 2 diabetes mellitus. Conclusion: The findings indicated that the overall prevalence of NAFLD among type 2 diabetes mellitus patients is significantly higher. It can be concluded that type 2 diabetes mellitus patients should be managed to prevent NAFLD.&quot;,&quot;publisher&quot;:&quot;Shahid Beheshti University of Medical Sciences&quot;,&quot;issue&quot;:&quot;Suppl1&quot;,&quot;volume&quot;:&quot;10&quot;},&quot;isTemporary&quot;:false}]}]"/>
    <we:property name="MENDELEY_CITATIONS_STYLE" value="{&quot;id&quot;:&quot;https://csl.mendeley.com/styles/580972431/vancouver-superscript-linus&quot;,&quot;title&quot;:&quot;Vancouver (superscript) - LINUS OSSAI-CHIDI&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9DF34-FC85-42F0-84EA-FB7C41972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4172</Words>
  <Characters>23782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Linus Ossai-Chidi</dc:creator>
  <cp:keywords/>
  <dc:description/>
  <cp:lastModifiedBy>Editor-22</cp:lastModifiedBy>
  <cp:revision>11</cp:revision>
  <cp:lastPrinted>2024-10-24T16:51:00Z</cp:lastPrinted>
  <dcterms:created xsi:type="dcterms:W3CDTF">2024-12-18T11:18:00Z</dcterms:created>
  <dcterms:modified xsi:type="dcterms:W3CDTF">2024-12-19T12:11:00Z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http://www.zotero.org/styles/modern-humanities-research-association</vt:lpwstr>
  </property>
  <property fmtid="{D5CDD505-2E9C-101B-9397-08002B2CF9AE}" pid="11" name="Mendeley Recent Style Name 4_1">
    <vt:lpwstr>Modern Humanities Research Association 3rd edition (note with bibliography)</vt:lpwstr>
  </property>
  <property fmtid="{D5CDD505-2E9C-101B-9397-08002B2CF9AE}" pid="12" name="Mendeley Recent Style Id 5_1">
    <vt:lpwstr>http://www.zotero.org/styles/modern-language-association</vt:lpwstr>
  </property>
  <property fmtid="{D5CDD505-2E9C-101B-9397-08002B2CF9AE}" pid="13" name="Mendeley Recent Style Name 5_1">
    <vt:lpwstr>Modern Language Association 9th edition</vt:lpwstr>
  </property>
  <property fmtid="{D5CDD505-2E9C-101B-9397-08002B2CF9AE}" pid="14" name="Mendeley Recent Style Id 6_1">
    <vt:lpwstr>http://www.zotero.org/styles/sage-vancouver-brackets</vt:lpwstr>
  </property>
  <property fmtid="{D5CDD505-2E9C-101B-9397-08002B2CF9AE}" pid="15" name="Mendeley Recent Style Name 6_1">
    <vt:lpwstr>SAGE - Vancouver (brackets)</vt:lpwstr>
  </property>
  <property fmtid="{D5CDD505-2E9C-101B-9397-08002B2CF9AE}" pid="16" name="Mendeley Recent Style Id 7_1">
    <vt:lpwstr>http://www.zotero.org/styles/vancouver</vt:lpwstr>
  </property>
  <property fmtid="{D5CDD505-2E9C-101B-9397-08002B2CF9AE}" pid="17" name="Mendeley Recent Style Name 7_1">
    <vt:lpwstr>Vancouver</vt:lpwstr>
  </property>
  <property fmtid="{D5CDD505-2E9C-101B-9397-08002B2CF9AE}" pid="18" name="Mendeley Recent Style Id 8_1">
    <vt:lpwstr>https://csl.mendeley.com/styles/580972431/vancouver-superscript</vt:lpwstr>
  </property>
  <property fmtid="{D5CDD505-2E9C-101B-9397-08002B2CF9AE}" pid="19" name="Mendeley Recent Style Name 8_1">
    <vt:lpwstr>Vancouver (superscript) - LINUS OSSAI-CHIDI</vt:lpwstr>
  </property>
  <property fmtid="{D5CDD505-2E9C-101B-9397-08002B2CF9AE}" pid="20" name="Mendeley Recent Style Id 9_1">
    <vt:lpwstr>http://csl.mendeley.com/styles/580972431/vancouver-superscript-linus</vt:lpwstr>
  </property>
  <property fmtid="{D5CDD505-2E9C-101B-9397-08002B2CF9AE}" pid="21" name="Mendeley Recent Style Name 9_1">
    <vt:lpwstr>Vancouver (superscript) - LINUS OSSAI-CHIDI</vt:lpwstr>
  </property>
</Properties>
</file>