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77E16" w14:textId="77777777" w:rsidR="00510CD5" w:rsidRPr="00510CD5" w:rsidRDefault="00510CD5" w:rsidP="00510CD5">
      <w:pPr>
        <w:pStyle w:val="Title"/>
        <w:jc w:val="both"/>
        <w:rPr>
          <w:rFonts w:ascii="Arial" w:hAnsi="Arial" w:cs="Arial"/>
          <w:bCs/>
          <w:i/>
          <w:iCs/>
          <w:u w:val="single"/>
        </w:rPr>
      </w:pPr>
      <w:bookmarkStart w:id="0" w:name="_GoBack"/>
      <w:r w:rsidRPr="00510CD5">
        <w:rPr>
          <w:rFonts w:ascii="Arial" w:hAnsi="Arial" w:cs="Arial"/>
          <w:bCs/>
          <w:i/>
          <w:iCs/>
          <w:u w:val="single"/>
        </w:rPr>
        <w:t>Opinion Article</w:t>
      </w:r>
    </w:p>
    <w:p w14:paraId="5D56AD6E" w14:textId="77777777" w:rsidR="00A2172F" w:rsidRDefault="00A2172F" w:rsidP="00441B6F">
      <w:pPr>
        <w:pStyle w:val="Title"/>
        <w:spacing w:after="0"/>
        <w:jc w:val="both"/>
        <w:rPr>
          <w:rFonts w:ascii="Arial" w:hAnsi="Arial" w:cs="Arial"/>
        </w:rPr>
      </w:pPr>
    </w:p>
    <w:p w14:paraId="614843EE" w14:textId="77777777" w:rsidR="00A2172F" w:rsidRPr="00790ADA" w:rsidRDefault="00A2172F" w:rsidP="00441B6F">
      <w:pPr>
        <w:pStyle w:val="Author"/>
        <w:spacing w:line="240" w:lineRule="auto"/>
        <w:jc w:val="both"/>
        <w:rPr>
          <w:rFonts w:ascii="Arial" w:hAnsi="Arial" w:cs="Arial"/>
          <w:sz w:val="36"/>
        </w:rPr>
      </w:pPr>
      <w:r w:rsidRPr="00F72507">
        <w:rPr>
          <w:rFonts w:ascii="Arial" w:hAnsi="Arial" w:cs="Arial"/>
          <w:bCs/>
          <w:iCs/>
          <w:kern w:val="28"/>
          <w:sz w:val="36"/>
        </w:rPr>
        <w:t>Lessons Unlearned: Are We Ready for the Next Pandemic?</w:t>
      </w:r>
    </w:p>
    <w:p w14:paraId="5C643D1E" w14:textId="77777777" w:rsidR="00A2172F" w:rsidRPr="00FB3A86" w:rsidRDefault="00A2172F" w:rsidP="00441B6F">
      <w:pPr>
        <w:pStyle w:val="Affiliation"/>
        <w:spacing w:after="0" w:line="240" w:lineRule="auto"/>
        <w:jc w:val="both"/>
        <w:rPr>
          <w:rFonts w:ascii="Arial" w:hAnsi="Arial" w:cs="Arial"/>
        </w:rPr>
      </w:pPr>
    </w:p>
    <w:p w14:paraId="0C89887C" w14:textId="77777777" w:rsidR="00A2172F" w:rsidRPr="00FB3A86" w:rsidRDefault="00FE144A" w:rsidP="00441B6F">
      <w:pPr>
        <w:pStyle w:val="Copyright"/>
        <w:spacing w:after="0" w:line="240" w:lineRule="auto"/>
        <w:jc w:val="both"/>
        <w:rPr>
          <w:rFonts w:ascii="Arial" w:hAnsi="Arial" w:cs="Arial"/>
        </w:rPr>
        <w:sectPr w:rsidR="00A2172F" w:rsidRPr="00FB3A86" w:rsidSect="003F4FAD">
          <w:footerReference w:type="default" r:id="rId7"/>
          <w:headerReference w:type="first" r:id="rId8"/>
          <w:footerReference w:type="first" r:id="rId9"/>
          <w:pgSz w:w="12240" w:h="15840"/>
          <w:pgMar w:top="1440" w:right="1440" w:bottom="1440" w:left="1440" w:header="720" w:footer="720" w:gutter="0"/>
          <w:cols w:space="720"/>
          <w:docGrid w:linePitch="360"/>
        </w:sectPr>
      </w:pPr>
      <w:r>
        <w:rPr>
          <w:rFonts w:ascii="Arial" w:hAnsi="Arial" w:cs="Arial"/>
        </w:rPr>
      </w:r>
      <w:r>
        <w:rPr>
          <w:rFonts w:ascii="Arial" w:hAnsi="Arial" w:cs="Arial"/>
        </w:rPr>
        <w:pict w14:anchorId="39D9965E">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A2172F">
        <w:rPr>
          <w:rFonts w:ascii="Arial" w:hAnsi="Arial" w:cs="Arial"/>
        </w:rPr>
        <w:t>.</w:t>
      </w:r>
    </w:p>
    <w:p w14:paraId="1345B5B2" w14:textId="77777777" w:rsidR="00A2172F" w:rsidRDefault="00A2172F" w:rsidP="00441B6F">
      <w:pPr>
        <w:pStyle w:val="AbstHead"/>
        <w:spacing w:after="0"/>
        <w:jc w:val="both"/>
        <w:rPr>
          <w:rFonts w:ascii="Arial" w:hAnsi="Arial" w:cs="Arial"/>
        </w:rPr>
      </w:pPr>
      <w:r w:rsidRPr="00FB3A86">
        <w:rPr>
          <w:rFonts w:ascii="Arial" w:hAnsi="Arial" w:cs="Arial"/>
        </w:rPr>
        <w:t>ABSTRACT</w:t>
      </w:r>
    </w:p>
    <w:p w14:paraId="74582D6D" w14:textId="77777777" w:rsidR="00A2172F" w:rsidRPr="00FB3A86" w:rsidRDefault="00A2172F"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A2172F" w:rsidRPr="001E44FE" w14:paraId="135F2260" w14:textId="77777777" w:rsidTr="001E44FE">
        <w:tc>
          <w:tcPr>
            <w:tcW w:w="9576" w:type="dxa"/>
            <w:shd w:val="clear" w:color="auto" w:fill="F2F2F2"/>
          </w:tcPr>
          <w:p w14:paraId="4230E718" w14:textId="77777777" w:rsidR="00E16C6C" w:rsidRDefault="00A2172F" w:rsidP="00E3015E">
            <w:pPr>
              <w:jc w:val="both"/>
              <w:rPr>
                <w:rFonts w:ascii="Arial" w:eastAsia="Calibri" w:hAnsi="Arial" w:cs="Arial"/>
                <w:szCs w:val="22"/>
              </w:rPr>
            </w:pPr>
            <w:r w:rsidRPr="00E3015E">
              <w:rPr>
                <w:rFonts w:ascii="Arial" w:eastAsia="Calibri" w:hAnsi="Arial" w:cs="Arial"/>
                <w:szCs w:val="22"/>
              </w:rPr>
              <w:t xml:space="preserve">The COVID-19 pandemic exposed significant systemic vulnerabilities within global public health, leading to critical questions about our collective preparedness for emergent infectious disease threats. </w:t>
            </w:r>
          </w:p>
          <w:p w14:paraId="283F6CCD" w14:textId="5AD1EAFE" w:rsidR="00E16C6C" w:rsidRDefault="00A2172F" w:rsidP="00E3015E">
            <w:pPr>
              <w:jc w:val="both"/>
              <w:rPr>
                <w:rFonts w:ascii="Arial" w:eastAsia="Calibri" w:hAnsi="Arial" w:cs="Arial"/>
                <w:szCs w:val="22"/>
              </w:rPr>
            </w:pPr>
            <w:r w:rsidRPr="00E3015E">
              <w:rPr>
                <w:rFonts w:ascii="Arial" w:eastAsia="Calibri" w:hAnsi="Arial" w:cs="Arial"/>
                <w:szCs w:val="22"/>
              </w:rPr>
              <w:t xml:space="preserve">This paper undertakes a critical assessment of the international response to COVID-19, drawing a concerning resemblance reflecting the "collective amnesia" observed following the devastating 1918 H1N1 influenza pandemic. We identify pervasive failures in surveillance and response frameworks, highlight the severe and widespread mental health consequences, and reveal how the pandemic amplified pre-existing social inequities. A key observation is the apparent susceptibility of healthcare systems, substantially exacerbated by chronic underinvestment—a direct consequence of a destructive "neglect, panic, repeat" cycle in public health funding worldwide. Furthermore, this analysis emphasizes the often-underestimated influence of human behavior and public trust in shaping pandemic trajectories. </w:t>
            </w:r>
          </w:p>
          <w:p w14:paraId="75D39E8A" w14:textId="71997C38" w:rsidR="00A2172F" w:rsidRPr="00E3015E" w:rsidRDefault="00A2172F" w:rsidP="00E3015E">
            <w:pPr>
              <w:jc w:val="both"/>
              <w:rPr>
                <w:rFonts w:ascii="Arial" w:eastAsia="Calibri" w:hAnsi="Arial" w:cs="Arial"/>
                <w:szCs w:val="22"/>
              </w:rPr>
            </w:pPr>
            <w:r w:rsidRPr="00E3015E">
              <w:rPr>
                <w:rFonts w:ascii="Arial" w:eastAsia="Calibri" w:hAnsi="Arial" w:cs="Arial"/>
                <w:szCs w:val="22"/>
              </w:rPr>
              <w:t>The paper concludes by advocating for sustained and strong investment in foundational public health infrastructure, the systematic integration of behavioral and social sciences into preparedness paradigms, and transparent, coordinated international collaboration. Assimilating the challenging lessons of COVID-19 is crucial, recognizing that the emergence of the next pandemic is not a matter of if, but when.</w:t>
            </w:r>
          </w:p>
          <w:p w14:paraId="5275FC5B" w14:textId="77777777" w:rsidR="00A2172F" w:rsidRPr="00BA1B01" w:rsidRDefault="00A2172F" w:rsidP="00441B6F">
            <w:pPr>
              <w:pStyle w:val="Body"/>
              <w:spacing w:after="0"/>
              <w:rPr>
                <w:rFonts w:ascii="Arial" w:eastAsia="Calibri" w:hAnsi="Arial" w:cs="Arial"/>
                <w:szCs w:val="22"/>
              </w:rPr>
            </w:pPr>
          </w:p>
        </w:tc>
      </w:tr>
    </w:tbl>
    <w:p w14:paraId="43B68541" w14:textId="77777777" w:rsidR="00A2172F" w:rsidRDefault="00A2172F" w:rsidP="00441B6F">
      <w:pPr>
        <w:pStyle w:val="Body"/>
        <w:spacing w:after="0"/>
        <w:rPr>
          <w:rFonts w:ascii="Arial" w:hAnsi="Arial" w:cs="Arial"/>
          <w:i/>
        </w:rPr>
      </w:pPr>
    </w:p>
    <w:p w14:paraId="4C22FA49" w14:textId="77777777" w:rsidR="00A2172F" w:rsidRDefault="00A2172F" w:rsidP="00441B6F">
      <w:pPr>
        <w:pStyle w:val="Body"/>
        <w:spacing w:after="0"/>
        <w:rPr>
          <w:rFonts w:ascii="Arial" w:hAnsi="Arial" w:cs="Arial"/>
          <w:i/>
        </w:rPr>
      </w:pPr>
      <w:r>
        <w:rPr>
          <w:rFonts w:ascii="Arial" w:hAnsi="Arial" w:cs="Arial"/>
          <w:i/>
        </w:rPr>
        <w:t xml:space="preserve">Keywords: </w:t>
      </w:r>
      <w:r w:rsidRPr="00E3015E">
        <w:rPr>
          <w:rFonts w:ascii="Arial" w:hAnsi="Arial" w:cs="Arial"/>
          <w:i/>
        </w:rPr>
        <w:t>Pandemic Preparedness</w:t>
      </w:r>
      <w:r>
        <w:rPr>
          <w:rFonts w:ascii="Arial" w:hAnsi="Arial" w:cs="Arial"/>
          <w:i/>
        </w:rPr>
        <w:t>,</w:t>
      </w:r>
      <w:r w:rsidRPr="00E3015E">
        <w:rPr>
          <w:rFonts w:ascii="Arial" w:hAnsi="Arial" w:cs="Arial"/>
          <w:i/>
        </w:rPr>
        <w:t xml:space="preserve"> COVID-19</w:t>
      </w:r>
      <w:r>
        <w:rPr>
          <w:rFonts w:ascii="Arial" w:hAnsi="Arial" w:cs="Arial"/>
          <w:i/>
        </w:rPr>
        <w:t>,</w:t>
      </w:r>
      <w:r w:rsidRPr="00E3015E">
        <w:rPr>
          <w:rFonts w:ascii="Arial" w:hAnsi="Arial" w:cs="Arial"/>
          <w:i/>
        </w:rPr>
        <w:t xml:space="preserve"> Public Health Funding</w:t>
      </w:r>
    </w:p>
    <w:p w14:paraId="74E89D08" w14:textId="77777777" w:rsidR="00A2172F" w:rsidRDefault="00A2172F" w:rsidP="00091139">
      <w:pPr>
        <w:pStyle w:val="Body"/>
        <w:spacing w:after="0"/>
        <w:rPr>
          <w:rFonts w:ascii="Arial" w:hAnsi="Arial" w:cs="Arial"/>
          <w:i/>
          <w:sz w:val="18"/>
        </w:rPr>
      </w:pPr>
    </w:p>
    <w:p w14:paraId="1ADD25EF" w14:textId="77777777" w:rsidR="00A2172F" w:rsidRPr="00A24E7E" w:rsidRDefault="00A2172F" w:rsidP="00441B6F">
      <w:pPr>
        <w:pStyle w:val="Body"/>
        <w:spacing w:after="0"/>
        <w:rPr>
          <w:rFonts w:ascii="Arial" w:hAnsi="Arial" w:cs="Arial"/>
          <w:i/>
        </w:rPr>
      </w:pPr>
    </w:p>
    <w:p w14:paraId="3104F633" w14:textId="77777777" w:rsidR="00A2172F" w:rsidRDefault="00A2172F" w:rsidP="00441B6F">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2665DB18" w14:textId="77777777" w:rsidR="00A2172F" w:rsidRPr="00FB3A86" w:rsidRDefault="00A2172F" w:rsidP="00441B6F">
      <w:pPr>
        <w:pStyle w:val="AbstHead"/>
        <w:spacing w:after="0"/>
        <w:jc w:val="both"/>
        <w:rPr>
          <w:rFonts w:ascii="Arial" w:hAnsi="Arial" w:cs="Arial"/>
        </w:rPr>
      </w:pPr>
    </w:p>
    <w:p w14:paraId="2C92F605" w14:textId="7C52CD4A" w:rsidR="00A2172F" w:rsidRDefault="00A2172F" w:rsidP="00A2172F">
      <w:pPr>
        <w:pStyle w:val="Body"/>
        <w:spacing w:after="0"/>
        <w:rPr>
          <w:rFonts w:ascii="Arial" w:hAnsi="Arial" w:cs="Arial"/>
        </w:rPr>
      </w:pPr>
      <w:r w:rsidRPr="00091139">
        <w:rPr>
          <w:rFonts w:ascii="Arial" w:eastAsia="Calibri" w:hAnsi="Arial" w:cs="Arial"/>
          <w:szCs w:val="22"/>
        </w:rPr>
        <w:t>As time progresses post-COVID and our collective amnesia sets in, preventing us from being ready for the next pandemic, the question remains: have we learned anything? A similar pattern followed the 1920s pandemic, the worst acute infectious disease outbreak in modern times, which was caused by the H1N1 influenza virus and emerged in the final stages of World War I. David Patterson and Gerald Pyle estimated the death toll was between 24.7 and 39.3 million</w:t>
      </w:r>
      <w:r>
        <w:rPr>
          <w:rFonts w:ascii="Arial" w:eastAsia="Calibri" w:hAnsi="Arial" w:cs="Arial"/>
          <w:szCs w:val="22"/>
        </w:rPr>
        <w:fldChar w:fldCharType="begin"/>
      </w:r>
      <w:r>
        <w:rPr>
          <w:rFonts w:ascii="Arial" w:eastAsia="Calibri" w:hAnsi="Arial" w:cs="Arial"/>
          <w:szCs w:val="22"/>
        </w:rPr>
        <w:instrText xml:space="preserve"> ADDIN ZOTERO_ITEM CSL_CITATION {"citationID":"htDEuUVR","properties":{"formattedCitation":"[1]","plainCitation":"[1]","noteIndex":0},"citationItems":[{"id":3,"uris":["http://zotero.org/users/local/q9iiGY9y/items/PARU4KNR"],"itemData":{"id":3,"type":"article-journal","container-title":"Bull Hist Med","ISSN":"0007-5140 (Print) 0007-5140 (Linking)","issue":"1","page":"4-21","title":"The geography and mortality of the 1918 influenza pandemic","volume":"65","author":[{"family":"Patterson","given":"K. D."},{"family":"Pyle","given":"G. F."}],"issued":{"date-parts":[["1991"]],"season":"Spring"}}}],"schema":"https://github.com/citation-style-language/schema/raw/master/csl-citation.json"} </w:instrText>
      </w:r>
      <w:r>
        <w:rPr>
          <w:rFonts w:ascii="Arial" w:eastAsia="Calibri" w:hAnsi="Arial" w:cs="Arial"/>
          <w:szCs w:val="22"/>
        </w:rPr>
        <w:fldChar w:fldCharType="separate"/>
      </w:r>
      <w:r w:rsidRPr="00A2172F">
        <w:rPr>
          <w:rFonts w:ascii="Arial" w:eastAsia="Calibri" w:hAnsi="Arial" w:cs="Arial"/>
        </w:rPr>
        <w:t>[1]</w:t>
      </w:r>
      <w:r>
        <w:rPr>
          <w:rFonts w:ascii="Arial" w:eastAsia="Calibri" w:hAnsi="Arial" w:cs="Arial"/>
          <w:szCs w:val="22"/>
        </w:rPr>
        <w:fldChar w:fldCharType="end"/>
      </w:r>
      <w:r w:rsidRPr="00091139">
        <w:rPr>
          <w:rFonts w:ascii="Arial" w:eastAsia="Calibri" w:hAnsi="Arial" w:cs="Arial"/>
          <w:szCs w:val="22"/>
        </w:rPr>
        <w:t>, while Ian Mills uncovered a death toll of over 21 million in India alone</w:t>
      </w:r>
      <w:r>
        <w:rPr>
          <w:rFonts w:ascii="Arial" w:eastAsia="Calibri" w:hAnsi="Arial" w:cs="Arial"/>
          <w:szCs w:val="22"/>
        </w:rPr>
        <w:fldChar w:fldCharType="begin"/>
      </w:r>
      <w:r>
        <w:rPr>
          <w:rFonts w:ascii="Arial" w:eastAsia="Calibri" w:hAnsi="Arial" w:cs="Arial"/>
          <w:szCs w:val="22"/>
        </w:rPr>
        <w:instrText xml:space="preserve"> ADDIN ZOTERO_ITEM CSL_CITATION {"citationID":"2xsDBC36","properties":{"formattedCitation":"[2]","plainCitation":"[2]","noteIndex":0},"citationItems":[{"id":7,"uris":["http://zotero.org/users/local/q9iiGY9y/items/54Q2KDKA"],"itemData":{"id":7,"type":"article-journal","container-title":"Indian Econ Soc Hist Rev","DOI":"10.1177/001946468602300102","ISSN":"0019-4646 (Print) 0019-4646 (Linking)","issue":"1","page":"1-40","title":"The 1918-1919 influenza pandemic--the Indian experience","volume":"23","author":[{"family":"Mills","given":"I. D."}],"issued":{"date-parts":[["1986"]]}}}],"schema":"https://github.com/citation-style-language/schema/raw/master/csl-citation.json"} </w:instrText>
      </w:r>
      <w:r>
        <w:rPr>
          <w:rFonts w:ascii="Arial" w:eastAsia="Calibri" w:hAnsi="Arial" w:cs="Arial"/>
          <w:szCs w:val="22"/>
        </w:rPr>
        <w:fldChar w:fldCharType="separate"/>
      </w:r>
      <w:r w:rsidRPr="00A2172F">
        <w:rPr>
          <w:rFonts w:ascii="Arial" w:eastAsia="Calibri" w:hAnsi="Arial" w:cs="Arial"/>
        </w:rPr>
        <w:t>[2]</w:t>
      </w:r>
      <w:r>
        <w:rPr>
          <w:rFonts w:ascii="Arial" w:eastAsia="Calibri" w:hAnsi="Arial" w:cs="Arial"/>
          <w:szCs w:val="22"/>
        </w:rPr>
        <w:fldChar w:fldCharType="end"/>
      </w:r>
      <w:r w:rsidRPr="00091139">
        <w:rPr>
          <w:rFonts w:ascii="Arial" w:eastAsia="Calibri" w:hAnsi="Arial" w:cs="Arial"/>
          <w:szCs w:val="22"/>
        </w:rPr>
        <w:t>. More recent revisions by Johnson and Mueller have increased the probable global influenza mortality to between 50 and 100 million</w:t>
      </w:r>
      <w:r>
        <w:rPr>
          <w:rFonts w:ascii="Arial" w:eastAsia="Calibri" w:hAnsi="Arial" w:cs="Arial"/>
          <w:szCs w:val="22"/>
        </w:rPr>
        <w:fldChar w:fldCharType="begin"/>
      </w:r>
      <w:r>
        <w:rPr>
          <w:rFonts w:ascii="Arial" w:eastAsia="Calibri" w:hAnsi="Arial" w:cs="Arial"/>
          <w:szCs w:val="22"/>
        </w:rPr>
        <w:instrText xml:space="preserve"> ADDIN ZOTERO_ITEM CSL_CITATION {"citationID":"KTqvSPBm","properties":{"formattedCitation":"[3]","plainCitation":"[3]","noteIndex":0},"citationItems":[{"id":11,"uris":["http://zotero.org/users/local/q9iiGY9y/items/SGZHQARE"],"itemData":{"id":11,"type":"article-journal","abstract":"The influenza pandemic of 1918-20 is recognized as having generally taken place in three waves, starting in the northern spring and summer of 1918. This pattern of three waves, however, was not universal: in some locations influenza seems to have persisted into or returned in 1920. The recorded statistics of influenza morbidity and mortality are likely to be a significant understatement. Limitations of these data can include nonregistration, missing records, misdiagnosis, and nonmedical certification, and may also vary greatly between locations. Further research has seen the consistent upward revision of the estimated global mortality of the pandemic, which a 1920s calculation put in the vicinity of 21.5 million. A 1991 paper revised the mortality as being in the range 24.7-39.3 million. This paper suggests that it was of the order of 50 million. However, it must be acknowledged that even this vast figure may be substantially lower than the real toll, perhaps as much as 100 percent understated.","container-title":"Bull Hist Med","DOI":"10.1353/bhm.2002.0022","ISSN":"0007-5140 (Print) 0007-5140 (Linking)","issue":"1","page":"105-15","title":"Updating the accounts: global mortality of the 1918-1920 \"Spanish\" influenza pandemic","volume":"76","author":[{"family":"Johnson","given":"N. P."},{"family":"Mueller","given":"J."}],"issued":{"date-parts":[["2002"]],"season":"Spring"}}}],"schema":"https://github.com/citation-style-language/schema/raw/master/csl-citation.json"} </w:instrText>
      </w:r>
      <w:r>
        <w:rPr>
          <w:rFonts w:ascii="Arial" w:eastAsia="Calibri" w:hAnsi="Arial" w:cs="Arial"/>
          <w:szCs w:val="22"/>
        </w:rPr>
        <w:fldChar w:fldCharType="separate"/>
      </w:r>
      <w:r w:rsidRPr="00A2172F">
        <w:rPr>
          <w:rFonts w:ascii="Arial" w:eastAsia="Calibri" w:hAnsi="Arial" w:cs="Arial"/>
        </w:rPr>
        <w:t>[3]</w:t>
      </w:r>
      <w:r>
        <w:rPr>
          <w:rFonts w:ascii="Arial" w:eastAsia="Calibri" w:hAnsi="Arial" w:cs="Arial"/>
          <w:szCs w:val="22"/>
        </w:rPr>
        <w:fldChar w:fldCharType="end"/>
      </w:r>
      <w:r w:rsidRPr="00091139">
        <w:rPr>
          <w:rFonts w:ascii="Arial" w:eastAsia="Calibri" w:hAnsi="Arial" w:cs="Arial"/>
          <w:szCs w:val="22"/>
        </w:rPr>
        <w:t>. Even conservative estimates put the death toll from influenza at over twice that produced by the First World War. Showing us the scale of how catastrophic a pandemic can be, far than wars and other possible dangers facing humanity. In this paper, we aim to critically assess the global response to the COVID-19 pandemic and identify systemic failures in pandemic preparedness and healthcare infrastructure</w:t>
      </w:r>
      <w:r w:rsidRPr="006B57D0">
        <w:rPr>
          <w:rFonts w:ascii="Arial" w:hAnsi="Arial" w:cs="Arial"/>
        </w:rPr>
        <w:t>.</w:t>
      </w:r>
    </w:p>
    <w:p w14:paraId="1CF4F08A" w14:textId="77777777" w:rsidR="00A2172F" w:rsidRPr="00FB3A86" w:rsidRDefault="00A2172F" w:rsidP="00441B6F">
      <w:pPr>
        <w:pStyle w:val="Body"/>
        <w:spacing w:after="0"/>
        <w:rPr>
          <w:rFonts w:ascii="Arial" w:hAnsi="Arial" w:cs="Arial"/>
        </w:rPr>
      </w:pPr>
    </w:p>
    <w:p w14:paraId="7BBCA5FC" w14:textId="77777777" w:rsidR="00A2172F" w:rsidRDefault="00A2172F" w:rsidP="00091139">
      <w:pPr>
        <w:pStyle w:val="AbstHead"/>
        <w:spacing w:after="0"/>
        <w:jc w:val="both"/>
        <w:rPr>
          <w:rFonts w:ascii="Arial" w:hAnsi="Arial" w:cs="Arial"/>
        </w:rPr>
      </w:pPr>
      <w:r>
        <w:rPr>
          <w:rFonts w:ascii="Arial" w:hAnsi="Arial" w:cs="Arial"/>
        </w:rPr>
        <w:t xml:space="preserve">2. </w:t>
      </w:r>
      <w:r w:rsidRPr="00091139">
        <w:rPr>
          <w:rFonts w:ascii="Arial" w:hAnsi="Arial" w:cs="Arial"/>
        </w:rPr>
        <w:t>Emergence and impact of COVID-19</w:t>
      </w:r>
    </w:p>
    <w:p w14:paraId="0F38BC2C" w14:textId="77777777" w:rsidR="00A2172F" w:rsidRPr="00FB3A86" w:rsidRDefault="00A2172F" w:rsidP="00091139">
      <w:pPr>
        <w:pStyle w:val="AbstHead"/>
        <w:spacing w:after="0"/>
        <w:jc w:val="both"/>
        <w:rPr>
          <w:rFonts w:ascii="Arial" w:hAnsi="Arial" w:cs="Arial"/>
        </w:rPr>
      </w:pPr>
    </w:p>
    <w:p w14:paraId="0E978EC6" w14:textId="4A0E659B" w:rsidR="00A2172F" w:rsidRPr="00091139" w:rsidRDefault="00A2172F" w:rsidP="00791ECE">
      <w:pPr>
        <w:pStyle w:val="Body"/>
        <w:rPr>
          <w:rFonts w:ascii="Arial" w:hAnsi="Arial" w:cs="Arial"/>
        </w:rPr>
      </w:pPr>
      <w:r w:rsidRPr="00091139">
        <w:rPr>
          <w:rFonts w:ascii="Arial" w:hAnsi="Arial" w:cs="Arial"/>
        </w:rPr>
        <w:t xml:space="preserve">By the end of 2019, the World Health Organization (WHO) became aware of the first cases of pneumonia of unknown etiology in Wuhan, China. A massive global threat </w:t>
      </w:r>
      <w:r w:rsidR="00523D32">
        <w:rPr>
          <w:rFonts w:ascii="Arial" w:hAnsi="Arial" w:cs="Arial"/>
        </w:rPr>
        <w:t>has impacted the world, shutting it down, and its effects are still evident</w:t>
      </w:r>
      <w:r w:rsidRPr="00091139">
        <w:rPr>
          <w:rFonts w:ascii="Arial" w:hAnsi="Arial" w:cs="Arial"/>
        </w:rPr>
        <w:t xml:space="preserve"> in today’s economy, society, and politics. At its peak in January 2021, countries were reporting 100,000 deaths due to COVID-19 per week</w:t>
      </w:r>
      <w:r w:rsidR="00791ECE">
        <w:rPr>
          <w:rFonts w:ascii="Arial" w:hAnsi="Arial" w:cs="Arial"/>
        </w:rPr>
        <w:fldChar w:fldCharType="begin"/>
      </w:r>
      <w:r w:rsidR="00791ECE">
        <w:rPr>
          <w:rFonts w:ascii="Arial" w:hAnsi="Arial" w:cs="Arial"/>
        </w:rPr>
        <w:instrText xml:space="preserve"> ADDIN ZOTERO_ITEM CSL_CITATION {"citationID":"v22U7gPY","properties":{"formattedCitation":"[4]","plainCitation":"[4]","noteIndex":0},"citationItems":[{"id":19,"uris":["http://zotero.org/users/local/q9iiGY9y/items/QEWW4BH4"],"itemData":{"id":19,"type":"article-journal","abstract":"Just over 5 years ago, on New Year's Eve 2019, the World Health Organization (WHO) became aware of the first cases of pneumonia of unknown etiology in Wuhan, China. A massive global infectious disease storm was already brewing-one that would shut down the world, with profound economic, social, and political impacts that still reverberate today. It's understandable that governments and individuals may want to forget that the COVID-19 pandemic ever happened, but such collective amnesia prevents humanity from being ready for the next pandemic. The world did the same in the 1920s, eager to move on from the devastation of the 1918 influenza pandemic. A repeat of this behavior squanders opportunities right now to institutionalize and embed best practices for current and future threats.","container-title":"Science","DOI":"10.1126/science.adv8836","ISSN":"1095-9203 (Electronic) 0036-8075 (Linking)","issue":"6731","page":"229","title":"Don't pretend COVID-19 didn't happen","volume":"387","author":[{"family":"Van Kerkhove","given":"M. D."}],"issued":{"date-parts":[["2025",1,17]]}}}],"schema":"https://github.com/citation-style-language/schema/raw/master/csl-citation.json"} </w:instrText>
      </w:r>
      <w:r w:rsidR="00791ECE">
        <w:rPr>
          <w:rFonts w:ascii="Arial" w:hAnsi="Arial" w:cs="Arial"/>
        </w:rPr>
        <w:fldChar w:fldCharType="separate"/>
      </w:r>
      <w:r w:rsidR="00791ECE" w:rsidRPr="00791ECE">
        <w:rPr>
          <w:rFonts w:ascii="Arial" w:hAnsi="Arial" w:cs="Arial"/>
        </w:rPr>
        <w:t>[4]</w:t>
      </w:r>
      <w:r w:rsidR="00791ECE">
        <w:rPr>
          <w:rFonts w:ascii="Arial" w:hAnsi="Arial" w:cs="Arial"/>
        </w:rPr>
        <w:fldChar w:fldCharType="end"/>
      </w:r>
      <w:r w:rsidRPr="00091139">
        <w:rPr>
          <w:rFonts w:ascii="Arial" w:hAnsi="Arial" w:cs="Arial"/>
        </w:rPr>
        <w:t>. Cases surged to 23.5 million per week in January 2022, when the Omicron variant emerged</w:t>
      </w:r>
      <w:r w:rsidR="00791ECE">
        <w:rPr>
          <w:rFonts w:ascii="Arial" w:hAnsi="Arial" w:cs="Arial"/>
        </w:rPr>
        <w:fldChar w:fldCharType="begin"/>
      </w:r>
      <w:r w:rsidR="00791ECE">
        <w:rPr>
          <w:rFonts w:ascii="Arial" w:hAnsi="Arial" w:cs="Arial"/>
        </w:rPr>
        <w:instrText xml:space="preserve"> ADDIN ZOTERO_ITEM CSL_CITATION {"citationID":"7XTNoEzl","properties":{"formattedCitation":"[5]","plainCitation":"[5]","noteIndex":0},"citationItems":[{"id":23,"uris":["http://zotero.org/users/local/q9iiGY9y/items/4HPLID93"],"itemData":{"id":23,"type":"webpage","title":"Who Coronavirus (Covid-19) Dashboard: Deaths","author":[{"family":"World Health Organization","given":""}],"issued":{"date-parts":[["2025"]]}}}],"schema":"https://github.com/citation-style-language/schema/raw/master/csl-citation.json"} </w:instrText>
      </w:r>
      <w:r w:rsidR="00791ECE">
        <w:rPr>
          <w:rFonts w:ascii="Arial" w:hAnsi="Arial" w:cs="Arial"/>
        </w:rPr>
        <w:fldChar w:fldCharType="separate"/>
      </w:r>
      <w:r w:rsidR="00791ECE" w:rsidRPr="00791ECE">
        <w:rPr>
          <w:rFonts w:ascii="Arial" w:hAnsi="Arial" w:cs="Arial"/>
        </w:rPr>
        <w:t>[5]</w:t>
      </w:r>
      <w:r w:rsidR="00791ECE">
        <w:rPr>
          <w:rFonts w:ascii="Arial" w:hAnsi="Arial" w:cs="Arial"/>
        </w:rPr>
        <w:fldChar w:fldCharType="end"/>
      </w:r>
      <w:r w:rsidRPr="00091139">
        <w:rPr>
          <w:rFonts w:ascii="Arial" w:hAnsi="Arial" w:cs="Arial"/>
        </w:rPr>
        <w:t>.</w:t>
      </w:r>
    </w:p>
    <w:p w14:paraId="674CEA8A" w14:textId="6C51C167" w:rsidR="00A2172F" w:rsidRPr="00091139" w:rsidRDefault="00A2172F" w:rsidP="00A2172F">
      <w:pPr>
        <w:pStyle w:val="Body"/>
        <w:rPr>
          <w:rFonts w:ascii="Arial" w:hAnsi="Arial" w:cs="Arial"/>
        </w:rPr>
      </w:pPr>
      <w:r w:rsidRPr="00091139">
        <w:rPr>
          <w:rFonts w:ascii="Arial" w:hAnsi="Arial" w:cs="Arial"/>
        </w:rPr>
        <w:t>Since 2020, at least 7 million deaths have been reported to the WHO, although actual mortality estimates are at least three times higher</w:t>
      </w:r>
      <w:r>
        <w:rPr>
          <w:rFonts w:ascii="Arial" w:hAnsi="Arial" w:cs="Arial"/>
        </w:rPr>
        <w:fldChar w:fldCharType="begin"/>
      </w:r>
      <w:r>
        <w:rPr>
          <w:rFonts w:ascii="Arial" w:hAnsi="Arial" w:cs="Arial"/>
        </w:rPr>
        <w:instrText xml:space="preserve"> ADDIN ZOTERO_ITEM CSL_CITATION {"citationID":"jSH90qyk","properties":{"formattedCitation":"[4]","plainCitation":"[4]","noteIndex":0},"citationItems":[{"id":19,"uris":["http://zotero.org/users/local/q9iiGY9y/items/QEWW4BH4"],"itemData":{"id":19,"type":"article-journal","abstract":"Just over 5 years ago, on New Year's Eve 2019, the World Health Organization (WHO) became aware of the first cases of pneumonia of unknown etiology in Wuhan, China. A massive global infectious disease storm was already brewing-one that would shut down the world, with profound economic, social, and political impacts that still reverberate today. It's understandable that governments and individuals may want to forget that the COVID-19 pandemic ever happened, but such collective amnesia prevents humanity from being ready for the next pandemic. The world did the same in the 1920s, eager to move on from the devastation of the 1918 influenza pandemic. A repeat of this behavior squanders opportunities right now to institutionalize and embed best practices for current and future threats.","container-title":"Science","DOI":"10.1126/science.adv8836","ISSN":"1095-9203 (Electronic) 0036-8075 (Linking)","issue":"6731","page":"229","title":"Don't pretend COVID-19 didn't happen","volume":"387","author":[{"family":"Van Kerkhove","given":"M. D."}],"issued":{"date-parts":[["2025",1,17]]}}}],"schema":"https://github.com/citation-style-language/schema/raw/master/csl-citation.json"} </w:instrText>
      </w:r>
      <w:r>
        <w:rPr>
          <w:rFonts w:ascii="Arial" w:hAnsi="Arial" w:cs="Arial"/>
        </w:rPr>
        <w:fldChar w:fldCharType="separate"/>
      </w:r>
      <w:r w:rsidRPr="00A2172F">
        <w:rPr>
          <w:rFonts w:ascii="Arial" w:hAnsi="Arial" w:cs="Arial"/>
        </w:rPr>
        <w:t>[4]</w:t>
      </w:r>
      <w:r>
        <w:rPr>
          <w:rFonts w:ascii="Arial" w:hAnsi="Arial" w:cs="Arial"/>
        </w:rPr>
        <w:fldChar w:fldCharType="end"/>
      </w:r>
      <w:r w:rsidRPr="00091139">
        <w:rPr>
          <w:rFonts w:ascii="Arial" w:hAnsi="Arial" w:cs="Arial"/>
        </w:rPr>
        <w:t xml:space="preserve">. Now in its sixth year of circulation, severe acute respiratory syndrome coronavirus 2 (SARS-CoV-2)—the virus that causes COVID-19—continues to evolve and infect people, leading to serious disease, post-COVID-19 condition (also called Long COVID), and death. While COVID-19 continues to pose global health risks, the world simultaneously faces an expanding array of infectious disease challenges, including outbreaks of H5N1 avian influenza, ongoing mpox </w:t>
      </w:r>
      <w:r w:rsidRPr="00091139">
        <w:rPr>
          <w:rFonts w:ascii="Arial" w:hAnsi="Arial" w:cs="Arial"/>
        </w:rPr>
        <w:lastRenderedPageBreak/>
        <w:t xml:space="preserve">transmission in Central Africa, and renewed concerns about cholera, dengue fever, and Marburg virus disease. Factors such as climate change and deforestation, which increase contact between humans and animals, are raising the risk of new or reemerging diseases. </w:t>
      </w:r>
    </w:p>
    <w:p w14:paraId="0CCE9B35" w14:textId="3BAFF99A" w:rsidR="00A2172F" w:rsidRPr="00091139" w:rsidRDefault="00A2172F" w:rsidP="00791ECE">
      <w:pPr>
        <w:pStyle w:val="Body"/>
        <w:rPr>
          <w:rFonts w:ascii="Arial" w:hAnsi="Arial" w:cs="Arial"/>
        </w:rPr>
      </w:pPr>
      <w:r w:rsidRPr="00091139">
        <w:rPr>
          <w:rFonts w:ascii="Arial" w:hAnsi="Arial" w:cs="Arial"/>
        </w:rPr>
        <w:t>The COVID-19 pandemic has also had a profound impact on the mental health of the population, primarily reflected in an increase in cases of anxiety and depression</w:t>
      </w:r>
      <w:r w:rsidR="00791ECE">
        <w:rPr>
          <w:rFonts w:ascii="Arial" w:hAnsi="Arial" w:cs="Arial"/>
        </w:rPr>
        <w:fldChar w:fldCharType="begin"/>
      </w:r>
      <w:r w:rsidR="00791ECE">
        <w:rPr>
          <w:rFonts w:ascii="Arial" w:hAnsi="Arial" w:cs="Arial"/>
        </w:rPr>
        <w:instrText xml:space="preserve"> ADDIN ZOTERO_ITEM CSL_CITATION {"citationID":"xg84uG3l","properties":{"formattedCitation":"[6]","plainCitation":"[6]","noteIndex":0},"citationItems":[{"id":57,"uris":["http://zotero.org/users/local/q9iiGY9y/items/MK3U5725"],"itemData":{"id":57,"type":"article-journal","abstract":"The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791ECE" w:rsidRPr="00791ECE">
        <w:rPr>
          <w:rFonts w:ascii="Arial" w:hAnsi="Arial" w:cs="Arial"/>
        </w:rPr>
        <w:t>[6]</w:t>
      </w:r>
      <w:r w:rsidR="00791ECE">
        <w:rPr>
          <w:rFonts w:ascii="Arial" w:hAnsi="Arial" w:cs="Arial"/>
        </w:rPr>
        <w:fldChar w:fldCharType="end"/>
      </w:r>
      <w:r w:rsidRPr="00091139">
        <w:rPr>
          <w:rFonts w:ascii="Arial" w:hAnsi="Arial" w:cs="Arial"/>
        </w:rPr>
        <w:t>. Studies indicate that the initial phase of the pandemic, particularly with associated confinement measures, led to a clinically measurable rise in levels of psychological stress, as well as anxious and depressive symptoms</w:t>
      </w:r>
      <w:r w:rsidR="00791ECE">
        <w:rPr>
          <w:rFonts w:ascii="Arial" w:hAnsi="Arial" w:cs="Arial"/>
        </w:rPr>
        <w:fldChar w:fldCharType="begin"/>
      </w:r>
      <w:r w:rsidR="00791ECE">
        <w:rPr>
          <w:rFonts w:ascii="Arial" w:hAnsi="Arial" w:cs="Arial"/>
        </w:rPr>
        <w:instrText xml:space="preserve"> ADDIN ZOTERO_ITEM CSL_CITATION {"citationID":"ug3ciWV4","properties":{"formattedCitation":"[6]","plainCitation":"[6]","noteIndex":0},"citationItems":[{"id":57,"uris":["http://zotero.org/users/local/q9iiGY9y/items/MK3U5725"],"itemData":{"id":57,"type":"article-journal","abstract":"The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791ECE" w:rsidRPr="00791ECE">
        <w:rPr>
          <w:rFonts w:ascii="Arial" w:hAnsi="Arial" w:cs="Arial"/>
        </w:rPr>
        <w:t>[6]</w:t>
      </w:r>
      <w:r w:rsidR="00791ECE">
        <w:rPr>
          <w:rFonts w:ascii="Arial" w:hAnsi="Arial" w:cs="Arial"/>
        </w:rPr>
        <w:fldChar w:fldCharType="end"/>
      </w:r>
      <w:r w:rsidRPr="00091139">
        <w:rPr>
          <w:rFonts w:ascii="Arial" w:hAnsi="Arial" w:cs="Arial"/>
        </w:rPr>
        <w:t>. However, these levels decreased after six months, though there was considerable heterogeneity in the magnitude of this improvement</w:t>
      </w:r>
      <w:r w:rsidR="00791ECE">
        <w:rPr>
          <w:rFonts w:ascii="Arial" w:hAnsi="Arial" w:cs="Arial"/>
        </w:rPr>
        <w:fldChar w:fldCharType="begin"/>
      </w:r>
      <w:r w:rsidR="00791ECE">
        <w:rPr>
          <w:rFonts w:ascii="Arial" w:hAnsi="Arial" w:cs="Arial"/>
        </w:rPr>
        <w:instrText xml:space="preserve"> ADDIN ZOTERO_ITEM CSL_CITATION {"citationID":"tXK0YKQ9","properties":{"formattedCitation":"[6]","plainCitation":"[6]","noteIndex":0},"citationItems":[{"id":57,"uris":["http://zotero.org/users/local/q9iiGY9y/items/MK3U5725"],"itemData":{"id":57,"type":"article-journal","abstract":"The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791ECE" w:rsidRPr="00791ECE">
        <w:rPr>
          <w:rFonts w:ascii="Arial" w:hAnsi="Arial" w:cs="Arial"/>
        </w:rPr>
        <w:t>[6]</w:t>
      </w:r>
      <w:r w:rsidR="00791ECE">
        <w:rPr>
          <w:rFonts w:ascii="Arial" w:hAnsi="Arial" w:cs="Arial"/>
        </w:rPr>
        <w:fldChar w:fldCharType="end"/>
      </w:r>
      <w:r w:rsidRPr="00091139">
        <w:rPr>
          <w:rFonts w:ascii="Arial" w:hAnsi="Arial" w:cs="Arial"/>
        </w:rPr>
        <w:t>. In the general population, the most prevalent mental disorders observed during this period were anxiety, sleep disorders, and affective disorders, predominantly depression</w:t>
      </w:r>
      <w:r w:rsidR="00791ECE">
        <w:rPr>
          <w:rFonts w:ascii="Arial" w:hAnsi="Arial" w:cs="Arial"/>
        </w:rPr>
        <w:fldChar w:fldCharType="begin"/>
      </w:r>
      <w:r w:rsidR="00791ECE">
        <w:rPr>
          <w:rFonts w:ascii="Arial" w:hAnsi="Arial" w:cs="Arial"/>
        </w:rPr>
        <w:instrText xml:space="preserve"> ADDIN ZOTERO_ITEM CSL_CITATION {"citationID":"fvMVbi2O","properties":{"formattedCitation":"[7]","plainCitation":"[7]","noteIndex":0},"citationItems":[{"id":61,"uris":["http://zotero.org/users/local/q9iiGY9y/items/EZLKV8Q7"],"itemData":{"id":61,"type":"article-journal","abstract":"This study compared social connectedness patterns and examined the relationships between objective or subjective social connectedness and mental health before and during the COVID-19 pandemic among community dwelling adults in South Korea. An identical online survey was administered at two time points, in 2019 prior to the onset and again in 2021. Objective (network diversity and network size) and subjective (thwarted belongingness and perceived burdensomeness) social connectedness were measured along with positive and negative indices of mental health (depression, suicidal behavior, happiness, and life satisfaction). The results indicated that among social connectedness indices perceived burdensomeness were significantly higher during the COVID-19 pandemic compared to the prior period, while network size was smaller. Subjective social connectedness was associated with all aspects of mental health consequences, either positive or negative. Among objective social connectedness, only network diversity was significantly associated with increased happiness and life satisfaction, and objective social connectedness was not associated with depression and suicidal behavior. These associations did not differ across the two time periods. The findings, both before and during the pandemic, indicated that network diversity is an important factor for positive indices of mental health and that efforts to increase subjective social connectedness are needed to decrease the risk of depression and suicidal behavior.","container-title":"PLoS One","DOI":"10.1371/journal.pone.0292219","ISSN":"1932-6203 (Electronic) 1932-6203 (Linking)","issue":"10","note":"PMCID: PMC10586704","page":"e0292219","title":"Social connectedness and mental health before and during the COVID-19 pandemic in a community sample in Korea","volume":"18","author":[{"family":"Lee","given":"S."},{"family":"Moon","given":"H."},{"family":"Ko","given":"J."},{"family":"Cankaya","given":"B."},{"family":"Caine","given":"E."},{"family":"You","given":"S."}],"issued":{"date-parts":[["2023"]]}}}],"schema":"https://github.com/citation-style-language/schema/raw/master/csl-citation.json"} </w:instrText>
      </w:r>
      <w:r w:rsidR="00791ECE">
        <w:rPr>
          <w:rFonts w:ascii="Arial" w:hAnsi="Arial" w:cs="Arial"/>
        </w:rPr>
        <w:fldChar w:fldCharType="separate"/>
      </w:r>
      <w:r w:rsidR="00791ECE" w:rsidRPr="00791ECE">
        <w:rPr>
          <w:rFonts w:ascii="Arial" w:hAnsi="Arial" w:cs="Arial"/>
        </w:rPr>
        <w:t>[7]</w:t>
      </w:r>
      <w:r w:rsidR="00791ECE">
        <w:rPr>
          <w:rFonts w:ascii="Arial" w:hAnsi="Arial" w:cs="Arial"/>
        </w:rPr>
        <w:fldChar w:fldCharType="end"/>
      </w:r>
      <w:r w:rsidRPr="00091139">
        <w:rPr>
          <w:rFonts w:ascii="Arial" w:hAnsi="Arial" w:cs="Arial"/>
        </w:rPr>
        <w:t>. Furthermore, there has been a notable increase in suicidal behavior, particularly among young women and men over 70 years of age. An increase in the abuse of alcohol and the use of nicotine, cannabis, and cocaine has also been observed</w:t>
      </w:r>
      <w:r w:rsidR="00791ECE">
        <w:rPr>
          <w:rFonts w:ascii="Arial" w:hAnsi="Arial" w:cs="Arial"/>
        </w:rPr>
        <w:fldChar w:fldCharType="begin"/>
      </w:r>
      <w:r w:rsidR="00791ECE">
        <w:rPr>
          <w:rFonts w:ascii="Arial" w:hAnsi="Arial" w:cs="Arial"/>
        </w:rPr>
        <w:instrText xml:space="preserve"> ADDIN ZOTERO_ITEM CSL_CITATION {"citationID":"wsw25Uaa","properties":{"formattedCitation":"[6]","plainCitation":"[6]","noteIndex":0},"citationItems":[{"id":57,"uris":["http://zotero.org/users/local/q9iiGY9y/items/MK3U5725"],"itemData":{"id":57,"type":"article-journal","abstract":"The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791ECE">
        <w:rPr>
          <w:rFonts w:ascii="Arial" w:hAnsi="Arial" w:cs="Arial"/>
        </w:rPr>
        <w:fldChar w:fldCharType="separate"/>
      </w:r>
      <w:r w:rsidR="00791ECE" w:rsidRPr="00791ECE">
        <w:rPr>
          <w:rFonts w:ascii="Arial" w:hAnsi="Arial" w:cs="Arial"/>
        </w:rPr>
        <w:t>[6]</w:t>
      </w:r>
      <w:r w:rsidR="00791ECE">
        <w:rPr>
          <w:rFonts w:ascii="Arial" w:hAnsi="Arial" w:cs="Arial"/>
        </w:rPr>
        <w:fldChar w:fldCharType="end"/>
      </w:r>
      <w:r w:rsidRPr="00091139">
        <w:rPr>
          <w:rFonts w:ascii="Arial" w:hAnsi="Arial" w:cs="Arial"/>
        </w:rPr>
        <w:t xml:space="preserve">. </w:t>
      </w:r>
    </w:p>
    <w:p w14:paraId="6D250962" w14:textId="79BE21A0" w:rsidR="00A2172F" w:rsidRDefault="00A2172F" w:rsidP="00625CF6">
      <w:pPr>
        <w:pStyle w:val="Body"/>
        <w:spacing w:after="0"/>
        <w:rPr>
          <w:rFonts w:ascii="Arial" w:hAnsi="Arial" w:cs="Arial"/>
        </w:rPr>
      </w:pPr>
      <w:r w:rsidRPr="00091139">
        <w:rPr>
          <w:rFonts w:ascii="Arial" w:hAnsi="Arial" w:cs="Arial"/>
        </w:rPr>
        <w:t>Certain groups were particularly vulnerable to the mental health consequences of the pandemic, including adolescents and patients with autism spectrum disorders</w:t>
      </w:r>
      <w:r w:rsidR="00625CF6">
        <w:rPr>
          <w:rFonts w:ascii="Arial" w:hAnsi="Arial" w:cs="Arial"/>
        </w:rPr>
        <w:fldChar w:fldCharType="begin"/>
      </w:r>
      <w:r w:rsidR="00625CF6">
        <w:rPr>
          <w:rFonts w:ascii="Arial" w:hAnsi="Arial" w:cs="Arial"/>
        </w:rPr>
        <w:instrText xml:space="preserve"> ADDIN ZOTERO_ITEM CSL_CITATION {"citationID":"gbkctfh6","properties":{"formattedCitation":"[6]","plainCitation":"[6]","noteIndex":0},"citationItems":[{"id":57,"uris":["http://zotero.org/users/local/q9iiGY9y/items/MK3U5725"],"itemData":{"id":57,"type":"article-journal","abstract":"The Health Sciences Foundation has assembled a multidisciplinary group around a series of questions about the impact of the COVID-19 pandemic on the mental health of the general population and specific groups within that population, particularly healthcare workers. In the general population, the most prevalent mental disorders have been anxiety, sleep disorders and affective disorders, primarily depression. There has been a considerable increase in suicidal behavior, especially in young women and men over 70 years of age. There has been an increase in alcohol abuse and nicotine, cannabis and cocaine use. In contrast, the use of synthetic stimulants during periods of confinement has decreased. With regard to non-substance addictions, gambling was very limited, pornography consumption increased significantly and there was an increase in compulsive shopping and the use of video games. Particularly vulnerable groups include adolescents and patients with autism spectrum disorders. Healthcare workers suffered an increase in depression, anxiety and post-traumatic stress, especially those who were exposed during the early stages of the pandemic. Female sex, being a nurse, proximity to patients with COVID-19, working in a rural environment and having previous psychiatric or organic illnesses were some of the most frequently repeated factors in various studies in this population group. The media have shown a good degree of knowledge about these problems and have dealt with them frequently and from the point of view of ethics, crisis situations, such as the one experienced, have triggered not only physical but also moral claudications.","container-title":"Rev Esp Quimioter","DOI":"10.37201/req/018.2023","ISSN":"1988-9518 (Electronic) 0214-3429 (Print) 0214-3429 (Linking)","issue":"2","note":"PMCID: PMC10066913","page":"125-143","title":"Impact of the COVID-19 pandemic on the mental health of the general population and health care workers","volume":"36","author":[{"family":"Bouza","given":"E."},{"family":"Arango","given":"C."},{"family":"Moreno","given":"C."},{"family":"Gracia","given":"D."},{"family":"Martin","given":"M."},{"family":"Perez","given":"V."},{"family":"Lazaro","given":"L."},{"family":"Ferre","given":"F."},{"family":"Salazar","given":"G."},{"family":"Tejerina-Picado","given":"F."},{"family":"Navio","given":"M."},{"family":"Granda Revilla","given":"J."},{"family":"Palomo","given":"E."},{"family":"Gil-Monte","given":"P. R."}],"issued":{"date-parts":[["2023",4]]}}}],"schema":"https://github.com/citation-style-language/schema/raw/master/csl-citation.json"} </w:instrText>
      </w:r>
      <w:r w:rsidR="00625CF6">
        <w:rPr>
          <w:rFonts w:ascii="Arial" w:hAnsi="Arial" w:cs="Arial"/>
        </w:rPr>
        <w:fldChar w:fldCharType="separate"/>
      </w:r>
      <w:r w:rsidR="00625CF6" w:rsidRPr="00625CF6">
        <w:rPr>
          <w:rFonts w:ascii="Arial" w:hAnsi="Arial" w:cs="Arial"/>
        </w:rPr>
        <w:t>[6]</w:t>
      </w:r>
      <w:r w:rsidR="00625CF6">
        <w:rPr>
          <w:rFonts w:ascii="Arial" w:hAnsi="Arial" w:cs="Arial"/>
        </w:rPr>
        <w:fldChar w:fldCharType="end"/>
      </w:r>
      <w:r w:rsidRPr="00091139">
        <w:rPr>
          <w:rFonts w:ascii="Arial" w:hAnsi="Arial" w:cs="Arial"/>
        </w:rPr>
        <w:t>. Healthcare workers, especially those on the front lines during the early stages of the pandemic, experienced an increase in depression, anxiety, and post-traumatic stress. The impact was also more pronounced in individuals with pre-existing mental health problems and those who had contracted COVID-19 infection. Among the population segments experiencing more prolonged effects, individuals with pre-existing mental disorders, disabilities, or those in socioeconomically disadvantaged situations exhibited worse long-term resilience.</w:t>
      </w:r>
    </w:p>
    <w:p w14:paraId="40E5D93B" w14:textId="77777777" w:rsidR="00A2172F" w:rsidRPr="00FB3A86" w:rsidRDefault="00A2172F" w:rsidP="00091139">
      <w:pPr>
        <w:pStyle w:val="Body"/>
        <w:spacing w:after="0"/>
        <w:rPr>
          <w:rFonts w:ascii="Arial" w:hAnsi="Arial" w:cs="Arial"/>
        </w:rPr>
      </w:pPr>
    </w:p>
    <w:p w14:paraId="4CCB842D" w14:textId="77777777" w:rsidR="00A2172F" w:rsidRDefault="00A2172F" w:rsidP="00A70E6F">
      <w:pPr>
        <w:pStyle w:val="Head1"/>
        <w:spacing w:after="0"/>
        <w:jc w:val="both"/>
        <w:rPr>
          <w:rFonts w:ascii="Arial" w:hAnsi="Arial" w:cs="Arial"/>
        </w:rPr>
      </w:pPr>
      <w:r>
        <w:rPr>
          <w:rFonts w:ascii="Arial" w:hAnsi="Arial" w:cs="Arial"/>
        </w:rPr>
        <w:t xml:space="preserve">3. </w:t>
      </w:r>
      <w:r w:rsidRPr="00A70E6F">
        <w:rPr>
          <w:rFonts w:ascii="Arial" w:hAnsi="Arial" w:cs="Arial"/>
        </w:rPr>
        <w:t>Gaps in surveillance and response frameworks</w:t>
      </w:r>
    </w:p>
    <w:p w14:paraId="369A80B9" w14:textId="77777777" w:rsidR="00A2172F" w:rsidRDefault="00A2172F" w:rsidP="00A70E6F">
      <w:pPr>
        <w:pStyle w:val="AbstHead"/>
        <w:spacing w:after="0"/>
        <w:jc w:val="both"/>
        <w:rPr>
          <w:rFonts w:ascii="Arial" w:hAnsi="Arial" w:cs="Arial"/>
        </w:rPr>
      </w:pPr>
    </w:p>
    <w:p w14:paraId="604912E5" w14:textId="3D35D7E0" w:rsidR="00A2172F" w:rsidRPr="00A70E6F" w:rsidRDefault="00A2172F" w:rsidP="00791ECE">
      <w:pPr>
        <w:spacing w:after="160" w:line="278" w:lineRule="auto"/>
        <w:jc w:val="both"/>
        <w:rPr>
          <w:rFonts w:ascii="Arial" w:hAnsi="Arial" w:cs="Arial"/>
        </w:rPr>
      </w:pPr>
      <w:r w:rsidRPr="00A70E6F">
        <w:rPr>
          <w:rFonts w:ascii="Arial" w:hAnsi="Arial" w:cs="Arial"/>
        </w:rPr>
        <w:t>COVID-19 showed us how a lack of accurate, real-time outbreak data and an inconsistent science-based response framework can lead to an improper response to the pandemic in an effective manner. Past epidemics such as SARS prompted the World Health Assembly to revise the International Health Regulations (IHR), aiming to ensure member states adhered to detection and reporting standards</w:t>
      </w:r>
      <w:r w:rsidR="00523D32">
        <w:rPr>
          <w:rFonts w:ascii="Arial" w:hAnsi="Arial" w:cs="Arial"/>
        </w:rPr>
        <w:t>;</w:t>
      </w:r>
      <w:r w:rsidRPr="00A70E6F">
        <w:rPr>
          <w:rFonts w:ascii="Arial" w:hAnsi="Arial" w:cs="Arial"/>
        </w:rPr>
        <w:t xml:space="preserve"> however</w:t>
      </w:r>
      <w:r w:rsidR="00523D32">
        <w:rPr>
          <w:rFonts w:ascii="Arial" w:hAnsi="Arial" w:cs="Arial"/>
        </w:rPr>
        <w:t>,</w:t>
      </w:r>
      <w:r w:rsidRPr="00A70E6F">
        <w:rPr>
          <w:rFonts w:ascii="Arial" w:hAnsi="Arial" w:cs="Arial"/>
        </w:rPr>
        <w:t xml:space="preserve"> fulfilling these IHR requirements has seen inconsistent progress, with numerous countries struggling to achieve basic </w:t>
      </w:r>
      <w:r w:rsidR="00523D32">
        <w:rPr>
          <w:rFonts w:ascii="Arial" w:hAnsi="Arial" w:cs="Arial"/>
        </w:rPr>
        <w:t xml:space="preserve">compliance </w:t>
      </w:r>
      <w:r w:rsidR="00791ECE">
        <w:rPr>
          <w:rFonts w:ascii="Arial" w:hAnsi="Arial" w:cs="Arial"/>
        </w:rPr>
        <w:fldChar w:fldCharType="begin"/>
      </w:r>
      <w:r w:rsidR="00791ECE">
        <w:rPr>
          <w:rFonts w:ascii="Arial" w:hAnsi="Arial" w:cs="Arial"/>
        </w:rPr>
        <w:instrText xml:space="preserve"> ADDIN ZOTERO_ITEM CSL_CITATION {"citationID":"Q0snb6Yp","properties":{"formattedCitation":"[8]","plainCitation":"[8]","noteIndex":0},"citationItems":[{"id":53,"uris":["http://zotero.org/users/local/q9iiGY9y/items/XC9FE7WJ"],"itemData":{"id":53,"type":"chapter","abstract":"Pandemics are large-scale outbreaks of infectious disease that can greatly increase morbidity and mortality over a wide geographic area and cause significant economic, social, and political disruption. Evidence suggests that the likelihood of pandemics has increased over the past century because of increased global travel and integration, urbanization, changes in land use, and greater exploitation of the natural environment (Jones and others 2008; Morse 1995). These trends likely will continue and will intensify. Significant policy attention has focused on the need to identify and limit emerging outbreaks that might lead to pandemics and to expand and sustain investment to build preparedness and health capacity (Smolinsky, Hamburg, and Lederberg 2003). The international community has made progress toward preparing for and mitigating the impacts of pandemics. The 2003 severe acute respiratory syndrome (SARS) pandemic and growing concerns about the threat posed by avian influenza led many countries to devise pandemic plans (U.S. Department of Health and Human Services 2005). Delayed reporting of early SARS cases also led the World Health Assembly to update the International Health Regulations (IHR) to compel all World Health Organization member states to meet specific standards for detecting, reporting on, and responding to outbreaks (WHO 2005). The framework put into place by the updated IHR contributed to a more coordinated global response during the 2009 influenza pandemic (Katz 2009). International donors also have begun to invest in improving preparedness through refined standards and funding for building health capacity (Wolicki and others 2016). Despite these improvements, significant gaps and challenges exist in global pandemic preparedness. Progress toward meeting the IHR has been uneven, and many countries have been unable to meet basic requirements for compliance (Fischer and Katz 2013; WHO 2014). Multiple outbreaks, notably the 2014 West Africa Ebola epidemic, have exposed gaps related to the timely detection of disease, availability of basic care, tracing of contacts, quarantine and isolation procedures, and preparedness outside the health sector, including global coordination and response mobilization (Moon and others 2015; Pathmanathan and others 2014). These gaps are especially evident in resource-limited settings and have posed challenges during relatively localized epidemics, with dire implications for what may happen during a full-fledged global pandemic. For the purposes of this chapter, an epidemic is defined as \"the occurrence in a community or region of cases of an illness . . . clearly in excess of normal expectancy\" (Porta 2014). A pandemic is defined as \"an epidemic occurring over a very wide area, crossing international boundaries, and usually affecting a large number of people\" (Porta 2014). Pandemics are, therefore, identified by their geographic scale rather than the severity of illness. For example, in contrast to annual seasonal influenza epidemics, pandemic influenza is defined as \"when a new influenza virus emerges and spreads around the world, and most people do not have immunity\" (WHO 2010). This chapter does not consider endemic diseases-those that are constantly present in particular localities or regions. Endemic diseases are far more common than pandemics and can have significant negative health and economic impacts, especially in low- and middle-income countries (LMICs) with weak health systems. Additionally, given the lack of historical data and extreme uncertainty regarding bioterrorism, this chapter does not specifically consider bioterrorism-related events, although bioterrorism could hypothetically lead to a pandemic. This chapter covers the following findings concerning the risks, impacts, and mitigation of pandemics as well as knowledge gaps:","container-title":"Disease Control Priorities: Improving Health and Reducing Poverty","edition":"3rd","event-place":"Washington (DC)","ISBN":"978-1-4648-0527-1","language":"eng","publisher-place":"Washington (DC)","title":"Pandemics: Risks, Impacts, and Mitigation","author":[{"family":"Madhav","given":"N."},{"family":"Oppenheim","given":"B."},{"family":"Gallivan","given":"M."},{"family":"Mulembakani","given":"P."},{"family":"Rubin","given":"E."},{"family":"Wolfe","given":"N."}],"editor":[{"family":"Jamison","given":"D. T."},{"family":"Gelband","given":"H."},{"family":"Horton","given":"S."},{"family":"Jha","given":"P."},{"family":"Laxminarayan","given":"R."},{"family":"Mock","given":"C. N."},{"family":"Nugent","given":"R."}],"issued":{"date-parts":[["2017"]]}}}],"schema":"https://github.com/citation-style-language/schema/raw/master/csl-citation.json"} </w:instrText>
      </w:r>
      <w:r w:rsidR="00791ECE">
        <w:rPr>
          <w:rFonts w:ascii="Arial" w:hAnsi="Arial" w:cs="Arial"/>
        </w:rPr>
        <w:fldChar w:fldCharType="separate"/>
      </w:r>
      <w:r w:rsidR="00791ECE" w:rsidRPr="00791ECE">
        <w:rPr>
          <w:rFonts w:ascii="Arial" w:hAnsi="Arial" w:cs="Arial"/>
        </w:rPr>
        <w:t>[8]</w:t>
      </w:r>
      <w:r w:rsidR="00791ECE">
        <w:rPr>
          <w:rFonts w:ascii="Arial" w:hAnsi="Arial" w:cs="Arial"/>
        </w:rPr>
        <w:fldChar w:fldCharType="end"/>
      </w:r>
      <w:r w:rsidRPr="00A70E6F">
        <w:rPr>
          <w:rFonts w:ascii="Arial" w:hAnsi="Arial" w:cs="Arial"/>
        </w:rPr>
        <w:t>. Later outbreaks, particularly the 2014 West Africa Ebola epidemic, additionally revealed significant shortcomings in timely disease detection, access to fundamental care, contact tracing, quarantine and isolation protocols, and preparedness beyond the health sector, encompassing global coordination and response mobilization</w:t>
      </w:r>
      <w:r w:rsidR="00791ECE">
        <w:rPr>
          <w:rFonts w:ascii="Arial" w:hAnsi="Arial" w:cs="Arial"/>
        </w:rPr>
        <w:fldChar w:fldCharType="begin"/>
      </w:r>
      <w:r w:rsidR="00791ECE">
        <w:rPr>
          <w:rFonts w:ascii="Arial" w:hAnsi="Arial" w:cs="Arial"/>
        </w:rPr>
        <w:instrText xml:space="preserve"> ADDIN ZOTERO_ITEM CSL_CITATION {"citationID":"c1XT3NrD","properties":{"formattedCitation":"[9]","plainCitation":"[9]","noteIndex":0},"citationItems":[{"id":50,"uris":["http://zotero.org/users/local/q9iiGY9y/items/MDXZCHR3"],"itemData":{"id":50,"type":"article-journal","container-title":"Lancet","DOI":"10.1016/s0140-6736(15)00946-0","ISSN":"0140-6736 (Print) 0140-6736","issue":"10009","language":"eng","note":"PMCID: PMC7137174","page":"2204-21","title":"Will Ebola change the game? Ten essential reforms before the next pandemic. The report of the Harvard-LSHTM Independent Panel on the Global Response to Ebola","volume":"386","author":[{"family":"Moon","given":"S."},{"family":"Sridhar","given":"D."},{"family":"Pate","given":"M. A."},{"family":"Jha","given":"A. K."},{"family":"Clinton","given":"C."},{"family":"Delaunay","given":"S."},{"family":"Edwin","given":"V."},{"family":"Fallah","given":"M."},{"family":"Fidler","given":"D. P."},{"family":"Garrett","given":"L."},{"family":"Goosby","given":"E."},{"family":"Gostin","given":"L. O."},{"family":"Heymann","given":"D. L."},{"family":"Lee","given":"K."},{"family":"Leung","given":"G. M."},{"family":"Morrison","given":"J. S."},{"family":"Saavedra","given":"J."},{"family":"Tanner","given":"M."},{"family":"Leigh","given":"J. A."},{"family":"Hawkins","given":"B."},{"family":"Woskie","given":"L. R."},{"family":"Piot","given":"P."}],"issued":{"date-parts":[["2015",11,28]]}}}],"schema":"https://github.com/citation-style-language/schema/raw/master/csl-citation.json"} </w:instrText>
      </w:r>
      <w:r w:rsidR="00791ECE">
        <w:rPr>
          <w:rFonts w:ascii="Arial" w:hAnsi="Arial" w:cs="Arial"/>
        </w:rPr>
        <w:fldChar w:fldCharType="separate"/>
      </w:r>
      <w:r w:rsidR="00791ECE" w:rsidRPr="00791ECE">
        <w:rPr>
          <w:rFonts w:ascii="Arial" w:hAnsi="Arial" w:cs="Arial"/>
        </w:rPr>
        <w:t>[9]</w:t>
      </w:r>
      <w:r w:rsidR="00791ECE">
        <w:rPr>
          <w:rFonts w:ascii="Arial" w:hAnsi="Arial" w:cs="Arial"/>
        </w:rPr>
        <w:fldChar w:fldCharType="end"/>
      </w:r>
      <w:r w:rsidRPr="00A70E6F">
        <w:rPr>
          <w:rFonts w:ascii="Arial" w:hAnsi="Arial" w:cs="Arial"/>
        </w:rPr>
        <w:t>. In countries with fragile institutions and political instability, outbreak response measures such as quarantines sparked violence and heightened tensions between citizens and states</w:t>
      </w:r>
      <w:r w:rsidR="00791ECE">
        <w:rPr>
          <w:rFonts w:ascii="Arial" w:hAnsi="Arial" w:cs="Arial"/>
        </w:rPr>
        <w:fldChar w:fldCharType="begin"/>
      </w:r>
      <w:r w:rsidR="00791ECE">
        <w:rPr>
          <w:rFonts w:ascii="Arial" w:hAnsi="Arial" w:cs="Arial"/>
        </w:rPr>
        <w:instrText xml:space="preserve"> ADDIN ZOTERO_ITEM CSL_CITATION {"citationID":"57SW9VMe","properties":{"formattedCitation":"[8]","plainCitation":"[8]","noteIndex":0},"citationItems":[{"id":53,"uris":["http://zotero.org/users/local/q9iiGY9y/items/XC9FE7WJ"],"itemData":{"id":53,"type":"chapter","abstract":"Pandemics are large-scale outbreaks of infectious disease that can greatly increase morbidity and mortality over a wide geographic area and cause significant economic, social, and political disruption. Evidence suggests that the likelihood of pandemics has increased over the past century because of increased global travel and integration, urbanization, changes in land use, and greater exploitation of the natural environment (Jones and others 2008; Morse 1995). These trends likely will continue and will intensify. Significant policy attention has focused on the need to identify and limit emerging outbreaks that might lead to pandemics and to expand and sustain investment to build preparedness and health capacity (Smolinsky, Hamburg, and Lederberg 2003). The international community has made progress toward preparing for and mitigating the impacts of pandemics. The 2003 severe acute respiratory syndrome (SARS) pandemic and growing concerns about the threat posed by avian influenza led many countries to devise pandemic plans (U.S. Department of Health and Human Services 2005). Delayed reporting of early SARS cases also led the World Health Assembly to update the International Health Regulations (IHR) to compel all World Health Organization member states to meet specific standards for detecting, reporting on, and responding to outbreaks (WHO 2005). The framework put into place by the updated IHR contributed to a more coordinated global response during the 2009 influenza pandemic (Katz 2009). International donors also have begun to invest in improving preparedness through refined standards and funding for building health capacity (Wolicki and others 2016). Despite these improvements, significant gaps and challenges exist in global pandemic preparedness. Progress toward meeting the IHR has been uneven, and many countries have been unable to meet basic requirements for compliance (Fischer and Katz 2013; WHO 2014). Multiple outbreaks, notably the 2014 West Africa Ebola epidemic, have exposed gaps related to the timely detection of disease, availability of basic care, tracing of contacts, quarantine and isolation procedures, and preparedness outside the health sector, including global coordination and response mobilization (Moon and others 2015; Pathmanathan and others 2014). These gaps are especially evident in resource-limited settings and have posed challenges during relatively localized epidemics, with dire implications for what may happen during a full-fledged global pandemic. For the purposes of this chapter, an epidemic is defined as \"the occurrence in a community or region of cases of an illness . . . clearly in excess of normal expectancy\" (Porta 2014). A pandemic is defined as \"an epidemic occurring over a very wide area, crossing international boundaries, and usually affecting a large number of people\" (Porta 2014). Pandemics are, therefore, identified by their geographic scale rather than the severity of illness. For example, in contrast to annual seasonal influenza epidemics, pandemic influenza is defined as \"when a new influenza virus emerges and spreads around the world, and most people do not have immunity\" (WHO 2010). This chapter does not consider endemic diseases-those that are constantly present in particular localities or regions. Endemic diseases are far more common than pandemics and can have significant negative health and economic impacts, especially in low- and middle-income countries (LMICs) with weak health systems. Additionally, given the lack of historical data and extreme uncertainty regarding bioterrorism, this chapter does not specifically consider bioterrorism-related events, although bioterrorism could hypothetically lead to a pandemic. This chapter covers the following findings concerning the risks, impacts, and mitigation of pandemics as well as knowledge gaps:","container-title":"Disease Control Priorities: Improving Health and Reducing Poverty","edition":"3rd","event-place":"Washington (DC)","ISBN":"978-1-4648-0527-1","language":"eng","publisher-place":"Washington (DC)","title":"Pandemics: Risks, Impacts, and Mitigation","author":[{"family":"Madhav","given":"N."},{"family":"Oppenheim","given":"B."},{"family":"Gallivan","given":"M."},{"family":"Mulembakani","given":"P."},{"family":"Rubin","given":"E."},{"family":"Wolfe","given":"N."}],"editor":[{"family":"Jamison","given":"D. T."},{"family":"Gelband","given":"H."},{"family":"Horton","given":"S."},{"family":"Jha","given":"P."},{"family":"Laxminarayan","given":"R."},{"family":"Mock","given":"C. N."},{"family":"Nugent","given":"R."}],"issued":{"date-parts":[["2017"]]}}}],"schema":"https://github.com/citation-style-language/schema/raw/master/csl-citation.json"} </w:instrText>
      </w:r>
      <w:r w:rsidR="00791ECE">
        <w:rPr>
          <w:rFonts w:ascii="Arial" w:hAnsi="Arial" w:cs="Arial"/>
        </w:rPr>
        <w:fldChar w:fldCharType="separate"/>
      </w:r>
      <w:r w:rsidR="00791ECE" w:rsidRPr="00791ECE">
        <w:rPr>
          <w:rFonts w:ascii="Arial" w:hAnsi="Arial" w:cs="Arial"/>
        </w:rPr>
        <w:t>[8]</w:t>
      </w:r>
      <w:r w:rsidR="00791ECE">
        <w:rPr>
          <w:rFonts w:ascii="Arial" w:hAnsi="Arial" w:cs="Arial"/>
        </w:rPr>
        <w:fldChar w:fldCharType="end"/>
      </w:r>
      <w:r w:rsidRPr="00A70E6F">
        <w:rPr>
          <w:rFonts w:ascii="Arial" w:hAnsi="Arial" w:cs="Arial"/>
        </w:rPr>
        <w:t>. There is a need for an international pandemic surveillance and response system, which was called by WHO</w:t>
      </w:r>
      <w:r w:rsidR="00791ECE">
        <w:rPr>
          <w:rFonts w:ascii="Arial" w:hAnsi="Arial" w:cs="Arial"/>
        </w:rPr>
        <w:fldChar w:fldCharType="begin"/>
      </w:r>
      <w:r w:rsidR="00791ECE">
        <w:rPr>
          <w:rFonts w:ascii="Arial" w:hAnsi="Arial" w:cs="Arial"/>
        </w:rPr>
        <w:instrText xml:space="preserve"> ADDIN ZOTERO_ITEM CSL_CITATION {"citationID":"lZtq2ng5","properties":{"formattedCitation":"[10]","plainCitation":"[10]","noteIndex":0},"citationItems":[{"id":26,"uris":["http://zotero.org/users/local/q9iiGY9y/items/M6678TPI"],"itemData":{"id":26,"type":"webpage","title":"5. The Independent Panel’s recommendations for transforming the international system for pandemic preparedness and response","author":[{"family":"The Independent Panel for Pandemic Preparedness &amp; Response","given":""}],"issued":{"date-parts":[["2021"]]}}}],"schema":"https://github.com/citation-style-language/schema/raw/master/csl-citation.json"} </w:instrText>
      </w:r>
      <w:r w:rsidR="00791ECE">
        <w:rPr>
          <w:rFonts w:ascii="Arial" w:hAnsi="Arial" w:cs="Arial"/>
        </w:rPr>
        <w:fldChar w:fldCharType="separate"/>
      </w:r>
      <w:r w:rsidR="00791ECE" w:rsidRPr="00791ECE">
        <w:rPr>
          <w:rFonts w:ascii="Arial" w:hAnsi="Arial" w:cs="Arial"/>
        </w:rPr>
        <w:t>[10]</w:t>
      </w:r>
      <w:r w:rsidR="00791ECE">
        <w:rPr>
          <w:rFonts w:ascii="Arial" w:hAnsi="Arial" w:cs="Arial"/>
        </w:rPr>
        <w:fldChar w:fldCharType="end"/>
      </w:r>
      <w:r w:rsidRPr="00A70E6F">
        <w:rPr>
          <w:rFonts w:ascii="Arial" w:hAnsi="Arial" w:cs="Arial"/>
        </w:rPr>
        <w:t xml:space="preserve">, to </w:t>
      </w:r>
      <w:r w:rsidR="00523D32">
        <w:rPr>
          <w:rFonts w:ascii="Arial" w:hAnsi="Arial" w:cs="Arial"/>
        </w:rPr>
        <w:t>achieve</w:t>
      </w:r>
      <w:r w:rsidRPr="00A70E6F">
        <w:rPr>
          <w:rFonts w:ascii="Arial" w:hAnsi="Arial" w:cs="Arial"/>
        </w:rPr>
        <w:t xml:space="preserve"> this. Experts and scientists must develop a global pandemic preparedness and response scheme that is science-based. This global pandemic scheme must be built collaboratively and transparently with international organizations, academia, </w:t>
      </w:r>
      <w:r w:rsidR="00523D32">
        <w:rPr>
          <w:rFonts w:ascii="Arial" w:hAnsi="Arial" w:cs="Arial"/>
        </w:rPr>
        <w:t xml:space="preserve">the </w:t>
      </w:r>
      <w:r w:rsidRPr="00A70E6F">
        <w:rPr>
          <w:rFonts w:ascii="Arial" w:hAnsi="Arial" w:cs="Arial"/>
        </w:rPr>
        <w:t>private sector, civil society, and citizens for it to be a trusted source of information for public health decision-making. Such a framework should prioritize cost-effective interventions, including investments in foundational public health infrastructure like water and sanitation facilities, enhancements in immediate situational understanding, and the control of new health risks</w:t>
      </w:r>
    </w:p>
    <w:p w14:paraId="6E66C54A" w14:textId="77777777" w:rsidR="00A2172F" w:rsidRPr="00FB3A86" w:rsidRDefault="00A2172F" w:rsidP="00A70E6F">
      <w:pPr>
        <w:pStyle w:val="AbstHead"/>
        <w:spacing w:after="0"/>
        <w:jc w:val="both"/>
        <w:rPr>
          <w:rFonts w:ascii="Arial" w:hAnsi="Arial" w:cs="Arial"/>
        </w:rPr>
      </w:pPr>
    </w:p>
    <w:p w14:paraId="77AB8983" w14:textId="77777777" w:rsidR="00A2172F" w:rsidRDefault="00A2172F" w:rsidP="00A70E6F">
      <w:pPr>
        <w:pStyle w:val="Head1"/>
        <w:spacing w:after="0"/>
        <w:jc w:val="both"/>
        <w:rPr>
          <w:rFonts w:ascii="Arial" w:hAnsi="Arial" w:cs="Arial"/>
        </w:rPr>
      </w:pPr>
      <w:r>
        <w:rPr>
          <w:rFonts w:ascii="Arial" w:hAnsi="Arial" w:cs="Arial"/>
        </w:rPr>
        <w:t xml:space="preserve">4. </w:t>
      </w:r>
      <w:r w:rsidRPr="00A70E6F">
        <w:rPr>
          <w:rFonts w:ascii="Arial" w:hAnsi="Arial" w:cs="Arial"/>
        </w:rPr>
        <w:t>Social Consequences and the Exacerbation of Inequalities (ELSI Perspective)</w:t>
      </w:r>
    </w:p>
    <w:p w14:paraId="0AC75A82" w14:textId="77777777" w:rsidR="00A2172F" w:rsidRDefault="00A2172F" w:rsidP="00A70E6F">
      <w:pPr>
        <w:pStyle w:val="Head1"/>
        <w:spacing w:after="0"/>
        <w:jc w:val="both"/>
        <w:rPr>
          <w:rFonts w:ascii="Arial" w:hAnsi="Arial" w:cs="Arial"/>
        </w:rPr>
      </w:pPr>
    </w:p>
    <w:p w14:paraId="1CE7E0B4" w14:textId="008DC86F" w:rsidR="00A2172F" w:rsidRPr="00A70E6F" w:rsidRDefault="00A2172F" w:rsidP="00791ECE">
      <w:pPr>
        <w:spacing w:after="160" w:line="278" w:lineRule="auto"/>
        <w:jc w:val="both"/>
        <w:rPr>
          <w:rFonts w:ascii="Arial" w:hAnsi="Arial" w:cs="Arial"/>
        </w:rPr>
      </w:pPr>
      <w:r w:rsidRPr="00A70E6F">
        <w:rPr>
          <w:rFonts w:ascii="Arial" w:hAnsi="Arial" w:cs="Arial"/>
        </w:rPr>
        <w:t>The COVID-19 pandemic clearly exposed existing health inequities, defined as "unfair or unjust inequalities. These avoidable disparities significantly impacted viral exposure, vulnerability, and consequences, primarily stemming from differences in social determinants like income, gender, and ethnicity</w:t>
      </w:r>
      <w:r w:rsidR="00791ECE">
        <w:rPr>
          <w:rFonts w:ascii="Arial" w:hAnsi="Arial" w:cs="Arial"/>
        </w:rPr>
        <w:fldChar w:fldCharType="begin"/>
      </w:r>
      <w:r w:rsidR="00791ECE">
        <w:rPr>
          <w:rFonts w:ascii="Arial" w:hAnsi="Arial" w:cs="Arial"/>
        </w:rPr>
        <w:instrText xml:space="preserve"> ADDIN ZOTERO_ITEM CSL_CITATION {"citationID":"ecyyeNfc","properties":{"formattedCitation":"[11]","plainCitation":"[11]","noteIndex":0},"citationItems":[{"id":65,"uris":["http://zotero.org/users/local/q9iiGY9y/items/CZ8DGYSU"],"itemData":{"id":65,"type":"article-journal","container-title":"Eur J Public Health","DOI":"10.1093/eurpub/ckaa095","ISSN":"1101-1262 (Print) 1101-1262","issue":"4","language":"eng","note":"PMCID: PMC7454505","page":"617-618","title":"Social determinants of health and inequalities in COVID-19","volume":"30","author":[{"family":"Burström","given":"B."},{"family":"Tao","given":"W."}],"issued":{"date-parts":[["2020",8,1]]}}}],"schema":"https://github.com/citation-style-language/schema/raw/master/csl-citation.json"} </w:instrText>
      </w:r>
      <w:r w:rsidR="00791ECE">
        <w:rPr>
          <w:rFonts w:ascii="Arial" w:hAnsi="Arial" w:cs="Arial"/>
        </w:rPr>
        <w:fldChar w:fldCharType="separate"/>
      </w:r>
      <w:r w:rsidR="00791ECE" w:rsidRPr="00791ECE">
        <w:rPr>
          <w:rFonts w:ascii="Arial" w:hAnsi="Arial" w:cs="Arial"/>
        </w:rPr>
        <w:t>[11]</w:t>
      </w:r>
      <w:r w:rsidR="00791ECE">
        <w:rPr>
          <w:rFonts w:ascii="Arial" w:hAnsi="Arial" w:cs="Arial"/>
        </w:rPr>
        <w:fldChar w:fldCharType="end"/>
      </w:r>
      <w:r w:rsidRPr="00A70E6F">
        <w:rPr>
          <w:rFonts w:ascii="Arial" w:hAnsi="Arial" w:cs="Arial"/>
        </w:rPr>
        <w:t>. Lower-income groups, often in crowded areas, faced higher incidence and mortality risk, while Gender roles led to higher male mortality, while women experienced increased caregiving burdens and unemployment</w:t>
      </w:r>
      <w:r w:rsidR="00791ECE">
        <w:rPr>
          <w:rFonts w:ascii="Arial" w:hAnsi="Arial" w:cs="Arial"/>
        </w:rPr>
        <w:fldChar w:fldCharType="begin"/>
      </w:r>
      <w:r w:rsidR="00791ECE">
        <w:rPr>
          <w:rFonts w:ascii="Arial" w:hAnsi="Arial" w:cs="Arial"/>
        </w:rPr>
        <w:instrText xml:space="preserve"> ADDIN ZOTERO_ITEM CSL_CITATION {"citationID":"0V0MxIj9","properties":{"formattedCitation":"[11]","plainCitation":"[11]","noteIndex":0},"citationItems":[{"id":65,"uris":["http://zotero.org/users/local/q9iiGY9y/items/CZ8DGYSU"],"itemData":{"id":65,"type":"article-journal","container-title":"Eur J Public Health","DOI":"10.1093/eurpub/ckaa095","ISSN":"1101-1262 (Print) 1101-1262","issue":"4","language":"eng","note":"PMCID: PMC7454505","page":"617-618","title":"Social determinants of health and inequalities in COVID-19","volume":"30","author":[{"family":"Burström","given":"B."},{"family":"Tao","given":"W."}],"issued":{"date-parts":[["2020",8,1]]}}}],"schema":"https://github.com/citation-style-language/schema/raw/master/csl-citation.json"} </w:instrText>
      </w:r>
      <w:r w:rsidR="00791ECE">
        <w:rPr>
          <w:rFonts w:ascii="Arial" w:hAnsi="Arial" w:cs="Arial"/>
        </w:rPr>
        <w:fldChar w:fldCharType="separate"/>
      </w:r>
      <w:r w:rsidR="00791ECE" w:rsidRPr="00791ECE">
        <w:rPr>
          <w:rFonts w:ascii="Arial" w:hAnsi="Arial" w:cs="Arial"/>
        </w:rPr>
        <w:t>[11]</w:t>
      </w:r>
      <w:r w:rsidR="00791ECE">
        <w:rPr>
          <w:rFonts w:ascii="Arial" w:hAnsi="Arial" w:cs="Arial"/>
        </w:rPr>
        <w:fldChar w:fldCharType="end"/>
      </w:r>
      <w:r w:rsidRPr="00A70E6F">
        <w:rPr>
          <w:rFonts w:ascii="Arial" w:hAnsi="Arial" w:cs="Arial"/>
        </w:rPr>
        <w:t>. Ethnic minorities were disproportionately affected, and the healthcare system worsened access for marginalized communities. Addressing this requires recognizing health inequities as central and integrating health into all policy decisions, supporting vulnerable populations with measures like food security and unemployment insurance. Effective policies must prioritize high-risk groups and be evaluated on equity criteria.</w:t>
      </w:r>
    </w:p>
    <w:p w14:paraId="06A42B11" w14:textId="77777777" w:rsidR="00A2172F" w:rsidRDefault="00A2172F" w:rsidP="00441B6F">
      <w:pPr>
        <w:pStyle w:val="Body"/>
        <w:spacing w:after="0"/>
        <w:rPr>
          <w:rFonts w:ascii="Arial" w:hAnsi="Arial" w:cs="Arial"/>
        </w:rPr>
      </w:pPr>
      <w:r w:rsidRPr="00FB3A86">
        <w:rPr>
          <w:rFonts w:ascii="Arial" w:hAnsi="Arial" w:cs="Arial"/>
        </w:rPr>
        <w:t xml:space="preserve">  </w:t>
      </w:r>
    </w:p>
    <w:p w14:paraId="6314DE33" w14:textId="77777777" w:rsidR="00A2172F" w:rsidRDefault="00A2172F" w:rsidP="00A70E6F">
      <w:pPr>
        <w:pStyle w:val="Head1"/>
        <w:spacing w:after="0"/>
        <w:jc w:val="both"/>
        <w:rPr>
          <w:rFonts w:ascii="Arial" w:hAnsi="Arial" w:cs="Arial"/>
        </w:rPr>
      </w:pPr>
      <w:r>
        <w:rPr>
          <w:rFonts w:ascii="Arial" w:hAnsi="Arial" w:cs="Arial"/>
        </w:rPr>
        <w:t xml:space="preserve">5. </w:t>
      </w:r>
      <w:r w:rsidRPr="00A70E6F">
        <w:rPr>
          <w:rFonts w:ascii="Arial" w:hAnsi="Arial" w:cs="Arial"/>
        </w:rPr>
        <w:t>Healthcare system vulnerabilities and funding cycles</w:t>
      </w:r>
    </w:p>
    <w:p w14:paraId="329D3F1E" w14:textId="77777777" w:rsidR="00A2172F" w:rsidRDefault="00A2172F" w:rsidP="00A70E6F">
      <w:pPr>
        <w:pStyle w:val="Head1"/>
        <w:spacing w:after="0"/>
        <w:jc w:val="both"/>
        <w:rPr>
          <w:rFonts w:ascii="Arial" w:hAnsi="Arial" w:cs="Arial"/>
        </w:rPr>
      </w:pPr>
    </w:p>
    <w:p w14:paraId="558B2DA6" w14:textId="422A68F8" w:rsidR="00A2172F" w:rsidRPr="00A70E6F" w:rsidRDefault="00A2172F" w:rsidP="00791ECE">
      <w:pPr>
        <w:spacing w:after="160" w:line="278" w:lineRule="auto"/>
        <w:jc w:val="both"/>
        <w:rPr>
          <w:rFonts w:ascii="Arial" w:hAnsi="Arial" w:cs="Arial"/>
        </w:rPr>
      </w:pPr>
      <w:r w:rsidRPr="00A70E6F">
        <w:rPr>
          <w:rFonts w:ascii="Arial" w:hAnsi="Arial" w:cs="Arial"/>
        </w:rPr>
        <w:t>The COVID-19 pandemic has negatively affected almost every economic and social sector in countries all over the world. The most affected sector by the pandemic, by a large margin, was healthcare</w:t>
      </w:r>
      <w:r w:rsidR="00791ECE">
        <w:rPr>
          <w:rFonts w:ascii="Arial" w:hAnsi="Arial" w:cs="Arial"/>
        </w:rPr>
        <w:fldChar w:fldCharType="begin"/>
      </w:r>
      <w:r w:rsidR="00791ECE">
        <w:rPr>
          <w:rFonts w:ascii="Arial" w:hAnsi="Arial" w:cs="Arial"/>
        </w:rPr>
        <w:instrText xml:space="preserve"> ADDIN ZOTERO_ITEM CSL_CITATION {"citationID":"5Q4ui93l","properties":{"formattedCitation":"[12]","plainCitation":"[12]","noteIndex":0},"citationItems":[{"id":29,"uris":["http://zotero.org/users/local/q9iiGY9y/items/UWJ4R7F7"],"itemData":{"id":29,"type":"article-journal","abstract":"The COVID-19 pandemic experience has highlighted the importance of developing general control principles to inform future pandemic preparedness based on the tension between the different control options, ranging from elimination to mitigation, and related costs. Similarly, during the COVID-19 pandemic, social distancing has been confirmed to be the critical response tool until vaccines become available. Open-loop optimal control of a transmission model for COVID-19 in one of its most aggressive outbreaks is used to identify the best social distancing policies aimed at balancing the direct epidemiological costs of a threatening epidemic with its indirect (i.e., societal level) costs arising from enduring control measures. In particular, we analyse how optimal social distancing varies according to three key policy factors, namely, the degree of prioritization of indirect costs, the adherence to control measures, and the timeliness of intervention. As the prioritization of indirect costs increases, (i) the corresponding optimal distancing policy suddenly switches from elimination to suppression and, finally, to mitigation; (ii) the \"effective\" mitigation region-where hospitals' overwhelming is prevented-is dramatically narrow and shows multiple control waves; and (iii) a delicate balance emerges, whereby low adherence and lack of timeliness inevitably force ineffective mitigation as the only accessible policy option. The present results show the importance of open-loop optimal control, which is traditionally absent in public health preparedness, for studying the suppression-mitigation trade-off and supplying robust preparedness guidelines.","container-title":"Sci Rep","DOI":"10.1038/s41598-024-54955-4","ISSN":"2045-2322 (Electronic) 2045-2322 (Linking)","issue":"1","note":"PMCID: PMC10883963","page":"4365","title":"Optimal social distancing in epidemic control: cost prioritization, adherence and insights into preparedness principles","volume":"14","author":[{"family":"Pisaneschi","given":"G."},{"family":"Tarani","given":"M."},{"family":"Di Donato","given":"G."},{"family":"Landi","given":"A."},{"family":"Laurino","given":"M."},{"family":"Manfredi","given":"P."}],"issued":{"date-parts":[["2024",2,22]]}}}],"schema":"https://github.com/citation-style-language/schema/raw/master/csl-citation.json"} </w:instrText>
      </w:r>
      <w:r w:rsidR="00791ECE">
        <w:rPr>
          <w:rFonts w:ascii="Arial" w:hAnsi="Arial" w:cs="Arial"/>
        </w:rPr>
        <w:fldChar w:fldCharType="separate"/>
      </w:r>
      <w:r w:rsidR="00791ECE" w:rsidRPr="00791ECE">
        <w:rPr>
          <w:rFonts w:ascii="Arial" w:hAnsi="Arial" w:cs="Arial"/>
        </w:rPr>
        <w:t>[12]</w:t>
      </w:r>
      <w:r w:rsidR="00791ECE">
        <w:rPr>
          <w:rFonts w:ascii="Arial" w:hAnsi="Arial" w:cs="Arial"/>
        </w:rPr>
        <w:fldChar w:fldCharType="end"/>
      </w:r>
      <w:r w:rsidRPr="00A70E6F">
        <w:rPr>
          <w:rFonts w:ascii="Arial" w:hAnsi="Arial" w:cs="Arial"/>
        </w:rPr>
        <w:t xml:space="preserve">. Hospitals were quickly overwhelmed by COVID-19 patients, severely stretching their resources and capacities, leading to the closure of many services and interruption of care to patients with other conditions. For instance, in the Kurdistan Region of Iraq, surgical practice was </w:t>
      </w:r>
      <w:r w:rsidRPr="00A70E6F">
        <w:rPr>
          <w:rFonts w:ascii="Arial" w:hAnsi="Arial" w:cs="Arial"/>
        </w:rPr>
        <w:lastRenderedPageBreak/>
        <w:t>severely impacted, with approximately 60% of surgeons undertaking only emergency surgeries and a widespread cancellation of scheduled and elective procedures to prioritize preparedness for high volumes of COVID-19 patients</w:t>
      </w:r>
      <w:r w:rsidR="00791ECE">
        <w:rPr>
          <w:rFonts w:ascii="Arial" w:hAnsi="Arial" w:cs="Arial"/>
        </w:rPr>
        <w:fldChar w:fldCharType="begin"/>
      </w:r>
      <w:r w:rsidR="00791ECE">
        <w:rPr>
          <w:rFonts w:ascii="Arial" w:hAnsi="Arial" w:cs="Arial"/>
        </w:rPr>
        <w:instrText xml:space="preserve"> ADDIN ZOTERO_ITEM CSL_CITATION {"citationID":"ndHGdNXo","properties":{"formattedCitation":"[13]","plainCitation":"[13]","noteIndex":0},"citationItems":[{"id":73,"uris":["http://zotero.org/users/local/q9iiGY9y/items/YY9K4QUZ"],"itemData":{"id":73,"type":"article-journal","abstract":"Introduction: The COVID-19 pandemic is a major challenge to healthcare services in the world. It has negatively impacted surgical practice, and health workers. We aimed to assess the impact of the COVID-19 pandemic on surgical practice in the Kurdistan Region, Iraq. Methods: An online cross-sectional study using an online survey was performed between 13 April to 29 April, 2020 in the Kurdistan Region, Iraq. An online cross-sectional study using an online survey was performed between 13 April to 29 April, 2020 in the Kurdistan Region, Iraq. A total of 241 surgeons, aged 28–70 years (mean range 22.2 ± 7.9 SD), were recruited to this study. The questionnaire was designed to evaluate the impact of the COVID-19 pandemic on surgeons' practices. Participants completed a self-developed online questionnaire. Results: The majority of participants (44.39%) were general surgeons, followed by urologists (17.01%). Approximately 82.57% of surgeons performed surgeries during the COVID-19 pandemic and 60.31% undertook emergency surgeries only. There was no significant difference between men and women (P = 0.41) and different age groups (P = 0.08). Only 28.22% of surgeons had access to full personal protective equipment (PPE), and 41.18% believed that wearing PPEs severely affected their skills. Results also found that surgeons aged between 28 and 34 years were more pledged to the use of PPEs, than other age groups (P = 0.001). The use of PPEs during surgeries was significantly higher in the Sulaymaniyah province (P = 0.001). The surgical services were also severely impacted in the Sulaymaniyah province than in the other provinces (p = 0.001). Conclusion: The COVID-19 pandemic severely affected surgical practice in the Kurdistan Region, particularly in the Sulaymaniyah province. Males, and young surgeons showed a higher commitment level for using PPE. Additional training and precautions are needed to increase awareness about COVID-19 among surgeons, and the importance of using PPE during surgery. Highlights: COVID19 pandemic has severely affected surgical in Kurdistan region, Iraq.The surgical services in Sulaymaniyah province were severely impacted by the COVID-19 pandemic.Young surgeons showed a higher commitment level for using PPE during surgery.","container-title":"International Journal of Surgery Open","DOI":"10.1016/j.ijso.2020.10.014","ISSN":"2405-8572","page":"47-51","title":"Impact of Covid-19 pandemic on surgical practice in Kurdistan, Iraq: An online cross-sectional survey","volume":"27","author":[{"family":"Hussein","given":"Nawfal R."},{"family":"Musa","given":"Dildar H."},{"family":"Ibrahim","given":"Nashwan"},{"family":"Naqid","given":"Ibrahim A."},{"family":"Saleem","given":"Zana Sidiq M."},{"family":"Jacksi","given":"Karwan"}],"issued":{"date-parts":[["2020"]]}}}],"schema":"https://github.com/citation-style-language/schema/raw/master/csl-citation.json"} </w:instrText>
      </w:r>
      <w:r w:rsidR="00791ECE">
        <w:rPr>
          <w:rFonts w:ascii="Arial" w:hAnsi="Arial" w:cs="Arial"/>
        </w:rPr>
        <w:fldChar w:fldCharType="separate"/>
      </w:r>
      <w:r w:rsidR="00791ECE" w:rsidRPr="00791ECE">
        <w:rPr>
          <w:rFonts w:ascii="Arial" w:hAnsi="Arial" w:cs="Arial"/>
        </w:rPr>
        <w:t>[13]</w:t>
      </w:r>
      <w:r w:rsidR="00791ECE">
        <w:rPr>
          <w:rFonts w:ascii="Arial" w:hAnsi="Arial" w:cs="Arial"/>
        </w:rPr>
        <w:fldChar w:fldCharType="end"/>
      </w:r>
      <w:r w:rsidRPr="00A70E6F">
        <w:rPr>
          <w:rFonts w:ascii="Arial" w:hAnsi="Arial" w:cs="Arial"/>
        </w:rPr>
        <w:t>. This reallocation of resources and operational shift also led to a significant reduction in medical residents' training activities, with surgical specialties reporting a nearly 83% decrease in surgical exposure and operations</w:t>
      </w:r>
      <w:r w:rsidR="00791ECE">
        <w:rPr>
          <w:rFonts w:ascii="Arial" w:hAnsi="Arial" w:cs="Arial"/>
        </w:rPr>
        <w:fldChar w:fldCharType="begin"/>
      </w:r>
      <w:r w:rsidR="00791ECE">
        <w:rPr>
          <w:rFonts w:ascii="Arial" w:hAnsi="Arial" w:cs="Arial"/>
        </w:rPr>
        <w:instrText xml:space="preserve"> ADDIN ZOTERO_ITEM CSL_CITATION {"citationID":"Wf6JJ6MV","properties":{"formattedCitation":"[13]","plainCitation":"[13]","noteIndex":0},"citationItems":[{"id":73,"uris":["http://zotero.org/users/local/q9iiGY9y/items/YY9K4QUZ"],"itemData":{"id":73,"type":"article-journal","abstract":"Introduction: The COVID-19 pandemic is a major challenge to healthcare services in the world. It has negatively impacted surgical practice, and health workers. We aimed to assess the impact of the COVID-19 pandemic on surgical practice in the Kurdistan Region, Iraq. Methods: An online cross-sectional study using an online survey was performed between 13 April to 29 April, 2020 in the Kurdistan Region, Iraq. An online cross-sectional study using an online survey was performed between 13 April to 29 April, 2020 in the Kurdistan Region, Iraq. A total of 241 surgeons, aged 28–70 years (mean range 22.2 ± 7.9 SD), were recruited to this study. The questionnaire was designed to evaluate the impact of the COVID-19 pandemic on surgeons' practices. Participants completed a self-developed online questionnaire. Results: The majority of participants (44.39%) were general surgeons, followed by urologists (17.01%). Approximately 82.57% of surgeons performed surgeries during the COVID-19 pandemic and 60.31% undertook emergency surgeries only. There was no significant difference between men and women (P = 0.41) and different age groups (P = 0.08). Only 28.22% of surgeons had access to full personal protective equipment (PPE), and 41.18% believed that wearing PPEs severely affected their skills. Results also found that surgeons aged between 28 and 34 years were more pledged to the use of PPEs, than other age groups (P = 0.001). The use of PPEs during surgeries was significantly higher in the Sulaymaniyah province (P = 0.001). The surgical services were also severely impacted in the Sulaymaniyah province than in the other provinces (p = 0.001). Conclusion: The COVID-19 pandemic severely affected surgical practice in the Kurdistan Region, particularly in the Sulaymaniyah province. Males, and young surgeons showed a higher commitment level for using PPE. Additional training and precautions are needed to increase awareness about COVID-19 among surgeons, and the importance of using PPE during surgery. Highlights: COVID19 pandemic has severely affected surgical in Kurdistan region, Iraq.The surgical services in Sulaymaniyah province were severely impacted by the COVID-19 pandemic.Young surgeons showed a higher commitment level for using PPE during surgery.","container-title":"International Journal of Surgery Open","DOI":"10.1016/j.ijso.2020.10.014","ISSN":"2405-8572","page":"47-51","title":"Impact of Covid-19 pandemic on surgical practice in Kurdistan, Iraq: An online cross-sectional survey","volume":"27","author":[{"family":"Hussein","given":"Nawfal R."},{"family":"Musa","given":"Dildar H."},{"family":"Ibrahim","given":"Nashwan"},{"family":"Naqid","given":"Ibrahim A."},{"family":"Saleem","given":"Zana Sidiq M."},{"family":"Jacksi","given":"Karwan"}],"issued":{"date-parts":[["2020"]]}}}],"schema":"https://github.com/citation-style-language/schema/raw/master/csl-citation.json"} </w:instrText>
      </w:r>
      <w:r w:rsidR="00791ECE">
        <w:rPr>
          <w:rFonts w:ascii="Arial" w:hAnsi="Arial" w:cs="Arial"/>
        </w:rPr>
        <w:fldChar w:fldCharType="separate"/>
      </w:r>
      <w:r w:rsidR="00791ECE" w:rsidRPr="00791ECE">
        <w:rPr>
          <w:rFonts w:ascii="Arial" w:hAnsi="Arial" w:cs="Arial"/>
        </w:rPr>
        <w:t>[13]</w:t>
      </w:r>
      <w:r w:rsidR="00791ECE">
        <w:rPr>
          <w:rFonts w:ascii="Arial" w:hAnsi="Arial" w:cs="Arial"/>
        </w:rPr>
        <w:fldChar w:fldCharType="end"/>
      </w:r>
      <w:r w:rsidRPr="00A70E6F">
        <w:rPr>
          <w:rFonts w:ascii="Arial" w:hAnsi="Arial" w:cs="Arial"/>
        </w:rPr>
        <w:t>.</w:t>
      </w:r>
    </w:p>
    <w:p w14:paraId="57632BA5" w14:textId="7F07B2E3" w:rsidR="00A2172F" w:rsidRPr="00A70E6F" w:rsidRDefault="00A2172F" w:rsidP="00791ECE">
      <w:pPr>
        <w:spacing w:after="160" w:line="278" w:lineRule="auto"/>
        <w:jc w:val="both"/>
        <w:rPr>
          <w:rFonts w:ascii="Arial" w:hAnsi="Arial" w:cs="Arial"/>
        </w:rPr>
      </w:pPr>
      <w:r w:rsidRPr="00A70E6F">
        <w:rPr>
          <w:rFonts w:ascii="Arial" w:hAnsi="Arial" w:cs="Arial"/>
        </w:rPr>
        <w:t>COVID-19 showed that not just low-income countries but all countries were not adequately prepared to deal with a pandemic of this magnitude, as illustrated by problems such as mask shortages, inadequate availability of ICU units and hospital beds, and limited stocks of critical drugs and pharmaceutical products</w:t>
      </w:r>
      <w:r w:rsidR="00791ECE">
        <w:rPr>
          <w:rFonts w:ascii="Arial" w:hAnsi="Arial" w:cs="Arial"/>
        </w:rPr>
        <w:fldChar w:fldCharType="begin"/>
      </w:r>
      <w:r w:rsidR="00791ECE">
        <w:rPr>
          <w:rFonts w:ascii="Arial" w:hAnsi="Arial" w:cs="Arial"/>
        </w:rPr>
        <w:instrText xml:space="preserve"> ADDIN ZOTERO_ITEM CSL_CITATION {"citationID":"XYE0WEqd","properties":{"formattedCitation":"[14]","plainCitation":"[14]","noteIndex":0},"citationItems":[{"id":33,"uris":["http://zotero.org/users/local/q9iiGY9y/items/QCT9B9AP"],"itemData":{"id":33,"type":"article-journal","abstract":"The COVID-19 pandemic was met with rapid, unprecedented global collaboration and action. Even still, the public health, societal, and economic impact may be felt for years to come. The risk of another pandemic occurring in the next few decades is ever-present and potentially increasing due to trends such as urbanization and climate change. While it is difficult to predict the next pandemic pathogen threat, making reasonable assumptions today and evaluating prior efforts to plan for and respond to disease outbreaks and pandemics may enable a more proactive, effective response in the future. Lessons from the COVID-19 response and pandemic influenza preparedness underscore the importance of strengthening surveillance systems, investing in early-stage research on pandemic pathogens and development of platform technologies, and diversifying response plans across a range of tactics to enable earlier access to safe and effective interventions in the next pandemic. Further, sustaining the robust vaccine manufacturing capacity built because of COVID-19 will keep it ready for rapid response in the future. These actions will not be successful without improved global coordination and collaboration. Everyone, including the biopharmaceutical industry, has a role to play in pandemic preparedness, and working together will ensure that the most lives are saved in the next pandemic.","container-title":"NPJ Vaccines","DOI":"10.1038/s41541-023-00773-0","ISSN":"2059-0105 (Electronic) 2059-0105 (Linking)","issue":"1","note":"PMCID: PMC10662147","page":"178","title":"Outlook of pandemic preparedness in a post-COVID-19 world","volume":"8","author":[{"family":"Williams","given":"B. A."},{"family":"Jones","given":"C. H."},{"family":"Welch","given":"V."},{"family":"True","given":"J. M."}],"issued":{"date-parts":[["2023",11,20]]}}}],"schema":"https://github.com/citation-style-language/schema/raw/master/csl-citation.json"} </w:instrText>
      </w:r>
      <w:r w:rsidR="00791ECE">
        <w:rPr>
          <w:rFonts w:ascii="Arial" w:hAnsi="Arial" w:cs="Arial"/>
        </w:rPr>
        <w:fldChar w:fldCharType="separate"/>
      </w:r>
      <w:r w:rsidR="00791ECE" w:rsidRPr="00791ECE">
        <w:rPr>
          <w:rFonts w:ascii="Arial" w:hAnsi="Arial" w:cs="Arial"/>
        </w:rPr>
        <w:t>[14]</w:t>
      </w:r>
      <w:r w:rsidR="00791ECE">
        <w:rPr>
          <w:rFonts w:ascii="Arial" w:hAnsi="Arial" w:cs="Arial"/>
        </w:rPr>
        <w:fldChar w:fldCharType="end"/>
      </w:r>
      <w:r w:rsidRPr="00A70E6F">
        <w:rPr>
          <w:rFonts w:ascii="Arial" w:hAnsi="Arial" w:cs="Arial"/>
        </w:rPr>
        <w:t>.</w:t>
      </w:r>
    </w:p>
    <w:p w14:paraId="128E39D4" w14:textId="77777777" w:rsidR="00A2172F" w:rsidRPr="00A70E6F" w:rsidRDefault="00A2172F" w:rsidP="00A70E6F">
      <w:pPr>
        <w:spacing w:after="160" w:line="278" w:lineRule="auto"/>
        <w:jc w:val="both"/>
        <w:rPr>
          <w:rFonts w:ascii="Arial" w:hAnsi="Arial" w:cs="Arial"/>
        </w:rPr>
      </w:pPr>
      <w:r w:rsidRPr="00A70E6F">
        <w:rPr>
          <w:rFonts w:ascii="Arial" w:hAnsi="Arial" w:cs="Arial"/>
        </w:rPr>
        <w:t>The global response to COVID-19 exposed our fragility and weaknesses in healthcare systems worldwide. Therefore, there is a critical need to revisit the concept of “pandemic preparedness” as COVID-19 has exposed the vulnerabilities of health systems in both developed and developing nations.</w:t>
      </w:r>
    </w:p>
    <w:p w14:paraId="0814205D" w14:textId="77777777" w:rsidR="007D70C4" w:rsidRDefault="00A2172F" w:rsidP="001A7699">
      <w:pPr>
        <w:spacing w:after="160" w:line="278" w:lineRule="auto"/>
        <w:jc w:val="both"/>
        <w:rPr>
          <w:rFonts w:ascii="Arial" w:hAnsi="Arial" w:cs="Arial"/>
        </w:rPr>
      </w:pPr>
      <w:r w:rsidRPr="00A70E6F">
        <w:rPr>
          <w:rFonts w:ascii="Arial" w:hAnsi="Arial" w:cs="Arial"/>
        </w:rPr>
        <w:t xml:space="preserve">Pandemic preparedness refers to planning activities taken in </w:t>
      </w:r>
    </w:p>
    <w:p w14:paraId="754D282B" w14:textId="5C234A19" w:rsidR="00A2172F" w:rsidRPr="00A70E6F" w:rsidRDefault="00A2172F" w:rsidP="007D70C4">
      <w:pPr>
        <w:spacing w:after="160" w:line="278" w:lineRule="auto"/>
        <w:jc w:val="both"/>
        <w:rPr>
          <w:rFonts w:ascii="Arial" w:hAnsi="Arial" w:cs="Arial"/>
        </w:rPr>
      </w:pPr>
      <w:r w:rsidRPr="00A70E6F">
        <w:rPr>
          <w:rFonts w:ascii="Arial" w:hAnsi="Arial" w:cs="Arial"/>
        </w:rPr>
        <w:t>a country to reduce the transmission of the pandemic strain, decrease the number of cases, hospitalizations, and deaths, maintain essential services, and reduce the economic and social impact of the pandemic. Traditionally, pandemic preparedness has been mainly evaluated through checklists, document analysis, and expert views</w:t>
      </w:r>
      <w:r w:rsidR="007D70C4">
        <w:rPr>
          <w:rFonts w:ascii="Arial" w:hAnsi="Arial" w:cs="Arial"/>
        </w:rPr>
        <w:t xml:space="preserve"> </w:t>
      </w:r>
      <w:r w:rsidR="007D70C4">
        <w:rPr>
          <w:rFonts w:ascii="Arial" w:hAnsi="Arial" w:cs="Arial"/>
        </w:rPr>
        <w:fldChar w:fldCharType="begin"/>
      </w:r>
      <w:r w:rsidR="007D70C4">
        <w:rPr>
          <w:rFonts w:ascii="Arial" w:hAnsi="Arial" w:cs="Arial"/>
        </w:rPr>
        <w:instrText xml:space="preserve"> ADDIN ZOTERO_ITEM CSL_CITATION {"citationID":"PYDXkucc","properties":{"formattedCitation":"[15]","plainCitation":"[15]","noteIndex":0},"citationItems":[{"id":37,"uris":["http://zotero.org/users/local/q9iiGY9y/items/CZZZ9JEC"],"itemData":{"id":37,"type":"webpage","title":"Pandemic influenza preparedness and response: A WHO guidance document","author":[{"family":"World Health Organization","given":""}],"issued":{"date-parts":[["2009"]]}}}],"schema":"https://github.com/citation-style-language/schema/raw/master/csl-citation.json"} </w:instrText>
      </w:r>
      <w:r w:rsidR="007D70C4">
        <w:rPr>
          <w:rFonts w:ascii="Arial" w:hAnsi="Arial" w:cs="Arial"/>
        </w:rPr>
        <w:fldChar w:fldCharType="separate"/>
      </w:r>
      <w:r w:rsidR="007D70C4" w:rsidRPr="007D70C4">
        <w:rPr>
          <w:rFonts w:ascii="Arial" w:hAnsi="Arial" w:cs="Arial"/>
        </w:rPr>
        <w:t>[15]</w:t>
      </w:r>
      <w:r w:rsidR="007D70C4">
        <w:rPr>
          <w:rFonts w:ascii="Arial" w:hAnsi="Arial" w:cs="Arial"/>
        </w:rPr>
        <w:fldChar w:fldCharType="end"/>
      </w:r>
      <w:r w:rsidR="001A7699">
        <w:rPr>
          <w:rFonts w:ascii="Arial" w:hAnsi="Arial" w:cs="Arial"/>
        </w:rPr>
        <w:t xml:space="preserve"> </w:t>
      </w:r>
      <w:r w:rsidRPr="00A70E6F">
        <w:rPr>
          <w:rFonts w:ascii="Arial" w:hAnsi="Arial" w:cs="Arial"/>
        </w:rPr>
        <w:t xml:space="preserve">. It involves analysis of countries health system strengths and weaknesses to determine its degree of preparedness for the next pandemic, assessing the readiness of the healthcare sector and other public health entities to deal with pandemics. </w:t>
      </w:r>
    </w:p>
    <w:p w14:paraId="2C0AF5A1" w14:textId="030466D7" w:rsidR="00A2172F" w:rsidRPr="00A70E6F" w:rsidRDefault="00A2172F" w:rsidP="007D70C4">
      <w:pPr>
        <w:spacing w:after="160" w:line="278" w:lineRule="auto"/>
        <w:jc w:val="both"/>
        <w:rPr>
          <w:rFonts w:ascii="Arial" w:hAnsi="Arial" w:cs="Arial"/>
        </w:rPr>
      </w:pPr>
      <w:r w:rsidRPr="00A70E6F">
        <w:rPr>
          <w:rFonts w:ascii="Arial" w:hAnsi="Arial" w:cs="Arial"/>
        </w:rPr>
        <w:t>Unfortunately, preparing for the next pandemic is increasingly challenging, notably due to a significant decline in public trust in medical professionals and institutions, a trend exacerbated by the politicization of public health during the COVID-19 pandemic. This has led to systemic cuts to public health funding during peacetime, creating a more vulnerable and dangerous environment</w:t>
      </w:r>
      <w:r w:rsidR="001A7699">
        <w:rPr>
          <w:rFonts w:ascii="Arial" w:hAnsi="Arial" w:cs="Arial"/>
        </w:rPr>
        <w:fldChar w:fldCharType="begin"/>
      </w:r>
      <w:r w:rsidR="007D70C4">
        <w:rPr>
          <w:rFonts w:ascii="Arial" w:hAnsi="Arial" w:cs="Arial"/>
        </w:rPr>
        <w:instrText xml:space="preserve"> ADDIN ZOTERO_ITEM CSL_CITATION {"citationID":"wZxSbhaU","properties":{"formattedCitation":"[16]","plainCitation":"[16]","noteIndex":0},"citationItems":[{"id":71,"uris":["http://zotero.org/users/local/q9iiGY9y/items/CIG4TILP"],"itemData":{"id":71,"type":"article-journal","abstract":"Trust in physicians and hospitals has been associated with achieving public health goals, but the increasing politicization of public health policies during the COVID-19 pandemic may have adversely affected such trust.To characterize changes in US adults’ trust in physicians and hospitals over the course of the COVID-19 pandemic and the association between this trust and health-related behaviors.This survey study uses data from 24 waves of a nonprobability internet survey conducted between April 1, 2020, and January 31, 2024, among 443 455 unique respondents aged 18 years or older residing in the US, with state-level representative quotas for race and ethnicity, age, and gender.Self-report of trust in physicians and hospitals; self-report of SARS-CoV-2 and influenza vaccination and booster status. Survey-weighted regression models were applied to examine associations between sociodemographic features and trust and between trust and health behaviors.The combined data included 582 634 responses across 24 survey waves, reflecting 443 455 unique respondents. The unweighted mean (SD) age was 43.3 (16.6) years; 288 186 respondents (65.0%) reported female gender; 21 957 (5.0%) identified as Asian American, 49 428 (11.1%) as Black, 38 423 (8.7%) as Hispanic, 3138 (0.7%) as Native American, 5598 (1.3%) as Pacific Islander, 315 278 (71.1%) as White, and 9633 (2.2%) as other race and ethnicity (those who selected “Other” from a checklist). Overall, the proportion of adults reporting a lot of trust for physicians and hospitals decreased from 71.5% (95% CI, 70.7%-72.2%) in April 2020 to 40.1% (95% CI, 39.4%-40.7%) in January 2024. In regression models, features associated with lower trust as of spring and summer 2023 included being 25 to 64 years of age, female gender, lower educational level, lower income, Black race, and living in a rural setting. These associations persisted even after controlling for partisanship. In turn, greater trust was associated with greater likelihood of vaccination for SARS-CoV-2 (adjusted odds ratio [OR], 4.94; 95 CI, 4.21-5.80) or influenza (adjusted OR, 5.09; 95 CI, 3.93-6.59) and receiving a SARS-CoV-2 booster (adjusted OR, 3.62; 95 CI, 2.99-4.38).This survey study of US adults suggests that trust in physicians and hospitals decreased during the COVID-19 pandemic. As lower levels of trust were associated with lesser likelihood of pursuing vaccination, restoring trust may represent a public health imperative.","container-title":"JAMA Network Open","DOI":"10.1001/jamanetworkopen.2024.24984","ISSN":"2574-3805","issue":"7","page":"e2424984-e2424984","title":"Trust in Physicians and Hospitals During the COVID-19 Pandemic in a 50-State Survey of US Adults","volume":"7","author":[{"family":"Perlis","given":"Roy H."},{"family":"Ognyanova","given":"Katherine"},{"family":"Uslu","given":"Ata"},{"family":"Lunz Trujillo","given":"Kristin"},{"family":"Santillana","given":"Mauricio"},{"family":"Druckman","given":"James N."},{"family":"Baum","given":"Matthew A."},{"family":"Lazer","given":"David"}],"issued":{"date-parts":[["2024"]]}}}],"schema":"https://github.com/citation-style-language/schema/raw/master/csl-citation.json"} </w:instrText>
      </w:r>
      <w:r w:rsidR="001A7699">
        <w:rPr>
          <w:rFonts w:ascii="Arial" w:hAnsi="Arial" w:cs="Arial"/>
        </w:rPr>
        <w:fldChar w:fldCharType="separate"/>
      </w:r>
      <w:r w:rsidR="007D70C4" w:rsidRPr="007D70C4">
        <w:rPr>
          <w:rFonts w:ascii="Arial" w:hAnsi="Arial" w:cs="Arial"/>
        </w:rPr>
        <w:t>[16]</w:t>
      </w:r>
      <w:r w:rsidR="001A7699">
        <w:rPr>
          <w:rFonts w:ascii="Arial" w:hAnsi="Arial" w:cs="Arial"/>
        </w:rPr>
        <w:fldChar w:fldCharType="end"/>
      </w:r>
      <w:r w:rsidRPr="00A70E6F">
        <w:rPr>
          <w:rFonts w:ascii="Arial" w:hAnsi="Arial" w:cs="Arial"/>
        </w:rPr>
        <w:t>. This represents what experts call the "neglect, panic, repeat" cycle—chronic underfunding followed by reactive emergency spending during crises. In the USA, the CDC’s budget decreased by 27% over a decade, from $10.88 billion in 2010 to $7.97 billion in 2020</w:t>
      </w:r>
      <w:r>
        <w:rPr>
          <w:rFonts w:ascii="Arial" w:hAnsi="Arial" w:cs="Arial"/>
        </w:rPr>
        <w:fldChar w:fldCharType="begin"/>
      </w:r>
      <w:r w:rsidR="007D70C4">
        <w:rPr>
          <w:rFonts w:ascii="Arial" w:hAnsi="Arial" w:cs="Arial"/>
        </w:rPr>
        <w:instrText xml:space="preserve"> ADDIN ZOTERO_ITEM CSL_CITATION {"citationID":"fqTZOcKy","properties":{"formattedCitation":"[17]","plainCitation":"[17]","noteIndex":0},"citationItems":[{"id":15,"uris":["http://zotero.org/users/local/q9iiGY9y/items/TZ7B7DST"],"itemData":{"id":15,"type":"article-journal","container-title":"Am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D70C4" w:rsidRPr="007D70C4">
        <w:rPr>
          <w:rFonts w:ascii="Arial" w:hAnsi="Arial" w:cs="Arial"/>
        </w:rPr>
        <w:t>[17]</w:t>
      </w:r>
      <w:r>
        <w:rPr>
          <w:rFonts w:ascii="Arial" w:hAnsi="Arial" w:cs="Arial"/>
        </w:rPr>
        <w:fldChar w:fldCharType="end"/>
      </w:r>
      <w:r w:rsidRPr="00A70E6F">
        <w:rPr>
          <w:rFonts w:ascii="Arial" w:hAnsi="Arial" w:cs="Arial"/>
        </w:rPr>
        <w:t>. Additionally, public health prevention and emergency preparedness funding declined from $3.00 billion in 2011 to $2.73 billion, a 9% reduction during a critical period for pandemic preparedness</w:t>
      </w:r>
      <w:r>
        <w:rPr>
          <w:rFonts w:ascii="Arial" w:hAnsi="Arial" w:cs="Arial"/>
        </w:rPr>
        <w:fldChar w:fldCharType="begin"/>
      </w:r>
      <w:r w:rsidR="007D70C4">
        <w:rPr>
          <w:rFonts w:ascii="Arial" w:hAnsi="Arial" w:cs="Arial"/>
        </w:rPr>
        <w:instrText xml:space="preserve"> ADDIN ZOTERO_ITEM CSL_CITATION {"citationID":"Ze4KLBZX","properties":{"formattedCitation":"[17]","plainCitation":"[17]","noteIndex":0},"citationItems":[{"id":15,"uris":["http://zotero.org/users/local/q9iiGY9y/items/TZ7B7DST"],"itemData":{"id":15,"type":"article-journal","container-title":"Am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D70C4" w:rsidRPr="007D70C4">
        <w:rPr>
          <w:rFonts w:ascii="Arial" w:hAnsi="Arial" w:cs="Arial"/>
        </w:rPr>
        <w:t>[17]</w:t>
      </w:r>
      <w:r>
        <w:rPr>
          <w:rFonts w:ascii="Arial" w:hAnsi="Arial" w:cs="Arial"/>
        </w:rPr>
        <w:fldChar w:fldCharType="end"/>
      </w:r>
      <w:r w:rsidRPr="00A70E6F">
        <w:rPr>
          <w:rFonts w:ascii="Arial" w:hAnsi="Arial" w:cs="Arial"/>
        </w:rPr>
        <w:t>. The Hospital Preparedness Program (HPP), the only source of federal funding for healthcare system readiness, experienced a catastrophic decline of more than 50%, from $498 million in 2003 to $227 million by 2018</w:t>
      </w:r>
      <w:r>
        <w:rPr>
          <w:rFonts w:ascii="Arial" w:hAnsi="Arial" w:cs="Arial"/>
        </w:rPr>
        <w:fldChar w:fldCharType="begin"/>
      </w:r>
      <w:r w:rsidR="007D70C4">
        <w:rPr>
          <w:rFonts w:ascii="Arial" w:hAnsi="Arial" w:cs="Arial"/>
        </w:rPr>
        <w:instrText xml:space="preserve"> ADDIN ZOTERO_ITEM CSL_CITATION {"citationID":"ab4MTWzl","properties":{"formattedCitation":"[17]","plainCitation":"[17]","noteIndex":0},"citationItems":[{"id":15,"uris":["http://zotero.org/users/local/q9iiGY9y/items/TZ7B7DST"],"itemData":{"id":15,"type":"article-journal","container-title":"Am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D70C4" w:rsidRPr="007D70C4">
        <w:rPr>
          <w:rFonts w:ascii="Arial" w:hAnsi="Arial" w:cs="Arial"/>
        </w:rPr>
        <w:t>[17]</w:t>
      </w:r>
      <w:r>
        <w:rPr>
          <w:rFonts w:ascii="Arial" w:hAnsi="Arial" w:cs="Arial"/>
        </w:rPr>
        <w:fldChar w:fldCharType="end"/>
      </w:r>
      <w:r w:rsidRPr="00A70E6F">
        <w:rPr>
          <w:rFonts w:ascii="Arial" w:hAnsi="Arial" w:cs="Arial"/>
        </w:rPr>
        <w:t>.  Over the past 18 years, funding for the Public Health Emergency Preparedness (PHEP) program—the main federal support for state public health and emergency response—has been cut by 30%</w:t>
      </w:r>
      <w:r>
        <w:rPr>
          <w:rFonts w:ascii="Arial" w:hAnsi="Arial" w:cs="Arial"/>
        </w:rPr>
        <w:fldChar w:fldCharType="begin"/>
      </w:r>
      <w:r w:rsidR="007D70C4">
        <w:rPr>
          <w:rFonts w:ascii="Arial" w:hAnsi="Arial" w:cs="Arial"/>
        </w:rPr>
        <w:instrText xml:space="preserve"> ADDIN ZOTERO_ITEM CSL_CITATION {"citationID":"O6YiCRaC","properties":{"formattedCitation":"[17]","plainCitation":"[17]","noteIndex":0},"citationItems":[{"id":15,"uris":["http://zotero.org/users/local/q9iiGY9y/items/TZ7B7DST"],"itemData":{"id":15,"type":"article-journal","container-title":"Am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Pr>
          <w:rFonts w:ascii="Arial" w:hAnsi="Arial" w:cs="Arial"/>
        </w:rPr>
        <w:fldChar w:fldCharType="separate"/>
      </w:r>
      <w:r w:rsidR="007D70C4" w:rsidRPr="007D70C4">
        <w:rPr>
          <w:rFonts w:ascii="Arial" w:hAnsi="Arial" w:cs="Arial"/>
        </w:rPr>
        <w:t>[17]</w:t>
      </w:r>
      <w:r>
        <w:rPr>
          <w:rFonts w:ascii="Arial" w:hAnsi="Arial" w:cs="Arial"/>
        </w:rPr>
        <w:fldChar w:fldCharType="end"/>
      </w:r>
      <w:r w:rsidRPr="00A70E6F">
        <w:rPr>
          <w:rFonts w:ascii="Arial" w:hAnsi="Arial" w:cs="Arial"/>
        </w:rPr>
        <w:t>.</w:t>
      </w:r>
    </w:p>
    <w:p w14:paraId="3B7DECA4" w14:textId="1513064A" w:rsidR="00A2172F" w:rsidRPr="00A70E6F" w:rsidRDefault="00523D32" w:rsidP="007D70C4">
      <w:pPr>
        <w:spacing w:after="160" w:line="278" w:lineRule="auto"/>
        <w:jc w:val="both"/>
        <w:rPr>
          <w:rFonts w:ascii="Arial" w:hAnsi="Arial" w:cs="Arial"/>
        </w:rPr>
      </w:pPr>
      <w:r>
        <w:rPr>
          <w:rFonts w:ascii="Arial" w:hAnsi="Arial" w:cs="Arial"/>
        </w:rPr>
        <w:t>The</w:t>
      </w:r>
      <w:r w:rsidR="00A2172F" w:rsidRPr="00A70E6F">
        <w:rPr>
          <w:rFonts w:ascii="Arial" w:hAnsi="Arial" w:cs="Arial"/>
        </w:rPr>
        <w:t xml:space="preserve"> impact of public health emergencies shouldn’t be overlooked. Since 2003, HPP funding has been reduced by more than 50%</w:t>
      </w:r>
      <w:r w:rsidR="00A2172F">
        <w:rPr>
          <w:rFonts w:ascii="Arial" w:hAnsi="Arial" w:cs="Arial"/>
        </w:rPr>
        <w:fldChar w:fldCharType="begin"/>
      </w:r>
      <w:r w:rsidR="007D70C4">
        <w:rPr>
          <w:rFonts w:ascii="Arial" w:hAnsi="Arial" w:cs="Arial"/>
        </w:rPr>
        <w:instrText xml:space="preserve"> ADDIN ZOTERO_ITEM CSL_CITATION {"citationID":"45sBcvx8","properties":{"formattedCitation":"[17]","plainCitation":"[17]","noteIndex":0},"citationItems":[{"id":15,"uris":["http://zotero.org/users/local/q9iiGY9y/items/TZ7B7DST"],"itemData":{"id":15,"type":"article-journal","container-title":"Am J Emerg Med","DOI":"10.1016/j.ajem.2020.07.044","ISSN":"1532-8171 (Electronic) 0735-6757 (Print) 0735-6757 (Linking)","note":"PMCID: PMC7378009","page":"557-559","title":"Medication shortages during the COVID-19 pandemic: Saving more than COVID lives","volume":"45","author":[{"family":"Sen-Crowe","given":"B."},{"family":"McKenney","given":"M."},{"family":"Elkbuli","given":"A."}],"issued":{"date-parts":[["2021",7]]}}}],"schema":"https://github.com/citation-style-language/schema/raw/master/csl-citation.json"} </w:instrText>
      </w:r>
      <w:r w:rsidR="00A2172F">
        <w:rPr>
          <w:rFonts w:ascii="Arial" w:hAnsi="Arial" w:cs="Arial"/>
        </w:rPr>
        <w:fldChar w:fldCharType="separate"/>
      </w:r>
      <w:r w:rsidR="007D70C4" w:rsidRPr="007D70C4">
        <w:rPr>
          <w:rFonts w:ascii="Arial" w:hAnsi="Arial" w:cs="Arial"/>
        </w:rPr>
        <w:t>[17]</w:t>
      </w:r>
      <w:r w:rsidR="00A2172F">
        <w:rPr>
          <w:rFonts w:ascii="Arial" w:hAnsi="Arial" w:cs="Arial"/>
        </w:rPr>
        <w:fldChar w:fldCharType="end"/>
      </w:r>
      <w:r w:rsidR="00A2172F" w:rsidRPr="00A70E6F">
        <w:rPr>
          <w:rFonts w:ascii="Arial" w:hAnsi="Arial" w:cs="Arial"/>
        </w:rPr>
        <w:t xml:space="preserve">, creating significant obstacles in its ability to support the healthcare system during periods of emergency. And those </w:t>
      </w:r>
      <w:r>
        <w:rPr>
          <w:rFonts w:ascii="Arial" w:hAnsi="Arial" w:cs="Arial"/>
        </w:rPr>
        <w:t>reductions</w:t>
      </w:r>
      <w:r w:rsidR="00A2172F" w:rsidRPr="00A70E6F">
        <w:rPr>
          <w:rFonts w:ascii="Arial" w:hAnsi="Arial" w:cs="Arial"/>
        </w:rPr>
        <w:t xml:space="preserve"> were not unique to </w:t>
      </w:r>
      <w:r>
        <w:rPr>
          <w:rFonts w:ascii="Arial" w:hAnsi="Arial" w:cs="Arial"/>
        </w:rPr>
        <w:t xml:space="preserve">the </w:t>
      </w:r>
      <w:r w:rsidR="00A2172F" w:rsidRPr="00A70E6F">
        <w:rPr>
          <w:rFonts w:ascii="Arial" w:hAnsi="Arial" w:cs="Arial"/>
        </w:rPr>
        <w:t>USA, the public health services budget saw a 26% real-terms reduction between 2014-2016, with disproportionate impacts on the most deprived areas and cuts to crucial preventive services like weight loss and smoking cessation</w:t>
      </w:r>
      <w:r w:rsidR="001A7699">
        <w:rPr>
          <w:rFonts w:ascii="Arial" w:hAnsi="Arial" w:cs="Arial"/>
        </w:rPr>
        <w:fldChar w:fldCharType="begin"/>
      </w:r>
      <w:r w:rsidR="007D70C4">
        <w:rPr>
          <w:rFonts w:ascii="Arial" w:hAnsi="Arial" w:cs="Arial"/>
        </w:rPr>
        <w:instrText xml:space="preserve"> ADDIN ZOTERO_ITEM CSL_CITATION {"citationID":"Es74jFXb","properties":{"formattedCitation":"[18]","plainCitation":"[18]","noteIndex":0},"citationItems":[{"id":48,"uris":["http://zotero.org/users/local/q9iiGY9y/items/D4I9888E"],"itemData":{"id":48,"type":"webpage","title":"Cuts to Public Health","author":[{"family":"NHS Support Federation","given":""}]}}],"schema":"https://github.com/citation-style-language/schema/raw/master/csl-citation.json"} </w:instrText>
      </w:r>
      <w:r w:rsidR="001A7699">
        <w:rPr>
          <w:rFonts w:ascii="Arial" w:hAnsi="Arial" w:cs="Arial"/>
        </w:rPr>
        <w:fldChar w:fldCharType="separate"/>
      </w:r>
      <w:r w:rsidR="007D70C4" w:rsidRPr="007D70C4">
        <w:rPr>
          <w:rFonts w:ascii="Arial" w:hAnsi="Arial" w:cs="Arial"/>
        </w:rPr>
        <w:t>[18]</w:t>
      </w:r>
      <w:r w:rsidR="001A7699">
        <w:rPr>
          <w:rFonts w:ascii="Arial" w:hAnsi="Arial" w:cs="Arial"/>
        </w:rPr>
        <w:fldChar w:fldCharType="end"/>
      </w:r>
      <w:r w:rsidR="00A2172F" w:rsidRPr="00A70E6F">
        <w:rPr>
          <w:rFonts w:ascii="Arial" w:hAnsi="Arial" w:cs="Arial"/>
        </w:rPr>
        <w:t>. Countries in Europe, particularly those affected by austerity measures, experienced deep cuts in public health spending that exacerbated suffering. For instance, Catalonia, Spain, reduced its healthcare budget by 10% and closed numerous hospital beds and health centers post-2011, while Greece witnessed a 40% reduction in hospital budgets despite rising admissions, with overall health spending plummeting from $25 billion in 2010 to $16 billion in 2011, Even in Australia, public health spending in Queensland, for example, decreased from a pandemic high of 3.9% of total expenditure in 2021-22 to 2.1% in 2022-23, remaining below the recommended 5% by professional health organizations</w:t>
      </w:r>
      <w:r w:rsidR="001A7699">
        <w:rPr>
          <w:rFonts w:ascii="Arial" w:hAnsi="Arial" w:cs="Arial"/>
        </w:rPr>
        <w:fldChar w:fldCharType="begin"/>
      </w:r>
      <w:r w:rsidR="007D70C4">
        <w:rPr>
          <w:rFonts w:ascii="Arial" w:hAnsi="Arial" w:cs="Arial"/>
        </w:rPr>
        <w:instrText xml:space="preserve"> ADDIN ZOTERO_ITEM CSL_CITATION {"citationID":"OLP6JBFJ","properties":{"formattedCitation":"[19]","plainCitation":"[19]","noteIndex":0},"citationItems":[{"id":68,"uris":["http://zotero.org/users/local/q9iiGY9y/items/2SRI46EU"],"itemData":{"id":68,"type":"webpage","title":"Austerity and the Unraveling of European Universal Health Care","author":[{"family":"Dissent Magazine","given":""}],"issued":{"date-parts":[["2017"]]}}}],"schema":"https://github.com/citation-style-language/schema/raw/master/csl-citation.json"} </w:instrText>
      </w:r>
      <w:r w:rsidR="001A7699">
        <w:rPr>
          <w:rFonts w:ascii="Arial" w:hAnsi="Arial" w:cs="Arial"/>
        </w:rPr>
        <w:fldChar w:fldCharType="separate"/>
      </w:r>
      <w:r w:rsidR="007D70C4" w:rsidRPr="007D70C4">
        <w:rPr>
          <w:rFonts w:ascii="Arial" w:hAnsi="Arial" w:cs="Arial"/>
        </w:rPr>
        <w:t>[19]</w:t>
      </w:r>
      <w:r w:rsidR="001A7699">
        <w:rPr>
          <w:rFonts w:ascii="Arial" w:hAnsi="Arial" w:cs="Arial"/>
        </w:rPr>
        <w:fldChar w:fldCharType="end"/>
      </w:r>
      <w:r w:rsidR="00A2172F" w:rsidRPr="00A70E6F">
        <w:rPr>
          <w:rFonts w:ascii="Arial" w:hAnsi="Arial" w:cs="Arial"/>
        </w:rPr>
        <w:t>. Such devastating mortality figures and the continued decline in public health funding in many nations creates significant obstacles to supporting healthcare systems during future emergencies.</w:t>
      </w:r>
    </w:p>
    <w:p w14:paraId="68EC3088" w14:textId="77777777" w:rsidR="00A2172F" w:rsidRPr="00A70E6F" w:rsidRDefault="00A2172F" w:rsidP="00A70E6F">
      <w:pPr>
        <w:spacing w:after="160" w:line="278" w:lineRule="auto"/>
        <w:jc w:val="both"/>
        <w:rPr>
          <w:rFonts w:ascii="Aptos" w:eastAsia="Aptos" w:hAnsi="Aptos" w:cs="Arial"/>
          <w:kern w:val="2"/>
          <w:sz w:val="24"/>
          <w:szCs w:val="24"/>
        </w:rPr>
      </w:pPr>
    </w:p>
    <w:p w14:paraId="480ED342" w14:textId="77777777" w:rsidR="00A2172F" w:rsidRDefault="00A2172F" w:rsidP="00A70E6F">
      <w:pPr>
        <w:pStyle w:val="Head1"/>
        <w:spacing w:after="0"/>
        <w:jc w:val="both"/>
        <w:rPr>
          <w:rFonts w:ascii="Arial" w:hAnsi="Arial" w:cs="Arial"/>
        </w:rPr>
      </w:pPr>
    </w:p>
    <w:p w14:paraId="7BCB5C7F" w14:textId="77777777" w:rsidR="00A2172F" w:rsidRDefault="00A2172F" w:rsidP="00A70E6F">
      <w:pPr>
        <w:pStyle w:val="Head1"/>
        <w:spacing w:after="0"/>
        <w:jc w:val="both"/>
        <w:rPr>
          <w:rFonts w:ascii="Arial" w:hAnsi="Arial" w:cs="Arial"/>
        </w:rPr>
      </w:pPr>
      <w:r>
        <w:rPr>
          <w:rFonts w:ascii="Arial" w:hAnsi="Arial" w:cs="Arial"/>
        </w:rPr>
        <w:t xml:space="preserve">6. </w:t>
      </w:r>
      <w:r w:rsidRPr="00A70E6F">
        <w:rPr>
          <w:rFonts w:ascii="Arial" w:hAnsi="Arial" w:cs="Arial"/>
        </w:rPr>
        <w:t>Integrating Behavioral and Social Sciences</w:t>
      </w:r>
    </w:p>
    <w:p w14:paraId="43A865F4" w14:textId="77777777" w:rsidR="00A2172F" w:rsidRDefault="00A2172F" w:rsidP="00A70E6F">
      <w:pPr>
        <w:pStyle w:val="Head1"/>
        <w:spacing w:after="0"/>
        <w:jc w:val="both"/>
        <w:rPr>
          <w:rFonts w:ascii="Arial" w:hAnsi="Arial" w:cs="Arial"/>
        </w:rPr>
      </w:pPr>
    </w:p>
    <w:p w14:paraId="2E5C182F" w14:textId="477843A0" w:rsidR="00A2172F" w:rsidRPr="00A70E6F" w:rsidRDefault="00A2172F" w:rsidP="007D70C4">
      <w:pPr>
        <w:spacing w:after="160" w:line="278" w:lineRule="auto"/>
        <w:jc w:val="both"/>
        <w:rPr>
          <w:rFonts w:ascii="Arial" w:hAnsi="Arial" w:cs="Arial"/>
        </w:rPr>
      </w:pPr>
      <w:r w:rsidRPr="00A70E6F">
        <w:rPr>
          <w:rFonts w:ascii="Arial" w:hAnsi="Arial" w:cs="Arial"/>
        </w:rPr>
        <w:t>Based on the experiences gained during the COVID-19 pandemic, it can be concluded that human behavior has been a critical factor, given the direct link between the observed risky behavioral patterns and the high transmission rates during the pandemic</w:t>
      </w:r>
      <w:r w:rsidR="001A7699">
        <w:rPr>
          <w:rFonts w:ascii="Arial" w:hAnsi="Arial" w:cs="Arial"/>
        </w:rPr>
        <w:fldChar w:fldCharType="begin"/>
      </w:r>
      <w:r w:rsidR="007D70C4">
        <w:rPr>
          <w:rFonts w:ascii="Arial" w:hAnsi="Arial" w:cs="Arial"/>
        </w:rPr>
        <w:instrText xml:space="preserve"> ADDIN ZOTERO_ITEM CSL_CITATION {"citationID":"2jMFdnTg","properties":{"formattedCitation":"[20]","plainCitation":"[20]","noteIndex":0},"citationItems":[{"id":40,"uris":["http://zotero.org/users/local/q9iiGY9y/items/SR68DRID"],"itemData":{"id":40,"type":"article-journal","abstract":"In July 2023, the Center of Excellence in Respiratory Pathogens organized a two-day workshop on infectious diseases modelling and the lessons learnt from the Covid-19 pandemic. This report summarizes the rich discussions that occurred during the workshop. The workshop participants discussed multisource data integration and highlighted the benefits of combining traditional surveillance with more novel data sources like mobility data, social media, and wastewater monitoring. Significant advancements were noted in the development of predictive models, with examples from various countries showcasing the use of machine learning and artificial intelligence in detecting and monitoring disease trends. The role of open collaboration between various stakeholders in modelling was stressed, advocating for the continuation of such partnerships beyond the pandemic. A major gap identified was the absence of a common international framework for data sharing, which is crucial for global pandemic preparedness. Overall, the workshop underscored the need for robust, adaptable modelling frameworks and the integration of different data sources and collaboration across sectors, as key elements in enhancing future pandemic response and preparedness.","container-title":"Infect Dis Model","DOI":"10.1016/j.idm.2024.02.008","ISSN":"2468-0427 (Electronic) 2468-2152 (Print) 2468-0427 (Linking)","issue":"2","note":"PMCID: PMC10912817","page":"501-518","title":"Redefining pandemic preparedness: Multidisciplinary insights from the CERP modelling workshop in infectious diseases, workshop report","volume":"9","author":[{"family":"Nunes","given":"M. C."},{"family":"Thommes","given":"E."},{"family":"Frohlich","given":"H."},{"family":"Flahault","given":"A."},{"family":"Arino","given":"J."},{"family":"Baguelin","given":"M."},{"family":"Biggerstaff","given":"M."},{"family":"Bizel-Bizellot","given":"G."},{"family":"Borchering","given":"R."},{"family":"Cacciapaglia","given":"G."},{"family":"Cauchemez","given":"S."},{"family":"Barbier-Chebbah","given":"A."},{"family":"Claussen","given":"C."},{"family":"Choirat","given":"C."},{"family":"Cojocaru","given":"M."},{"family":"Commaille-Chapus","given":"C."},{"family":"Hon","given":"C."},{"family":"Kong","given":"J."},{"family":"Lambert","given":"N."},{"family":"Lauer","given":"K. B."},{"family":"Lehr","given":"T."},{"family":"Mahe","given":"C."},{"family":"Marechal","given":"V."},{"family":"Mebarki","given":"A."},{"family":"Moghadas","given":"S."},{"family":"Niehus","given":"R."},{"family":"Opatowski","given":"L."},{"family":"Parino","given":"F."},{"family":"Pruvost","given":"G."},{"family":"Schuppert","given":"A."},{"family":"Thiebaut","given":"R."},{"family":"Thomas-Bachli","given":"A."},{"family":"Viboud","given":"C."},{"family":"Wu","given":"J."},{"family":"Crepey","given":"P."},{"family":"Coudeville","given":"L."}],"issued":{"date-parts":[["2024",6]]}}}],"schema":"https://github.com/citation-style-language/schema/raw/master/csl-citation.json"} </w:instrText>
      </w:r>
      <w:r w:rsidR="001A7699">
        <w:rPr>
          <w:rFonts w:ascii="Arial" w:hAnsi="Arial" w:cs="Arial"/>
        </w:rPr>
        <w:fldChar w:fldCharType="separate"/>
      </w:r>
      <w:r w:rsidR="007D70C4" w:rsidRPr="007D70C4">
        <w:rPr>
          <w:rFonts w:ascii="Arial" w:hAnsi="Arial" w:cs="Arial"/>
        </w:rPr>
        <w:t>[20]</w:t>
      </w:r>
      <w:r w:rsidR="001A7699">
        <w:rPr>
          <w:rFonts w:ascii="Arial" w:hAnsi="Arial" w:cs="Arial"/>
        </w:rPr>
        <w:fldChar w:fldCharType="end"/>
      </w:r>
      <w:r w:rsidRPr="00A70E6F">
        <w:rPr>
          <w:rFonts w:ascii="Arial" w:hAnsi="Arial" w:cs="Arial"/>
        </w:rPr>
        <w:t xml:space="preserve">. </w:t>
      </w:r>
    </w:p>
    <w:p w14:paraId="1E18950C" w14:textId="56C93496" w:rsidR="00A2172F" w:rsidRPr="00A70E6F" w:rsidRDefault="00A2172F" w:rsidP="007D70C4">
      <w:pPr>
        <w:spacing w:after="160" w:line="278" w:lineRule="auto"/>
        <w:jc w:val="both"/>
        <w:rPr>
          <w:rFonts w:ascii="Arial" w:hAnsi="Arial" w:cs="Arial"/>
        </w:rPr>
      </w:pPr>
      <w:r w:rsidRPr="00A70E6F">
        <w:rPr>
          <w:rFonts w:ascii="Arial" w:hAnsi="Arial" w:cs="Arial"/>
        </w:rPr>
        <w:lastRenderedPageBreak/>
        <w:t>While resource allocation is critical, it is equally important to incorporate social and behavioral perspectives into preparedness, perceptions, and individual views on how they would prepare to respond to pandemic prevention and control measures. This is known as attitude. Which is defined as a person’s positive, negative, or neutral evaluation of a certain idea, object, or person, and the tendency to behave in a certain way per that evaluation</w:t>
      </w:r>
      <w:r w:rsidR="001A7699">
        <w:rPr>
          <w:rFonts w:ascii="Arial" w:hAnsi="Arial" w:cs="Arial"/>
        </w:rPr>
        <w:fldChar w:fldCharType="begin"/>
      </w:r>
      <w:r w:rsidR="007D70C4">
        <w:rPr>
          <w:rFonts w:ascii="Arial" w:hAnsi="Arial" w:cs="Arial"/>
        </w:rPr>
        <w:instrText xml:space="preserve"> ADDIN ZOTERO_ITEM CSL_CITATION {"citationID":"BsyiVGdH","properties":{"formattedCitation":"[21]","plainCitation":"[21]","noteIndex":0},"citationItems":[{"id":46,"uris":["http://zotero.org/users/local/q9iiGY9y/items/WC46VK25"],"itemData":{"id":46,"type":"article-journal","abstract":"Research dealing with various aspects of the theory of planned behavior (Ajzen, 1985, Ajzen, 1987) is reviewed, and some unresolved issues are discussed. In broad terms, the theory is found to be well supported by empirical evidence. Intentions to perform behaviors of different kinds can be predicted with high accuracy from attitudes toward the behavior, subjective norms, and perceived behavioral control; and these intentions, together with perceptions of behavioral control, account for considerable variance in actual behavior. Attitudes, subjective norms, and perceived behavioral control are shown to be related to appropriate sets of salient behavioral, normative, and control beliefs about the behavior, but the exact nature of these relations is still uncertain. Expectancy-value formulations are found to be only partly successful in dealing with these relations. Optimal rescaling of expectancy and value measures is offered as a means of dealing with measurement limitations. Finally, inclusion of past behavior in the prediction equation is shown to provide a means of testing the theory's sufficiency, another issue that remains unresolved. The limited available evidence concerning this question shows that the theory is predicting behavior quite well in comparison to the ceiling imposed by behavioral reliability.","container-title":"Organizational Behavior and Human Decision Processes","DOI":"https://doi.org/10.1016/0749-5978(91)90020-T","ISSN":"0749-5978","issue":"2","page":"179-211","title":"The theory of planned behavior","volume":"50","author":[{"family":"Ajzen","given":"Icek"}],"issued":{"date-parts":[["1991",12,1]]}}}],"schema":"https://github.com/citation-style-language/schema/raw/master/csl-citation.json"} </w:instrText>
      </w:r>
      <w:r w:rsidR="001A7699">
        <w:rPr>
          <w:rFonts w:ascii="Arial" w:hAnsi="Arial" w:cs="Arial"/>
        </w:rPr>
        <w:fldChar w:fldCharType="separate"/>
      </w:r>
      <w:r w:rsidR="007D70C4" w:rsidRPr="007D70C4">
        <w:rPr>
          <w:rFonts w:ascii="Arial" w:hAnsi="Arial" w:cs="Arial"/>
        </w:rPr>
        <w:t>[21]</w:t>
      </w:r>
      <w:r w:rsidR="001A7699">
        <w:rPr>
          <w:rFonts w:ascii="Arial" w:hAnsi="Arial" w:cs="Arial"/>
        </w:rPr>
        <w:fldChar w:fldCharType="end"/>
      </w:r>
      <w:r w:rsidRPr="00A70E6F">
        <w:rPr>
          <w:rFonts w:ascii="Arial" w:hAnsi="Arial" w:cs="Arial"/>
        </w:rPr>
        <w:t xml:space="preserve">. It has been observed that when individuals perceive pandemic preparedness to be strong and adequate, they’re more inclined to trust public health authorities and adopt recommended preventive actions such as regular handwashing, mask-wearing, social distancing, or lockdown measures, and </w:t>
      </w:r>
      <w:r w:rsidR="00523D32">
        <w:rPr>
          <w:rFonts w:ascii="Arial" w:hAnsi="Arial" w:cs="Arial"/>
        </w:rPr>
        <w:t>accept</w:t>
      </w:r>
      <w:r w:rsidRPr="00A70E6F">
        <w:rPr>
          <w:rFonts w:ascii="Arial" w:hAnsi="Arial" w:cs="Arial"/>
        </w:rPr>
        <w:t xml:space="preserve"> vaccines</w:t>
      </w:r>
      <w:r w:rsidR="001A7699">
        <w:rPr>
          <w:rFonts w:ascii="Arial" w:hAnsi="Arial" w:cs="Arial"/>
        </w:rPr>
        <w:fldChar w:fldCharType="begin"/>
      </w:r>
      <w:r w:rsidR="007D70C4">
        <w:rPr>
          <w:rFonts w:ascii="Arial" w:hAnsi="Arial" w:cs="Arial"/>
        </w:rPr>
        <w:instrText xml:space="preserve"> ADDIN ZOTERO_ITEM CSL_CITATION {"citationID":"om80vTAW","properties":{"formattedCitation":"[20]","plainCitation":"[20]","noteIndex":0},"citationItems":[{"id":40,"uris":["http://zotero.org/users/local/q9iiGY9y/items/SR68DRID"],"itemData":{"id":40,"type":"article-journal","abstract":"In July 2023, the Center of Excellence in Respiratory Pathogens organized a two-day workshop on infectious diseases modelling and the lessons learnt from the Covid-19 pandemic. This report summarizes the rich discussions that occurred during the workshop. The workshop participants discussed multisource data integration and highlighted the benefits of combining traditional surveillance with more novel data sources like mobility data, social media, and wastewater monitoring. Significant advancements were noted in the development of predictive models, with examples from various countries showcasing the use of machine learning and artificial intelligence in detecting and monitoring disease trends. The role of open collaboration between various stakeholders in modelling was stressed, advocating for the continuation of such partnerships beyond the pandemic. A major gap identified was the absence of a common international framework for data sharing, which is crucial for global pandemic preparedness. Overall, the workshop underscored the need for robust, adaptable modelling frameworks and the integration of different data sources and collaboration across sectors, as key elements in enhancing future pandemic response and preparedness.","container-title":"Infect Dis Model","DOI":"10.1016/j.idm.2024.02.008","ISSN":"2468-0427 (Electronic) 2468-2152 (Print) 2468-0427 (Linking)","issue":"2","note":"PMCID: PMC10912817","page":"501-518","title":"Redefining pandemic preparedness: Multidisciplinary insights from the CERP modelling workshop in infectious diseases, workshop report","volume":"9","author":[{"family":"Nunes","given":"M. C."},{"family":"Thommes","given":"E."},{"family":"Frohlich","given":"H."},{"family":"Flahault","given":"A."},{"family":"Arino","given":"J."},{"family":"Baguelin","given":"M."},{"family":"Biggerstaff","given":"M."},{"family":"Bizel-Bizellot","given":"G."},{"family":"Borchering","given":"R."},{"family":"Cacciapaglia","given":"G."},{"family":"Cauchemez","given":"S."},{"family":"Barbier-Chebbah","given":"A."},{"family":"Claussen","given":"C."},{"family":"Choirat","given":"C."},{"family":"Cojocaru","given":"M."},{"family":"Commaille-Chapus","given":"C."},{"family":"Hon","given":"C."},{"family":"Kong","given":"J."},{"family":"Lambert","given":"N."},{"family":"Lauer","given":"K. B."},{"family":"Lehr","given":"T."},{"family":"Mahe","given":"C."},{"family":"Marechal","given":"V."},{"family":"Mebarki","given":"A."},{"family":"Moghadas","given":"S."},{"family":"Niehus","given":"R."},{"family":"Opatowski","given":"L."},{"family":"Parino","given":"F."},{"family":"Pruvost","given":"G."},{"family":"Schuppert","given":"A."},{"family":"Thiebaut","given":"R."},{"family":"Thomas-Bachli","given":"A."},{"family":"Viboud","given":"C."},{"family":"Wu","given":"J."},{"family":"Crepey","given":"P."},{"family":"Coudeville","given":"L."}],"issued":{"date-parts":[["2024",6]]}}}],"schema":"https://github.com/citation-style-language/schema/raw/master/csl-citation.json"} </w:instrText>
      </w:r>
      <w:r w:rsidR="001A7699">
        <w:rPr>
          <w:rFonts w:ascii="Arial" w:hAnsi="Arial" w:cs="Arial"/>
        </w:rPr>
        <w:fldChar w:fldCharType="separate"/>
      </w:r>
      <w:r w:rsidR="007D70C4" w:rsidRPr="007D70C4">
        <w:rPr>
          <w:rFonts w:ascii="Arial" w:hAnsi="Arial" w:cs="Arial"/>
        </w:rPr>
        <w:t>[20]</w:t>
      </w:r>
      <w:r w:rsidR="001A7699">
        <w:rPr>
          <w:rFonts w:ascii="Arial" w:hAnsi="Arial" w:cs="Arial"/>
        </w:rPr>
        <w:fldChar w:fldCharType="end"/>
      </w:r>
      <w:r w:rsidRPr="00A70E6F">
        <w:rPr>
          <w:rFonts w:ascii="Arial" w:hAnsi="Arial" w:cs="Arial"/>
        </w:rPr>
        <w:t>.</w:t>
      </w:r>
    </w:p>
    <w:p w14:paraId="301ABC43" w14:textId="0F301D1B" w:rsidR="00A2172F" w:rsidRPr="00A70E6F" w:rsidRDefault="00A2172F" w:rsidP="007D70C4">
      <w:pPr>
        <w:spacing w:after="160" w:line="278" w:lineRule="auto"/>
        <w:jc w:val="both"/>
        <w:rPr>
          <w:rFonts w:ascii="Arial" w:hAnsi="Arial" w:cs="Arial"/>
        </w:rPr>
      </w:pPr>
      <w:r w:rsidRPr="00A70E6F">
        <w:rPr>
          <w:rFonts w:ascii="Arial" w:hAnsi="Arial" w:cs="Arial"/>
        </w:rPr>
        <w:t xml:space="preserve">Conversely, if people judge the healthcare system to be ill-prepared, unable to protect individuals from infection, and under-resourced to provide necessary care, this perception generates heightened worry and fear (negative attitude), leading to a significant </w:t>
      </w:r>
      <w:r w:rsidR="00523D32">
        <w:rPr>
          <w:rFonts w:ascii="Arial" w:hAnsi="Arial" w:cs="Arial"/>
        </w:rPr>
        <w:t>drop in</w:t>
      </w:r>
      <w:r w:rsidRPr="00A70E6F">
        <w:rPr>
          <w:rFonts w:ascii="Arial" w:hAnsi="Arial" w:cs="Arial"/>
        </w:rPr>
        <w:t xml:space="preserve"> care-seeking behavior</w:t>
      </w:r>
      <w:r w:rsidR="001A7699">
        <w:rPr>
          <w:rFonts w:ascii="Arial" w:hAnsi="Arial" w:cs="Arial"/>
        </w:rPr>
        <w:fldChar w:fldCharType="begin"/>
      </w:r>
      <w:r w:rsidR="007D70C4">
        <w:rPr>
          <w:rFonts w:ascii="Arial" w:hAnsi="Arial" w:cs="Arial"/>
        </w:rPr>
        <w:instrText xml:space="preserve"> ADDIN ZOTERO_ITEM CSL_CITATION {"citationID":"xF1RdE8t","properties":{"formattedCitation":"[20]","plainCitation":"[20]","noteIndex":0},"citationItems":[{"id":40,"uris":["http://zotero.org/users/local/q9iiGY9y/items/SR68DRID"],"itemData":{"id":40,"type":"article-journal","abstract":"In July 2023, the Center of Excellence in Respiratory Pathogens organized a two-day workshop on infectious diseases modelling and the lessons learnt from the Covid-19 pandemic. This report summarizes the rich discussions that occurred during the workshop. The workshop participants discussed multisource data integration and highlighted the benefits of combining traditional surveillance with more novel data sources like mobility data, social media, and wastewater monitoring. Significant advancements were noted in the development of predictive models, with examples from various countries showcasing the use of machine learning and artificial intelligence in detecting and monitoring disease trends. The role of open collaboration between various stakeholders in modelling was stressed, advocating for the continuation of such partnerships beyond the pandemic. A major gap identified was the absence of a common international framework for data sharing, which is crucial for global pandemic preparedness. Overall, the workshop underscored the need for robust, adaptable modelling frameworks and the integration of different data sources and collaboration across sectors, as key elements in enhancing future pandemic response and preparedness.","container-title":"Infect Dis Model","DOI":"10.1016/j.idm.2024.02.008","ISSN":"2468-0427 (Electronic) 2468-2152 (Print) 2468-0427 (Linking)","issue":"2","note":"PMCID: PMC10912817","page":"501-518","title":"Redefining pandemic preparedness: Multidisciplinary insights from the CERP modelling workshop in infectious diseases, workshop report","volume":"9","author":[{"family":"Nunes","given":"M. C."},{"family":"Thommes","given":"E."},{"family":"Frohlich","given":"H."},{"family":"Flahault","given":"A."},{"family":"Arino","given":"J."},{"family":"Baguelin","given":"M."},{"family":"Biggerstaff","given":"M."},{"family":"Bizel-Bizellot","given":"G."},{"family":"Borchering","given":"R."},{"family":"Cacciapaglia","given":"G."},{"family":"Cauchemez","given":"S."},{"family":"Barbier-Chebbah","given":"A."},{"family":"Claussen","given":"C."},{"family":"Choirat","given":"C."},{"family":"Cojocaru","given":"M."},{"family":"Commaille-Chapus","given":"C."},{"family":"Hon","given":"C."},{"family":"Kong","given":"J."},{"family":"Lambert","given":"N."},{"family":"Lauer","given":"K. B."},{"family":"Lehr","given":"T."},{"family":"Mahe","given":"C."},{"family":"Marechal","given":"V."},{"family":"Mebarki","given":"A."},{"family":"Moghadas","given":"S."},{"family":"Niehus","given":"R."},{"family":"Opatowski","given":"L."},{"family":"Parino","given":"F."},{"family":"Pruvost","given":"G."},{"family":"Schuppert","given":"A."},{"family":"Thiebaut","given":"R."},{"family":"Thomas-Bachli","given":"A."},{"family":"Viboud","given":"C."},{"family":"Wu","given":"J."},{"family":"Crepey","given":"P."},{"family":"Coudeville","given":"L."}],"issued":{"date-parts":[["2024",6]]}}}],"schema":"https://github.com/citation-style-language/schema/raw/master/csl-citation.json"} </w:instrText>
      </w:r>
      <w:r w:rsidR="001A7699">
        <w:rPr>
          <w:rFonts w:ascii="Arial" w:hAnsi="Arial" w:cs="Arial"/>
        </w:rPr>
        <w:fldChar w:fldCharType="separate"/>
      </w:r>
      <w:r w:rsidR="007D70C4" w:rsidRPr="007D70C4">
        <w:rPr>
          <w:rFonts w:ascii="Arial" w:hAnsi="Arial" w:cs="Arial"/>
        </w:rPr>
        <w:t>[20]</w:t>
      </w:r>
      <w:r w:rsidR="001A7699">
        <w:rPr>
          <w:rFonts w:ascii="Arial" w:hAnsi="Arial" w:cs="Arial"/>
        </w:rPr>
        <w:fldChar w:fldCharType="end"/>
      </w:r>
      <w:r w:rsidRPr="00A70E6F">
        <w:rPr>
          <w:rFonts w:ascii="Arial" w:hAnsi="Arial" w:cs="Arial"/>
        </w:rPr>
        <w:t xml:space="preserve">. </w:t>
      </w:r>
    </w:p>
    <w:p w14:paraId="0CB51416" w14:textId="77777777" w:rsidR="00A2172F" w:rsidRPr="00A70E6F" w:rsidRDefault="00A2172F" w:rsidP="00A70E6F">
      <w:pPr>
        <w:spacing w:after="160" w:line="278" w:lineRule="auto"/>
        <w:jc w:val="both"/>
        <w:rPr>
          <w:rFonts w:ascii="Arial" w:hAnsi="Arial" w:cs="Arial"/>
        </w:rPr>
      </w:pPr>
      <w:r w:rsidRPr="00A70E6F">
        <w:rPr>
          <w:rFonts w:ascii="Arial" w:hAnsi="Arial" w:cs="Arial"/>
        </w:rPr>
        <w:t>Despite the crucial role of behavior in pandemic preparedness, earlier research largely ignored behavioral factors, focusing instead on the internal preparations and planning activities undertaken by healthcare services and public health entities.</w:t>
      </w:r>
    </w:p>
    <w:p w14:paraId="19D036E2" w14:textId="3B979D48" w:rsidR="00A2172F" w:rsidRDefault="00A2172F" w:rsidP="00625CF6">
      <w:pPr>
        <w:spacing w:after="160" w:line="278" w:lineRule="auto"/>
        <w:jc w:val="both"/>
        <w:rPr>
          <w:rFonts w:ascii="Arial" w:hAnsi="Arial" w:cs="Arial"/>
        </w:rPr>
      </w:pPr>
      <w:r w:rsidRPr="00A70E6F">
        <w:rPr>
          <w:rFonts w:ascii="Arial" w:hAnsi="Arial" w:cs="Arial"/>
        </w:rPr>
        <w:t>Attitudes toward the health sector and  perceived quality of services during a pandemic also shape the broader image of the healthcare industry at the national level</w:t>
      </w:r>
      <w:r w:rsidR="001A7699">
        <w:rPr>
          <w:rFonts w:ascii="Arial" w:hAnsi="Arial" w:cs="Arial"/>
        </w:rPr>
        <w:fldChar w:fldCharType="begin"/>
      </w:r>
      <w:r w:rsidR="007D70C4">
        <w:rPr>
          <w:rFonts w:ascii="Arial" w:hAnsi="Arial" w:cs="Arial"/>
        </w:rPr>
        <w:instrText xml:space="preserve"> ADDIN ZOTERO_ITEM CSL_CITATION {"citationID":"XPZAKtl9","properties":{"formattedCitation":"[22]","plainCitation":"[22]","noteIndex":0},"citationItems":[{"id":44,"uris":["http://zotero.org/users/local/q9iiGY9y/items/JHMGXH8T"],"itemData":{"id":44,"type":"article-journal","abstract":"Various COVID-19 vaccines are available across the world. However, short phases of clinical trials for emergency use and myriad rumors about and misinformation on vaccines spread through different media sources, induce confusion and trigger vaccine hesitancy behavior. Although clinical trials demonstrated promising results in the ability of vaccines to protect, social endeavor is required for vaccines to succeed. Mitigation of the pandemic is only possible through widespread acceptance of the vaccine. Thus, identifying the factors that impact vaccine intake is crucial. This study determined factors that affect intentions toward vaccination using a mixed-method approach, in which qualitative and quantitative analyses were conducted together. Analysis of variance (ANOVA) is used in the quantitative study, and content analysis is employed in the qualitative study. The final sample of this mixed-method study consists of 568 participants for the quantitative study and 237 for the qualitative study. They were selected using an online questionnaire. Findings suggest that social, psychological, attitudinal, perceptual, and informational factors play a crucial role in shaping people's intentions toward vaccines, ultimately influencing their decision to accept or reject vaccination. Results of both the qualitative and quantitative studies, in parallel with each other, indicated similar barriers against and drivers toward vaccine intake behavior, providing strong insights into the reasons behind vaccine acceptance and hesitancy. Based on the insights gained in this study, a set of recommendations were compiled for policymakers.","container-title":"Journal of Innovation &amp; Knowledge","DOI":"https://doi.org/10.1016/j.jik.2023.100413","ISSN":"2444-569X","issue":"4","page":"100413","title":"Identification of the drivers of and barriers to COVID-19 vaccine intake behavior using a mixed-method design: implications from a developing country","volume":"8","author":[{"family":"Kordestani","given":"Arash"},{"family":"Oghazi","given":"Pejvak"},{"family":"Izmir","given":"Onur"},{"family":"Oypan","given":"Oguz"},{"family":"Ozer","given":"Serhat"}],"issued":{"date-parts":[["2023",10,1]]}}}],"schema":"https://github.com/citation-style-language/schema/raw/master/csl-citation.json"} </w:instrText>
      </w:r>
      <w:r w:rsidR="001A7699">
        <w:rPr>
          <w:rFonts w:ascii="Arial" w:hAnsi="Arial" w:cs="Arial"/>
        </w:rPr>
        <w:fldChar w:fldCharType="separate"/>
      </w:r>
      <w:r w:rsidR="007D70C4" w:rsidRPr="007D70C4">
        <w:rPr>
          <w:rFonts w:ascii="Arial" w:hAnsi="Arial" w:cs="Arial"/>
        </w:rPr>
        <w:t>[22]</w:t>
      </w:r>
      <w:r w:rsidR="001A7699">
        <w:rPr>
          <w:rFonts w:ascii="Arial" w:hAnsi="Arial" w:cs="Arial"/>
        </w:rPr>
        <w:fldChar w:fldCharType="end"/>
      </w:r>
      <w:r w:rsidRPr="00A70E6F">
        <w:rPr>
          <w:rFonts w:ascii="Arial" w:hAnsi="Arial" w:cs="Arial"/>
        </w:rPr>
        <w:t>. If the public views pandemic management as ineffective, non-compliance with recommendations may rise, producing adverse outcomes. Conversely, an overly optimistic perception of preparedness relative to actual readiness can create a false sense of security, fostering complacency, risky behavior, and further non-compliance among individuals</w:t>
      </w:r>
      <w:r w:rsidR="00625CF6">
        <w:rPr>
          <w:rFonts w:ascii="Arial" w:hAnsi="Arial" w:cs="Arial"/>
        </w:rPr>
        <w:fldChar w:fldCharType="begin"/>
      </w:r>
      <w:r w:rsidR="00625CF6">
        <w:rPr>
          <w:rFonts w:ascii="Arial" w:hAnsi="Arial" w:cs="Arial"/>
        </w:rPr>
        <w:instrText xml:space="preserve"> ADDIN ZOTERO_ITEM CSL_CITATION {"citationID":"M67EF8U7","properties":{"formattedCitation":"[22]","plainCitation":"[22]","noteIndex":0},"citationItems":[{"id":44,"uris":["http://zotero.org/users/local/q9iiGY9y/items/JHMGXH8T"],"itemData":{"id":44,"type":"article-journal","abstract":"Various COVID-19 vaccines are available across the world. However, short phases of clinical trials for emergency use and myriad rumors about and misinformation on vaccines spread through different media sources, induce confusion and trigger vaccine hesitancy behavior. Although clinical trials demonstrated promising results in the ability of vaccines to protect, social endeavor is required for vaccines to succeed. Mitigation of the pandemic is only possible through widespread acceptance of the vaccine. Thus, identifying the factors that impact vaccine intake is crucial. This study determined factors that affect intentions toward vaccination using a mixed-method approach, in which qualitative and quantitative analyses were conducted together. Analysis of variance (ANOVA) is used in the quantitative study, and content analysis is employed in the qualitative study. The final sample of this mixed-method study consists of 568 participants for the quantitative study and 237 for the qualitative study. They were selected using an online questionnaire. Findings suggest that social, psychological, attitudinal, perceptual, and informational factors play a crucial role in shaping people's intentions toward vaccines, ultimately influencing their decision to accept or reject vaccination. Results of both the qualitative and quantitative studies, in parallel with each other, indicated similar barriers against and drivers toward vaccine intake behavior, providing strong insights into the reasons behind vaccine acceptance and hesitancy. Based on the insights gained in this study, a set of recommendations were compiled for policymakers.","container-title":"Journal of Innovation &amp; Knowledge","DOI":"https://doi.org/10.1016/j.jik.2023.100413","ISSN":"2444-569X","issue":"4","page":"100413","title":"Identification of the drivers of and barriers to COVID-19 vaccine intake behavior using a mixed-method design: implications from a developing country","volume":"8","author":[{"family":"Kordestani","given":"Arash"},{"family":"Oghazi","given":"Pejvak"},{"family":"Izmir","given":"Onur"},{"family":"Oypan","given":"Oguz"},{"family":"Ozer","given":"Serhat"}],"issued":{"date-parts":[["2023",10,1]]}}}],"schema":"https://github.com/citation-style-language/schema/raw/master/csl-citation.json"} </w:instrText>
      </w:r>
      <w:r w:rsidR="00625CF6">
        <w:rPr>
          <w:rFonts w:ascii="Arial" w:hAnsi="Arial" w:cs="Arial"/>
        </w:rPr>
        <w:fldChar w:fldCharType="separate"/>
      </w:r>
      <w:r w:rsidR="00625CF6" w:rsidRPr="00625CF6">
        <w:rPr>
          <w:rFonts w:ascii="Arial" w:hAnsi="Arial" w:cs="Arial"/>
        </w:rPr>
        <w:t>[22]</w:t>
      </w:r>
      <w:r w:rsidR="00625CF6">
        <w:rPr>
          <w:rFonts w:ascii="Arial" w:hAnsi="Arial" w:cs="Arial"/>
        </w:rPr>
        <w:fldChar w:fldCharType="end"/>
      </w:r>
      <w:r w:rsidRPr="00A70E6F">
        <w:rPr>
          <w:rFonts w:ascii="Arial" w:hAnsi="Arial" w:cs="Arial"/>
        </w:rPr>
        <w:t>.</w:t>
      </w:r>
    </w:p>
    <w:p w14:paraId="63D639FE" w14:textId="77777777" w:rsidR="00A2172F" w:rsidRDefault="00A2172F" w:rsidP="00441B6F">
      <w:pPr>
        <w:pStyle w:val="Body"/>
        <w:spacing w:after="0"/>
        <w:rPr>
          <w:rFonts w:ascii="Arial" w:hAnsi="Arial" w:cs="Arial"/>
        </w:rPr>
      </w:pPr>
    </w:p>
    <w:p w14:paraId="2C7BA076" w14:textId="77777777" w:rsidR="00A2172F" w:rsidRDefault="00A2172F" w:rsidP="00925C31">
      <w:pPr>
        <w:pStyle w:val="Head1"/>
        <w:spacing w:after="0"/>
        <w:jc w:val="both"/>
        <w:rPr>
          <w:rFonts w:ascii="Arial" w:hAnsi="Arial" w:cs="Arial"/>
        </w:rPr>
      </w:pPr>
      <w:r>
        <w:rPr>
          <w:rFonts w:ascii="Arial" w:hAnsi="Arial" w:cs="Arial"/>
        </w:rPr>
        <w:t xml:space="preserve">7. </w:t>
      </w:r>
      <w:r w:rsidRPr="00A70E6F">
        <w:rPr>
          <w:rFonts w:ascii="Arial" w:hAnsi="Arial" w:cs="Arial"/>
        </w:rPr>
        <w:t>Global cooperation in pandemic prevention</w:t>
      </w:r>
    </w:p>
    <w:p w14:paraId="1DC7AAE2" w14:textId="77777777" w:rsidR="00A2172F" w:rsidRDefault="00A2172F" w:rsidP="00925C31">
      <w:pPr>
        <w:pStyle w:val="Head1"/>
        <w:spacing w:after="0"/>
        <w:jc w:val="both"/>
        <w:rPr>
          <w:rFonts w:ascii="Arial" w:hAnsi="Arial" w:cs="Arial"/>
        </w:rPr>
      </w:pPr>
    </w:p>
    <w:p w14:paraId="0FF355AE" w14:textId="77777777" w:rsidR="00A2172F" w:rsidRPr="00A70E6F" w:rsidRDefault="00A2172F" w:rsidP="00A70E6F">
      <w:pPr>
        <w:spacing w:after="160" w:line="278" w:lineRule="auto"/>
        <w:jc w:val="both"/>
        <w:rPr>
          <w:rFonts w:ascii="Arial" w:hAnsi="Arial" w:cs="Arial"/>
        </w:rPr>
      </w:pPr>
      <w:r w:rsidRPr="00A70E6F">
        <w:rPr>
          <w:rFonts w:ascii="Arial" w:hAnsi="Arial" w:cs="Arial"/>
        </w:rPr>
        <w:t>There is also a strong need for countries to work together to achieve effective pandemic prevention via transparent, rapid data sharing and coordinated international cooperation in public health emergencies, yet critical gaps remain in our understanding of COVID-19’s origins because full datasets on the earliest cases including animal trade records from Wuhan markets and coronavirus research conducted in regional laboratories have not been made available despite repeated appeals from the World Health Organization. This undermines phylogenetic and ecological analyses needed to trace COVID-19, to detect and thwart future zoonotic threats at their emergence.</w:t>
      </w:r>
    </w:p>
    <w:p w14:paraId="052AA2D2" w14:textId="13E681F4" w:rsidR="00A2172F" w:rsidRDefault="00A2172F" w:rsidP="00001215">
      <w:pPr>
        <w:spacing w:after="160" w:line="278" w:lineRule="auto"/>
        <w:jc w:val="both"/>
        <w:rPr>
          <w:rFonts w:ascii="Arial" w:hAnsi="Arial" w:cs="Arial"/>
        </w:rPr>
      </w:pPr>
      <w:r w:rsidRPr="00A70E6F">
        <w:rPr>
          <w:rFonts w:ascii="Arial" w:hAnsi="Arial" w:cs="Arial"/>
        </w:rPr>
        <w:t>This highlights a critical vulnerability in global health security, as the effective tracing and prevention of zoonotic diseases heavily rely on robust surveillance systems, particularly in resource-limited settings</w:t>
      </w:r>
      <w:r w:rsidR="00523D32">
        <w:rPr>
          <w:rFonts w:ascii="Arial" w:hAnsi="Arial" w:cs="Arial"/>
        </w:rPr>
        <w:t>.</w:t>
      </w:r>
      <w:r w:rsidRPr="00A70E6F">
        <w:rPr>
          <w:rFonts w:ascii="Arial" w:hAnsi="Arial" w:cs="Arial"/>
        </w:rPr>
        <w:t xml:space="preserve"> However, it faces </w:t>
      </w:r>
      <w:r w:rsidR="00523D32">
        <w:rPr>
          <w:rFonts w:ascii="Arial" w:hAnsi="Arial" w:cs="Arial"/>
        </w:rPr>
        <w:t xml:space="preserve">a </w:t>
      </w:r>
      <w:r w:rsidRPr="00A70E6F">
        <w:rPr>
          <w:rFonts w:ascii="Arial" w:hAnsi="Arial" w:cs="Arial"/>
        </w:rPr>
        <w:t>significant challenge in establishing effective surveillance systems is enhancing data integration. In many countries, data related to disease outbreaks, surveillance, and mortality/morbidity reports are fragmented</w:t>
      </w:r>
      <w:r w:rsidR="001A7699">
        <w:rPr>
          <w:rFonts w:ascii="Arial" w:hAnsi="Arial" w:cs="Arial"/>
        </w:rPr>
        <w:fldChar w:fldCharType="begin"/>
      </w:r>
      <w:r w:rsidR="007D70C4">
        <w:rPr>
          <w:rFonts w:ascii="Arial" w:hAnsi="Arial" w:cs="Arial"/>
        </w:rPr>
        <w:instrText xml:space="preserve"> ADDIN ZOTERO_ITEM CSL_CITATION {"citationID":"InMrA6zS","properties":{"formattedCitation":"[23]","plainCitation":"[23]","noteIndex":0},"citationItems":[{"id":76,"uris":["http://zotero.org/users/local/q9iiGY9y/items/EXW8J3QY"],"itemData":{"id":76,"type":"article-journal","abstract":"Out of all emerging infectious diseases, approximately 75% are of zoonotic origin, with their source often traced back to animals. The emergence of zoonoses is driven by a complex interplay between anthropogenic, genetic, ecological, socioeconomic, and climatic factors. This intricate web of influences poses significant challenges for the prediction and prevention of zoonotic outbreaks. Effective coordination and collaboration among the animal, human, and environmental health sectors are essential for proactively addressing major zoonotic diseases. Despite advancements in surveillance and diagnostic practices, the emergence of zoonoses continues to be a pressing global concern. Therefore, prioritizing zoonotic disease surveillance is of paramount importance as part of a comprehensive disease prevention and containment strategy. Furthermore, evaluating existing surveillance systems provides insights into the challenges faced, which can be mitigated through implementation of One Health principles involving relevant stakeholders. To initiate multisectoral partnerships, it is crucial to identify the priorities and core themes of surveillance systems with equitable inputs from various sectors. Strengthening surveillance, promoting data sharing, enhancing laboratory testing capabilities, and fostering joint outbreak responses in both the human and animal health sectors will establish the necessary infrastructure to effectively prevent, predict, detect, and respond to emerging health threats, thereby reinforcing global health security. This review assesses existing surveillance approaches by offering an overview of global agencies engaged in monitoring zoonoses and outlines the essential components required at the human-animal-environment interface for designing comprehensive surveillance networks. Additionally, it discusses the key steps necessary for executing effective zoonotic disease surveillance through a One Health approach, while highlighting the key challenges encountered in establishing such a robust surveillance system.","container-title":"Sci One Health","DOI":"10.1016/j.soh.2023.100050","ISSN":"2949-7043","language":"eng","note":"PMCID: PMC11262259","page":"100050","title":"Surveillance and response strategies for zoonotic diseases: a comprehensive review","volume":"2","author":[{"family":"Sharan","given":"M."},{"family":"Vijay","given":"D."},{"family":"Yadav","given":"J. P."},{"family":"Bedi","given":"J. S."},{"family":"Dhaka","given":"P."}],"issued":{"date-parts":[["2023"]]}}}],"schema":"https://github.com/citation-style-language/schema/raw/master/csl-citation.json"} </w:instrText>
      </w:r>
      <w:r w:rsidR="001A7699">
        <w:rPr>
          <w:rFonts w:ascii="Arial" w:hAnsi="Arial" w:cs="Arial"/>
        </w:rPr>
        <w:fldChar w:fldCharType="separate"/>
      </w:r>
      <w:r w:rsidR="007D70C4" w:rsidRPr="007D70C4">
        <w:rPr>
          <w:rFonts w:ascii="Arial" w:hAnsi="Arial" w:cs="Arial"/>
        </w:rPr>
        <w:t>[23]</w:t>
      </w:r>
      <w:r w:rsidR="001A7699">
        <w:rPr>
          <w:rFonts w:ascii="Arial" w:hAnsi="Arial" w:cs="Arial"/>
        </w:rPr>
        <w:fldChar w:fldCharType="end"/>
      </w:r>
      <w:r w:rsidRPr="00A70E6F">
        <w:rPr>
          <w:rFonts w:ascii="Arial" w:hAnsi="Arial" w:cs="Arial"/>
        </w:rPr>
        <w:t>. Vital registration systems often operate in isolation from healthcare systems, leading to substantial gaps in understanding disease patterns and their real-world impacts. Furthermore, data concerning animal trade are frequently inadequate and unreliable</w:t>
      </w:r>
      <w:r w:rsidR="001A7699">
        <w:rPr>
          <w:rFonts w:ascii="Arial" w:hAnsi="Arial" w:cs="Arial"/>
        </w:rPr>
        <w:fldChar w:fldCharType="begin"/>
      </w:r>
      <w:r w:rsidR="007D70C4">
        <w:rPr>
          <w:rFonts w:ascii="Arial" w:hAnsi="Arial" w:cs="Arial"/>
        </w:rPr>
        <w:instrText xml:space="preserve"> ADDIN ZOTERO_ITEM CSL_CITATION {"citationID":"GTcCyQZW","properties":{"formattedCitation":"[24]","plainCitation":"[24]","noteIndex":0},"citationItems":[{"id":79,"uris":["http://zotero.org/users/local/q9iiGY9y/items/WQCXYLY7"],"itemData":{"id":79,"type":"article-journal","abstract":"In 2003, the U.S. experienced an outbreak of monkeypox. This was the first time human monkeypox was reported outside of Africa.\nHow was monkeypox first diagnosed in the United States?\nThe clinical features of the illness in U.S. patients—fever, headache, muscle aches, and rash— were consistent with those of monkeypox. Initially, scientists at the Marshfield Clinic in Marshfield, Wisconsin, recovered a virus resembling a poxvirus from one of the first patients and the patient’s pet prairie dog. Laboratory tests at CDC—including several PCR-based assays looking for poxvirus DNA, electron microscopy, and gene sequencing—confirmed that the agent causing the illnesses was monkeypox virus.\nWhich states were affected by the outbreak?\nForty-seven confirmed and probable cases of monkeypox were reported from six states—Illinois, Indiana, Kansas, Missouri, Ohio, and Wisconsin – during the 2003 U.S. outbreak.","language":"eng","title":"2003 United States outbreak of monkeypox","editor":[{"family":"National Center for","given":"Emerging"},{"family":"Zoonotic Infectious Diseases . Division of High-Consequence","given":"Pathogens"},{"family":"Pathology","given":""}],"issued":{"date-parts":[["2018"]]}}}],"schema":"https://github.com/citation-style-language/schema/raw/master/csl-citation.json"} </w:instrText>
      </w:r>
      <w:r w:rsidR="001A7699">
        <w:rPr>
          <w:rFonts w:ascii="Arial" w:hAnsi="Arial" w:cs="Arial"/>
        </w:rPr>
        <w:fldChar w:fldCharType="separate"/>
      </w:r>
      <w:r w:rsidR="007D70C4" w:rsidRPr="007D70C4">
        <w:rPr>
          <w:rFonts w:ascii="Arial" w:hAnsi="Arial" w:cs="Arial"/>
        </w:rPr>
        <w:t>[24]</w:t>
      </w:r>
      <w:r w:rsidR="001A7699">
        <w:rPr>
          <w:rFonts w:ascii="Arial" w:hAnsi="Arial" w:cs="Arial"/>
        </w:rPr>
        <w:fldChar w:fldCharType="end"/>
      </w:r>
      <w:r w:rsidRPr="00A70E6F">
        <w:rPr>
          <w:rFonts w:ascii="Arial" w:hAnsi="Arial" w:cs="Arial"/>
        </w:rPr>
        <w:t>. There are often deficiencies in critical information such as the species involved, trade volumes, trade routes, and long-term trends in both legal and illegal, national and international trade of domestic animals and wildlife</w:t>
      </w:r>
      <w:r w:rsidR="00625CF6">
        <w:rPr>
          <w:rFonts w:ascii="Arial" w:hAnsi="Arial" w:cs="Arial"/>
        </w:rPr>
        <w:fldChar w:fldCharType="begin"/>
      </w:r>
      <w:r w:rsidR="00001215">
        <w:rPr>
          <w:rFonts w:ascii="Arial" w:hAnsi="Arial" w:cs="Arial"/>
        </w:rPr>
        <w:instrText xml:space="preserve"> ADDIN ZOTERO_ITEM CSL_CITATION {"citationID":"syDG9CPg","properties":{"formattedCitation":"[24]","plainCitation":"[24]","noteIndex":0},"citationItems":[{"id":79,"uris":["http://zotero.org/users/local/q9iiGY9y/items/WQCXYLY7"],"itemData":{"id":79,"type":"article-journal","abstract":"In 2003, the U.S. experienced an outbreak of monkeypox. This was the first time human monkeypox was reported outside of Africa.\nHow was monkeypox first diagnosed in the United States?\nThe clinical features of the illness in U.S. patients—fever, headache, muscle aches, and rash— were consistent with those of monkeypox. Initially, scientists at the Marshfield Clinic in Marshfield, Wisconsin, recovered a virus resembling a poxvirus from one of the first patients and the patient’s pet prairie dog. Laboratory tests at CDC—including several PCR-based assays looking for poxvirus DNA, electron microscopy, and gene sequencing—confirmed that the agent causing the illnesses was monkeypox virus.\nWhich states were affected by the outbreak?\nForty-seven confirmed and probable cases of monkeypox were reported from six states—Illinois, Indiana, Kansas, Missouri, Ohio, and Wisconsin – during the 2003 U.S. outbreak.","language":"eng","title":"2003 United States outbreak of monkeypox","editor":[{"family":"National Center for","given":"Emerging"},{"family":"Zoonotic Infectious Diseases . Division of High-Consequence","given":"Pathogens"},{"family":"Pathology","given":""}],"issued":{"date-parts":[["2018"]]}}}],"schema":"https://github.com/citation-style-language/schema/raw/master/csl-citation.json"} </w:instrText>
      </w:r>
      <w:r w:rsidR="00625CF6">
        <w:rPr>
          <w:rFonts w:ascii="Arial" w:hAnsi="Arial" w:cs="Arial"/>
        </w:rPr>
        <w:fldChar w:fldCharType="separate"/>
      </w:r>
      <w:r w:rsidR="00001215" w:rsidRPr="00001215">
        <w:rPr>
          <w:rFonts w:ascii="Arial" w:hAnsi="Arial" w:cs="Arial"/>
        </w:rPr>
        <w:t>[24]</w:t>
      </w:r>
      <w:r w:rsidR="00625CF6">
        <w:rPr>
          <w:rFonts w:ascii="Arial" w:hAnsi="Arial" w:cs="Arial"/>
        </w:rPr>
        <w:fldChar w:fldCharType="end"/>
      </w:r>
      <w:r w:rsidRPr="00A70E6F">
        <w:rPr>
          <w:rFonts w:ascii="Arial" w:hAnsi="Arial" w:cs="Arial"/>
        </w:rPr>
        <w:t>. This lack of comprehensive monitoring and surveillance of wildlife trade significantly elevates the risk of zoonotic disease emergence, as exemplified by the transmission of the monkeypox virus from Ghana to Texas via the pet trade involving pouched rats</w:t>
      </w:r>
      <w:r w:rsidR="001A7699">
        <w:rPr>
          <w:rFonts w:ascii="Arial" w:hAnsi="Arial" w:cs="Arial"/>
        </w:rPr>
        <w:fldChar w:fldCharType="begin"/>
      </w:r>
      <w:r w:rsidR="007D70C4">
        <w:rPr>
          <w:rFonts w:ascii="Arial" w:hAnsi="Arial" w:cs="Arial"/>
        </w:rPr>
        <w:instrText xml:space="preserve"> ADDIN ZOTERO_ITEM CSL_CITATION {"citationID":"Xec4uYJ4","properties":{"formattedCitation":"[24]","plainCitation":"[24]","noteIndex":0},"citationItems":[{"id":79,"uris":["http://zotero.org/users/local/q9iiGY9y/items/WQCXYLY7"],"itemData":{"id":79,"type":"article-journal","abstract":"In 2003, the U.S. experienced an outbreak of monkeypox. This was the first time human monkeypox was reported outside of Africa.\nHow was monkeypox first diagnosed in the United States?\nThe clinical features of the illness in U.S. patients—fever, headache, muscle aches, and rash— were consistent with those of monkeypox. Initially, scientists at the Marshfield Clinic in Marshfield, Wisconsin, recovered a virus resembling a poxvirus from one of the first patients and the patient’s pet prairie dog. Laboratory tests at CDC—including several PCR-based assays looking for poxvirus DNA, electron microscopy, and gene sequencing—confirmed that the agent causing the illnesses was monkeypox virus.\nWhich states were affected by the outbreak?\nForty-seven confirmed and probable cases of monkeypox were reported from six states—Illinois, Indiana, Kansas, Missouri, Ohio, and Wisconsin – during the 2003 U.S. outbreak.","language":"eng","title":"2003 United States outbreak of monkeypox","editor":[{"family":"National Center for","given":"Emerging"},{"family":"Zoonotic Infectious Diseases . Division of High-Consequence","given":"Pathogens"},{"family":"Pathology","given":""}],"issued":{"date-parts":[["2018"]]}}}],"schema":"https://github.com/citation-style-language/schema/raw/master/csl-citation.json"} </w:instrText>
      </w:r>
      <w:r w:rsidR="001A7699">
        <w:rPr>
          <w:rFonts w:ascii="Arial" w:hAnsi="Arial" w:cs="Arial"/>
        </w:rPr>
        <w:fldChar w:fldCharType="separate"/>
      </w:r>
      <w:r w:rsidR="007D70C4" w:rsidRPr="007D70C4">
        <w:rPr>
          <w:rFonts w:ascii="Arial" w:hAnsi="Arial" w:cs="Arial"/>
        </w:rPr>
        <w:t>[24]</w:t>
      </w:r>
      <w:r w:rsidR="001A7699">
        <w:rPr>
          <w:rFonts w:ascii="Arial" w:hAnsi="Arial" w:cs="Arial"/>
        </w:rPr>
        <w:fldChar w:fldCharType="end"/>
      </w:r>
      <w:r w:rsidRPr="00A70E6F">
        <w:rPr>
          <w:rFonts w:ascii="Arial" w:hAnsi="Arial" w:cs="Arial"/>
        </w:rPr>
        <w:t>. Therefore, strengthening the integration of data systems and improving reporting mechanisms and monitoring efforts for both domestic and wildlife trade are essential to mitigate the risk of zoonotic disease transmission and foster a more holistic understanding of disease dynamics.</w:t>
      </w:r>
    </w:p>
    <w:p w14:paraId="66823802" w14:textId="77777777" w:rsidR="00625CF6" w:rsidRPr="00FB3A86" w:rsidRDefault="00625CF6" w:rsidP="007D70C4">
      <w:pPr>
        <w:spacing w:after="160" w:line="278" w:lineRule="auto"/>
        <w:jc w:val="both"/>
        <w:rPr>
          <w:rFonts w:ascii="Arial" w:hAnsi="Arial" w:cs="Arial"/>
        </w:rPr>
      </w:pPr>
    </w:p>
    <w:p w14:paraId="4FB50504" w14:textId="77777777" w:rsidR="00A2172F" w:rsidRDefault="00A2172F" w:rsidP="00441B6F">
      <w:pPr>
        <w:pStyle w:val="ConcHead"/>
        <w:spacing w:after="0"/>
        <w:jc w:val="both"/>
        <w:rPr>
          <w:rFonts w:ascii="Arial" w:hAnsi="Arial" w:cs="Arial"/>
        </w:rPr>
      </w:pPr>
      <w:r>
        <w:rPr>
          <w:rFonts w:ascii="Arial" w:hAnsi="Arial" w:cs="Arial"/>
        </w:rPr>
        <w:t xml:space="preserve">8. </w:t>
      </w:r>
      <w:r w:rsidRPr="00FB3A86">
        <w:rPr>
          <w:rFonts w:ascii="Arial" w:hAnsi="Arial" w:cs="Arial"/>
        </w:rPr>
        <w:t>Conclusion</w:t>
      </w:r>
    </w:p>
    <w:p w14:paraId="6E8E432A" w14:textId="77777777" w:rsidR="00A2172F" w:rsidRPr="00FB3A86" w:rsidRDefault="00A2172F" w:rsidP="00441B6F">
      <w:pPr>
        <w:pStyle w:val="ConcHead"/>
        <w:spacing w:after="0"/>
        <w:jc w:val="both"/>
        <w:rPr>
          <w:rFonts w:ascii="Arial" w:hAnsi="Arial" w:cs="Arial"/>
        </w:rPr>
      </w:pPr>
    </w:p>
    <w:p w14:paraId="62B3A4DB" w14:textId="77777777" w:rsidR="00A2172F" w:rsidRPr="00A70E6F" w:rsidRDefault="00A2172F" w:rsidP="00A70E6F">
      <w:pPr>
        <w:pStyle w:val="Body"/>
        <w:rPr>
          <w:rFonts w:ascii="Arial" w:hAnsi="Arial" w:cs="Arial"/>
        </w:rPr>
      </w:pPr>
      <w:r w:rsidRPr="00A70E6F">
        <w:rPr>
          <w:rFonts w:ascii="Arial" w:hAnsi="Arial" w:cs="Arial"/>
        </w:rPr>
        <w:t xml:space="preserve">The COVID-19 experience has exposed critical weaknesses in our health systems—gaps in real-time surveillance, uneven funding, and a lack of behavioral insight into public response. Addressing these deficiencies will require investing in continuous monitoring networks, ensuring stable funding streams for public health infrastructure, and incorporating social and behavioral research into preparedness plans. At the same time, sustained international collaboration, through transparent data sharing and joint research, remains essential for early detection and containment. </w:t>
      </w:r>
    </w:p>
    <w:p w14:paraId="20C8567A" w14:textId="77777777" w:rsidR="00A2172F" w:rsidRDefault="00A2172F" w:rsidP="00A70E6F">
      <w:pPr>
        <w:pStyle w:val="Body"/>
        <w:spacing w:after="0"/>
        <w:rPr>
          <w:rFonts w:ascii="Arial" w:hAnsi="Arial" w:cs="Arial"/>
        </w:rPr>
      </w:pPr>
      <w:r w:rsidRPr="00A70E6F">
        <w:rPr>
          <w:rFonts w:ascii="Arial" w:hAnsi="Arial" w:cs="Arial"/>
        </w:rPr>
        <w:t xml:space="preserve">Aligning policy decisions, resource allocation, and community engagement around these priorities will strengthen our resilience and better prepare us for whatever emerges next. The legacy of COVID-19 must not be defined solely by pain, </w:t>
      </w:r>
      <w:r w:rsidRPr="00A70E6F">
        <w:rPr>
          <w:rFonts w:ascii="Arial" w:hAnsi="Arial" w:cs="Arial"/>
        </w:rPr>
        <w:lastRenderedPageBreak/>
        <w:t>loss, and disruption. Rather, the experience is fraught with lessons that the world should not waste. The question of the next pandemic is not if, but when.</w:t>
      </w:r>
    </w:p>
    <w:p w14:paraId="3F8D29B8" w14:textId="77777777" w:rsidR="00783C49" w:rsidRDefault="00783C49" w:rsidP="00783C49">
      <w:pPr>
        <w:pStyle w:val="Body"/>
        <w:spacing w:after="0"/>
        <w:rPr>
          <w:rFonts w:ascii="Arial" w:hAnsi="Arial" w:cs="Arial"/>
        </w:rPr>
      </w:pPr>
    </w:p>
    <w:p w14:paraId="258650C9" w14:textId="77777777" w:rsidR="00783C49" w:rsidRPr="00FB3A86" w:rsidRDefault="00783C49" w:rsidP="00783C49">
      <w:pPr>
        <w:pStyle w:val="Body"/>
        <w:spacing w:after="0"/>
        <w:rPr>
          <w:rFonts w:ascii="Arial" w:hAnsi="Arial" w:cs="Arial"/>
        </w:rPr>
      </w:pPr>
    </w:p>
    <w:p w14:paraId="2CD5F9CD" w14:textId="77777777" w:rsidR="00783C49" w:rsidRPr="00FB3A86" w:rsidRDefault="00783C49" w:rsidP="00783C49">
      <w:pPr>
        <w:pStyle w:val="AcknHead"/>
        <w:spacing w:after="0"/>
        <w:jc w:val="both"/>
        <w:rPr>
          <w:rFonts w:ascii="Arial" w:hAnsi="Arial" w:cs="Arial"/>
        </w:rPr>
      </w:pPr>
      <w:r w:rsidRPr="00783C49">
        <w:rPr>
          <w:rFonts w:ascii="Arial" w:hAnsi="Arial" w:cs="Arial"/>
        </w:rPr>
        <w:t>DISCLAIMER (ARTIFICIAL INTELLIGENCE)</w:t>
      </w:r>
    </w:p>
    <w:p w14:paraId="27DCEB97" w14:textId="69A383D2" w:rsidR="00783C49" w:rsidRDefault="00783C49" w:rsidP="00783C49">
      <w:pPr>
        <w:pStyle w:val="Body"/>
        <w:spacing w:after="0"/>
        <w:rPr>
          <w:rFonts w:ascii="Arial" w:hAnsi="Arial" w:cs="Arial"/>
        </w:rPr>
      </w:pPr>
    </w:p>
    <w:p w14:paraId="6146C995" w14:textId="67DD3B6E" w:rsidR="00783C49" w:rsidRPr="00315186" w:rsidRDefault="00523A3F" w:rsidP="00783C49">
      <w:r w:rsidRPr="00523A3F">
        <w:t>The author(s) declare that no generative AI technologies, such as Large Language Models (e.g., ChatGPT, COPILOT) or text-to-image generators, were used during the writing or editing of this manuscript</w:t>
      </w:r>
      <w:r>
        <w:t>.</w:t>
      </w:r>
    </w:p>
    <w:p w14:paraId="73B04F23" w14:textId="77777777" w:rsidR="00783C49" w:rsidRDefault="00783C49" w:rsidP="00783C49">
      <w:pPr>
        <w:pStyle w:val="Body"/>
        <w:spacing w:after="0"/>
        <w:rPr>
          <w:rFonts w:ascii="Arial" w:hAnsi="Arial" w:cs="Arial"/>
        </w:rPr>
      </w:pPr>
    </w:p>
    <w:p w14:paraId="4DD8F523" w14:textId="77777777" w:rsidR="00783C49" w:rsidRPr="00FB3A86" w:rsidRDefault="00783C49" w:rsidP="00783C49">
      <w:pPr>
        <w:pStyle w:val="Body"/>
        <w:spacing w:after="0"/>
        <w:rPr>
          <w:rFonts w:ascii="Arial" w:hAnsi="Arial" w:cs="Arial"/>
        </w:rPr>
      </w:pPr>
    </w:p>
    <w:p w14:paraId="1D1893A7" w14:textId="77777777" w:rsidR="00783C49" w:rsidRDefault="00783C49" w:rsidP="00783C49">
      <w:pPr>
        <w:pStyle w:val="Body"/>
        <w:spacing w:after="0"/>
        <w:rPr>
          <w:rFonts w:ascii="Arial" w:hAnsi="Arial" w:cs="Arial"/>
          <w:b/>
          <w:caps/>
          <w:sz w:val="22"/>
        </w:rPr>
      </w:pPr>
      <w:r w:rsidRPr="00783C49">
        <w:rPr>
          <w:rFonts w:ascii="Arial" w:hAnsi="Arial" w:cs="Arial"/>
          <w:b/>
          <w:caps/>
          <w:sz w:val="22"/>
        </w:rPr>
        <w:t>CONSENT</w:t>
      </w:r>
    </w:p>
    <w:p w14:paraId="758629A8" w14:textId="77777777" w:rsidR="00523D32" w:rsidRDefault="00523D32" w:rsidP="00783C49">
      <w:pPr>
        <w:pStyle w:val="Body"/>
        <w:spacing w:after="0"/>
        <w:rPr>
          <w:rFonts w:ascii="Arial" w:hAnsi="Arial" w:cs="Arial"/>
          <w:b/>
          <w:caps/>
          <w:sz w:val="22"/>
        </w:rPr>
      </w:pPr>
    </w:p>
    <w:p w14:paraId="3AF3866D" w14:textId="6136DB0B" w:rsidR="00783C49" w:rsidRDefault="00523D32" w:rsidP="00523D32">
      <w:pPr>
        <w:pStyle w:val="Body"/>
        <w:spacing w:after="0"/>
        <w:rPr>
          <w:rFonts w:ascii="Arial" w:hAnsi="Arial" w:cs="Arial"/>
        </w:rPr>
      </w:pPr>
      <w:r w:rsidRPr="00523D32">
        <w:rPr>
          <w:rFonts w:ascii="Arial" w:hAnsi="Arial" w:cs="Arial"/>
        </w:rPr>
        <w:t>Not applicable</w:t>
      </w:r>
    </w:p>
    <w:p w14:paraId="4305F900" w14:textId="77777777" w:rsidR="00783C49" w:rsidRDefault="00783C49" w:rsidP="00783C49">
      <w:pPr>
        <w:pStyle w:val="Body"/>
        <w:spacing w:after="0"/>
        <w:rPr>
          <w:rFonts w:ascii="Arial" w:hAnsi="Arial" w:cs="Arial"/>
        </w:rPr>
      </w:pPr>
    </w:p>
    <w:p w14:paraId="6DA52021" w14:textId="77777777" w:rsidR="00A20D98" w:rsidRDefault="00A20D98" w:rsidP="00783C49">
      <w:pPr>
        <w:pStyle w:val="Body"/>
        <w:spacing w:after="0"/>
        <w:rPr>
          <w:rFonts w:ascii="Arial" w:hAnsi="Arial" w:cs="Arial"/>
        </w:rPr>
      </w:pPr>
    </w:p>
    <w:p w14:paraId="572E3CA1" w14:textId="77777777" w:rsidR="00783C49" w:rsidRPr="00FB3A86" w:rsidRDefault="00783C49" w:rsidP="00783C49">
      <w:pPr>
        <w:pStyle w:val="Body"/>
        <w:spacing w:after="0"/>
        <w:rPr>
          <w:rFonts w:ascii="Arial" w:hAnsi="Arial" w:cs="Arial"/>
        </w:rPr>
      </w:pPr>
    </w:p>
    <w:p w14:paraId="26B7384C" w14:textId="77777777" w:rsidR="00783C49" w:rsidRDefault="00783C49" w:rsidP="00783C49">
      <w:pPr>
        <w:pStyle w:val="Body"/>
        <w:spacing w:after="0"/>
        <w:rPr>
          <w:rFonts w:ascii="Arial" w:hAnsi="Arial" w:cs="Arial"/>
          <w:b/>
          <w:caps/>
          <w:sz w:val="22"/>
        </w:rPr>
      </w:pPr>
      <w:r w:rsidRPr="00783C49">
        <w:rPr>
          <w:rFonts w:ascii="Arial" w:hAnsi="Arial" w:cs="Arial"/>
          <w:b/>
          <w:caps/>
          <w:sz w:val="22"/>
        </w:rPr>
        <w:t>ETHICAL APPROVAL</w:t>
      </w:r>
    </w:p>
    <w:p w14:paraId="1B865908" w14:textId="77777777" w:rsidR="00523A3F" w:rsidRDefault="00523A3F" w:rsidP="00783C49">
      <w:pPr>
        <w:pStyle w:val="Body"/>
        <w:spacing w:after="0"/>
        <w:rPr>
          <w:rFonts w:ascii="Arial" w:hAnsi="Arial" w:cs="Arial"/>
        </w:rPr>
      </w:pPr>
    </w:p>
    <w:p w14:paraId="51F7AB40" w14:textId="670A91C0" w:rsidR="00783C49" w:rsidRDefault="00523A3F" w:rsidP="00783C49">
      <w:pPr>
        <w:pStyle w:val="Body"/>
        <w:spacing w:after="0"/>
        <w:rPr>
          <w:rFonts w:ascii="Arial" w:hAnsi="Arial" w:cs="Arial"/>
        </w:rPr>
      </w:pPr>
      <w:r>
        <w:rPr>
          <w:rFonts w:ascii="Arial" w:hAnsi="Arial" w:cs="Arial"/>
        </w:rPr>
        <w:t>Not applicable</w:t>
      </w:r>
      <w:r w:rsidR="00783C49" w:rsidRPr="001A29D8">
        <w:rPr>
          <w:rFonts w:ascii="Arial" w:hAnsi="Arial" w:cs="Arial"/>
        </w:rPr>
        <w:t>.</w:t>
      </w:r>
    </w:p>
    <w:p w14:paraId="7FC896A6" w14:textId="77777777" w:rsidR="00783C49" w:rsidRPr="00315186" w:rsidRDefault="00783C49" w:rsidP="00783C49"/>
    <w:p w14:paraId="1C1050FB" w14:textId="77777777" w:rsidR="00A2172F" w:rsidRPr="00315186" w:rsidRDefault="00A2172F" w:rsidP="00441B6F"/>
    <w:p w14:paraId="6DF02E7F" w14:textId="77777777" w:rsidR="00A2172F" w:rsidRDefault="00A2172F" w:rsidP="00441B6F">
      <w:pPr>
        <w:pStyle w:val="ReferHead"/>
        <w:spacing w:after="0"/>
        <w:jc w:val="both"/>
        <w:rPr>
          <w:rFonts w:ascii="Arial" w:hAnsi="Arial" w:cs="Arial"/>
        </w:rPr>
      </w:pPr>
    </w:p>
    <w:p w14:paraId="3234B726" w14:textId="77777777" w:rsidR="00A2172F" w:rsidRDefault="00A2172F" w:rsidP="00441B6F">
      <w:pPr>
        <w:pStyle w:val="ReferHead"/>
        <w:spacing w:after="0"/>
        <w:jc w:val="both"/>
        <w:rPr>
          <w:rFonts w:ascii="Arial" w:hAnsi="Arial" w:cs="Arial"/>
        </w:rPr>
      </w:pPr>
      <w:r w:rsidRPr="00FB3A86">
        <w:rPr>
          <w:rFonts w:ascii="Arial" w:hAnsi="Arial" w:cs="Arial"/>
        </w:rPr>
        <w:t>References</w:t>
      </w:r>
    </w:p>
    <w:p w14:paraId="2B62EDC5" w14:textId="77777777" w:rsidR="00A2172F" w:rsidRPr="00FB3A86" w:rsidRDefault="00A2172F" w:rsidP="00441B6F">
      <w:pPr>
        <w:pStyle w:val="ReferHead"/>
        <w:spacing w:after="0"/>
        <w:jc w:val="both"/>
        <w:rPr>
          <w:rFonts w:ascii="Arial" w:hAnsi="Arial" w:cs="Arial"/>
        </w:rPr>
      </w:pPr>
    </w:p>
    <w:p w14:paraId="0987473B" w14:textId="77777777" w:rsidR="00057B98" w:rsidRPr="00057B98" w:rsidRDefault="00057B98" w:rsidP="00057B98">
      <w:pPr>
        <w:pStyle w:val="Bibliography"/>
        <w:rPr>
          <w:rFonts w:cs="Helvetica"/>
        </w:rPr>
      </w:pPr>
      <w:r>
        <w:fldChar w:fldCharType="begin"/>
      </w:r>
      <w:r>
        <w:instrText xml:space="preserve"> ADDIN ZOTERO_BIBL {"uncited":[],"omitted":[],"custom":[]} CSL_BIBLIOGRAPHY </w:instrText>
      </w:r>
      <w:r>
        <w:fldChar w:fldCharType="separate"/>
      </w:r>
      <w:r w:rsidRPr="00057B98">
        <w:rPr>
          <w:rFonts w:cs="Helvetica"/>
        </w:rPr>
        <w:t xml:space="preserve">1. </w:t>
      </w:r>
      <w:r w:rsidRPr="00057B98">
        <w:rPr>
          <w:rFonts w:cs="Helvetica"/>
        </w:rPr>
        <w:tab/>
        <w:t xml:space="preserve">Patterson KD, Pyle GF. The geography and mortality of the 1918 influenza pandemic. Bull Hist Med. </w:t>
      </w:r>
      <w:r w:rsidRPr="00057B98">
        <w:rPr>
          <w:rFonts w:cs="Helvetica"/>
          <w:b/>
          <w:bCs/>
        </w:rPr>
        <w:t>1991</w:t>
      </w:r>
      <w:r w:rsidRPr="00057B98">
        <w:rPr>
          <w:rFonts w:cs="Helvetica"/>
        </w:rPr>
        <w:t xml:space="preserve">; 65(1):4–21. </w:t>
      </w:r>
    </w:p>
    <w:p w14:paraId="25C457C9" w14:textId="77777777" w:rsidR="00057B98" w:rsidRPr="00057B98" w:rsidRDefault="00057B98" w:rsidP="00057B98">
      <w:pPr>
        <w:pStyle w:val="Bibliography"/>
        <w:rPr>
          <w:rFonts w:cs="Helvetica"/>
        </w:rPr>
      </w:pPr>
      <w:r w:rsidRPr="00057B98">
        <w:rPr>
          <w:rFonts w:cs="Helvetica"/>
        </w:rPr>
        <w:t xml:space="preserve">2. </w:t>
      </w:r>
      <w:r w:rsidRPr="00057B98">
        <w:rPr>
          <w:rFonts w:cs="Helvetica"/>
        </w:rPr>
        <w:tab/>
        <w:t xml:space="preserve">Mills ID. The 1918-1919 influenza pandemic--the Indian experience. Indian Econ Soc Hist Rev. </w:t>
      </w:r>
      <w:r w:rsidRPr="00057B98">
        <w:rPr>
          <w:rFonts w:cs="Helvetica"/>
          <w:b/>
          <w:bCs/>
        </w:rPr>
        <w:t>1986</w:t>
      </w:r>
      <w:r w:rsidRPr="00057B98">
        <w:rPr>
          <w:rFonts w:cs="Helvetica"/>
        </w:rPr>
        <w:t xml:space="preserve">; 23(1):1–40. </w:t>
      </w:r>
    </w:p>
    <w:p w14:paraId="78687A15" w14:textId="77777777" w:rsidR="00057B98" w:rsidRPr="00057B98" w:rsidRDefault="00057B98" w:rsidP="00057B98">
      <w:pPr>
        <w:pStyle w:val="Bibliography"/>
        <w:rPr>
          <w:rFonts w:cs="Helvetica"/>
        </w:rPr>
      </w:pPr>
      <w:r w:rsidRPr="00057B98">
        <w:rPr>
          <w:rFonts w:cs="Helvetica"/>
        </w:rPr>
        <w:t xml:space="preserve">3. </w:t>
      </w:r>
      <w:r w:rsidRPr="00057B98">
        <w:rPr>
          <w:rFonts w:cs="Helvetica"/>
        </w:rPr>
        <w:tab/>
        <w:t xml:space="preserve">Johnson NP, Mueller J. Updating the accounts: global mortality of the 1918-1920 “Spanish” influenza pandemic. Bull Hist Med. </w:t>
      </w:r>
      <w:r w:rsidRPr="00057B98">
        <w:rPr>
          <w:rFonts w:cs="Helvetica"/>
          <w:b/>
          <w:bCs/>
        </w:rPr>
        <w:t>2002</w:t>
      </w:r>
      <w:r w:rsidRPr="00057B98">
        <w:rPr>
          <w:rFonts w:cs="Helvetica"/>
        </w:rPr>
        <w:t xml:space="preserve">; 76(1):105–15. </w:t>
      </w:r>
    </w:p>
    <w:p w14:paraId="5B205D15" w14:textId="77777777" w:rsidR="00057B98" w:rsidRPr="00057B98" w:rsidRDefault="00057B98" w:rsidP="00057B98">
      <w:pPr>
        <w:pStyle w:val="Bibliography"/>
        <w:rPr>
          <w:rFonts w:cs="Helvetica"/>
        </w:rPr>
      </w:pPr>
      <w:r w:rsidRPr="00057B98">
        <w:rPr>
          <w:rFonts w:cs="Helvetica"/>
        </w:rPr>
        <w:t xml:space="preserve">4. </w:t>
      </w:r>
      <w:r w:rsidRPr="00057B98">
        <w:rPr>
          <w:rFonts w:cs="Helvetica"/>
        </w:rPr>
        <w:tab/>
        <w:t xml:space="preserve">Van Kerkhove MD. Don’t pretend COVID-19 didn’t happen. Science. </w:t>
      </w:r>
      <w:r w:rsidRPr="00057B98">
        <w:rPr>
          <w:rFonts w:cs="Helvetica"/>
          <w:b/>
          <w:bCs/>
        </w:rPr>
        <w:t>2025</w:t>
      </w:r>
      <w:r w:rsidRPr="00057B98">
        <w:rPr>
          <w:rFonts w:cs="Helvetica"/>
        </w:rPr>
        <w:t xml:space="preserve">; 387(6731):229. </w:t>
      </w:r>
    </w:p>
    <w:p w14:paraId="039FC660" w14:textId="77777777" w:rsidR="00057B98" w:rsidRPr="00057B98" w:rsidRDefault="00057B98" w:rsidP="00057B98">
      <w:pPr>
        <w:pStyle w:val="Bibliography"/>
        <w:rPr>
          <w:rFonts w:cs="Helvetica"/>
        </w:rPr>
      </w:pPr>
      <w:r w:rsidRPr="00057B98">
        <w:rPr>
          <w:rFonts w:cs="Helvetica"/>
        </w:rPr>
        <w:t xml:space="preserve">5. </w:t>
      </w:r>
      <w:r w:rsidRPr="00057B98">
        <w:rPr>
          <w:rFonts w:cs="Helvetica"/>
        </w:rPr>
        <w:tab/>
        <w:t xml:space="preserve">World Health Organization. Who Coronavirus (Covid-19) Dashboard: Deaths. 2025. </w:t>
      </w:r>
    </w:p>
    <w:p w14:paraId="2389F8E4" w14:textId="77777777" w:rsidR="00057B98" w:rsidRPr="00057B98" w:rsidRDefault="00057B98" w:rsidP="00057B98">
      <w:pPr>
        <w:pStyle w:val="Bibliography"/>
        <w:rPr>
          <w:rFonts w:cs="Helvetica"/>
        </w:rPr>
      </w:pPr>
      <w:r w:rsidRPr="00057B98">
        <w:rPr>
          <w:rFonts w:cs="Helvetica"/>
        </w:rPr>
        <w:t xml:space="preserve">6. </w:t>
      </w:r>
      <w:r w:rsidRPr="00057B98">
        <w:rPr>
          <w:rFonts w:cs="Helvetica"/>
        </w:rPr>
        <w:tab/>
        <w:t xml:space="preserve">Bouza E, Arango C, Moreno C, et al. Impact of the COVID-19 pandemic on the mental health of the general population and health care workers. Rev Esp Quimioter. </w:t>
      </w:r>
      <w:r w:rsidRPr="00057B98">
        <w:rPr>
          <w:rFonts w:cs="Helvetica"/>
          <w:b/>
          <w:bCs/>
        </w:rPr>
        <w:t>2023</w:t>
      </w:r>
      <w:r w:rsidRPr="00057B98">
        <w:rPr>
          <w:rFonts w:cs="Helvetica"/>
        </w:rPr>
        <w:t xml:space="preserve">; 36(2):125–143. </w:t>
      </w:r>
    </w:p>
    <w:p w14:paraId="7F1DF627" w14:textId="77777777" w:rsidR="00057B98" w:rsidRPr="00057B98" w:rsidRDefault="00057B98" w:rsidP="00057B98">
      <w:pPr>
        <w:pStyle w:val="Bibliography"/>
        <w:rPr>
          <w:rFonts w:cs="Helvetica"/>
        </w:rPr>
      </w:pPr>
      <w:r w:rsidRPr="00057B98">
        <w:rPr>
          <w:rFonts w:cs="Helvetica"/>
        </w:rPr>
        <w:t xml:space="preserve">7. </w:t>
      </w:r>
      <w:r w:rsidRPr="00057B98">
        <w:rPr>
          <w:rFonts w:cs="Helvetica"/>
        </w:rPr>
        <w:tab/>
        <w:t xml:space="preserve">Lee S, Moon H, Ko J, Cankaya B, Caine E, You S. Social connectedness and mental health before and during the COVID-19 pandemic in a community sample in Korea. PLoS One. </w:t>
      </w:r>
      <w:r w:rsidRPr="00057B98">
        <w:rPr>
          <w:rFonts w:cs="Helvetica"/>
          <w:b/>
          <w:bCs/>
        </w:rPr>
        <w:t>2023</w:t>
      </w:r>
      <w:r w:rsidRPr="00057B98">
        <w:rPr>
          <w:rFonts w:cs="Helvetica"/>
        </w:rPr>
        <w:t xml:space="preserve">; 18(10):e0292219. </w:t>
      </w:r>
    </w:p>
    <w:p w14:paraId="3B792044" w14:textId="77777777" w:rsidR="00057B98" w:rsidRPr="00057B98" w:rsidRDefault="00057B98" w:rsidP="00057B98">
      <w:pPr>
        <w:pStyle w:val="Bibliography"/>
        <w:rPr>
          <w:rFonts w:cs="Helvetica"/>
        </w:rPr>
      </w:pPr>
      <w:r w:rsidRPr="00057B98">
        <w:rPr>
          <w:rFonts w:cs="Helvetica"/>
        </w:rPr>
        <w:t xml:space="preserve">8. </w:t>
      </w:r>
      <w:r w:rsidRPr="00057B98">
        <w:rPr>
          <w:rFonts w:cs="Helvetica"/>
        </w:rPr>
        <w:tab/>
        <w:t xml:space="preserve">Madhav N, Oppenheim B, Gallivan M, Mulembakani P, Rubin E, Wolfe N. Pandemics: Risks, Impacts, and Mitigation. In: Jamison DT, Gelband H, Horton S, et al., editors. Disease Control Priorities: Improving Health and Reducing Poverty. 3rd ed. Washington (DC); 2017. </w:t>
      </w:r>
    </w:p>
    <w:p w14:paraId="30D7B256" w14:textId="77777777" w:rsidR="00057B98" w:rsidRPr="00057B98" w:rsidRDefault="00057B98" w:rsidP="00057B98">
      <w:pPr>
        <w:pStyle w:val="Bibliography"/>
        <w:rPr>
          <w:rFonts w:cs="Helvetica"/>
        </w:rPr>
      </w:pPr>
      <w:r w:rsidRPr="00057B98">
        <w:rPr>
          <w:rFonts w:cs="Helvetica"/>
        </w:rPr>
        <w:t xml:space="preserve">9. </w:t>
      </w:r>
      <w:r w:rsidRPr="00057B98">
        <w:rPr>
          <w:rFonts w:cs="Helvetica"/>
        </w:rPr>
        <w:tab/>
        <w:t xml:space="preserve">Moon S, Sridhar D, Pate MA, et al. Will Ebola change the game? Ten essential reforms before the next pandemic. The report of the Harvard-LSHTM Independent Panel on the Global Response to Ebola. Lancet. </w:t>
      </w:r>
      <w:r w:rsidRPr="00057B98">
        <w:rPr>
          <w:rFonts w:cs="Helvetica"/>
          <w:b/>
          <w:bCs/>
        </w:rPr>
        <w:t>2015</w:t>
      </w:r>
      <w:r w:rsidRPr="00057B98">
        <w:rPr>
          <w:rFonts w:cs="Helvetica"/>
        </w:rPr>
        <w:t xml:space="preserve">; 386(10009):2204–21. </w:t>
      </w:r>
    </w:p>
    <w:p w14:paraId="5DE15AB7" w14:textId="77777777" w:rsidR="00057B98" w:rsidRPr="00057B98" w:rsidRDefault="00057B98" w:rsidP="00057B98">
      <w:pPr>
        <w:pStyle w:val="Bibliography"/>
        <w:rPr>
          <w:rFonts w:cs="Helvetica"/>
        </w:rPr>
      </w:pPr>
      <w:r w:rsidRPr="00057B98">
        <w:rPr>
          <w:rFonts w:cs="Helvetica"/>
        </w:rPr>
        <w:t xml:space="preserve">10. </w:t>
      </w:r>
      <w:r w:rsidRPr="00057B98">
        <w:rPr>
          <w:rFonts w:cs="Helvetica"/>
        </w:rPr>
        <w:tab/>
        <w:t xml:space="preserve">The Independent Panel for Pandemic Preparedness &amp; Response. 5. The Independent Panel’s recommendations for transforming the international system for pandemic preparedness and response. 2021. </w:t>
      </w:r>
    </w:p>
    <w:p w14:paraId="296217A4" w14:textId="77777777" w:rsidR="00057B98" w:rsidRPr="00057B98" w:rsidRDefault="00057B98" w:rsidP="00057B98">
      <w:pPr>
        <w:pStyle w:val="Bibliography"/>
        <w:rPr>
          <w:rFonts w:cs="Helvetica"/>
        </w:rPr>
      </w:pPr>
      <w:r w:rsidRPr="00057B98">
        <w:rPr>
          <w:rFonts w:cs="Helvetica"/>
        </w:rPr>
        <w:t xml:space="preserve">11. </w:t>
      </w:r>
      <w:r w:rsidRPr="00057B98">
        <w:rPr>
          <w:rFonts w:cs="Helvetica"/>
        </w:rPr>
        <w:tab/>
        <w:t xml:space="preserve">Burström B, Tao W. Social determinants of health and inequalities in COVID-19. Eur J Public Health. </w:t>
      </w:r>
      <w:r w:rsidRPr="00057B98">
        <w:rPr>
          <w:rFonts w:cs="Helvetica"/>
          <w:b/>
          <w:bCs/>
        </w:rPr>
        <w:t>2020</w:t>
      </w:r>
      <w:r w:rsidRPr="00057B98">
        <w:rPr>
          <w:rFonts w:cs="Helvetica"/>
        </w:rPr>
        <w:t xml:space="preserve">; 30(4):617–618. </w:t>
      </w:r>
    </w:p>
    <w:p w14:paraId="3331BD67" w14:textId="77777777" w:rsidR="00057B98" w:rsidRPr="00057B98" w:rsidRDefault="00057B98" w:rsidP="00057B98">
      <w:pPr>
        <w:pStyle w:val="Bibliography"/>
        <w:rPr>
          <w:rFonts w:cs="Helvetica"/>
        </w:rPr>
      </w:pPr>
      <w:r w:rsidRPr="00057B98">
        <w:rPr>
          <w:rFonts w:cs="Helvetica"/>
        </w:rPr>
        <w:t xml:space="preserve">12. </w:t>
      </w:r>
      <w:r w:rsidRPr="00057B98">
        <w:rPr>
          <w:rFonts w:cs="Helvetica"/>
        </w:rPr>
        <w:tab/>
        <w:t xml:space="preserve">Pisaneschi G, Tarani M, Di Donato G, Landi A, Laurino M, Manfredi P. Optimal social distancing in epidemic control: cost prioritization, adherence and insights into preparedness principles. Sci Rep. </w:t>
      </w:r>
      <w:r w:rsidRPr="00057B98">
        <w:rPr>
          <w:rFonts w:cs="Helvetica"/>
          <w:b/>
          <w:bCs/>
        </w:rPr>
        <w:t>2024</w:t>
      </w:r>
      <w:r w:rsidRPr="00057B98">
        <w:rPr>
          <w:rFonts w:cs="Helvetica"/>
        </w:rPr>
        <w:t xml:space="preserve">; 14(1):4365. </w:t>
      </w:r>
    </w:p>
    <w:p w14:paraId="163BF58F" w14:textId="77777777" w:rsidR="00057B98" w:rsidRPr="00057B98" w:rsidRDefault="00057B98" w:rsidP="00057B98">
      <w:pPr>
        <w:pStyle w:val="Bibliography"/>
        <w:rPr>
          <w:rFonts w:cs="Helvetica"/>
        </w:rPr>
      </w:pPr>
      <w:r w:rsidRPr="00057B98">
        <w:rPr>
          <w:rFonts w:cs="Helvetica"/>
        </w:rPr>
        <w:t xml:space="preserve">13. </w:t>
      </w:r>
      <w:r w:rsidRPr="00057B98">
        <w:rPr>
          <w:rFonts w:cs="Helvetica"/>
        </w:rPr>
        <w:tab/>
        <w:t xml:space="preserve">Hussein NR, Musa DH, Ibrahim N, Naqid IA, Saleem ZSM, Jacksi K. Impact of Covid-19 pandemic on surgical practice in Kurdistan, Iraq: An online cross-sectional survey. International Journal of Surgery Open. </w:t>
      </w:r>
      <w:r w:rsidRPr="00057B98">
        <w:rPr>
          <w:rFonts w:cs="Helvetica"/>
          <w:b/>
          <w:bCs/>
        </w:rPr>
        <w:t>2020</w:t>
      </w:r>
      <w:r w:rsidRPr="00057B98">
        <w:rPr>
          <w:rFonts w:cs="Helvetica"/>
        </w:rPr>
        <w:t xml:space="preserve">; 27:47–51. </w:t>
      </w:r>
    </w:p>
    <w:p w14:paraId="154819F6" w14:textId="77777777" w:rsidR="00057B98" w:rsidRPr="00057B98" w:rsidRDefault="00057B98" w:rsidP="00057B98">
      <w:pPr>
        <w:pStyle w:val="Bibliography"/>
        <w:rPr>
          <w:rFonts w:cs="Helvetica"/>
        </w:rPr>
      </w:pPr>
      <w:r w:rsidRPr="00057B98">
        <w:rPr>
          <w:rFonts w:cs="Helvetica"/>
        </w:rPr>
        <w:t xml:space="preserve">14. </w:t>
      </w:r>
      <w:r w:rsidRPr="00057B98">
        <w:rPr>
          <w:rFonts w:cs="Helvetica"/>
        </w:rPr>
        <w:tab/>
        <w:t xml:space="preserve">Williams BA, Jones CH, Welch V, True JM. Outlook of pandemic preparedness in a post-COVID-19 world. NPJ Vaccines. </w:t>
      </w:r>
      <w:r w:rsidRPr="00057B98">
        <w:rPr>
          <w:rFonts w:cs="Helvetica"/>
          <w:b/>
          <w:bCs/>
        </w:rPr>
        <w:t>2023</w:t>
      </w:r>
      <w:r w:rsidRPr="00057B98">
        <w:rPr>
          <w:rFonts w:cs="Helvetica"/>
        </w:rPr>
        <w:t xml:space="preserve">; 8(1):178. </w:t>
      </w:r>
    </w:p>
    <w:p w14:paraId="0A18AFE3" w14:textId="77777777" w:rsidR="00057B98" w:rsidRPr="00057B98" w:rsidRDefault="00057B98" w:rsidP="00057B98">
      <w:pPr>
        <w:pStyle w:val="Bibliography"/>
        <w:rPr>
          <w:rFonts w:cs="Helvetica"/>
        </w:rPr>
      </w:pPr>
      <w:r w:rsidRPr="00057B98">
        <w:rPr>
          <w:rFonts w:cs="Helvetica"/>
        </w:rPr>
        <w:t xml:space="preserve">15. </w:t>
      </w:r>
      <w:r w:rsidRPr="00057B98">
        <w:rPr>
          <w:rFonts w:cs="Helvetica"/>
        </w:rPr>
        <w:tab/>
        <w:t xml:space="preserve">World Health Organization. Pandemic influenza preparedness and response: A WHO guidance document. 2009. </w:t>
      </w:r>
    </w:p>
    <w:p w14:paraId="70204FCF" w14:textId="77777777" w:rsidR="00057B98" w:rsidRPr="00057B98" w:rsidRDefault="00057B98" w:rsidP="00057B98">
      <w:pPr>
        <w:pStyle w:val="Bibliography"/>
        <w:rPr>
          <w:rFonts w:cs="Helvetica"/>
        </w:rPr>
      </w:pPr>
      <w:r w:rsidRPr="00057B98">
        <w:rPr>
          <w:rFonts w:cs="Helvetica"/>
        </w:rPr>
        <w:t xml:space="preserve">16. </w:t>
      </w:r>
      <w:r w:rsidRPr="00057B98">
        <w:rPr>
          <w:rFonts w:cs="Helvetica"/>
        </w:rPr>
        <w:tab/>
        <w:t xml:space="preserve">Perlis RH, Ognyanova K, Uslu A, et al. Trust in Physicians and Hospitals During the COVID-19 Pandemic in a 50-State Survey of US Adults. JAMA Network Open. </w:t>
      </w:r>
      <w:r w:rsidRPr="00057B98">
        <w:rPr>
          <w:rFonts w:cs="Helvetica"/>
          <w:b/>
          <w:bCs/>
        </w:rPr>
        <w:t>2024</w:t>
      </w:r>
      <w:r w:rsidRPr="00057B98">
        <w:rPr>
          <w:rFonts w:cs="Helvetica"/>
        </w:rPr>
        <w:t xml:space="preserve">; 7(7):e2424984–e2424984. </w:t>
      </w:r>
    </w:p>
    <w:p w14:paraId="22A2A8D2" w14:textId="77777777" w:rsidR="00057B98" w:rsidRPr="00057B98" w:rsidRDefault="00057B98" w:rsidP="00057B98">
      <w:pPr>
        <w:pStyle w:val="Bibliography"/>
        <w:rPr>
          <w:rFonts w:cs="Helvetica"/>
        </w:rPr>
      </w:pPr>
      <w:r w:rsidRPr="00057B98">
        <w:rPr>
          <w:rFonts w:cs="Helvetica"/>
        </w:rPr>
        <w:t xml:space="preserve">17. </w:t>
      </w:r>
      <w:r w:rsidRPr="00057B98">
        <w:rPr>
          <w:rFonts w:cs="Helvetica"/>
        </w:rPr>
        <w:tab/>
        <w:t xml:space="preserve">Sen-Crowe B, McKenney M, Elkbuli A. Medication shortages during the COVID-19 pandemic: Saving more than COVID lives. Am J Emerg Med. </w:t>
      </w:r>
      <w:r w:rsidRPr="00057B98">
        <w:rPr>
          <w:rFonts w:cs="Helvetica"/>
          <w:b/>
          <w:bCs/>
        </w:rPr>
        <w:t>2021</w:t>
      </w:r>
      <w:r w:rsidRPr="00057B98">
        <w:rPr>
          <w:rFonts w:cs="Helvetica"/>
        </w:rPr>
        <w:t xml:space="preserve">; 45:557–559. </w:t>
      </w:r>
    </w:p>
    <w:p w14:paraId="55333410" w14:textId="77777777" w:rsidR="00057B98" w:rsidRPr="00057B98" w:rsidRDefault="00057B98" w:rsidP="00057B98">
      <w:pPr>
        <w:pStyle w:val="Bibliography"/>
        <w:rPr>
          <w:rFonts w:cs="Helvetica"/>
        </w:rPr>
      </w:pPr>
      <w:r w:rsidRPr="00057B98">
        <w:rPr>
          <w:rFonts w:cs="Helvetica"/>
        </w:rPr>
        <w:t xml:space="preserve">18. </w:t>
      </w:r>
      <w:r w:rsidRPr="00057B98">
        <w:rPr>
          <w:rFonts w:cs="Helvetica"/>
        </w:rPr>
        <w:tab/>
        <w:t xml:space="preserve">NHS Support Federation. Cuts to Public Health. </w:t>
      </w:r>
    </w:p>
    <w:p w14:paraId="2861375C" w14:textId="77777777" w:rsidR="00057B98" w:rsidRPr="00057B98" w:rsidRDefault="00057B98" w:rsidP="00057B98">
      <w:pPr>
        <w:pStyle w:val="Bibliography"/>
        <w:rPr>
          <w:rFonts w:cs="Helvetica"/>
        </w:rPr>
      </w:pPr>
      <w:r w:rsidRPr="00057B98">
        <w:rPr>
          <w:rFonts w:cs="Helvetica"/>
        </w:rPr>
        <w:t xml:space="preserve">19. </w:t>
      </w:r>
      <w:r w:rsidRPr="00057B98">
        <w:rPr>
          <w:rFonts w:cs="Helvetica"/>
        </w:rPr>
        <w:tab/>
        <w:t xml:space="preserve">Dissent Magazine. Austerity and the Unraveling of European Universal Health Care. 2017. </w:t>
      </w:r>
    </w:p>
    <w:p w14:paraId="34958D54" w14:textId="77777777" w:rsidR="00057B98" w:rsidRPr="00057B98" w:rsidRDefault="00057B98" w:rsidP="00057B98">
      <w:pPr>
        <w:pStyle w:val="Bibliography"/>
        <w:rPr>
          <w:rFonts w:cs="Helvetica"/>
        </w:rPr>
      </w:pPr>
      <w:r w:rsidRPr="00057B98">
        <w:rPr>
          <w:rFonts w:cs="Helvetica"/>
        </w:rPr>
        <w:t xml:space="preserve">20. </w:t>
      </w:r>
      <w:r w:rsidRPr="00057B98">
        <w:rPr>
          <w:rFonts w:cs="Helvetica"/>
        </w:rPr>
        <w:tab/>
        <w:t xml:space="preserve">Nunes MC, Thommes E, Frohlich H, et al. Redefining pandemic preparedness: Multidisciplinary insights from the CERP modelling workshop in infectious diseases, workshop report. Infect Dis Model. </w:t>
      </w:r>
      <w:r w:rsidRPr="00057B98">
        <w:rPr>
          <w:rFonts w:cs="Helvetica"/>
          <w:b/>
          <w:bCs/>
        </w:rPr>
        <w:t>2024</w:t>
      </w:r>
      <w:r w:rsidRPr="00057B98">
        <w:rPr>
          <w:rFonts w:cs="Helvetica"/>
        </w:rPr>
        <w:t xml:space="preserve">; 9(2):501–518. </w:t>
      </w:r>
    </w:p>
    <w:p w14:paraId="685B9F3D" w14:textId="77777777" w:rsidR="00057B98" w:rsidRPr="00057B98" w:rsidRDefault="00057B98" w:rsidP="00057B98">
      <w:pPr>
        <w:pStyle w:val="Bibliography"/>
        <w:rPr>
          <w:rFonts w:cs="Helvetica"/>
        </w:rPr>
      </w:pPr>
      <w:r w:rsidRPr="00057B98">
        <w:rPr>
          <w:rFonts w:cs="Helvetica"/>
        </w:rPr>
        <w:lastRenderedPageBreak/>
        <w:t xml:space="preserve">21. </w:t>
      </w:r>
      <w:r w:rsidRPr="00057B98">
        <w:rPr>
          <w:rFonts w:cs="Helvetica"/>
        </w:rPr>
        <w:tab/>
        <w:t xml:space="preserve">Ajzen I. The theory of planned behavior. Organizational Behavior and Human Decision Processes. </w:t>
      </w:r>
      <w:r w:rsidRPr="00057B98">
        <w:rPr>
          <w:rFonts w:cs="Helvetica"/>
          <w:b/>
          <w:bCs/>
        </w:rPr>
        <w:t>1991</w:t>
      </w:r>
      <w:r w:rsidRPr="00057B98">
        <w:rPr>
          <w:rFonts w:cs="Helvetica"/>
        </w:rPr>
        <w:t xml:space="preserve">; 50(2):179–211. </w:t>
      </w:r>
    </w:p>
    <w:p w14:paraId="1DF8CB31" w14:textId="77777777" w:rsidR="00057B98" w:rsidRPr="00057B98" w:rsidRDefault="00057B98" w:rsidP="00057B98">
      <w:pPr>
        <w:pStyle w:val="Bibliography"/>
        <w:rPr>
          <w:rFonts w:cs="Helvetica"/>
        </w:rPr>
      </w:pPr>
      <w:r w:rsidRPr="00057B98">
        <w:rPr>
          <w:rFonts w:cs="Helvetica"/>
        </w:rPr>
        <w:t xml:space="preserve">22. </w:t>
      </w:r>
      <w:r w:rsidRPr="00057B98">
        <w:rPr>
          <w:rFonts w:cs="Helvetica"/>
        </w:rPr>
        <w:tab/>
        <w:t xml:space="preserve">Kordestani A, Oghazi P, Izmir O, Oypan O, Ozer S. Identification of the drivers of and barriers to COVID-19 vaccine intake behavior using a mixed-method design: implications from a developing country. Journal of Innovation &amp; Knowledge. </w:t>
      </w:r>
      <w:r w:rsidRPr="00057B98">
        <w:rPr>
          <w:rFonts w:cs="Helvetica"/>
          <w:b/>
          <w:bCs/>
        </w:rPr>
        <w:t>2023</w:t>
      </w:r>
      <w:r w:rsidRPr="00057B98">
        <w:rPr>
          <w:rFonts w:cs="Helvetica"/>
        </w:rPr>
        <w:t xml:space="preserve">; 8(4):100413. </w:t>
      </w:r>
    </w:p>
    <w:p w14:paraId="6C97DD15" w14:textId="77777777" w:rsidR="00057B98" w:rsidRPr="00057B98" w:rsidRDefault="00057B98" w:rsidP="00057B98">
      <w:pPr>
        <w:pStyle w:val="Bibliography"/>
        <w:rPr>
          <w:rFonts w:cs="Helvetica"/>
        </w:rPr>
      </w:pPr>
      <w:r w:rsidRPr="00057B98">
        <w:rPr>
          <w:rFonts w:cs="Helvetica"/>
        </w:rPr>
        <w:t xml:space="preserve">23. </w:t>
      </w:r>
      <w:r w:rsidRPr="00057B98">
        <w:rPr>
          <w:rFonts w:cs="Helvetica"/>
        </w:rPr>
        <w:tab/>
        <w:t xml:space="preserve">Sharan M, Vijay D, Yadav JP, Bedi JS, Dhaka P. Surveillance and response strategies for zoonotic diseases: a comprehensive review. Sci One Health. </w:t>
      </w:r>
      <w:r w:rsidRPr="00057B98">
        <w:rPr>
          <w:rFonts w:cs="Helvetica"/>
          <w:b/>
          <w:bCs/>
        </w:rPr>
        <w:t>2023</w:t>
      </w:r>
      <w:r w:rsidRPr="00057B98">
        <w:rPr>
          <w:rFonts w:cs="Helvetica"/>
        </w:rPr>
        <w:t xml:space="preserve">; 2:100050. </w:t>
      </w:r>
    </w:p>
    <w:p w14:paraId="19095702" w14:textId="77777777" w:rsidR="00057B98" w:rsidRPr="00057B98" w:rsidRDefault="00057B98" w:rsidP="00057B98">
      <w:pPr>
        <w:pStyle w:val="Bibliography"/>
        <w:rPr>
          <w:rFonts w:cs="Helvetica"/>
        </w:rPr>
      </w:pPr>
      <w:r w:rsidRPr="00057B98">
        <w:rPr>
          <w:rFonts w:cs="Helvetica"/>
        </w:rPr>
        <w:t xml:space="preserve">24. </w:t>
      </w:r>
      <w:r w:rsidRPr="00057B98">
        <w:rPr>
          <w:rFonts w:cs="Helvetica"/>
        </w:rPr>
        <w:tab/>
        <w:t xml:space="preserve">National Center for E, Zoonotic Infectious Diseases . Division of High-Consequence P, Pathology, editors. 2003 United States outbreak of monkeypox. </w:t>
      </w:r>
      <w:r w:rsidRPr="00057B98">
        <w:rPr>
          <w:rFonts w:cs="Helvetica"/>
          <w:b/>
          <w:bCs/>
        </w:rPr>
        <w:t>2018</w:t>
      </w:r>
      <w:r w:rsidRPr="00057B98">
        <w:rPr>
          <w:rFonts w:cs="Helvetica"/>
        </w:rPr>
        <w:t xml:space="preserve">; . </w:t>
      </w:r>
    </w:p>
    <w:p w14:paraId="45F206AD" w14:textId="5CFC972B" w:rsidR="00A2172F" w:rsidRDefault="00057B98" w:rsidP="00441B6F">
      <w:pPr>
        <w:pStyle w:val="Body"/>
        <w:spacing w:after="0"/>
      </w:pPr>
      <w:r>
        <w:fldChar w:fldCharType="end"/>
      </w:r>
    </w:p>
    <w:p w14:paraId="5406E1DF" w14:textId="77777777" w:rsidR="00A2172F" w:rsidRPr="00FB3A86" w:rsidRDefault="00A2172F" w:rsidP="00441B6F">
      <w:pPr>
        <w:pStyle w:val="Body"/>
        <w:spacing w:after="0"/>
        <w:rPr>
          <w:rFonts w:ascii="Arial" w:hAnsi="Arial" w:cs="Arial"/>
        </w:rPr>
      </w:pPr>
    </w:p>
    <w:p w14:paraId="45CE7769" w14:textId="77777777" w:rsidR="00A2172F" w:rsidRDefault="00A2172F" w:rsidP="00441B6F">
      <w:pPr>
        <w:pStyle w:val="Appendix"/>
        <w:spacing w:after="0"/>
        <w:jc w:val="both"/>
        <w:rPr>
          <w:rFonts w:ascii="Arial" w:hAnsi="Arial" w:cs="Arial"/>
          <w:b w:val="0"/>
        </w:rPr>
      </w:pPr>
    </w:p>
    <w:bookmarkEnd w:id="0"/>
    <w:p w14:paraId="3CDEECAF" w14:textId="77777777" w:rsidR="00CB2ADB" w:rsidRDefault="00CB2ADB"/>
    <w:sectPr w:rsidR="00CB2ADB" w:rsidSect="003F4FAD">
      <w:footerReference w:type="default" r:id="rId1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5CC18" w14:textId="77777777" w:rsidR="00FE144A" w:rsidRDefault="00FE144A" w:rsidP="0084780F">
      <w:r>
        <w:separator/>
      </w:r>
    </w:p>
  </w:endnote>
  <w:endnote w:type="continuationSeparator" w:id="0">
    <w:p w14:paraId="43073119" w14:textId="77777777" w:rsidR="00FE144A" w:rsidRDefault="00FE144A" w:rsidP="00847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62D2E" w14:textId="1E4753CC" w:rsidR="007F2B70" w:rsidRPr="00200437" w:rsidRDefault="007F2B70" w:rsidP="00200437">
    <w:pPr>
      <w:pStyle w:val="Footer"/>
    </w:pPr>
    <w:r w:rsidRPr="0020043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06739" w14:textId="77777777" w:rsidR="0011283F" w:rsidRDefault="0011283F">
    <w:pPr>
      <w:pStyle w:val="Footer"/>
      <w:rPr>
        <w:rFonts w:ascii="Arial" w:hAnsi="Arial" w:cs="Arial"/>
        <w:sz w:val="16"/>
      </w:rPr>
    </w:pPr>
  </w:p>
  <w:p w14:paraId="2F34D4B8" w14:textId="77777777" w:rsidR="0011283F" w:rsidRDefault="00FE144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8D1569C" w14:textId="77777777" w:rsidR="0011283F" w:rsidRDefault="0011283F">
    <w:pPr>
      <w:pStyle w:val="Footer"/>
      <w:rPr>
        <w:rFonts w:ascii="Arial" w:hAnsi="Arial" w:cs="Arial"/>
        <w:sz w:val="16"/>
      </w:rPr>
    </w:pPr>
  </w:p>
  <w:p w14:paraId="31F46841" w14:textId="77777777" w:rsidR="0011283F" w:rsidRPr="009E048A" w:rsidRDefault="00FE144A">
    <w:pPr>
      <w:pStyle w:val="Footer"/>
      <w:rPr>
        <w:rFonts w:ascii="Arial" w:hAnsi="Arial" w:cs="Arial"/>
        <w:i/>
        <w:sz w:val="16"/>
      </w:rPr>
    </w:pPr>
    <w:r w:rsidRPr="009E048A">
      <w:rPr>
        <w:rFonts w:ascii="Arial" w:hAnsi="Arial" w:cs="Arial"/>
        <w:i/>
        <w:sz w:val="16"/>
      </w:rPr>
      <w:t>*Corresponding author: Email: XYZ@ABC.COM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D2075" w14:textId="77777777" w:rsidR="0011283F" w:rsidRPr="00C37E61" w:rsidRDefault="0011283F"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177FE" w14:textId="77777777" w:rsidR="00FE144A" w:rsidRDefault="00FE144A" w:rsidP="0084780F">
      <w:r>
        <w:separator/>
      </w:r>
    </w:p>
  </w:footnote>
  <w:footnote w:type="continuationSeparator" w:id="0">
    <w:p w14:paraId="78B9A35E" w14:textId="77777777" w:rsidR="00FE144A" w:rsidRDefault="00FE144A" w:rsidP="00847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2AF736" w14:textId="77777777" w:rsidR="0011283F" w:rsidRPr="00296529" w:rsidRDefault="0011283F" w:rsidP="00296529">
    <w:pPr>
      <w:ind w:left="2160"/>
      <w:jc w:val="center"/>
      <w:rPr>
        <w:rFonts w:ascii="Times New Roman" w:eastAsia="Calibri" w:hAnsi="Times New Roman"/>
        <w:i/>
        <w:sz w:val="18"/>
        <w:szCs w:val="22"/>
      </w:rPr>
    </w:pPr>
  </w:p>
  <w:p w14:paraId="675A8D0F" w14:textId="77777777" w:rsidR="0011283F" w:rsidRPr="00296529" w:rsidRDefault="00FE14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17E26C5E" w14:textId="77777777" w:rsidR="0011283F" w:rsidRPr="00296529" w:rsidRDefault="00FE14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464058C" w14:textId="77777777" w:rsidR="0011283F" w:rsidRPr="00296529" w:rsidRDefault="00FE14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C35BCEC" w14:textId="77777777" w:rsidR="0011283F" w:rsidRDefault="00FE14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49DAD9B" w14:textId="77777777" w:rsidR="0011283F" w:rsidRDefault="00FE14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101A0787" w14:textId="77777777" w:rsidR="0011283F" w:rsidRDefault="00FE144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A2172F"/>
    <w:rsid w:val="00001215"/>
    <w:rsid w:val="00057B98"/>
    <w:rsid w:val="0011283F"/>
    <w:rsid w:val="001624A7"/>
    <w:rsid w:val="001A7699"/>
    <w:rsid w:val="00200437"/>
    <w:rsid w:val="0027574A"/>
    <w:rsid w:val="002876B9"/>
    <w:rsid w:val="003D59CB"/>
    <w:rsid w:val="003F4FAD"/>
    <w:rsid w:val="00510CD5"/>
    <w:rsid w:val="00523A3F"/>
    <w:rsid w:val="00523D32"/>
    <w:rsid w:val="00551C87"/>
    <w:rsid w:val="00625CF6"/>
    <w:rsid w:val="006440ED"/>
    <w:rsid w:val="00783C49"/>
    <w:rsid w:val="00791ECE"/>
    <w:rsid w:val="007D6B2B"/>
    <w:rsid w:val="007D70C4"/>
    <w:rsid w:val="007F2B70"/>
    <w:rsid w:val="0084780F"/>
    <w:rsid w:val="008824CB"/>
    <w:rsid w:val="008A4282"/>
    <w:rsid w:val="00944EBD"/>
    <w:rsid w:val="00A20D98"/>
    <w:rsid w:val="00A2172F"/>
    <w:rsid w:val="00BD235B"/>
    <w:rsid w:val="00BE0288"/>
    <w:rsid w:val="00CB2ADB"/>
    <w:rsid w:val="00D82829"/>
    <w:rsid w:val="00E16C6C"/>
    <w:rsid w:val="00F853F1"/>
    <w:rsid w:val="00FA15FC"/>
    <w:rsid w:val="00FE14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rules v:ext="edit">
        <o:r id="V:Rule1" type="connector" idref="#_x0000_s1026"/>
      </o:rules>
    </o:shapelayout>
  </w:shapeDefaults>
  <w:decimalSymbol w:val="."/>
  <w:listSeparator w:val=","/>
  <w14:docId w14:val="77F3C573"/>
  <w15:chartTrackingRefBased/>
  <w15:docId w15:val="{2742F231-C65D-43FA-84F8-65D9B007C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172F"/>
    <w:pPr>
      <w:spacing w:after="0" w:line="240" w:lineRule="auto"/>
    </w:pPr>
    <w:rPr>
      <w:rFonts w:ascii="Helvetica" w:eastAsia="Times New Roman" w:hAnsi="Helvetica" w:cs="Times New Roman"/>
      <w:kern w:val="0"/>
      <w:sz w:val="20"/>
      <w:szCs w:val="20"/>
      <w14:ligatures w14:val="none"/>
    </w:rPr>
  </w:style>
  <w:style w:type="paragraph" w:styleId="Heading1">
    <w:name w:val="heading 1"/>
    <w:basedOn w:val="Normal"/>
    <w:next w:val="Normal"/>
    <w:link w:val="Heading1Char"/>
    <w:qFormat/>
    <w:rsid w:val="00A2172F"/>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semiHidden/>
    <w:unhideWhenUsed/>
    <w:qFormat/>
    <w:rsid w:val="00A217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17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17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17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172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172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172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172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2172F"/>
    <w:rPr>
      <w:rFonts w:ascii="Arial" w:eastAsia="Times New Roman" w:hAnsi="Arial" w:cs="Times New Roman"/>
      <w:b/>
      <w:kern w:val="28"/>
      <w:sz w:val="28"/>
      <w:szCs w:val="20"/>
      <w14:ligatures w14:val="none"/>
    </w:rPr>
  </w:style>
  <w:style w:type="character" w:customStyle="1" w:styleId="Heading2Char">
    <w:name w:val="Heading 2 Char"/>
    <w:basedOn w:val="DefaultParagraphFont"/>
    <w:link w:val="Heading2"/>
    <w:uiPriority w:val="9"/>
    <w:semiHidden/>
    <w:rsid w:val="00A217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17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17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17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17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17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17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172F"/>
    <w:rPr>
      <w:rFonts w:eastAsiaTheme="majorEastAsia" w:cstheme="majorBidi"/>
      <w:color w:val="272727" w:themeColor="text1" w:themeTint="D8"/>
    </w:rPr>
  </w:style>
  <w:style w:type="paragraph" w:styleId="Title">
    <w:name w:val="Title"/>
    <w:basedOn w:val="Normal"/>
    <w:link w:val="TitleChar"/>
    <w:qFormat/>
    <w:rsid w:val="00A2172F"/>
    <w:pPr>
      <w:spacing w:after="360"/>
      <w:jc w:val="right"/>
    </w:pPr>
    <w:rPr>
      <w:b/>
      <w:kern w:val="28"/>
      <w:sz w:val="36"/>
    </w:rPr>
  </w:style>
  <w:style w:type="character" w:customStyle="1" w:styleId="TitleChar">
    <w:name w:val="Title Char"/>
    <w:basedOn w:val="DefaultParagraphFont"/>
    <w:link w:val="Title"/>
    <w:rsid w:val="00A2172F"/>
    <w:rPr>
      <w:rFonts w:ascii="Helvetica" w:eastAsia="Times New Roman" w:hAnsi="Helvetica" w:cs="Times New Roman"/>
      <w:b/>
      <w:kern w:val="28"/>
      <w:sz w:val="36"/>
      <w:szCs w:val="20"/>
      <w14:ligatures w14:val="none"/>
    </w:rPr>
  </w:style>
  <w:style w:type="paragraph" w:styleId="Subtitle">
    <w:name w:val="Subtitle"/>
    <w:basedOn w:val="Normal"/>
    <w:next w:val="Normal"/>
    <w:link w:val="SubtitleChar"/>
    <w:uiPriority w:val="11"/>
    <w:qFormat/>
    <w:rsid w:val="00A217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17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172F"/>
    <w:pPr>
      <w:spacing w:before="160"/>
      <w:jc w:val="center"/>
    </w:pPr>
    <w:rPr>
      <w:i/>
      <w:iCs/>
      <w:color w:val="404040" w:themeColor="text1" w:themeTint="BF"/>
    </w:rPr>
  </w:style>
  <w:style w:type="character" w:customStyle="1" w:styleId="QuoteChar">
    <w:name w:val="Quote Char"/>
    <w:basedOn w:val="DefaultParagraphFont"/>
    <w:link w:val="Quote"/>
    <w:uiPriority w:val="29"/>
    <w:rsid w:val="00A2172F"/>
    <w:rPr>
      <w:i/>
      <w:iCs/>
      <w:color w:val="404040" w:themeColor="text1" w:themeTint="BF"/>
    </w:rPr>
  </w:style>
  <w:style w:type="paragraph" w:styleId="ListParagraph">
    <w:name w:val="List Paragraph"/>
    <w:basedOn w:val="Normal"/>
    <w:uiPriority w:val="34"/>
    <w:qFormat/>
    <w:rsid w:val="00A2172F"/>
    <w:pPr>
      <w:ind w:left="720"/>
      <w:contextualSpacing/>
    </w:pPr>
  </w:style>
  <w:style w:type="character" w:styleId="IntenseEmphasis">
    <w:name w:val="Intense Emphasis"/>
    <w:basedOn w:val="DefaultParagraphFont"/>
    <w:uiPriority w:val="21"/>
    <w:qFormat/>
    <w:rsid w:val="00A2172F"/>
    <w:rPr>
      <w:i/>
      <w:iCs/>
      <w:color w:val="0F4761" w:themeColor="accent1" w:themeShade="BF"/>
    </w:rPr>
  </w:style>
  <w:style w:type="paragraph" w:styleId="IntenseQuote">
    <w:name w:val="Intense Quote"/>
    <w:basedOn w:val="Normal"/>
    <w:next w:val="Normal"/>
    <w:link w:val="IntenseQuoteChar"/>
    <w:uiPriority w:val="30"/>
    <w:qFormat/>
    <w:rsid w:val="00A217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172F"/>
    <w:rPr>
      <w:i/>
      <w:iCs/>
      <w:color w:val="0F4761" w:themeColor="accent1" w:themeShade="BF"/>
    </w:rPr>
  </w:style>
  <w:style w:type="character" w:styleId="IntenseReference">
    <w:name w:val="Intense Reference"/>
    <w:basedOn w:val="DefaultParagraphFont"/>
    <w:uiPriority w:val="32"/>
    <w:qFormat/>
    <w:rsid w:val="00A2172F"/>
    <w:rPr>
      <w:b/>
      <w:bCs/>
      <w:smallCaps/>
      <w:color w:val="0F4761" w:themeColor="accent1" w:themeShade="BF"/>
      <w:spacing w:val="5"/>
    </w:rPr>
  </w:style>
  <w:style w:type="paragraph" w:customStyle="1" w:styleId="Author">
    <w:name w:val="Author"/>
    <w:basedOn w:val="Normal"/>
    <w:rsid w:val="00A2172F"/>
    <w:pPr>
      <w:spacing w:line="280" w:lineRule="exact"/>
      <w:jc w:val="right"/>
    </w:pPr>
    <w:rPr>
      <w:b/>
      <w:sz w:val="24"/>
    </w:rPr>
  </w:style>
  <w:style w:type="paragraph" w:customStyle="1" w:styleId="Affiliation">
    <w:name w:val="Affiliation"/>
    <w:basedOn w:val="Normal"/>
    <w:rsid w:val="00A2172F"/>
    <w:pPr>
      <w:spacing w:after="240" w:line="240" w:lineRule="exact"/>
      <w:jc w:val="right"/>
    </w:pPr>
  </w:style>
  <w:style w:type="paragraph" w:customStyle="1" w:styleId="Body">
    <w:name w:val="Body"/>
    <w:basedOn w:val="Normal"/>
    <w:link w:val="BodyChar"/>
    <w:rsid w:val="00A2172F"/>
    <w:pPr>
      <w:spacing w:after="240"/>
      <w:jc w:val="both"/>
    </w:pPr>
  </w:style>
  <w:style w:type="paragraph" w:customStyle="1" w:styleId="AbstHead">
    <w:name w:val="Abst Head"/>
    <w:basedOn w:val="MainHead"/>
    <w:rsid w:val="00A2172F"/>
    <w:rPr>
      <w:sz w:val="22"/>
    </w:rPr>
  </w:style>
  <w:style w:type="paragraph" w:customStyle="1" w:styleId="IntroHead">
    <w:name w:val="Intro Head"/>
    <w:basedOn w:val="MainHead"/>
    <w:rsid w:val="00A2172F"/>
    <w:rPr>
      <w:sz w:val="22"/>
    </w:rPr>
  </w:style>
  <w:style w:type="paragraph" w:customStyle="1" w:styleId="PaperNumber">
    <w:name w:val="Paper Number"/>
    <w:basedOn w:val="Normal"/>
    <w:rsid w:val="00A2172F"/>
    <w:pPr>
      <w:spacing w:after="280" w:line="280" w:lineRule="exact"/>
      <w:jc w:val="right"/>
    </w:pPr>
    <w:rPr>
      <w:b/>
      <w:sz w:val="28"/>
    </w:rPr>
  </w:style>
  <w:style w:type="paragraph" w:customStyle="1" w:styleId="ConcHead">
    <w:name w:val="Conc Head"/>
    <w:basedOn w:val="MainHead"/>
    <w:rsid w:val="00A2172F"/>
    <w:rPr>
      <w:sz w:val="22"/>
    </w:rPr>
  </w:style>
  <w:style w:type="paragraph" w:customStyle="1" w:styleId="AcknHead">
    <w:name w:val="Ackn Head"/>
    <w:basedOn w:val="MainHead"/>
    <w:rsid w:val="00A2172F"/>
    <w:rPr>
      <w:sz w:val="22"/>
    </w:rPr>
  </w:style>
  <w:style w:type="paragraph" w:customStyle="1" w:styleId="ReferHead">
    <w:name w:val="Refer Head"/>
    <w:basedOn w:val="MainHead"/>
    <w:rsid w:val="00A2172F"/>
    <w:rPr>
      <w:sz w:val="22"/>
    </w:rPr>
  </w:style>
  <w:style w:type="paragraph" w:customStyle="1" w:styleId="AddSrcHead">
    <w:name w:val="AddSrc Head"/>
    <w:basedOn w:val="MainHead"/>
    <w:rsid w:val="00A2172F"/>
    <w:rPr>
      <w:sz w:val="22"/>
    </w:rPr>
  </w:style>
  <w:style w:type="paragraph" w:customStyle="1" w:styleId="DefAcrHead">
    <w:name w:val="DefAcrHead"/>
    <w:basedOn w:val="MainHead"/>
    <w:rsid w:val="00A2172F"/>
    <w:rPr>
      <w:sz w:val="22"/>
    </w:rPr>
  </w:style>
  <w:style w:type="paragraph" w:customStyle="1" w:styleId="Copyright">
    <w:name w:val="Copyright"/>
    <w:basedOn w:val="Normal"/>
    <w:rsid w:val="00A2172F"/>
    <w:pPr>
      <w:spacing w:after="960" w:line="200" w:lineRule="exact"/>
    </w:pPr>
    <w:rPr>
      <w:sz w:val="16"/>
    </w:rPr>
  </w:style>
  <w:style w:type="paragraph" w:customStyle="1" w:styleId="Reference">
    <w:name w:val="Reference"/>
    <w:basedOn w:val="Body"/>
    <w:rsid w:val="00A2172F"/>
    <w:pPr>
      <w:numPr>
        <w:numId w:val="23"/>
      </w:numPr>
      <w:spacing w:after="0" w:line="240" w:lineRule="exact"/>
    </w:pPr>
  </w:style>
  <w:style w:type="paragraph" w:customStyle="1" w:styleId="Head1">
    <w:name w:val="Head1"/>
    <w:basedOn w:val="MainHead"/>
    <w:rsid w:val="00A2172F"/>
    <w:rPr>
      <w:sz w:val="22"/>
    </w:rPr>
  </w:style>
  <w:style w:type="paragraph" w:customStyle="1" w:styleId="ContactHead">
    <w:name w:val="Contact Head"/>
    <w:basedOn w:val="MainHead"/>
    <w:rsid w:val="00A2172F"/>
    <w:rPr>
      <w:sz w:val="22"/>
    </w:rPr>
  </w:style>
  <w:style w:type="paragraph" w:customStyle="1" w:styleId="Head3">
    <w:name w:val="Head3"/>
    <w:basedOn w:val="Head2"/>
    <w:rsid w:val="00A2172F"/>
    <w:rPr>
      <w:caps w:val="0"/>
      <w:u w:val="single"/>
    </w:rPr>
  </w:style>
  <w:style w:type="paragraph" w:customStyle="1" w:styleId="Head4">
    <w:name w:val="Head4"/>
    <w:basedOn w:val="Head3"/>
    <w:rsid w:val="00A2172F"/>
    <w:rPr>
      <w:u w:val="none"/>
    </w:rPr>
  </w:style>
  <w:style w:type="paragraph" w:customStyle="1" w:styleId="UnordList">
    <w:name w:val="Unord List"/>
    <w:basedOn w:val="Body"/>
    <w:rsid w:val="00A2172F"/>
    <w:pPr>
      <w:spacing w:after="0"/>
      <w:ind w:left="360" w:hanging="360"/>
    </w:pPr>
  </w:style>
  <w:style w:type="paragraph" w:customStyle="1" w:styleId="OrdList">
    <w:name w:val="Ord List"/>
    <w:basedOn w:val="UnordList"/>
    <w:rsid w:val="00A2172F"/>
    <w:pPr>
      <w:jc w:val="left"/>
    </w:pPr>
  </w:style>
  <w:style w:type="paragraph" w:customStyle="1" w:styleId="Appendix">
    <w:name w:val="Appendix"/>
    <w:basedOn w:val="MainHead"/>
    <w:rsid w:val="00A2172F"/>
    <w:rPr>
      <w:sz w:val="22"/>
    </w:rPr>
  </w:style>
  <w:style w:type="paragraph" w:customStyle="1" w:styleId="Term">
    <w:name w:val="Term"/>
    <w:basedOn w:val="Body"/>
    <w:rsid w:val="00A2172F"/>
    <w:pPr>
      <w:spacing w:after="0"/>
    </w:pPr>
    <w:rPr>
      <w:b/>
    </w:rPr>
  </w:style>
  <w:style w:type="paragraph" w:customStyle="1" w:styleId="Definition">
    <w:name w:val="Definition"/>
    <w:basedOn w:val="Body"/>
    <w:rsid w:val="00A2172F"/>
  </w:style>
  <w:style w:type="paragraph" w:customStyle="1" w:styleId="Head2">
    <w:name w:val="Head2"/>
    <w:basedOn w:val="Normal"/>
    <w:next w:val="Body"/>
    <w:rsid w:val="00A2172F"/>
    <w:pPr>
      <w:keepNext/>
      <w:spacing w:after="240"/>
    </w:pPr>
    <w:rPr>
      <w:caps/>
    </w:rPr>
  </w:style>
  <w:style w:type="character" w:customStyle="1" w:styleId="Bold">
    <w:name w:val="Bold"/>
    <w:rsid w:val="00A2172F"/>
    <w:rPr>
      <w:b/>
    </w:rPr>
  </w:style>
  <w:style w:type="character" w:customStyle="1" w:styleId="Italic">
    <w:name w:val="Italic"/>
    <w:rsid w:val="00A2172F"/>
    <w:rPr>
      <w:i/>
    </w:rPr>
  </w:style>
  <w:style w:type="character" w:customStyle="1" w:styleId="Underline">
    <w:name w:val="Underline"/>
    <w:rsid w:val="00A2172F"/>
    <w:rPr>
      <w:u w:val="single"/>
    </w:rPr>
  </w:style>
  <w:style w:type="paragraph" w:customStyle="1" w:styleId="MainHead">
    <w:name w:val="Main Head"/>
    <w:basedOn w:val="Normal"/>
    <w:rsid w:val="00A2172F"/>
    <w:pPr>
      <w:keepNext/>
      <w:spacing w:after="240"/>
    </w:pPr>
    <w:rPr>
      <w:b/>
      <w:caps/>
    </w:rPr>
  </w:style>
  <w:style w:type="paragraph" w:customStyle="1" w:styleId="Equation">
    <w:name w:val="Equation"/>
    <w:basedOn w:val="Body"/>
    <w:rsid w:val="00A2172F"/>
  </w:style>
  <w:style w:type="paragraph" w:customStyle="1" w:styleId="Figure">
    <w:name w:val="Figure"/>
    <w:basedOn w:val="Copyright"/>
    <w:rsid w:val="00A2172F"/>
    <w:pPr>
      <w:spacing w:after="240"/>
    </w:pPr>
    <w:rPr>
      <w:sz w:val="20"/>
    </w:rPr>
  </w:style>
  <w:style w:type="paragraph" w:styleId="Footer">
    <w:name w:val="footer"/>
    <w:basedOn w:val="Normal"/>
    <w:link w:val="FooterChar"/>
    <w:rsid w:val="00A2172F"/>
    <w:pPr>
      <w:tabs>
        <w:tab w:val="center" w:pos="4320"/>
        <w:tab w:val="right" w:pos="8640"/>
      </w:tabs>
    </w:pPr>
  </w:style>
  <w:style w:type="character" w:customStyle="1" w:styleId="FooterChar">
    <w:name w:val="Footer Char"/>
    <w:basedOn w:val="DefaultParagraphFont"/>
    <w:link w:val="Footer"/>
    <w:rsid w:val="00A2172F"/>
    <w:rPr>
      <w:rFonts w:ascii="Helvetica" w:eastAsia="Times New Roman" w:hAnsi="Helvetica" w:cs="Times New Roman"/>
      <w:kern w:val="0"/>
      <w:sz w:val="20"/>
      <w:szCs w:val="20"/>
      <w14:ligatures w14:val="none"/>
    </w:rPr>
  </w:style>
  <w:style w:type="paragraph" w:customStyle="1" w:styleId="Head40">
    <w:name w:val="Head 4"/>
    <w:basedOn w:val="Head3"/>
    <w:rsid w:val="00A2172F"/>
    <w:rPr>
      <w:u w:val="none"/>
    </w:rPr>
  </w:style>
  <w:style w:type="paragraph" w:styleId="Header">
    <w:name w:val="header"/>
    <w:basedOn w:val="Normal"/>
    <w:link w:val="HeaderChar"/>
    <w:rsid w:val="00A2172F"/>
    <w:pPr>
      <w:tabs>
        <w:tab w:val="center" w:pos="4320"/>
        <w:tab w:val="right" w:pos="8640"/>
      </w:tabs>
    </w:pPr>
  </w:style>
  <w:style w:type="character" w:customStyle="1" w:styleId="HeaderChar">
    <w:name w:val="Header Char"/>
    <w:basedOn w:val="DefaultParagraphFont"/>
    <w:link w:val="Header"/>
    <w:rsid w:val="00A2172F"/>
    <w:rPr>
      <w:rFonts w:ascii="Helvetica" w:eastAsia="Times New Roman" w:hAnsi="Helvetica" w:cs="Times New Roman"/>
      <w:kern w:val="0"/>
      <w:sz w:val="20"/>
      <w:szCs w:val="20"/>
      <w14:ligatures w14:val="none"/>
    </w:rPr>
  </w:style>
  <w:style w:type="paragraph" w:customStyle="1" w:styleId="Paper">
    <w:name w:val="Paper"/>
    <w:basedOn w:val="Normal"/>
    <w:rsid w:val="00A2172F"/>
    <w:pPr>
      <w:spacing w:after="360" w:line="440" w:lineRule="exact"/>
      <w:jc w:val="right"/>
    </w:pPr>
    <w:rPr>
      <w:b/>
      <w:sz w:val="36"/>
    </w:rPr>
  </w:style>
  <w:style w:type="paragraph" w:styleId="Signature">
    <w:name w:val="Signature"/>
    <w:basedOn w:val="Normal"/>
    <w:link w:val="SignatureChar"/>
    <w:rsid w:val="00A2172F"/>
    <w:pPr>
      <w:ind w:left="4320"/>
    </w:pPr>
  </w:style>
  <w:style w:type="character" w:customStyle="1" w:styleId="SignatureChar">
    <w:name w:val="Signature Char"/>
    <w:basedOn w:val="DefaultParagraphFont"/>
    <w:link w:val="Signature"/>
    <w:rsid w:val="00A2172F"/>
    <w:rPr>
      <w:rFonts w:ascii="Helvetica" w:eastAsia="Times New Roman" w:hAnsi="Helvetica" w:cs="Times New Roman"/>
      <w:kern w:val="0"/>
      <w:sz w:val="20"/>
      <w:szCs w:val="20"/>
      <w14:ligatures w14:val="none"/>
    </w:rPr>
  </w:style>
  <w:style w:type="character" w:customStyle="1" w:styleId="Subscript">
    <w:name w:val="Subscript"/>
    <w:rsid w:val="00A2172F"/>
    <w:rPr>
      <w:vertAlign w:val="subscript"/>
    </w:rPr>
  </w:style>
  <w:style w:type="character" w:customStyle="1" w:styleId="Superscript">
    <w:name w:val="Superscript"/>
    <w:rsid w:val="00A2172F"/>
    <w:rPr>
      <w:vertAlign w:val="superscript"/>
    </w:rPr>
  </w:style>
  <w:style w:type="character" w:customStyle="1" w:styleId="Symbol">
    <w:name w:val="Symbol"/>
    <w:rsid w:val="00A2172F"/>
    <w:rPr>
      <w:rFonts w:ascii="Symbol" w:hAnsi="Symbol"/>
    </w:rPr>
  </w:style>
  <w:style w:type="paragraph" w:customStyle="1" w:styleId="SymbolP">
    <w:name w:val="Symbol P"/>
    <w:basedOn w:val="Body"/>
    <w:rsid w:val="00A2172F"/>
    <w:pPr>
      <w:tabs>
        <w:tab w:val="left" w:pos="720"/>
        <w:tab w:val="left" w:pos="3780"/>
      </w:tabs>
      <w:spacing w:after="0"/>
    </w:pPr>
    <w:rPr>
      <w:sz w:val="24"/>
    </w:rPr>
  </w:style>
  <w:style w:type="character" w:customStyle="1" w:styleId="BoldItal">
    <w:name w:val="BoldItal"/>
    <w:basedOn w:val="DefaultParagraphFont"/>
    <w:rsid w:val="00A2172F"/>
    <w:rPr>
      <w:b/>
      <w:i/>
    </w:rPr>
  </w:style>
  <w:style w:type="character" w:customStyle="1" w:styleId="SubItal">
    <w:name w:val="SubItal"/>
    <w:rsid w:val="00A2172F"/>
    <w:rPr>
      <w:i/>
      <w:vertAlign w:val="subscript"/>
    </w:rPr>
  </w:style>
  <w:style w:type="character" w:customStyle="1" w:styleId="SuperItal">
    <w:name w:val="SuperItal"/>
    <w:rsid w:val="00A2172F"/>
    <w:rPr>
      <w:i/>
      <w:vertAlign w:val="superscript"/>
    </w:rPr>
  </w:style>
  <w:style w:type="character" w:customStyle="1" w:styleId="SymItal">
    <w:name w:val="SymItal"/>
    <w:rsid w:val="00A2172F"/>
    <w:rPr>
      <w:rFonts w:ascii="Symbol" w:hAnsi="Symbol"/>
      <w:i/>
    </w:rPr>
  </w:style>
  <w:style w:type="character" w:styleId="Hyperlink">
    <w:name w:val="Hyperlink"/>
    <w:basedOn w:val="DefaultParagraphFont"/>
    <w:rsid w:val="00A2172F"/>
    <w:rPr>
      <w:color w:val="FF0080"/>
      <w:u w:val="single"/>
    </w:rPr>
  </w:style>
  <w:style w:type="character" w:styleId="FollowedHyperlink">
    <w:name w:val="FollowedHyperlink"/>
    <w:basedOn w:val="DefaultParagraphFont"/>
    <w:rsid w:val="00A2172F"/>
    <w:rPr>
      <w:color w:val="800080"/>
      <w:u w:val="single"/>
    </w:rPr>
  </w:style>
  <w:style w:type="table" w:styleId="TableGrid">
    <w:name w:val="Table Grid"/>
    <w:basedOn w:val="TableNormal"/>
    <w:uiPriority w:val="59"/>
    <w:rsid w:val="00A2172F"/>
    <w:pPr>
      <w:spacing w:after="0" w:line="240" w:lineRule="auto"/>
    </w:pPr>
    <w:rPr>
      <w:rFonts w:ascii="Calibri" w:eastAsia="Calibri" w:hAnsi="Calibri" w:cs="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A2172F"/>
    <w:pPr>
      <w:spacing w:after="120" w:line="480" w:lineRule="auto"/>
    </w:pPr>
  </w:style>
  <w:style w:type="character" w:customStyle="1" w:styleId="BodyText2Char">
    <w:name w:val="Body Text 2 Char"/>
    <w:basedOn w:val="DefaultParagraphFont"/>
    <w:link w:val="BodyText2"/>
    <w:rsid w:val="00A2172F"/>
    <w:rPr>
      <w:rFonts w:ascii="Helvetica" w:eastAsia="Times New Roman" w:hAnsi="Helvetica" w:cs="Times New Roman"/>
      <w:kern w:val="0"/>
      <w:sz w:val="20"/>
      <w:szCs w:val="20"/>
      <w14:ligatures w14:val="none"/>
    </w:rPr>
  </w:style>
  <w:style w:type="character" w:styleId="CommentReference">
    <w:name w:val="annotation reference"/>
    <w:basedOn w:val="DefaultParagraphFont"/>
    <w:uiPriority w:val="99"/>
    <w:unhideWhenUsed/>
    <w:rsid w:val="00A2172F"/>
    <w:rPr>
      <w:sz w:val="16"/>
      <w:szCs w:val="16"/>
    </w:rPr>
  </w:style>
  <w:style w:type="paragraph" w:styleId="CommentText">
    <w:name w:val="annotation text"/>
    <w:basedOn w:val="Normal"/>
    <w:link w:val="CommentTextChar"/>
    <w:uiPriority w:val="99"/>
    <w:unhideWhenUsed/>
    <w:rsid w:val="00A2172F"/>
    <w:rPr>
      <w:rFonts w:ascii="Times New Roman" w:hAnsi="Times New Roman"/>
      <w:lang w:val="nb-NO" w:eastAsia="nb-NO"/>
    </w:rPr>
  </w:style>
  <w:style w:type="character" w:customStyle="1" w:styleId="CommentTextChar">
    <w:name w:val="Comment Text Char"/>
    <w:basedOn w:val="DefaultParagraphFont"/>
    <w:link w:val="CommentText"/>
    <w:uiPriority w:val="99"/>
    <w:rsid w:val="00A2172F"/>
    <w:rPr>
      <w:rFonts w:ascii="Times New Roman" w:eastAsia="Times New Roman" w:hAnsi="Times New Roman" w:cs="Times New Roman"/>
      <w:kern w:val="0"/>
      <w:sz w:val="20"/>
      <w:szCs w:val="20"/>
      <w:lang w:val="nb-NO" w:eastAsia="nb-NO"/>
      <w14:ligatures w14:val="none"/>
    </w:rPr>
  </w:style>
  <w:style w:type="paragraph" w:styleId="BalloonText">
    <w:name w:val="Balloon Text"/>
    <w:basedOn w:val="Normal"/>
    <w:link w:val="BalloonTextChar"/>
    <w:rsid w:val="00A2172F"/>
    <w:rPr>
      <w:rFonts w:ascii="Tahoma" w:hAnsi="Tahoma" w:cs="Tahoma"/>
      <w:sz w:val="16"/>
      <w:szCs w:val="16"/>
    </w:rPr>
  </w:style>
  <w:style w:type="character" w:customStyle="1" w:styleId="BalloonTextChar">
    <w:name w:val="Balloon Text Char"/>
    <w:basedOn w:val="DefaultParagraphFont"/>
    <w:link w:val="BalloonText"/>
    <w:rsid w:val="00A2172F"/>
    <w:rPr>
      <w:rFonts w:ascii="Tahoma" w:eastAsia="Times New Roman" w:hAnsi="Tahoma" w:cs="Tahoma"/>
      <w:kern w:val="0"/>
      <w:sz w:val="16"/>
      <w:szCs w:val="16"/>
      <w14:ligatures w14:val="none"/>
    </w:rPr>
  </w:style>
  <w:style w:type="paragraph" w:styleId="BodyText3">
    <w:name w:val="Body Text 3"/>
    <w:basedOn w:val="Normal"/>
    <w:link w:val="BodyText3Char"/>
    <w:rsid w:val="00A2172F"/>
    <w:pPr>
      <w:spacing w:after="120"/>
    </w:pPr>
    <w:rPr>
      <w:sz w:val="16"/>
      <w:szCs w:val="16"/>
    </w:rPr>
  </w:style>
  <w:style w:type="character" w:customStyle="1" w:styleId="BodyText3Char">
    <w:name w:val="Body Text 3 Char"/>
    <w:basedOn w:val="DefaultParagraphFont"/>
    <w:link w:val="BodyText3"/>
    <w:rsid w:val="00A2172F"/>
    <w:rPr>
      <w:rFonts w:ascii="Helvetica" w:eastAsia="Times New Roman" w:hAnsi="Helvetica" w:cs="Times New Roman"/>
      <w:kern w:val="0"/>
      <w:sz w:val="16"/>
      <w:szCs w:val="16"/>
      <w14:ligatures w14:val="none"/>
    </w:rPr>
  </w:style>
  <w:style w:type="character" w:styleId="LineNumber">
    <w:name w:val="line number"/>
    <w:basedOn w:val="DefaultParagraphFont"/>
    <w:rsid w:val="00A2172F"/>
  </w:style>
  <w:style w:type="character" w:styleId="Emphasis">
    <w:name w:val="Emphasis"/>
    <w:basedOn w:val="DefaultParagraphFont"/>
    <w:uiPriority w:val="20"/>
    <w:qFormat/>
    <w:rsid w:val="00A2172F"/>
    <w:rPr>
      <w:i/>
      <w:iCs/>
    </w:rPr>
  </w:style>
  <w:style w:type="character" w:styleId="UnresolvedMention">
    <w:name w:val="Unresolved Mention"/>
    <w:basedOn w:val="DefaultParagraphFont"/>
    <w:uiPriority w:val="99"/>
    <w:semiHidden/>
    <w:unhideWhenUsed/>
    <w:rsid w:val="00A2172F"/>
    <w:rPr>
      <w:color w:val="605E5C"/>
      <w:shd w:val="clear" w:color="auto" w:fill="E1DFDD"/>
    </w:rPr>
  </w:style>
  <w:style w:type="paragraph" w:customStyle="1" w:styleId="EndNoteBibliographyTitle">
    <w:name w:val="EndNote Bibliography Title"/>
    <w:basedOn w:val="Normal"/>
    <w:link w:val="EndNoteBibliographyTitleChar"/>
    <w:rsid w:val="00A2172F"/>
    <w:pPr>
      <w:jc w:val="center"/>
    </w:pPr>
    <w:rPr>
      <w:rFonts w:cs="Helvetica"/>
      <w:noProof/>
      <w:sz w:val="22"/>
    </w:rPr>
  </w:style>
  <w:style w:type="character" w:customStyle="1" w:styleId="BodyChar">
    <w:name w:val="Body Char"/>
    <w:basedOn w:val="DefaultParagraphFont"/>
    <w:link w:val="Body"/>
    <w:rsid w:val="00A2172F"/>
    <w:rPr>
      <w:rFonts w:ascii="Helvetica" w:eastAsia="Times New Roman" w:hAnsi="Helvetica" w:cs="Times New Roman"/>
      <w:kern w:val="0"/>
      <w:sz w:val="20"/>
      <w:szCs w:val="20"/>
      <w14:ligatures w14:val="none"/>
    </w:rPr>
  </w:style>
  <w:style w:type="character" w:customStyle="1" w:styleId="EndNoteBibliographyTitleChar">
    <w:name w:val="EndNote Bibliography Title Char"/>
    <w:basedOn w:val="BodyChar"/>
    <w:link w:val="EndNoteBibliographyTitle"/>
    <w:rsid w:val="00A2172F"/>
    <w:rPr>
      <w:rFonts w:ascii="Helvetica" w:eastAsia="Times New Roman" w:hAnsi="Helvetica" w:cs="Helvetica"/>
      <w:noProof/>
      <w:kern w:val="0"/>
      <w:sz w:val="22"/>
      <w:szCs w:val="20"/>
      <w14:ligatures w14:val="none"/>
    </w:rPr>
  </w:style>
  <w:style w:type="paragraph" w:customStyle="1" w:styleId="EndNoteBibliography">
    <w:name w:val="EndNote Bibliography"/>
    <w:basedOn w:val="Normal"/>
    <w:link w:val="EndNoteBibliographyChar"/>
    <w:rsid w:val="00A2172F"/>
    <w:pPr>
      <w:jc w:val="both"/>
    </w:pPr>
    <w:rPr>
      <w:rFonts w:cs="Helvetica"/>
      <w:noProof/>
      <w:sz w:val="22"/>
    </w:rPr>
  </w:style>
  <w:style w:type="character" w:customStyle="1" w:styleId="EndNoteBibliographyChar">
    <w:name w:val="EndNote Bibliography Char"/>
    <w:basedOn w:val="BodyChar"/>
    <w:link w:val="EndNoteBibliography"/>
    <w:rsid w:val="00A2172F"/>
    <w:rPr>
      <w:rFonts w:ascii="Helvetica" w:eastAsia="Times New Roman" w:hAnsi="Helvetica" w:cs="Helvetica"/>
      <w:noProof/>
      <w:kern w:val="0"/>
      <w:sz w:val="22"/>
      <w:szCs w:val="20"/>
      <w14:ligatures w14:val="none"/>
    </w:rPr>
  </w:style>
  <w:style w:type="paragraph" w:styleId="Bibliography">
    <w:name w:val="Bibliography"/>
    <w:basedOn w:val="Normal"/>
    <w:next w:val="Normal"/>
    <w:uiPriority w:val="37"/>
    <w:unhideWhenUsed/>
    <w:rsid w:val="00A21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367</TotalTime>
  <Pages>6</Pages>
  <Words>15703</Words>
  <Characters>89509</Characters>
  <Application>Microsoft Office Word</Application>
  <DocSecurity>0</DocSecurity>
  <Lines>745</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lewar</dc:creator>
  <cp:keywords/>
  <dc:description/>
  <cp:lastModifiedBy>SDI 1084</cp:lastModifiedBy>
  <cp:revision>18</cp:revision>
  <dcterms:created xsi:type="dcterms:W3CDTF">2025-06-15T11:08:00Z</dcterms:created>
  <dcterms:modified xsi:type="dcterms:W3CDTF">2025-06-17T06:22:00Z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4061aca3-6e70-48a4-ab0f-c4e904867587</vt:lpwstr>
  </property>
  <property fmtid="{D5CDD505-2E9C-101B-9397-08002B2CF9AE}" pid="3" name="ZOTERO_PREF_1">
    <vt:lpwstr>&lt;data data-version="3" zotero-version="7.0.15"&gt;&lt;session id="iDy3GmL2"/&gt;&lt;style id="http://www.zotero.org/styles/journal-of-infectious-diseases" hasBibliography="1" bibliographyStyleHasBeenSet="1"/&gt;&lt;prefs&gt;&lt;pref name="fieldType" value="Field"/&gt;&lt;/prefs&gt;&lt;/data</vt:lpwstr>
  </property>
  <property fmtid="{D5CDD505-2E9C-101B-9397-08002B2CF9AE}" pid="4" name="ZOTERO_PREF_2">
    <vt:lpwstr>&gt;</vt:lpwstr>
  </property>
</Properties>
</file>