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4898" w14:textId="77777777" w:rsidR="00E71DCD" w:rsidRPr="00E71DCD" w:rsidRDefault="00E71DCD" w:rsidP="00E71DCD">
      <w:pPr>
        <w:spacing w:after="0" w:line="480" w:lineRule="auto"/>
        <w:ind w:left="-5" w:right="0"/>
        <w:contextualSpacing/>
        <w:jc w:val="center"/>
        <w:rPr>
          <w:b/>
          <w:bCs/>
          <w:i/>
          <w:iCs/>
          <w:sz w:val="24"/>
          <w:szCs w:val="24"/>
          <w:u w:val="single"/>
        </w:rPr>
      </w:pPr>
      <w:r w:rsidRPr="00E71DCD">
        <w:rPr>
          <w:b/>
          <w:bCs/>
          <w:i/>
          <w:iCs/>
          <w:sz w:val="24"/>
          <w:szCs w:val="24"/>
          <w:u w:val="single"/>
        </w:rPr>
        <w:t>Original Research Article</w:t>
      </w:r>
    </w:p>
    <w:p w14:paraId="6F50F145" w14:textId="77777777" w:rsidR="002F01C0" w:rsidRDefault="002D1C8A">
      <w:pPr>
        <w:spacing w:after="0" w:line="480" w:lineRule="auto"/>
        <w:ind w:left="-5" w:right="0"/>
        <w:contextualSpacing/>
        <w:jc w:val="center"/>
        <w:rPr>
          <w:b/>
          <w:bCs/>
          <w:sz w:val="24"/>
          <w:szCs w:val="24"/>
        </w:rPr>
      </w:pPr>
      <w:r>
        <w:rPr>
          <w:b/>
          <w:bCs/>
          <w:sz w:val="24"/>
          <w:szCs w:val="24"/>
        </w:rPr>
        <w:t xml:space="preserve">Biochemistry of Male Infidelity using Seminal related enzymes Prostate Specific Antigen and Acid Phosphatase </w:t>
      </w:r>
    </w:p>
    <w:p w14:paraId="0E73B7DF" w14:textId="59F49DC3" w:rsidR="00BC4CE7" w:rsidRDefault="002D1C8A" w:rsidP="00143E01">
      <w:pPr>
        <w:spacing w:after="160" w:line="360" w:lineRule="auto"/>
        <w:rPr>
          <w:b/>
          <w:bCs/>
          <w:color w:val="0000FF"/>
          <w:sz w:val="24"/>
          <w:szCs w:val="24"/>
        </w:rPr>
      </w:pPr>
      <w:r>
        <w:rPr>
          <w:b/>
          <w:bCs/>
          <w:color w:val="auto"/>
          <w:sz w:val="24"/>
          <w:szCs w:val="24"/>
        </w:rPr>
        <w:t xml:space="preserve"> </w:t>
      </w:r>
    </w:p>
    <w:p w14:paraId="7109B89B" w14:textId="77777777" w:rsidR="002F01C0" w:rsidRDefault="002F01C0">
      <w:pPr>
        <w:spacing w:after="160" w:line="240" w:lineRule="auto"/>
        <w:rPr>
          <w:b/>
          <w:bCs/>
          <w:color w:val="02A5E3"/>
          <w:sz w:val="24"/>
          <w:szCs w:val="24"/>
        </w:rPr>
      </w:pPr>
    </w:p>
    <w:p w14:paraId="1CFBF3A5" w14:textId="77777777" w:rsidR="002F01C0" w:rsidRDefault="00583823">
      <w:pPr>
        <w:spacing w:after="0" w:line="240" w:lineRule="auto"/>
        <w:contextualSpacing/>
        <w:rPr>
          <w:b/>
          <w:bCs/>
          <w:color w:val="auto"/>
          <w:sz w:val="24"/>
          <w:szCs w:val="24"/>
        </w:rPr>
      </w:pPr>
      <w:r>
        <w:rPr>
          <w:b/>
          <w:bCs/>
          <w:color w:val="auto"/>
          <w:sz w:val="24"/>
          <w:szCs w:val="24"/>
        </w:rPr>
        <w:t>Abstract</w:t>
      </w:r>
    </w:p>
    <w:p w14:paraId="08BEB29F" w14:textId="77777777" w:rsidR="003479BE" w:rsidRDefault="003479BE">
      <w:pPr>
        <w:spacing w:after="0" w:line="240" w:lineRule="auto"/>
        <w:contextualSpacing/>
        <w:rPr>
          <w:b/>
          <w:bCs/>
          <w:color w:val="FFC000"/>
          <w:sz w:val="24"/>
          <w:szCs w:val="24"/>
        </w:rPr>
      </w:pPr>
    </w:p>
    <w:p w14:paraId="16D741A6" w14:textId="77777777" w:rsidR="00F16A67" w:rsidRPr="00CB6498" w:rsidRDefault="00F16A67" w:rsidP="003479BE">
      <w:pPr>
        <w:spacing w:after="0" w:line="276" w:lineRule="auto"/>
        <w:ind w:firstLine="0"/>
        <w:contextualSpacing/>
        <w:rPr>
          <w:bCs/>
          <w:color w:val="auto"/>
          <w:sz w:val="24"/>
          <w:szCs w:val="24"/>
        </w:rPr>
      </w:pPr>
      <w:bookmarkStart w:id="0" w:name="_heading=h.gjdgxs"/>
      <w:bookmarkEnd w:id="0"/>
      <w:r w:rsidRPr="00CB6498">
        <w:rPr>
          <w:b/>
          <w:bCs/>
          <w:color w:val="auto"/>
          <w:sz w:val="24"/>
          <w:szCs w:val="24"/>
        </w:rPr>
        <w:t>Background:</w:t>
      </w:r>
      <w:r w:rsidRPr="00CB6498">
        <w:rPr>
          <w:bCs/>
          <w:color w:val="auto"/>
          <w:sz w:val="24"/>
          <w:szCs w:val="24"/>
        </w:rPr>
        <w:t xml:space="preserve"> This study investigated the use of seminal-related enzymes, Prostate Specific Antigen (PSA) and Acid Phosphatase (AP), for detecting semen on male underwear as a potential method for identifying male infidelity.</w:t>
      </w:r>
      <w:r w:rsidR="00CB6498">
        <w:rPr>
          <w:bCs/>
          <w:color w:val="auto"/>
          <w:sz w:val="24"/>
          <w:szCs w:val="24"/>
        </w:rPr>
        <w:t xml:space="preserve"> </w:t>
      </w:r>
      <w:r w:rsidRPr="00CB6498">
        <w:rPr>
          <w:b/>
          <w:bCs/>
          <w:color w:val="auto"/>
          <w:sz w:val="24"/>
          <w:szCs w:val="24"/>
        </w:rPr>
        <w:t>Objective:</w:t>
      </w:r>
      <w:r w:rsidRPr="00CB6498">
        <w:rPr>
          <w:bCs/>
          <w:color w:val="auto"/>
          <w:sz w:val="24"/>
          <w:szCs w:val="24"/>
        </w:rPr>
        <w:t xml:space="preserve"> The primary aim was to assess the effectiveness of PSA and AP enzymes in detecting semen stains on various male underwear after different conditions of use.</w:t>
      </w:r>
      <w:r w:rsidR="00CB6498">
        <w:rPr>
          <w:bCs/>
          <w:color w:val="auto"/>
          <w:sz w:val="24"/>
          <w:szCs w:val="24"/>
        </w:rPr>
        <w:t xml:space="preserve"> </w:t>
      </w:r>
      <w:r w:rsidRPr="00CB6498">
        <w:rPr>
          <w:b/>
          <w:bCs/>
          <w:color w:val="auto"/>
          <w:sz w:val="24"/>
          <w:szCs w:val="24"/>
        </w:rPr>
        <w:t>Method:</w:t>
      </w:r>
      <w:r w:rsidRPr="00CB6498">
        <w:rPr>
          <w:bCs/>
          <w:color w:val="auto"/>
          <w:sz w:val="24"/>
          <w:szCs w:val="24"/>
        </w:rPr>
        <w:t xml:space="preserve"> The research involved four male volunteers from different parts of Bayelsa, categorized into four groups: Group A, Group B, Group C, and Group D. Each participant was given brand-new male underwear. Group A served as the control and did not engage in sexual activity before returning the underwear. Group B wore their boxers after engaging in sexual intercourse. Group C wore their boxers after sexual activity, took a bath, washed the boxers, and then returned them. Group D followed the same procedure as Group C but did not wash the boxers. The underwear from all groups were tested for the presence of semen using PSA and AP enzyme assays.</w:t>
      </w:r>
      <w:r w:rsidR="00CB6498">
        <w:rPr>
          <w:bCs/>
          <w:color w:val="auto"/>
          <w:sz w:val="24"/>
          <w:szCs w:val="24"/>
        </w:rPr>
        <w:t xml:space="preserve"> </w:t>
      </w:r>
      <w:r w:rsidRPr="00CB6498">
        <w:rPr>
          <w:b/>
          <w:bCs/>
          <w:color w:val="auto"/>
          <w:sz w:val="24"/>
          <w:szCs w:val="24"/>
        </w:rPr>
        <w:t>Results:</w:t>
      </w:r>
      <w:r w:rsidRPr="00CB6498">
        <w:rPr>
          <w:bCs/>
          <w:color w:val="auto"/>
          <w:sz w:val="24"/>
          <w:szCs w:val="24"/>
        </w:rPr>
        <w:t xml:space="preserve"> Data were expressed as </w:t>
      </w:r>
      <w:proofErr w:type="spellStart"/>
      <w:r w:rsidRPr="00CB6498">
        <w:rPr>
          <w:bCs/>
          <w:color w:val="auto"/>
          <w:sz w:val="24"/>
          <w:szCs w:val="24"/>
        </w:rPr>
        <w:t>mean±SD</w:t>
      </w:r>
      <w:proofErr w:type="spellEnd"/>
      <w:r w:rsidRPr="00CB6498">
        <w:rPr>
          <w:bCs/>
          <w:color w:val="auto"/>
          <w:sz w:val="24"/>
          <w:szCs w:val="24"/>
        </w:rPr>
        <w:t>, and statistical significance was determined at a 95% confidence interval, with significance defined as p ≤ 0.05. The results showed no statistically significant difference in enzyme concentrations among the four groups. However, Group B exhibited the highest Acid Phosphatase (ACP) concentration, while Group A had the lowest. The highest PSA concentration was found in Groups C and D, with the lowest concentration in Group A.</w:t>
      </w:r>
      <w:r w:rsidR="00CB6498">
        <w:rPr>
          <w:bCs/>
          <w:color w:val="auto"/>
          <w:sz w:val="24"/>
          <w:szCs w:val="24"/>
        </w:rPr>
        <w:t xml:space="preserve"> </w:t>
      </w:r>
      <w:r w:rsidRPr="00CB6498">
        <w:rPr>
          <w:b/>
          <w:bCs/>
          <w:color w:val="auto"/>
          <w:sz w:val="24"/>
          <w:szCs w:val="24"/>
        </w:rPr>
        <w:t>Conclusion:</w:t>
      </w:r>
      <w:r w:rsidRPr="00CB6498">
        <w:rPr>
          <w:bCs/>
          <w:color w:val="auto"/>
          <w:sz w:val="24"/>
          <w:szCs w:val="24"/>
        </w:rPr>
        <w:t xml:space="preserve"> This study concluded that both ACP and PSA enzymes are not highly effective methods for detecting male infidelity. However, the PSA test proved to be more reliable for detecting seminal stains on fabric, particularly after different washing treatments. These findings could help guide the selection of the appropriate method for detecting semen stains, especially when the amount of semen is low or the fabric has been washed.</w:t>
      </w:r>
    </w:p>
    <w:p w14:paraId="5AFE4682" w14:textId="77777777" w:rsidR="002F01C0" w:rsidRDefault="002F01C0">
      <w:pPr>
        <w:spacing w:after="0" w:line="240" w:lineRule="auto"/>
        <w:ind w:firstLine="0"/>
        <w:contextualSpacing/>
        <w:rPr>
          <w:color w:val="auto"/>
          <w:sz w:val="24"/>
          <w:szCs w:val="24"/>
        </w:rPr>
      </w:pPr>
    </w:p>
    <w:p w14:paraId="67E3D4D2" w14:textId="77777777" w:rsidR="002F01C0" w:rsidRDefault="002D1C8A">
      <w:pPr>
        <w:spacing w:after="0" w:line="240" w:lineRule="auto"/>
        <w:contextualSpacing/>
        <w:rPr>
          <w:color w:val="FFC000"/>
          <w:sz w:val="24"/>
          <w:szCs w:val="24"/>
        </w:rPr>
      </w:pPr>
      <w:r>
        <w:rPr>
          <w:b/>
          <w:bCs/>
          <w:color w:val="auto"/>
          <w:sz w:val="24"/>
          <w:szCs w:val="24"/>
        </w:rPr>
        <w:t xml:space="preserve">Keywords: </w:t>
      </w:r>
      <w:r>
        <w:rPr>
          <w:color w:val="auto"/>
          <w:sz w:val="24"/>
          <w:szCs w:val="24"/>
        </w:rPr>
        <w:t>Semen, Infidelity, Male, Sex, Prostate Specific Antigen, Acid Phosphatase.</w:t>
      </w:r>
    </w:p>
    <w:p w14:paraId="2A687633" w14:textId="77777777" w:rsidR="002F01C0" w:rsidRDefault="002F01C0">
      <w:pPr>
        <w:spacing w:after="0" w:line="240" w:lineRule="auto"/>
        <w:ind w:left="-5" w:right="0"/>
        <w:contextualSpacing/>
        <w:jc w:val="center"/>
        <w:rPr>
          <w:b/>
          <w:bCs/>
          <w:sz w:val="24"/>
          <w:szCs w:val="24"/>
        </w:rPr>
      </w:pPr>
    </w:p>
    <w:p w14:paraId="048B4A50" w14:textId="77777777" w:rsidR="002F01C0" w:rsidRDefault="002F01C0">
      <w:pPr>
        <w:spacing w:after="0" w:line="480" w:lineRule="auto"/>
        <w:ind w:left="-15" w:right="0" w:firstLine="0"/>
        <w:jc w:val="left"/>
        <w:rPr>
          <w:b/>
          <w:bCs/>
          <w:sz w:val="24"/>
          <w:szCs w:val="24"/>
        </w:rPr>
      </w:pPr>
    </w:p>
    <w:p w14:paraId="3BB1F892" w14:textId="77777777" w:rsidR="002F01C0" w:rsidRPr="00763997" w:rsidRDefault="002D1C8A" w:rsidP="00763997">
      <w:pPr>
        <w:pStyle w:val="ListParagraph"/>
        <w:numPr>
          <w:ilvl w:val="0"/>
          <w:numId w:val="9"/>
        </w:numPr>
        <w:spacing w:after="0" w:line="480" w:lineRule="auto"/>
        <w:ind w:right="0"/>
        <w:jc w:val="left"/>
        <w:rPr>
          <w:b/>
          <w:bCs/>
          <w:sz w:val="24"/>
          <w:szCs w:val="24"/>
        </w:rPr>
      </w:pPr>
      <w:r w:rsidRPr="00763997">
        <w:rPr>
          <w:b/>
          <w:bCs/>
          <w:sz w:val="24"/>
          <w:szCs w:val="24"/>
        </w:rPr>
        <w:t>Introduction</w:t>
      </w:r>
    </w:p>
    <w:p w14:paraId="3599C983" w14:textId="77777777" w:rsidR="005A6E96" w:rsidRPr="005A6E96" w:rsidRDefault="005A6E96" w:rsidP="005A6E96">
      <w:pPr>
        <w:spacing w:line="480" w:lineRule="auto"/>
        <w:ind w:right="664" w:firstLine="0"/>
        <w:rPr>
          <w:sz w:val="24"/>
          <w:szCs w:val="24"/>
        </w:rPr>
      </w:pPr>
      <w:r w:rsidRPr="005A6E96">
        <w:rPr>
          <w:sz w:val="24"/>
          <w:szCs w:val="24"/>
        </w:rPr>
        <w:t>Infidelity is defined as a breach of the commitment to sexual loyalty within a committed relationship. It can involve sexual, romantic, or emotional involvement with someone outside the primary relationship, violating norms that govern intimacy and exclusivity (</w:t>
      </w:r>
      <w:proofErr w:type="spellStart"/>
      <w:r w:rsidRPr="005A6E96">
        <w:rPr>
          <w:sz w:val="24"/>
          <w:szCs w:val="24"/>
        </w:rPr>
        <w:t>Drigotas</w:t>
      </w:r>
      <w:proofErr w:type="spellEnd"/>
      <w:r w:rsidRPr="005A6E96">
        <w:rPr>
          <w:sz w:val="24"/>
          <w:szCs w:val="24"/>
        </w:rPr>
        <w:t xml:space="preserve"> &amp; Barta, 2001; Glass, 2002; Zare, 2011). Different forms of infidelity include adultery, prostitution of a married partner, casual flirting, engaging in sexually explicit </w:t>
      </w:r>
      <w:r w:rsidRPr="005A6E96">
        <w:rPr>
          <w:sz w:val="24"/>
          <w:szCs w:val="24"/>
        </w:rPr>
        <w:lastRenderedPageBreak/>
        <w:t>conversations, and sexual exchanges without romantic involvement (Glass &amp; Wright, 1992).</w:t>
      </w:r>
    </w:p>
    <w:p w14:paraId="67D48393" w14:textId="77777777" w:rsidR="005A6E96" w:rsidRPr="005A6E96" w:rsidRDefault="005A6E96" w:rsidP="005A6E96">
      <w:pPr>
        <w:spacing w:line="480" w:lineRule="auto"/>
        <w:ind w:right="664" w:firstLine="0"/>
        <w:rPr>
          <w:sz w:val="24"/>
          <w:szCs w:val="24"/>
        </w:rPr>
      </w:pPr>
      <w:r w:rsidRPr="005A6E96">
        <w:rPr>
          <w:sz w:val="24"/>
          <w:szCs w:val="24"/>
        </w:rPr>
        <w:t>Research has consistently shown that infidelity is more prevalent among men across various cultures (Greely, 1994; Wiederman, 1997), regardless of the type of primary relationship (married or dating) (Blow &amp; Hartnett, 2005; Schmitt, 2003). Human beings are known to fall in and out of love rapidly (Wright, 1994). Men often use their power and resources to attract mates or, in societies that permit polygamy, marry multiple wives (</w:t>
      </w:r>
      <w:proofErr w:type="spellStart"/>
      <w:r w:rsidRPr="005A6E96">
        <w:rPr>
          <w:sz w:val="24"/>
          <w:szCs w:val="24"/>
        </w:rPr>
        <w:t>Eagly</w:t>
      </w:r>
      <w:proofErr w:type="spellEnd"/>
      <w:r w:rsidRPr="005A6E96">
        <w:rPr>
          <w:sz w:val="24"/>
          <w:szCs w:val="24"/>
        </w:rPr>
        <w:t xml:space="preserve"> &amp; Wood, 1999; Geary, 1998; Betzig, 1986; Townsend, 1994).</w:t>
      </w:r>
    </w:p>
    <w:p w14:paraId="5EC88833" w14:textId="77777777" w:rsidR="005A6E96" w:rsidRPr="005A6E96" w:rsidRDefault="005A6E96" w:rsidP="005A6E96">
      <w:pPr>
        <w:spacing w:line="480" w:lineRule="auto"/>
        <w:ind w:right="664" w:firstLine="0"/>
        <w:rPr>
          <w:sz w:val="24"/>
          <w:szCs w:val="24"/>
        </w:rPr>
      </w:pPr>
      <w:r w:rsidRPr="005A6E96">
        <w:rPr>
          <w:sz w:val="24"/>
          <w:szCs w:val="24"/>
        </w:rPr>
        <w:t xml:space="preserve">The identification of seminal stains is of great value in medicolegal cases, such as rape, sexual assault, sexual homicide, and adultery. Forensic laboratories often focus on sampling and analyzing stains or smears found on clothing or linen, as these stains could link the evidence to a suspect (Lincoln et al., 2006). The process of identifying seminal stains involves two main steps: first, locating the stain, and second, identifying its origin. Presumptive tests, such as chemical, catalytic, chemiluminescence, or immunological tests, are used to determine the bodily fluid type, followed by confirmatory tests to validate the identification of the substance (Virkler &amp; </w:t>
      </w:r>
      <w:proofErr w:type="spellStart"/>
      <w:r w:rsidRPr="005A6E96">
        <w:rPr>
          <w:sz w:val="24"/>
          <w:szCs w:val="24"/>
        </w:rPr>
        <w:t>Lednev</w:t>
      </w:r>
      <w:proofErr w:type="spellEnd"/>
      <w:r w:rsidRPr="005A6E96">
        <w:rPr>
          <w:sz w:val="24"/>
          <w:szCs w:val="24"/>
        </w:rPr>
        <w:t>, 2009).</w:t>
      </w:r>
    </w:p>
    <w:p w14:paraId="4E1DF8A6" w14:textId="77777777" w:rsidR="005A6E96" w:rsidRPr="005A6E96" w:rsidRDefault="005A6E96" w:rsidP="005A6E96">
      <w:pPr>
        <w:spacing w:line="480" w:lineRule="auto"/>
        <w:ind w:right="664" w:firstLine="0"/>
        <w:rPr>
          <w:sz w:val="24"/>
          <w:szCs w:val="24"/>
        </w:rPr>
      </w:pPr>
      <w:r w:rsidRPr="005A6E96">
        <w:rPr>
          <w:sz w:val="24"/>
          <w:szCs w:val="24"/>
        </w:rPr>
        <w:t>This research aims to detect seminal fluid stains on fabrics of infidelities using Prostate Specific Antigen (PSA) and Acid Phosphatase (AP) enzymes. Semen is an organic fluid produced by males, consisting of spermatozoa (sperm cells) and seminal fluid secreted by various glands. Since the naked eye is sometimes insufficient to identify stains, the use of an Alternate Light Source (ALS) is employed. ALS emits light at specific wavelengths, causing certain fluids to fluoresce or darken when illuminated. Semen, in particular, contains 4-methylumbelliferyl phosphate, which is modified by acid phosphatase (AP), producing fluorescence under ultraviolet light (Robinson &amp; Willcox, 1959). However, ALS helps detect the presence of bodily stains but does not determine their identity.</w:t>
      </w:r>
    </w:p>
    <w:p w14:paraId="6ED8D643" w14:textId="77777777" w:rsidR="005A6E96" w:rsidRPr="005A6E96" w:rsidRDefault="005A6E96" w:rsidP="005A6E96">
      <w:pPr>
        <w:spacing w:line="480" w:lineRule="auto"/>
        <w:ind w:right="664" w:firstLine="0"/>
        <w:rPr>
          <w:sz w:val="24"/>
          <w:szCs w:val="24"/>
        </w:rPr>
      </w:pPr>
      <w:r w:rsidRPr="005A6E96">
        <w:rPr>
          <w:sz w:val="24"/>
          <w:szCs w:val="24"/>
        </w:rPr>
        <w:t xml:space="preserve">Presumptive tests for bodily fluids are designed to detect specific components. For instance, blood, which contains hemoglobin, will fluoresce in the presence of Luminol, </w:t>
      </w:r>
      <w:r w:rsidRPr="005A6E96">
        <w:rPr>
          <w:sz w:val="24"/>
          <w:szCs w:val="24"/>
        </w:rPr>
        <w:lastRenderedPageBreak/>
        <w:t xml:space="preserve">which reacts with iron (Virkler &amp; </w:t>
      </w:r>
      <w:proofErr w:type="spellStart"/>
      <w:r w:rsidRPr="005A6E96">
        <w:rPr>
          <w:sz w:val="24"/>
          <w:szCs w:val="24"/>
        </w:rPr>
        <w:t>Lednev</w:t>
      </w:r>
      <w:proofErr w:type="spellEnd"/>
      <w:r w:rsidRPr="005A6E96">
        <w:rPr>
          <w:sz w:val="24"/>
          <w:szCs w:val="24"/>
        </w:rPr>
        <w:t>, 2009). The Kastle-Meyer (KM) test is another presumptive test for blood that uses phenolphthalein and hydrogen peroxide to react with hemoglobin, causing a color change (Cox, 1991). Confirmatory tests are essential to conclusively identify stains.</w:t>
      </w:r>
    </w:p>
    <w:p w14:paraId="0FA0C001" w14:textId="77777777" w:rsidR="00763997" w:rsidRDefault="002D1C8A" w:rsidP="00763997">
      <w:pPr>
        <w:spacing w:line="480" w:lineRule="auto"/>
        <w:ind w:right="664" w:firstLine="0"/>
        <w:rPr>
          <w:sz w:val="24"/>
          <w:szCs w:val="24"/>
        </w:rPr>
      </w:pPr>
      <w:r>
        <w:rPr>
          <w:noProof/>
          <w:sz w:val="24"/>
          <w:szCs w:val="24"/>
          <w:lang w:eastAsia="zh-CN"/>
        </w:rPr>
        <w:drawing>
          <wp:inline distT="0" distB="0" distL="0" distR="0" wp14:anchorId="40196E0E" wp14:editId="2A9FE016">
            <wp:extent cx="5731764" cy="1808988"/>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5731764" cy="1808988"/>
                    </a:xfrm>
                    <a:prstGeom prst="rect">
                      <a:avLst/>
                    </a:prstGeom>
                  </pic:spPr>
                </pic:pic>
              </a:graphicData>
            </a:graphic>
          </wp:inline>
        </w:drawing>
      </w:r>
      <w:r>
        <w:rPr>
          <w:b/>
          <w:bCs/>
          <w:sz w:val="24"/>
          <w:szCs w:val="24"/>
        </w:rPr>
        <w:t>Figure 1</w:t>
      </w:r>
      <w:r w:rsidRPr="007D06C6">
        <w:rPr>
          <w:b/>
          <w:bCs/>
          <w:i/>
          <w:sz w:val="24"/>
          <w:szCs w:val="24"/>
        </w:rPr>
        <w:t xml:space="preserve">. </w:t>
      </w:r>
      <w:r w:rsidRPr="007D06C6">
        <w:rPr>
          <w:i/>
          <w:sz w:val="24"/>
          <w:szCs w:val="24"/>
        </w:rPr>
        <w:t>A schematic diagram of a mammalian spermatozoa</w:t>
      </w:r>
      <w:r w:rsidRPr="007D06C6">
        <w:rPr>
          <w:b/>
          <w:bCs/>
          <w:i/>
          <w:sz w:val="24"/>
          <w:szCs w:val="24"/>
        </w:rPr>
        <w:t xml:space="preserve"> </w:t>
      </w:r>
      <w:r w:rsidRPr="007D06C6">
        <w:rPr>
          <w:i/>
          <w:sz w:val="24"/>
          <w:szCs w:val="24"/>
        </w:rPr>
        <w:t>(Jones, 1999)</w:t>
      </w:r>
      <w:r w:rsidRPr="007D06C6">
        <w:rPr>
          <w:b/>
          <w:bCs/>
          <w:i/>
          <w:sz w:val="24"/>
          <w:szCs w:val="24"/>
        </w:rPr>
        <w:t>.</w:t>
      </w:r>
    </w:p>
    <w:p w14:paraId="24F29CFD" w14:textId="77777777" w:rsidR="002F01C0" w:rsidRPr="00763997" w:rsidRDefault="00763997" w:rsidP="00763997">
      <w:pPr>
        <w:spacing w:line="480" w:lineRule="auto"/>
        <w:ind w:right="664" w:firstLine="0"/>
        <w:rPr>
          <w:sz w:val="24"/>
          <w:szCs w:val="24"/>
        </w:rPr>
      </w:pPr>
      <w:r>
        <w:rPr>
          <w:b/>
          <w:sz w:val="24"/>
          <w:szCs w:val="24"/>
        </w:rPr>
        <w:t xml:space="preserve">2. </w:t>
      </w:r>
      <w:r w:rsidR="002D1C8A">
        <w:rPr>
          <w:b/>
          <w:bCs/>
          <w:sz w:val="24"/>
          <w:szCs w:val="24"/>
        </w:rPr>
        <w:t>Materials and Methods</w:t>
      </w:r>
    </w:p>
    <w:p w14:paraId="0A7D5959" w14:textId="77777777" w:rsidR="00736585" w:rsidRDefault="00736585">
      <w:pPr>
        <w:spacing w:after="0" w:line="480" w:lineRule="auto"/>
        <w:ind w:left="-14" w:right="-13" w:firstLine="0"/>
        <w:contextualSpacing/>
        <w:rPr>
          <w:sz w:val="24"/>
          <w:szCs w:val="24"/>
        </w:rPr>
      </w:pPr>
      <w:r>
        <w:rPr>
          <w:b/>
          <w:bCs/>
          <w:sz w:val="24"/>
          <w:szCs w:val="24"/>
        </w:rPr>
        <w:t>2.1 Study group</w:t>
      </w:r>
    </w:p>
    <w:p w14:paraId="05D97118" w14:textId="77777777" w:rsidR="002F01C0" w:rsidRDefault="004B4DFF">
      <w:pPr>
        <w:spacing w:after="0" w:line="480" w:lineRule="auto"/>
        <w:ind w:left="-14" w:right="-13" w:firstLine="0"/>
        <w:contextualSpacing/>
        <w:rPr>
          <w:b/>
          <w:bCs/>
          <w:sz w:val="24"/>
          <w:szCs w:val="24"/>
        </w:rPr>
      </w:pPr>
      <w:r w:rsidRPr="004B4DFF">
        <w:rPr>
          <w:sz w:val="24"/>
          <w:szCs w:val="24"/>
        </w:rPr>
        <w:t>The study involved four male volunteers from different parts of Bayelsa, who were categorized into four groups: Group A, Group B, Group C, and Group D. Each participant was given a brand-new pair of male underwear. Group A served as the control group, as the individual in this group returned the boxers without engaging in sexual activity. Group B, on the other hand, had sex, wore the boxers, and then returned them. Participants in Group C had sex, took a bath, wore the boxers, washed them, and then returned them. Finally, Group D had sex, took a bath, wore the boxers, and returned them without washing them. Each group’s actions were designed to test the presence of seminal fluid under different conditions.</w:t>
      </w:r>
    </w:p>
    <w:p w14:paraId="01D45D52" w14:textId="77777777" w:rsidR="00736585" w:rsidRDefault="00736585" w:rsidP="00736585">
      <w:pPr>
        <w:spacing w:after="0" w:line="480" w:lineRule="auto"/>
        <w:ind w:left="-14" w:right="-13" w:firstLine="0"/>
        <w:contextualSpacing/>
        <w:rPr>
          <w:b/>
          <w:bCs/>
          <w:sz w:val="24"/>
          <w:szCs w:val="24"/>
        </w:rPr>
      </w:pPr>
      <w:r>
        <w:rPr>
          <w:b/>
          <w:bCs/>
          <w:sz w:val="24"/>
          <w:szCs w:val="24"/>
        </w:rPr>
        <w:t xml:space="preserve">2.2 </w:t>
      </w:r>
      <w:r w:rsidR="002D1C8A">
        <w:rPr>
          <w:b/>
          <w:bCs/>
          <w:sz w:val="24"/>
          <w:szCs w:val="24"/>
        </w:rPr>
        <w:t>Apparatus us</w:t>
      </w:r>
      <w:r>
        <w:rPr>
          <w:b/>
          <w:bCs/>
          <w:sz w:val="24"/>
          <w:szCs w:val="24"/>
        </w:rPr>
        <w:t>ed</w:t>
      </w:r>
    </w:p>
    <w:p w14:paraId="4B0CBDB9" w14:textId="77777777" w:rsidR="002F01C0" w:rsidRPr="00736585" w:rsidRDefault="002D1C8A" w:rsidP="00736585">
      <w:pPr>
        <w:spacing w:after="0" w:line="480" w:lineRule="auto"/>
        <w:ind w:left="-14" w:right="-13" w:firstLine="0"/>
        <w:contextualSpacing/>
        <w:rPr>
          <w:sz w:val="24"/>
          <w:szCs w:val="24"/>
        </w:rPr>
      </w:pPr>
      <w:r>
        <w:rPr>
          <w:sz w:val="24"/>
          <w:szCs w:val="24"/>
        </w:rPr>
        <w:t xml:space="preserve">Used male </w:t>
      </w:r>
      <w:r w:rsidR="00736585">
        <w:rPr>
          <w:sz w:val="24"/>
          <w:szCs w:val="24"/>
        </w:rPr>
        <w:t>underwear</w:t>
      </w:r>
      <w:r>
        <w:rPr>
          <w:sz w:val="24"/>
          <w:szCs w:val="24"/>
        </w:rPr>
        <w:t>, distilled water, beakers, scissors, a rack of test tubes, PSA and AP enzymes.</w:t>
      </w:r>
    </w:p>
    <w:p w14:paraId="42D73F1F" w14:textId="77777777" w:rsidR="00736585" w:rsidRDefault="00736585" w:rsidP="002A4954">
      <w:pPr>
        <w:spacing w:after="0" w:line="480" w:lineRule="auto"/>
        <w:ind w:left="-14" w:right="-13" w:firstLine="0"/>
        <w:contextualSpacing/>
        <w:rPr>
          <w:b/>
          <w:bCs/>
          <w:sz w:val="24"/>
          <w:szCs w:val="24"/>
        </w:rPr>
      </w:pPr>
      <w:r>
        <w:rPr>
          <w:b/>
          <w:bCs/>
          <w:sz w:val="24"/>
          <w:szCs w:val="24"/>
        </w:rPr>
        <w:t>2.3 Study locations</w:t>
      </w:r>
      <w:r w:rsidR="002D1C8A">
        <w:rPr>
          <w:b/>
          <w:bCs/>
          <w:sz w:val="24"/>
          <w:szCs w:val="24"/>
        </w:rPr>
        <w:t xml:space="preserve"> </w:t>
      </w:r>
    </w:p>
    <w:p w14:paraId="569D5BBB" w14:textId="77777777" w:rsidR="002F01C0" w:rsidRDefault="002D1C8A" w:rsidP="002A4954">
      <w:pPr>
        <w:spacing w:after="0" w:line="480" w:lineRule="auto"/>
        <w:ind w:left="-14" w:right="-13" w:firstLine="0"/>
        <w:contextualSpacing/>
        <w:rPr>
          <w:sz w:val="24"/>
          <w:szCs w:val="24"/>
        </w:rPr>
      </w:pPr>
      <w:r>
        <w:rPr>
          <w:sz w:val="24"/>
          <w:szCs w:val="24"/>
        </w:rPr>
        <w:t>Directorate of Research and Quality Assurance Federal University Otuoke, Bayelsa state, Nigeria. Eni-</w:t>
      </w:r>
      <w:proofErr w:type="spellStart"/>
      <w:r>
        <w:rPr>
          <w:sz w:val="24"/>
          <w:szCs w:val="24"/>
        </w:rPr>
        <w:t>yimini</w:t>
      </w:r>
      <w:proofErr w:type="spellEnd"/>
      <w:r>
        <w:rPr>
          <w:sz w:val="24"/>
          <w:szCs w:val="24"/>
        </w:rPr>
        <w:t xml:space="preserve"> Medicals </w:t>
      </w:r>
      <w:proofErr w:type="spellStart"/>
      <w:r>
        <w:rPr>
          <w:sz w:val="24"/>
          <w:szCs w:val="24"/>
        </w:rPr>
        <w:t>Igbogene</w:t>
      </w:r>
      <w:proofErr w:type="spellEnd"/>
      <w:r>
        <w:rPr>
          <w:sz w:val="24"/>
          <w:szCs w:val="24"/>
        </w:rPr>
        <w:t xml:space="preserve">, </w:t>
      </w:r>
      <w:proofErr w:type="spellStart"/>
      <w:r>
        <w:rPr>
          <w:sz w:val="24"/>
          <w:szCs w:val="24"/>
        </w:rPr>
        <w:t>yenagoa</w:t>
      </w:r>
      <w:proofErr w:type="spellEnd"/>
      <w:r>
        <w:rPr>
          <w:sz w:val="24"/>
          <w:szCs w:val="24"/>
        </w:rPr>
        <w:t>, Bayelsa state, Nigeria.</w:t>
      </w:r>
    </w:p>
    <w:p w14:paraId="6DD4FC1B" w14:textId="77777777" w:rsidR="00736585" w:rsidRPr="00736585" w:rsidRDefault="00736585" w:rsidP="002A4954">
      <w:pPr>
        <w:spacing w:after="0" w:line="480" w:lineRule="auto"/>
        <w:ind w:left="-14" w:right="-13" w:firstLine="0"/>
        <w:contextualSpacing/>
        <w:rPr>
          <w:sz w:val="10"/>
          <w:szCs w:val="24"/>
        </w:rPr>
      </w:pPr>
    </w:p>
    <w:p w14:paraId="1ED89C95" w14:textId="77777777" w:rsidR="00736585" w:rsidRDefault="00736585" w:rsidP="00736585">
      <w:pPr>
        <w:spacing w:after="0" w:line="480" w:lineRule="auto"/>
        <w:ind w:left="-14" w:right="-13" w:firstLine="0"/>
        <w:contextualSpacing/>
        <w:rPr>
          <w:b/>
          <w:bCs/>
          <w:sz w:val="24"/>
          <w:szCs w:val="24"/>
        </w:rPr>
      </w:pPr>
      <w:r>
        <w:rPr>
          <w:b/>
          <w:bCs/>
          <w:sz w:val="24"/>
          <w:szCs w:val="24"/>
        </w:rPr>
        <w:t>2.4 Procedure</w:t>
      </w:r>
    </w:p>
    <w:p w14:paraId="76FBD4DF" w14:textId="77777777" w:rsidR="002F01C0" w:rsidRPr="009C702F" w:rsidRDefault="009C702F" w:rsidP="00736585">
      <w:pPr>
        <w:spacing w:line="480" w:lineRule="auto"/>
        <w:ind w:firstLine="0"/>
        <w:rPr>
          <w:bCs/>
          <w:sz w:val="4"/>
          <w:szCs w:val="24"/>
        </w:rPr>
      </w:pPr>
      <w:r w:rsidRPr="009C702F">
        <w:rPr>
          <w:bCs/>
          <w:sz w:val="24"/>
          <w:szCs w:val="24"/>
        </w:rPr>
        <w:t>The four pieces of underwear were gathered, and the sections with potential semen stains were carefully cut out with scissors. These pieces were placed in a beaker for 10 minutes to allow the semen to be extracted from the fabric into the water. Afterward, the fabric was removed, and the excess water was poured off, leaving the sediments, which were transferred into small test tube containers. The collected samples were then analyzed using PSA and AP enzyme tests.</w:t>
      </w:r>
    </w:p>
    <w:p w14:paraId="36225990" w14:textId="77777777" w:rsidR="002F01C0" w:rsidRDefault="00763997">
      <w:pPr>
        <w:spacing w:line="480" w:lineRule="auto"/>
        <w:ind w:firstLine="0"/>
        <w:jc w:val="left"/>
        <w:rPr>
          <w:b/>
          <w:bCs/>
          <w:sz w:val="24"/>
          <w:szCs w:val="24"/>
        </w:rPr>
      </w:pPr>
      <w:r>
        <w:rPr>
          <w:b/>
          <w:bCs/>
          <w:sz w:val="24"/>
          <w:szCs w:val="24"/>
        </w:rPr>
        <w:t xml:space="preserve">3. </w:t>
      </w:r>
      <w:r w:rsidR="002D1C8A">
        <w:rPr>
          <w:b/>
          <w:bCs/>
          <w:sz w:val="24"/>
          <w:szCs w:val="24"/>
        </w:rPr>
        <w:t>Result</w:t>
      </w:r>
    </w:p>
    <w:p w14:paraId="5ED2A82D" w14:textId="77777777" w:rsidR="002F01C0" w:rsidRDefault="002D1C8A">
      <w:pPr>
        <w:spacing w:line="480" w:lineRule="auto"/>
        <w:ind w:left="0" w:firstLine="0"/>
        <w:rPr>
          <w:b/>
          <w:bCs/>
          <w:sz w:val="24"/>
          <w:szCs w:val="24"/>
        </w:rPr>
      </w:pPr>
      <w:r>
        <w:rPr>
          <w:b/>
          <w:bCs/>
          <w:sz w:val="24"/>
          <w:szCs w:val="24"/>
        </w:rPr>
        <w:t xml:space="preserve"> </w:t>
      </w:r>
      <w:r w:rsidR="00736585">
        <w:rPr>
          <w:b/>
          <w:bCs/>
          <w:sz w:val="24"/>
          <w:szCs w:val="24"/>
        </w:rPr>
        <w:t xml:space="preserve">3.1 </w:t>
      </w:r>
      <w:r>
        <w:rPr>
          <w:b/>
          <w:bCs/>
          <w:sz w:val="24"/>
          <w:szCs w:val="24"/>
        </w:rPr>
        <w:t>Mean Concentration and Standard Deviation of ACP and PSA</w:t>
      </w:r>
    </w:p>
    <w:p w14:paraId="528AAF65" w14:textId="77777777" w:rsidR="00537095" w:rsidRDefault="009C702F" w:rsidP="003479BE">
      <w:pPr>
        <w:spacing w:line="480" w:lineRule="auto"/>
        <w:ind w:firstLine="0"/>
        <w:rPr>
          <w:sz w:val="24"/>
          <w:szCs w:val="24"/>
        </w:rPr>
      </w:pPr>
      <w:r w:rsidRPr="009C702F">
        <w:rPr>
          <w:sz w:val="24"/>
          <w:szCs w:val="24"/>
        </w:rPr>
        <w:t>Table 1 presents the mean concentration and standard deviation of each enzyme in the different test groups. Group A represents the no-sex male group, Group B represents the sex group, Group C represents the sex and bath-wash group, and Group D represents the sex, bath, and no-wash group. The results are expressed as mean ± SD. Statistical significance was determined at a 95% confidence interval, with a significance threshold of ≤0.05. According to the results, there was no statistically significant difference in enzyme concentrations among the four groups.</w:t>
      </w:r>
    </w:p>
    <w:p w14:paraId="2D77A8DC" w14:textId="77777777" w:rsidR="003479BE" w:rsidRDefault="003479BE" w:rsidP="007D06C6">
      <w:pPr>
        <w:spacing w:line="240" w:lineRule="auto"/>
        <w:ind w:firstLine="0"/>
        <w:rPr>
          <w:sz w:val="24"/>
          <w:szCs w:val="24"/>
        </w:rPr>
      </w:pPr>
    </w:p>
    <w:p w14:paraId="6295BA5D" w14:textId="77777777" w:rsidR="007D06C6" w:rsidRPr="007D06C6" w:rsidRDefault="007D06C6" w:rsidP="007D06C6">
      <w:pPr>
        <w:spacing w:line="240" w:lineRule="auto"/>
        <w:ind w:firstLine="0"/>
        <w:rPr>
          <w:b/>
          <w:bCs/>
          <w:color w:val="010205"/>
          <w:sz w:val="24"/>
          <w:szCs w:val="24"/>
        </w:rPr>
      </w:pPr>
      <w:r w:rsidRPr="007D06C6">
        <w:rPr>
          <w:b/>
          <w:bCs/>
          <w:color w:val="010205"/>
          <w:sz w:val="24"/>
          <w:szCs w:val="24"/>
        </w:rPr>
        <w:t>Table 1. Mean concentration and standard deviation of ACP and PSA</w:t>
      </w:r>
    </w:p>
    <w:tbl>
      <w:tblPr>
        <w:tblStyle w:val="TableGrid"/>
        <w:tblW w:w="5000" w:type="pct"/>
        <w:tblLook w:val="04A0" w:firstRow="1" w:lastRow="0" w:firstColumn="1" w:lastColumn="0" w:noHBand="0" w:noVBand="1"/>
      </w:tblPr>
      <w:tblGrid>
        <w:gridCol w:w="1260"/>
        <w:gridCol w:w="1493"/>
        <w:gridCol w:w="1598"/>
        <w:gridCol w:w="1703"/>
        <w:gridCol w:w="1703"/>
        <w:gridCol w:w="693"/>
        <w:gridCol w:w="754"/>
      </w:tblGrid>
      <w:tr w:rsidR="009C702F" w14:paraId="3E0A8CA9" w14:textId="77777777" w:rsidTr="0065601C">
        <w:trPr>
          <w:trHeight w:val="847"/>
        </w:trPr>
        <w:tc>
          <w:tcPr>
            <w:tcW w:w="684" w:type="pct"/>
          </w:tcPr>
          <w:p w14:paraId="251B75B4" w14:textId="77777777" w:rsidR="009C702F" w:rsidRDefault="009C702F" w:rsidP="009C702F">
            <w:pPr>
              <w:spacing w:after="0" w:line="360" w:lineRule="auto"/>
              <w:contextualSpacing/>
              <w:rPr>
                <w:b/>
                <w:bCs/>
                <w:sz w:val="24"/>
                <w:szCs w:val="24"/>
              </w:rPr>
            </w:pPr>
            <w:r>
              <w:rPr>
                <w:b/>
                <w:bCs/>
                <w:sz w:val="24"/>
                <w:szCs w:val="24"/>
              </w:rPr>
              <w:t>Parameters</w:t>
            </w:r>
          </w:p>
        </w:tc>
        <w:tc>
          <w:tcPr>
            <w:tcW w:w="813" w:type="pct"/>
          </w:tcPr>
          <w:p w14:paraId="297F2DCB" w14:textId="77777777" w:rsidR="009C702F" w:rsidRDefault="009C702F" w:rsidP="009C702F">
            <w:pPr>
              <w:spacing w:after="0" w:line="360" w:lineRule="auto"/>
              <w:contextualSpacing/>
              <w:jc w:val="center"/>
              <w:rPr>
                <w:b/>
                <w:bCs/>
                <w:sz w:val="24"/>
                <w:szCs w:val="24"/>
              </w:rPr>
            </w:pPr>
            <w:r>
              <w:rPr>
                <w:b/>
                <w:bCs/>
                <w:sz w:val="24"/>
                <w:szCs w:val="24"/>
              </w:rPr>
              <w:t>Group A</w:t>
            </w:r>
          </w:p>
        </w:tc>
        <w:tc>
          <w:tcPr>
            <w:tcW w:w="871" w:type="pct"/>
          </w:tcPr>
          <w:p w14:paraId="0F0C8F74" w14:textId="77777777" w:rsidR="009C702F" w:rsidRDefault="009C702F" w:rsidP="009C702F">
            <w:pPr>
              <w:spacing w:after="0" w:line="360" w:lineRule="auto"/>
              <w:contextualSpacing/>
              <w:jc w:val="center"/>
              <w:rPr>
                <w:b/>
                <w:bCs/>
                <w:sz w:val="24"/>
                <w:szCs w:val="24"/>
              </w:rPr>
            </w:pPr>
            <w:r>
              <w:rPr>
                <w:b/>
                <w:bCs/>
                <w:sz w:val="24"/>
                <w:szCs w:val="24"/>
              </w:rPr>
              <w:t>Group B</w:t>
            </w:r>
          </w:p>
        </w:tc>
        <w:tc>
          <w:tcPr>
            <w:tcW w:w="930" w:type="pct"/>
          </w:tcPr>
          <w:p w14:paraId="6FE80C49" w14:textId="77777777" w:rsidR="009C702F" w:rsidRDefault="009C702F" w:rsidP="009C702F">
            <w:pPr>
              <w:spacing w:after="0" w:line="360" w:lineRule="auto"/>
              <w:contextualSpacing/>
              <w:jc w:val="center"/>
              <w:rPr>
                <w:b/>
                <w:bCs/>
                <w:sz w:val="24"/>
                <w:szCs w:val="24"/>
              </w:rPr>
            </w:pPr>
            <w:r>
              <w:rPr>
                <w:b/>
                <w:bCs/>
                <w:sz w:val="24"/>
                <w:szCs w:val="24"/>
              </w:rPr>
              <w:t>Group C</w:t>
            </w:r>
          </w:p>
        </w:tc>
        <w:tc>
          <w:tcPr>
            <w:tcW w:w="930" w:type="pct"/>
          </w:tcPr>
          <w:p w14:paraId="342C40BC" w14:textId="77777777" w:rsidR="009C702F" w:rsidRDefault="009C702F" w:rsidP="009C702F">
            <w:pPr>
              <w:spacing w:after="0" w:line="360" w:lineRule="auto"/>
              <w:contextualSpacing/>
              <w:jc w:val="center"/>
              <w:rPr>
                <w:b/>
                <w:bCs/>
                <w:sz w:val="24"/>
                <w:szCs w:val="24"/>
              </w:rPr>
            </w:pPr>
            <w:r>
              <w:rPr>
                <w:b/>
                <w:bCs/>
                <w:sz w:val="24"/>
                <w:szCs w:val="24"/>
              </w:rPr>
              <w:t>Group D</w:t>
            </w:r>
          </w:p>
        </w:tc>
        <w:tc>
          <w:tcPr>
            <w:tcW w:w="370" w:type="pct"/>
          </w:tcPr>
          <w:p w14:paraId="20BC3BA6" w14:textId="77777777" w:rsidR="009C702F" w:rsidRDefault="009C702F" w:rsidP="009C702F">
            <w:pPr>
              <w:spacing w:after="0" w:line="360" w:lineRule="auto"/>
              <w:contextualSpacing/>
              <w:jc w:val="center"/>
              <w:rPr>
                <w:b/>
                <w:bCs/>
                <w:sz w:val="24"/>
                <w:szCs w:val="24"/>
              </w:rPr>
            </w:pPr>
            <w:r>
              <w:rPr>
                <w:b/>
                <w:bCs/>
                <w:sz w:val="24"/>
                <w:szCs w:val="24"/>
              </w:rPr>
              <w:t>F-Test</w:t>
            </w:r>
          </w:p>
        </w:tc>
        <w:tc>
          <w:tcPr>
            <w:tcW w:w="404" w:type="pct"/>
          </w:tcPr>
          <w:p w14:paraId="7049107D" w14:textId="77777777" w:rsidR="009C702F" w:rsidRDefault="009C702F" w:rsidP="009C702F">
            <w:pPr>
              <w:spacing w:after="0" w:line="360" w:lineRule="auto"/>
              <w:contextualSpacing/>
              <w:jc w:val="center"/>
              <w:rPr>
                <w:b/>
                <w:bCs/>
                <w:sz w:val="24"/>
                <w:szCs w:val="24"/>
              </w:rPr>
            </w:pPr>
            <w:r>
              <w:rPr>
                <w:b/>
                <w:bCs/>
                <w:sz w:val="24"/>
                <w:szCs w:val="24"/>
              </w:rPr>
              <w:t>P-Value</w:t>
            </w:r>
          </w:p>
        </w:tc>
      </w:tr>
      <w:tr w:rsidR="009C702F" w14:paraId="05324856" w14:textId="77777777" w:rsidTr="0065601C">
        <w:trPr>
          <w:trHeight w:val="415"/>
        </w:trPr>
        <w:tc>
          <w:tcPr>
            <w:tcW w:w="684" w:type="pct"/>
          </w:tcPr>
          <w:p w14:paraId="35C315F9" w14:textId="77777777" w:rsidR="009C702F" w:rsidRDefault="009C702F" w:rsidP="009C702F">
            <w:pPr>
              <w:spacing w:after="0" w:line="360" w:lineRule="auto"/>
              <w:contextualSpacing/>
              <w:rPr>
                <w:sz w:val="24"/>
                <w:szCs w:val="24"/>
              </w:rPr>
            </w:pPr>
            <w:r>
              <w:rPr>
                <w:sz w:val="24"/>
                <w:szCs w:val="24"/>
              </w:rPr>
              <w:t>ACP</w:t>
            </w:r>
          </w:p>
        </w:tc>
        <w:tc>
          <w:tcPr>
            <w:tcW w:w="813" w:type="pct"/>
          </w:tcPr>
          <w:p w14:paraId="182EBE7C" w14:textId="77777777" w:rsidR="009C702F" w:rsidRDefault="009C702F" w:rsidP="009C702F">
            <w:pPr>
              <w:spacing w:after="0" w:line="360" w:lineRule="auto"/>
              <w:contextualSpacing/>
              <w:rPr>
                <w:sz w:val="24"/>
                <w:szCs w:val="24"/>
              </w:rPr>
            </w:pPr>
            <w:r>
              <w:rPr>
                <w:sz w:val="24"/>
                <w:szCs w:val="24"/>
              </w:rPr>
              <w:t>0.</w:t>
            </w:r>
            <w:r>
              <w:rPr>
                <w:color w:val="010205"/>
                <w:sz w:val="24"/>
                <w:szCs w:val="24"/>
              </w:rPr>
              <w:t>0000±0.0000</w:t>
            </w:r>
          </w:p>
        </w:tc>
        <w:tc>
          <w:tcPr>
            <w:tcW w:w="871" w:type="pct"/>
          </w:tcPr>
          <w:p w14:paraId="544E6A65" w14:textId="77777777" w:rsidR="009C702F" w:rsidRDefault="009C702F" w:rsidP="009C702F">
            <w:pPr>
              <w:spacing w:after="0" w:line="360" w:lineRule="auto"/>
              <w:contextualSpacing/>
              <w:rPr>
                <w:sz w:val="24"/>
                <w:szCs w:val="24"/>
              </w:rPr>
            </w:pPr>
            <w:r>
              <w:rPr>
                <w:sz w:val="24"/>
                <w:szCs w:val="24"/>
              </w:rPr>
              <w:t>0</w:t>
            </w:r>
            <w:r>
              <w:rPr>
                <w:color w:val="010205"/>
                <w:sz w:val="24"/>
                <w:szCs w:val="24"/>
              </w:rPr>
              <w:t>.0560±0.0901</w:t>
            </w:r>
          </w:p>
        </w:tc>
        <w:tc>
          <w:tcPr>
            <w:tcW w:w="930" w:type="pct"/>
          </w:tcPr>
          <w:p w14:paraId="5F548C3E" w14:textId="77777777" w:rsidR="009C702F" w:rsidRDefault="009C702F" w:rsidP="009C702F">
            <w:pPr>
              <w:spacing w:after="0" w:line="360" w:lineRule="auto"/>
              <w:contextualSpacing/>
              <w:rPr>
                <w:sz w:val="24"/>
                <w:szCs w:val="24"/>
              </w:rPr>
            </w:pPr>
            <w:r>
              <w:rPr>
                <w:color w:val="010205"/>
                <w:sz w:val="24"/>
                <w:szCs w:val="24"/>
              </w:rPr>
              <w:t>0.0073±0.0006</w:t>
            </w:r>
          </w:p>
        </w:tc>
        <w:tc>
          <w:tcPr>
            <w:tcW w:w="930" w:type="pct"/>
          </w:tcPr>
          <w:p w14:paraId="49950169" w14:textId="77777777" w:rsidR="009C702F" w:rsidRDefault="009C702F" w:rsidP="009C702F">
            <w:pPr>
              <w:spacing w:after="0" w:line="360" w:lineRule="auto"/>
              <w:contextualSpacing/>
              <w:rPr>
                <w:sz w:val="24"/>
                <w:szCs w:val="24"/>
              </w:rPr>
            </w:pPr>
            <w:r>
              <w:rPr>
                <w:color w:val="010205"/>
                <w:sz w:val="24"/>
                <w:szCs w:val="24"/>
              </w:rPr>
              <w:t>0.0093±0.0085</w:t>
            </w:r>
          </w:p>
        </w:tc>
        <w:tc>
          <w:tcPr>
            <w:tcW w:w="370" w:type="pct"/>
          </w:tcPr>
          <w:p w14:paraId="7463FFA5" w14:textId="77777777" w:rsidR="009C702F" w:rsidRDefault="009C702F" w:rsidP="009C702F">
            <w:pPr>
              <w:spacing w:after="0" w:line="360" w:lineRule="auto"/>
              <w:contextualSpacing/>
              <w:rPr>
                <w:sz w:val="24"/>
                <w:szCs w:val="24"/>
              </w:rPr>
            </w:pPr>
            <w:r>
              <w:rPr>
                <w:sz w:val="24"/>
                <w:szCs w:val="24"/>
              </w:rPr>
              <w:t>0.956</w:t>
            </w:r>
          </w:p>
        </w:tc>
        <w:tc>
          <w:tcPr>
            <w:tcW w:w="404" w:type="pct"/>
          </w:tcPr>
          <w:p w14:paraId="3B53495D" w14:textId="77777777" w:rsidR="009C702F" w:rsidRDefault="009C702F" w:rsidP="009C702F">
            <w:pPr>
              <w:spacing w:after="0" w:line="360" w:lineRule="auto"/>
              <w:contextualSpacing/>
              <w:rPr>
                <w:sz w:val="24"/>
                <w:szCs w:val="24"/>
              </w:rPr>
            </w:pPr>
            <w:r>
              <w:rPr>
                <w:sz w:val="24"/>
                <w:szCs w:val="24"/>
              </w:rPr>
              <w:t>0.459</w:t>
            </w:r>
          </w:p>
        </w:tc>
      </w:tr>
      <w:tr w:rsidR="009C702F" w14:paraId="249012F1" w14:textId="77777777" w:rsidTr="0065601C">
        <w:trPr>
          <w:trHeight w:val="415"/>
        </w:trPr>
        <w:tc>
          <w:tcPr>
            <w:tcW w:w="684" w:type="pct"/>
          </w:tcPr>
          <w:p w14:paraId="750DACA8" w14:textId="77777777" w:rsidR="009C702F" w:rsidRDefault="009C702F" w:rsidP="009C702F">
            <w:pPr>
              <w:spacing w:after="0" w:line="360" w:lineRule="auto"/>
              <w:contextualSpacing/>
              <w:rPr>
                <w:sz w:val="24"/>
                <w:szCs w:val="24"/>
              </w:rPr>
            </w:pPr>
            <w:r>
              <w:rPr>
                <w:sz w:val="24"/>
                <w:szCs w:val="24"/>
              </w:rPr>
              <w:t>PSA</w:t>
            </w:r>
          </w:p>
        </w:tc>
        <w:tc>
          <w:tcPr>
            <w:tcW w:w="813" w:type="pct"/>
          </w:tcPr>
          <w:p w14:paraId="28A5A9AF" w14:textId="77777777" w:rsidR="009C702F" w:rsidRDefault="009C702F" w:rsidP="009C702F">
            <w:pPr>
              <w:spacing w:after="0" w:line="360" w:lineRule="auto"/>
              <w:contextualSpacing/>
              <w:rPr>
                <w:sz w:val="24"/>
                <w:szCs w:val="24"/>
              </w:rPr>
            </w:pPr>
            <w:r>
              <w:rPr>
                <w:sz w:val="24"/>
                <w:szCs w:val="24"/>
              </w:rPr>
              <w:t>0.0033</w:t>
            </w:r>
            <w:r>
              <w:rPr>
                <w:color w:val="010205"/>
                <w:sz w:val="24"/>
                <w:szCs w:val="24"/>
              </w:rPr>
              <w:t>±0.0041</w:t>
            </w:r>
          </w:p>
        </w:tc>
        <w:tc>
          <w:tcPr>
            <w:tcW w:w="871" w:type="pct"/>
          </w:tcPr>
          <w:p w14:paraId="766B73C4" w14:textId="77777777" w:rsidR="009C702F" w:rsidRDefault="009C702F" w:rsidP="009C702F">
            <w:pPr>
              <w:spacing w:after="0" w:line="360" w:lineRule="auto"/>
              <w:contextualSpacing/>
              <w:rPr>
                <w:sz w:val="24"/>
                <w:szCs w:val="24"/>
              </w:rPr>
            </w:pPr>
            <w:r>
              <w:rPr>
                <w:sz w:val="24"/>
                <w:szCs w:val="24"/>
              </w:rPr>
              <w:t>7.9367</w:t>
            </w:r>
            <w:r>
              <w:rPr>
                <w:color w:val="010205"/>
                <w:sz w:val="24"/>
                <w:szCs w:val="24"/>
              </w:rPr>
              <w:t>±10.2629</w:t>
            </w:r>
          </w:p>
        </w:tc>
        <w:tc>
          <w:tcPr>
            <w:tcW w:w="930" w:type="pct"/>
          </w:tcPr>
          <w:p w14:paraId="13451433" w14:textId="77777777" w:rsidR="009C702F" w:rsidRDefault="009C702F" w:rsidP="009C702F">
            <w:pPr>
              <w:spacing w:after="0" w:line="360" w:lineRule="auto"/>
              <w:contextualSpacing/>
              <w:rPr>
                <w:sz w:val="24"/>
                <w:szCs w:val="24"/>
              </w:rPr>
            </w:pPr>
            <w:r>
              <w:rPr>
                <w:color w:val="010205"/>
                <w:sz w:val="24"/>
                <w:szCs w:val="24"/>
              </w:rPr>
              <w:t>41.9407±67.9971</w:t>
            </w:r>
          </w:p>
        </w:tc>
        <w:tc>
          <w:tcPr>
            <w:tcW w:w="930" w:type="pct"/>
          </w:tcPr>
          <w:p w14:paraId="5C24B4E1" w14:textId="77777777" w:rsidR="009C702F" w:rsidRDefault="009C702F" w:rsidP="009C702F">
            <w:pPr>
              <w:spacing w:after="0" w:line="360" w:lineRule="auto"/>
              <w:contextualSpacing/>
              <w:rPr>
                <w:color w:val="010205"/>
                <w:sz w:val="24"/>
                <w:szCs w:val="24"/>
              </w:rPr>
            </w:pPr>
            <w:r>
              <w:rPr>
                <w:color w:val="010205"/>
                <w:sz w:val="24"/>
                <w:szCs w:val="24"/>
              </w:rPr>
              <w:t>42.0393±67.8235</w:t>
            </w:r>
          </w:p>
        </w:tc>
        <w:tc>
          <w:tcPr>
            <w:tcW w:w="370" w:type="pct"/>
          </w:tcPr>
          <w:p w14:paraId="073BF91A" w14:textId="77777777" w:rsidR="009C702F" w:rsidRDefault="009C702F" w:rsidP="009C702F">
            <w:pPr>
              <w:spacing w:after="0" w:line="360" w:lineRule="auto"/>
              <w:contextualSpacing/>
              <w:rPr>
                <w:sz w:val="24"/>
                <w:szCs w:val="24"/>
              </w:rPr>
            </w:pPr>
            <w:r>
              <w:rPr>
                <w:sz w:val="24"/>
                <w:szCs w:val="24"/>
              </w:rPr>
              <w:t>0.633</w:t>
            </w:r>
          </w:p>
        </w:tc>
        <w:tc>
          <w:tcPr>
            <w:tcW w:w="404" w:type="pct"/>
          </w:tcPr>
          <w:p w14:paraId="22D01A5C" w14:textId="77777777" w:rsidR="009C702F" w:rsidRDefault="009C702F" w:rsidP="009C702F">
            <w:pPr>
              <w:spacing w:after="0" w:line="360" w:lineRule="auto"/>
              <w:contextualSpacing/>
              <w:rPr>
                <w:sz w:val="24"/>
                <w:szCs w:val="24"/>
              </w:rPr>
            </w:pPr>
            <w:r>
              <w:rPr>
                <w:sz w:val="24"/>
                <w:szCs w:val="24"/>
              </w:rPr>
              <w:t>0.614</w:t>
            </w:r>
          </w:p>
        </w:tc>
      </w:tr>
    </w:tbl>
    <w:p w14:paraId="46336105" w14:textId="77777777" w:rsidR="002F01C0" w:rsidRPr="002A4954" w:rsidRDefault="002A4954" w:rsidP="00117C58">
      <w:pPr>
        <w:spacing w:after="0" w:line="240" w:lineRule="auto"/>
        <w:ind w:left="0" w:right="-13" w:firstLine="0"/>
        <w:contextualSpacing/>
        <w:rPr>
          <w:b/>
          <w:bCs/>
          <w:sz w:val="24"/>
          <w:szCs w:val="24"/>
        </w:rPr>
      </w:pPr>
      <w:r>
        <w:rPr>
          <w:b/>
          <w:bCs/>
          <w:sz w:val="24"/>
          <w:szCs w:val="24"/>
        </w:rPr>
        <w:t xml:space="preserve"> </w:t>
      </w:r>
    </w:p>
    <w:p w14:paraId="3C1DE2DF" w14:textId="77777777" w:rsidR="002A4954" w:rsidRDefault="002A4954" w:rsidP="002A4954">
      <w:pPr>
        <w:spacing w:after="0" w:line="480" w:lineRule="auto"/>
        <w:ind w:left="0" w:firstLine="0"/>
        <w:contextualSpacing/>
        <w:rPr>
          <w:color w:val="010205"/>
          <w:sz w:val="4"/>
          <w:szCs w:val="24"/>
        </w:rPr>
      </w:pPr>
    </w:p>
    <w:p w14:paraId="6195479F" w14:textId="77777777" w:rsidR="00736585" w:rsidRPr="002A4954" w:rsidRDefault="00736585" w:rsidP="002A4954">
      <w:pPr>
        <w:spacing w:after="0" w:line="480" w:lineRule="auto"/>
        <w:ind w:left="0" w:firstLine="0"/>
        <w:contextualSpacing/>
        <w:rPr>
          <w:color w:val="010205"/>
          <w:sz w:val="4"/>
          <w:szCs w:val="24"/>
        </w:rPr>
      </w:pPr>
    </w:p>
    <w:p w14:paraId="36E98AF6" w14:textId="77777777" w:rsidR="002A4954" w:rsidRDefault="002D1C8A" w:rsidP="002A4954">
      <w:pPr>
        <w:spacing w:after="0" w:line="240" w:lineRule="auto"/>
        <w:contextualSpacing/>
        <w:rPr>
          <w:b/>
          <w:bCs/>
          <w:color w:val="010205"/>
          <w:sz w:val="24"/>
          <w:szCs w:val="24"/>
        </w:rPr>
      </w:pPr>
      <w:r>
        <w:rPr>
          <w:noProof/>
          <w:sz w:val="24"/>
          <w:szCs w:val="24"/>
          <w:lang w:eastAsia="zh-CN"/>
        </w:rPr>
        <w:lastRenderedPageBreak/>
        <w:drawing>
          <wp:inline distT="0" distB="0" distL="0" distR="0" wp14:anchorId="52646D07" wp14:editId="71B798DB">
            <wp:extent cx="5943600" cy="3495675"/>
            <wp:effectExtent l="0" t="0" r="0" b="9525"/>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5943600" cy="3495675"/>
                    </a:xfrm>
                    <a:prstGeom prst="rect">
                      <a:avLst/>
                    </a:prstGeom>
                    <a:ln>
                      <a:noFill/>
                    </a:ln>
                  </pic:spPr>
                </pic:pic>
              </a:graphicData>
            </a:graphic>
          </wp:inline>
        </w:drawing>
      </w:r>
      <w:r>
        <w:rPr>
          <w:noProof/>
          <w:sz w:val="24"/>
          <w:szCs w:val="24"/>
        </w:rPr>
        <w:t xml:space="preserve"> </w:t>
      </w:r>
    </w:p>
    <w:p w14:paraId="3884BDEF" w14:textId="77777777" w:rsidR="002F01C0" w:rsidRPr="002A4954" w:rsidRDefault="002D1C8A">
      <w:pPr>
        <w:spacing w:after="0" w:line="480" w:lineRule="auto"/>
        <w:contextualSpacing/>
        <w:rPr>
          <w:bCs/>
          <w:i/>
          <w:color w:val="010205"/>
          <w:sz w:val="24"/>
          <w:szCs w:val="24"/>
        </w:rPr>
      </w:pPr>
      <w:r>
        <w:rPr>
          <w:b/>
          <w:bCs/>
          <w:sz w:val="24"/>
          <w:szCs w:val="24"/>
        </w:rPr>
        <w:t xml:space="preserve">Figure </w:t>
      </w:r>
      <w:r w:rsidR="002A4954">
        <w:rPr>
          <w:b/>
          <w:bCs/>
          <w:color w:val="010205"/>
          <w:sz w:val="24"/>
          <w:szCs w:val="24"/>
        </w:rPr>
        <w:t>2</w:t>
      </w:r>
      <w:r>
        <w:rPr>
          <w:b/>
          <w:bCs/>
          <w:color w:val="010205"/>
          <w:sz w:val="24"/>
          <w:szCs w:val="24"/>
        </w:rPr>
        <w:t xml:space="preserve">. </w:t>
      </w:r>
      <w:r w:rsidRPr="002A4954">
        <w:rPr>
          <w:bCs/>
          <w:i/>
          <w:color w:val="010205"/>
          <w:sz w:val="24"/>
          <w:szCs w:val="24"/>
        </w:rPr>
        <w:t xml:space="preserve">Mean concentration of Acid Phosphatase across the four groups  </w:t>
      </w:r>
    </w:p>
    <w:p w14:paraId="57774700" w14:textId="77777777" w:rsidR="002F01C0" w:rsidRDefault="002D1C8A" w:rsidP="00117C58">
      <w:pPr>
        <w:spacing w:after="0" w:line="240" w:lineRule="auto"/>
        <w:contextualSpacing/>
        <w:rPr>
          <w:color w:val="010205"/>
          <w:sz w:val="24"/>
          <w:szCs w:val="24"/>
        </w:rPr>
      </w:pPr>
      <w:r>
        <w:rPr>
          <w:noProof/>
          <w:sz w:val="24"/>
          <w:szCs w:val="24"/>
          <w:lang w:eastAsia="zh-CN"/>
        </w:rPr>
        <w:drawing>
          <wp:inline distT="0" distB="0" distL="0" distR="0" wp14:anchorId="2B6FF84E" wp14:editId="01958DCC">
            <wp:extent cx="5943600" cy="3495675"/>
            <wp:effectExtent l="0" t="0" r="0" b="9525"/>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cstate="print"/>
                    <a:srcRect/>
                    <a:stretch/>
                  </pic:blipFill>
                  <pic:spPr>
                    <a:xfrm>
                      <a:off x="0" y="0"/>
                      <a:ext cx="5943600" cy="3495675"/>
                    </a:xfrm>
                    <a:prstGeom prst="rect">
                      <a:avLst/>
                    </a:prstGeom>
                    <a:ln>
                      <a:noFill/>
                    </a:ln>
                  </pic:spPr>
                </pic:pic>
              </a:graphicData>
            </a:graphic>
          </wp:inline>
        </w:drawing>
      </w:r>
    </w:p>
    <w:p w14:paraId="15EBA84A" w14:textId="77777777" w:rsidR="002F01C0" w:rsidRDefault="002A4954">
      <w:pPr>
        <w:spacing w:after="0" w:line="480" w:lineRule="auto"/>
        <w:ind w:left="0" w:firstLine="0"/>
        <w:contextualSpacing/>
        <w:rPr>
          <w:b/>
          <w:bCs/>
          <w:sz w:val="24"/>
          <w:szCs w:val="24"/>
        </w:rPr>
      </w:pPr>
      <w:r>
        <w:rPr>
          <w:b/>
          <w:bCs/>
          <w:sz w:val="24"/>
          <w:szCs w:val="24"/>
        </w:rPr>
        <w:t>Figure 3</w:t>
      </w:r>
      <w:r w:rsidR="002D1C8A">
        <w:rPr>
          <w:b/>
          <w:bCs/>
          <w:sz w:val="24"/>
          <w:szCs w:val="24"/>
        </w:rPr>
        <w:t xml:space="preserve">. </w:t>
      </w:r>
      <w:r w:rsidR="002D1C8A" w:rsidRPr="002A4954">
        <w:rPr>
          <w:bCs/>
          <w:i/>
          <w:sz w:val="24"/>
          <w:szCs w:val="24"/>
        </w:rPr>
        <w:t>Mean concentration of Prostate Specific Antigen (PSA) across the four groups</w:t>
      </w:r>
    </w:p>
    <w:p w14:paraId="0CA3D7D5" w14:textId="77777777" w:rsidR="00763997" w:rsidRDefault="002D1C8A" w:rsidP="00763997">
      <w:pPr>
        <w:spacing w:after="0" w:line="480" w:lineRule="auto"/>
        <w:ind w:left="0" w:firstLine="0"/>
        <w:contextualSpacing/>
        <w:rPr>
          <w:b/>
          <w:sz w:val="24"/>
          <w:szCs w:val="24"/>
        </w:rPr>
      </w:pPr>
      <w:r>
        <w:rPr>
          <w:b/>
          <w:sz w:val="24"/>
          <w:szCs w:val="24"/>
        </w:rPr>
        <w:t>4. Discussion</w:t>
      </w:r>
    </w:p>
    <w:p w14:paraId="049BBBA8" w14:textId="77777777" w:rsidR="00763997" w:rsidRPr="00763997" w:rsidRDefault="00763997" w:rsidP="003479BE">
      <w:pPr>
        <w:spacing w:after="0" w:line="480" w:lineRule="auto"/>
        <w:ind w:left="0" w:firstLine="0"/>
        <w:contextualSpacing/>
        <w:rPr>
          <w:b/>
          <w:sz w:val="24"/>
          <w:szCs w:val="24"/>
        </w:rPr>
      </w:pPr>
      <w:r w:rsidRPr="00763997">
        <w:rPr>
          <w:sz w:val="24"/>
          <w:szCs w:val="24"/>
        </w:rPr>
        <w:t xml:space="preserve">Infidelity is often seen as one of the most damaging and feared experiences in a relationship, potentially leading to divorce. Gender has been frequently associated with infidelity, with men being more likely to engage in such behavior than women. This study aimed to detect and assess male infidelity by examining seminal enzymes, specifically Prostate Specific Antigen (PSA) and </w:t>
      </w:r>
      <w:r w:rsidRPr="00763997">
        <w:rPr>
          <w:sz w:val="24"/>
          <w:szCs w:val="24"/>
        </w:rPr>
        <w:lastRenderedPageBreak/>
        <w:t>Acid Phosphatase (ACP). The concentration of these enzymes in sperm deposited on clothing was analyzed for this purpose. However, the results revealed that the concentrations of PSA and ACP in sperm stains on garments were not reliable indicators of infidelity. No significant difference in the enzyme concentrations was observed across the four groups. In Figure 2, the highest ACP concentration was found in Group B (sex male), likely due to ejaculation staining the fabric. The lowest concentration was seen in Group A (no sex), as there was no sexual activity, and therefore, no ACP present. In Figure 3, the highest PSA concentrations were recorded in Groups C (sex + bath wash) and D (sex + no wash). For Group C, this could be explained by the ejaculation stain penetrating deeply into the fabric, with other factors like the type of soap used and the washing time also playing a role. For Group D, the PSA concentration remained due to ejaculation staining the fabric, even though the fabric was not washed after bathing. Group A had the lowest PSA concentration, consistent with the absence of sexual activity. Several factors can affect sperm retention during washing, such as the fabric type, water temperature, and whether the stain is wet or dry.</w:t>
      </w:r>
    </w:p>
    <w:p w14:paraId="657AD520" w14:textId="77777777" w:rsidR="00763997" w:rsidRPr="00763997" w:rsidRDefault="00763997" w:rsidP="003479BE">
      <w:pPr>
        <w:spacing w:before="240" w:after="240" w:line="480" w:lineRule="auto"/>
        <w:rPr>
          <w:sz w:val="24"/>
          <w:szCs w:val="24"/>
        </w:rPr>
      </w:pPr>
      <w:r w:rsidRPr="00763997">
        <w:rPr>
          <w:sz w:val="24"/>
          <w:szCs w:val="24"/>
        </w:rPr>
        <w:t xml:space="preserve">Jain et al. (2020) discussed some limitations in semen detection methods for stains found on washed fabrics. Washing, especially with varying water temperatures or the stain’s moisture level, can hinder the detection process using the Alternate Light Source method. The ACP test can detect semen regardless of water temperature during washing; however, if the stain is still moist during washing, detection of acid phosphatase can be significantly affected. Additionally, fabric type can influence the results, with the ACP test proving ineffective on polyester fabrics, although cotton fabrics did not show such issues. Jain et al. (2020) recommend further research with improved techniques and larger sample sizes. Garg et al. (2021) reported that washing semen-stained fabrics with detergent generally reduces the detection of semen across most testing methods, including the AP test, PSA test, microcrystal, and microscopic examinations. The ACP test provided more reliable results for detecting semen after washing compared to UV light detection, but the PSA test proved to be the most resilient, yielding positive results on </w:t>
      </w:r>
      <w:r w:rsidRPr="00763997">
        <w:rPr>
          <w:sz w:val="24"/>
          <w:szCs w:val="24"/>
        </w:rPr>
        <w:lastRenderedPageBreak/>
        <w:t>fabrics regardless of washing conditions (with or without detergent). These findings align with the work of Farmen et al. (2008).</w:t>
      </w:r>
    </w:p>
    <w:p w14:paraId="344F1633" w14:textId="77777777" w:rsidR="00763997" w:rsidRPr="00763997" w:rsidRDefault="00763997" w:rsidP="003479BE">
      <w:pPr>
        <w:spacing w:before="240" w:after="240" w:line="480" w:lineRule="auto"/>
        <w:rPr>
          <w:sz w:val="24"/>
          <w:szCs w:val="24"/>
        </w:rPr>
      </w:pPr>
      <w:r w:rsidRPr="00763997">
        <w:rPr>
          <w:sz w:val="24"/>
          <w:szCs w:val="24"/>
        </w:rPr>
        <w:t>The limitations of this study in detecting seminal fluid using the ACP and PSA tests may be attributed to insufficient surface wetting and the sampling method used to extract seminal fluid from stains on fabrics. The study also had a small sample size, which means it is important to determine whether the sampling method was responsible for the results. A study with a larger sample size and comparison of sampling methods would provide more reliable insights. Despite the limited number of replicates, the results suggest that the sampling method significantly affects the detection of PSA and ACP in clothing. Other factors, such as the collection procedure or the time elapsed between ejaculation and testing, may have also influenced the results.</w:t>
      </w:r>
    </w:p>
    <w:p w14:paraId="591379BE" w14:textId="77777777" w:rsidR="00763997" w:rsidRDefault="00763997" w:rsidP="003479BE">
      <w:pPr>
        <w:spacing w:before="240" w:after="240" w:line="480" w:lineRule="auto"/>
        <w:rPr>
          <w:b/>
          <w:bCs/>
          <w:sz w:val="24"/>
          <w:szCs w:val="24"/>
        </w:rPr>
      </w:pPr>
      <w:r>
        <w:rPr>
          <w:b/>
          <w:bCs/>
          <w:sz w:val="24"/>
          <w:szCs w:val="24"/>
        </w:rPr>
        <w:t>5. Conclusion</w:t>
      </w:r>
    </w:p>
    <w:p w14:paraId="5B325858" w14:textId="77777777" w:rsidR="003479BE" w:rsidRPr="003479BE" w:rsidRDefault="00763997" w:rsidP="003479BE">
      <w:pPr>
        <w:spacing w:before="240" w:after="240" w:line="480" w:lineRule="auto"/>
        <w:rPr>
          <w:sz w:val="24"/>
          <w:szCs w:val="24"/>
        </w:rPr>
      </w:pPr>
      <w:r w:rsidRPr="00763997">
        <w:rPr>
          <w:sz w:val="24"/>
          <w:szCs w:val="24"/>
        </w:rPr>
        <w:t>This study examined methods for detecting male infidelity using seminal enzymes (PSA and ACP). Although both tests were not significantly effective in detecting male infidelity, the ACP test showed more limitations compared to the PSA test, particularly in washed clothing. The PSA test, however, demonstrated more promising results in both washed and unwashed fabrics. Therefore, this study concludes that while neither ACP nor PSA is an ideal method for detecting male infidelity, PSA is the more effective method for detecting seminal stains on fabrics, especially after washing. The findings can guide future decisions on the appropriate methods for detecting semen stains in cases where small amounts of semen remain on fabric after washing.</w:t>
      </w:r>
    </w:p>
    <w:p w14:paraId="54D208D5" w14:textId="77777777" w:rsidR="004B4DFF" w:rsidRPr="004B4DFF" w:rsidRDefault="004B4DFF" w:rsidP="004B4DFF">
      <w:pPr>
        <w:spacing w:line="360" w:lineRule="auto"/>
        <w:rPr>
          <w:color w:val="auto"/>
          <w:sz w:val="8"/>
          <w:szCs w:val="24"/>
        </w:rPr>
      </w:pPr>
    </w:p>
    <w:p w14:paraId="18A9AF18" w14:textId="77777777" w:rsidR="00B917FC" w:rsidRDefault="00B917FC" w:rsidP="00B917FC">
      <w:pPr>
        <w:spacing w:line="360" w:lineRule="auto"/>
        <w:rPr>
          <w:b/>
          <w:sz w:val="24"/>
          <w:szCs w:val="24"/>
        </w:rPr>
      </w:pPr>
      <w:r>
        <w:rPr>
          <w:b/>
          <w:sz w:val="24"/>
          <w:szCs w:val="24"/>
        </w:rPr>
        <w:t>Abbreviations:</w:t>
      </w:r>
    </w:p>
    <w:p w14:paraId="40AEEBC8" w14:textId="77777777" w:rsidR="00B917FC" w:rsidRPr="00187A22" w:rsidRDefault="00B917FC" w:rsidP="00187A22">
      <w:pPr>
        <w:spacing w:line="360" w:lineRule="auto"/>
        <w:rPr>
          <w:sz w:val="24"/>
          <w:szCs w:val="24"/>
        </w:rPr>
      </w:pPr>
      <w:r w:rsidRPr="00B917FC">
        <w:rPr>
          <w:bCs/>
          <w:sz w:val="24"/>
          <w:szCs w:val="24"/>
        </w:rPr>
        <w:t>Prostate Specific Antigen (PSA)</w:t>
      </w:r>
      <w:r>
        <w:rPr>
          <w:bCs/>
          <w:sz w:val="24"/>
          <w:szCs w:val="24"/>
        </w:rPr>
        <w:t xml:space="preserve">, </w:t>
      </w:r>
      <w:r w:rsidRPr="00B917FC">
        <w:rPr>
          <w:sz w:val="24"/>
          <w:szCs w:val="24"/>
        </w:rPr>
        <w:t>Acid Phosphatase (AP)</w:t>
      </w:r>
      <w:r>
        <w:rPr>
          <w:sz w:val="24"/>
          <w:szCs w:val="24"/>
        </w:rPr>
        <w:t>,</w:t>
      </w:r>
      <w:r>
        <w:t xml:space="preserve"> </w:t>
      </w:r>
      <w:r w:rsidRPr="00B917FC">
        <w:rPr>
          <w:sz w:val="24"/>
          <w:szCs w:val="24"/>
        </w:rPr>
        <w:t>Kastle-Meyer (KM), Alternate Light Source (ALS)</w:t>
      </w:r>
      <w:r w:rsidR="00187A22">
        <w:rPr>
          <w:sz w:val="24"/>
          <w:szCs w:val="24"/>
        </w:rPr>
        <w:t xml:space="preserve">, </w:t>
      </w:r>
      <w:r w:rsidR="002609B3" w:rsidRPr="002609B3">
        <w:rPr>
          <w:sz w:val="24"/>
          <w:szCs w:val="24"/>
        </w:rPr>
        <w:t>Acid Phosphatase</w:t>
      </w:r>
      <w:r w:rsidR="002609B3">
        <w:rPr>
          <w:sz w:val="24"/>
          <w:szCs w:val="24"/>
        </w:rPr>
        <w:t xml:space="preserve"> </w:t>
      </w:r>
      <w:r w:rsidR="00187A22" w:rsidRPr="00187A22">
        <w:rPr>
          <w:bCs/>
          <w:sz w:val="24"/>
          <w:szCs w:val="24"/>
        </w:rPr>
        <w:t>ACP</w:t>
      </w:r>
    </w:p>
    <w:p w14:paraId="11983D1D" w14:textId="77777777" w:rsidR="002F01C0" w:rsidRDefault="002F01C0">
      <w:pPr>
        <w:spacing w:line="480" w:lineRule="auto"/>
        <w:ind w:firstLine="0"/>
        <w:jc w:val="left"/>
        <w:rPr>
          <w:b/>
          <w:bCs/>
          <w:sz w:val="24"/>
          <w:szCs w:val="24"/>
        </w:rPr>
      </w:pPr>
    </w:p>
    <w:p w14:paraId="186D32C4" w14:textId="77777777" w:rsidR="003479BE" w:rsidRDefault="003479BE">
      <w:pPr>
        <w:spacing w:line="480" w:lineRule="auto"/>
        <w:ind w:firstLine="0"/>
        <w:jc w:val="left"/>
        <w:rPr>
          <w:b/>
          <w:bCs/>
          <w:sz w:val="24"/>
          <w:szCs w:val="24"/>
        </w:rPr>
      </w:pPr>
    </w:p>
    <w:p w14:paraId="304149A5" w14:textId="77777777" w:rsidR="003479BE" w:rsidRDefault="003479BE">
      <w:pPr>
        <w:spacing w:line="480" w:lineRule="auto"/>
        <w:ind w:firstLine="0"/>
        <w:jc w:val="left"/>
        <w:rPr>
          <w:b/>
          <w:bCs/>
          <w:sz w:val="24"/>
          <w:szCs w:val="24"/>
        </w:rPr>
      </w:pPr>
    </w:p>
    <w:p w14:paraId="53B2FA82" w14:textId="77777777" w:rsidR="003479BE" w:rsidRDefault="003479BE">
      <w:pPr>
        <w:spacing w:line="480" w:lineRule="auto"/>
        <w:ind w:firstLine="0"/>
        <w:jc w:val="left"/>
        <w:rPr>
          <w:b/>
          <w:bCs/>
          <w:sz w:val="24"/>
          <w:szCs w:val="24"/>
        </w:rPr>
      </w:pPr>
    </w:p>
    <w:p w14:paraId="3477F4F0" w14:textId="77777777" w:rsidR="002F01C0" w:rsidRDefault="002D1C8A">
      <w:pPr>
        <w:spacing w:line="480" w:lineRule="auto"/>
        <w:ind w:firstLine="0"/>
        <w:jc w:val="left"/>
        <w:rPr>
          <w:sz w:val="20"/>
        </w:rPr>
      </w:pPr>
      <w:r>
        <w:rPr>
          <w:b/>
          <w:bCs/>
          <w:sz w:val="24"/>
          <w:szCs w:val="24"/>
        </w:rPr>
        <w:t xml:space="preserve">Reference  </w:t>
      </w:r>
    </w:p>
    <w:p w14:paraId="78FC795F" w14:textId="77777777" w:rsidR="002F01C0" w:rsidRDefault="002F01C0">
      <w:pPr>
        <w:ind w:left="851" w:hanging="851"/>
        <w:rPr>
          <w:sz w:val="24"/>
          <w:szCs w:val="24"/>
        </w:rPr>
      </w:pPr>
    </w:p>
    <w:p w14:paraId="08C917B8" w14:textId="77777777" w:rsidR="002F01C0" w:rsidRDefault="002D1C8A">
      <w:pPr>
        <w:spacing w:after="160" w:line="259" w:lineRule="auto"/>
        <w:ind w:left="851" w:hanging="851"/>
        <w:rPr>
          <w:sz w:val="24"/>
          <w:szCs w:val="24"/>
        </w:rPr>
      </w:pPr>
      <w:r>
        <w:rPr>
          <w:sz w:val="24"/>
          <w:szCs w:val="24"/>
        </w:rPr>
        <w:t xml:space="preserve">Barlow, A., Duncan, S., James, G., &amp; Park, A. (2001). Just a piece of paper? Marriage and cohabitation. In A. Park, J. Curtice, K. Thomson, L. Jarvis, &amp; C. Bromley (Eds.), </w:t>
      </w:r>
      <w:r>
        <w:rPr>
          <w:i/>
          <w:iCs/>
          <w:sz w:val="24"/>
          <w:szCs w:val="24"/>
        </w:rPr>
        <w:t>British Social Attitudes: Public policy, social ties</w:t>
      </w:r>
      <w:r>
        <w:rPr>
          <w:sz w:val="24"/>
          <w:szCs w:val="24"/>
        </w:rPr>
        <w:t xml:space="preserve"> (2001/2002 ed.). London: Sage Publications.</w:t>
      </w:r>
    </w:p>
    <w:p w14:paraId="259F9808" w14:textId="77777777" w:rsidR="002F01C0" w:rsidRDefault="002D1C8A">
      <w:pPr>
        <w:spacing w:after="160" w:line="259" w:lineRule="auto"/>
        <w:ind w:left="851" w:hanging="851"/>
        <w:rPr>
          <w:sz w:val="24"/>
          <w:szCs w:val="24"/>
        </w:rPr>
      </w:pPr>
      <w:r>
        <w:rPr>
          <w:sz w:val="24"/>
          <w:szCs w:val="24"/>
        </w:rPr>
        <w:t xml:space="preserve">Barta, W. D., &amp; Kiene, S. M. (2005). Motivations for infidelity in heterosexual dating couples: The roles of gender, personality differences, and sociosexual orientation. </w:t>
      </w:r>
      <w:r>
        <w:rPr>
          <w:i/>
          <w:iCs/>
          <w:sz w:val="24"/>
          <w:szCs w:val="24"/>
        </w:rPr>
        <w:t>Journal of Social and Personal Relationships, 22</w:t>
      </w:r>
      <w:r>
        <w:rPr>
          <w:sz w:val="24"/>
          <w:szCs w:val="24"/>
        </w:rPr>
        <w:t>(3), 339–360. https://doi.org/10.1177/0265407505052440</w:t>
      </w:r>
    </w:p>
    <w:p w14:paraId="7698287F" w14:textId="77777777" w:rsidR="002F01C0" w:rsidRDefault="002D1C8A">
      <w:pPr>
        <w:spacing w:after="160" w:line="259" w:lineRule="auto"/>
        <w:ind w:left="851" w:hanging="851"/>
        <w:rPr>
          <w:sz w:val="24"/>
          <w:szCs w:val="24"/>
        </w:rPr>
      </w:pPr>
      <w:r>
        <w:rPr>
          <w:sz w:val="24"/>
          <w:szCs w:val="24"/>
        </w:rPr>
        <w:t xml:space="preserve">Betzig, L. (1986). </w:t>
      </w:r>
      <w:r>
        <w:rPr>
          <w:i/>
          <w:iCs/>
          <w:sz w:val="24"/>
          <w:szCs w:val="24"/>
        </w:rPr>
        <w:t>Despotism and differential reproduction: A Darwinian view of history.</w:t>
      </w:r>
      <w:r>
        <w:rPr>
          <w:sz w:val="24"/>
          <w:szCs w:val="24"/>
        </w:rPr>
        <w:t xml:space="preserve"> Hawthorne, NY: Aldine.</w:t>
      </w:r>
    </w:p>
    <w:p w14:paraId="465675D0" w14:textId="77777777" w:rsidR="002F01C0" w:rsidRDefault="002D1C8A">
      <w:pPr>
        <w:spacing w:after="160" w:line="259" w:lineRule="auto"/>
        <w:ind w:left="851" w:hanging="851"/>
        <w:rPr>
          <w:sz w:val="24"/>
          <w:szCs w:val="24"/>
        </w:rPr>
      </w:pPr>
      <w:r>
        <w:rPr>
          <w:sz w:val="24"/>
          <w:szCs w:val="24"/>
        </w:rPr>
        <w:t xml:space="preserve">Blow, A. J., &amp; Hartnett, K. (2005). Infidelity in committed relationships II: A substantive review. </w:t>
      </w:r>
      <w:r>
        <w:rPr>
          <w:i/>
          <w:iCs/>
          <w:sz w:val="24"/>
          <w:szCs w:val="24"/>
        </w:rPr>
        <w:t>Journal of Marital and Family Therapy, 31</w:t>
      </w:r>
      <w:r>
        <w:rPr>
          <w:sz w:val="24"/>
          <w:szCs w:val="24"/>
        </w:rPr>
        <w:t>(2), 217–233.</w:t>
      </w:r>
    </w:p>
    <w:p w14:paraId="7DF29921" w14:textId="77777777" w:rsidR="002F01C0" w:rsidRDefault="002D1C8A">
      <w:pPr>
        <w:spacing w:after="160" w:line="259" w:lineRule="auto"/>
        <w:ind w:left="851" w:hanging="851"/>
        <w:rPr>
          <w:sz w:val="24"/>
          <w:szCs w:val="24"/>
        </w:rPr>
      </w:pPr>
      <w:r>
        <w:rPr>
          <w:sz w:val="24"/>
          <w:szCs w:val="24"/>
        </w:rPr>
        <w:t xml:space="preserve">Cox, M. (1991). A study of the sensitivity and specificity of four presumptive tests for blood. </w:t>
      </w:r>
      <w:r>
        <w:rPr>
          <w:i/>
          <w:iCs/>
          <w:sz w:val="24"/>
          <w:szCs w:val="24"/>
        </w:rPr>
        <w:t>Journal of Forensic Sciences, 36</w:t>
      </w:r>
      <w:r>
        <w:rPr>
          <w:sz w:val="24"/>
          <w:szCs w:val="24"/>
        </w:rPr>
        <w:t>(6), 1503–1511.</w:t>
      </w:r>
    </w:p>
    <w:p w14:paraId="5EE98EC2" w14:textId="77777777" w:rsidR="002F01C0" w:rsidRDefault="002D1C8A">
      <w:pPr>
        <w:spacing w:after="160" w:line="259" w:lineRule="auto"/>
        <w:ind w:left="851" w:hanging="851"/>
        <w:rPr>
          <w:sz w:val="24"/>
          <w:szCs w:val="24"/>
        </w:rPr>
      </w:pPr>
      <w:r>
        <w:rPr>
          <w:sz w:val="24"/>
          <w:szCs w:val="24"/>
        </w:rPr>
        <w:t xml:space="preserve">Drigotas, S., &amp; Barta, W. (2001). The cheating heart: Scientific explorations of infidelity. </w:t>
      </w:r>
      <w:r>
        <w:rPr>
          <w:i/>
          <w:iCs/>
          <w:sz w:val="24"/>
          <w:szCs w:val="24"/>
        </w:rPr>
        <w:t>Current Directions in Psychological Science, 10</w:t>
      </w:r>
      <w:r>
        <w:rPr>
          <w:sz w:val="24"/>
          <w:szCs w:val="24"/>
        </w:rPr>
        <w:t>(5), 177–180.</w:t>
      </w:r>
    </w:p>
    <w:p w14:paraId="41168769" w14:textId="77777777" w:rsidR="002F01C0" w:rsidRDefault="002D1C8A">
      <w:pPr>
        <w:spacing w:after="160" w:line="259" w:lineRule="auto"/>
        <w:ind w:left="851" w:hanging="851"/>
        <w:rPr>
          <w:sz w:val="24"/>
          <w:szCs w:val="24"/>
        </w:rPr>
      </w:pPr>
      <w:r>
        <w:rPr>
          <w:sz w:val="24"/>
          <w:szCs w:val="24"/>
        </w:rPr>
        <w:t xml:space="preserve">Eagly, A. H., &amp; Wood, W. (1999). The origins of sex differences in human behavior: Evolved dispositions versus social roles. </w:t>
      </w:r>
      <w:r>
        <w:rPr>
          <w:i/>
          <w:iCs/>
          <w:sz w:val="24"/>
          <w:szCs w:val="24"/>
        </w:rPr>
        <w:t>American Psychologist, 54</w:t>
      </w:r>
      <w:r>
        <w:rPr>
          <w:sz w:val="24"/>
          <w:szCs w:val="24"/>
        </w:rPr>
        <w:t>(6), 408–423.</w:t>
      </w:r>
    </w:p>
    <w:p w14:paraId="1855A64E" w14:textId="77777777" w:rsidR="002F01C0" w:rsidRDefault="002D1C8A">
      <w:pPr>
        <w:spacing w:after="160" w:line="259" w:lineRule="auto"/>
        <w:ind w:left="851" w:hanging="851"/>
        <w:rPr>
          <w:sz w:val="24"/>
          <w:szCs w:val="24"/>
        </w:rPr>
      </w:pPr>
      <w:r>
        <w:rPr>
          <w:sz w:val="24"/>
          <w:szCs w:val="24"/>
        </w:rPr>
        <w:t xml:space="preserve">Farmen, R. K., Cortez, P., &amp; Frøyland, E. S. (2008). Spermatozoa recovered on laundered clothing. </w:t>
      </w:r>
      <w:r>
        <w:rPr>
          <w:i/>
          <w:iCs/>
          <w:sz w:val="24"/>
          <w:szCs w:val="24"/>
        </w:rPr>
        <w:t>Forensic Science International: Genetics, 1</w:t>
      </w:r>
      <w:r>
        <w:rPr>
          <w:sz w:val="24"/>
          <w:szCs w:val="24"/>
        </w:rPr>
        <w:t>, 1418–1420.</w:t>
      </w:r>
    </w:p>
    <w:p w14:paraId="28D9CC0A" w14:textId="77777777" w:rsidR="002F01C0" w:rsidRDefault="002D1C8A">
      <w:pPr>
        <w:spacing w:after="160" w:line="259" w:lineRule="auto"/>
        <w:ind w:left="851" w:hanging="851"/>
        <w:rPr>
          <w:sz w:val="24"/>
          <w:szCs w:val="24"/>
        </w:rPr>
      </w:pPr>
      <w:r>
        <w:rPr>
          <w:sz w:val="24"/>
          <w:szCs w:val="24"/>
        </w:rPr>
        <w:t xml:space="preserve">Garg, A., Gupta, S., Babu, S., &amp; Yadav, D. S. (2021). Detectability of seminal stains on fabrics after various washing steps. </w:t>
      </w:r>
      <w:r>
        <w:rPr>
          <w:i/>
          <w:iCs/>
          <w:sz w:val="24"/>
          <w:szCs w:val="24"/>
        </w:rPr>
        <w:t>International Journal of Health Research in Medico-Legal Practice, 7</w:t>
      </w:r>
      <w:r>
        <w:rPr>
          <w:sz w:val="24"/>
          <w:szCs w:val="24"/>
        </w:rPr>
        <w:t>(1), 84–88. https://doi.org/10.31741/ijhrmlp.v7.i1.2021.14</w:t>
      </w:r>
    </w:p>
    <w:p w14:paraId="46755CF8" w14:textId="77777777" w:rsidR="002F01C0" w:rsidRDefault="002D1C8A">
      <w:pPr>
        <w:spacing w:after="160" w:line="259" w:lineRule="auto"/>
        <w:ind w:left="851" w:hanging="851"/>
        <w:rPr>
          <w:sz w:val="24"/>
          <w:szCs w:val="24"/>
        </w:rPr>
      </w:pPr>
      <w:r>
        <w:rPr>
          <w:sz w:val="24"/>
          <w:szCs w:val="24"/>
        </w:rPr>
        <w:t xml:space="preserve">Glass, S. P. (2002). Couple therapy after the trauma of infidelity. In A. S. Gurman &amp; N. S. Jacobson (Eds.), </w:t>
      </w:r>
      <w:r>
        <w:rPr>
          <w:i/>
          <w:iCs/>
          <w:sz w:val="24"/>
          <w:szCs w:val="24"/>
        </w:rPr>
        <w:t>Clinical handbook of couple therapy</w:t>
      </w:r>
      <w:r>
        <w:rPr>
          <w:sz w:val="24"/>
          <w:szCs w:val="24"/>
        </w:rPr>
        <w:t xml:space="preserve"> (3rd ed., pp. 488–507). New York: Guilford.</w:t>
      </w:r>
    </w:p>
    <w:p w14:paraId="1F7C7EEC" w14:textId="77777777" w:rsidR="002F01C0" w:rsidRDefault="002D1C8A">
      <w:pPr>
        <w:spacing w:after="160" w:line="259" w:lineRule="auto"/>
        <w:ind w:left="851" w:hanging="851"/>
        <w:rPr>
          <w:sz w:val="24"/>
          <w:szCs w:val="24"/>
        </w:rPr>
      </w:pPr>
      <w:r>
        <w:rPr>
          <w:sz w:val="24"/>
          <w:szCs w:val="24"/>
        </w:rPr>
        <w:t xml:space="preserve">Glass, S. P., &amp; Wright, T. L. (1992). Justifications for extramarital relationships: The association between attitudes, behaviors, and gender. </w:t>
      </w:r>
      <w:r>
        <w:rPr>
          <w:i/>
          <w:iCs/>
          <w:sz w:val="24"/>
          <w:szCs w:val="24"/>
        </w:rPr>
        <w:t>The Journal of Sex Research, 29</w:t>
      </w:r>
      <w:r>
        <w:rPr>
          <w:sz w:val="24"/>
          <w:szCs w:val="24"/>
        </w:rPr>
        <w:t>(3), 361–387.</w:t>
      </w:r>
    </w:p>
    <w:p w14:paraId="061DDBA2" w14:textId="77777777" w:rsidR="002F01C0" w:rsidRDefault="002D1C8A">
      <w:pPr>
        <w:spacing w:after="160" w:line="259" w:lineRule="auto"/>
        <w:ind w:left="851" w:hanging="851"/>
        <w:rPr>
          <w:sz w:val="24"/>
          <w:szCs w:val="24"/>
        </w:rPr>
      </w:pPr>
      <w:r>
        <w:rPr>
          <w:sz w:val="24"/>
          <w:szCs w:val="24"/>
        </w:rPr>
        <w:t xml:space="preserve">Greeley, A. (1994). Marital infidelity. </w:t>
      </w:r>
      <w:r>
        <w:rPr>
          <w:i/>
          <w:iCs/>
          <w:sz w:val="24"/>
          <w:szCs w:val="24"/>
        </w:rPr>
        <w:t>Society, 31</w:t>
      </w:r>
      <w:r>
        <w:rPr>
          <w:sz w:val="24"/>
          <w:szCs w:val="24"/>
        </w:rPr>
        <w:t>(4), 9–13.</w:t>
      </w:r>
    </w:p>
    <w:p w14:paraId="427F9CA9" w14:textId="77777777" w:rsidR="002F01C0" w:rsidRDefault="002D1C8A">
      <w:pPr>
        <w:spacing w:after="160" w:line="259" w:lineRule="auto"/>
        <w:ind w:left="851" w:hanging="851"/>
        <w:rPr>
          <w:sz w:val="24"/>
          <w:szCs w:val="24"/>
        </w:rPr>
      </w:pPr>
      <w:r>
        <w:rPr>
          <w:sz w:val="24"/>
          <w:szCs w:val="24"/>
        </w:rPr>
        <w:t xml:space="preserve">Jain, B., Awasthi, A., &amp; Mishra, G. (2020). Semen stain detection: A study on the different fabrics for effects of washing. </w:t>
      </w:r>
      <w:r>
        <w:rPr>
          <w:i/>
          <w:iCs/>
          <w:sz w:val="24"/>
          <w:szCs w:val="24"/>
        </w:rPr>
        <w:t>International Journal of Forensic Sciences, 5</w:t>
      </w:r>
      <w:r>
        <w:rPr>
          <w:sz w:val="24"/>
          <w:szCs w:val="24"/>
        </w:rPr>
        <w:t>(4), Article 000207.</w:t>
      </w:r>
    </w:p>
    <w:p w14:paraId="34A9CBD3" w14:textId="77777777" w:rsidR="002F01C0" w:rsidRDefault="002D1C8A" w:rsidP="002A4954">
      <w:pPr>
        <w:spacing w:after="160" w:line="259" w:lineRule="auto"/>
        <w:ind w:left="851" w:hanging="840"/>
        <w:rPr>
          <w:sz w:val="24"/>
          <w:szCs w:val="24"/>
        </w:rPr>
      </w:pPr>
      <w:r>
        <w:rPr>
          <w:sz w:val="24"/>
          <w:szCs w:val="24"/>
        </w:rPr>
        <w:t>Jones, R.C. (1999). To store or mature spermatozoa? The primary role of the epididymis., Int. J. Androl. 22  57–67. doi:10.1046/j.1365-2605.1999.</w:t>
      </w:r>
      <w:proofErr w:type="gramStart"/>
      <w:r>
        <w:rPr>
          <w:sz w:val="24"/>
          <w:szCs w:val="24"/>
        </w:rPr>
        <w:t>00151.x.</w:t>
      </w:r>
      <w:proofErr w:type="gramEnd"/>
    </w:p>
    <w:p w14:paraId="70FD1B9E" w14:textId="77777777" w:rsidR="002F01C0" w:rsidRDefault="002D1C8A">
      <w:pPr>
        <w:spacing w:after="160" w:line="259" w:lineRule="auto"/>
        <w:ind w:left="851" w:hanging="851"/>
        <w:rPr>
          <w:sz w:val="24"/>
          <w:szCs w:val="24"/>
        </w:rPr>
      </w:pPr>
      <w:r>
        <w:rPr>
          <w:sz w:val="24"/>
          <w:szCs w:val="24"/>
        </w:rPr>
        <w:t xml:space="preserve">Lincoln, C. A., McBride, P. M., Tubett, G. R., Garbin, C. D., &amp; MacDonald, E. J. (2006). The use of an alternative light source to detect semen in clinical forensic medical practice. </w:t>
      </w:r>
      <w:r>
        <w:rPr>
          <w:i/>
          <w:iCs/>
          <w:sz w:val="24"/>
          <w:szCs w:val="24"/>
        </w:rPr>
        <w:t>Journal of Clinical Forensic Medicine, 13</w:t>
      </w:r>
      <w:r>
        <w:rPr>
          <w:sz w:val="24"/>
          <w:szCs w:val="24"/>
        </w:rPr>
        <w:t>(4), 215–218.</w:t>
      </w:r>
    </w:p>
    <w:p w14:paraId="39195E8E" w14:textId="77777777" w:rsidR="002F01C0" w:rsidRDefault="002D1C8A">
      <w:pPr>
        <w:spacing w:after="160" w:line="259" w:lineRule="auto"/>
        <w:ind w:left="851" w:hanging="851"/>
        <w:rPr>
          <w:sz w:val="24"/>
          <w:szCs w:val="24"/>
        </w:rPr>
      </w:pPr>
      <w:r>
        <w:rPr>
          <w:sz w:val="24"/>
          <w:szCs w:val="24"/>
        </w:rPr>
        <w:lastRenderedPageBreak/>
        <w:t xml:space="preserve">Schmitt, D. P., &amp; the International Sexuality Description Project. (2003). Universal sex differences in the desire for sexual variety. </w:t>
      </w:r>
      <w:r>
        <w:rPr>
          <w:i/>
          <w:iCs/>
          <w:sz w:val="24"/>
          <w:szCs w:val="24"/>
        </w:rPr>
        <w:t>Journal of Personality and Social Psychology, 85</w:t>
      </w:r>
      <w:r>
        <w:rPr>
          <w:sz w:val="24"/>
          <w:szCs w:val="24"/>
        </w:rPr>
        <w:t>(1), 85–104.</w:t>
      </w:r>
    </w:p>
    <w:p w14:paraId="1D4D45A1" w14:textId="77777777" w:rsidR="002F01C0" w:rsidRDefault="002D1C8A">
      <w:pPr>
        <w:spacing w:after="160" w:line="259" w:lineRule="auto"/>
        <w:ind w:left="851" w:hanging="851"/>
        <w:rPr>
          <w:sz w:val="24"/>
          <w:szCs w:val="24"/>
        </w:rPr>
      </w:pPr>
      <w:r>
        <w:rPr>
          <w:sz w:val="24"/>
          <w:szCs w:val="24"/>
        </w:rPr>
        <w:t xml:space="preserve">Townsend, J. M. (1994). </w:t>
      </w:r>
      <w:r>
        <w:rPr>
          <w:i/>
          <w:iCs/>
          <w:sz w:val="24"/>
          <w:szCs w:val="24"/>
        </w:rPr>
        <w:t>What women want, what men want: Why the sexes still see love and commitment so differently.</w:t>
      </w:r>
      <w:r>
        <w:rPr>
          <w:sz w:val="24"/>
          <w:szCs w:val="24"/>
        </w:rPr>
        <w:t xml:space="preserve"> New York: Oxford University Press.</w:t>
      </w:r>
    </w:p>
    <w:p w14:paraId="3874F560" w14:textId="77777777" w:rsidR="002F01C0" w:rsidRDefault="002D1C8A">
      <w:pPr>
        <w:spacing w:after="160" w:line="259" w:lineRule="auto"/>
        <w:ind w:left="851" w:hanging="851"/>
        <w:rPr>
          <w:sz w:val="24"/>
          <w:szCs w:val="24"/>
        </w:rPr>
      </w:pPr>
      <w:r>
        <w:rPr>
          <w:sz w:val="24"/>
          <w:szCs w:val="24"/>
        </w:rPr>
        <w:t xml:space="preserve">Virkler, K., &amp; Lednev, I. K. (2009). Analysis of body fluids for forensic purposes: From laboratory testing to non-destructive rapid confirmatory identification at a crime scene. </w:t>
      </w:r>
      <w:r>
        <w:rPr>
          <w:i/>
          <w:iCs/>
          <w:sz w:val="24"/>
          <w:szCs w:val="24"/>
        </w:rPr>
        <w:t>Forensic Science International, 188</w:t>
      </w:r>
      <w:r>
        <w:rPr>
          <w:sz w:val="24"/>
          <w:szCs w:val="24"/>
        </w:rPr>
        <w:t>(1), 1–17. https://doi.org/10.1016/j.forsciint.2009.02.013</w:t>
      </w:r>
    </w:p>
    <w:p w14:paraId="79F62D14" w14:textId="77777777" w:rsidR="002F01C0" w:rsidRDefault="002D1C8A">
      <w:pPr>
        <w:spacing w:after="160" w:line="259" w:lineRule="auto"/>
        <w:ind w:left="851" w:hanging="851"/>
        <w:rPr>
          <w:sz w:val="24"/>
          <w:szCs w:val="24"/>
        </w:rPr>
      </w:pPr>
      <w:r>
        <w:rPr>
          <w:sz w:val="24"/>
          <w:szCs w:val="24"/>
        </w:rPr>
        <w:t xml:space="preserve">Wiederman, M. W. (1997). Extramarital sex: Prevalence and correlates in a national survey. </w:t>
      </w:r>
      <w:r>
        <w:rPr>
          <w:i/>
          <w:iCs/>
          <w:sz w:val="24"/>
          <w:szCs w:val="24"/>
        </w:rPr>
        <w:t>The Journal of Sex Research, 34</w:t>
      </w:r>
      <w:r>
        <w:rPr>
          <w:sz w:val="24"/>
          <w:szCs w:val="24"/>
        </w:rPr>
        <w:t>(2), 167–174.</w:t>
      </w:r>
    </w:p>
    <w:p w14:paraId="742C43DC" w14:textId="77777777" w:rsidR="002F01C0" w:rsidRDefault="002D1C8A">
      <w:pPr>
        <w:spacing w:after="160" w:line="259" w:lineRule="auto"/>
        <w:ind w:left="851" w:hanging="851"/>
        <w:rPr>
          <w:sz w:val="24"/>
          <w:szCs w:val="24"/>
        </w:rPr>
      </w:pPr>
      <w:r>
        <w:rPr>
          <w:sz w:val="24"/>
          <w:szCs w:val="24"/>
        </w:rPr>
        <w:t xml:space="preserve">Wright, R. (1994). Devotion and betrayal, marriage and divorce: How evolution shaped human love. </w:t>
      </w:r>
      <w:r>
        <w:rPr>
          <w:i/>
          <w:iCs/>
          <w:sz w:val="24"/>
          <w:szCs w:val="24"/>
        </w:rPr>
        <w:t>Time Magazine.</w:t>
      </w:r>
    </w:p>
    <w:p w14:paraId="613448D4" w14:textId="77777777" w:rsidR="002F01C0" w:rsidRDefault="002D1C8A">
      <w:pPr>
        <w:spacing w:after="160" w:line="259" w:lineRule="auto"/>
        <w:ind w:left="851" w:hanging="851"/>
        <w:rPr>
          <w:sz w:val="24"/>
          <w:szCs w:val="24"/>
        </w:rPr>
      </w:pPr>
      <w:r>
        <w:rPr>
          <w:sz w:val="24"/>
          <w:szCs w:val="24"/>
        </w:rPr>
        <w:t xml:space="preserve">Zare, B. (2011). Review of studies on infidelity. </w:t>
      </w:r>
      <w:r>
        <w:rPr>
          <w:i/>
          <w:iCs/>
          <w:sz w:val="24"/>
          <w:szCs w:val="24"/>
        </w:rPr>
        <w:t>Third International Conference on Advanced Management Science IPEDR, 19,</w:t>
      </w:r>
      <w:r>
        <w:rPr>
          <w:sz w:val="24"/>
          <w:szCs w:val="24"/>
        </w:rPr>
        <w:t xml:space="preserve"> LACSIT Press.</w:t>
      </w:r>
    </w:p>
    <w:p w14:paraId="2DDADB3D" w14:textId="77777777" w:rsidR="002F01C0" w:rsidRDefault="002F01C0">
      <w:pPr>
        <w:spacing w:line="480" w:lineRule="auto"/>
        <w:ind w:firstLine="0"/>
        <w:rPr>
          <w:sz w:val="24"/>
          <w:szCs w:val="24"/>
        </w:rPr>
      </w:pPr>
    </w:p>
    <w:sectPr w:rsidR="002F01C0" w:rsidSect="003479BE">
      <w:headerReference w:type="even" r:id="rId10"/>
      <w:headerReference w:type="default" r:id="rId11"/>
      <w:footerReference w:type="even" r:id="rId12"/>
      <w:footerReference w:type="default" r:id="rId13"/>
      <w:headerReference w:type="first" r:id="rId14"/>
      <w:footerReference w:type="first" r:id="rId15"/>
      <w:pgSz w:w="11906" w:h="16838" w:code="9"/>
      <w:pgMar w:top="630" w:right="1274" w:bottom="900" w:left="1418"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7142" w14:textId="77777777" w:rsidR="001F3A6E" w:rsidRDefault="001F3A6E">
      <w:pPr>
        <w:spacing w:after="0" w:line="240" w:lineRule="auto"/>
      </w:pPr>
      <w:r>
        <w:separator/>
      </w:r>
    </w:p>
  </w:endnote>
  <w:endnote w:type="continuationSeparator" w:id="0">
    <w:p w14:paraId="0C0ED790" w14:textId="77777777" w:rsidR="001F3A6E" w:rsidRDefault="001F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5C5D" w14:textId="77777777" w:rsidR="002F01C0" w:rsidRDefault="002D1C8A">
    <w:pPr>
      <w:spacing w:after="0" w:line="259" w:lineRule="auto"/>
      <w:ind w:left="0" w:right="0" w:firstLine="0"/>
    </w:pPr>
    <w:r>
      <w:rPr>
        <w:rFonts w:ascii="Calibri" w:eastAsia="Calibri" w:hAnsi="Calibri" w:cs="Calibri"/>
        <w:noProof/>
        <w:sz w:val="22"/>
        <w:lang w:eastAsia="zh-CN"/>
      </w:rPr>
      <mc:AlternateContent>
        <mc:Choice Requires="wpg">
          <w:drawing>
            <wp:anchor distT="0" distB="0" distL="114300" distR="114300" simplePos="0" relativeHeight="3" behindDoc="0" locked="0" layoutInCell="1" allowOverlap="1" wp14:anchorId="64C58D11" wp14:editId="09C1A4B7">
              <wp:simplePos x="0" y="0"/>
              <wp:positionH relativeFrom="page">
                <wp:posOffset>896417</wp:posOffset>
              </wp:positionH>
              <wp:positionV relativeFrom="page">
                <wp:posOffset>9805416</wp:posOffset>
              </wp:positionV>
              <wp:extent cx="5769227" cy="6094"/>
              <wp:effectExtent l="0" t="0" r="0" b="0"/>
              <wp:wrapSquare wrapText="bothSides"/>
              <wp:docPr id="4099" name="Group 27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227" cy="6094"/>
                        <a:chOff x="0" y="0"/>
                        <a:chExt cx="5769229" cy="6096"/>
                      </a:xfrm>
                    </wpg:grpSpPr>
                    <wps:wsp>
                      <wps:cNvPr id="2" name="Freeform 2"/>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0000"/>
                        </a:solidFill>
                        <a:ln w="0" cap="flat" cmpd="sng">
                          <a:solidFill>
                            <a:srgbClr val="000000"/>
                          </a:solidFill>
                          <a:prstDash val="solid"/>
                          <a:miter/>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70.58pt;margin-top:772.08pt;width:454.27pt;height:0.48pt;z-index:3;mso-position-horizontal-relative:page;mso-position-vertical-relative:page;mso-width-relative:page;mso-height-relative:page;visibility:visible;" coordsize="5769229,6096">
              <v:shape id="4100" coordsize="5769229,9144" path="m0,0l5769229,0l5769229,9144l0,9144l0,0e" fillcolor="black" stroked="t" style="position:absolute;left:0;top:0;width:5769229;height:9144;z-index:2;mso-position-horizontal-relative:page;mso-position-vertical-relative:page;mso-width-relative:page;mso-height-relative:page;visibility:visible;">
                <v:stroke joinstyle="miter" weight="0.0pt"/>
                <v:fill/>
                <v:path textboxrect="0,0,5769229,9144"/>
              </v:shape>
              <w10:wrap type="square"/>
              <v:fill/>
            </v:group>
          </w:pict>
        </mc:Fallback>
      </mc:AlternateContent>
    </w:r>
    <w:r>
      <w:rPr>
        <w:sz w:val="20"/>
      </w:rPr>
      <w:t xml:space="preserve">DOI: 10.9790/0837-210503110122                                   www.iosrjournals.org                                     </w:t>
    </w:r>
    <w:r>
      <w:fldChar w:fldCharType="begin"/>
    </w:r>
    <w:r>
      <w:instrText xml:space="preserve"> PAGE   \* MERGEFORMAT </w:instrText>
    </w:r>
    <w:r>
      <w:fldChar w:fldCharType="separate"/>
    </w:r>
    <w:r>
      <w:rPr>
        <w:sz w:val="20"/>
      </w:rPr>
      <w:t>110</w:t>
    </w:r>
    <w:r>
      <w:rPr>
        <w:sz w:val="20"/>
      </w:rPr>
      <w:fldChar w:fldCharType="end"/>
    </w:r>
    <w:r>
      <w:rPr>
        <w:sz w:val="20"/>
      </w:rPr>
      <w:t xml:space="preserve"> |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A616" w14:textId="77777777" w:rsidR="002F01C0" w:rsidRDefault="002D1C8A">
    <w:pPr>
      <w:pStyle w:val="Footer"/>
      <w:jc w:val="center"/>
    </w:pPr>
    <w:r>
      <w:fldChar w:fldCharType="begin"/>
    </w:r>
    <w:r>
      <w:instrText xml:space="preserve"> PAGE   \* MERGEFORMAT </w:instrText>
    </w:r>
    <w:r>
      <w:fldChar w:fldCharType="separate"/>
    </w:r>
    <w:r w:rsidR="003E2BC6">
      <w:rPr>
        <w:noProof/>
      </w:rPr>
      <w:t>10</w:t>
    </w:r>
    <w:r>
      <w:rPr>
        <w:noProof/>
      </w:rPr>
      <w:fldChar w:fldCharType="end"/>
    </w:r>
  </w:p>
  <w:p w14:paraId="4D1289EF" w14:textId="77777777" w:rsidR="002F01C0" w:rsidRDefault="002F0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E245" w14:textId="77777777" w:rsidR="00143E01" w:rsidRDefault="0014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5C01" w14:textId="77777777" w:rsidR="001F3A6E" w:rsidRDefault="001F3A6E">
      <w:pPr>
        <w:spacing w:after="0" w:line="240" w:lineRule="auto"/>
      </w:pPr>
      <w:r>
        <w:separator/>
      </w:r>
    </w:p>
  </w:footnote>
  <w:footnote w:type="continuationSeparator" w:id="0">
    <w:p w14:paraId="51CE1BDE" w14:textId="77777777" w:rsidR="001F3A6E" w:rsidRDefault="001F3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4DDC" w14:textId="66094939" w:rsidR="002F01C0" w:rsidRDefault="00143E01">
    <w:pPr>
      <w:spacing w:after="44" w:line="259" w:lineRule="auto"/>
      <w:ind w:left="0" w:right="6" w:firstLine="0"/>
      <w:jc w:val="center"/>
    </w:pPr>
    <w:r>
      <w:rPr>
        <w:noProof/>
      </w:rPr>
      <w:pict w14:anchorId="15A13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48266" o:spid="_x0000_s1026" type="#_x0000_t136" style="position:absolute;left:0;text-align:left;margin-left:0;margin-top:0;width:584.55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2D1C8A">
      <w:rPr>
        <w:rFonts w:ascii="Calibri" w:eastAsia="Calibri" w:hAnsi="Calibri" w:cs="Calibri"/>
        <w:noProof/>
        <w:sz w:val="22"/>
        <w:lang w:eastAsia="zh-CN"/>
      </w:rPr>
      <mc:AlternateContent>
        <mc:Choice Requires="wpg">
          <w:drawing>
            <wp:anchor distT="0" distB="0" distL="114300" distR="114300" simplePos="0" relativeHeight="2" behindDoc="0" locked="0" layoutInCell="1" allowOverlap="1" wp14:anchorId="021EB69A" wp14:editId="6F4FD5AF">
              <wp:simplePos x="0" y="0"/>
              <wp:positionH relativeFrom="page">
                <wp:posOffset>896417</wp:posOffset>
              </wp:positionH>
              <wp:positionV relativeFrom="page">
                <wp:posOffset>880872</wp:posOffset>
              </wp:positionV>
              <wp:extent cx="5769227" cy="6096"/>
              <wp:effectExtent l="0" t="0" r="0" b="0"/>
              <wp:wrapSquare wrapText="bothSides"/>
              <wp:docPr id="4097" name="Group 27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227" cy="6096"/>
                        <a:chOff x="0" y="0"/>
                        <a:chExt cx="5769229" cy="6096"/>
                      </a:xfrm>
                    </wpg:grpSpPr>
                    <wps:wsp>
                      <wps:cNvPr id="1" name="Freeform 1"/>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0000"/>
                        </a:solidFill>
                        <a:ln w="0" cap="flat" cmpd="sng">
                          <a:solidFill>
                            <a:srgbClr val="000000"/>
                          </a:solidFill>
                          <a:prstDash val="solid"/>
                          <a:miter/>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70.58pt;margin-top:69.36pt;width:454.27pt;height:0.48pt;z-index:2;mso-position-horizontal-relative:page;mso-position-vertical-relative:page;mso-width-relative:page;mso-height-relative:page;visibility:visible;" coordsize="5769229,6096">
              <v:shape id="4098" coordsize="5769229,9144" path="m0,0l5769229,0l5769229,9144l0,9144l0,0e" fillcolor="black" stroked="t" style="position:absolute;left:0;top:0;width:5769229;height:9144;z-index:2;mso-position-horizontal-relative:page;mso-position-vertical-relative:page;mso-width-relative:page;mso-height-relative:page;visibility:visible;">
                <v:stroke joinstyle="miter" weight="0.0pt"/>
                <v:fill/>
                <v:path textboxrect="0,0,5769229,9144"/>
              </v:shape>
              <w10:wrap type="square"/>
              <v:fill/>
            </v:group>
          </w:pict>
        </mc:Fallback>
      </mc:AlternateContent>
    </w:r>
    <w:r w:rsidR="002D1C8A">
      <w:rPr>
        <w:i/>
        <w:sz w:val="20"/>
      </w:rPr>
      <w:t xml:space="preserve">Unfaithfulness among married couples </w:t>
    </w:r>
  </w:p>
  <w:p w14:paraId="1066BBA1" w14:textId="77777777" w:rsidR="002F01C0" w:rsidRDefault="002D1C8A">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2911" w14:textId="6A2CF868" w:rsidR="002F01C0" w:rsidRDefault="00143E01">
    <w:pPr>
      <w:pStyle w:val="Header"/>
    </w:pPr>
    <w:r>
      <w:rPr>
        <w:noProof/>
      </w:rPr>
      <w:pict w14:anchorId="35326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48267" o:spid="_x0000_s1027" type="#_x0000_t136" style="position:absolute;left:0;text-align:left;margin-left:0;margin-top:0;width:584.55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2D1C8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C5DC" w14:textId="79A59D9F" w:rsidR="002F01C0" w:rsidRDefault="00143E01">
    <w:pPr>
      <w:spacing w:after="160" w:line="259" w:lineRule="auto"/>
      <w:ind w:left="0" w:right="0" w:firstLine="0"/>
      <w:jc w:val="left"/>
    </w:pPr>
    <w:r>
      <w:rPr>
        <w:noProof/>
      </w:rPr>
      <w:pict w14:anchorId="50A58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48265" o:spid="_x0000_s1025" type="#_x0000_t136" style="position:absolute;margin-left:0;margin-top:0;width:584.55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8E3C70"/>
    <w:lvl w:ilvl="0" w:tplc="F5C40FB4">
      <w:start w:val="5"/>
      <w:numFmt w:val="upperRoman"/>
      <w:lvlText w:val="%1."/>
      <w:lvlJc w:val="left"/>
      <w:pPr>
        <w:ind w:left="892"/>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1" w:tplc="E9F60FD6">
      <w:start w:val="1"/>
      <w:numFmt w:val="lowerLetter"/>
      <w:lvlText w:val="%2"/>
      <w:lvlJc w:val="left"/>
      <w:pPr>
        <w:ind w:left="442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2" w:tplc="F3C8F47A">
      <w:start w:val="1"/>
      <w:numFmt w:val="lowerRoman"/>
      <w:lvlText w:val="%3"/>
      <w:lvlJc w:val="left"/>
      <w:pPr>
        <w:ind w:left="514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3" w:tplc="A578A0FE">
      <w:start w:val="1"/>
      <w:numFmt w:val="decimal"/>
      <w:lvlText w:val="%4"/>
      <w:lvlJc w:val="left"/>
      <w:pPr>
        <w:ind w:left="586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4" w:tplc="D3CE3F30">
      <w:start w:val="1"/>
      <w:numFmt w:val="lowerLetter"/>
      <w:lvlText w:val="%5"/>
      <w:lvlJc w:val="left"/>
      <w:pPr>
        <w:ind w:left="658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5" w:tplc="5F2A5EB0">
      <w:start w:val="1"/>
      <w:numFmt w:val="lowerRoman"/>
      <w:lvlText w:val="%6"/>
      <w:lvlJc w:val="left"/>
      <w:pPr>
        <w:ind w:left="730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6" w:tplc="21EE1FC2">
      <w:start w:val="1"/>
      <w:numFmt w:val="decimal"/>
      <w:lvlText w:val="%7"/>
      <w:lvlJc w:val="left"/>
      <w:pPr>
        <w:ind w:left="802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7" w:tplc="CA50E906">
      <w:start w:val="1"/>
      <w:numFmt w:val="lowerLetter"/>
      <w:lvlText w:val="%8"/>
      <w:lvlJc w:val="left"/>
      <w:pPr>
        <w:ind w:left="874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lvl w:ilvl="8" w:tplc="4FE43FBC">
      <w:start w:val="1"/>
      <w:numFmt w:val="lowerRoman"/>
      <w:lvlText w:val="%9"/>
      <w:lvlJc w:val="left"/>
      <w:pPr>
        <w:ind w:left="9465"/>
      </w:pPr>
      <w:rPr>
        <w:rFonts w:ascii="Times New Roman" w:eastAsia="Times New Roman" w:hAnsi="Times New Roman" w:cs="Times New Roman"/>
        <w:b/>
        <w:bCs/>
        <w:i w:val="0"/>
        <w:color w:val="000000"/>
        <w:sz w:val="22"/>
        <w:szCs w:val="22"/>
        <w:u w:val="none" w:color="000000"/>
        <w:bdr w:val="none" w:sz="0" w:space="0" w:color="auto"/>
        <w:shd w:val="clear" w:color="auto" w:fill="auto"/>
        <w:vertAlign w:val="baseline"/>
      </w:rPr>
    </w:lvl>
  </w:abstractNum>
  <w:abstractNum w:abstractNumId="1" w15:restartNumberingAfterBreak="0">
    <w:nsid w:val="00000002"/>
    <w:multiLevelType w:val="hybridMultilevel"/>
    <w:tmpl w:val="68C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DE894C"/>
    <w:lvl w:ilvl="0">
      <w:start w:val="1"/>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3" w15:restartNumberingAfterBreak="0">
    <w:nsid w:val="00000004"/>
    <w:multiLevelType w:val="hybridMultilevel"/>
    <w:tmpl w:val="0DCCA8D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00000005"/>
    <w:multiLevelType w:val="multilevel"/>
    <w:tmpl w:val="FE849BFA"/>
    <w:lvl w:ilvl="0">
      <w:start w:val="1"/>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5" w15:restartNumberingAfterBreak="0">
    <w:nsid w:val="00000006"/>
    <w:multiLevelType w:val="hybridMultilevel"/>
    <w:tmpl w:val="8A5C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752A0"/>
    <w:multiLevelType w:val="hybridMultilevel"/>
    <w:tmpl w:val="746839EA"/>
    <w:lvl w:ilvl="0" w:tplc="6F3CAEA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128A5F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723C5"/>
    <w:multiLevelType w:val="hybridMultilevel"/>
    <w:tmpl w:val="B6B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64ABC"/>
    <w:multiLevelType w:val="hybridMultilevel"/>
    <w:tmpl w:val="11D69C82"/>
    <w:lvl w:ilvl="0" w:tplc="ACB2CDF0">
      <w:start w:val="1"/>
      <w:numFmt w:val="decimal"/>
      <w:lvlText w:val="%1."/>
      <w:lvlJc w:val="left"/>
      <w:pPr>
        <w:ind w:left="72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1" w:tplc="E788F42E">
      <w:start w:val="1"/>
      <w:numFmt w:val="lowerLetter"/>
      <w:lvlText w:val="%2"/>
      <w:lvlJc w:val="left"/>
      <w:pPr>
        <w:ind w:left="144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2" w:tplc="1690E7A8">
      <w:start w:val="1"/>
      <w:numFmt w:val="lowerRoman"/>
      <w:lvlText w:val="%3"/>
      <w:lvlJc w:val="left"/>
      <w:pPr>
        <w:ind w:left="216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3" w:tplc="9D36CFD2">
      <w:start w:val="1"/>
      <w:numFmt w:val="decimal"/>
      <w:lvlText w:val="%4"/>
      <w:lvlJc w:val="left"/>
      <w:pPr>
        <w:ind w:left="288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4" w:tplc="2D4E791A">
      <w:start w:val="1"/>
      <w:numFmt w:val="lowerLetter"/>
      <w:lvlText w:val="%5"/>
      <w:lvlJc w:val="left"/>
      <w:pPr>
        <w:ind w:left="360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5" w:tplc="58FAD7B4">
      <w:start w:val="1"/>
      <w:numFmt w:val="lowerRoman"/>
      <w:lvlText w:val="%6"/>
      <w:lvlJc w:val="left"/>
      <w:pPr>
        <w:ind w:left="432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6" w:tplc="C88630C6">
      <w:start w:val="1"/>
      <w:numFmt w:val="decimal"/>
      <w:lvlText w:val="%7"/>
      <w:lvlJc w:val="left"/>
      <w:pPr>
        <w:ind w:left="504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7" w:tplc="A572ACCA">
      <w:start w:val="1"/>
      <w:numFmt w:val="lowerLetter"/>
      <w:lvlText w:val="%8"/>
      <w:lvlJc w:val="left"/>
      <w:pPr>
        <w:ind w:left="576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8" w:tplc="31CEF6D0">
      <w:start w:val="1"/>
      <w:numFmt w:val="lowerRoman"/>
      <w:lvlText w:val="%9"/>
      <w:lvlJc w:val="left"/>
      <w:pPr>
        <w:ind w:left="648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abstractNum>
  <w:num w:numId="1" w16cid:durableId="660811287">
    <w:abstractNumId w:val="1"/>
  </w:num>
  <w:num w:numId="2" w16cid:durableId="244192207">
    <w:abstractNumId w:val="9"/>
  </w:num>
  <w:num w:numId="3" w16cid:durableId="1105150762">
    <w:abstractNumId w:val="0"/>
  </w:num>
  <w:num w:numId="4" w16cid:durableId="696859046">
    <w:abstractNumId w:val="2"/>
  </w:num>
  <w:num w:numId="5" w16cid:durableId="517692828">
    <w:abstractNumId w:val="4"/>
  </w:num>
  <w:num w:numId="6" w16cid:durableId="2021613491">
    <w:abstractNumId w:val="3"/>
  </w:num>
  <w:num w:numId="7" w16cid:durableId="1942447801">
    <w:abstractNumId w:val="5"/>
  </w:num>
  <w:num w:numId="8" w16cid:durableId="2060205969">
    <w:abstractNumId w:val="6"/>
  </w:num>
  <w:num w:numId="9" w16cid:durableId="326977870">
    <w:abstractNumId w:val="8"/>
  </w:num>
  <w:num w:numId="10" w16cid:durableId="1905021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C0"/>
    <w:rsid w:val="000832B2"/>
    <w:rsid w:val="000F6885"/>
    <w:rsid w:val="00117C58"/>
    <w:rsid w:val="00143E01"/>
    <w:rsid w:val="00187A22"/>
    <w:rsid w:val="001F3A6E"/>
    <w:rsid w:val="0025185B"/>
    <w:rsid w:val="002609B3"/>
    <w:rsid w:val="002A4954"/>
    <w:rsid w:val="002B17B5"/>
    <w:rsid w:val="002D1C8A"/>
    <w:rsid w:val="002F01C0"/>
    <w:rsid w:val="003479BE"/>
    <w:rsid w:val="003648FA"/>
    <w:rsid w:val="0037317A"/>
    <w:rsid w:val="003A1F0D"/>
    <w:rsid w:val="003E2BC6"/>
    <w:rsid w:val="004B4DFF"/>
    <w:rsid w:val="00537095"/>
    <w:rsid w:val="00583823"/>
    <w:rsid w:val="005A6E96"/>
    <w:rsid w:val="0065601C"/>
    <w:rsid w:val="006B10A1"/>
    <w:rsid w:val="00736585"/>
    <w:rsid w:val="00763997"/>
    <w:rsid w:val="007D06C6"/>
    <w:rsid w:val="00942189"/>
    <w:rsid w:val="009C702F"/>
    <w:rsid w:val="00AD4960"/>
    <w:rsid w:val="00B917FC"/>
    <w:rsid w:val="00BC4CE7"/>
    <w:rsid w:val="00CB6498"/>
    <w:rsid w:val="00DD047B"/>
    <w:rsid w:val="00E71DCD"/>
    <w:rsid w:val="00F16A67"/>
    <w:rsid w:val="00F4685E"/>
    <w:rsid w:val="00FF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3CAB4"/>
  <w15:docId w15:val="{69C48DCB-66D6-4332-88C5-8418F072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0"/>
      <w:ind w:right="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qFormat/>
    <w:pPr>
      <w:keepNext/>
      <w:keepLines/>
      <w:spacing w:after="0"/>
      <w:ind w:left="67"/>
      <w:jc w:val="center"/>
      <w:outlineLvl w:val="1"/>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SimSun"/>
      <w:color w:val="1F3763"/>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SimSu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18"/>
    </w:rPr>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F5496"/>
      <w:sz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CE7"/>
    <w:rPr>
      <w:color w:val="0000FF" w:themeColor="hyperlink"/>
      <w:u w:val="single"/>
    </w:rPr>
  </w:style>
  <w:style w:type="character" w:styleId="UnresolvedMention">
    <w:name w:val="Unresolved Mention"/>
    <w:basedOn w:val="DefaultParagraphFont"/>
    <w:uiPriority w:val="99"/>
    <w:semiHidden/>
    <w:unhideWhenUsed/>
    <w:rsid w:val="00BC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172">
      <w:bodyDiv w:val="1"/>
      <w:marLeft w:val="0"/>
      <w:marRight w:val="0"/>
      <w:marTop w:val="0"/>
      <w:marBottom w:val="0"/>
      <w:divBdr>
        <w:top w:val="none" w:sz="0" w:space="0" w:color="auto"/>
        <w:left w:val="none" w:sz="0" w:space="0" w:color="auto"/>
        <w:bottom w:val="none" w:sz="0" w:space="0" w:color="auto"/>
        <w:right w:val="none" w:sz="0" w:space="0" w:color="auto"/>
      </w:divBdr>
    </w:div>
    <w:div w:id="75635060">
      <w:bodyDiv w:val="1"/>
      <w:marLeft w:val="0"/>
      <w:marRight w:val="0"/>
      <w:marTop w:val="0"/>
      <w:marBottom w:val="0"/>
      <w:divBdr>
        <w:top w:val="none" w:sz="0" w:space="0" w:color="auto"/>
        <w:left w:val="none" w:sz="0" w:space="0" w:color="auto"/>
        <w:bottom w:val="none" w:sz="0" w:space="0" w:color="auto"/>
        <w:right w:val="none" w:sz="0" w:space="0" w:color="auto"/>
      </w:divBdr>
    </w:div>
    <w:div w:id="203490788">
      <w:bodyDiv w:val="1"/>
      <w:marLeft w:val="0"/>
      <w:marRight w:val="0"/>
      <w:marTop w:val="0"/>
      <w:marBottom w:val="0"/>
      <w:divBdr>
        <w:top w:val="none" w:sz="0" w:space="0" w:color="auto"/>
        <w:left w:val="none" w:sz="0" w:space="0" w:color="auto"/>
        <w:bottom w:val="none" w:sz="0" w:space="0" w:color="auto"/>
        <w:right w:val="none" w:sz="0" w:space="0" w:color="auto"/>
      </w:divBdr>
    </w:div>
    <w:div w:id="775708938">
      <w:bodyDiv w:val="1"/>
      <w:marLeft w:val="0"/>
      <w:marRight w:val="0"/>
      <w:marTop w:val="0"/>
      <w:marBottom w:val="0"/>
      <w:divBdr>
        <w:top w:val="none" w:sz="0" w:space="0" w:color="auto"/>
        <w:left w:val="none" w:sz="0" w:space="0" w:color="auto"/>
        <w:bottom w:val="none" w:sz="0" w:space="0" w:color="auto"/>
        <w:right w:val="none" w:sz="0" w:space="0" w:color="auto"/>
      </w:divBdr>
    </w:div>
    <w:div w:id="982539660">
      <w:bodyDiv w:val="1"/>
      <w:marLeft w:val="0"/>
      <w:marRight w:val="0"/>
      <w:marTop w:val="0"/>
      <w:marBottom w:val="0"/>
      <w:divBdr>
        <w:top w:val="none" w:sz="0" w:space="0" w:color="auto"/>
        <w:left w:val="none" w:sz="0" w:space="0" w:color="auto"/>
        <w:bottom w:val="none" w:sz="0" w:space="0" w:color="auto"/>
        <w:right w:val="none" w:sz="0" w:space="0" w:color="auto"/>
      </w:divBdr>
    </w:div>
    <w:div w:id="1104765976">
      <w:bodyDiv w:val="1"/>
      <w:marLeft w:val="0"/>
      <w:marRight w:val="0"/>
      <w:marTop w:val="0"/>
      <w:marBottom w:val="0"/>
      <w:divBdr>
        <w:top w:val="none" w:sz="0" w:space="0" w:color="auto"/>
        <w:left w:val="none" w:sz="0" w:space="0" w:color="auto"/>
        <w:bottom w:val="none" w:sz="0" w:space="0" w:color="auto"/>
        <w:right w:val="none" w:sz="0" w:space="0" w:color="auto"/>
      </w:divBdr>
    </w:div>
    <w:div w:id="1241987030">
      <w:bodyDiv w:val="1"/>
      <w:marLeft w:val="0"/>
      <w:marRight w:val="0"/>
      <w:marTop w:val="0"/>
      <w:marBottom w:val="0"/>
      <w:divBdr>
        <w:top w:val="none" w:sz="0" w:space="0" w:color="auto"/>
        <w:left w:val="none" w:sz="0" w:space="0" w:color="auto"/>
        <w:bottom w:val="none" w:sz="0" w:space="0" w:color="auto"/>
        <w:right w:val="none" w:sz="0" w:space="0" w:color="auto"/>
      </w:divBdr>
    </w:div>
    <w:div w:id="1396705892">
      <w:bodyDiv w:val="1"/>
      <w:marLeft w:val="0"/>
      <w:marRight w:val="0"/>
      <w:marTop w:val="0"/>
      <w:marBottom w:val="0"/>
      <w:divBdr>
        <w:top w:val="none" w:sz="0" w:space="0" w:color="auto"/>
        <w:left w:val="none" w:sz="0" w:space="0" w:color="auto"/>
        <w:bottom w:val="none" w:sz="0" w:space="0" w:color="auto"/>
        <w:right w:val="none" w:sz="0" w:space="0" w:color="auto"/>
      </w:divBdr>
    </w:div>
    <w:div w:id="1595479488">
      <w:bodyDiv w:val="1"/>
      <w:marLeft w:val="0"/>
      <w:marRight w:val="0"/>
      <w:marTop w:val="0"/>
      <w:marBottom w:val="0"/>
      <w:divBdr>
        <w:top w:val="none" w:sz="0" w:space="0" w:color="auto"/>
        <w:left w:val="none" w:sz="0" w:space="0" w:color="auto"/>
        <w:bottom w:val="none" w:sz="0" w:space="0" w:color="auto"/>
        <w:right w:val="none" w:sz="0" w:space="0" w:color="auto"/>
      </w:divBdr>
    </w:div>
    <w:div w:id="1664894089">
      <w:bodyDiv w:val="1"/>
      <w:marLeft w:val="0"/>
      <w:marRight w:val="0"/>
      <w:marTop w:val="0"/>
      <w:marBottom w:val="0"/>
      <w:divBdr>
        <w:top w:val="none" w:sz="0" w:space="0" w:color="auto"/>
        <w:left w:val="none" w:sz="0" w:space="0" w:color="auto"/>
        <w:bottom w:val="none" w:sz="0" w:space="0" w:color="auto"/>
        <w:right w:val="none" w:sz="0" w:space="0" w:color="auto"/>
      </w:divBdr>
    </w:div>
    <w:div w:id="1851404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9</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Mother</dc:creator>
  <cp:lastModifiedBy>Editor-22</cp:lastModifiedBy>
  <cp:revision>377</cp:revision>
  <dcterms:created xsi:type="dcterms:W3CDTF">2022-01-24T20:29:00Z</dcterms:created>
  <dcterms:modified xsi:type="dcterms:W3CDTF">2025-06-09T05:04:00Z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158bd26d18da4cb2b2d2628d261c2c67</vt:lpwstr>
  </property>
  <property fmtid="{D5CDD505-2E9C-101B-9397-08002B2CF9AE}" pid="3" name="GrammarlyDocumentId">
    <vt:lpwstr>00f3cf2087fde0894a0a64eb9ca3b792010a99d4bd864cc44b346a775be53a26</vt:lpwstr>
  </property>
</Properties>
</file>