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D5C76" w14:textId="5D52B8F2" w:rsidR="0068298E" w:rsidRDefault="00AB2A71" w:rsidP="00AB2A71">
      <w:pPr>
        <w:spacing w:line="360" w:lineRule="auto"/>
        <w:jc w:val="center"/>
        <w:rPr>
          <w:b/>
          <w:bCs/>
          <w:i w:val="0"/>
          <w:iCs w:val="0"/>
          <w:color w:val="000000"/>
        </w:rPr>
      </w:pPr>
      <w:proofErr w:type="spellStart"/>
      <w:r w:rsidRPr="00AB2A71">
        <w:rPr>
          <w:b/>
          <w:bCs/>
          <w:i w:val="0"/>
          <w:iCs w:val="0"/>
          <w:color w:val="000000"/>
        </w:rPr>
        <w:t>Clinico</w:t>
      </w:r>
      <w:proofErr w:type="spellEnd"/>
      <w:r w:rsidR="00935F6C">
        <w:rPr>
          <w:b/>
          <w:bCs/>
          <w:i w:val="0"/>
          <w:iCs w:val="0"/>
          <w:color w:val="000000"/>
        </w:rPr>
        <w:t xml:space="preserve">-physiological and </w:t>
      </w:r>
      <w:proofErr w:type="spellStart"/>
      <w:r>
        <w:rPr>
          <w:b/>
          <w:bCs/>
          <w:i w:val="0"/>
          <w:iCs w:val="0"/>
          <w:color w:val="000000"/>
        </w:rPr>
        <w:t>h</w:t>
      </w:r>
      <w:r w:rsidRPr="00AB2A71">
        <w:rPr>
          <w:b/>
          <w:bCs/>
          <w:i w:val="0"/>
          <w:iCs w:val="0"/>
          <w:color w:val="000000"/>
        </w:rPr>
        <w:t>emato</w:t>
      </w:r>
      <w:proofErr w:type="spellEnd"/>
      <w:r>
        <w:rPr>
          <w:b/>
          <w:bCs/>
          <w:i w:val="0"/>
          <w:iCs w:val="0"/>
          <w:color w:val="000000"/>
        </w:rPr>
        <w:t>-</w:t>
      </w:r>
      <w:r w:rsidRPr="00AB2A71">
        <w:rPr>
          <w:b/>
          <w:bCs/>
          <w:i w:val="0"/>
          <w:iCs w:val="0"/>
          <w:color w:val="000000"/>
        </w:rPr>
        <w:t xml:space="preserve">biochemical Studies on Dogs Affected by Canine Parvovirus-2 (CPV-2) </w:t>
      </w:r>
    </w:p>
    <w:p w14:paraId="2205663A" w14:textId="77777777" w:rsidR="00221AA1" w:rsidRDefault="00221AA1" w:rsidP="00AB2A71">
      <w:pPr>
        <w:spacing w:line="360" w:lineRule="auto"/>
        <w:jc w:val="center"/>
        <w:rPr>
          <w:b/>
          <w:bCs/>
          <w:i w:val="0"/>
          <w:iCs w:val="0"/>
          <w:color w:val="000000"/>
        </w:rPr>
      </w:pPr>
    </w:p>
    <w:p w14:paraId="1EEDC1D3" w14:textId="77777777" w:rsidR="0098598A" w:rsidRDefault="0098598A" w:rsidP="00AB2A71">
      <w:pPr>
        <w:spacing w:line="360" w:lineRule="auto"/>
        <w:jc w:val="center"/>
        <w:rPr>
          <w:b/>
          <w:bCs/>
          <w:i w:val="0"/>
          <w:iCs w:val="0"/>
          <w:color w:val="000000"/>
        </w:rPr>
      </w:pPr>
    </w:p>
    <w:p w14:paraId="20C54708" w14:textId="40949390" w:rsidR="00AB2A71" w:rsidRDefault="00AB2A71" w:rsidP="00AB2A71">
      <w:pPr>
        <w:spacing w:line="360" w:lineRule="auto"/>
        <w:jc w:val="center"/>
        <w:rPr>
          <w:b/>
          <w:bCs/>
          <w:i w:val="0"/>
          <w:iCs w:val="0"/>
          <w:color w:val="000000"/>
        </w:rPr>
      </w:pPr>
      <w:r>
        <w:rPr>
          <w:b/>
          <w:bCs/>
          <w:i w:val="0"/>
          <w:iCs w:val="0"/>
          <w:color w:val="000000"/>
        </w:rPr>
        <w:t>Abstract</w:t>
      </w:r>
    </w:p>
    <w:p w14:paraId="359D0FA2" w14:textId="3B6592B8" w:rsidR="00AB2A71" w:rsidRDefault="00AB2A71" w:rsidP="00AB2A71">
      <w:pPr>
        <w:spacing w:line="360" w:lineRule="auto"/>
        <w:ind w:firstLine="720"/>
        <w:jc w:val="both"/>
        <w:rPr>
          <w:i w:val="0"/>
          <w:iCs w:val="0"/>
        </w:rPr>
      </w:pPr>
      <w:r w:rsidRPr="00AB2A71">
        <w:rPr>
          <w:i w:val="0"/>
          <w:iCs w:val="0"/>
        </w:rPr>
        <w:t xml:space="preserve">Canine Parvovirus-2 (CPV-2) is a lethal virus affecting the canid family, causing destruction of rapidly dividing cells in the intestines, thymus, lymph nodes, bone marrow and heart, leading to multi-organ failure. This study aimed to evaluate the impact of CPV-2 variants on </w:t>
      </w:r>
      <w:proofErr w:type="spellStart"/>
      <w:r w:rsidRPr="00AB2A71">
        <w:rPr>
          <w:i w:val="0"/>
          <w:iCs w:val="0"/>
        </w:rPr>
        <w:t>clinico</w:t>
      </w:r>
      <w:proofErr w:type="spellEnd"/>
      <w:r w:rsidRPr="00AB2A71">
        <w:rPr>
          <w:i w:val="0"/>
          <w:iCs w:val="0"/>
        </w:rPr>
        <w:t>-physiological, haematological and biochemical parameters in dogs. Two hundred faecal and  blood samples from symptomatic dogs, along with 10 healthy controls, were collected at VCC, PGIVER, Jaipur, from July 2024 to December 2024. PCR identified 166 CPV-2 positive cases, comprising 147 CPV-2a, 141 CPV-2b and 115 CPV-2c cases. Randomly, 52 CPV-2a, 52 CPV-2b and 44 CPV-2c cases were selected. Clinical examination showed significantly elevated heart and respiration rates in CPV-2b and CPV-2c groups. Haematological analysis revealed reduced haemoglobin, PCV and TEC across all CPV-2 variants, with CPV-2b and CPV-2c showing the highest neutrophil counts and lowest lymphocyte percentages. Eosinophil and basophil counts were elevated in infected groups. Biochemical analysis showed significantly reduced serum total protein and albumin, with CPV-2c having the lowest values. Elevated AST and ALP levels indicated hepatic damage, while decreased creatinine in CPV-2c suggested possible renal impairment. These findings highlight the distinct pathophysiological impacts of CPV-2 variants and their clinical relevance in diagnosis and disease management.</w:t>
      </w:r>
    </w:p>
    <w:p w14:paraId="3F0BEDED" w14:textId="77777777" w:rsidR="00935F6C" w:rsidRDefault="00935F6C" w:rsidP="00935F6C">
      <w:pPr>
        <w:spacing w:line="360" w:lineRule="auto"/>
        <w:jc w:val="both"/>
        <w:rPr>
          <w:b/>
          <w:bCs/>
          <w:i w:val="0"/>
          <w:iCs w:val="0"/>
        </w:rPr>
      </w:pPr>
    </w:p>
    <w:p w14:paraId="7D7DC5DE" w14:textId="793345DB" w:rsidR="00935F6C" w:rsidRDefault="00935F6C" w:rsidP="00935F6C">
      <w:pPr>
        <w:spacing w:line="360" w:lineRule="auto"/>
        <w:jc w:val="both"/>
        <w:rPr>
          <w:i w:val="0"/>
          <w:iCs w:val="0"/>
        </w:rPr>
      </w:pPr>
      <w:r w:rsidRPr="00935F6C">
        <w:rPr>
          <w:b/>
          <w:bCs/>
          <w:i w:val="0"/>
          <w:iCs w:val="0"/>
        </w:rPr>
        <w:t xml:space="preserve">Key words: </w:t>
      </w:r>
      <w:r w:rsidRPr="00935F6C">
        <w:rPr>
          <w:i w:val="0"/>
          <w:iCs w:val="0"/>
        </w:rPr>
        <w:t xml:space="preserve">Canine Parvo Virus-2 (CPV-2), </w:t>
      </w:r>
      <w:proofErr w:type="spellStart"/>
      <w:r w:rsidRPr="00935F6C">
        <w:rPr>
          <w:i w:val="0"/>
          <w:iCs w:val="0"/>
        </w:rPr>
        <w:t>hemato</w:t>
      </w:r>
      <w:proofErr w:type="spellEnd"/>
      <w:r w:rsidRPr="00935F6C">
        <w:rPr>
          <w:i w:val="0"/>
          <w:iCs w:val="0"/>
        </w:rPr>
        <w:t>-biochemical parameters, CPV-2 variants, clinical parameters, polymerase chain reaction.</w:t>
      </w:r>
    </w:p>
    <w:p w14:paraId="31EF9573" w14:textId="572DA7C5" w:rsidR="000C7D54" w:rsidRDefault="000C7D54" w:rsidP="00935F6C">
      <w:pPr>
        <w:spacing w:line="360" w:lineRule="auto"/>
        <w:jc w:val="both"/>
        <w:rPr>
          <w:i w:val="0"/>
          <w:iCs w:val="0"/>
        </w:rPr>
      </w:pPr>
      <w:r>
        <w:rPr>
          <w:i w:val="0"/>
          <w:iCs w:val="0"/>
        </w:rPr>
        <w:t xml:space="preserve">Introduction </w:t>
      </w:r>
    </w:p>
    <w:p w14:paraId="68860668" w14:textId="77777777" w:rsidR="00D96307" w:rsidRDefault="00D96307" w:rsidP="00935F6C">
      <w:pPr>
        <w:spacing w:line="360" w:lineRule="auto"/>
        <w:jc w:val="both"/>
        <w:rPr>
          <w:i w:val="0"/>
          <w:iCs w:val="0"/>
        </w:rPr>
      </w:pPr>
    </w:p>
    <w:p w14:paraId="61F6E934" w14:textId="77777777" w:rsidR="00D96307" w:rsidRDefault="00D96307" w:rsidP="00935F6C">
      <w:pPr>
        <w:spacing w:line="360" w:lineRule="auto"/>
        <w:jc w:val="both"/>
        <w:rPr>
          <w:i w:val="0"/>
          <w:iCs w:val="0"/>
        </w:rPr>
      </w:pPr>
      <w:r w:rsidRPr="00D96307">
        <w:rPr>
          <w:i w:val="0"/>
          <w:iCs w:val="0"/>
        </w:rPr>
        <w:t xml:space="preserve">Canine Parvo Virus-2 causes acute haemorrhagic enteritis and myocarditis in dogs. It is highly contagious disease affecting canine worldwide. CPV-2 was first identified in 1977 since then it is well recognised as enteric pathogen of dogs worldwide with high morbidity and mortality rate (Nandi et al., 2010). The virus originated from feline panleukopenia virus and 98% similar to it (Ogbu et al., 2017). The mutations occurred in CPV-2 and it convert into different variants,  CPV-2a in 1979, CPV-2b in 1984, and recently CPV-2c in 2000, which was first detected in Italy (Parrish, 2005). Canine Parvo Virus-2 contains a single standard linear genome of </w:t>
      </w:r>
      <w:r w:rsidRPr="00D96307">
        <w:rPr>
          <w:i w:val="0"/>
          <w:iCs w:val="0"/>
        </w:rPr>
        <w:lastRenderedPageBreak/>
        <w:t>approximately 5,000 nucleotide (</w:t>
      </w:r>
      <w:proofErr w:type="spellStart"/>
      <w:r w:rsidRPr="00D96307">
        <w:rPr>
          <w:i w:val="0"/>
          <w:iCs w:val="0"/>
        </w:rPr>
        <w:t>nt</w:t>
      </w:r>
      <w:proofErr w:type="spellEnd"/>
      <w:r w:rsidRPr="00D96307">
        <w:rPr>
          <w:i w:val="0"/>
          <w:iCs w:val="0"/>
        </w:rPr>
        <w:t xml:space="preserve">). It contains two structural protein VP1 and VP2 and two non-structural protein NS1 and NS2. Structural proteins are responsible for entry of the virus inside the host cell while non structure proteins are responsible for replication of the viral cells inside the host cell (Reed et al., 1988). </w:t>
      </w:r>
    </w:p>
    <w:p w14:paraId="2AD8E05F" w14:textId="39288158" w:rsidR="00D96307" w:rsidRDefault="00D96307" w:rsidP="00935F6C">
      <w:pPr>
        <w:spacing w:line="360" w:lineRule="auto"/>
        <w:jc w:val="both"/>
        <w:rPr>
          <w:i w:val="0"/>
          <w:iCs w:val="0"/>
        </w:rPr>
      </w:pPr>
      <w:r w:rsidRPr="00D96307">
        <w:rPr>
          <w:i w:val="0"/>
          <w:iCs w:val="0"/>
        </w:rPr>
        <w:t xml:space="preserve">Studies have shown that CPV-2 infections lead to significant alterations in vital physiological parameters such as heart and respiratory rates, alongside haematological abnormalities including anaemia, leukopenia, and lymphopenia. Moreover, biochemical alterations, particularly in liver and kidney function markers, further complicate disease progression and therapeutic approaches. This study aimed to evaluate the </w:t>
      </w:r>
      <w:proofErr w:type="spellStart"/>
      <w:r w:rsidRPr="00D96307">
        <w:rPr>
          <w:i w:val="0"/>
          <w:iCs w:val="0"/>
        </w:rPr>
        <w:t>clinico</w:t>
      </w:r>
      <w:proofErr w:type="spellEnd"/>
      <w:r w:rsidRPr="00D96307">
        <w:rPr>
          <w:i w:val="0"/>
          <w:iCs w:val="0"/>
        </w:rPr>
        <w:t xml:space="preserve">-physiological, </w:t>
      </w:r>
      <w:proofErr w:type="spellStart"/>
      <w:r w:rsidRPr="00D96307">
        <w:rPr>
          <w:i w:val="0"/>
          <w:iCs w:val="0"/>
        </w:rPr>
        <w:t>hematological</w:t>
      </w:r>
      <w:proofErr w:type="spellEnd"/>
      <w:r w:rsidRPr="00D96307">
        <w:rPr>
          <w:i w:val="0"/>
          <w:iCs w:val="0"/>
        </w:rPr>
        <w:t xml:space="preserve"> and biochemical effects of CPV-2 variants in naturally infected dogs. By analysing faecal and blood samples collected from symptomatic dogs and healthy controls, we sought to determine the distinct pathophysiological profiles of CPV-2a, CPV-2b and CPV-2c.</w:t>
      </w:r>
    </w:p>
    <w:p w14:paraId="5040335F" w14:textId="77777777" w:rsidR="00D96307" w:rsidRDefault="00D96307" w:rsidP="00935F6C">
      <w:pPr>
        <w:spacing w:line="360" w:lineRule="auto"/>
        <w:jc w:val="both"/>
        <w:rPr>
          <w:i w:val="0"/>
          <w:iCs w:val="0"/>
        </w:rPr>
      </w:pPr>
    </w:p>
    <w:p w14:paraId="5E2EC827" w14:textId="77777777" w:rsidR="00D96307" w:rsidRPr="00D96307" w:rsidRDefault="00D96307" w:rsidP="00D96307">
      <w:pPr>
        <w:spacing w:line="360" w:lineRule="auto"/>
        <w:jc w:val="both"/>
        <w:rPr>
          <w:b/>
          <w:bCs/>
          <w:i w:val="0"/>
          <w:iCs w:val="0"/>
          <w:color w:val="000000"/>
        </w:rPr>
      </w:pPr>
      <w:r w:rsidRPr="00D96307">
        <w:rPr>
          <w:b/>
          <w:bCs/>
          <w:i w:val="0"/>
          <w:iCs w:val="0"/>
          <w:color w:val="000000"/>
        </w:rPr>
        <w:t>Material and Methods</w:t>
      </w:r>
    </w:p>
    <w:p w14:paraId="43C17B93" w14:textId="77777777" w:rsidR="00D96307" w:rsidRPr="00D96307" w:rsidRDefault="00D96307" w:rsidP="00D96307">
      <w:pPr>
        <w:spacing w:line="360" w:lineRule="auto"/>
        <w:jc w:val="both"/>
        <w:rPr>
          <w:i w:val="0"/>
          <w:iCs w:val="0"/>
          <w:color w:val="000000"/>
        </w:rPr>
      </w:pPr>
      <w:r>
        <w:rPr>
          <w:b/>
          <w:bCs/>
          <w:color w:val="000000"/>
        </w:rPr>
        <w:tab/>
      </w:r>
      <w:r w:rsidRPr="00D96307">
        <w:rPr>
          <w:i w:val="0"/>
          <w:iCs w:val="0"/>
          <w:color w:val="000000"/>
        </w:rPr>
        <w:t xml:space="preserve">A total of 200 faecal samples swab </w:t>
      </w:r>
      <w:r w:rsidRPr="00D96307">
        <w:rPr>
          <w:i w:val="0"/>
          <w:iCs w:val="0"/>
        </w:rPr>
        <w:t>and blood samples from symptomatic dogs, along with 10 healthy controls</w:t>
      </w:r>
      <w:r w:rsidRPr="00D96307">
        <w:rPr>
          <w:i w:val="0"/>
          <w:iCs w:val="0"/>
          <w:color w:val="000000"/>
        </w:rPr>
        <w:t xml:space="preserve"> were collected from the dogs that were brought for treatment at Veterinary Clinical Complex, Post Graduate Institute of Veterinary Education and Research, </w:t>
      </w:r>
      <w:proofErr w:type="spellStart"/>
      <w:r w:rsidRPr="00D96307">
        <w:rPr>
          <w:i w:val="0"/>
          <w:iCs w:val="0"/>
          <w:color w:val="000000"/>
        </w:rPr>
        <w:t>Jamdoli</w:t>
      </w:r>
      <w:proofErr w:type="spellEnd"/>
      <w:r w:rsidRPr="00D96307">
        <w:rPr>
          <w:i w:val="0"/>
          <w:iCs w:val="0"/>
          <w:color w:val="000000"/>
        </w:rPr>
        <w:t>, Jaipur from different places in and around Jaipur. The dogs having clinical history of lethargy, dehydration, anorexia, fever, with progression to vomiting, diarrhoea  (mostly haemorrhagic diarrhoea) were suspected for CPV-2.</w:t>
      </w:r>
      <w:r w:rsidRPr="00D96307">
        <w:rPr>
          <w:i w:val="0"/>
          <w:iCs w:val="0"/>
        </w:rPr>
        <w:t xml:space="preserve"> </w:t>
      </w:r>
      <w:r w:rsidRPr="00D96307">
        <w:rPr>
          <w:i w:val="0"/>
          <w:iCs w:val="0"/>
          <w:color w:val="000000"/>
        </w:rPr>
        <w:t>All samples were collected directly from the rectum of diarrheic dogs using sterile cotton swabs (</w:t>
      </w:r>
      <w:proofErr w:type="spellStart"/>
      <w:r w:rsidRPr="00D96307">
        <w:rPr>
          <w:i w:val="0"/>
          <w:iCs w:val="0"/>
          <w:color w:val="000000"/>
        </w:rPr>
        <w:t>Himedia</w:t>
      </w:r>
      <w:proofErr w:type="spellEnd"/>
      <w:r w:rsidRPr="00D96307">
        <w:rPr>
          <w:i w:val="0"/>
          <w:iCs w:val="0"/>
          <w:color w:val="000000"/>
          <w:vertAlign w:val="superscript"/>
        </w:rPr>
        <w:t>®</w:t>
      </w:r>
      <w:r w:rsidRPr="00D96307">
        <w:rPr>
          <w:i w:val="0"/>
          <w:iCs w:val="0"/>
          <w:color w:val="000000"/>
        </w:rPr>
        <w:t>), preserved in sterile tubes containing 1% phosphate-buffered saline (PBS) solution, and stored in a -20°C deep freezer until further processing.</w:t>
      </w:r>
    </w:p>
    <w:p w14:paraId="74CF0175" w14:textId="6E914B7C" w:rsidR="00D96307" w:rsidRDefault="00D96307" w:rsidP="00D96307">
      <w:pPr>
        <w:spacing w:line="360" w:lineRule="auto"/>
        <w:jc w:val="both"/>
        <w:rPr>
          <w:i w:val="0"/>
          <w:iCs w:val="0"/>
          <w:color w:val="000000"/>
        </w:rPr>
      </w:pPr>
      <w:r w:rsidRPr="00D96307">
        <w:rPr>
          <w:i w:val="0"/>
          <w:iCs w:val="0"/>
          <w:color w:val="000000"/>
        </w:rPr>
        <w:tab/>
        <w:t>Blood samples (2 mL) were collected from the cephalic and saphenous vein into EDTA vacutainers for haematological analysis and 3 mL of blood was collected in plain (non-EDTA) vacutainers for serum collection to analyse biochemical parameters.</w:t>
      </w:r>
    </w:p>
    <w:p w14:paraId="663CA084" w14:textId="77777777" w:rsidR="00D96307" w:rsidRDefault="00D96307" w:rsidP="00D96307">
      <w:pPr>
        <w:spacing w:line="360" w:lineRule="auto"/>
        <w:jc w:val="both"/>
        <w:rPr>
          <w:i w:val="0"/>
          <w:iCs w:val="0"/>
          <w:color w:val="000000"/>
        </w:rPr>
      </w:pPr>
    </w:p>
    <w:p w14:paraId="7170EB6B" w14:textId="77777777" w:rsidR="00D96307" w:rsidRPr="00D96307" w:rsidRDefault="00D96307" w:rsidP="00D96307">
      <w:pPr>
        <w:pStyle w:val="NormalWeb"/>
        <w:spacing w:line="360" w:lineRule="auto"/>
        <w:jc w:val="both"/>
        <w:rPr>
          <w:b/>
          <w:bCs/>
          <w:color w:val="000000"/>
        </w:rPr>
      </w:pPr>
      <w:r w:rsidRPr="00D96307">
        <w:rPr>
          <w:b/>
          <w:bCs/>
          <w:color w:val="000000"/>
        </w:rPr>
        <w:t xml:space="preserve">DNA extraction by </w:t>
      </w:r>
      <w:proofErr w:type="spellStart"/>
      <w:r w:rsidRPr="00D96307">
        <w:rPr>
          <w:b/>
          <w:bCs/>
          <w:color w:val="000000"/>
        </w:rPr>
        <w:t>HiPurA</w:t>
      </w:r>
      <w:proofErr w:type="spellEnd"/>
      <w:r w:rsidRPr="00D96307">
        <w:rPr>
          <w:b/>
          <w:bCs/>
          <w:color w:val="000000"/>
        </w:rPr>
        <w:t xml:space="preserve"> DNA stool purification kit </w:t>
      </w:r>
      <w:proofErr w:type="spellStart"/>
      <w:r w:rsidRPr="00D96307">
        <w:rPr>
          <w:b/>
          <w:bCs/>
          <w:color w:val="000000"/>
        </w:rPr>
        <w:t>Himedia</w:t>
      </w:r>
      <w:proofErr w:type="spellEnd"/>
      <w:r w:rsidRPr="00D96307">
        <w:rPr>
          <w:b/>
          <w:bCs/>
          <w:color w:val="000000"/>
          <w:vertAlign w:val="superscript"/>
        </w:rPr>
        <w:t>®</w:t>
      </w:r>
    </w:p>
    <w:p w14:paraId="14044ADB" w14:textId="77777777" w:rsidR="00D96307" w:rsidRDefault="00D96307" w:rsidP="00D96307">
      <w:pPr>
        <w:pStyle w:val="NormalWeb"/>
        <w:spacing w:line="360" w:lineRule="auto"/>
        <w:jc w:val="both"/>
        <w:rPr>
          <w:i/>
          <w:iCs/>
          <w:color w:val="000000"/>
        </w:rPr>
      </w:pPr>
      <w:r>
        <w:rPr>
          <w:color w:val="000000"/>
        </w:rPr>
        <w:t xml:space="preserve">The manufacturer’s protocol was strictly followed for  DNA extraction. A 250 mg stool sample was mixed with 1 mL of TE buffer, vortexed, and centrifuged at ≥8,000 x g for 3 minutes, discarding the supernatant. The pellet was resuspended in 500 µL of Lysis Solution (AL), and 200 µL was transferred to a new tube. Proteinase K (20 µL) was added, vortexed, and incubated </w:t>
      </w:r>
      <w:r>
        <w:rPr>
          <w:color w:val="000000"/>
        </w:rPr>
        <w:lastRenderedPageBreak/>
        <w:t>at 55°C for 30 minutes, followed by 25 µL of RNase A and incubation at room temperature for 5 minutes. Stool Lysis Buffer (200 µL) was added, vortexed, and incubated at 70°C for 10 minutes, followed by 250 µL of Inhibitor Removal Solution and incubation at 4°C for 5 minutes. After centrifugation, the supernatant was transferred to a new tube, mixed with 200 µL of Binding Solution, and loaded onto a spin column. The column was washed twice with 500 µL of diluted Wash Solution and centrifuged to remove ethanol. The column was then transferred to a fresh tube, and 200 µL of Elution Buffer was added. A final centrifugation was performed, and the eluate was collected in a fresh 2 mL capped collection tube.</w:t>
      </w:r>
    </w:p>
    <w:p w14:paraId="03B86517" w14:textId="77777777" w:rsidR="00D96307" w:rsidRPr="00D96307" w:rsidRDefault="00D96307" w:rsidP="00D96307">
      <w:pPr>
        <w:pStyle w:val="NormalWeb"/>
        <w:spacing w:line="360" w:lineRule="auto"/>
        <w:jc w:val="both"/>
        <w:rPr>
          <w:b/>
          <w:bCs/>
          <w:color w:val="000000"/>
        </w:rPr>
      </w:pPr>
      <w:r w:rsidRPr="00D96307">
        <w:rPr>
          <w:b/>
          <w:bCs/>
          <w:color w:val="000000"/>
        </w:rPr>
        <w:t>Polymerase chain reaction</w:t>
      </w:r>
    </w:p>
    <w:p w14:paraId="540AD94E" w14:textId="22CA7314" w:rsidR="00D96307" w:rsidRDefault="00D96307" w:rsidP="00D96307">
      <w:pPr>
        <w:pStyle w:val="NormalWeb"/>
        <w:spacing w:line="360" w:lineRule="auto"/>
        <w:jc w:val="both"/>
        <w:rPr>
          <w:color w:val="000000"/>
        </w:rPr>
      </w:pPr>
      <w:r w:rsidRPr="00D96307">
        <w:rPr>
          <w:color w:val="000000"/>
        </w:rPr>
        <w:t>The reaction mixture comprised 10 µl of Taq PCR Master Mix (</w:t>
      </w:r>
      <w:proofErr w:type="spellStart"/>
      <w:r w:rsidRPr="00D96307">
        <w:rPr>
          <w:color w:val="000000"/>
        </w:rPr>
        <w:t>Qigen</w:t>
      </w:r>
      <w:proofErr w:type="spellEnd"/>
      <w:r w:rsidRPr="00D96307">
        <w:rPr>
          <w:color w:val="000000"/>
        </w:rPr>
        <w:t>), 0.5 µl f each forward and reverse primer, 2µl of DNA and 4.6 µl of nuclease free water, making a total volume of 10 µl. The details of primers given in table 1. Details of thermocycler condition are given in table 2.</w:t>
      </w:r>
    </w:p>
    <w:tbl>
      <w:tblPr>
        <w:tblStyle w:val="TableGrid"/>
        <w:tblpPr w:leftFromText="180" w:rightFromText="180" w:vertAnchor="text" w:horzAnchor="margin" w:tblpY="921"/>
        <w:tblW w:w="9498" w:type="dxa"/>
        <w:tblLook w:val="04A0" w:firstRow="1" w:lastRow="0" w:firstColumn="1" w:lastColumn="0" w:noHBand="0" w:noVBand="1"/>
      </w:tblPr>
      <w:tblGrid>
        <w:gridCol w:w="1002"/>
        <w:gridCol w:w="1834"/>
        <w:gridCol w:w="3696"/>
        <w:gridCol w:w="1123"/>
        <w:gridCol w:w="1843"/>
      </w:tblGrid>
      <w:tr w:rsidR="00D96307" w14:paraId="742A421F" w14:textId="77777777" w:rsidTr="00905D0E">
        <w:tc>
          <w:tcPr>
            <w:tcW w:w="1002" w:type="dxa"/>
            <w:tcBorders>
              <w:top w:val="single" w:sz="4" w:space="0" w:color="auto"/>
              <w:left w:val="single" w:sz="4" w:space="0" w:color="auto"/>
              <w:bottom w:val="single" w:sz="4" w:space="0" w:color="auto"/>
              <w:right w:val="single" w:sz="4" w:space="0" w:color="auto"/>
            </w:tcBorders>
          </w:tcPr>
          <w:p w14:paraId="4F3ABA87" w14:textId="77777777" w:rsidR="00D96307" w:rsidRDefault="00D96307" w:rsidP="00905D0E">
            <w:pPr>
              <w:spacing w:line="360" w:lineRule="auto"/>
              <w:jc w:val="both"/>
              <w:rPr>
                <w:sz w:val="22"/>
                <w:szCs w:val="22"/>
              </w:rPr>
            </w:pPr>
            <w:r>
              <w:rPr>
                <w:sz w:val="22"/>
                <w:szCs w:val="22"/>
              </w:rPr>
              <w:t>S.no.</w:t>
            </w:r>
          </w:p>
        </w:tc>
        <w:tc>
          <w:tcPr>
            <w:tcW w:w="1834" w:type="dxa"/>
            <w:tcBorders>
              <w:top w:val="single" w:sz="4" w:space="0" w:color="auto"/>
              <w:left w:val="single" w:sz="4" w:space="0" w:color="auto"/>
              <w:bottom w:val="single" w:sz="4" w:space="0" w:color="auto"/>
              <w:right w:val="single" w:sz="4" w:space="0" w:color="auto"/>
            </w:tcBorders>
          </w:tcPr>
          <w:p w14:paraId="1B12A337" w14:textId="77777777" w:rsidR="00D96307" w:rsidRDefault="00D96307" w:rsidP="00905D0E">
            <w:pPr>
              <w:spacing w:line="360" w:lineRule="auto"/>
              <w:jc w:val="both"/>
              <w:rPr>
                <w:sz w:val="22"/>
                <w:szCs w:val="22"/>
              </w:rPr>
            </w:pPr>
            <w:r>
              <w:rPr>
                <w:sz w:val="22"/>
                <w:szCs w:val="22"/>
              </w:rPr>
              <w:t>Forward And Reverse Primer</w:t>
            </w:r>
          </w:p>
        </w:tc>
        <w:tc>
          <w:tcPr>
            <w:tcW w:w="3696" w:type="dxa"/>
            <w:tcBorders>
              <w:top w:val="single" w:sz="4" w:space="0" w:color="auto"/>
              <w:left w:val="single" w:sz="4" w:space="0" w:color="auto"/>
              <w:bottom w:val="single" w:sz="4" w:space="0" w:color="auto"/>
              <w:right w:val="single" w:sz="4" w:space="0" w:color="auto"/>
            </w:tcBorders>
          </w:tcPr>
          <w:p w14:paraId="350C241D" w14:textId="77777777" w:rsidR="00D96307" w:rsidRDefault="00D96307" w:rsidP="00905D0E">
            <w:pPr>
              <w:spacing w:line="360" w:lineRule="auto"/>
              <w:jc w:val="both"/>
              <w:rPr>
                <w:sz w:val="22"/>
                <w:szCs w:val="22"/>
              </w:rPr>
            </w:pPr>
            <w:r>
              <w:rPr>
                <w:sz w:val="22"/>
                <w:szCs w:val="22"/>
              </w:rPr>
              <w:t>Primer Sequence 5’…….3’</w:t>
            </w:r>
          </w:p>
        </w:tc>
        <w:tc>
          <w:tcPr>
            <w:tcW w:w="1123" w:type="dxa"/>
            <w:tcBorders>
              <w:top w:val="single" w:sz="4" w:space="0" w:color="auto"/>
              <w:left w:val="single" w:sz="4" w:space="0" w:color="auto"/>
              <w:bottom w:val="single" w:sz="4" w:space="0" w:color="auto"/>
              <w:right w:val="single" w:sz="4" w:space="0" w:color="auto"/>
            </w:tcBorders>
          </w:tcPr>
          <w:p w14:paraId="2DD229AE" w14:textId="77777777" w:rsidR="00D96307" w:rsidRDefault="00D96307" w:rsidP="00905D0E">
            <w:pPr>
              <w:spacing w:line="360" w:lineRule="auto"/>
              <w:jc w:val="both"/>
              <w:rPr>
                <w:sz w:val="22"/>
                <w:szCs w:val="22"/>
              </w:rPr>
            </w:pPr>
            <w:r>
              <w:rPr>
                <w:sz w:val="22"/>
                <w:szCs w:val="22"/>
              </w:rPr>
              <w:t>Product size</w:t>
            </w:r>
          </w:p>
        </w:tc>
        <w:tc>
          <w:tcPr>
            <w:tcW w:w="1843" w:type="dxa"/>
            <w:tcBorders>
              <w:top w:val="single" w:sz="4" w:space="0" w:color="auto"/>
              <w:left w:val="single" w:sz="4" w:space="0" w:color="auto"/>
              <w:bottom w:val="single" w:sz="4" w:space="0" w:color="auto"/>
              <w:right w:val="single" w:sz="4" w:space="0" w:color="auto"/>
            </w:tcBorders>
          </w:tcPr>
          <w:p w14:paraId="7295B413" w14:textId="77777777" w:rsidR="00D96307" w:rsidRDefault="00D96307" w:rsidP="00905D0E">
            <w:pPr>
              <w:spacing w:line="360" w:lineRule="auto"/>
              <w:jc w:val="both"/>
              <w:rPr>
                <w:sz w:val="22"/>
                <w:szCs w:val="22"/>
              </w:rPr>
            </w:pPr>
            <w:r>
              <w:rPr>
                <w:sz w:val="22"/>
                <w:szCs w:val="22"/>
              </w:rPr>
              <w:t>Reference</w:t>
            </w:r>
          </w:p>
        </w:tc>
      </w:tr>
      <w:tr w:rsidR="00D96307" w14:paraId="55AF1199" w14:textId="77777777" w:rsidTr="00905D0E">
        <w:tc>
          <w:tcPr>
            <w:tcW w:w="1002" w:type="dxa"/>
            <w:tcBorders>
              <w:top w:val="single" w:sz="4" w:space="0" w:color="auto"/>
              <w:left w:val="single" w:sz="4" w:space="0" w:color="auto"/>
              <w:bottom w:val="single" w:sz="4" w:space="0" w:color="auto"/>
              <w:right w:val="single" w:sz="4" w:space="0" w:color="auto"/>
            </w:tcBorders>
          </w:tcPr>
          <w:p w14:paraId="14379DD2" w14:textId="77777777" w:rsidR="00D96307" w:rsidRDefault="00D96307" w:rsidP="00905D0E">
            <w:pPr>
              <w:spacing w:line="360" w:lineRule="auto"/>
              <w:jc w:val="both"/>
              <w:rPr>
                <w:sz w:val="22"/>
                <w:szCs w:val="22"/>
              </w:rPr>
            </w:pPr>
            <w:r>
              <w:rPr>
                <w:sz w:val="22"/>
                <w:szCs w:val="22"/>
              </w:rPr>
              <w:t>1.</w:t>
            </w:r>
          </w:p>
        </w:tc>
        <w:tc>
          <w:tcPr>
            <w:tcW w:w="1834" w:type="dxa"/>
            <w:tcBorders>
              <w:top w:val="single" w:sz="4" w:space="0" w:color="auto"/>
              <w:left w:val="single" w:sz="4" w:space="0" w:color="auto"/>
              <w:bottom w:val="single" w:sz="4" w:space="0" w:color="auto"/>
              <w:right w:val="single" w:sz="4" w:space="0" w:color="auto"/>
            </w:tcBorders>
          </w:tcPr>
          <w:p w14:paraId="34AE2CD3" w14:textId="77777777" w:rsidR="00D96307" w:rsidRDefault="00D96307" w:rsidP="00905D0E">
            <w:pPr>
              <w:spacing w:line="360" w:lineRule="auto"/>
              <w:jc w:val="both"/>
              <w:rPr>
                <w:b/>
                <w:bCs/>
                <w:sz w:val="22"/>
                <w:szCs w:val="22"/>
              </w:rPr>
            </w:pPr>
            <w:r>
              <w:rPr>
                <w:b/>
                <w:bCs/>
                <w:sz w:val="22"/>
                <w:szCs w:val="22"/>
              </w:rPr>
              <w:t>CPV2a(FP)</w:t>
            </w:r>
          </w:p>
        </w:tc>
        <w:tc>
          <w:tcPr>
            <w:tcW w:w="3696" w:type="dxa"/>
            <w:tcBorders>
              <w:top w:val="single" w:sz="4" w:space="0" w:color="auto"/>
              <w:left w:val="single" w:sz="4" w:space="0" w:color="auto"/>
              <w:bottom w:val="single" w:sz="4" w:space="0" w:color="auto"/>
              <w:right w:val="single" w:sz="4" w:space="0" w:color="auto"/>
            </w:tcBorders>
          </w:tcPr>
          <w:p w14:paraId="18FA6296" w14:textId="77777777" w:rsidR="00D96307" w:rsidRDefault="00D96307" w:rsidP="00905D0E">
            <w:pPr>
              <w:spacing w:line="360" w:lineRule="auto"/>
              <w:jc w:val="both"/>
              <w:rPr>
                <w:sz w:val="22"/>
                <w:szCs w:val="22"/>
              </w:rPr>
            </w:pPr>
            <w:r>
              <w:rPr>
                <w:sz w:val="22"/>
                <w:szCs w:val="22"/>
              </w:rPr>
              <w:t>AGAGCATTGGGCTTACCACC</w:t>
            </w:r>
          </w:p>
        </w:tc>
        <w:tc>
          <w:tcPr>
            <w:tcW w:w="1123" w:type="dxa"/>
            <w:tcBorders>
              <w:top w:val="single" w:sz="4" w:space="0" w:color="auto"/>
              <w:left w:val="single" w:sz="4" w:space="0" w:color="auto"/>
              <w:bottom w:val="single" w:sz="4" w:space="0" w:color="auto"/>
              <w:right w:val="single" w:sz="4" w:space="0" w:color="auto"/>
            </w:tcBorders>
          </w:tcPr>
          <w:p w14:paraId="58A4D65A" w14:textId="77777777" w:rsidR="00D96307" w:rsidRDefault="00D96307" w:rsidP="00905D0E">
            <w:pPr>
              <w:spacing w:line="360" w:lineRule="auto"/>
              <w:jc w:val="both"/>
              <w:rPr>
                <w:sz w:val="22"/>
                <w:szCs w:val="22"/>
              </w:rPr>
            </w:pPr>
            <w:r>
              <w:rPr>
                <w:sz w:val="22"/>
                <w:szCs w:val="22"/>
              </w:rPr>
              <w:t>379 bp</w:t>
            </w:r>
          </w:p>
        </w:tc>
        <w:tc>
          <w:tcPr>
            <w:tcW w:w="1843" w:type="dxa"/>
            <w:tcBorders>
              <w:top w:val="single" w:sz="4" w:space="0" w:color="auto"/>
              <w:left w:val="single" w:sz="4" w:space="0" w:color="auto"/>
              <w:bottom w:val="single" w:sz="4" w:space="0" w:color="auto"/>
              <w:right w:val="single" w:sz="4" w:space="0" w:color="auto"/>
            </w:tcBorders>
          </w:tcPr>
          <w:p w14:paraId="46C02DEF" w14:textId="77777777" w:rsidR="00D96307" w:rsidRDefault="00D96307" w:rsidP="00905D0E">
            <w:pPr>
              <w:spacing w:line="360" w:lineRule="auto"/>
              <w:jc w:val="both"/>
              <w:rPr>
                <w:sz w:val="22"/>
                <w:szCs w:val="22"/>
              </w:rPr>
            </w:pPr>
            <w:r>
              <w:rPr>
                <w:sz w:val="22"/>
                <w:szCs w:val="22"/>
              </w:rPr>
              <w:t xml:space="preserve">Kaur </w:t>
            </w:r>
            <w:r>
              <w:rPr>
                <w:i/>
                <w:iCs/>
                <w:sz w:val="22"/>
                <w:szCs w:val="22"/>
              </w:rPr>
              <w:t>et al.,</w:t>
            </w:r>
            <w:r>
              <w:rPr>
                <w:sz w:val="22"/>
                <w:szCs w:val="22"/>
              </w:rPr>
              <w:t xml:space="preserve"> 2014</w:t>
            </w:r>
          </w:p>
        </w:tc>
      </w:tr>
      <w:tr w:rsidR="00D96307" w14:paraId="094A2094" w14:textId="77777777" w:rsidTr="00905D0E">
        <w:tc>
          <w:tcPr>
            <w:tcW w:w="1002" w:type="dxa"/>
            <w:tcBorders>
              <w:top w:val="single" w:sz="4" w:space="0" w:color="auto"/>
              <w:left w:val="single" w:sz="4" w:space="0" w:color="auto"/>
              <w:bottom w:val="single" w:sz="4" w:space="0" w:color="auto"/>
              <w:right w:val="single" w:sz="4" w:space="0" w:color="auto"/>
            </w:tcBorders>
          </w:tcPr>
          <w:p w14:paraId="38430A60" w14:textId="77777777" w:rsidR="00D96307" w:rsidRDefault="00D96307" w:rsidP="00905D0E">
            <w:pPr>
              <w:spacing w:line="360" w:lineRule="auto"/>
              <w:jc w:val="both"/>
              <w:rPr>
                <w:sz w:val="22"/>
                <w:szCs w:val="22"/>
              </w:rPr>
            </w:pPr>
          </w:p>
        </w:tc>
        <w:tc>
          <w:tcPr>
            <w:tcW w:w="1834" w:type="dxa"/>
            <w:tcBorders>
              <w:top w:val="single" w:sz="4" w:space="0" w:color="auto"/>
              <w:left w:val="single" w:sz="4" w:space="0" w:color="auto"/>
              <w:bottom w:val="single" w:sz="4" w:space="0" w:color="auto"/>
              <w:right w:val="single" w:sz="4" w:space="0" w:color="auto"/>
            </w:tcBorders>
          </w:tcPr>
          <w:p w14:paraId="7EF1DF03" w14:textId="77777777" w:rsidR="00D96307" w:rsidRDefault="00D96307" w:rsidP="00905D0E">
            <w:pPr>
              <w:spacing w:line="360" w:lineRule="auto"/>
              <w:jc w:val="both"/>
              <w:rPr>
                <w:b/>
                <w:bCs/>
                <w:sz w:val="22"/>
                <w:szCs w:val="22"/>
              </w:rPr>
            </w:pPr>
            <w:r>
              <w:rPr>
                <w:b/>
                <w:bCs/>
                <w:sz w:val="22"/>
                <w:szCs w:val="22"/>
              </w:rPr>
              <w:t>CPV2a(RP)</w:t>
            </w:r>
          </w:p>
        </w:tc>
        <w:tc>
          <w:tcPr>
            <w:tcW w:w="3696" w:type="dxa"/>
            <w:tcBorders>
              <w:top w:val="single" w:sz="4" w:space="0" w:color="auto"/>
              <w:left w:val="single" w:sz="4" w:space="0" w:color="auto"/>
              <w:bottom w:val="single" w:sz="4" w:space="0" w:color="auto"/>
              <w:right w:val="single" w:sz="4" w:space="0" w:color="auto"/>
            </w:tcBorders>
          </w:tcPr>
          <w:p w14:paraId="200563A3" w14:textId="77777777" w:rsidR="00D96307" w:rsidRDefault="00D96307" w:rsidP="00905D0E">
            <w:pPr>
              <w:spacing w:line="360" w:lineRule="auto"/>
              <w:jc w:val="both"/>
              <w:rPr>
                <w:sz w:val="22"/>
                <w:szCs w:val="22"/>
              </w:rPr>
            </w:pPr>
            <w:r>
              <w:rPr>
                <w:sz w:val="22"/>
                <w:szCs w:val="22"/>
              </w:rPr>
              <w:t>ATCTTCCTGTATCTTGATGTGCT</w:t>
            </w:r>
          </w:p>
        </w:tc>
        <w:tc>
          <w:tcPr>
            <w:tcW w:w="1123" w:type="dxa"/>
            <w:tcBorders>
              <w:top w:val="single" w:sz="4" w:space="0" w:color="auto"/>
              <w:left w:val="single" w:sz="4" w:space="0" w:color="auto"/>
              <w:bottom w:val="single" w:sz="4" w:space="0" w:color="auto"/>
              <w:right w:val="single" w:sz="4" w:space="0" w:color="auto"/>
            </w:tcBorders>
          </w:tcPr>
          <w:p w14:paraId="09CC2D20" w14:textId="77777777" w:rsidR="00D96307" w:rsidRDefault="00D96307" w:rsidP="00905D0E">
            <w:pPr>
              <w:spacing w:line="360" w:lineRule="auto"/>
              <w:jc w:val="both"/>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8EBCDFB" w14:textId="77777777" w:rsidR="00D96307" w:rsidRDefault="00D96307" w:rsidP="00905D0E">
            <w:pPr>
              <w:spacing w:line="360" w:lineRule="auto"/>
              <w:jc w:val="both"/>
              <w:rPr>
                <w:sz w:val="22"/>
                <w:szCs w:val="22"/>
              </w:rPr>
            </w:pPr>
          </w:p>
        </w:tc>
      </w:tr>
      <w:tr w:rsidR="00D96307" w14:paraId="771AFFD3" w14:textId="77777777" w:rsidTr="00905D0E">
        <w:tc>
          <w:tcPr>
            <w:tcW w:w="1002" w:type="dxa"/>
            <w:tcBorders>
              <w:top w:val="single" w:sz="4" w:space="0" w:color="auto"/>
              <w:left w:val="single" w:sz="4" w:space="0" w:color="auto"/>
              <w:bottom w:val="single" w:sz="4" w:space="0" w:color="auto"/>
              <w:right w:val="single" w:sz="4" w:space="0" w:color="auto"/>
            </w:tcBorders>
          </w:tcPr>
          <w:p w14:paraId="7BD0941F" w14:textId="77777777" w:rsidR="00D96307" w:rsidRDefault="00D96307" w:rsidP="00905D0E">
            <w:pPr>
              <w:spacing w:line="360" w:lineRule="auto"/>
              <w:jc w:val="both"/>
              <w:rPr>
                <w:sz w:val="22"/>
                <w:szCs w:val="22"/>
              </w:rPr>
            </w:pPr>
            <w:r>
              <w:rPr>
                <w:sz w:val="22"/>
                <w:szCs w:val="22"/>
              </w:rPr>
              <w:t>2.</w:t>
            </w:r>
          </w:p>
        </w:tc>
        <w:tc>
          <w:tcPr>
            <w:tcW w:w="1834" w:type="dxa"/>
            <w:tcBorders>
              <w:top w:val="single" w:sz="4" w:space="0" w:color="auto"/>
              <w:left w:val="single" w:sz="4" w:space="0" w:color="auto"/>
              <w:bottom w:val="single" w:sz="4" w:space="0" w:color="auto"/>
              <w:right w:val="single" w:sz="4" w:space="0" w:color="auto"/>
            </w:tcBorders>
          </w:tcPr>
          <w:p w14:paraId="0BCF589C" w14:textId="77777777" w:rsidR="00D96307" w:rsidRDefault="00D96307" w:rsidP="00905D0E">
            <w:pPr>
              <w:spacing w:line="360" w:lineRule="auto"/>
              <w:jc w:val="both"/>
              <w:rPr>
                <w:b/>
                <w:bCs/>
                <w:sz w:val="22"/>
                <w:szCs w:val="22"/>
              </w:rPr>
            </w:pPr>
            <w:r>
              <w:rPr>
                <w:b/>
                <w:bCs/>
                <w:sz w:val="22"/>
                <w:szCs w:val="22"/>
              </w:rPr>
              <w:t>CPV2b(FP)</w:t>
            </w:r>
          </w:p>
        </w:tc>
        <w:tc>
          <w:tcPr>
            <w:tcW w:w="3696" w:type="dxa"/>
            <w:tcBorders>
              <w:top w:val="single" w:sz="4" w:space="0" w:color="auto"/>
              <w:left w:val="single" w:sz="4" w:space="0" w:color="auto"/>
              <w:bottom w:val="single" w:sz="4" w:space="0" w:color="auto"/>
              <w:right w:val="single" w:sz="4" w:space="0" w:color="auto"/>
            </w:tcBorders>
          </w:tcPr>
          <w:p w14:paraId="2C870901" w14:textId="77777777" w:rsidR="00D96307" w:rsidRDefault="00D96307" w:rsidP="00905D0E">
            <w:pPr>
              <w:spacing w:line="360" w:lineRule="auto"/>
              <w:jc w:val="both"/>
              <w:rPr>
                <w:sz w:val="22"/>
                <w:szCs w:val="22"/>
              </w:rPr>
            </w:pPr>
            <w:r>
              <w:rPr>
                <w:sz w:val="22"/>
                <w:szCs w:val="22"/>
              </w:rPr>
              <w:t>CTTTAACCTTCCTGTAACAG</w:t>
            </w:r>
          </w:p>
        </w:tc>
        <w:tc>
          <w:tcPr>
            <w:tcW w:w="1123" w:type="dxa"/>
            <w:tcBorders>
              <w:top w:val="single" w:sz="4" w:space="0" w:color="auto"/>
              <w:left w:val="single" w:sz="4" w:space="0" w:color="auto"/>
              <w:bottom w:val="single" w:sz="4" w:space="0" w:color="auto"/>
              <w:right w:val="single" w:sz="4" w:space="0" w:color="auto"/>
            </w:tcBorders>
          </w:tcPr>
          <w:p w14:paraId="537124E8" w14:textId="77777777" w:rsidR="00D96307" w:rsidRDefault="00D96307" w:rsidP="00905D0E">
            <w:pPr>
              <w:spacing w:line="360" w:lineRule="auto"/>
              <w:jc w:val="both"/>
              <w:rPr>
                <w:sz w:val="22"/>
                <w:szCs w:val="22"/>
              </w:rPr>
            </w:pPr>
            <w:r>
              <w:rPr>
                <w:sz w:val="22"/>
                <w:szCs w:val="22"/>
              </w:rPr>
              <w:t>427 bp</w:t>
            </w:r>
          </w:p>
        </w:tc>
        <w:tc>
          <w:tcPr>
            <w:tcW w:w="1843" w:type="dxa"/>
            <w:tcBorders>
              <w:top w:val="single" w:sz="4" w:space="0" w:color="auto"/>
              <w:left w:val="single" w:sz="4" w:space="0" w:color="auto"/>
              <w:bottom w:val="single" w:sz="4" w:space="0" w:color="auto"/>
              <w:right w:val="single" w:sz="4" w:space="0" w:color="auto"/>
            </w:tcBorders>
          </w:tcPr>
          <w:p w14:paraId="36A1C54E" w14:textId="77777777" w:rsidR="00D96307" w:rsidRDefault="00D96307" w:rsidP="00905D0E">
            <w:pPr>
              <w:spacing w:line="360" w:lineRule="auto"/>
              <w:jc w:val="both"/>
              <w:rPr>
                <w:sz w:val="22"/>
                <w:szCs w:val="22"/>
              </w:rPr>
            </w:pPr>
            <w:proofErr w:type="spellStart"/>
            <w:r>
              <w:rPr>
                <w:sz w:val="22"/>
                <w:szCs w:val="22"/>
              </w:rPr>
              <w:t>Peraira</w:t>
            </w:r>
            <w:proofErr w:type="spellEnd"/>
            <w:r>
              <w:rPr>
                <w:sz w:val="22"/>
                <w:szCs w:val="22"/>
              </w:rPr>
              <w:t xml:space="preserve"> </w:t>
            </w:r>
            <w:r>
              <w:rPr>
                <w:i/>
                <w:iCs/>
                <w:sz w:val="22"/>
                <w:szCs w:val="22"/>
              </w:rPr>
              <w:t>et al.,</w:t>
            </w:r>
            <w:r>
              <w:rPr>
                <w:sz w:val="22"/>
                <w:szCs w:val="22"/>
              </w:rPr>
              <w:t>2000</w:t>
            </w:r>
          </w:p>
        </w:tc>
      </w:tr>
      <w:tr w:rsidR="00D96307" w14:paraId="57F91EA2" w14:textId="77777777" w:rsidTr="00905D0E">
        <w:tc>
          <w:tcPr>
            <w:tcW w:w="1002" w:type="dxa"/>
            <w:tcBorders>
              <w:top w:val="single" w:sz="4" w:space="0" w:color="auto"/>
              <w:left w:val="single" w:sz="4" w:space="0" w:color="auto"/>
              <w:bottom w:val="single" w:sz="4" w:space="0" w:color="auto"/>
              <w:right w:val="single" w:sz="4" w:space="0" w:color="auto"/>
            </w:tcBorders>
          </w:tcPr>
          <w:p w14:paraId="61D52E39" w14:textId="77777777" w:rsidR="00D96307" w:rsidRDefault="00D96307" w:rsidP="00905D0E">
            <w:pPr>
              <w:spacing w:line="360" w:lineRule="auto"/>
              <w:jc w:val="both"/>
              <w:rPr>
                <w:sz w:val="22"/>
                <w:szCs w:val="22"/>
              </w:rPr>
            </w:pPr>
          </w:p>
        </w:tc>
        <w:tc>
          <w:tcPr>
            <w:tcW w:w="1834" w:type="dxa"/>
            <w:tcBorders>
              <w:top w:val="single" w:sz="4" w:space="0" w:color="auto"/>
              <w:left w:val="single" w:sz="4" w:space="0" w:color="auto"/>
              <w:bottom w:val="single" w:sz="4" w:space="0" w:color="auto"/>
              <w:right w:val="single" w:sz="4" w:space="0" w:color="auto"/>
            </w:tcBorders>
          </w:tcPr>
          <w:p w14:paraId="4A5B2230" w14:textId="77777777" w:rsidR="00D96307" w:rsidRDefault="00D96307" w:rsidP="00905D0E">
            <w:pPr>
              <w:spacing w:line="360" w:lineRule="auto"/>
              <w:jc w:val="both"/>
              <w:rPr>
                <w:b/>
                <w:bCs/>
                <w:sz w:val="22"/>
                <w:szCs w:val="22"/>
              </w:rPr>
            </w:pPr>
            <w:r>
              <w:rPr>
                <w:b/>
                <w:bCs/>
                <w:sz w:val="22"/>
                <w:szCs w:val="22"/>
              </w:rPr>
              <w:t>CPV2b(RP)</w:t>
            </w:r>
          </w:p>
        </w:tc>
        <w:tc>
          <w:tcPr>
            <w:tcW w:w="3696" w:type="dxa"/>
            <w:tcBorders>
              <w:top w:val="single" w:sz="4" w:space="0" w:color="auto"/>
              <w:left w:val="single" w:sz="4" w:space="0" w:color="auto"/>
              <w:bottom w:val="single" w:sz="4" w:space="0" w:color="auto"/>
              <w:right w:val="single" w:sz="4" w:space="0" w:color="auto"/>
            </w:tcBorders>
          </w:tcPr>
          <w:p w14:paraId="253B7158" w14:textId="77777777" w:rsidR="00D96307" w:rsidRDefault="00D96307" w:rsidP="00905D0E">
            <w:pPr>
              <w:spacing w:line="360" w:lineRule="auto"/>
              <w:jc w:val="both"/>
              <w:rPr>
                <w:sz w:val="22"/>
                <w:szCs w:val="22"/>
              </w:rPr>
            </w:pPr>
            <w:r>
              <w:rPr>
                <w:sz w:val="22"/>
                <w:szCs w:val="22"/>
              </w:rPr>
              <w:t>CATAGTTAAATTGGTTATCTAC</w:t>
            </w:r>
          </w:p>
        </w:tc>
        <w:tc>
          <w:tcPr>
            <w:tcW w:w="1123" w:type="dxa"/>
            <w:tcBorders>
              <w:top w:val="single" w:sz="4" w:space="0" w:color="auto"/>
              <w:left w:val="single" w:sz="4" w:space="0" w:color="auto"/>
              <w:bottom w:val="single" w:sz="4" w:space="0" w:color="auto"/>
              <w:right w:val="single" w:sz="4" w:space="0" w:color="auto"/>
            </w:tcBorders>
          </w:tcPr>
          <w:p w14:paraId="7477F1A4" w14:textId="77777777" w:rsidR="00D96307" w:rsidRDefault="00D96307" w:rsidP="00905D0E">
            <w:pPr>
              <w:spacing w:line="360" w:lineRule="auto"/>
              <w:jc w:val="both"/>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87E1504" w14:textId="77777777" w:rsidR="00D96307" w:rsidRDefault="00D96307" w:rsidP="00905D0E">
            <w:pPr>
              <w:spacing w:line="360" w:lineRule="auto"/>
              <w:jc w:val="both"/>
              <w:rPr>
                <w:sz w:val="22"/>
                <w:szCs w:val="22"/>
              </w:rPr>
            </w:pPr>
          </w:p>
        </w:tc>
      </w:tr>
      <w:tr w:rsidR="00D96307" w14:paraId="4BC988E2" w14:textId="77777777" w:rsidTr="00905D0E">
        <w:tc>
          <w:tcPr>
            <w:tcW w:w="1002" w:type="dxa"/>
            <w:tcBorders>
              <w:top w:val="single" w:sz="4" w:space="0" w:color="auto"/>
              <w:left w:val="single" w:sz="4" w:space="0" w:color="auto"/>
              <w:bottom w:val="single" w:sz="4" w:space="0" w:color="auto"/>
              <w:right w:val="single" w:sz="4" w:space="0" w:color="auto"/>
            </w:tcBorders>
          </w:tcPr>
          <w:p w14:paraId="0B190113" w14:textId="77777777" w:rsidR="00D96307" w:rsidRDefault="00D96307" w:rsidP="00905D0E">
            <w:pPr>
              <w:spacing w:line="360" w:lineRule="auto"/>
              <w:jc w:val="both"/>
              <w:rPr>
                <w:sz w:val="22"/>
                <w:szCs w:val="22"/>
              </w:rPr>
            </w:pPr>
            <w:r>
              <w:rPr>
                <w:sz w:val="22"/>
                <w:szCs w:val="22"/>
              </w:rPr>
              <w:t>3.</w:t>
            </w:r>
          </w:p>
        </w:tc>
        <w:tc>
          <w:tcPr>
            <w:tcW w:w="1834" w:type="dxa"/>
            <w:tcBorders>
              <w:top w:val="single" w:sz="4" w:space="0" w:color="auto"/>
              <w:left w:val="single" w:sz="4" w:space="0" w:color="auto"/>
              <w:bottom w:val="single" w:sz="4" w:space="0" w:color="auto"/>
              <w:right w:val="single" w:sz="4" w:space="0" w:color="auto"/>
            </w:tcBorders>
          </w:tcPr>
          <w:p w14:paraId="594AEFAC" w14:textId="77777777" w:rsidR="00D96307" w:rsidRDefault="00D96307" w:rsidP="00905D0E">
            <w:pPr>
              <w:spacing w:line="360" w:lineRule="auto"/>
              <w:jc w:val="both"/>
              <w:rPr>
                <w:b/>
                <w:bCs/>
                <w:sz w:val="22"/>
                <w:szCs w:val="22"/>
              </w:rPr>
            </w:pPr>
            <w:r>
              <w:rPr>
                <w:b/>
                <w:bCs/>
                <w:sz w:val="22"/>
                <w:szCs w:val="22"/>
              </w:rPr>
              <w:t>CPV2c(FP)</w:t>
            </w:r>
          </w:p>
        </w:tc>
        <w:tc>
          <w:tcPr>
            <w:tcW w:w="3696" w:type="dxa"/>
            <w:tcBorders>
              <w:top w:val="single" w:sz="4" w:space="0" w:color="auto"/>
              <w:left w:val="single" w:sz="4" w:space="0" w:color="auto"/>
              <w:bottom w:val="single" w:sz="4" w:space="0" w:color="auto"/>
              <w:right w:val="single" w:sz="4" w:space="0" w:color="auto"/>
            </w:tcBorders>
          </w:tcPr>
          <w:p w14:paraId="2AD9750C" w14:textId="77777777" w:rsidR="00D96307" w:rsidRDefault="00D96307" w:rsidP="00905D0E">
            <w:pPr>
              <w:spacing w:line="360" w:lineRule="auto"/>
              <w:jc w:val="both"/>
              <w:rPr>
                <w:sz w:val="22"/>
                <w:szCs w:val="22"/>
              </w:rPr>
            </w:pPr>
            <w:r>
              <w:rPr>
                <w:sz w:val="22"/>
                <w:szCs w:val="22"/>
              </w:rPr>
              <w:t>GTGGTTCTGGGGGTGTGG</w:t>
            </w:r>
          </w:p>
        </w:tc>
        <w:tc>
          <w:tcPr>
            <w:tcW w:w="1123" w:type="dxa"/>
            <w:tcBorders>
              <w:top w:val="single" w:sz="4" w:space="0" w:color="auto"/>
              <w:left w:val="single" w:sz="4" w:space="0" w:color="auto"/>
              <w:bottom w:val="single" w:sz="4" w:space="0" w:color="auto"/>
              <w:right w:val="single" w:sz="4" w:space="0" w:color="auto"/>
            </w:tcBorders>
          </w:tcPr>
          <w:p w14:paraId="736C25D9" w14:textId="77777777" w:rsidR="00D96307" w:rsidRDefault="00D96307" w:rsidP="00905D0E">
            <w:pPr>
              <w:spacing w:line="360" w:lineRule="auto"/>
              <w:jc w:val="both"/>
              <w:rPr>
                <w:sz w:val="22"/>
                <w:szCs w:val="22"/>
              </w:rPr>
            </w:pPr>
            <w:r>
              <w:rPr>
                <w:sz w:val="22"/>
                <w:szCs w:val="22"/>
              </w:rPr>
              <w:t>479 bp</w:t>
            </w:r>
          </w:p>
        </w:tc>
        <w:tc>
          <w:tcPr>
            <w:tcW w:w="1843" w:type="dxa"/>
            <w:tcBorders>
              <w:top w:val="single" w:sz="4" w:space="0" w:color="auto"/>
              <w:left w:val="single" w:sz="4" w:space="0" w:color="auto"/>
              <w:bottom w:val="single" w:sz="4" w:space="0" w:color="auto"/>
              <w:right w:val="single" w:sz="4" w:space="0" w:color="auto"/>
            </w:tcBorders>
          </w:tcPr>
          <w:p w14:paraId="16F4E388" w14:textId="77777777" w:rsidR="00D96307" w:rsidRDefault="00D96307" w:rsidP="00905D0E">
            <w:pPr>
              <w:spacing w:line="360" w:lineRule="auto"/>
              <w:jc w:val="both"/>
              <w:rPr>
                <w:sz w:val="22"/>
                <w:szCs w:val="22"/>
              </w:rPr>
            </w:pPr>
            <w:r>
              <w:rPr>
                <w:sz w:val="22"/>
                <w:szCs w:val="22"/>
              </w:rPr>
              <w:t xml:space="preserve">Kaur </w:t>
            </w:r>
            <w:r>
              <w:rPr>
                <w:i/>
                <w:iCs/>
                <w:sz w:val="22"/>
                <w:szCs w:val="22"/>
              </w:rPr>
              <w:t>et al.,</w:t>
            </w:r>
            <w:r>
              <w:rPr>
                <w:sz w:val="22"/>
                <w:szCs w:val="22"/>
              </w:rPr>
              <w:t xml:space="preserve"> 2014</w:t>
            </w:r>
          </w:p>
        </w:tc>
      </w:tr>
      <w:tr w:rsidR="00D96307" w14:paraId="5D554B23" w14:textId="77777777" w:rsidTr="00905D0E">
        <w:tc>
          <w:tcPr>
            <w:tcW w:w="1002" w:type="dxa"/>
            <w:tcBorders>
              <w:top w:val="single" w:sz="4" w:space="0" w:color="auto"/>
              <w:left w:val="single" w:sz="4" w:space="0" w:color="auto"/>
              <w:bottom w:val="single" w:sz="4" w:space="0" w:color="auto"/>
              <w:right w:val="single" w:sz="4" w:space="0" w:color="auto"/>
            </w:tcBorders>
          </w:tcPr>
          <w:p w14:paraId="0D9533F3" w14:textId="77777777" w:rsidR="00D96307" w:rsidRDefault="00D96307" w:rsidP="00905D0E">
            <w:pPr>
              <w:spacing w:line="360" w:lineRule="auto"/>
              <w:jc w:val="both"/>
              <w:rPr>
                <w:sz w:val="22"/>
                <w:szCs w:val="22"/>
              </w:rPr>
            </w:pPr>
          </w:p>
        </w:tc>
        <w:tc>
          <w:tcPr>
            <w:tcW w:w="1834" w:type="dxa"/>
            <w:tcBorders>
              <w:top w:val="single" w:sz="4" w:space="0" w:color="auto"/>
              <w:left w:val="single" w:sz="4" w:space="0" w:color="auto"/>
              <w:bottom w:val="single" w:sz="4" w:space="0" w:color="auto"/>
              <w:right w:val="single" w:sz="4" w:space="0" w:color="auto"/>
            </w:tcBorders>
          </w:tcPr>
          <w:p w14:paraId="2FF6AFB2" w14:textId="77777777" w:rsidR="00D96307" w:rsidRDefault="00D96307" w:rsidP="00905D0E">
            <w:pPr>
              <w:spacing w:line="360" w:lineRule="auto"/>
              <w:jc w:val="both"/>
              <w:rPr>
                <w:b/>
                <w:bCs/>
                <w:sz w:val="22"/>
                <w:szCs w:val="22"/>
              </w:rPr>
            </w:pPr>
            <w:r>
              <w:rPr>
                <w:b/>
                <w:bCs/>
                <w:sz w:val="22"/>
                <w:szCs w:val="22"/>
              </w:rPr>
              <w:t>CPV2c(RP)</w:t>
            </w:r>
          </w:p>
        </w:tc>
        <w:tc>
          <w:tcPr>
            <w:tcW w:w="3696" w:type="dxa"/>
            <w:tcBorders>
              <w:top w:val="single" w:sz="4" w:space="0" w:color="auto"/>
              <w:left w:val="single" w:sz="4" w:space="0" w:color="auto"/>
              <w:bottom w:val="single" w:sz="4" w:space="0" w:color="auto"/>
              <w:right w:val="single" w:sz="4" w:space="0" w:color="auto"/>
            </w:tcBorders>
          </w:tcPr>
          <w:p w14:paraId="25BEFEE8" w14:textId="77777777" w:rsidR="00D96307" w:rsidRDefault="00D96307" w:rsidP="00905D0E">
            <w:pPr>
              <w:spacing w:line="360" w:lineRule="auto"/>
              <w:jc w:val="both"/>
              <w:rPr>
                <w:sz w:val="22"/>
                <w:szCs w:val="22"/>
              </w:rPr>
            </w:pPr>
            <w:r>
              <w:rPr>
                <w:sz w:val="22"/>
                <w:szCs w:val="22"/>
              </w:rPr>
              <w:t>AGCTGCTGGAGTAAATGGCA</w:t>
            </w:r>
          </w:p>
        </w:tc>
        <w:tc>
          <w:tcPr>
            <w:tcW w:w="1123" w:type="dxa"/>
            <w:tcBorders>
              <w:top w:val="single" w:sz="4" w:space="0" w:color="auto"/>
              <w:left w:val="single" w:sz="4" w:space="0" w:color="auto"/>
              <w:bottom w:val="single" w:sz="4" w:space="0" w:color="auto"/>
              <w:right w:val="single" w:sz="4" w:space="0" w:color="auto"/>
            </w:tcBorders>
          </w:tcPr>
          <w:p w14:paraId="2B45C973" w14:textId="77777777" w:rsidR="00D96307" w:rsidRDefault="00D96307" w:rsidP="00905D0E">
            <w:pPr>
              <w:spacing w:line="360" w:lineRule="auto"/>
              <w:jc w:val="both"/>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F4DF8FA" w14:textId="77777777" w:rsidR="00D96307" w:rsidRDefault="00D96307" w:rsidP="00905D0E">
            <w:pPr>
              <w:spacing w:line="360" w:lineRule="auto"/>
              <w:jc w:val="both"/>
              <w:rPr>
                <w:sz w:val="22"/>
                <w:szCs w:val="22"/>
              </w:rPr>
            </w:pPr>
          </w:p>
        </w:tc>
      </w:tr>
    </w:tbl>
    <w:p w14:paraId="53647072" w14:textId="41CCEFBD" w:rsidR="00D96307" w:rsidRDefault="00D96307" w:rsidP="00D96307">
      <w:pPr>
        <w:pStyle w:val="NormalWeb"/>
        <w:spacing w:line="360" w:lineRule="auto"/>
        <w:rPr>
          <w:color w:val="000000"/>
        </w:rPr>
      </w:pPr>
      <w:r>
        <w:rPr>
          <w:color w:val="000000"/>
        </w:rPr>
        <w:t xml:space="preserve">                                            </w:t>
      </w:r>
      <w:r w:rsidRPr="00FD47AD">
        <w:rPr>
          <w:color w:val="000000"/>
        </w:rPr>
        <w:t>Table 1. Details of primers of VP2 gene</w:t>
      </w:r>
    </w:p>
    <w:p w14:paraId="5E6022A2" w14:textId="77777777" w:rsidR="00D96307" w:rsidRDefault="00D96307" w:rsidP="00D96307">
      <w:pPr>
        <w:pStyle w:val="NormalWeb"/>
        <w:spacing w:line="360" w:lineRule="auto"/>
        <w:jc w:val="center"/>
        <w:rPr>
          <w:color w:val="000000"/>
        </w:rPr>
      </w:pPr>
    </w:p>
    <w:p w14:paraId="02C1060F" w14:textId="64925F55" w:rsidR="00D96307" w:rsidRPr="00FD47AD" w:rsidRDefault="00D96307" w:rsidP="00D96307">
      <w:pPr>
        <w:pStyle w:val="NormalWeb"/>
        <w:spacing w:line="360" w:lineRule="auto"/>
        <w:jc w:val="center"/>
        <w:rPr>
          <w:color w:val="000000"/>
        </w:rPr>
      </w:pPr>
      <w:r w:rsidRPr="00FD47AD">
        <w:rPr>
          <w:color w:val="000000"/>
        </w:rPr>
        <w:t>Table 2. Thermocycler conditions</w:t>
      </w:r>
    </w:p>
    <w:tbl>
      <w:tblPr>
        <w:tblStyle w:val="TableGrid"/>
        <w:tblW w:w="9351" w:type="dxa"/>
        <w:tblLook w:val="04A0" w:firstRow="1" w:lastRow="0" w:firstColumn="1" w:lastColumn="0" w:noHBand="0" w:noVBand="1"/>
      </w:tblPr>
      <w:tblGrid>
        <w:gridCol w:w="837"/>
        <w:gridCol w:w="1965"/>
        <w:gridCol w:w="1694"/>
        <w:gridCol w:w="1735"/>
        <w:gridCol w:w="1463"/>
        <w:gridCol w:w="1657"/>
      </w:tblGrid>
      <w:tr w:rsidR="00D96307" w14:paraId="3EB039B7" w14:textId="77777777" w:rsidTr="00905D0E">
        <w:tc>
          <w:tcPr>
            <w:tcW w:w="837" w:type="dxa"/>
            <w:vAlign w:val="center"/>
          </w:tcPr>
          <w:p w14:paraId="4212135D" w14:textId="77777777" w:rsidR="00D96307" w:rsidRPr="00D96307" w:rsidRDefault="00D96307" w:rsidP="00905D0E">
            <w:pPr>
              <w:pStyle w:val="NormalWeb"/>
              <w:spacing w:line="360" w:lineRule="auto"/>
              <w:jc w:val="both"/>
              <w:rPr>
                <w:i w:val="0"/>
                <w:iCs w:val="0"/>
                <w:color w:val="000000"/>
              </w:rPr>
            </w:pPr>
            <w:r w:rsidRPr="00D96307">
              <w:rPr>
                <w:b/>
                <w:bCs/>
                <w:i w:val="0"/>
                <w:iCs w:val="0"/>
                <w:color w:val="000000"/>
                <w:sz w:val="22"/>
                <w:szCs w:val="22"/>
              </w:rPr>
              <w:t>Sr No.</w:t>
            </w:r>
          </w:p>
        </w:tc>
        <w:tc>
          <w:tcPr>
            <w:tcW w:w="1965" w:type="dxa"/>
            <w:vAlign w:val="center"/>
          </w:tcPr>
          <w:p w14:paraId="4A7DAD2E" w14:textId="77777777" w:rsidR="00D96307" w:rsidRPr="00D96307" w:rsidRDefault="00D96307" w:rsidP="00905D0E">
            <w:pPr>
              <w:pStyle w:val="NormalWeb"/>
              <w:spacing w:line="360" w:lineRule="auto"/>
              <w:jc w:val="both"/>
              <w:rPr>
                <w:i w:val="0"/>
                <w:iCs w:val="0"/>
                <w:color w:val="000000"/>
              </w:rPr>
            </w:pPr>
            <w:r w:rsidRPr="00D96307">
              <w:rPr>
                <w:b/>
                <w:bCs/>
                <w:i w:val="0"/>
                <w:iCs w:val="0"/>
                <w:color w:val="000000"/>
                <w:sz w:val="22"/>
                <w:szCs w:val="22"/>
              </w:rPr>
              <w:t>Steps</w:t>
            </w:r>
          </w:p>
        </w:tc>
        <w:tc>
          <w:tcPr>
            <w:tcW w:w="1694" w:type="dxa"/>
            <w:vAlign w:val="center"/>
          </w:tcPr>
          <w:p w14:paraId="526998BF" w14:textId="77777777" w:rsidR="00D96307" w:rsidRPr="00D96307" w:rsidRDefault="00D96307" w:rsidP="00905D0E">
            <w:pPr>
              <w:pStyle w:val="NormalWeb"/>
              <w:spacing w:line="360" w:lineRule="auto"/>
              <w:jc w:val="both"/>
              <w:rPr>
                <w:i w:val="0"/>
                <w:iCs w:val="0"/>
                <w:color w:val="000000"/>
              </w:rPr>
            </w:pPr>
            <w:r w:rsidRPr="00D96307">
              <w:rPr>
                <w:b/>
                <w:bCs/>
                <w:i w:val="0"/>
                <w:iCs w:val="0"/>
                <w:color w:val="000000"/>
                <w:sz w:val="22"/>
                <w:szCs w:val="22"/>
              </w:rPr>
              <w:t>Temperature (CPV-2a)</w:t>
            </w:r>
          </w:p>
        </w:tc>
        <w:tc>
          <w:tcPr>
            <w:tcW w:w="1735" w:type="dxa"/>
            <w:vAlign w:val="center"/>
          </w:tcPr>
          <w:p w14:paraId="3815CBD3" w14:textId="77777777" w:rsidR="00D96307" w:rsidRPr="00D96307" w:rsidRDefault="00D96307" w:rsidP="00905D0E">
            <w:pPr>
              <w:pStyle w:val="NormalWeb"/>
              <w:spacing w:line="360" w:lineRule="auto"/>
              <w:jc w:val="both"/>
              <w:rPr>
                <w:b/>
                <w:bCs/>
                <w:i w:val="0"/>
                <w:iCs w:val="0"/>
                <w:color w:val="000000"/>
                <w:sz w:val="22"/>
                <w:szCs w:val="22"/>
              </w:rPr>
            </w:pPr>
            <w:r w:rsidRPr="00D96307">
              <w:rPr>
                <w:b/>
                <w:bCs/>
                <w:i w:val="0"/>
                <w:iCs w:val="0"/>
                <w:color w:val="000000"/>
                <w:sz w:val="22"/>
                <w:szCs w:val="22"/>
              </w:rPr>
              <w:t>Temperature (CPV-2b)</w:t>
            </w:r>
          </w:p>
        </w:tc>
        <w:tc>
          <w:tcPr>
            <w:tcW w:w="1463" w:type="dxa"/>
            <w:vAlign w:val="center"/>
          </w:tcPr>
          <w:p w14:paraId="373941D5" w14:textId="77777777" w:rsidR="00D96307" w:rsidRPr="00D96307" w:rsidRDefault="00D96307" w:rsidP="00905D0E">
            <w:pPr>
              <w:pStyle w:val="NormalWeb"/>
              <w:spacing w:line="360" w:lineRule="auto"/>
              <w:jc w:val="both"/>
              <w:rPr>
                <w:i w:val="0"/>
                <w:iCs w:val="0"/>
                <w:color w:val="000000"/>
              </w:rPr>
            </w:pPr>
            <w:r w:rsidRPr="00D96307">
              <w:rPr>
                <w:b/>
                <w:bCs/>
                <w:i w:val="0"/>
                <w:iCs w:val="0"/>
                <w:color w:val="000000"/>
                <w:sz w:val="22"/>
                <w:szCs w:val="22"/>
              </w:rPr>
              <w:t>Temperature (CPV-2c)</w:t>
            </w:r>
          </w:p>
        </w:tc>
        <w:tc>
          <w:tcPr>
            <w:tcW w:w="1657" w:type="dxa"/>
            <w:vAlign w:val="center"/>
          </w:tcPr>
          <w:p w14:paraId="2A9F5C9A" w14:textId="77777777" w:rsidR="00D96307" w:rsidRPr="00D96307" w:rsidRDefault="00D96307" w:rsidP="00905D0E">
            <w:pPr>
              <w:pStyle w:val="NormalWeb"/>
              <w:spacing w:line="360" w:lineRule="auto"/>
              <w:jc w:val="both"/>
              <w:rPr>
                <w:i w:val="0"/>
                <w:iCs w:val="0"/>
                <w:color w:val="000000"/>
              </w:rPr>
            </w:pPr>
            <w:r w:rsidRPr="00D96307">
              <w:rPr>
                <w:b/>
                <w:bCs/>
                <w:i w:val="0"/>
                <w:iCs w:val="0"/>
                <w:color w:val="000000"/>
                <w:sz w:val="22"/>
                <w:szCs w:val="22"/>
              </w:rPr>
              <w:t>Time</w:t>
            </w:r>
          </w:p>
        </w:tc>
      </w:tr>
      <w:tr w:rsidR="00D96307" w14:paraId="016776E3" w14:textId="77777777" w:rsidTr="00905D0E">
        <w:tc>
          <w:tcPr>
            <w:tcW w:w="837" w:type="dxa"/>
            <w:vAlign w:val="center"/>
          </w:tcPr>
          <w:p w14:paraId="09A2FD0C" w14:textId="77777777" w:rsidR="00D96307" w:rsidRPr="00D96307" w:rsidRDefault="00D96307" w:rsidP="00905D0E">
            <w:pPr>
              <w:pStyle w:val="NormalWeb"/>
              <w:spacing w:line="360" w:lineRule="auto"/>
              <w:jc w:val="both"/>
              <w:rPr>
                <w:i w:val="0"/>
                <w:iCs w:val="0"/>
                <w:color w:val="000000"/>
              </w:rPr>
            </w:pPr>
            <w:r w:rsidRPr="00D96307">
              <w:rPr>
                <w:i w:val="0"/>
                <w:iCs w:val="0"/>
                <w:color w:val="000000"/>
                <w:sz w:val="22"/>
                <w:szCs w:val="22"/>
              </w:rPr>
              <w:t>1</w:t>
            </w:r>
          </w:p>
        </w:tc>
        <w:tc>
          <w:tcPr>
            <w:tcW w:w="1965" w:type="dxa"/>
            <w:vAlign w:val="center"/>
          </w:tcPr>
          <w:p w14:paraId="4CD2677C" w14:textId="77777777" w:rsidR="00D96307" w:rsidRPr="00D96307" w:rsidRDefault="00D96307" w:rsidP="00905D0E">
            <w:pPr>
              <w:pStyle w:val="NormalWeb"/>
              <w:spacing w:line="360" w:lineRule="auto"/>
              <w:jc w:val="both"/>
              <w:rPr>
                <w:i w:val="0"/>
                <w:iCs w:val="0"/>
                <w:color w:val="000000"/>
              </w:rPr>
            </w:pPr>
            <w:r w:rsidRPr="00D96307">
              <w:rPr>
                <w:i w:val="0"/>
                <w:iCs w:val="0"/>
                <w:color w:val="000000"/>
                <w:sz w:val="22"/>
                <w:szCs w:val="22"/>
              </w:rPr>
              <w:t>Initial Denaturation</w:t>
            </w:r>
          </w:p>
        </w:tc>
        <w:tc>
          <w:tcPr>
            <w:tcW w:w="1694" w:type="dxa"/>
            <w:vAlign w:val="center"/>
          </w:tcPr>
          <w:p w14:paraId="3ED8EDBE" w14:textId="77777777" w:rsidR="00D96307" w:rsidRPr="00D96307" w:rsidRDefault="00D96307" w:rsidP="00905D0E">
            <w:pPr>
              <w:pStyle w:val="NormalWeb"/>
              <w:spacing w:line="360" w:lineRule="auto"/>
              <w:jc w:val="both"/>
              <w:rPr>
                <w:i w:val="0"/>
                <w:iCs w:val="0"/>
                <w:color w:val="000000"/>
              </w:rPr>
            </w:pPr>
            <w:r w:rsidRPr="00D96307">
              <w:rPr>
                <w:i w:val="0"/>
                <w:iCs w:val="0"/>
                <w:color w:val="000000"/>
                <w:sz w:val="22"/>
                <w:szCs w:val="22"/>
              </w:rPr>
              <w:t>94°C</w:t>
            </w:r>
          </w:p>
        </w:tc>
        <w:tc>
          <w:tcPr>
            <w:tcW w:w="1735" w:type="dxa"/>
            <w:vAlign w:val="center"/>
          </w:tcPr>
          <w:p w14:paraId="232568DE" w14:textId="77777777" w:rsidR="00D96307" w:rsidRPr="00D96307" w:rsidRDefault="00D96307" w:rsidP="00905D0E">
            <w:pPr>
              <w:pStyle w:val="NormalWeb"/>
              <w:spacing w:line="360" w:lineRule="auto"/>
              <w:jc w:val="both"/>
              <w:rPr>
                <w:i w:val="0"/>
                <w:iCs w:val="0"/>
                <w:color w:val="000000"/>
              </w:rPr>
            </w:pPr>
            <w:r w:rsidRPr="00D96307">
              <w:rPr>
                <w:i w:val="0"/>
                <w:iCs w:val="0"/>
                <w:color w:val="000000"/>
                <w:sz w:val="22"/>
                <w:szCs w:val="22"/>
              </w:rPr>
              <w:t>95 °C</w:t>
            </w:r>
          </w:p>
        </w:tc>
        <w:tc>
          <w:tcPr>
            <w:tcW w:w="1463" w:type="dxa"/>
            <w:vAlign w:val="center"/>
          </w:tcPr>
          <w:p w14:paraId="6D34D421" w14:textId="77777777" w:rsidR="00D96307" w:rsidRPr="00D96307" w:rsidRDefault="00D96307" w:rsidP="00905D0E">
            <w:pPr>
              <w:pStyle w:val="NormalWeb"/>
              <w:spacing w:line="360" w:lineRule="auto"/>
              <w:jc w:val="both"/>
              <w:rPr>
                <w:i w:val="0"/>
                <w:iCs w:val="0"/>
                <w:color w:val="000000"/>
              </w:rPr>
            </w:pPr>
            <w:r w:rsidRPr="00D96307">
              <w:rPr>
                <w:i w:val="0"/>
                <w:iCs w:val="0"/>
                <w:color w:val="000000"/>
                <w:sz w:val="22"/>
                <w:szCs w:val="22"/>
              </w:rPr>
              <w:t>94 °C</w:t>
            </w:r>
          </w:p>
        </w:tc>
        <w:tc>
          <w:tcPr>
            <w:tcW w:w="1657" w:type="dxa"/>
            <w:vAlign w:val="center"/>
          </w:tcPr>
          <w:p w14:paraId="1EBADAC5" w14:textId="77777777" w:rsidR="00D96307" w:rsidRPr="00D96307" w:rsidRDefault="00D96307" w:rsidP="00905D0E">
            <w:pPr>
              <w:pStyle w:val="NormalWeb"/>
              <w:spacing w:line="360" w:lineRule="auto"/>
              <w:jc w:val="both"/>
              <w:rPr>
                <w:i w:val="0"/>
                <w:iCs w:val="0"/>
                <w:color w:val="000000"/>
              </w:rPr>
            </w:pPr>
            <w:r w:rsidRPr="00D96307">
              <w:rPr>
                <w:i w:val="0"/>
                <w:iCs w:val="0"/>
                <w:color w:val="000000"/>
                <w:sz w:val="22"/>
                <w:szCs w:val="22"/>
              </w:rPr>
              <w:t>5 Min</w:t>
            </w:r>
          </w:p>
        </w:tc>
      </w:tr>
      <w:tr w:rsidR="00D96307" w14:paraId="655485B5" w14:textId="77777777" w:rsidTr="00905D0E">
        <w:tc>
          <w:tcPr>
            <w:tcW w:w="837" w:type="dxa"/>
            <w:vAlign w:val="center"/>
          </w:tcPr>
          <w:p w14:paraId="7948823B" w14:textId="77777777" w:rsidR="00D96307" w:rsidRPr="00D96307" w:rsidRDefault="00D96307" w:rsidP="00905D0E">
            <w:pPr>
              <w:pStyle w:val="NormalWeb"/>
              <w:spacing w:line="360" w:lineRule="auto"/>
              <w:jc w:val="both"/>
              <w:rPr>
                <w:i w:val="0"/>
                <w:iCs w:val="0"/>
                <w:color w:val="000000"/>
              </w:rPr>
            </w:pPr>
            <w:r w:rsidRPr="00D96307">
              <w:rPr>
                <w:i w:val="0"/>
                <w:iCs w:val="0"/>
                <w:color w:val="000000"/>
                <w:sz w:val="22"/>
                <w:szCs w:val="22"/>
              </w:rPr>
              <w:t>2</w:t>
            </w:r>
          </w:p>
        </w:tc>
        <w:tc>
          <w:tcPr>
            <w:tcW w:w="1965" w:type="dxa"/>
            <w:vAlign w:val="center"/>
          </w:tcPr>
          <w:p w14:paraId="6DB9123C" w14:textId="77777777" w:rsidR="00D96307" w:rsidRPr="00D96307" w:rsidRDefault="00D96307" w:rsidP="00905D0E">
            <w:pPr>
              <w:pStyle w:val="NormalWeb"/>
              <w:spacing w:line="360" w:lineRule="auto"/>
              <w:jc w:val="both"/>
              <w:rPr>
                <w:i w:val="0"/>
                <w:iCs w:val="0"/>
                <w:color w:val="000000"/>
              </w:rPr>
            </w:pPr>
            <w:r w:rsidRPr="00D96307">
              <w:rPr>
                <w:i w:val="0"/>
                <w:iCs w:val="0"/>
                <w:color w:val="000000"/>
                <w:sz w:val="22"/>
                <w:szCs w:val="22"/>
              </w:rPr>
              <w:t>Denaturation</w:t>
            </w:r>
          </w:p>
        </w:tc>
        <w:tc>
          <w:tcPr>
            <w:tcW w:w="1694" w:type="dxa"/>
            <w:vAlign w:val="center"/>
          </w:tcPr>
          <w:p w14:paraId="6FFD7650" w14:textId="77777777" w:rsidR="00D96307" w:rsidRPr="00D96307" w:rsidRDefault="00D96307" w:rsidP="00905D0E">
            <w:pPr>
              <w:pStyle w:val="NormalWeb"/>
              <w:spacing w:line="360" w:lineRule="auto"/>
              <w:jc w:val="both"/>
              <w:rPr>
                <w:i w:val="0"/>
                <w:iCs w:val="0"/>
                <w:color w:val="000000"/>
              </w:rPr>
            </w:pPr>
            <w:r w:rsidRPr="00D96307">
              <w:rPr>
                <w:i w:val="0"/>
                <w:iCs w:val="0"/>
                <w:color w:val="000000"/>
                <w:sz w:val="22"/>
                <w:szCs w:val="22"/>
              </w:rPr>
              <w:t>94°C</w:t>
            </w:r>
          </w:p>
        </w:tc>
        <w:tc>
          <w:tcPr>
            <w:tcW w:w="1735" w:type="dxa"/>
            <w:vAlign w:val="center"/>
          </w:tcPr>
          <w:p w14:paraId="69B0D844" w14:textId="77777777" w:rsidR="00D96307" w:rsidRPr="00D96307" w:rsidRDefault="00D96307" w:rsidP="00905D0E">
            <w:pPr>
              <w:pStyle w:val="NormalWeb"/>
              <w:spacing w:line="360" w:lineRule="auto"/>
              <w:jc w:val="both"/>
              <w:rPr>
                <w:i w:val="0"/>
                <w:iCs w:val="0"/>
                <w:color w:val="000000"/>
              </w:rPr>
            </w:pPr>
            <w:r w:rsidRPr="00D96307">
              <w:rPr>
                <w:i w:val="0"/>
                <w:iCs w:val="0"/>
                <w:color w:val="000000"/>
                <w:sz w:val="22"/>
                <w:szCs w:val="22"/>
              </w:rPr>
              <w:t>95 °C</w:t>
            </w:r>
          </w:p>
        </w:tc>
        <w:tc>
          <w:tcPr>
            <w:tcW w:w="1463" w:type="dxa"/>
            <w:vAlign w:val="center"/>
          </w:tcPr>
          <w:p w14:paraId="406596A0" w14:textId="77777777" w:rsidR="00D96307" w:rsidRPr="00D96307" w:rsidRDefault="00D96307" w:rsidP="00905D0E">
            <w:pPr>
              <w:pStyle w:val="NormalWeb"/>
              <w:spacing w:line="360" w:lineRule="auto"/>
              <w:jc w:val="both"/>
              <w:rPr>
                <w:i w:val="0"/>
                <w:iCs w:val="0"/>
                <w:color w:val="000000"/>
              </w:rPr>
            </w:pPr>
            <w:r w:rsidRPr="00D96307">
              <w:rPr>
                <w:i w:val="0"/>
                <w:iCs w:val="0"/>
                <w:color w:val="000000"/>
                <w:sz w:val="22"/>
                <w:szCs w:val="22"/>
              </w:rPr>
              <w:t>94 °C</w:t>
            </w:r>
          </w:p>
        </w:tc>
        <w:tc>
          <w:tcPr>
            <w:tcW w:w="1657" w:type="dxa"/>
            <w:vAlign w:val="center"/>
          </w:tcPr>
          <w:p w14:paraId="14503D83" w14:textId="77777777" w:rsidR="00D96307" w:rsidRPr="00D96307" w:rsidRDefault="00D96307" w:rsidP="00905D0E">
            <w:pPr>
              <w:pStyle w:val="NormalWeb"/>
              <w:spacing w:line="360" w:lineRule="auto"/>
              <w:jc w:val="both"/>
              <w:rPr>
                <w:i w:val="0"/>
                <w:iCs w:val="0"/>
                <w:color w:val="000000"/>
              </w:rPr>
            </w:pPr>
            <w:r w:rsidRPr="00D96307">
              <w:rPr>
                <w:i w:val="0"/>
                <w:iCs w:val="0"/>
                <w:color w:val="000000"/>
                <w:sz w:val="22"/>
                <w:szCs w:val="22"/>
              </w:rPr>
              <w:t>1 Min</w:t>
            </w:r>
          </w:p>
        </w:tc>
      </w:tr>
      <w:tr w:rsidR="00D96307" w14:paraId="6D258153" w14:textId="77777777" w:rsidTr="00905D0E">
        <w:tc>
          <w:tcPr>
            <w:tcW w:w="837" w:type="dxa"/>
            <w:vAlign w:val="center"/>
          </w:tcPr>
          <w:p w14:paraId="769A56A7" w14:textId="77777777" w:rsidR="00D96307" w:rsidRPr="00D96307" w:rsidRDefault="00D96307" w:rsidP="00905D0E">
            <w:pPr>
              <w:pStyle w:val="NormalWeb"/>
              <w:spacing w:line="360" w:lineRule="auto"/>
              <w:jc w:val="both"/>
              <w:rPr>
                <w:i w:val="0"/>
                <w:iCs w:val="0"/>
                <w:color w:val="000000"/>
              </w:rPr>
            </w:pPr>
            <w:r w:rsidRPr="00D96307">
              <w:rPr>
                <w:i w:val="0"/>
                <w:iCs w:val="0"/>
                <w:color w:val="000000"/>
                <w:sz w:val="22"/>
                <w:szCs w:val="22"/>
              </w:rPr>
              <w:t>3</w:t>
            </w:r>
          </w:p>
        </w:tc>
        <w:tc>
          <w:tcPr>
            <w:tcW w:w="1965" w:type="dxa"/>
            <w:vAlign w:val="center"/>
          </w:tcPr>
          <w:p w14:paraId="19FB4612" w14:textId="77777777" w:rsidR="00D96307" w:rsidRPr="00D96307" w:rsidRDefault="00D96307" w:rsidP="00905D0E">
            <w:pPr>
              <w:pStyle w:val="NormalWeb"/>
              <w:spacing w:line="360" w:lineRule="auto"/>
              <w:jc w:val="both"/>
              <w:rPr>
                <w:i w:val="0"/>
                <w:iCs w:val="0"/>
                <w:color w:val="000000"/>
              </w:rPr>
            </w:pPr>
            <w:r w:rsidRPr="00D96307">
              <w:rPr>
                <w:i w:val="0"/>
                <w:iCs w:val="0"/>
                <w:color w:val="000000"/>
                <w:sz w:val="22"/>
                <w:szCs w:val="22"/>
              </w:rPr>
              <w:t>Annealing</w:t>
            </w:r>
          </w:p>
        </w:tc>
        <w:tc>
          <w:tcPr>
            <w:tcW w:w="1694" w:type="dxa"/>
            <w:vAlign w:val="center"/>
          </w:tcPr>
          <w:p w14:paraId="57BBEEB0" w14:textId="77777777" w:rsidR="00D96307" w:rsidRPr="00D96307" w:rsidRDefault="00D96307" w:rsidP="00905D0E">
            <w:pPr>
              <w:pStyle w:val="NormalWeb"/>
              <w:spacing w:line="360" w:lineRule="auto"/>
              <w:jc w:val="both"/>
              <w:rPr>
                <w:i w:val="0"/>
                <w:iCs w:val="0"/>
                <w:color w:val="000000"/>
              </w:rPr>
            </w:pPr>
            <w:r w:rsidRPr="00D96307">
              <w:rPr>
                <w:i w:val="0"/>
                <w:iCs w:val="0"/>
                <w:color w:val="000000"/>
                <w:sz w:val="22"/>
                <w:szCs w:val="22"/>
              </w:rPr>
              <w:t>55°C</w:t>
            </w:r>
          </w:p>
        </w:tc>
        <w:tc>
          <w:tcPr>
            <w:tcW w:w="1735" w:type="dxa"/>
            <w:vAlign w:val="center"/>
          </w:tcPr>
          <w:p w14:paraId="5FC0C115" w14:textId="77777777" w:rsidR="00D96307" w:rsidRPr="00D96307" w:rsidRDefault="00D96307" w:rsidP="00905D0E">
            <w:pPr>
              <w:pStyle w:val="NormalWeb"/>
              <w:spacing w:line="360" w:lineRule="auto"/>
              <w:jc w:val="both"/>
              <w:rPr>
                <w:i w:val="0"/>
                <w:iCs w:val="0"/>
                <w:color w:val="000000"/>
              </w:rPr>
            </w:pPr>
            <w:r w:rsidRPr="00D96307">
              <w:rPr>
                <w:i w:val="0"/>
                <w:iCs w:val="0"/>
                <w:color w:val="000000"/>
                <w:sz w:val="22"/>
                <w:szCs w:val="22"/>
              </w:rPr>
              <w:t>53 °C</w:t>
            </w:r>
          </w:p>
        </w:tc>
        <w:tc>
          <w:tcPr>
            <w:tcW w:w="1463" w:type="dxa"/>
            <w:vAlign w:val="center"/>
          </w:tcPr>
          <w:p w14:paraId="00BC3918" w14:textId="77777777" w:rsidR="00D96307" w:rsidRPr="00D96307" w:rsidRDefault="00D96307" w:rsidP="00905D0E">
            <w:pPr>
              <w:pStyle w:val="NormalWeb"/>
              <w:spacing w:line="360" w:lineRule="auto"/>
              <w:jc w:val="both"/>
              <w:rPr>
                <w:i w:val="0"/>
                <w:iCs w:val="0"/>
                <w:color w:val="000000"/>
              </w:rPr>
            </w:pPr>
            <w:r w:rsidRPr="00D96307">
              <w:rPr>
                <w:i w:val="0"/>
                <w:iCs w:val="0"/>
                <w:color w:val="000000"/>
                <w:sz w:val="22"/>
                <w:szCs w:val="22"/>
              </w:rPr>
              <w:t>55 °C</w:t>
            </w:r>
          </w:p>
        </w:tc>
        <w:tc>
          <w:tcPr>
            <w:tcW w:w="1657" w:type="dxa"/>
            <w:vAlign w:val="center"/>
          </w:tcPr>
          <w:p w14:paraId="4FE707DD" w14:textId="77777777" w:rsidR="00D96307" w:rsidRPr="00D96307" w:rsidRDefault="00D96307" w:rsidP="00905D0E">
            <w:pPr>
              <w:pStyle w:val="NormalWeb"/>
              <w:spacing w:line="360" w:lineRule="auto"/>
              <w:jc w:val="both"/>
              <w:rPr>
                <w:i w:val="0"/>
                <w:iCs w:val="0"/>
                <w:color w:val="000000"/>
              </w:rPr>
            </w:pPr>
            <w:r w:rsidRPr="00D96307">
              <w:rPr>
                <w:i w:val="0"/>
                <w:iCs w:val="0"/>
                <w:color w:val="000000"/>
                <w:sz w:val="22"/>
                <w:szCs w:val="22"/>
              </w:rPr>
              <w:t>1 Min</w:t>
            </w:r>
          </w:p>
        </w:tc>
      </w:tr>
      <w:tr w:rsidR="00D96307" w14:paraId="4E161D4E" w14:textId="77777777" w:rsidTr="00905D0E">
        <w:tc>
          <w:tcPr>
            <w:tcW w:w="837" w:type="dxa"/>
            <w:vAlign w:val="center"/>
          </w:tcPr>
          <w:p w14:paraId="52DF42DD" w14:textId="77777777" w:rsidR="00D96307" w:rsidRPr="00D96307" w:rsidRDefault="00D96307" w:rsidP="00905D0E">
            <w:pPr>
              <w:pStyle w:val="NormalWeb"/>
              <w:spacing w:line="360" w:lineRule="auto"/>
              <w:jc w:val="both"/>
              <w:rPr>
                <w:i w:val="0"/>
                <w:iCs w:val="0"/>
                <w:color w:val="000000"/>
              </w:rPr>
            </w:pPr>
            <w:r w:rsidRPr="00D96307">
              <w:rPr>
                <w:i w:val="0"/>
                <w:iCs w:val="0"/>
                <w:color w:val="000000"/>
                <w:sz w:val="22"/>
                <w:szCs w:val="22"/>
              </w:rPr>
              <w:lastRenderedPageBreak/>
              <w:t>4</w:t>
            </w:r>
          </w:p>
        </w:tc>
        <w:tc>
          <w:tcPr>
            <w:tcW w:w="1965" w:type="dxa"/>
            <w:vAlign w:val="center"/>
          </w:tcPr>
          <w:p w14:paraId="5A14FFE9" w14:textId="77777777" w:rsidR="00D96307" w:rsidRPr="00D96307" w:rsidRDefault="00D96307" w:rsidP="00905D0E">
            <w:pPr>
              <w:pStyle w:val="NormalWeb"/>
              <w:spacing w:line="360" w:lineRule="auto"/>
              <w:jc w:val="both"/>
              <w:rPr>
                <w:i w:val="0"/>
                <w:iCs w:val="0"/>
                <w:color w:val="000000"/>
              </w:rPr>
            </w:pPr>
            <w:r w:rsidRPr="00D96307">
              <w:rPr>
                <w:i w:val="0"/>
                <w:iCs w:val="0"/>
                <w:color w:val="000000"/>
                <w:sz w:val="22"/>
                <w:szCs w:val="22"/>
              </w:rPr>
              <w:t>Extension</w:t>
            </w:r>
          </w:p>
        </w:tc>
        <w:tc>
          <w:tcPr>
            <w:tcW w:w="1694" w:type="dxa"/>
            <w:vAlign w:val="center"/>
          </w:tcPr>
          <w:p w14:paraId="72AA6F80" w14:textId="77777777" w:rsidR="00D96307" w:rsidRPr="00D96307" w:rsidRDefault="00D96307" w:rsidP="00905D0E">
            <w:pPr>
              <w:pStyle w:val="NormalWeb"/>
              <w:spacing w:line="360" w:lineRule="auto"/>
              <w:jc w:val="both"/>
              <w:rPr>
                <w:i w:val="0"/>
                <w:iCs w:val="0"/>
                <w:color w:val="000000"/>
              </w:rPr>
            </w:pPr>
            <w:r w:rsidRPr="00D96307">
              <w:rPr>
                <w:i w:val="0"/>
                <w:iCs w:val="0"/>
                <w:color w:val="000000"/>
                <w:sz w:val="22"/>
                <w:szCs w:val="22"/>
              </w:rPr>
              <w:t>72°C</w:t>
            </w:r>
          </w:p>
        </w:tc>
        <w:tc>
          <w:tcPr>
            <w:tcW w:w="1735" w:type="dxa"/>
            <w:vAlign w:val="center"/>
          </w:tcPr>
          <w:p w14:paraId="0F8463E2" w14:textId="77777777" w:rsidR="00D96307" w:rsidRPr="00D96307" w:rsidRDefault="00D96307" w:rsidP="00905D0E">
            <w:pPr>
              <w:pStyle w:val="NormalWeb"/>
              <w:spacing w:line="360" w:lineRule="auto"/>
              <w:jc w:val="both"/>
              <w:rPr>
                <w:i w:val="0"/>
                <w:iCs w:val="0"/>
                <w:color w:val="000000"/>
              </w:rPr>
            </w:pPr>
            <w:r w:rsidRPr="00D96307">
              <w:rPr>
                <w:i w:val="0"/>
                <w:iCs w:val="0"/>
                <w:color w:val="000000"/>
                <w:sz w:val="22"/>
                <w:szCs w:val="22"/>
              </w:rPr>
              <w:t>72 °C</w:t>
            </w:r>
          </w:p>
        </w:tc>
        <w:tc>
          <w:tcPr>
            <w:tcW w:w="1463" w:type="dxa"/>
            <w:vAlign w:val="center"/>
          </w:tcPr>
          <w:p w14:paraId="64F89B9B" w14:textId="77777777" w:rsidR="00D96307" w:rsidRPr="00D96307" w:rsidRDefault="00D96307" w:rsidP="00905D0E">
            <w:pPr>
              <w:pStyle w:val="NormalWeb"/>
              <w:spacing w:line="360" w:lineRule="auto"/>
              <w:jc w:val="both"/>
              <w:rPr>
                <w:i w:val="0"/>
                <w:iCs w:val="0"/>
                <w:color w:val="000000"/>
              </w:rPr>
            </w:pPr>
            <w:r w:rsidRPr="00D96307">
              <w:rPr>
                <w:i w:val="0"/>
                <w:iCs w:val="0"/>
                <w:color w:val="000000"/>
                <w:sz w:val="22"/>
                <w:szCs w:val="22"/>
              </w:rPr>
              <w:t>72 °C</w:t>
            </w:r>
          </w:p>
        </w:tc>
        <w:tc>
          <w:tcPr>
            <w:tcW w:w="1657" w:type="dxa"/>
            <w:vAlign w:val="center"/>
          </w:tcPr>
          <w:p w14:paraId="30768697" w14:textId="77777777" w:rsidR="00D96307" w:rsidRPr="00D96307" w:rsidRDefault="00D96307" w:rsidP="00905D0E">
            <w:pPr>
              <w:pStyle w:val="NormalWeb"/>
              <w:spacing w:line="360" w:lineRule="auto"/>
              <w:jc w:val="both"/>
              <w:rPr>
                <w:i w:val="0"/>
                <w:iCs w:val="0"/>
                <w:color w:val="000000"/>
              </w:rPr>
            </w:pPr>
            <w:r w:rsidRPr="00D96307">
              <w:rPr>
                <w:i w:val="0"/>
                <w:iCs w:val="0"/>
                <w:color w:val="000000"/>
                <w:sz w:val="22"/>
                <w:szCs w:val="22"/>
              </w:rPr>
              <w:t>1 Min</w:t>
            </w:r>
          </w:p>
        </w:tc>
      </w:tr>
      <w:tr w:rsidR="00D96307" w14:paraId="6201C5B2" w14:textId="77777777" w:rsidTr="00905D0E">
        <w:tc>
          <w:tcPr>
            <w:tcW w:w="837" w:type="dxa"/>
            <w:vAlign w:val="center"/>
          </w:tcPr>
          <w:p w14:paraId="416F19FE" w14:textId="77777777" w:rsidR="00D96307" w:rsidRPr="00D96307" w:rsidRDefault="00D96307" w:rsidP="00905D0E">
            <w:pPr>
              <w:pStyle w:val="NormalWeb"/>
              <w:spacing w:line="360" w:lineRule="auto"/>
              <w:jc w:val="both"/>
              <w:rPr>
                <w:i w:val="0"/>
                <w:iCs w:val="0"/>
                <w:color w:val="000000"/>
                <w:sz w:val="22"/>
                <w:szCs w:val="22"/>
              </w:rPr>
            </w:pPr>
            <w:r w:rsidRPr="00D96307">
              <w:rPr>
                <w:i w:val="0"/>
                <w:iCs w:val="0"/>
                <w:color w:val="000000"/>
                <w:sz w:val="22"/>
                <w:szCs w:val="22"/>
              </w:rPr>
              <w:t>5</w:t>
            </w:r>
          </w:p>
        </w:tc>
        <w:tc>
          <w:tcPr>
            <w:tcW w:w="1965" w:type="dxa"/>
            <w:vAlign w:val="center"/>
          </w:tcPr>
          <w:p w14:paraId="5E450B40" w14:textId="77777777" w:rsidR="00D96307" w:rsidRPr="00D96307" w:rsidRDefault="00D96307" w:rsidP="00905D0E">
            <w:pPr>
              <w:pStyle w:val="NormalWeb"/>
              <w:spacing w:line="360" w:lineRule="auto"/>
              <w:jc w:val="both"/>
              <w:rPr>
                <w:i w:val="0"/>
                <w:iCs w:val="0"/>
                <w:color w:val="000000"/>
                <w:sz w:val="22"/>
                <w:szCs w:val="22"/>
              </w:rPr>
            </w:pPr>
            <w:r w:rsidRPr="00D96307">
              <w:rPr>
                <w:i w:val="0"/>
                <w:iCs w:val="0"/>
                <w:color w:val="000000"/>
                <w:sz w:val="22"/>
                <w:szCs w:val="22"/>
              </w:rPr>
              <w:t>Cycle Repeats</w:t>
            </w:r>
          </w:p>
        </w:tc>
        <w:tc>
          <w:tcPr>
            <w:tcW w:w="1694" w:type="dxa"/>
            <w:vAlign w:val="center"/>
          </w:tcPr>
          <w:p w14:paraId="19CD7842" w14:textId="77777777" w:rsidR="00D96307" w:rsidRPr="00D96307" w:rsidRDefault="00D96307" w:rsidP="00905D0E">
            <w:pPr>
              <w:pStyle w:val="NormalWeb"/>
              <w:spacing w:line="360" w:lineRule="auto"/>
              <w:jc w:val="both"/>
              <w:rPr>
                <w:i w:val="0"/>
                <w:iCs w:val="0"/>
                <w:color w:val="000000"/>
              </w:rPr>
            </w:pPr>
            <w:r w:rsidRPr="00D96307">
              <w:rPr>
                <w:i w:val="0"/>
                <w:iCs w:val="0"/>
                <w:color w:val="000000"/>
                <w:sz w:val="22"/>
                <w:szCs w:val="22"/>
              </w:rPr>
              <w:t>35 cycles</w:t>
            </w:r>
          </w:p>
        </w:tc>
        <w:tc>
          <w:tcPr>
            <w:tcW w:w="1735" w:type="dxa"/>
            <w:vAlign w:val="center"/>
          </w:tcPr>
          <w:p w14:paraId="7A8B45ED" w14:textId="77777777" w:rsidR="00D96307" w:rsidRPr="00D96307" w:rsidRDefault="00D96307" w:rsidP="00905D0E">
            <w:pPr>
              <w:pStyle w:val="NormalWeb"/>
              <w:spacing w:line="360" w:lineRule="auto"/>
              <w:jc w:val="both"/>
              <w:rPr>
                <w:i w:val="0"/>
                <w:iCs w:val="0"/>
                <w:color w:val="000000"/>
              </w:rPr>
            </w:pPr>
            <w:r w:rsidRPr="00D96307">
              <w:rPr>
                <w:i w:val="0"/>
                <w:iCs w:val="0"/>
                <w:color w:val="000000"/>
                <w:sz w:val="22"/>
                <w:szCs w:val="22"/>
              </w:rPr>
              <w:t>35 cycles</w:t>
            </w:r>
          </w:p>
        </w:tc>
        <w:tc>
          <w:tcPr>
            <w:tcW w:w="1463" w:type="dxa"/>
            <w:vAlign w:val="center"/>
          </w:tcPr>
          <w:p w14:paraId="4C06A004" w14:textId="77777777" w:rsidR="00D96307" w:rsidRPr="00D96307" w:rsidRDefault="00D96307" w:rsidP="00905D0E">
            <w:pPr>
              <w:pStyle w:val="NormalWeb"/>
              <w:spacing w:line="360" w:lineRule="auto"/>
              <w:jc w:val="both"/>
              <w:rPr>
                <w:i w:val="0"/>
                <w:iCs w:val="0"/>
                <w:color w:val="000000"/>
              </w:rPr>
            </w:pPr>
            <w:r w:rsidRPr="00D96307">
              <w:rPr>
                <w:i w:val="0"/>
                <w:iCs w:val="0"/>
                <w:color w:val="000000"/>
                <w:sz w:val="22"/>
                <w:szCs w:val="22"/>
              </w:rPr>
              <w:t>35 cycles</w:t>
            </w:r>
          </w:p>
        </w:tc>
        <w:tc>
          <w:tcPr>
            <w:tcW w:w="1657" w:type="dxa"/>
            <w:vAlign w:val="center"/>
          </w:tcPr>
          <w:p w14:paraId="35358A27" w14:textId="77777777" w:rsidR="00D96307" w:rsidRPr="00D96307" w:rsidRDefault="00D96307" w:rsidP="00905D0E">
            <w:pPr>
              <w:pStyle w:val="NormalWeb"/>
              <w:spacing w:line="360" w:lineRule="auto"/>
              <w:jc w:val="both"/>
              <w:rPr>
                <w:i w:val="0"/>
                <w:iCs w:val="0"/>
                <w:color w:val="000000"/>
              </w:rPr>
            </w:pPr>
          </w:p>
        </w:tc>
      </w:tr>
      <w:tr w:rsidR="00D96307" w14:paraId="46D12B42" w14:textId="77777777" w:rsidTr="00905D0E">
        <w:tc>
          <w:tcPr>
            <w:tcW w:w="837" w:type="dxa"/>
            <w:vAlign w:val="center"/>
          </w:tcPr>
          <w:p w14:paraId="790A1B19" w14:textId="77777777" w:rsidR="00D96307" w:rsidRPr="00D96307" w:rsidRDefault="00D96307" w:rsidP="00905D0E">
            <w:pPr>
              <w:pStyle w:val="NormalWeb"/>
              <w:spacing w:line="360" w:lineRule="auto"/>
              <w:jc w:val="both"/>
              <w:rPr>
                <w:i w:val="0"/>
                <w:iCs w:val="0"/>
                <w:color w:val="000000"/>
                <w:sz w:val="22"/>
                <w:szCs w:val="22"/>
              </w:rPr>
            </w:pPr>
            <w:r w:rsidRPr="00D96307">
              <w:rPr>
                <w:i w:val="0"/>
                <w:iCs w:val="0"/>
                <w:color w:val="000000"/>
                <w:sz w:val="22"/>
                <w:szCs w:val="22"/>
              </w:rPr>
              <w:t>6</w:t>
            </w:r>
          </w:p>
        </w:tc>
        <w:tc>
          <w:tcPr>
            <w:tcW w:w="1965" w:type="dxa"/>
            <w:vAlign w:val="center"/>
          </w:tcPr>
          <w:p w14:paraId="13BE7B55" w14:textId="77777777" w:rsidR="00D96307" w:rsidRPr="00D96307" w:rsidRDefault="00D96307" w:rsidP="00905D0E">
            <w:pPr>
              <w:pStyle w:val="NormalWeb"/>
              <w:spacing w:line="360" w:lineRule="auto"/>
              <w:jc w:val="both"/>
              <w:rPr>
                <w:i w:val="0"/>
                <w:iCs w:val="0"/>
                <w:color w:val="000000"/>
                <w:sz w:val="22"/>
                <w:szCs w:val="22"/>
              </w:rPr>
            </w:pPr>
            <w:r w:rsidRPr="00D96307">
              <w:rPr>
                <w:i w:val="0"/>
                <w:iCs w:val="0"/>
                <w:color w:val="000000"/>
                <w:sz w:val="22"/>
                <w:szCs w:val="22"/>
              </w:rPr>
              <w:t>Final Extension</w:t>
            </w:r>
          </w:p>
        </w:tc>
        <w:tc>
          <w:tcPr>
            <w:tcW w:w="1694" w:type="dxa"/>
            <w:vAlign w:val="center"/>
          </w:tcPr>
          <w:p w14:paraId="0D8E18EA" w14:textId="77777777" w:rsidR="00D96307" w:rsidRPr="00D96307" w:rsidRDefault="00D96307" w:rsidP="00905D0E">
            <w:pPr>
              <w:pStyle w:val="NormalWeb"/>
              <w:spacing w:line="360" w:lineRule="auto"/>
              <w:jc w:val="both"/>
              <w:rPr>
                <w:i w:val="0"/>
                <w:iCs w:val="0"/>
                <w:color w:val="000000"/>
              </w:rPr>
            </w:pPr>
            <w:r w:rsidRPr="00D96307">
              <w:rPr>
                <w:i w:val="0"/>
                <w:iCs w:val="0"/>
                <w:color w:val="000000"/>
                <w:sz w:val="22"/>
                <w:szCs w:val="22"/>
              </w:rPr>
              <w:t>72°C</w:t>
            </w:r>
          </w:p>
        </w:tc>
        <w:tc>
          <w:tcPr>
            <w:tcW w:w="1735" w:type="dxa"/>
            <w:vAlign w:val="center"/>
          </w:tcPr>
          <w:p w14:paraId="1F5E82DB" w14:textId="77777777" w:rsidR="00D96307" w:rsidRPr="00D96307" w:rsidRDefault="00D96307" w:rsidP="00905D0E">
            <w:pPr>
              <w:pStyle w:val="NormalWeb"/>
              <w:spacing w:line="360" w:lineRule="auto"/>
              <w:jc w:val="both"/>
              <w:rPr>
                <w:i w:val="0"/>
                <w:iCs w:val="0"/>
                <w:color w:val="000000"/>
              </w:rPr>
            </w:pPr>
            <w:r w:rsidRPr="00D96307">
              <w:rPr>
                <w:i w:val="0"/>
                <w:iCs w:val="0"/>
                <w:color w:val="000000"/>
                <w:sz w:val="22"/>
                <w:szCs w:val="22"/>
              </w:rPr>
              <w:t>72 °C</w:t>
            </w:r>
          </w:p>
        </w:tc>
        <w:tc>
          <w:tcPr>
            <w:tcW w:w="1463" w:type="dxa"/>
            <w:vAlign w:val="center"/>
          </w:tcPr>
          <w:p w14:paraId="07CEC7BB" w14:textId="77777777" w:rsidR="00D96307" w:rsidRPr="00D96307" w:rsidRDefault="00D96307" w:rsidP="00905D0E">
            <w:pPr>
              <w:pStyle w:val="NormalWeb"/>
              <w:spacing w:line="360" w:lineRule="auto"/>
              <w:jc w:val="both"/>
              <w:rPr>
                <w:i w:val="0"/>
                <w:iCs w:val="0"/>
                <w:color w:val="000000"/>
              </w:rPr>
            </w:pPr>
            <w:r w:rsidRPr="00D96307">
              <w:rPr>
                <w:i w:val="0"/>
                <w:iCs w:val="0"/>
                <w:color w:val="000000"/>
                <w:sz w:val="22"/>
                <w:szCs w:val="22"/>
              </w:rPr>
              <w:t>72 °C</w:t>
            </w:r>
          </w:p>
        </w:tc>
        <w:tc>
          <w:tcPr>
            <w:tcW w:w="1657" w:type="dxa"/>
            <w:vAlign w:val="center"/>
          </w:tcPr>
          <w:p w14:paraId="22D0FEF1" w14:textId="77777777" w:rsidR="00D96307" w:rsidRPr="00D96307" w:rsidRDefault="00D96307" w:rsidP="00905D0E">
            <w:pPr>
              <w:pStyle w:val="NormalWeb"/>
              <w:spacing w:line="360" w:lineRule="auto"/>
              <w:jc w:val="both"/>
              <w:rPr>
                <w:i w:val="0"/>
                <w:iCs w:val="0"/>
                <w:color w:val="000000"/>
              </w:rPr>
            </w:pPr>
            <w:r w:rsidRPr="00D96307">
              <w:rPr>
                <w:i w:val="0"/>
                <w:iCs w:val="0"/>
                <w:color w:val="000000"/>
                <w:sz w:val="22"/>
                <w:szCs w:val="22"/>
              </w:rPr>
              <w:t>10 Min</w:t>
            </w:r>
          </w:p>
        </w:tc>
      </w:tr>
      <w:tr w:rsidR="00D96307" w14:paraId="7C3A9B37" w14:textId="77777777" w:rsidTr="00905D0E">
        <w:tc>
          <w:tcPr>
            <w:tcW w:w="837" w:type="dxa"/>
            <w:vAlign w:val="center"/>
          </w:tcPr>
          <w:p w14:paraId="6175564C" w14:textId="77777777" w:rsidR="00D96307" w:rsidRPr="00D96307" w:rsidRDefault="00D96307" w:rsidP="00905D0E">
            <w:pPr>
              <w:pStyle w:val="NormalWeb"/>
              <w:spacing w:line="360" w:lineRule="auto"/>
              <w:jc w:val="both"/>
              <w:rPr>
                <w:i w:val="0"/>
                <w:iCs w:val="0"/>
                <w:color w:val="000000"/>
                <w:sz w:val="22"/>
                <w:szCs w:val="22"/>
              </w:rPr>
            </w:pPr>
          </w:p>
        </w:tc>
        <w:tc>
          <w:tcPr>
            <w:tcW w:w="1965" w:type="dxa"/>
            <w:vAlign w:val="center"/>
          </w:tcPr>
          <w:p w14:paraId="6D7C7AD9" w14:textId="77777777" w:rsidR="00D96307" w:rsidRPr="00D96307" w:rsidRDefault="00D96307" w:rsidP="00905D0E">
            <w:pPr>
              <w:pStyle w:val="NormalWeb"/>
              <w:spacing w:line="360" w:lineRule="auto"/>
              <w:jc w:val="both"/>
              <w:rPr>
                <w:i w:val="0"/>
                <w:iCs w:val="0"/>
                <w:color w:val="000000"/>
                <w:sz w:val="22"/>
                <w:szCs w:val="22"/>
              </w:rPr>
            </w:pPr>
            <w:r w:rsidRPr="00D96307">
              <w:rPr>
                <w:i w:val="0"/>
                <w:iCs w:val="0"/>
                <w:color w:val="000000"/>
                <w:sz w:val="22"/>
                <w:szCs w:val="22"/>
              </w:rPr>
              <w:t>Cooling</w:t>
            </w:r>
          </w:p>
        </w:tc>
        <w:tc>
          <w:tcPr>
            <w:tcW w:w="1694" w:type="dxa"/>
            <w:vAlign w:val="center"/>
          </w:tcPr>
          <w:p w14:paraId="5B81BD7C" w14:textId="77777777" w:rsidR="00D96307" w:rsidRPr="00D96307" w:rsidRDefault="00D96307" w:rsidP="00905D0E">
            <w:pPr>
              <w:pStyle w:val="NormalWeb"/>
              <w:spacing w:line="360" w:lineRule="auto"/>
              <w:jc w:val="both"/>
              <w:rPr>
                <w:i w:val="0"/>
                <w:iCs w:val="0"/>
                <w:color w:val="000000"/>
              </w:rPr>
            </w:pPr>
            <w:r w:rsidRPr="00D96307">
              <w:rPr>
                <w:i w:val="0"/>
                <w:iCs w:val="0"/>
                <w:color w:val="000000"/>
                <w:sz w:val="22"/>
                <w:szCs w:val="22"/>
              </w:rPr>
              <w:t>4°C</w:t>
            </w:r>
          </w:p>
        </w:tc>
        <w:tc>
          <w:tcPr>
            <w:tcW w:w="1735" w:type="dxa"/>
            <w:vAlign w:val="center"/>
          </w:tcPr>
          <w:p w14:paraId="1B4F120B" w14:textId="77777777" w:rsidR="00D96307" w:rsidRPr="00D96307" w:rsidRDefault="00D96307" w:rsidP="00905D0E">
            <w:pPr>
              <w:pStyle w:val="NormalWeb"/>
              <w:spacing w:line="360" w:lineRule="auto"/>
              <w:jc w:val="both"/>
              <w:rPr>
                <w:i w:val="0"/>
                <w:iCs w:val="0"/>
                <w:color w:val="000000"/>
              </w:rPr>
            </w:pPr>
            <w:r w:rsidRPr="00D96307">
              <w:rPr>
                <w:i w:val="0"/>
                <w:iCs w:val="0"/>
                <w:color w:val="000000"/>
                <w:sz w:val="22"/>
                <w:szCs w:val="22"/>
              </w:rPr>
              <w:t>4 °C</w:t>
            </w:r>
          </w:p>
        </w:tc>
        <w:tc>
          <w:tcPr>
            <w:tcW w:w="1463" w:type="dxa"/>
            <w:vAlign w:val="center"/>
          </w:tcPr>
          <w:p w14:paraId="4373FB39" w14:textId="77777777" w:rsidR="00D96307" w:rsidRPr="00D96307" w:rsidRDefault="00D96307" w:rsidP="00905D0E">
            <w:pPr>
              <w:pStyle w:val="NormalWeb"/>
              <w:spacing w:line="360" w:lineRule="auto"/>
              <w:jc w:val="both"/>
              <w:rPr>
                <w:i w:val="0"/>
                <w:iCs w:val="0"/>
                <w:color w:val="000000"/>
              </w:rPr>
            </w:pPr>
            <w:r w:rsidRPr="00D96307">
              <w:rPr>
                <w:i w:val="0"/>
                <w:iCs w:val="0"/>
                <w:color w:val="000000"/>
                <w:sz w:val="22"/>
                <w:szCs w:val="22"/>
              </w:rPr>
              <w:t>4 °C</w:t>
            </w:r>
          </w:p>
        </w:tc>
        <w:tc>
          <w:tcPr>
            <w:tcW w:w="1657" w:type="dxa"/>
            <w:vAlign w:val="center"/>
          </w:tcPr>
          <w:p w14:paraId="5379A1A2" w14:textId="77777777" w:rsidR="00D96307" w:rsidRPr="00D96307" w:rsidRDefault="00D96307" w:rsidP="00905D0E">
            <w:pPr>
              <w:pStyle w:val="NormalWeb"/>
              <w:spacing w:line="360" w:lineRule="auto"/>
              <w:jc w:val="both"/>
              <w:rPr>
                <w:i w:val="0"/>
                <w:iCs w:val="0"/>
                <w:color w:val="000000"/>
              </w:rPr>
            </w:pPr>
            <w:r w:rsidRPr="00D96307">
              <w:rPr>
                <w:i w:val="0"/>
                <w:iCs w:val="0"/>
                <w:sz w:val="22"/>
                <w:szCs w:val="22"/>
              </w:rPr>
              <w:t>Hold</w:t>
            </w:r>
          </w:p>
        </w:tc>
      </w:tr>
    </w:tbl>
    <w:p w14:paraId="1725086D" w14:textId="77777777" w:rsidR="00D96307" w:rsidRPr="00D96307" w:rsidRDefault="00D96307" w:rsidP="00D96307">
      <w:pPr>
        <w:pStyle w:val="NormalWeb"/>
        <w:spacing w:line="360" w:lineRule="auto"/>
        <w:jc w:val="both"/>
        <w:rPr>
          <w:color w:val="000000"/>
        </w:rPr>
      </w:pPr>
    </w:p>
    <w:p w14:paraId="3F3F56C9" w14:textId="77777777" w:rsidR="00D96307" w:rsidRPr="00D96307" w:rsidRDefault="00D96307" w:rsidP="00D96307">
      <w:pPr>
        <w:spacing w:line="360" w:lineRule="auto"/>
        <w:jc w:val="both"/>
        <w:rPr>
          <w:b/>
          <w:bCs/>
          <w:i w:val="0"/>
          <w:iCs w:val="0"/>
        </w:rPr>
      </w:pPr>
      <w:r w:rsidRPr="00D96307">
        <w:rPr>
          <w:b/>
          <w:bCs/>
          <w:i w:val="0"/>
          <w:iCs w:val="0"/>
        </w:rPr>
        <w:t>Results and discussion</w:t>
      </w:r>
    </w:p>
    <w:p w14:paraId="7BF12180" w14:textId="77777777" w:rsidR="00D96307" w:rsidRDefault="00D96307" w:rsidP="00D96307">
      <w:pPr>
        <w:spacing w:line="360" w:lineRule="auto"/>
        <w:jc w:val="both"/>
        <w:rPr>
          <w:i w:val="0"/>
          <w:iCs w:val="0"/>
        </w:rPr>
      </w:pPr>
      <w:r w:rsidRPr="00D96307">
        <w:rPr>
          <w:b/>
          <w:bCs/>
          <w:i w:val="0"/>
          <w:iCs w:val="0"/>
        </w:rPr>
        <w:tab/>
      </w:r>
      <w:r w:rsidRPr="00D96307">
        <w:rPr>
          <w:i w:val="0"/>
          <w:iCs w:val="0"/>
        </w:rPr>
        <w:t>PCR assay was carried out on faecal samples from dogs with gastroenteritis for detection of Canine parvo virus-2. All the 200 samples were further examined through PCR using VP2 gene primer sets CPV-2a, CPV-2b, CPV-2c revealed presence of CPV-2 in 166 samples (83.00%). 34 samples were found negative for the CPV-2. This finding aligns with previous reports from India, where CPV-2 prevalence has ranged from 72% to 85% in studies using molecular diagnostic methods like PCR (Singh et al., 2021). All 200 faecal samples were examined through PCR using CPV-2a, CPV-2b and CPV-2c  primer sets. The result showed that 147 (73.5%)  were positive for CPV-2a, 141(70.5%) for CPV-2b and 115 (57.5%) for CPV-2c.</w:t>
      </w:r>
    </w:p>
    <w:p w14:paraId="5666D4AB" w14:textId="77777777" w:rsidR="005011F1" w:rsidRDefault="005011F1" w:rsidP="005011F1">
      <w:pPr>
        <w:spacing w:line="360" w:lineRule="auto"/>
        <w:jc w:val="both"/>
        <w:rPr>
          <w:i w:val="0"/>
          <w:iCs w:val="0"/>
        </w:rPr>
      </w:pPr>
    </w:p>
    <w:p w14:paraId="41F97737" w14:textId="77777777" w:rsidR="005011F1" w:rsidRDefault="005011F1" w:rsidP="005011F1">
      <w:pPr>
        <w:spacing w:line="360" w:lineRule="auto"/>
        <w:jc w:val="center"/>
        <w:rPr>
          <w:i w:val="0"/>
          <w:iCs w:val="0"/>
        </w:rPr>
      </w:pPr>
      <w:r>
        <w:rPr>
          <w:i w:val="0"/>
          <w:iCs w:val="0"/>
          <w:noProof/>
        </w:rPr>
        <w:drawing>
          <wp:inline distT="0" distB="0" distL="0" distR="0" wp14:anchorId="30590864" wp14:editId="62A3BB78">
            <wp:extent cx="4459605" cy="2313940"/>
            <wp:effectExtent l="0" t="0" r="0" b="0"/>
            <wp:docPr id="1943569369" name="Picture 4" descr="A close-up of a dna te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569369" name="Picture 4" descr="A close-up of a dna test&#10;&#10;AI-generated content may be incorrect."/>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81743" cy="2325433"/>
                    </a:xfrm>
                    <a:prstGeom prst="rect">
                      <a:avLst/>
                    </a:prstGeom>
                  </pic:spPr>
                </pic:pic>
              </a:graphicData>
            </a:graphic>
          </wp:inline>
        </w:drawing>
      </w:r>
    </w:p>
    <w:p w14:paraId="1A5F63AE" w14:textId="77777777" w:rsidR="005011F1" w:rsidRPr="005011F1" w:rsidRDefault="005011F1" w:rsidP="005011F1">
      <w:pPr>
        <w:spacing w:line="360" w:lineRule="auto"/>
        <w:jc w:val="center"/>
        <w:rPr>
          <w:i w:val="0"/>
          <w:iCs w:val="0"/>
          <w:sz w:val="22"/>
          <w:szCs w:val="22"/>
        </w:rPr>
      </w:pPr>
      <w:r w:rsidRPr="005011F1">
        <w:rPr>
          <w:i w:val="0"/>
          <w:iCs w:val="0"/>
          <w:sz w:val="22"/>
          <w:szCs w:val="22"/>
        </w:rPr>
        <w:t>Figure 1- PCR bands after gel electrophoresis indicating presence of CPV-2a in tested faecal samples</w:t>
      </w:r>
    </w:p>
    <w:p w14:paraId="587FD6DD" w14:textId="77777777" w:rsidR="005011F1" w:rsidRPr="005011F1" w:rsidRDefault="005011F1" w:rsidP="005011F1">
      <w:pPr>
        <w:spacing w:line="360" w:lineRule="auto"/>
        <w:jc w:val="center"/>
        <w:rPr>
          <w:i w:val="0"/>
          <w:iCs w:val="0"/>
          <w:sz w:val="22"/>
          <w:szCs w:val="22"/>
        </w:rPr>
      </w:pPr>
      <w:r w:rsidRPr="005011F1">
        <w:rPr>
          <w:i w:val="0"/>
          <w:iCs w:val="0"/>
          <w:sz w:val="22"/>
          <w:szCs w:val="22"/>
        </w:rPr>
        <w:t xml:space="preserve">M1- ladder, S1 to S15 – samples, </w:t>
      </w:r>
      <w:r w:rsidRPr="005011F1">
        <w:rPr>
          <w:i w:val="0"/>
          <w:iCs w:val="0"/>
          <w:sz w:val="20"/>
          <w:szCs w:val="20"/>
        </w:rPr>
        <w:t>PC(Positive control)- Puppy DP, NC(Negative control-</w:t>
      </w:r>
      <w:proofErr w:type="spellStart"/>
      <w:r w:rsidRPr="005011F1">
        <w:rPr>
          <w:i w:val="0"/>
          <w:iCs w:val="0"/>
          <w:sz w:val="20"/>
          <w:szCs w:val="20"/>
        </w:rPr>
        <w:t>nfw</w:t>
      </w:r>
      <w:proofErr w:type="spellEnd"/>
      <w:r w:rsidRPr="005011F1">
        <w:rPr>
          <w:i w:val="0"/>
          <w:iCs w:val="0"/>
          <w:sz w:val="20"/>
          <w:szCs w:val="20"/>
        </w:rPr>
        <w:t>)</w:t>
      </w:r>
    </w:p>
    <w:p w14:paraId="3B62AF28" w14:textId="77777777" w:rsidR="005011F1" w:rsidRPr="005011F1" w:rsidRDefault="005011F1" w:rsidP="005011F1">
      <w:pPr>
        <w:spacing w:line="360" w:lineRule="auto"/>
        <w:jc w:val="both"/>
        <w:rPr>
          <w:i w:val="0"/>
          <w:iCs w:val="0"/>
        </w:rPr>
      </w:pPr>
    </w:p>
    <w:p w14:paraId="53E66753" w14:textId="77777777" w:rsidR="005011F1" w:rsidRDefault="005011F1" w:rsidP="005011F1">
      <w:pPr>
        <w:spacing w:line="360" w:lineRule="auto"/>
        <w:jc w:val="center"/>
        <w:rPr>
          <w:i w:val="0"/>
          <w:iCs w:val="0"/>
        </w:rPr>
      </w:pPr>
      <w:r>
        <w:rPr>
          <w:i w:val="0"/>
          <w:iCs w:val="0"/>
          <w:noProof/>
        </w:rPr>
        <w:lastRenderedPageBreak/>
        <w:drawing>
          <wp:inline distT="0" distB="0" distL="0" distR="0" wp14:anchorId="3E5BCDF3" wp14:editId="62F8B792">
            <wp:extent cx="4370705" cy="2552700"/>
            <wp:effectExtent l="0" t="0" r="0" b="0"/>
            <wp:docPr id="1308615332" name="Picture 5" descr="A close-up of a dna te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615332" name="Picture 5" descr="A close-up of a dna test&#10;&#10;AI-generated content may be incorrect."/>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423669" cy="2584147"/>
                    </a:xfrm>
                    <a:prstGeom prst="rect">
                      <a:avLst/>
                    </a:prstGeom>
                  </pic:spPr>
                </pic:pic>
              </a:graphicData>
            </a:graphic>
          </wp:inline>
        </w:drawing>
      </w:r>
    </w:p>
    <w:p w14:paraId="4916B42B" w14:textId="77777777" w:rsidR="005011F1" w:rsidRPr="005011F1" w:rsidRDefault="005011F1" w:rsidP="005011F1">
      <w:pPr>
        <w:spacing w:line="360" w:lineRule="auto"/>
        <w:jc w:val="center"/>
        <w:rPr>
          <w:i w:val="0"/>
          <w:iCs w:val="0"/>
          <w:sz w:val="22"/>
          <w:szCs w:val="22"/>
        </w:rPr>
      </w:pPr>
      <w:r w:rsidRPr="005011F1">
        <w:rPr>
          <w:i w:val="0"/>
          <w:iCs w:val="0"/>
          <w:sz w:val="22"/>
          <w:szCs w:val="22"/>
        </w:rPr>
        <w:t xml:space="preserve">Figure 2- PCR bands after gel electrophoresis indicating presence of CPV-2b in tested faecal samples </w:t>
      </w:r>
    </w:p>
    <w:p w14:paraId="070AA75F" w14:textId="77777777" w:rsidR="005011F1" w:rsidRPr="005011F1" w:rsidRDefault="005011F1" w:rsidP="005011F1">
      <w:pPr>
        <w:spacing w:line="360" w:lineRule="auto"/>
        <w:jc w:val="center"/>
        <w:rPr>
          <w:i w:val="0"/>
          <w:iCs w:val="0"/>
          <w:sz w:val="22"/>
          <w:szCs w:val="22"/>
        </w:rPr>
      </w:pPr>
      <w:r w:rsidRPr="005011F1">
        <w:rPr>
          <w:i w:val="0"/>
          <w:iCs w:val="0"/>
          <w:sz w:val="22"/>
          <w:szCs w:val="22"/>
        </w:rPr>
        <w:t>M1- ladder, S1 to S15 – samples, PC(Positive control)- Puppy DP, NC(Negative control-</w:t>
      </w:r>
      <w:proofErr w:type="spellStart"/>
      <w:r w:rsidRPr="005011F1">
        <w:rPr>
          <w:i w:val="0"/>
          <w:iCs w:val="0"/>
          <w:sz w:val="22"/>
          <w:szCs w:val="22"/>
        </w:rPr>
        <w:t>nfw</w:t>
      </w:r>
      <w:proofErr w:type="spellEnd"/>
      <w:r w:rsidRPr="005011F1">
        <w:rPr>
          <w:i w:val="0"/>
          <w:iCs w:val="0"/>
          <w:sz w:val="22"/>
          <w:szCs w:val="22"/>
        </w:rPr>
        <w:t>)</w:t>
      </w:r>
    </w:p>
    <w:p w14:paraId="3EC3A182" w14:textId="77777777" w:rsidR="005011F1" w:rsidRPr="005011F1" w:rsidRDefault="005011F1" w:rsidP="005011F1">
      <w:pPr>
        <w:spacing w:line="360" w:lineRule="auto"/>
        <w:jc w:val="both"/>
        <w:rPr>
          <w:i w:val="0"/>
          <w:iCs w:val="0"/>
          <w:sz w:val="22"/>
          <w:szCs w:val="22"/>
        </w:rPr>
      </w:pPr>
    </w:p>
    <w:p w14:paraId="7217C254" w14:textId="77777777" w:rsidR="005011F1" w:rsidRDefault="005011F1" w:rsidP="005011F1">
      <w:pPr>
        <w:spacing w:line="360" w:lineRule="auto"/>
        <w:jc w:val="both"/>
        <w:rPr>
          <w:i w:val="0"/>
          <w:iCs w:val="0"/>
        </w:rPr>
      </w:pPr>
    </w:p>
    <w:p w14:paraId="14870302" w14:textId="77777777" w:rsidR="005011F1" w:rsidRDefault="005011F1" w:rsidP="005011F1">
      <w:pPr>
        <w:spacing w:line="360" w:lineRule="auto"/>
        <w:jc w:val="both"/>
        <w:rPr>
          <w:i w:val="0"/>
          <w:iCs w:val="0"/>
        </w:rPr>
      </w:pPr>
    </w:p>
    <w:p w14:paraId="1A8B2C2F" w14:textId="77777777" w:rsidR="005011F1" w:rsidRDefault="005011F1" w:rsidP="005011F1">
      <w:pPr>
        <w:spacing w:line="360" w:lineRule="auto"/>
        <w:jc w:val="center"/>
        <w:rPr>
          <w:i w:val="0"/>
          <w:iCs w:val="0"/>
        </w:rPr>
      </w:pPr>
      <w:r>
        <w:rPr>
          <w:i w:val="0"/>
          <w:iCs w:val="0"/>
          <w:noProof/>
        </w:rPr>
        <w:drawing>
          <wp:inline distT="0" distB="0" distL="0" distR="0" wp14:anchorId="7AA74323" wp14:editId="7DC79384">
            <wp:extent cx="4187190" cy="2405380"/>
            <wp:effectExtent l="0" t="0" r="3810" b="0"/>
            <wp:docPr id="285663981" name="Picture 6" descr="A close-up of a dna te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663981" name="Picture 6" descr="A close-up of a dna test&#10;&#10;AI-generated content may be incorrect."/>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348495" cy="2498072"/>
                    </a:xfrm>
                    <a:prstGeom prst="rect">
                      <a:avLst/>
                    </a:prstGeom>
                  </pic:spPr>
                </pic:pic>
              </a:graphicData>
            </a:graphic>
          </wp:inline>
        </w:drawing>
      </w:r>
    </w:p>
    <w:p w14:paraId="682AD359" w14:textId="77777777" w:rsidR="005011F1" w:rsidRPr="005011F1" w:rsidRDefault="005011F1" w:rsidP="005011F1">
      <w:pPr>
        <w:spacing w:line="360" w:lineRule="auto"/>
        <w:jc w:val="center"/>
        <w:rPr>
          <w:i w:val="0"/>
          <w:iCs w:val="0"/>
          <w:sz w:val="22"/>
          <w:szCs w:val="22"/>
        </w:rPr>
      </w:pPr>
      <w:r w:rsidRPr="005011F1">
        <w:rPr>
          <w:i w:val="0"/>
          <w:iCs w:val="0"/>
          <w:sz w:val="22"/>
          <w:szCs w:val="22"/>
        </w:rPr>
        <w:t xml:space="preserve">Figure 3.- PCR bands after gel electrophoresis indicating presence of CPV-2c in tested faecal samples </w:t>
      </w:r>
    </w:p>
    <w:p w14:paraId="4DFAFA16" w14:textId="77777777" w:rsidR="005011F1" w:rsidRPr="005011F1" w:rsidRDefault="005011F1" w:rsidP="005011F1">
      <w:pPr>
        <w:spacing w:line="360" w:lineRule="auto"/>
        <w:jc w:val="center"/>
        <w:rPr>
          <w:i w:val="0"/>
          <w:iCs w:val="0"/>
          <w:sz w:val="22"/>
          <w:szCs w:val="22"/>
        </w:rPr>
      </w:pPr>
      <w:r w:rsidRPr="005011F1">
        <w:rPr>
          <w:i w:val="0"/>
          <w:iCs w:val="0"/>
          <w:sz w:val="22"/>
          <w:szCs w:val="22"/>
        </w:rPr>
        <w:t>M1- ladder, S1 to S16 – samples, PC(Positive control)- Puppy DP, NC(Negative control-</w:t>
      </w:r>
      <w:proofErr w:type="spellStart"/>
      <w:r w:rsidRPr="005011F1">
        <w:rPr>
          <w:i w:val="0"/>
          <w:iCs w:val="0"/>
          <w:sz w:val="22"/>
          <w:szCs w:val="22"/>
        </w:rPr>
        <w:t>nfw</w:t>
      </w:r>
      <w:proofErr w:type="spellEnd"/>
      <w:r w:rsidRPr="005011F1">
        <w:rPr>
          <w:i w:val="0"/>
          <w:iCs w:val="0"/>
          <w:sz w:val="22"/>
          <w:szCs w:val="22"/>
        </w:rPr>
        <w:t>)</w:t>
      </w:r>
    </w:p>
    <w:p w14:paraId="315CED53" w14:textId="77777777" w:rsidR="005011F1" w:rsidRPr="005011F1" w:rsidRDefault="005011F1" w:rsidP="00D96307">
      <w:pPr>
        <w:spacing w:line="360" w:lineRule="auto"/>
        <w:jc w:val="both"/>
        <w:rPr>
          <w:i w:val="0"/>
          <w:iCs w:val="0"/>
        </w:rPr>
      </w:pPr>
    </w:p>
    <w:p w14:paraId="6C9F2C73" w14:textId="77777777" w:rsidR="00D96307" w:rsidRPr="00D96307" w:rsidRDefault="00D96307" w:rsidP="00D96307">
      <w:pPr>
        <w:spacing w:line="360" w:lineRule="auto"/>
        <w:jc w:val="both"/>
        <w:rPr>
          <w:b/>
          <w:bCs/>
          <w:i w:val="0"/>
          <w:iCs w:val="0"/>
          <w:sz w:val="22"/>
          <w:szCs w:val="22"/>
        </w:rPr>
      </w:pPr>
    </w:p>
    <w:p w14:paraId="317928D8" w14:textId="77777777" w:rsidR="00D96307" w:rsidRPr="00D96307" w:rsidRDefault="00D96307" w:rsidP="00D96307">
      <w:pPr>
        <w:spacing w:line="360" w:lineRule="auto"/>
        <w:jc w:val="both"/>
        <w:rPr>
          <w:b/>
          <w:bCs/>
          <w:i w:val="0"/>
          <w:iCs w:val="0"/>
        </w:rPr>
      </w:pPr>
      <w:r w:rsidRPr="00D96307">
        <w:rPr>
          <w:b/>
          <w:bCs/>
          <w:i w:val="0"/>
          <w:iCs w:val="0"/>
        </w:rPr>
        <w:t>Comparison of clinical parameters between healthy and affected dog</w:t>
      </w:r>
    </w:p>
    <w:p w14:paraId="1020C40F" w14:textId="77777777" w:rsidR="00D96307" w:rsidRPr="00D96307" w:rsidRDefault="00D96307" w:rsidP="00D96307">
      <w:pPr>
        <w:spacing w:line="360" w:lineRule="auto"/>
        <w:jc w:val="both"/>
        <w:rPr>
          <w:i w:val="0"/>
          <w:iCs w:val="0"/>
        </w:rPr>
      </w:pPr>
      <w:r w:rsidRPr="00D96307">
        <w:rPr>
          <w:i w:val="0"/>
          <w:iCs w:val="0"/>
        </w:rPr>
        <w:t xml:space="preserve">Randomly, 52 CPV-2a, 52 CPV-2b and 44 CPV-2c cases were selected. </w:t>
      </w:r>
    </w:p>
    <w:p w14:paraId="540E21E7" w14:textId="77777777" w:rsidR="00D96307" w:rsidRPr="00D96307" w:rsidRDefault="00D96307" w:rsidP="00D96307">
      <w:pPr>
        <w:pStyle w:val="ListParagraph"/>
        <w:numPr>
          <w:ilvl w:val="0"/>
          <w:numId w:val="1"/>
        </w:numPr>
        <w:spacing w:line="360" w:lineRule="auto"/>
        <w:jc w:val="both"/>
        <w:rPr>
          <w:i w:val="0"/>
          <w:iCs w:val="0"/>
        </w:rPr>
      </w:pPr>
      <w:r w:rsidRPr="00D96307">
        <w:rPr>
          <w:i w:val="0"/>
          <w:iCs w:val="0"/>
        </w:rPr>
        <w:t>Heart Rate shows clear elevation in CPV-2b and CPV-2c groups compared to healthy controls and CPV-2a</w:t>
      </w:r>
    </w:p>
    <w:p w14:paraId="3D378C6F" w14:textId="77777777" w:rsidR="00D96307" w:rsidRPr="00D96307" w:rsidRDefault="00D96307" w:rsidP="00D96307">
      <w:pPr>
        <w:pStyle w:val="ListParagraph"/>
        <w:numPr>
          <w:ilvl w:val="0"/>
          <w:numId w:val="1"/>
        </w:numPr>
        <w:spacing w:line="360" w:lineRule="auto"/>
        <w:jc w:val="both"/>
        <w:rPr>
          <w:i w:val="0"/>
          <w:iCs w:val="0"/>
        </w:rPr>
      </w:pPr>
      <w:r w:rsidRPr="00D96307">
        <w:rPr>
          <w:i w:val="0"/>
          <w:iCs w:val="0"/>
        </w:rPr>
        <w:lastRenderedPageBreak/>
        <w:t>Respiration Rate shows a progressive increase from healthy controls through the different CPV-2 variants</w:t>
      </w:r>
    </w:p>
    <w:p w14:paraId="17135F49" w14:textId="1E0C76C3" w:rsidR="00D96307" w:rsidRDefault="00D96307" w:rsidP="00D96307">
      <w:pPr>
        <w:pStyle w:val="ListParagraph"/>
        <w:numPr>
          <w:ilvl w:val="0"/>
          <w:numId w:val="1"/>
        </w:numPr>
        <w:spacing w:line="360" w:lineRule="auto"/>
        <w:jc w:val="both"/>
        <w:rPr>
          <w:i w:val="0"/>
          <w:iCs w:val="0"/>
        </w:rPr>
      </w:pPr>
      <w:r w:rsidRPr="00D96307">
        <w:rPr>
          <w:i w:val="0"/>
          <w:iCs w:val="0"/>
        </w:rPr>
        <w:t>Temperature shows marked elevation in all CPV-2 variants compared to healthy controls.</w:t>
      </w:r>
    </w:p>
    <w:p w14:paraId="084AE127" w14:textId="77777777" w:rsidR="00D96307" w:rsidRPr="00D96307" w:rsidRDefault="00D96307" w:rsidP="00D96307">
      <w:pPr>
        <w:pStyle w:val="ListParagraph"/>
        <w:numPr>
          <w:ilvl w:val="0"/>
          <w:numId w:val="1"/>
        </w:numPr>
        <w:spacing w:line="360" w:lineRule="auto"/>
        <w:jc w:val="center"/>
        <w:rPr>
          <w:i w:val="0"/>
          <w:iCs w:val="0"/>
        </w:rPr>
      </w:pPr>
      <w:r w:rsidRPr="00D96307">
        <w:rPr>
          <w:i w:val="0"/>
          <w:iCs w:val="0"/>
        </w:rPr>
        <w:t>Table 3.  Comparison of clinical parameters between healthy and affected dog</w:t>
      </w:r>
    </w:p>
    <w:tbl>
      <w:tblPr>
        <w:tblStyle w:val="TableGrid"/>
        <w:tblW w:w="9424" w:type="dxa"/>
        <w:tblLook w:val="04A0" w:firstRow="1" w:lastRow="0" w:firstColumn="1" w:lastColumn="0" w:noHBand="0" w:noVBand="1"/>
      </w:tblPr>
      <w:tblGrid>
        <w:gridCol w:w="2192"/>
        <w:gridCol w:w="1808"/>
        <w:gridCol w:w="1808"/>
        <w:gridCol w:w="1808"/>
        <w:gridCol w:w="1808"/>
      </w:tblGrid>
      <w:tr w:rsidR="00D96307" w:rsidRPr="00D96307" w14:paraId="485C39E0" w14:textId="77777777" w:rsidTr="00905D0E">
        <w:trPr>
          <w:trHeight w:val="282"/>
        </w:trPr>
        <w:tc>
          <w:tcPr>
            <w:tcW w:w="2192" w:type="dxa"/>
            <w:noWrap/>
          </w:tcPr>
          <w:p w14:paraId="3BAC3F6E" w14:textId="77777777" w:rsidR="00D96307" w:rsidRPr="00D96307" w:rsidRDefault="00D96307" w:rsidP="00905D0E">
            <w:pPr>
              <w:spacing w:line="360" w:lineRule="auto"/>
              <w:jc w:val="center"/>
              <w:rPr>
                <w:b/>
                <w:bCs/>
                <w:sz w:val="22"/>
                <w:szCs w:val="22"/>
              </w:rPr>
            </w:pPr>
            <w:r w:rsidRPr="00D96307">
              <w:rPr>
                <w:b/>
                <w:bCs/>
                <w:sz w:val="22"/>
                <w:szCs w:val="22"/>
              </w:rPr>
              <w:t>Parameter</w:t>
            </w:r>
          </w:p>
          <w:p w14:paraId="5A0A2385" w14:textId="77777777" w:rsidR="00D96307" w:rsidRPr="00D96307" w:rsidRDefault="00D96307" w:rsidP="00905D0E">
            <w:pPr>
              <w:spacing w:line="360" w:lineRule="auto"/>
              <w:jc w:val="center"/>
              <w:rPr>
                <w:b/>
                <w:bCs/>
                <w:sz w:val="22"/>
                <w:szCs w:val="22"/>
              </w:rPr>
            </w:pPr>
          </w:p>
        </w:tc>
        <w:tc>
          <w:tcPr>
            <w:tcW w:w="1808" w:type="dxa"/>
            <w:noWrap/>
          </w:tcPr>
          <w:p w14:paraId="520186DF" w14:textId="77777777" w:rsidR="00D96307" w:rsidRPr="00D96307" w:rsidRDefault="00D96307" w:rsidP="00905D0E">
            <w:pPr>
              <w:spacing w:line="360" w:lineRule="auto"/>
              <w:jc w:val="center"/>
              <w:rPr>
                <w:b/>
                <w:bCs/>
                <w:sz w:val="22"/>
                <w:szCs w:val="22"/>
              </w:rPr>
            </w:pPr>
            <w:r w:rsidRPr="00D96307">
              <w:rPr>
                <w:b/>
                <w:bCs/>
                <w:sz w:val="22"/>
                <w:szCs w:val="22"/>
              </w:rPr>
              <w:t xml:space="preserve">Healthy Control(n=10 ) </w:t>
            </w:r>
          </w:p>
        </w:tc>
        <w:tc>
          <w:tcPr>
            <w:tcW w:w="1808" w:type="dxa"/>
            <w:noWrap/>
          </w:tcPr>
          <w:p w14:paraId="1FA005E3" w14:textId="77777777" w:rsidR="00D96307" w:rsidRPr="00D96307" w:rsidRDefault="00D96307" w:rsidP="00905D0E">
            <w:pPr>
              <w:spacing w:line="360" w:lineRule="auto"/>
              <w:jc w:val="center"/>
              <w:rPr>
                <w:b/>
                <w:bCs/>
                <w:sz w:val="22"/>
                <w:szCs w:val="22"/>
              </w:rPr>
            </w:pPr>
            <w:r w:rsidRPr="00D96307">
              <w:rPr>
                <w:b/>
                <w:bCs/>
                <w:sz w:val="22"/>
                <w:szCs w:val="22"/>
              </w:rPr>
              <w:t xml:space="preserve">CPV-2a* </w:t>
            </w:r>
          </w:p>
          <w:p w14:paraId="590E8604" w14:textId="77777777" w:rsidR="00D96307" w:rsidRPr="00D96307" w:rsidRDefault="00D96307" w:rsidP="00905D0E">
            <w:pPr>
              <w:spacing w:line="360" w:lineRule="auto"/>
              <w:jc w:val="center"/>
              <w:rPr>
                <w:b/>
                <w:bCs/>
                <w:sz w:val="22"/>
                <w:szCs w:val="22"/>
              </w:rPr>
            </w:pPr>
            <w:r w:rsidRPr="00D96307">
              <w:rPr>
                <w:b/>
                <w:bCs/>
                <w:sz w:val="22"/>
                <w:szCs w:val="22"/>
              </w:rPr>
              <w:t>(n=52)</w:t>
            </w:r>
          </w:p>
          <w:p w14:paraId="1D383C45" w14:textId="77777777" w:rsidR="00D96307" w:rsidRPr="00D96307" w:rsidRDefault="00D96307" w:rsidP="00905D0E">
            <w:pPr>
              <w:spacing w:line="360" w:lineRule="auto"/>
              <w:jc w:val="center"/>
              <w:rPr>
                <w:b/>
                <w:bCs/>
                <w:sz w:val="22"/>
                <w:szCs w:val="22"/>
              </w:rPr>
            </w:pPr>
          </w:p>
        </w:tc>
        <w:tc>
          <w:tcPr>
            <w:tcW w:w="1808" w:type="dxa"/>
            <w:noWrap/>
          </w:tcPr>
          <w:p w14:paraId="116CDD5D" w14:textId="77777777" w:rsidR="00D96307" w:rsidRPr="00D96307" w:rsidRDefault="00D96307" w:rsidP="00905D0E">
            <w:pPr>
              <w:spacing w:line="360" w:lineRule="auto"/>
              <w:jc w:val="center"/>
              <w:rPr>
                <w:b/>
                <w:bCs/>
                <w:sz w:val="22"/>
                <w:szCs w:val="22"/>
              </w:rPr>
            </w:pPr>
            <w:r w:rsidRPr="00D96307">
              <w:rPr>
                <w:b/>
                <w:bCs/>
                <w:sz w:val="22"/>
                <w:szCs w:val="22"/>
              </w:rPr>
              <w:t xml:space="preserve">CPV-2b* </w:t>
            </w:r>
          </w:p>
          <w:p w14:paraId="1874F867" w14:textId="77777777" w:rsidR="00D96307" w:rsidRPr="00D96307" w:rsidRDefault="00D96307" w:rsidP="00905D0E">
            <w:pPr>
              <w:spacing w:line="360" w:lineRule="auto"/>
              <w:jc w:val="center"/>
              <w:rPr>
                <w:b/>
                <w:bCs/>
                <w:sz w:val="22"/>
                <w:szCs w:val="22"/>
              </w:rPr>
            </w:pPr>
            <w:r w:rsidRPr="00D96307">
              <w:rPr>
                <w:b/>
                <w:bCs/>
                <w:sz w:val="22"/>
                <w:szCs w:val="22"/>
              </w:rPr>
              <w:t>(n=52)</w:t>
            </w:r>
          </w:p>
          <w:p w14:paraId="5A6A430F" w14:textId="77777777" w:rsidR="00D96307" w:rsidRPr="00D96307" w:rsidRDefault="00D96307" w:rsidP="00905D0E">
            <w:pPr>
              <w:spacing w:line="360" w:lineRule="auto"/>
              <w:jc w:val="center"/>
              <w:rPr>
                <w:b/>
                <w:bCs/>
                <w:sz w:val="22"/>
                <w:szCs w:val="22"/>
              </w:rPr>
            </w:pPr>
          </w:p>
        </w:tc>
        <w:tc>
          <w:tcPr>
            <w:tcW w:w="1808" w:type="dxa"/>
            <w:noWrap/>
          </w:tcPr>
          <w:p w14:paraId="399B86C4" w14:textId="77777777" w:rsidR="00D96307" w:rsidRPr="00D96307" w:rsidRDefault="00D96307" w:rsidP="00905D0E">
            <w:pPr>
              <w:spacing w:line="360" w:lineRule="auto"/>
              <w:jc w:val="center"/>
              <w:rPr>
                <w:b/>
                <w:bCs/>
                <w:sz w:val="22"/>
                <w:szCs w:val="22"/>
              </w:rPr>
            </w:pPr>
            <w:r w:rsidRPr="00D96307">
              <w:rPr>
                <w:b/>
                <w:bCs/>
                <w:sz w:val="22"/>
                <w:szCs w:val="22"/>
              </w:rPr>
              <w:t xml:space="preserve">CPV-2c* </w:t>
            </w:r>
          </w:p>
          <w:p w14:paraId="1E8DF1C2" w14:textId="77777777" w:rsidR="00D96307" w:rsidRPr="00D96307" w:rsidRDefault="00D96307" w:rsidP="00905D0E">
            <w:pPr>
              <w:spacing w:line="360" w:lineRule="auto"/>
              <w:jc w:val="center"/>
              <w:rPr>
                <w:b/>
                <w:bCs/>
                <w:sz w:val="22"/>
                <w:szCs w:val="22"/>
              </w:rPr>
            </w:pPr>
            <w:r w:rsidRPr="00D96307">
              <w:rPr>
                <w:b/>
                <w:bCs/>
                <w:sz w:val="22"/>
                <w:szCs w:val="22"/>
              </w:rPr>
              <w:t>(n=44)</w:t>
            </w:r>
          </w:p>
          <w:p w14:paraId="4680702D" w14:textId="77777777" w:rsidR="00D96307" w:rsidRPr="00D96307" w:rsidRDefault="00D96307" w:rsidP="00905D0E">
            <w:pPr>
              <w:spacing w:line="360" w:lineRule="auto"/>
              <w:jc w:val="center"/>
              <w:rPr>
                <w:b/>
                <w:bCs/>
                <w:sz w:val="22"/>
                <w:szCs w:val="22"/>
              </w:rPr>
            </w:pPr>
          </w:p>
        </w:tc>
      </w:tr>
      <w:tr w:rsidR="00D96307" w:rsidRPr="00D96307" w14:paraId="23F1B76F" w14:textId="77777777" w:rsidTr="00905D0E">
        <w:trPr>
          <w:trHeight w:val="282"/>
        </w:trPr>
        <w:tc>
          <w:tcPr>
            <w:tcW w:w="2192" w:type="dxa"/>
            <w:noWrap/>
          </w:tcPr>
          <w:p w14:paraId="152523D0" w14:textId="77777777" w:rsidR="00D96307" w:rsidRPr="00D96307" w:rsidRDefault="00D96307" w:rsidP="00905D0E">
            <w:pPr>
              <w:spacing w:line="360" w:lineRule="auto"/>
              <w:jc w:val="both"/>
              <w:rPr>
                <w:b/>
                <w:bCs/>
                <w:sz w:val="22"/>
                <w:szCs w:val="22"/>
              </w:rPr>
            </w:pPr>
            <w:r w:rsidRPr="00D96307">
              <w:rPr>
                <w:b/>
                <w:bCs/>
                <w:sz w:val="22"/>
                <w:szCs w:val="22"/>
              </w:rPr>
              <w:t>Heart Rate</w:t>
            </w:r>
          </w:p>
        </w:tc>
        <w:tc>
          <w:tcPr>
            <w:tcW w:w="1808" w:type="dxa"/>
            <w:noWrap/>
          </w:tcPr>
          <w:p w14:paraId="4CDBA972" w14:textId="77777777" w:rsidR="00D96307" w:rsidRPr="00D96307" w:rsidRDefault="00D96307" w:rsidP="00905D0E">
            <w:pPr>
              <w:spacing w:line="360" w:lineRule="auto"/>
              <w:jc w:val="both"/>
              <w:rPr>
                <w:sz w:val="22"/>
                <w:szCs w:val="22"/>
              </w:rPr>
            </w:pPr>
            <w:r w:rsidRPr="00D96307">
              <w:rPr>
                <w:sz w:val="22"/>
                <w:szCs w:val="22"/>
              </w:rPr>
              <w:t>119.50 ± 4.16</w:t>
            </w:r>
          </w:p>
        </w:tc>
        <w:tc>
          <w:tcPr>
            <w:tcW w:w="1808" w:type="dxa"/>
            <w:noWrap/>
          </w:tcPr>
          <w:p w14:paraId="22004DD0" w14:textId="77777777" w:rsidR="00D96307" w:rsidRPr="00D96307" w:rsidRDefault="00D96307" w:rsidP="00905D0E">
            <w:pPr>
              <w:spacing w:line="360" w:lineRule="auto"/>
              <w:jc w:val="both"/>
              <w:rPr>
                <w:b/>
                <w:bCs/>
                <w:sz w:val="22"/>
                <w:szCs w:val="22"/>
              </w:rPr>
            </w:pPr>
            <w:r w:rsidRPr="00D96307">
              <w:rPr>
                <w:b/>
                <w:bCs/>
                <w:sz w:val="22"/>
                <w:szCs w:val="22"/>
              </w:rPr>
              <w:t>118.41 ± 0.39</w:t>
            </w:r>
          </w:p>
        </w:tc>
        <w:tc>
          <w:tcPr>
            <w:tcW w:w="1808" w:type="dxa"/>
            <w:noWrap/>
          </w:tcPr>
          <w:p w14:paraId="00B5DE69" w14:textId="77777777" w:rsidR="00D96307" w:rsidRPr="00D96307" w:rsidRDefault="00D96307" w:rsidP="00905D0E">
            <w:pPr>
              <w:spacing w:line="360" w:lineRule="auto"/>
              <w:jc w:val="both"/>
              <w:rPr>
                <w:b/>
                <w:bCs/>
                <w:sz w:val="22"/>
                <w:szCs w:val="22"/>
              </w:rPr>
            </w:pPr>
            <w:r w:rsidRPr="00D96307">
              <w:rPr>
                <w:b/>
                <w:bCs/>
                <w:sz w:val="22"/>
                <w:szCs w:val="22"/>
              </w:rPr>
              <w:t>134.34 ± 0.50</w:t>
            </w:r>
          </w:p>
        </w:tc>
        <w:tc>
          <w:tcPr>
            <w:tcW w:w="1808" w:type="dxa"/>
            <w:noWrap/>
          </w:tcPr>
          <w:p w14:paraId="5C221E50" w14:textId="77777777" w:rsidR="00D96307" w:rsidRPr="00D96307" w:rsidRDefault="00D96307" w:rsidP="00905D0E">
            <w:pPr>
              <w:spacing w:line="360" w:lineRule="auto"/>
              <w:jc w:val="both"/>
              <w:rPr>
                <w:b/>
                <w:bCs/>
                <w:sz w:val="22"/>
                <w:szCs w:val="22"/>
              </w:rPr>
            </w:pPr>
            <w:r w:rsidRPr="00D96307">
              <w:rPr>
                <w:b/>
                <w:bCs/>
                <w:sz w:val="22"/>
                <w:szCs w:val="22"/>
              </w:rPr>
              <w:t>133.73 ± 0.35</w:t>
            </w:r>
          </w:p>
        </w:tc>
      </w:tr>
      <w:tr w:rsidR="00D96307" w:rsidRPr="00D96307" w14:paraId="7C205C36" w14:textId="77777777" w:rsidTr="00905D0E">
        <w:trPr>
          <w:trHeight w:val="282"/>
        </w:trPr>
        <w:tc>
          <w:tcPr>
            <w:tcW w:w="2192" w:type="dxa"/>
            <w:noWrap/>
          </w:tcPr>
          <w:p w14:paraId="0B16F080" w14:textId="77777777" w:rsidR="00D96307" w:rsidRPr="00D96307" w:rsidRDefault="00D96307" w:rsidP="00905D0E">
            <w:pPr>
              <w:spacing w:line="360" w:lineRule="auto"/>
              <w:jc w:val="both"/>
              <w:rPr>
                <w:b/>
                <w:bCs/>
                <w:sz w:val="22"/>
                <w:szCs w:val="22"/>
              </w:rPr>
            </w:pPr>
            <w:r w:rsidRPr="00D96307">
              <w:rPr>
                <w:b/>
                <w:bCs/>
                <w:sz w:val="22"/>
                <w:szCs w:val="22"/>
              </w:rPr>
              <w:t>Respiration Rate</w:t>
            </w:r>
          </w:p>
        </w:tc>
        <w:tc>
          <w:tcPr>
            <w:tcW w:w="1808" w:type="dxa"/>
            <w:noWrap/>
          </w:tcPr>
          <w:p w14:paraId="0A150371" w14:textId="77777777" w:rsidR="00D96307" w:rsidRPr="00D96307" w:rsidRDefault="00D96307" w:rsidP="00905D0E">
            <w:pPr>
              <w:spacing w:line="360" w:lineRule="auto"/>
              <w:jc w:val="both"/>
              <w:rPr>
                <w:sz w:val="22"/>
                <w:szCs w:val="22"/>
              </w:rPr>
            </w:pPr>
            <w:r w:rsidRPr="00D96307">
              <w:rPr>
                <w:sz w:val="22"/>
                <w:szCs w:val="22"/>
              </w:rPr>
              <w:t>20.42 ± 2.23</w:t>
            </w:r>
          </w:p>
        </w:tc>
        <w:tc>
          <w:tcPr>
            <w:tcW w:w="1808" w:type="dxa"/>
            <w:noWrap/>
          </w:tcPr>
          <w:p w14:paraId="6331CE94" w14:textId="77777777" w:rsidR="00D96307" w:rsidRPr="00D96307" w:rsidRDefault="00D96307" w:rsidP="00905D0E">
            <w:pPr>
              <w:spacing w:line="360" w:lineRule="auto"/>
              <w:jc w:val="both"/>
              <w:rPr>
                <w:b/>
                <w:bCs/>
                <w:sz w:val="22"/>
                <w:szCs w:val="22"/>
              </w:rPr>
            </w:pPr>
            <w:r w:rsidRPr="00D96307">
              <w:rPr>
                <w:b/>
                <w:bCs/>
                <w:sz w:val="22"/>
                <w:szCs w:val="22"/>
              </w:rPr>
              <w:t>31.83 ± 0.31</w:t>
            </w:r>
          </w:p>
        </w:tc>
        <w:tc>
          <w:tcPr>
            <w:tcW w:w="1808" w:type="dxa"/>
            <w:noWrap/>
          </w:tcPr>
          <w:p w14:paraId="08CEFD61" w14:textId="77777777" w:rsidR="00D96307" w:rsidRPr="00D96307" w:rsidRDefault="00D96307" w:rsidP="00905D0E">
            <w:pPr>
              <w:spacing w:line="360" w:lineRule="auto"/>
              <w:jc w:val="both"/>
              <w:rPr>
                <w:b/>
                <w:bCs/>
                <w:sz w:val="22"/>
                <w:szCs w:val="22"/>
              </w:rPr>
            </w:pPr>
            <w:r w:rsidRPr="00D96307">
              <w:rPr>
                <w:b/>
                <w:bCs/>
                <w:sz w:val="22"/>
                <w:szCs w:val="22"/>
              </w:rPr>
              <w:t>37.49 ± 0.23</w:t>
            </w:r>
          </w:p>
        </w:tc>
        <w:tc>
          <w:tcPr>
            <w:tcW w:w="1808" w:type="dxa"/>
            <w:noWrap/>
          </w:tcPr>
          <w:p w14:paraId="07DB1E26" w14:textId="77777777" w:rsidR="00D96307" w:rsidRPr="00D96307" w:rsidRDefault="00D96307" w:rsidP="00905D0E">
            <w:pPr>
              <w:spacing w:line="360" w:lineRule="auto"/>
              <w:jc w:val="both"/>
              <w:rPr>
                <w:b/>
                <w:bCs/>
                <w:sz w:val="22"/>
                <w:szCs w:val="22"/>
              </w:rPr>
            </w:pPr>
            <w:r w:rsidRPr="00D96307">
              <w:rPr>
                <w:b/>
                <w:bCs/>
                <w:sz w:val="22"/>
                <w:szCs w:val="22"/>
              </w:rPr>
              <w:t>36.43 ± 0.29</w:t>
            </w:r>
          </w:p>
        </w:tc>
      </w:tr>
      <w:tr w:rsidR="00D96307" w:rsidRPr="00D96307" w14:paraId="4C187356" w14:textId="77777777" w:rsidTr="00905D0E">
        <w:trPr>
          <w:trHeight w:val="282"/>
        </w:trPr>
        <w:tc>
          <w:tcPr>
            <w:tcW w:w="2192" w:type="dxa"/>
            <w:noWrap/>
          </w:tcPr>
          <w:p w14:paraId="007E7D9B" w14:textId="77777777" w:rsidR="00D96307" w:rsidRPr="00D96307" w:rsidRDefault="00D96307" w:rsidP="00905D0E">
            <w:pPr>
              <w:spacing w:line="360" w:lineRule="auto"/>
              <w:jc w:val="both"/>
              <w:rPr>
                <w:b/>
                <w:bCs/>
                <w:sz w:val="22"/>
                <w:szCs w:val="22"/>
              </w:rPr>
            </w:pPr>
            <w:r w:rsidRPr="00D96307">
              <w:rPr>
                <w:b/>
                <w:bCs/>
                <w:sz w:val="22"/>
                <w:szCs w:val="22"/>
              </w:rPr>
              <w:t>Temperature</w:t>
            </w:r>
          </w:p>
        </w:tc>
        <w:tc>
          <w:tcPr>
            <w:tcW w:w="1808" w:type="dxa"/>
            <w:noWrap/>
          </w:tcPr>
          <w:p w14:paraId="0FA54BB3" w14:textId="77777777" w:rsidR="00D96307" w:rsidRPr="00D96307" w:rsidRDefault="00D96307" w:rsidP="00905D0E">
            <w:pPr>
              <w:spacing w:line="360" w:lineRule="auto"/>
              <w:jc w:val="both"/>
              <w:rPr>
                <w:sz w:val="22"/>
                <w:szCs w:val="22"/>
              </w:rPr>
            </w:pPr>
            <w:r w:rsidRPr="00D96307">
              <w:rPr>
                <w:sz w:val="22"/>
                <w:szCs w:val="22"/>
              </w:rPr>
              <w:t>101.29 ± 0.21</w:t>
            </w:r>
          </w:p>
        </w:tc>
        <w:tc>
          <w:tcPr>
            <w:tcW w:w="1808" w:type="dxa"/>
            <w:noWrap/>
          </w:tcPr>
          <w:p w14:paraId="5355C1D5" w14:textId="77777777" w:rsidR="00D96307" w:rsidRPr="00D96307" w:rsidRDefault="00D96307" w:rsidP="00905D0E">
            <w:pPr>
              <w:spacing w:line="360" w:lineRule="auto"/>
              <w:jc w:val="both"/>
              <w:rPr>
                <w:b/>
                <w:bCs/>
                <w:sz w:val="22"/>
                <w:szCs w:val="22"/>
              </w:rPr>
            </w:pPr>
            <w:r w:rsidRPr="00D96307">
              <w:rPr>
                <w:b/>
                <w:bCs/>
                <w:sz w:val="22"/>
                <w:szCs w:val="22"/>
              </w:rPr>
              <w:t>103.20 ± 0.03</w:t>
            </w:r>
          </w:p>
        </w:tc>
        <w:tc>
          <w:tcPr>
            <w:tcW w:w="1808" w:type="dxa"/>
            <w:noWrap/>
          </w:tcPr>
          <w:p w14:paraId="1BF9E960" w14:textId="77777777" w:rsidR="00D96307" w:rsidRPr="00D96307" w:rsidRDefault="00D96307" w:rsidP="00905D0E">
            <w:pPr>
              <w:spacing w:line="360" w:lineRule="auto"/>
              <w:jc w:val="both"/>
              <w:rPr>
                <w:b/>
                <w:bCs/>
                <w:sz w:val="22"/>
                <w:szCs w:val="22"/>
              </w:rPr>
            </w:pPr>
            <w:r w:rsidRPr="00D96307">
              <w:rPr>
                <w:b/>
                <w:bCs/>
                <w:sz w:val="22"/>
                <w:szCs w:val="22"/>
              </w:rPr>
              <w:t>103.89 ± 0.03</w:t>
            </w:r>
          </w:p>
        </w:tc>
        <w:tc>
          <w:tcPr>
            <w:tcW w:w="1808" w:type="dxa"/>
            <w:noWrap/>
          </w:tcPr>
          <w:p w14:paraId="5D7AD3B3" w14:textId="77777777" w:rsidR="00D96307" w:rsidRPr="00D96307" w:rsidRDefault="00D96307" w:rsidP="00905D0E">
            <w:pPr>
              <w:spacing w:line="360" w:lineRule="auto"/>
              <w:jc w:val="both"/>
              <w:rPr>
                <w:b/>
                <w:bCs/>
                <w:sz w:val="22"/>
                <w:szCs w:val="22"/>
              </w:rPr>
            </w:pPr>
            <w:r w:rsidRPr="00D96307">
              <w:rPr>
                <w:b/>
                <w:bCs/>
                <w:sz w:val="22"/>
                <w:szCs w:val="22"/>
              </w:rPr>
              <w:t>103.90 ± 0.02</w:t>
            </w:r>
          </w:p>
        </w:tc>
      </w:tr>
    </w:tbl>
    <w:p w14:paraId="610D8700" w14:textId="77777777" w:rsidR="00D96307" w:rsidRPr="00D96307" w:rsidRDefault="00D96307" w:rsidP="00D96307">
      <w:pPr>
        <w:pStyle w:val="ListParagraph"/>
        <w:numPr>
          <w:ilvl w:val="0"/>
          <w:numId w:val="1"/>
        </w:numPr>
        <w:spacing w:line="360" w:lineRule="auto"/>
        <w:jc w:val="both"/>
        <w:rPr>
          <w:i w:val="0"/>
          <w:iCs w:val="0"/>
          <w:sz w:val="22"/>
          <w:szCs w:val="22"/>
        </w:rPr>
      </w:pPr>
      <w:r w:rsidRPr="00D96307">
        <w:rPr>
          <w:b/>
          <w:bCs/>
          <w:i w:val="0"/>
          <w:iCs w:val="0"/>
          <w:sz w:val="22"/>
          <w:szCs w:val="22"/>
        </w:rPr>
        <w:t>*</w:t>
      </w:r>
      <w:r w:rsidRPr="00D96307">
        <w:rPr>
          <w:i w:val="0"/>
          <w:iCs w:val="0"/>
          <w:sz w:val="22"/>
          <w:szCs w:val="22"/>
        </w:rPr>
        <w:t>Significant p value &lt; 0.05</w:t>
      </w:r>
    </w:p>
    <w:p w14:paraId="08422B97" w14:textId="77777777" w:rsidR="00D96307" w:rsidRPr="00D96307" w:rsidRDefault="00D96307" w:rsidP="00D96307">
      <w:pPr>
        <w:spacing w:line="360" w:lineRule="auto"/>
        <w:jc w:val="both"/>
        <w:rPr>
          <w:i w:val="0"/>
          <w:iCs w:val="0"/>
        </w:rPr>
      </w:pPr>
    </w:p>
    <w:p w14:paraId="5BE0B883" w14:textId="77777777" w:rsidR="00D96307" w:rsidRPr="00D96307" w:rsidRDefault="00D96307" w:rsidP="00D96307">
      <w:pPr>
        <w:pStyle w:val="ListParagraph"/>
        <w:spacing w:line="360" w:lineRule="auto"/>
        <w:jc w:val="both"/>
        <w:rPr>
          <w:i w:val="0"/>
          <w:iCs w:val="0"/>
        </w:rPr>
      </w:pPr>
    </w:p>
    <w:p w14:paraId="5D3B28A4" w14:textId="77777777" w:rsidR="00D96307" w:rsidRPr="00D96307" w:rsidRDefault="00D96307" w:rsidP="00D96307">
      <w:pPr>
        <w:spacing w:line="360" w:lineRule="auto"/>
        <w:jc w:val="both"/>
        <w:rPr>
          <w:i w:val="0"/>
          <w:iCs w:val="0"/>
          <w:sz w:val="22"/>
          <w:szCs w:val="22"/>
        </w:rPr>
      </w:pPr>
    </w:p>
    <w:p w14:paraId="41931377" w14:textId="77777777" w:rsidR="00D96307" w:rsidRPr="00D96307" w:rsidRDefault="00D96307" w:rsidP="00D96307">
      <w:pPr>
        <w:spacing w:line="360" w:lineRule="auto"/>
        <w:jc w:val="both"/>
        <w:rPr>
          <w:i w:val="0"/>
          <w:iCs w:val="0"/>
          <w:sz w:val="22"/>
          <w:szCs w:val="22"/>
        </w:rPr>
      </w:pPr>
      <w:r w:rsidRPr="00D96307">
        <w:rPr>
          <w:i w:val="0"/>
          <w:iCs w:val="0"/>
          <w:sz w:val="22"/>
          <w:szCs w:val="22"/>
        </w:rPr>
        <w:t xml:space="preserve">These results suggest that CPV-2 infection significantly affects all three vital parameters, with some variations between different viral variants. These findings align with those reported by Souza et al.(2020) and Goddard and </w:t>
      </w:r>
      <w:proofErr w:type="spellStart"/>
      <w:r w:rsidRPr="00D96307">
        <w:rPr>
          <w:i w:val="0"/>
          <w:iCs w:val="0"/>
          <w:sz w:val="22"/>
          <w:szCs w:val="22"/>
        </w:rPr>
        <w:t>leisewitz</w:t>
      </w:r>
      <w:proofErr w:type="spellEnd"/>
      <w:r w:rsidRPr="00D96307">
        <w:rPr>
          <w:i w:val="0"/>
          <w:iCs w:val="0"/>
          <w:sz w:val="22"/>
          <w:szCs w:val="22"/>
        </w:rPr>
        <w:t xml:space="preserve"> (2010).</w:t>
      </w:r>
    </w:p>
    <w:p w14:paraId="425E87AF" w14:textId="77777777" w:rsidR="00D96307" w:rsidRPr="00D96307" w:rsidRDefault="00D96307" w:rsidP="00D96307">
      <w:pPr>
        <w:spacing w:line="360" w:lineRule="auto"/>
        <w:jc w:val="both"/>
        <w:rPr>
          <w:b/>
          <w:bCs/>
          <w:i w:val="0"/>
          <w:iCs w:val="0"/>
          <w:sz w:val="22"/>
          <w:szCs w:val="22"/>
        </w:rPr>
      </w:pPr>
    </w:p>
    <w:p w14:paraId="3F881B0B" w14:textId="77777777" w:rsidR="00D96307" w:rsidRPr="00D96307" w:rsidRDefault="00D96307" w:rsidP="00D96307">
      <w:pPr>
        <w:spacing w:line="360" w:lineRule="auto"/>
        <w:jc w:val="both"/>
        <w:rPr>
          <w:b/>
          <w:bCs/>
          <w:i w:val="0"/>
          <w:iCs w:val="0"/>
          <w:sz w:val="22"/>
          <w:szCs w:val="22"/>
        </w:rPr>
      </w:pPr>
      <w:r w:rsidRPr="00D96307">
        <w:rPr>
          <w:b/>
          <w:bCs/>
          <w:i w:val="0"/>
          <w:iCs w:val="0"/>
          <w:sz w:val="22"/>
          <w:szCs w:val="22"/>
        </w:rPr>
        <w:t>Clinical signs</w:t>
      </w:r>
    </w:p>
    <w:p w14:paraId="63823FFF" w14:textId="77777777" w:rsidR="00D96307" w:rsidRDefault="00D96307" w:rsidP="00D96307">
      <w:pPr>
        <w:spacing w:line="360" w:lineRule="auto"/>
        <w:jc w:val="both"/>
        <w:rPr>
          <w:i w:val="0"/>
          <w:iCs w:val="0"/>
          <w:sz w:val="22"/>
          <w:szCs w:val="22"/>
        </w:rPr>
      </w:pPr>
      <w:r w:rsidRPr="00D96307">
        <w:rPr>
          <w:i w:val="0"/>
          <w:iCs w:val="0"/>
          <w:sz w:val="22"/>
          <w:szCs w:val="22"/>
        </w:rPr>
        <w:t>Depression to lethargy, diarrhoea and haemorrhagic diarrhoea were the most common symptoms. These symptoms are hallmark indicators of CPV-2 infection, reflecting the virus's aggressive nature and its ability to cause systemic illness.</w:t>
      </w:r>
    </w:p>
    <w:p w14:paraId="25F0DF43" w14:textId="77777777" w:rsidR="005011F1" w:rsidRPr="005011F1" w:rsidRDefault="005011F1" w:rsidP="00D96307">
      <w:pPr>
        <w:spacing w:line="360" w:lineRule="auto"/>
        <w:jc w:val="both"/>
        <w:rPr>
          <w:i w:val="0"/>
          <w:iCs w:val="0"/>
          <w:sz w:val="22"/>
          <w:szCs w:val="22"/>
        </w:rPr>
      </w:pPr>
    </w:p>
    <w:p w14:paraId="1875794E" w14:textId="77777777" w:rsidR="005011F1" w:rsidRPr="005011F1" w:rsidRDefault="005011F1" w:rsidP="005011F1">
      <w:pPr>
        <w:spacing w:line="360" w:lineRule="auto"/>
        <w:jc w:val="center"/>
        <w:rPr>
          <w:i w:val="0"/>
          <w:iCs w:val="0"/>
        </w:rPr>
      </w:pPr>
      <w:r w:rsidRPr="005011F1">
        <w:rPr>
          <w:i w:val="0"/>
          <w:iCs w:val="0"/>
        </w:rPr>
        <w:t>Table 4. Occurrence of clinical signs of CPV-2 affected dogs</w:t>
      </w:r>
    </w:p>
    <w:tbl>
      <w:tblPr>
        <w:tblStyle w:val="TableGrid"/>
        <w:tblW w:w="0" w:type="auto"/>
        <w:tblLook w:val="04A0" w:firstRow="1" w:lastRow="0" w:firstColumn="1" w:lastColumn="0" w:noHBand="0" w:noVBand="1"/>
      </w:tblPr>
      <w:tblGrid>
        <w:gridCol w:w="2547"/>
        <w:gridCol w:w="3197"/>
        <w:gridCol w:w="3272"/>
      </w:tblGrid>
      <w:tr w:rsidR="005011F1" w14:paraId="3A5F7614" w14:textId="77777777" w:rsidTr="00905D0E">
        <w:tc>
          <w:tcPr>
            <w:tcW w:w="2547" w:type="dxa"/>
          </w:tcPr>
          <w:p w14:paraId="6DBB640C" w14:textId="77777777" w:rsidR="005011F1" w:rsidRDefault="005011F1" w:rsidP="00905D0E">
            <w:pPr>
              <w:spacing w:line="360" w:lineRule="auto"/>
              <w:jc w:val="center"/>
              <w:rPr>
                <w:b/>
                <w:bCs/>
                <w:sz w:val="22"/>
                <w:szCs w:val="22"/>
              </w:rPr>
            </w:pPr>
            <w:r>
              <w:rPr>
                <w:b/>
                <w:bCs/>
                <w:sz w:val="22"/>
                <w:szCs w:val="22"/>
              </w:rPr>
              <w:t>Clinical signs</w:t>
            </w:r>
          </w:p>
        </w:tc>
        <w:tc>
          <w:tcPr>
            <w:tcW w:w="3197" w:type="dxa"/>
          </w:tcPr>
          <w:p w14:paraId="48FA21D6" w14:textId="77777777" w:rsidR="005011F1" w:rsidRDefault="005011F1" w:rsidP="00905D0E">
            <w:pPr>
              <w:spacing w:line="360" w:lineRule="auto"/>
              <w:jc w:val="center"/>
              <w:rPr>
                <w:b/>
                <w:bCs/>
                <w:sz w:val="22"/>
                <w:szCs w:val="22"/>
              </w:rPr>
            </w:pPr>
            <w:r>
              <w:rPr>
                <w:b/>
                <w:bCs/>
                <w:sz w:val="22"/>
                <w:szCs w:val="22"/>
              </w:rPr>
              <w:t>No. of dogs affected</w:t>
            </w:r>
          </w:p>
        </w:tc>
        <w:tc>
          <w:tcPr>
            <w:tcW w:w="3272" w:type="dxa"/>
          </w:tcPr>
          <w:p w14:paraId="3EF0E3C9" w14:textId="77777777" w:rsidR="005011F1" w:rsidRDefault="005011F1" w:rsidP="00905D0E">
            <w:pPr>
              <w:spacing w:line="360" w:lineRule="auto"/>
              <w:jc w:val="center"/>
              <w:rPr>
                <w:b/>
                <w:bCs/>
                <w:sz w:val="22"/>
                <w:szCs w:val="22"/>
              </w:rPr>
            </w:pPr>
            <w:r>
              <w:rPr>
                <w:b/>
                <w:bCs/>
                <w:sz w:val="22"/>
                <w:szCs w:val="22"/>
              </w:rPr>
              <w:t>Percentage</w:t>
            </w:r>
          </w:p>
        </w:tc>
      </w:tr>
      <w:tr w:rsidR="005011F1" w14:paraId="5DE5F8EF" w14:textId="77777777" w:rsidTr="00905D0E">
        <w:tc>
          <w:tcPr>
            <w:tcW w:w="2547" w:type="dxa"/>
          </w:tcPr>
          <w:p w14:paraId="7B41B1DB" w14:textId="77777777" w:rsidR="005011F1" w:rsidRDefault="005011F1" w:rsidP="00905D0E">
            <w:pPr>
              <w:spacing w:line="360" w:lineRule="auto"/>
              <w:jc w:val="center"/>
              <w:rPr>
                <w:sz w:val="22"/>
                <w:szCs w:val="22"/>
              </w:rPr>
            </w:pPr>
            <w:r>
              <w:rPr>
                <w:sz w:val="22"/>
                <w:szCs w:val="22"/>
              </w:rPr>
              <w:t>Depression to lethargy</w:t>
            </w:r>
          </w:p>
        </w:tc>
        <w:tc>
          <w:tcPr>
            <w:tcW w:w="3197" w:type="dxa"/>
          </w:tcPr>
          <w:p w14:paraId="22512189" w14:textId="77777777" w:rsidR="005011F1" w:rsidRDefault="005011F1" w:rsidP="00905D0E">
            <w:pPr>
              <w:spacing w:line="360" w:lineRule="auto"/>
              <w:jc w:val="center"/>
              <w:rPr>
                <w:sz w:val="22"/>
                <w:szCs w:val="22"/>
              </w:rPr>
            </w:pPr>
            <w:r>
              <w:rPr>
                <w:sz w:val="22"/>
                <w:szCs w:val="22"/>
              </w:rPr>
              <w:t>166</w:t>
            </w:r>
          </w:p>
        </w:tc>
        <w:tc>
          <w:tcPr>
            <w:tcW w:w="3272" w:type="dxa"/>
          </w:tcPr>
          <w:p w14:paraId="1D804BBB" w14:textId="77777777" w:rsidR="005011F1" w:rsidRDefault="005011F1" w:rsidP="00905D0E">
            <w:pPr>
              <w:spacing w:line="360" w:lineRule="auto"/>
              <w:jc w:val="center"/>
              <w:rPr>
                <w:sz w:val="22"/>
                <w:szCs w:val="22"/>
              </w:rPr>
            </w:pPr>
            <w:r>
              <w:rPr>
                <w:sz w:val="22"/>
                <w:szCs w:val="22"/>
              </w:rPr>
              <w:t>100%</w:t>
            </w:r>
          </w:p>
        </w:tc>
      </w:tr>
      <w:tr w:rsidR="005011F1" w14:paraId="180C3F02" w14:textId="77777777" w:rsidTr="00905D0E">
        <w:tc>
          <w:tcPr>
            <w:tcW w:w="2547" w:type="dxa"/>
          </w:tcPr>
          <w:p w14:paraId="5A8BC4E9" w14:textId="77777777" w:rsidR="005011F1" w:rsidRDefault="005011F1" w:rsidP="00905D0E">
            <w:pPr>
              <w:spacing w:line="360" w:lineRule="auto"/>
              <w:jc w:val="center"/>
              <w:rPr>
                <w:sz w:val="22"/>
                <w:szCs w:val="22"/>
              </w:rPr>
            </w:pPr>
            <w:r>
              <w:rPr>
                <w:sz w:val="22"/>
                <w:szCs w:val="22"/>
              </w:rPr>
              <w:t>Inappetence</w:t>
            </w:r>
          </w:p>
        </w:tc>
        <w:tc>
          <w:tcPr>
            <w:tcW w:w="3197" w:type="dxa"/>
          </w:tcPr>
          <w:p w14:paraId="3F0E018D" w14:textId="77777777" w:rsidR="005011F1" w:rsidRDefault="005011F1" w:rsidP="00905D0E">
            <w:pPr>
              <w:spacing w:line="360" w:lineRule="auto"/>
              <w:jc w:val="center"/>
              <w:rPr>
                <w:sz w:val="22"/>
                <w:szCs w:val="22"/>
              </w:rPr>
            </w:pPr>
            <w:r>
              <w:rPr>
                <w:sz w:val="22"/>
                <w:szCs w:val="22"/>
              </w:rPr>
              <w:t>162</w:t>
            </w:r>
          </w:p>
        </w:tc>
        <w:tc>
          <w:tcPr>
            <w:tcW w:w="3272" w:type="dxa"/>
          </w:tcPr>
          <w:p w14:paraId="175E4F13" w14:textId="77777777" w:rsidR="005011F1" w:rsidRDefault="005011F1" w:rsidP="00905D0E">
            <w:pPr>
              <w:spacing w:line="360" w:lineRule="auto"/>
              <w:jc w:val="center"/>
              <w:rPr>
                <w:sz w:val="22"/>
                <w:szCs w:val="22"/>
              </w:rPr>
            </w:pPr>
            <w:r>
              <w:rPr>
                <w:sz w:val="22"/>
                <w:szCs w:val="22"/>
              </w:rPr>
              <w:t>97.59%</w:t>
            </w:r>
          </w:p>
        </w:tc>
      </w:tr>
      <w:tr w:rsidR="005011F1" w14:paraId="434FDF0B" w14:textId="77777777" w:rsidTr="00905D0E">
        <w:tc>
          <w:tcPr>
            <w:tcW w:w="2547" w:type="dxa"/>
          </w:tcPr>
          <w:p w14:paraId="28D9DE8F" w14:textId="77777777" w:rsidR="005011F1" w:rsidRDefault="005011F1" w:rsidP="00905D0E">
            <w:pPr>
              <w:spacing w:line="360" w:lineRule="auto"/>
              <w:jc w:val="center"/>
              <w:rPr>
                <w:sz w:val="22"/>
                <w:szCs w:val="22"/>
              </w:rPr>
            </w:pPr>
            <w:r>
              <w:rPr>
                <w:sz w:val="22"/>
                <w:szCs w:val="22"/>
              </w:rPr>
              <w:t>Pale mucosa</w:t>
            </w:r>
          </w:p>
        </w:tc>
        <w:tc>
          <w:tcPr>
            <w:tcW w:w="3197" w:type="dxa"/>
          </w:tcPr>
          <w:p w14:paraId="493BDB95" w14:textId="77777777" w:rsidR="005011F1" w:rsidRDefault="005011F1" w:rsidP="00905D0E">
            <w:pPr>
              <w:spacing w:line="360" w:lineRule="auto"/>
              <w:jc w:val="center"/>
              <w:rPr>
                <w:sz w:val="22"/>
                <w:szCs w:val="22"/>
              </w:rPr>
            </w:pPr>
            <w:r>
              <w:rPr>
                <w:sz w:val="22"/>
                <w:szCs w:val="22"/>
              </w:rPr>
              <w:t>112</w:t>
            </w:r>
          </w:p>
        </w:tc>
        <w:tc>
          <w:tcPr>
            <w:tcW w:w="3272" w:type="dxa"/>
          </w:tcPr>
          <w:p w14:paraId="1863AF7C" w14:textId="77777777" w:rsidR="005011F1" w:rsidRDefault="005011F1" w:rsidP="00905D0E">
            <w:pPr>
              <w:spacing w:line="360" w:lineRule="auto"/>
              <w:jc w:val="center"/>
              <w:rPr>
                <w:sz w:val="22"/>
                <w:szCs w:val="22"/>
              </w:rPr>
            </w:pPr>
            <w:r>
              <w:rPr>
                <w:sz w:val="22"/>
                <w:szCs w:val="22"/>
              </w:rPr>
              <w:t>67.47%</w:t>
            </w:r>
          </w:p>
        </w:tc>
      </w:tr>
      <w:tr w:rsidR="005011F1" w14:paraId="3120FB71" w14:textId="77777777" w:rsidTr="00905D0E">
        <w:tc>
          <w:tcPr>
            <w:tcW w:w="2547" w:type="dxa"/>
          </w:tcPr>
          <w:p w14:paraId="6A2C8F45" w14:textId="77777777" w:rsidR="005011F1" w:rsidRDefault="005011F1" w:rsidP="00905D0E">
            <w:pPr>
              <w:spacing w:line="360" w:lineRule="auto"/>
              <w:jc w:val="center"/>
              <w:rPr>
                <w:sz w:val="22"/>
                <w:szCs w:val="22"/>
              </w:rPr>
            </w:pPr>
            <w:r>
              <w:rPr>
                <w:sz w:val="22"/>
                <w:szCs w:val="22"/>
              </w:rPr>
              <w:t>Fever</w:t>
            </w:r>
          </w:p>
        </w:tc>
        <w:tc>
          <w:tcPr>
            <w:tcW w:w="3197" w:type="dxa"/>
          </w:tcPr>
          <w:p w14:paraId="4A8147F2" w14:textId="77777777" w:rsidR="005011F1" w:rsidRDefault="005011F1" w:rsidP="00905D0E">
            <w:pPr>
              <w:spacing w:line="360" w:lineRule="auto"/>
              <w:jc w:val="center"/>
              <w:rPr>
                <w:sz w:val="22"/>
                <w:szCs w:val="22"/>
              </w:rPr>
            </w:pPr>
            <w:r>
              <w:rPr>
                <w:sz w:val="22"/>
                <w:szCs w:val="22"/>
              </w:rPr>
              <w:t>71</w:t>
            </w:r>
          </w:p>
        </w:tc>
        <w:tc>
          <w:tcPr>
            <w:tcW w:w="3272" w:type="dxa"/>
          </w:tcPr>
          <w:p w14:paraId="5CB1EEBF" w14:textId="77777777" w:rsidR="005011F1" w:rsidRDefault="005011F1" w:rsidP="00905D0E">
            <w:pPr>
              <w:spacing w:line="360" w:lineRule="auto"/>
              <w:jc w:val="center"/>
              <w:rPr>
                <w:sz w:val="22"/>
                <w:szCs w:val="22"/>
              </w:rPr>
            </w:pPr>
            <w:r>
              <w:rPr>
                <w:sz w:val="22"/>
                <w:szCs w:val="22"/>
              </w:rPr>
              <w:t>42.77%</w:t>
            </w:r>
          </w:p>
        </w:tc>
      </w:tr>
      <w:tr w:rsidR="005011F1" w14:paraId="29211433" w14:textId="77777777" w:rsidTr="00905D0E">
        <w:tc>
          <w:tcPr>
            <w:tcW w:w="2547" w:type="dxa"/>
          </w:tcPr>
          <w:p w14:paraId="595AE0A9" w14:textId="77777777" w:rsidR="005011F1" w:rsidRDefault="005011F1" w:rsidP="00905D0E">
            <w:pPr>
              <w:spacing w:line="360" w:lineRule="auto"/>
              <w:jc w:val="center"/>
              <w:rPr>
                <w:sz w:val="22"/>
                <w:szCs w:val="22"/>
              </w:rPr>
            </w:pPr>
            <w:r>
              <w:rPr>
                <w:sz w:val="22"/>
                <w:szCs w:val="22"/>
              </w:rPr>
              <w:t>Diarrhoea</w:t>
            </w:r>
          </w:p>
        </w:tc>
        <w:tc>
          <w:tcPr>
            <w:tcW w:w="3197" w:type="dxa"/>
          </w:tcPr>
          <w:p w14:paraId="0E699F98" w14:textId="77777777" w:rsidR="005011F1" w:rsidRDefault="005011F1" w:rsidP="00905D0E">
            <w:pPr>
              <w:spacing w:line="360" w:lineRule="auto"/>
              <w:jc w:val="center"/>
              <w:rPr>
                <w:sz w:val="22"/>
                <w:szCs w:val="22"/>
              </w:rPr>
            </w:pPr>
            <w:r>
              <w:rPr>
                <w:sz w:val="22"/>
                <w:szCs w:val="22"/>
              </w:rPr>
              <w:t>18</w:t>
            </w:r>
          </w:p>
        </w:tc>
        <w:tc>
          <w:tcPr>
            <w:tcW w:w="3272" w:type="dxa"/>
          </w:tcPr>
          <w:p w14:paraId="051C48CA" w14:textId="77777777" w:rsidR="005011F1" w:rsidRDefault="005011F1" w:rsidP="00905D0E">
            <w:pPr>
              <w:spacing w:line="360" w:lineRule="auto"/>
              <w:jc w:val="center"/>
              <w:rPr>
                <w:sz w:val="22"/>
                <w:szCs w:val="22"/>
              </w:rPr>
            </w:pPr>
            <w:r>
              <w:rPr>
                <w:sz w:val="22"/>
                <w:szCs w:val="22"/>
              </w:rPr>
              <w:t>10.84%</w:t>
            </w:r>
          </w:p>
        </w:tc>
      </w:tr>
      <w:tr w:rsidR="005011F1" w14:paraId="51EA78F2" w14:textId="77777777" w:rsidTr="00905D0E">
        <w:tc>
          <w:tcPr>
            <w:tcW w:w="2547" w:type="dxa"/>
          </w:tcPr>
          <w:p w14:paraId="75109F72" w14:textId="77777777" w:rsidR="005011F1" w:rsidRDefault="005011F1" w:rsidP="00905D0E">
            <w:pPr>
              <w:spacing w:line="360" w:lineRule="auto"/>
              <w:jc w:val="center"/>
              <w:rPr>
                <w:sz w:val="22"/>
                <w:szCs w:val="22"/>
              </w:rPr>
            </w:pPr>
            <w:r>
              <w:rPr>
                <w:sz w:val="22"/>
                <w:szCs w:val="22"/>
              </w:rPr>
              <w:t>Haemorrhagic diarrhoea</w:t>
            </w:r>
          </w:p>
        </w:tc>
        <w:tc>
          <w:tcPr>
            <w:tcW w:w="3197" w:type="dxa"/>
          </w:tcPr>
          <w:p w14:paraId="19C1DE17" w14:textId="77777777" w:rsidR="005011F1" w:rsidRDefault="005011F1" w:rsidP="00905D0E">
            <w:pPr>
              <w:spacing w:line="360" w:lineRule="auto"/>
              <w:jc w:val="center"/>
              <w:rPr>
                <w:sz w:val="22"/>
                <w:szCs w:val="22"/>
              </w:rPr>
            </w:pPr>
            <w:r>
              <w:rPr>
                <w:sz w:val="22"/>
                <w:szCs w:val="22"/>
              </w:rPr>
              <w:t>148</w:t>
            </w:r>
          </w:p>
        </w:tc>
        <w:tc>
          <w:tcPr>
            <w:tcW w:w="3272" w:type="dxa"/>
          </w:tcPr>
          <w:p w14:paraId="3D71CDA1" w14:textId="77777777" w:rsidR="005011F1" w:rsidRDefault="005011F1" w:rsidP="00905D0E">
            <w:pPr>
              <w:spacing w:line="360" w:lineRule="auto"/>
              <w:rPr>
                <w:sz w:val="22"/>
                <w:szCs w:val="22"/>
              </w:rPr>
            </w:pPr>
            <w:r>
              <w:rPr>
                <w:sz w:val="22"/>
                <w:szCs w:val="22"/>
              </w:rPr>
              <w:t xml:space="preserve">                      89.15%</w:t>
            </w:r>
          </w:p>
        </w:tc>
      </w:tr>
      <w:tr w:rsidR="005011F1" w14:paraId="3AC25AF4" w14:textId="77777777" w:rsidTr="00905D0E">
        <w:tc>
          <w:tcPr>
            <w:tcW w:w="2547" w:type="dxa"/>
          </w:tcPr>
          <w:p w14:paraId="2B2EC57D" w14:textId="77777777" w:rsidR="005011F1" w:rsidRDefault="005011F1" w:rsidP="00905D0E">
            <w:pPr>
              <w:spacing w:line="360" w:lineRule="auto"/>
              <w:jc w:val="center"/>
              <w:rPr>
                <w:sz w:val="22"/>
                <w:szCs w:val="22"/>
              </w:rPr>
            </w:pPr>
            <w:proofErr w:type="spellStart"/>
            <w:r>
              <w:rPr>
                <w:sz w:val="22"/>
                <w:szCs w:val="22"/>
              </w:rPr>
              <w:t>Vomition</w:t>
            </w:r>
            <w:proofErr w:type="spellEnd"/>
          </w:p>
        </w:tc>
        <w:tc>
          <w:tcPr>
            <w:tcW w:w="3197" w:type="dxa"/>
          </w:tcPr>
          <w:p w14:paraId="3C5B23A1" w14:textId="77777777" w:rsidR="005011F1" w:rsidRDefault="005011F1" w:rsidP="00905D0E">
            <w:pPr>
              <w:spacing w:line="360" w:lineRule="auto"/>
              <w:jc w:val="center"/>
              <w:rPr>
                <w:sz w:val="22"/>
                <w:szCs w:val="22"/>
              </w:rPr>
            </w:pPr>
            <w:r>
              <w:rPr>
                <w:sz w:val="22"/>
                <w:szCs w:val="22"/>
              </w:rPr>
              <w:t>123</w:t>
            </w:r>
          </w:p>
        </w:tc>
        <w:tc>
          <w:tcPr>
            <w:tcW w:w="3272" w:type="dxa"/>
          </w:tcPr>
          <w:p w14:paraId="0F729B74" w14:textId="77777777" w:rsidR="005011F1" w:rsidRDefault="005011F1" w:rsidP="00905D0E">
            <w:pPr>
              <w:spacing w:line="360" w:lineRule="auto"/>
              <w:jc w:val="center"/>
              <w:rPr>
                <w:sz w:val="22"/>
                <w:szCs w:val="22"/>
              </w:rPr>
            </w:pPr>
            <w:r>
              <w:rPr>
                <w:sz w:val="22"/>
                <w:szCs w:val="22"/>
              </w:rPr>
              <w:t>74.09%</w:t>
            </w:r>
          </w:p>
        </w:tc>
      </w:tr>
      <w:tr w:rsidR="005011F1" w14:paraId="2B377F17" w14:textId="77777777" w:rsidTr="00905D0E">
        <w:tc>
          <w:tcPr>
            <w:tcW w:w="2547" w:type="dxa"/>
          </w:tcPr>
          <w:p w14:paraId="4D2803C1" w14:textId="77777777" w:rsidR="005011F1" w:rsidRDefault="005011F1" w:rsidP="00905D0E">
            <w:pPr>
              <w:spacing w:line="360" w:lineRule="auto"/>
              <w:jc w:val="center"/>
              <w:rPr>
                <w:sz w:val="22"/>
                <w:szCs w:val="22"/>
              </w:rPr>
            </w:pPr>
            <w:r>
              <w:rPr>
                <w:sz w:val="22"/>
                <w:szCs w:val="22"/>
              </w:rPr>
              <w:t>Dehydration</w:t>
            </w:r>
          </w:p>
        </w:tc>
        <w:tc>
          <w:tcPr>
            <w:tcW w:w="3197" w:type="dxa"/>
          </w:tcPr>
          <w:p w14:paraId="1324D709" w14:textId="77777777" w:rsidR="005011F1" w:rsidRDefault="005011F1" w:rsidP="00905D0E">
            <w:pPr>
              <w:spacing w:line="360" w:lineRule="auto"/>
              <w:jc w:val="center"/>
              <w:rPr>
                <w:sz w:val="22"/>
                <w:szCs w:val="22"/>
              </w:rPr>
            </w:pPr>
            <w:r>
              <w:rPr>
                <w:sz w:val="22"/>
                <w:szCs w:val="22"/>
              </w:rPr>
              <w:t>65</w:t>
            </w:r>
          </w:p>
        </w:tc>
        <w:tc>
          <w:tcPr>
            <w:tcW w:w="3272" w:type="dxa"/>
          </w:tcPr>
          <w:p w14:paraId="075A3888" w14:textId="77777777" w:rsidR="005011F1" w:rsidRDefault="005011F1" w:rsidP="00905D0E">
            <w:pPr>
              <w:spacing w:line="360" w:lineRule="auto"/>
              <w:jc w:val="center"/>
              <w:rPr>
                <w:sz w:val="22"/>
                <w:szCs w:val="22"/>
              </w:rPr>
            </w:pPr>
            <w:r>
              <w:rPr>
                <w:sz w:val="22"/>
                <w:szCs w:val="22"/>
              </w:rPr>
              <w:t>39.16%</w:t>
            </w:r>
          </w:p>
        </w:tc>
      </w:tr>
    </w:tbl>
    <w:p w14:paraId="16DE1306" w14:textId="77777777" w:rsidR="00D96307" w:rsidRPr="00D96307" w:rsidRDefault="00D96307" w:rsidP="00D96307">
      <w:pPr>
        <w:spacing w:line="360" w:lineRule="auto"/>
        <w:jc w:val="both"/>
        <w:rPr>
          <w:i w:val="0"/>
          <w:iCs w:val="0"/>
          <w:sz w:val="22"/>
          <w:szCs w:val="22"/>
        </w:rPr>
      </w:pPr>
    </w:p>
    <w:p w14:paraId="608C8A8B" w14:textId="77777777" w:rsidR="00D96307" w:rsidRPr="00D96307" w:rsidRDefault="00D96307" w:rsidP="00D96307">
      <w:pPr>
        <w:spacing w:line="360" w:lineRule="auto"/>
        <w:jc w:val="both"/>
        <w:rPr>
          <w:b/>
          <w:bCs/>
          <w:i w:val="0"/>
          <w:iCs w:val="0"/>
        </w:rPr>
      </w:pPr>
      <w:proofErr w:type="spellStart"/>
      <w:r w:rsidRPr="00D96307">
        <w:rPr>
          <w:b/>
          <w:bCs/>
          <w:i w:val="0"/>
          <w:iCs w:val="0"/>
        </w:rPr>
        <w:lastRenderedPageBreak/>
        <w:t>Hematology</w:t>
      </w:r>
      <w:proofErr w:type="spellEnd"/>
    </w:p>
    <w:p w14:paraId="0AABEDA3" w14:textId="77777777" w:rsidR="00D96307" w:rsidRDefault="00D96307" w:rsidP="00D96307">
      <w:pPr>
        <w:spacing w:line="360" w:lineRule="auto"/>
        <w:jc w:val="both"/>
        <w:rPr>
          <w:i w:val="0"/>
          <w:iCs w:val="0"/>
        </w:rPr>
      </w:pPr>
      <w:r w:rsidRPr="00D96307">
        <w:rPr>
          <w:i w:val="0"/>
          <w:iCs w:val="0"/>
        </w:rPr>
        <w:t xml:space="preserve">The </w:t>
      </w:r>
      <w:proofErr w:type="spellStart"/>
      <w:r w:rsidRPr="00D96307">
        <w:rPr>
          <w:i w:val="0"/>
          <w:iCs w:val="0"/>
        </w:rPr>
        <w:t>hematological</w:t>
      </w:r>
      <w:proofErr w:type="spellEnd"/>
      <w:r w:rsidRPr="00D96307">
        <w:rPr>
          <w:i w:val="0"/>
          <w:iCs w:val="0"/>
        </w:rPr>
        <w:t xml:space="preserve"> analysis of dogs infected with CPV-2 variants revealed significant alterations compared to the healthy control group. </w:t>
      </w:r>
      <w:proofErr w:type="spellStart"/>
      <w:r w:rsidRPr="00D96307">
        <w:rPr>
          <w:i w:val="0"/>
          <w:iCs w:val="0"/>
        </w:rPr>
        <w:t>Hemoglobin</w:t>
      </w:r>
      <w:proofErr w:type="spellEnd"/>
      <w:r w:rsidRPr="00D96307">
        <w:rPr>
          <w:i w:val="0"/>
          <w:iCs w:val="0"/>
        </w:rPr>
        <w:t xml:space="preserve">, PCV, and TEC levels were notably reduced in infected dogs, with CPV-2c showing the lowest values. Total leukocyte count was significantly elevated in all CPV-2 variants, while lymphocyte percentage was markedly decreased, especially in CPV-2c cases. Neutrophil counts were highest in CPV-2b and CPV-2c groups, whereas eosinophil and basophil percentages were elevated across all infected groups. Erythrocyte indices, including MCH, MCV, and MCHC, showed significant reductions, particularly in CPV-2c-infected dogs. Despite these changes, platelet counts remained largely unaffected. These findings align with previous studies, such as those by Goddard and </w:t>
      </w:r>
      <w:proofErr w:type="spellStart"/>
      <w:r w:rsidRPr="00D96307">
        <w:rPr>
          <w:i w:val="0"/>
          <w:iCs w:val="0"/>
        </w:rPr>
        <w:t>Leisewitz</w:t>
      </w:r>
      <w:proofErr w:type="spellEnd"/>
      <w:r w:rsidRPr="00D96307">
        <w:rPr>
          <w:i w:val="0"/>
          <w:iCs w:val="0"/>
        </w:rPr>
        <w:t xml:space="preserve"> (2010), who reported significant </w:t>
      </w:r>
      <w:proofErr w:type="spellStart"/>
      <w:r w:rsidRPr="00D96307">
        <w:rPr>
          <w:i w:val="0"/>
          <w:iCs w:val="0"/>
        </w:rPr>
        <w:t>anemia</w:t>
      </w:r>
      <w:proofErr w:type="spellEnd"/>
      <w:r w:rsidRPr="00D96307">
        <w:rPr>
          <w:i w:val="0"/>
          <w:iCs w:val="0"/>
        </w:rPr>
        <w:t xml:space="preserve"> and bone marrow suppression in CPV-2-infected dogs. The observed </w:t>
      </w:r>
      <w:proofErr w:type="spellStart"/>
      <w:r w:rsidRPr="00D96307">
        <w:rPr>
          <w:i w:val="0"/>
          <w:iCs w:val="0"/>
        </w:rPr>
        <w:t>leukocytosis</w:t>
      </w:r>
      <w:proofErr w:type="spellEnd"/>
      <w:r w:rsidRPr="00D96307">
        <w:rPr>
          <w:i w:val="0"/>
          <w:iCs w:val="0"/>
        </w:rPr>
        <w:t xml:space="preserve">, characterized by increased neutrophil counts and reduced lymphocyte percentages, supports findings by Miranda and Thompson (2016), who highlighted neutrophilia as a major inflammatory response in CPV-2 infections. Elevated eosinophil and basophil counts correspond with the immune-mediated responses described by Decaro et al. (2009). Additionally, the decrease in erythrocyte indices is consistent with observations by Pereira et al. (2020), who reported significant red blood cell abnormalities in CPV-2-infected dogs. While platelet counts remained unchanged, the overall </w:t>
      </w:r>
      <w:proofErr w:type="spellStart"/>
      <w:r w:rsidRPr="00D96307">
        <w:rPr>
          <w:i w:val="0"/>
          <w:iCs w:val="0"/>
        </w:rPr>
        <w:t>hematological</w:t>
      </w:r>
      <w:proofErr w:type="spellEnd"/>
      <w:r w:rsidRPr="00D96307">
        <w:rPr>
          <w:i w:val="0"/>
          <w:iCs w:val="0"/>
        </w:rPr>
        <w:t xml:space="preserve"> disturbances, particularly in CPV-2b and CPV-2c, reinforce the severity of these variants, emphasizing their diagnostic and prognostic importance in clinical settings.</w:t>
      </w:r>
    </w:p>
    <w:p w14:paraId="1DF00B89" w14:textId="77777777" w:rsidR="005011F1" w:rsidRDefault="005011F1" w:rsidP="00D96307">
      <w:pPr>
        <w:spacing w:line="360" w:lineRule="auto"/>
        <w:jc w:val="both"/>
        <w:rPr>
          <w:i w:val="0"/>
          <w:iCs w:val="0"/>
        </w:rPr>
      </w:pPr>
    </w:p>
    <w:p w14:paraId="0A2B8EBC" w14:textId="77777777" w:rsidR="005011F1" w:rsidRPr="005011F1" w:rsidRDefault="005011F1" w:rsidP="005011F1">
      <w:pPr>
        <w:spacing w:line="360" w:lineRule="auto"/>
        <w:jc w:val="both"/>
        <w:rPr>
          <w:i w:val="0"/>
          <w:iCs w:val="0"/>
        </w:rPr>
      </w:pPr>
      <w:r w:rsidRPr="005011F1">
        <w:rPr>
          <w:i w:val="0"/>
          <w:iCs w:val="0"/>
        </w:rPr>
        <w:t>Table 5 : Haematological parameters in the healthy/control group and dogs infected with CPV-2a, CPV-2b, and CPV-2c. Values are presented as mean ±SEM. Asterisks indicate statistical significance: *p &lt; 0.05, **p &lt; 0.01.</w:t>
      </w:r>
    </w:p>
    <w:p w14:paraId="440F698F" w14:textId="77777777" w:rsidR="005011F1" w:rsidRPr="0083400E" w:rsidRDefault="005011F1" w:rsidP="005011F1">
      <w:pPr>
        <w:spacing w:line="360" w:lineRule="auto"/>
        <w:jc w:val="center"/>
        <w:rPr>
          <w:b/>
          <w:bCs/>
        </w:rPr>
      </w:pPr>
    </w:p>
    <w:tbl>
      <w:tblPr>
        <w:tblStyle w:val="TableGrid"/>
        <w:tblW w:w="9815" w:type="dxa"/>
        <w:tblInd w:w="-289" w:type="dxa"/>
        <w:tblLook w:val="04A0" w:firstRow="1" w:lastRow="0" w:firstColumn="1" w:lastColumn="0" w:noHBand="0" w:noVBand="1"/>
      </w:tblPr>
      <w:tblGrid>
        <w:gridCol w:w="1887"/>
        <w:gridCol w:w="2285"/>
        <w:gridCol w:w="1881"/>
        <w:gridCol w:w="1881"/>
        <w:gridCol w:w="1881"/>
      </w:tblGrid>
      <w:tr w:rsidR="005011F1" w14:paraId="7AAE0F67" w14:textId="77777777" w:rsidTr="00905D0E">
        <w:trPr>
          <w:trHeight w:val="371"/>
        </w:trPr>
        <w:tc>
          <w:tcPr>
            <w:tcW w:w="1887" w:type="dxa"/>
            <w:shd w:val="clear" w:color="auto" w:fill="FFFFFF" w:themeFill="background1"/>
            <w:noWrap/>
          </w:tcPr>
          <w:p w14:paraId="1E5173AF" w14:textId="77777777" w:rsidR="005011F1" w:rsidRDefault="005011F1" w:rsidP="00905D0E">
            <w:pPr>
              <w:spacing w:line="360" w:lineRule="auto"/>
              <w:jc w:val="center"/>
              <w:rPr>
                <w:b/>
                <w:bCs/>
                <w:color w:val="000000" w:themeColor="text1"/>
                <w:sz w:val="22"/>
                <w:szCs w:val="22"/>
              </w:rPr>
            </w:pPr>
            <w:r>
              <w:rPr>
                <w:b/>
                <w:bCs/>
                <w:color w:val="000000" w:themeColor="text1"/>
                <w:sz w:val="22"/>
                <w:szCs w:val="22"/>
              </w:rPr>
              <w:t>Parameter</w:t>
            </w:r>
          </w:p>
        </w:tc>
        <w:tc>
          <w:tcPr>
            <w:tcW w:w="2285" w:type="dxa"/>
            <w:shd w:val="clear" w:color="auto" w:fill="FFFFFF" w:themeFill="background1"/>
            <w:noWrap/>
          </w:tcPr>
          <w:p w14:paraId="35CFC728" w14:textId="77777777" w:rsidR="005011F1" w:rsidRDefault="005011F1" w:rsidP="00905D0E">
            <w:pPr>
              <w:spacing w:line="360" w:lineRule="auto"/>
              <w:jc w:val="center"/>
              <w:rPr>
                <w:b/>
                <w:bCs/>
                <w:color w:val="000000" w:themeColor="text1"/>
                <w:sz w:val="22"/>
                <w:szCs w:val="22"/>
              </w:rPr>
            </w:pPr>
            <w:r>
              <w:rPr>
                <w:b/>
                <w:bCs/>
                <w:color w:val="000000" w:themeColor="text1"/>
                <w:sz w:val="22"/>
                <w:szCs w:val="22"/>
              </w:rPr>
              <w:t>Healthy/control group(n=10)</w:t>
            </w:r>
          </w:p>
        </w:tc>
        <w:tc>
          <w:tcPr>
            <w:tcW w:w="1881" w:type="dxa"/>
            <w:shd w:val="clear" w:color="auto" w:fill="FFFFFF" w:themeFill="background1"/>
            <w:noWrap/>
          </w:tcPr>
          <w:p w14:paraId="7F18276A" w14:textId="77777777" w:rsidR="005011F1" w:rsidRDefault="005011F1" w:rsidP="00905D0E">
            <w:pPr>
              <w:spacing w:line="360" w:lineRule="auto"/>
              <w:jc w:val="center"/>
              <w:rPr>
                <w:b/>
                <w:bCs/>
                <w:color w:val="000000" w:themeColor="text1"/>
                <w:sz w:val="22"/>
                <w:szCs w:val="22"/>
              </w:rPr>
            </w:pPr>
            <w:r>
              <w:rPr>
                <w:b/>
                <w:bCs/>
                <w:color w:val="000000" w:themeColor="text1"/>
                <w:sz w:val="22"/>
                <w:szCs w:val="22"/>
              </w:rPr>
              <w:t>CPV-2a (n=52)</w:t>
            </w:r>
          </w:p>
        </w:tc>
        <w:tc>
          <w:tcPr>
            <w:tcW w:w="1881" w:type="dxa"/>
            <w:shd w:val="clear" w:color="auto" w:fill="FFFFFF" w:themeFill="background1"/>
            <w:noWrap/>
          </w:tcPr>
          <w:p w14:paraId="5CACFE33" w14:textId="77777777" w:rsidR="005011F1" w:rsidRDefault="005011F1" w:rsidP="00905D0E">
            <w:pPr>
              <w:spacing w:line="360" w:lineRule="auto"/>
              <w:jc w:val="center"/>
              <w:rPr>
                <w:b/>
                <w:bCs/>
                <w:color w:val="000000" w:themeColor="text1"/>
                <w:sz w:val="22"/>
                <w:szCs w:val="22"/>
              </w:rPr>
            </w:pPr>
            <w:r>
              <w:rPr>
                <w:b/>
                <w:bCs/>
                <w:color w:val="000000" w:themeColor="text1"/>
                <w:sz w:val="22"/>
                <w:szCs w:val="22"/>
              </w:rPr>
              <w:t>CPV-2b (n=52)</w:t>
            </w:r>
          </w:p>
        </w:tc>
        <w:tc>
          <w:tcPr>
            <w:tcW w:w="1881" w:type="dxa"/>
            <w:shd w:val="clear" w:color="auto" w:fill="FFFFFF" w:themeFill="background1"/>
            <w:noWrap/>
          </w:tcPr>
          <w:p w14:paraId="73A0CB8F" w14:textId="77777777" w:rsidR="005011F1" w:rsidRDefault="005011F1" w:rsidP="00905D0E">
            <w:pPr>
              <w:spacing w:line="360" w:lineRule="auto"/>
              <w:jc w:val="center"/>
              <w:rPr>
                <w:b/>
                <w:bCs/>
                <w:color w:val="000000" w:themeColor="text1"/>
                <w:sz w:val="22"/>
                <w:szCs w:val="22"/>
              </w:rPr>
            </w:pPr>
            <w:r>
              <w:rPr>
                <w:b/>
                <w:bCs/>
                <w:color w:val="000000" w:themeColor="text1"/>
                <w:sz w:val="22"/>
                <w:szCs w:val="22"/>
              </w:rPr>
              <w:t>CPV-2c (n=44)</w:t>
            </w:r>
          </w:p>
        </w:tc>
      </w:tr>
      <w:tr w:rsidR="005011F1" w14:paraId="1AABF78A" w14:textId="77777777" w:rsidTr="00905D0E">
        <w:trPr>
          <w:trHeight w:val="371"/>
        </w:trPr>
        <w:tc>
          <w:tcPr>
            <w:tcW w:w="1887" w:type="dxa"/>
            <w:shd w:val="clear" w:color="auto" w:fill="FFFFFF" w:themeFill="background1"/>
            <w:noWrap/>
          </w:tcPr>
          <w:p w14:paraId="0291D630" w14:textId="77777777" w:rsidR="005011F1" w:rsidRDefault="005011F1" w:rsidP="00905D0E">
            <w:pPr>
              <w:spacing w:line="360" w:lineRule="auto"/>
              <w:jc w:val="center"/>
              <w:rPr>
                <w:b/>
                <w:bCs/>
                <w:sz w:val="22"/>
                <w:szCs w:val="22"/>
              </w:rPr>
            </w:pPr>
            <w:r>
              <w:rPr>
                <w:b/>
                <w:bCs/>
                <w:sz w:val="22"/>
                <w:szCs w:val="22"/>
              </w:rPr>
              <w:t>Haemoglobin</w:t>
            </w:r>
          </w:p>
        </w:tc>
        <w:tc>
          <w:tcPr>
            <w:tcW w:w="2285" w:type="dxa"/>
            <w:shd w:val="clear" w:color="auto" w:fill="FFFFFF" w:themeFill="background1"/>
            <w:noWrap/>
          </w:tcPr>
          <w:p w14:paraId="2FD294FA" w14:textId="77777777" w:rsidR="005011F1" w:rsidRDefault="005011F1" w:rsidP="00905D0E">
            <w:pPr>
              <w:spacing w:line="360" w:lineRule="auto"/>
              <w:jc w:val="center"/>
              <w:rPr>
                <w:sz w:val="22"/>
                <w:szCs w:val="22"/>
              </w:rPr>
            </w:pPr>
            <w:r>
              <w:rPr>
                <w:sz w:val="22"/>
                <w:szCs w:val="22"/>
              </w:rPr>
              <w:t xml:space="preserve">14.77 ± 0.92 </w:t>
            </w:r>
          </w:p>
        </w:tc>
        <w:tc>
          <w:tcPr>
            <w:tcW w:w="1881" w:type="dxa"/>
            <w:shd w:val="clear" w:color="auto" w:fill="FFFFFF" w:themeFill="background1"/>
            <w:noWrap/>
          </w:tcPr>
          <w:p w14:paraId="3CAA14BD" w14:textId="77777777" w:rsidR="005011F1" w:rsidRDefault="005011F1" w:rsidP="00905D0E">
            <w:pPr>
              <w:spacing w:line="360" w:lineRule="auto"/>
              <w:jc w:val="center"/>
              <w:rPr>
                <w:b/>
                <w:bCs/>
                <w:sz w:val="22"/>
                <w:szCs w:val="22"/>
              </w:rPr>
            </w:pPr>
            <w:r>
              <w:rPr>
                <w:b/>
                <w:bCs/>
                <w:sz w:val="22"/>
                <w:szCs w:val="22"/>
              </w:rPr>
              <w:t xml:space="preserve">12.00 ± 3.14* </w:t>
            </w:r>
          </w:p>
        </w:tc>
        <w:tc>
          <w:tcPr>
            <w:tcW w:w="1881" w:type="dxa"/>
            <w:shd w:val="clear" w:color="auto" w:fill="FFFFFF" w:themeFill="background1"/>
            <w:noWrap/>
          </w:tcPr>
          <w:p w14:paraId="63EA5FF0" w14:textId="77777777" w:rsidR="005011F1" w:rsidRDefault="005011F1" w:rsidP="00905D0E">
            <w:pPr>
              <w:spacing w:line="360" w:lineRule="auto"/>
              <w:jc w:val="center"/>
              <w:rPr>
                <w:b/>
                <w:bCs/>
                <w:sz w:val="22"/>
                <w:szCs w:val="22"/>
              </w:rPr>
            </w:pPr>
            <w:r>
              <w:rPr>
                <w:b/>
                <w:bCs/>
                <w:sz w:val="22"/>
                <w:szCs w:val="22"/>
              </w:rPr>
              <w:t xml:space="preserve">12.06 ± 3.13* </w:t>
            </w:r>
          </w:p>
        </w:tc>
        <w:tc>
          <w:tcPr>
            <w:tcW w:w="1881" w:type="dxa"/>
            <w:shd w:val="clear" w:color="auto" w:fill="FFFFFF" w:themeFill="background1"/>
            <w:noWrap/>
          </w:tcPr>
          <w:p w14:paraId="316F6CC1" w14:textId="77777777" w:rsidR="005011F1" w:rsidRDefault="005011F1" w:rsidP="00905D0E">
            <w:pPr>
              <w:spacing w:line="360" w:lineRule="auto"/>
              <w:jc w:val="center"/>
              <w:rPr>
                <w:b/>
                <w:bCs/>
                <w:sz w:val="22"/>
                <w:szCs w:val="22"/>
              </w:rPr>
            </w:pPr>
            <w:r>
              <w:rPr>
                <w:b/>
                <w:bCs/>
                <w:sz w:val="22"/>
                <w:szCs w:val="22"/>
              </w:rPr>
              <w:t xml:space="preserve">11.82 ± 3.13* </w:t>
            </w:r>
          </w:p>
        </w:tc>
      </w:tr>
      <w:tr w:rsidR="005011F1" w14:paraId="27B5239B" w14:textId="77777777" w:rsidTr="00905D0E">
        <w:trPr>
          <w:trHeight w:val="371"/>
        </w:trPr>
        <w:tc>
          <w:tcPr>
            <w:tcW w:w="1887" w:type="dxa"/>
            <w:shd w:val="clear" w:color="auto" w:fill="FFFFFF" w:themeFill="background1"/>
            <w:noWrap/>
          </w:tcPr>
          <w:p w14:paraId="5244314A" w14:textId="77777777" w:rsidR="005011F1" w:rsidRDefault="005011F1" w:rsidP="00905D0E">
            <w:pPr>
              <w:spacing w:line="360" w:lineRule="auto"/>
              <w:jc w:val="center"/>
              <w:rPr>
                <w:b/>
                <w:bCs/>
                <w:sz w:val="22"/>
                <w:szCs w:val="22"/>
              </w:rPr>
            </w:pPr>
            <w:r>
              <w:rPr>
                <w:b/>
                <w:bCs/>
                <w:sz w:val="22"/>
                <w:szCs w:val="22"/>
              </w:rPr>
              <w:t>PCV</w:t>
            </w:r>
          </w:p>
        </w:tc>
        <w:tc>
          <w:tcPr>
            <w:tcW w:w="2285" w:type="dxa"/>
            <w:shd w:val="clear" w:color="auto" w:fill="FFFFFF" w:themeFill="background1"/>
            <w:noWrap/>
          </w:tcPr>
          <w:p w14:paraId="1D23BAA7" w14:textId="77777777" w:rsidR="005011F1" w:rsidRDefault="005011F1" w:rsidP="00905D0E">
            <w:pPr>
              <w:spacing w:line="360" w:lineRule="auto"/>
              <w:jc w:val="center"/>
              <w:rPr>
                <w:sz w:val="22"/>
                <w:szCs w:val="22"/>
              </w:rPr>
            </w:pPr>
            <w:r>
              <w:rPr>
                <w:sz w:val="22"/>
                <w:szCs w:val="22"/>
              </w:rPr>
              <w:t xml:space="preserve">45.05 ± 2.60 </w:t>
            </w:r>
          </w:p>
        </w:tc>
        <w:tc>
          <w:tcPr>
            <w:tcW w:w="1881" w:type="dxa"/>
            <w:shd w:val="clear" w:color="auto" w:fill="FFFFFF" w:themeFill="background1"/>
            <w:noWrap/>
          </w:tcPr>
          <w:p w14:paraId="7EBC592D" w14:textId="77777777" w:rsidR="005011F1" w:rsidRDefault="005011F1" w:rsidP="00905D0E">
            <w:pPr>
              <w:spacing w:line="360" w:lineRule="auto"/>
              <w:jc w:val="center"/>
              <w:rPr>
                <w:b/>
                <w:bCs/>
                <w:sz w:val="22"/>
                <w:szCs w:val="22"/>
              </w:rPr>
            </w:pPr>
            <w:r>
              <w:rPr>
                <w:b/>
                <w:bCs/>
                <w:sz w:val="22"/>
                <w:szCs w:val="22"/>
              </w:rPr>
              <w:t>31.75 ± 10.49**</w:t>
            </w:r>
          </w:p>
        </w:tc>
        <w:tc>
          <w:tcPr>
            <w:tcW w:w="1881" w:type="dxa"/>
            <w:shd w:val="clear" w:color="auto" w:fill="FFFFFF" w:themeFill="background1"/>
            <w:noWrap/>
          </w:tcPr>
          <w:p w14:paraId="1AB6229D" w14:textId="77777777" w:rsidR="005011F1" w:rsidRDefault="005011F1" w:rsidP="00905D0E">
            <w:pPr>
              <w:spacing w:line="360" w:lineRule="auto"/>
              <w:jc w:val="center"/>
              <w:rPr>
                <w:b/>
                <w:bCs/>
                <w:sz w:val="22"/>
                <w:szCs w:val="22"/>
              </w:rPr>
            </w:pPr>
            <w:r>
              <w:rPr>
                <w:b/>
                <w:bCs/>
                <w:sz w:val="22"/>
                <w:szCs w:val="22"/>
              </w:rPr>
              <w:t xml:space="preserve">32.02 ± 10.40** </w:t>
            </w:r>
          </w:p>
        </w:tc>
        <w:tc>
          <w:tcPr>
            <w:tcW w:w="1881" w:type="dxa"/>
            <w:shd w:val="clear" w:color="auto" w:fill="FFFFFF" w:themeFill="background1"/>
            <w:noWrap/>
          </w:tcPr>
          <w:p w14:paraId="585A9FE6" w14:textId="77777777" w:rsidR="005011F1" w:rsidRDefault="005011F1" w:rsidP="00905D0E">
            <w:pPr>
              <w:spacing w:line="360" w:lineRule="auto"/>
              <w:jc w:val="center"/>
              <w:rPr>
                <w:b/>
                <w:bCs/>
                <w:sz w:val="22"/>
                <w:szCs w:val="22"/>
              </w:rPr>
            </w:pPr>
            <w:r>
              <w:rPr>
                <w:b/>
                <w:bCs/>
                <w:sz w:val="22"/>
                <w:szCs w:val="22"/>
              </w:rPr>
              <w:t>30.93 ± 10.47 **</w:t>
            </w:r>
          </w:p>
        </w:tc>
      </w:tr>
      <w:tr w:rsidR="005011F1" w14:paraId="5B017576" w14:textId="77777777" w:rsidTr="00905D0E">
        <w:trPr>
          <w:trHeight w:val="371"/>
        </w:trPr>
        <w:tc>
          <w:tcPr>
            <w:tcW w:w="1887" w:type="dxa"/>
            <w:shd w:val="clear" w:color="auto" w:fill="FFFFFF" w:themeFill="background1"/>
            <w:noWrap/>
          </w:tcPr>
          <w:p w14:paraId="6B23BE1C" w14:textId="77777777" w:rsidR="005011F1" w:rsidRDefault="005011F1" w:rsidP="00905D0E">
            <w:pPr>
              <w:spacing w:line="360" w:lineRule="auto"/>
              <w:jc w:val="center"/>
              <w:rPr>
                <w:b/>
                <w:bCs/>
                <w:sz w:val="22"/>
                <w:szCs w:val="22"/>
              </w:rPr>
            </w:pPr>
            <w:r>
              <w:rPr>
                <w:b/>
                <w:bCs/>
                <w:sz w:val="22"/>
                <w:szCs w:val="22"/>
              </w:rPr>
              <w:t>TEC</w:t>
            </w:r>
          </w:p>
        </w:tc>
        <w:tc>
          <w:tcPr>
            <w:tcW w:w="2285" w:type="dxa"/>
            <w:shd w:val="clear" w:color="auto" w:fill="FFFFFF" w:themeFill="background1"/>
            <w:noWrap/>
          </w:tcPr>
          <w:p w14:paraId="554118FA" w14:textId="77777777" w:rsidR="005011F1" w:rsidRDefault="005011F1" w:rsidP="00905D0E">
            <w:pPr>
              <w:spacing w:line="360" w:lineRule="auto"/>
              <w:jc w:val="center"/>
              <w:rPr>
                <w:sz w:val="22"/>
                <w:szCs w:val="22"/>
              </w:rPr>
            </w:pPr>
            <w:r>
              <w:rPr>
                <w:sz w:val="22"/>
                <w:szCs w:val="22"/>
              </w:rPr>
              <w:t xml:space="preserve">6.48 ± 0.50 </w:t>
            </w:r>
          </w:p>
        </w:tc>
        <w:tc>
          <w:tcPr>
            <w:tcW w:w="1881" w:type="dxa"/>
            <w:shd w:val="clear" w:color="auto" w:fill="FFFFFF" w:themeFill="background1"/>
            <w:noWrap/>
          </w:tcPr>
          <w:p w14:paraId="3D6822BC" w14:textId="77777777" w:rsidR="005011F1" w:rsidRDefault="005011F1" w:rsidP="00905D0E">
            <w:pPr>
              <w:spacing w:line="360" w:lineRule="auto"/>
              <w:jc w:val="center"/>
              <w:rPr>
                <w:b/>
                <w:bCs/>
                <w:sz w:val="22"/>
                <w:szCs w:val="22"/>
              </w:rPr>
            </w:pPr>
            <w:r>
              <w:rPr>
                <w:b/>
                <w:bCs/>
                <w:sz w:val="22"/>
                <w:szCs w:val="22"/>
              </w:rPr>
              <w:t xml:space="preserve">5.71 ± 1.78* </w:t>
            </w:r>
          </w:p>
        </w:tc>
        <w:tc>
          <w:tcPr>
            <w:tcW w:w="1881" w:type="dxa"/>
            <w:shd w:val="clear" w:color="auto" w:fill="FFFFFF" w:themeFill="background1"/>
            <w:noWrap/>
          </w:tcPr>
          <w:p w14:paraId="5F09600F" w14:textId="77777777" w:rsidR="005011F1" w:rsidRDefault="005011F1" w:rsidP="00905D0E">
            <w:pPr>
              <w:spacing w:line="360" w:lineRule="auto"/>
              <w:jc w:val="center"/>
              <w:rPr>
                <w:b/>
                <w:bCs/>
                <w:sz w:val="22"/>
                <w:szCs w:val="22"/>
              </w:rPr>
            </w:pPr>
            <w:r>
              <w:rPr>
                <w:b/>
                <w:bCs/>
                <w:sz w:val="22"/>
                <w:szCs w:val="22"/>
              </w:rPr>
              <w:t xml:space="preserve">5.74 ± 1.78* </w:t>
            </w:r>
          </w:p>
        </w:tc>
        <w:tc>
          <w:tcPr>
            <w:tcW w:w="1881" w:type="dxa"/>
            <w:shd w:val="clear" w:color="auto" w:fill="FFFFFF" w:themeFill="background1"/>
            <w:noWrap/>
          </w:tcPr>
          <w:p w14:paraId="05B71085" w14:textId="77777777" w:rsidR="005011F1" w:rsidRDefault="005011F1" w:rsidP="00905D0E">
            <w:pPr>
              <w:spacing w:line="360" w:lineRule="auto"/>
              <w:jc w:val="center"/>
              <w:rPr>
                <w:b/>
                <w:bCs/>
                <w:sz w:val="22"/>
                <w:szCs w:val="22"/>
              </w:rPr>
            </w:pPr>
            <w:r>
              <w:rPr>
                <w:b/>
                <w:bCs/>
                <w:sz w:val="22"/>
                <w:szCs w:val="22"/>
              </w:rPr>
              <w:t xml:space="preserve">5.90 ± 1.84* </w:t>
            </w:r>
          </w:p>
        </w:tc>
      </w:tr>
      <w:tr w:rsidR="005011F1" w14:paraId="2CDBDCB7" w14:textId="77777777" w:rsidTr="00905D0E">
        <w:trPr>
          <w:trHeight w:val="371"/>
        </w:trPr>
        <w:tc>
          <w:tcPr>
            <w:tcW w:w="1887" w:type="dxa"/>
            <w:shd w:val="clear" w:color="auto" w:fill="FFFFFF" w:themeFill="background1"/>
            <w:noWrap/>
          </w:tcPr>
          <w:p w14:paraId="62042414" w14:textId="77777777" w:rsidR="005011F1" w:rsidRDefault="005011F1" w:rsidP="00905D0E">
            <w:pPr>
              <w:spacing w:line="360" w:lineRule="auto"/>
              <w:jc w:val="center"/>
              <w:rPr>
                <w:b/>
                <w:bCs/>
                <w:sz w:val="22"/>
                <w:szCs w:val="22"/>
              </w:rPr>
            </w:pPr>
            <w:r>
              <w:rPr>
                <w:b/>
                <w:bCs/>
                <w:sz w:val="22"/>
                <w:szCs w:val="22"/>
              </w:rPr>
              <w:t>TLC</w:t>
            </w:r>
          </w:p>
        </w:tc>
        <w:tc>
          <w:tcPr>
            <w:tcW w:w="2285" w:type="dxa"/>
            <w:shd w:val="clear" w:color="auto" w:fill="FFFFFF" w:themeFill="background1"/>
            <w:noWrap/>
          </w:tcPr>
          <w:p w14:paraId="53E908E7" w14:textId="77777777" w:rsidR="005011F1" w:rsidRDefault="005011F1" w:rsidP="00905D0E">
            <w:pPr>
              <w:spacing w:line="360" w:lineRule="auto"/>
              <w:jc w:val="center"/>
              <w:rPr>
                <w:sz w:val="22"/>
                <w:szCs w:val="22"/>
              </w:rPr>
            </w:pPr>
            <w:r>
              <w:rPr>
                <w:sz w:val="22"/>
                <w:szCs w:val="22"/>
              </w:rPr>
              <w:t xml:space="preserve">10.08 ± 0.88 </w:t>
            </w:r>
          </w:p>
        </w:tc>
        <w:tc>
          <w:tcPr>
            <w:tcW w:w="1881" w:type="dxa"/>
            <w:shd w:val="clear" w:color="auto" w:fill="FFFFFF" w:themeFill="background1"/>
            <w:noWrap/>
          </w:tcPr>
          <w:p w14:paraId="2E076681" w14:textId="77777777" w:rsidR="005011F1" w:rsidRDefault="005011F1" w:rsidP="00905D0E">
            <w:pPr>
              <w:spacing w:line="360" w:lineRule="auto"/>
              <w:jc w:val="center"/>
              <w:rPr>
                <w:b/>
                <w:bCs/>
                <w:sz w:val="22"/>
                <w:szCs w:val="22"/>
              </w:rPr>
            </w:pPr>
            <w:r>
              <w:rPr>
                <w:b/>
                <w:bCs/>
                <w:sz w:val="22"/>
                <w:szCs w:val="22"/>
              </w:rPr>
              <w:t xml:space="preserve">24.26 ± 25.90* </w:t>
            </w:r>
          </w:p>
        </w:tc>
        <w:tc>
          <w:tcPr>
            <w:tcW w:w="1881" w:type="dxa"/>
            <w:shd w:val="clear" w:color="auto" w:fill="FFFFFF" w:themeFill="background1"/>
            <w:noWrap/>
          </w:tcPr>
          <w:p w14:paraId="6CF41B82" w14:textId="77777777" w:rsidR="005011F1" w:rsidRDefault="005011F1" w:rsidP="00905D0E">
            <w:pPr>
              <w:spacing w:line="360" w:lineRule="auto"/>
              <w:jc w:val="center"/>
              <w:rPr>
                <w:b/>
                <w:bCs/>
                <w:sz w:val="22"/>
                <w:szCs w:val="22"/>
              </w:rPr>
            </w:pPr>
            <w:r>
              <w:rPr>
                <w:b/>
                <w:bCs/>
                <w:sz w:val="22"/>
                <w:szCs w:val="22"/>
              </w:rPr>
              <w:t xml:space="preserve">24.08 ± 26.12* </w:t>
            </w:r>
          </w:p>
        </w:tc>
        <w:tc>
          <w:tcPr>
            <w:tcW w:w="1881" w:type="dxa"/>
            <w:shd w:val="clear" w:color="auto" w:fill="FFFFFF" w:themeFill="background1"/>
            <w:noWrap/>
          </w:tcPr>
          <w:p w14:paraId="6BD0305A" w14:textId="77777777" w:rsidR="005011F1" w:rsidRDefault="005011F1" w:rsidP="00905D0E">
            <w:pPr>
              <w:spacing w:line="360" w:lineRule="auto"/>
              <w:jc w:val="center"/>
              <w:rPr>
                <w:b/>
                <w:bCs/>
                <w:sz w:val="22"/>
                <w:szCs w:val="22"/>
              </w:rPr>
            </w:pPr>
            <w:r>
              <w:rPr>
                <w:b/>
                <w:bCs/>
                <w:sz w:val="22"/>
                <w:szCs w:val="22"/>
              </w:rPr>
              <w:t xml:space="preserve">23.31 ± 23.74* </w:t>
            </w:r>
          </w:p>
        </w:tc>
      </w:tr>
      <w:tr w:rsidR="005011F1" w14:paraId="082A2C41" w14:textId="77777777" w:rsidTr="00905D0E">
        <w:trPr>
          <w:trHeight w:val="371"/>
        </w:trPr>
        <w:tc>
          <w:tcPr>
            <w:tcW w:w="1887" w:type="dxa"/>
            <w:shd w:val="clear" w:color="auto" w:fill="FFFFFF" w:themeFill="background1"/>
            <w:noWrap/>
          </w:tcPr>
          <w:p w14:paraId="09AF213D" w14:textId="77777777" w:rsidR="005011F1" w:rsidRDefault="005011F1" w:rsidP="00905D0E">
            <w:pPr>
              <w:spacing w:line="360" w:lineRule="auto"/>
              <w:rPr>
                <w:b/>
                <w:bCs/>
                <w:sz w:val="22"/>
                <w:szCs w:val="22"/>
              </w:rPr>
            </w:pPr>
            <w:r>
              <w:rPr>
                <w:b/>
                <w:bCs/>
                <w:sz w:val="22"/>
                <w:szCs w:val="22"/>
              </w:rPr>
              <w:t>Neutrophils ( %)</w:t>
            </w:r>
          </w:p>
        </w:tc>
        <w:tc>
          <w:tcPr>
            <w:tcW w:w="2285" w:type="dxa"/>
            <w:shd w:val="clear" w:color="auto" w:fill="FFFFFF" w:themeFill="background1"/>
            <w:noWrap/>
          </w:tcPr>
          <w:p w14:paraId="1E9AE2F3" w14:textId="77777777" w:rsidR="005011F1" w:rsidRDefault="005011F1" w:rsidP="00905D0E">
            <w:pPr>
              <w:spacing w:line="360" w:lineRule="auto"/>
              <w:jc w:val="center"/>
              <w:rPr>
                <w:sz w:val="22"/>
                <w:szCs w:val="22"/>
              </w:rPr>
            </w:pPr>
            <w:r>
              <w:rPr>
                <w:sz w:val="22"/>
                <w:szCs w:val="22"/>
              </w:rPr>
              <w:t>69.0 ± 17</w:t>
            </w:r>
          </w:p>
        </w:tc>
        <w:tc>
          <w:tcPr>
            <w:tcW w:w="1881" w:type="dxa"/>
            <w:shd w:val="clear" w:color="auto" w:fill="FFFFFF" w:themeFill="background1"/>
            <w:noWrap/>
          </w:tcPr>
          <w:p w14:paraId="37014A30" w14:textId="77777777" w:rsidR="005011F1" w:rsidRDefault="005011F1" w:rsidP="00905D0E">
            <w:pPr>
              <w:spacing w:line="360" w:lineRule="auto"/>
              <w:jc w:val="center"/>
              <w:rPr>
                <w:b/>
                <w:bCs/>
                <w:sz w:val="22"/>
                <w:szCs w:val="22"/>
              </w:rPr>
            </w:pPr>
            <w:r>
              <w:rPr>
                <w:b/>
                <w:bCs/>
                <w:sz w:val="22"/>
                <w:szCs w:val="22"/>
              </w:rPr>
              <w:t>73.5± 9.3*</w:t>
            </w:r>
          </w:p>
        </w:tc>
        <w:tc>
          <w:tcPr>
            <w:tcW w:w="1881" w:type="dxa"/>
            <w:shd w:val="clear" w:color="auto" w:fill="FFFFFF" w:themeFill="background1"/>
            <w:noWrap/>
          </w:tcPr>
          <w:p w14:paraId="4787D8F9" w14:textId="77777777" w:rsidR="005011F1" w:rsidRDefault="005011F1" w:rsidP="00905D0E">
            <w:pPr>
              <w:spacing w:line="360" w:lineRule="auto"/>
              <w:jc w:val="center"/>
              <w:rPr>
                <w:b/>
                <w:bCs/>
                <w:sz w:val="22"/>
                <w:szCs w:val="22"/>
              </w:rPr>
            </w:pPr>
            <w:r>
              <w:rPr>
                <w:b/>
                <w:bCs/>
                <w:sz w:val="22"/>
                <w:szCs w:val="22"/>
              </w:rPr>
              <w:t xml:space="preserve">75.8 ± 8.0*  </w:t>
            </w:r>
          </w:p>
        </w:tc>
        <w:tc>
          <w:tcPr>
            <w:tcW w:w="1881" w:type="dxa"/>
            <w:shd w:val="clear" w:color="auto" w:fill="FFFFFF" w:themeFill="background1"/>
            <w:noWrap/>
          </w:tcPr>
          <w:p w14:paraId="419B9183" w14:textId="77777777" w:rsidR="005011F1" w:rsidRDefault="005011F1" w:rsidP="00905D0E">
            <w:pPr>
              <w:spacing w:line="360" w:lineRule="auto"/>
              <w:jc w:val="center"/>
              <w:rPr>
                <w:b/>
                <w:bCs/>
                <w:sz w:val="22"/>
                <w:szCs w:val="22"/>
              </w:rPr>
            </w:pPr>
            <w:r>
              <w:rPr>
                <w:b/>
                <w:bCs/>
                <w:sz w:val="22"/>
                <w:szCs w:val="22"/>
              </w:rPr>
              <w:t>74.1 ± 10.0*</w:t>
            </w:r>
          </w:p>
        </w:tc>
      </w:tr>
      <w:tr w:rsidR="005011F1" w14:paraId="6712A2DD" w14:textId="77777777" w:rsidTr="00905D0E">
        <w:trPr>
          <w:trHeight w:val="371"/>
        </w:trPr>
        <w:tc>
          <w:tcPr>
            <w:tcW w:w="1887" w:type="dxa"/>
            <w:shd w:val="clear" w:color="auto" w:fill="FFFFFF" w:themeFill="background1"/>
            <w:noWrap/>
          </w:tcPr>
          <w:p w14:paraId="54F06F09" w14:textId="77777777" w:rsidR="005011F1" w:rsidRDefault="005011F1" w:rsidP="00905D0E">
            <w:pPr>
              <w:spacing w:line="360" w:lineRule="auto"/>
              <w:jc w:val="center"/>
              <w:rPr>
                <w:b/>
                <w:bCs/>
                <w:sz w:val="22"/>
                <w:szCs w:val="22"/>
              </w:rPr>
            </w:pPr>
            <w:r>
              <w:rPr>
                <w:b/>
                <w:bCs/>
                <w:sz w:val="22"/>
                <w:szCs w:val="22"/>
              </w:rPr>
              <w:t>Lymphocyte (%)</w:t>
            </w:r>
          </w:p>
        </w:tc>
        <w:tc>
          <w:tcPr>
            <w:tcW w:w="2285" w:type="dxa"/>
            <w:shd w:val="clear" w:color="auto" w:fill="FFFFFF" w:themeFill="background1"/>
            <w:noWrap/>
          </w:tcPr>
          <w:p w14:paraId="26E099AB" w14:textId="77777777" w:rsidR="005011F1" w:rsidRDefault="005011F1" w:rsidP="00905D0E">
            <w:pPr>
              <w:spacing w:line="360" w:lineRule="auto"/>
              <w:jc w:val="center"/>
              <w:rPr>
                <w:sz w:val="22"/>
                <w:szCs w:val="22"/>
              </w:rPr>
            </w:pPr>
            <w:r>
              <w:rPr>
                <w:sz w:val="22"/>
                <w:szCs w:val="22"/>
              </w:rPr>
              <w:t>16.76 ± 1.76</w:t>
            </w:r>
          </w:p>
        </w:tc>
        <w:tc>
          <w:tcPr>
            <w:tcW w:w="1881" w:type="dxa"/>
            <w:shd w:val="clear" w:color="auto" w:fill="FFFFFF" w:themeFill="background1"/>
            <w:noWrap/>
          </w:tcPr>
          <w:p w14:paraId="1173F018" w14:textId="77777777" w:rsidR="005011F1" w:rsidRDefault="005011F1" w:rsidP="00905D0E">
            <w:pPr>
              <w:spacing w:line="360" w:lineRule="auto"/>
              <w:jc w:val="center"/>
              <w:rPr>
                <w:b/>
                <w:bCs/>
                <w:sz w:val="22"/>
                <w:szCs w:val="22"/>
              </w:rPr>
            </w:pPr>
            <w:r>
              <w:rPr>
                <w:b/>
                <w:bCs/>
                <w:sz w:val="22"/>
                <w:szCs w:val="22"/>
              </w:rPr>
              <w:t>14.1± 4.0*</w:t>
            </w:r>
          </w:p>
        </w:tc>
        <w:tc>
          <w:tcPr>
            <w:tcW w:w="1881" w:type="dxa"/>
            <w:shd w:val="clear" w:color="auto" w:fill="FFFFFF" w:themeFill="background1"/>
            <w:noWrap/>
          </w:tcPr>
          <w:p w14:paraId="27CE7A53" w14:textId="77777777" w:rsidR="005011F1" w:rsidRDefault="005011F1" w:rsidP="00905D0E">
            <w:pPr>
              <w:spacing w:line="360" w:lineRule="auto"/>
              <w:jc w:val="center"/>
              <w:rPr>
                <w:b/>
                <w:bCs/>
                <w:sz w:val="22"/>
                <w:szCs w:val="22"/>
              </w:rPr>
            </w:pPr>
            <w:r>
              <w:rPr>
                <w:b/>
                <w:bCs/>
                <w:sz w:val="22"/>
                <w:szCs w:val="22"/>
              </w:rPr>
              <w:t>13.2 ± 5.0*</w:t>
            </w:r>
          </w:p>
        </w:tc>
        <w:tc>
          <w:tcPr>
            <w:tcW w:w="1881" w:type="dxa"/>
            <w:shd w:val="clear" w:color="auto" w:fill="FFFFFF" w:themeFill="background1"/>
            <w:noWrap/>
          </w:tcPr>
          <w:p w14:paraId="37377F12" w14:textId="77777777" w:rsidR="005011F1" w:rsidRDefault="005011F1" w:rsidP="00905D0E">
            <w:pPr>
              <w:spacing w:line="360" w:lineRule="auto"/>
              <w:jc w:val="center"/>
              <w:rPr>
                <w:b/>
                <w:bCs/>
                <w:sz w:val="22"/>
                <w:szCs w:val="22"/>
              </w:rPr>
            </w:pPr>
            <w:r>
              <w:rPr>
                <w:b/>
                <w:bCs/>
                <w:sz w:val="22"/>
                <w:szCs w:val="22"/>
              </w:rPr>
              <w:t>12.4 ± 5.0*</w:t>
            </w:r>
          </w:p>
        </w:tc>
      </w:tr>
      <w:tr w:rsidR="005011F1" w14:paraId="0A009EED" w14:textId="77777777" w:rsidTr="00905D0E">
        <w:trPr>
          <w:trHeight w:val="371"/>
        </w:trPr>
        <w:tc>
          <w:tcPr>
            <w:tcW w:w="1887" w:type="dxa"/>
            <w:shd w:val="clear" w:color="auto" w:fill="FFFFFF" w:themeFill="background1"/>
            <w:noWrap/>
          </w:tcPr>
          <w:p w14:paraId="50FEE382" w14:textId="77777777" w:rsidR="005011F1" w:rsidRDefault="005011F1" w:rsidP="00905D0E">
            <w:pPr>
              <w:spacing w:line="360" w:lineRule="auto"/>
              <w:jc w:val="center"/>
              <w:rPr>
                <w:b/>
                <w:bCs/>
                <w:sz w:val="22"/>
                <w:szCs w:val="22"/>
              </w:rPr>
            </w:pPr>
            <w:r>
              <w:rPr>
                <w:b/>
                <w:bCs/>
                <w:sz w:val="22"/>
                <w:szCs w:val="22"/>
              </w:rPr>
              <w:t>Monocyte (%)</w:t>
            </w:r>
          </w:p>
        </w:tc>
        <w:tc>
          <w:tcPr>
            <w:tcW w:w="2285" w:type="dxa"/>
            <w:shd w:val="clear" w:color="auto" w:fill="FFFFFF" w:themeFill="background1"/>
            <w:noWrap/>
          </w:tcPr>
          <w:p w14:paraId="5D6AC94B" w14:textId="77777777" w:rsidR="005011F1" w:rsidRDefault="005011F1" w:rsidP="00905D0E">
            <w:pPr>
              <w:spacing w:line="360" w:lineRule="auto"/>
              <w:jc w:val="center"/>
              <w:rPr>
                <w:sz w:val="22"/>
                <w:szCs w:val="22"/>
              </w:rPr>
            </w:pPr>
            <w:r>
              <w:rPr>
                <w:sz w:val="22"/>
                <w:szCs w:val="22"/>
              </w:rPr>
              <w:t>4.0 ±  2.0</w:t>
            </w:r>
          </w:p>
        </w:tc>
        <w:tc>
          <w:tcPr>
            <w:tcW w:w="1881" w:type="dxa"/>
            <w:shd w:val="clear" w:color="auto" w:fill="FFFFFF" w:themeFill="background1"/>
            <w:noWrap/>
          </w:tcPr>
          <w:p w14:paraId="64B91EA1" w14:textId="77777777" w:rsidR="005011F1" w:rsidRDefault="005011F1" w:rsidP="00905D0E">
            <w:pPr>
              <w:spacing w:line="360" w:lineRule="auto"/>
              <w:jc w:val="center"/>
              <w:rPr>
                <w:sz w:val="22"/>
                <w:szCs w:val="22"/>
              </w:rPr>
            </w:pPr>
            <w:r>
              <w:rPr>
                <w:sz w:val="22"/>
                <w:szCs w:val="22"/>
              </w:rPr>
              <w:t>5.0 ± 0.7</w:t>
            </w:r>
          </w:p>
        </w:tc>
        <w:tc>
          <w:tcPr>
            <w:tcW w:w="1881" w:type="dxa"/>
            <w:shd w:val="clear" w:color="auto" w:fill="FFFFFF" w:themeFill="background1"/>
            <w:noWrap/>
          </w:tcPr>
          <w:p w14:paraId="2CD90545" w14:textId="77777777" w:rsidR="005011F1" w:rsidRDefault="005011F1" w:rsidP="00905D0E">
            <w:pPr>
              <w:spacing w:line="360" w:lineRule="auto"/>
              <w:jc w:val="center"/>
              <w:rPr>
                <w:sz w:val="22"/>
                <w:szCs w:val="22"/>
              </w:rPr>
            </w:pPr>
            <w:r>
              <w:rPr>
                <w:sz w:val="22"/>
                <w:szCs w:val="22"/>
              </w:rPr>
              <w:t>5.0 ± 0.9</w:t>
            </w:r>
          </w:p>
        </w:tc>
        <w:tc>
          <w:tcPr>
            <w:tcW w:w="1881" w:type="dxa"/>
            <w:shd w:val="clear" w:color="auto" w:fill="FFFFFF" w:themeFill="background1"/>
            <w:noWrap/>
          </w:tcPr>
          <w:p w14:paraId="1CABE86F" w14:textId="77777777" w:rsidR="005011F1" w:rsidRDefault="005011F1" w:rsidP="00905D0E">
            <w:pPr>
              <w:spacing w:line="360" w:lineRule="auto"/>
              <w:jc w:val="center"/>
              <w:rPr>
                <w:sz w:val="22"/>
                <w:szCs w:val="22"/>
              </w:rPr>
            </w:pPr>
            <w:r>
              <w:rPr>
                <w:sz w:val="22"/>
                <w:szCs w:val="22"/>
              </w:rPr>
              <w:t>4.0 ± 1.0</w:t>
            </w:r>
          </w:p>
        </w:tc>
      </w:tr>
      <w:tr w:rsidR="005011F1" w14:paraId="33D14395" w14:textId="77777777" w:rsidTr="00905D0E">
        <w:trPr>
          <w:trHeight w:val="371"/>
        </w:trPr>
        <w:tc>
          <w:tcPr>
            <w:tcW w:w="1887" w:type="dxa"/>
            <w:shd w:val="clear" w:color="auto" w:fill="FFFFFF" w:themeFill="background1"/>
            <w:noWrap/>
          </w:tcPr>
          <w:p w14:paraId="54DDB134" w14:textId="77777777" w:rsidR="005011F1" w:rsidRDefault="005011F1" w:rsidP="00905D0E">
            <w:pPr>
              <w:spacing w:line="360" w:lineRule="auto"/>
              <w:jc w:val="center"/>
              <w:rPr>
                <w:b/>
                <w:bCs/>
                <w:sz w:val="22"/>
                <w:szCs w:val="22"/>
              </w:rPr>
            </w:pPr>
            <w:r>
              <w:rPr>
                <w:b/>
                <w:bCs/>
                <w:sz w:val="22"/>
                <w:szCs w:val="22"/>
              </w:rPr>
              <w:lastRenderedPageBreak/>
              <w:t>Eosinophils(% )</w:t>
            </w:r>
          </w:p>
        </w:tc>
        <w:tc>
          <w:tcPr>
            <w:tcW w:w="2285" w:type="dxa"/>
            <w:shd w:val="clear" w:color="auto" w:fill="FFFFFF" w:themeFill="background1"/>
            <w:noWrap/>
          </w:tcPr>
          <w:p w14:paraId="57E40031" w14:textId="77777777" w:rsidR="005011F1" w:rsidRDefault="005011F1" w:rsidP="00905D0E">
            <w:pPr>
              <w:spacing w:line="360" w:lineRule="auto"/>
              <w:jc w:val="center"/>
              <w:rPr>
                <w:sz w:val="22"/>
                <w:szCs w:val="22"/>
              </w:rPr>
            </w:pPr>
            <w:r>
              <w:rPr>
                <w:sz w:val="22"/>
                <w:szCs w:val="22"/>
              </w:rPr>
              <w:t>0.7 ± 0.9</w:t>
            </w:r>
          </w:p>
        </w:tc>
        <w:tc>
          <w:tcPr>
            <w:tcW w:w="1881" w:type="dxa"/>
            <w:shd w:val="clear" w:color="auto" w:fill="FFFFFF" w:themeFill="background1"/>
            <w:noWrap/>
          </w:tcPr>
          <w:p w14:paraId="60E82BA5" w14:textId="77777777" w:rsidR="005011F1" w:rsidRDefault="005011F1" w:rsidP="00905D0E">
            <w:pPr>
              <w:spacing w:line="360" w:lineRule="auto"/>
              <w:jc w:val="center"/>
              <w:rPr>
                <w:b/>
                <w:bCs/>
                <w:sz w:val="22"/>
                <w:szCs w:val="22"/>
              </w:rPr>
            </w:pPr>
            <w:r>
              <w:rPr>
                <w:b/>
                <w:bCs/>
                <w:sz w:val="22"/>
                <w:szCs w:val="22"/>
              </w:rPr>
              <w:t xml:space="preserve">1.0 ± 0.5* </w:t>
            </w:r>
          </w:p>
        </w:tc>
        <w:tc>
          <w:tcPr>
            <w:tcW w:w="1881" w:type="dxa"/>
            <w:shd w:val="clear" w:color="auto" w:fill="FFFFFF" w:themeFill="background1"/>
            <w:noWrap/>
          </w:tcPr>
          <w:p w14:paraId="45DF3C99" w14:textId="77777777" w:rsidR="005011F1" w:rsidRDefault="005011F1" w:rsidP="00905D0E">
            <w:pPr>
              <w:spacing w:line="360" w:lineRule="auto"/>
              <w:jc w:val="center"/>
              <w:rPr>
                <w:b/>
                <w:bCs/>
                <w:sz w:val="22"/>
                <w:szCs w:val="22"/>
              </w:rPr>
            </w:pPr>
            <w:r>
              <w:rPr>
                <w:b/>
                <w:bCs/>
                <w:sz w:val="22"/>
                <w:szCs w:val="22"/>
              </w:rPr>
              <w:t>1.8 ± 0.4**</w:t>
            </w:r>
          </w:p>
        </w:tc>
        <w:tc>
          <w:tcPr>
            <w:tcW w:w="1881" w:type="dxa"/>
            <w:shd w:val="clear" w:color="auto" w:fill="FFFFFF" w:themeFill="background1"/>
            <w:noWrap/>
          </w:tcPr>
          <w:p w14:paraId="20248363" w14:textId="77777777" w:rsidR="005011F1" w:rsidRDefault="005011F1" w:rsidP="00905D0E">
            <w:pPr>
              <w:spacing w:line="360" w:lineRule="auto"/>
              <w:jc w:val="center"/>
              <w:rPr>
                <w:b/>
                <w:bCs/>
                <w:sz w:val="22"/>
                <w:szCs w:val="22"/>
              </w:rPr>
            </w:pPr>
            <w:r>
              <w:rPr>
                <w:b/>
                <w:bCs/>
                <w:sz w:val="22"/>
                <w:szCs w:val="22"/>
              </w:rPr>
              <w:t>2.0 ± 0.4**</w:t>
            </w:r>
          </w:p>
        </w:tc>
      </w:tr>
      <w:tr w:rsidR="005011F1" w14:paraId="09540BBA" w14:textId="77777777" w:rsidTr="00905D0E">
        <w:trPr>
          <w:trHeight w:val="371"/>
        </w:trPr>
        <w:tc>
          <w:tcPr>
            <w:tcW w:w="1887" w:type="dxa"/>
            <w:shd w:val="clear" w:color="auto" w:fill="FFFFFF" w:themeFill="background1"/>
            <w:noWrap/>
          </w:tcPr>
          <w:p w14:paraId="7E1A8411" w14:textId="77777777" w:rsidR="005011F1" w:rsidRDefault="005011F1" w:rsidP="00905D0E">
            <w:pPr>
              <w:spacing w:line="360" w:lineRule="auto"/>
              <w:jc w:val="center"/>
              <w:rPr>
                <w:b/>
                <w:bCs/>
                <w:sz w:val="22"/>
                <w:szCs w:val="22"/>
              </w:rPr>
            </w:pPr>
            <w:r>
              <w:rPr>
                <w:b/>
                <w:bCs/>
                <w:sz w:val="22"/>
                <w:szCs w:val="22"/>
              </w:rPr>
              <w:t>Basophils (% )</w:t>
            </w:r>
          </w:p>
        </w:tc>
        <w:tc>
          <w:tcPr>
            <w:tcW w:w="2285" w:type="dxa"/>
            <w:shd w:val="clear" w:color="auto" w:fill="FFFFFF" w:themeFill="background1"/>
            <w:noWrap/>
          </w:tcPr>
          <w:p w14:paraId="5A497151" w14:textId="77777777" w:rsidR="005011F1" w:rsidRDefault="005011F1" w:rsidP="00905D0E">
            <w:pPr>
              <w:spacing w:line="360" w:lineRule="auto"/>
              <w:jc w:val="center"/>
              <w:rPr>
                <w:sz w:val="22"/>
                <w:szCs w:val="22"/>
              </w:rPr>
            </w:pPr>
            <w:r>
              <w:rPr>
                <w:sz w:val="22"/>
                <w:szCs w:val="22"/>
              </w:rPr>
              <w:t>0.07± 0.3</w:t>
            </w:r>
          </w:p>
        </w:tc>
        <w:tc>
          <w:tcPr>
            <w:tcW w:w="1881" w:type="dxa"/>
            <w:shd w:val="clear" w:color="auto" w:fill="FFFFFF" w:themeFill="background1"/>
            <w:noWrap/>
          </w:tcPr>
          <w:p w14:paraId="4E8D14E7" w14:textId="77777777" w:rsidR="005011F1" w:rsidRDefault="005011F1" w:rsidP="00905D0E">
            <w:pPr>
              <w:spacing w:line="360" w:lineRule="auto"/>
              <w:jc w:val="center"/>
              <w:rPr>
                <w:b/>
                <w:bCs/>
                <w:sz w:val="22"/>
                <w:szCs w:val="22"/>
              </w:rPr>
            </w:pPr>
            <w:r>
              <w:rPr>
                <w:b/>
                <w:bCs/>
                <w:sz w:val="22"/>
                <w:szCs w:val="22"/>
              </w:rPr>
              <w:t>1.0 ± 0.2*</w:t>
            </w:r>
          </w:p>
        </w:tc>
        <w:tc>
          <w:tcPr>
            <w:tcW w:w="1881" w:type="dxa"/>
            <w:shd w:val="clear" w:color="auto" w:fill="FFFFFF" w:themeFill="background1"/>
            <w:noWrap/>
          </w:tcPr>
          <w:p w14:paraId="1567D203" w14:textId="77777777" w:rsidR="005011F1" w:rsidRDefault="005011F1" w:rsidP="00905D0E">
            <w:pPr>
              <w:spacing w:line="360" w:lineRule="auto"/>
              <w:jc w:val="center"/>
              <w:rPr>
                <w:b/>
                <w:bCs/>
                <w:sz w:val="22"/>
                <w:szCs w:val="22"/>
              </w:rPr>
            </w:pPr>
            <w:r>
              <w:rPr>
                <w:b/>
                <w:bCs/>
                <w:sz w:val="22"/>
                <w:szCs w:val="22"/>
              </w:rPr>
              <w:t>1.0 ± 0.2*</w:t>
            </w:r>
          </w:p>
        </w:tc>
        <w:tc>
          <w:tcPr>
            <w:tcW w:w="1881" w:type="dxa"/>
            <w:shd w:val="clear" w:color="auto" w:fill="FFFFFF" w:themeFill="background1"/>
            <w:noWrap/>
          </w:tcPr>
          <w:p w14:paraId="4AF08CBD" w14:textId="77777777" w:rsidR="005011F1" w:rsidRDefault="005011F1" w:rsidP="00905D0E">
            <w:pPr>
              <w:spacing w:line="360" w:lineRule="auto"/>
              <w:jc w:val="center"/>
              <w:rPr>
                <w:b/>
                <w:bCs/>
                <w:sz w:val="22"/>
                <w:szCs w:val="22"/>
              </w:rPr>
            </w:pPr>
            <w:r>
              <w:rPr>
                <w:b/>
                <w:bCs/>
                <w:sz w:val="22"/>
                <w:szCs w:val="22"/>
              </w:rPr>
              <w:t>0.9 ± 0.1*</w:t>
            </w:r>
          </w:p>
        </w:tc>
      </w:tr>
      <w:tr w:rsidR="005011F1" w14:paraId="72EC2376" w14:textId="77777777" w:rsidTr="00905D0E">
        <w:trPr>
          <w:trHeight w:val="371"/>
        </w:trPr>
        <w:tc>
          <w:tcPr>
            <w:tcW w:w="1887" w:type="dxa"/>
            <w:shd w:val="clear" w:color="auto" w:fill="FFFFFF" w:themeFill="background1"/>
            <w:noWrap/>
          </w:tcPr>
          <w:p w14:paraId="7852829C" w14:textId="77777777" w:rsidR="005011F1" w:rsidRDefault="005011F1" w:rsidP="00905D0E">
            <w:pPr>
              <w:spacing w:line="360" w:lineRule="auto"/>
              <w:jc w:val="center"/>
              <w:rPr>
                <w:b/>
                <w:bCs/>
                <w:sz w:val="22"/>
                <w:szCs w:val="22"/>
              </w:rPr>
            </w:pPr>
            <w:r>
              <w:rPr>
                <w:b/>
                <w:bCs/>
                <w:sz w:val="22"/>
                <w:szCs w:val="22"/>
              </w:rPr>
              <w:t>MCH</w:t>
            </w:r>
          </w:p>
        </w:tc>
        <w:tc>
          <w:tcPr>
            <w:tcW w:w="2285" w:type="dxa"/>
            <w:shd w:val="clear" w:color="auto" w:fill="FFFFFF" w:themeFill="background1"/>
            <w:noWrap/>
          </w:tcPr>
          <w:p w14:paraId="106982AD" w14:textId="77777777" w:rsidR="005011F1" w:rsidRDefault="005011F1" w:rsidP="00905D0E">
            <w:pPr>
              <w:spacing w:line="360" w:lineRule="auto"/>
              <w:jc w:val="center"/>
              <w:rPr>
                <w:sz w:val="22"/>
                <w:szCs w:val="22"/>
              </w:rPr>
            </w:pPr>
            <w:r>
              <w:rPr>
                <w:sz w:val="22"/>
                <w:szCs w:val="22"/>
              </w:rPr>
              <w:t xml:space="preserve">23.15 ± 1.08 </w:t>
            </w:r>
          </w:p>
        </w:tc>
        <w:tc>
          <w:tcPr>
            <w:tcW w:w="1881" w:type="dxa"/>
            <w:shd w:val="clear" w:color="auto" w:fill="FFFFFF" w:themeFill="background1"/>
            <w:noWrap/>
          </w:tcPr>
          <w:p w14:paraId="3AC6DED2" w14:textId="77777777" w:rsidR="005011F1" w:rsidRDefault="005011F1" w:rsidP="00905D0E">
            <w:pPr>
              <w:spacing w:line="360" w:lineRule="auto"/>
              <w:jc w:val="center"/>
              <w:rPr>
                <w:b/>
                <w:bCs/>
                <w:sz w:val="22"/>
                <w:szCs w:val="22"/>
              </w:rPr>
            </w:pPr>
            <w:r>
              <w:rPr>
                <w:b/>
                <w:bCs/>
                <w:sz w:val="22"/>
                <w:szCs w:val="22"/>
              </w:rPr>
              <w:t>21.29 ± 3.12 *</w:t>
            </w:r>
          </w:p>
        </w:tc>
        <w:tc>
          <w:tcPr>
            <w:tcW w:w="1881" w:type="dxa"/>
            <w:shd w:val="clear" w:color="auto" w:fill="FFFFFF" w:themeFill="background1"/>
            <w:noWrap/>
          </w:tcPr>
          <w:p w14:paraId="7A5EEC10" w14:textId="77777777" w:rsidR="005011F1" w:rsidRDefault="005011F1" w:rsidP="00905D0E">
            <w:pPr>
              <w:spacing w:line="360" w:lineRule="auto"/>
              <w:jc w:val="center"/>
              <w:rPr>
                <w:b/>
                <w:bCs/>
                <w:sz w:val="22"/>
                <w:szCs w:val="22"/>
              </w:rPr>
            </w:pPr>
            <w:r>
              <w:rPr>
                <w:b/>
                <w:bCs/>
                <w:sz w:val="22"/>
                <w:szCs w:val="22"/>
              </w:rPr>
              <w:t xml:space="preserve">21.27 ± 3.15* </w:t>
            </w:r>
          </w:p>
        </w:tc>
        <w:tc>
          <w:tcPr>
            <w:tcW w:w="1881" w:type="dxa"/>
            <w:shd w:val="clear" w:color="auto" w:fill="FFFFFF" w:themeFill="background1"/>
            <w:noWrap/>
          </w:tcPr>
          <w:p w14:paraId="2693107C" w14:textId="77777777" w:rsidR="005011F1" w:rsidRDefault="005011F1" w:rsidP="00905D0E">
            <w:pPr>
              <w:spacing w:line="360" w:lineRule="auto"/>
              <w:jc w:val="center"/>
              <w:rPr>
                <w:b/>
                <w:bCs/>
                <w:sz w:val="22"/>
                <w:szCs w:val="22"/>
              </w:rPr>
            </w:pPr>
            <w:r>
              <w:rPr>
                <w:b/>
                <w:bCs/>
                <w:sz w:val="22"/>
                <w:szCs w:val="22"/>
              </w:rPr>
              <w:t>21.23 ± 2.55 *</w:t>
            </w:r>
          </w:p>
        </w:tc>
      </w:tr>
      <w:tr w:rsidR="005011F1" w14:paraId="7041E3E1" w14:textId="77777777" w:rsidTr="00905D0E">
        <w:trPr>
          <w:trHeight w:val="371"/>
        </w:trPr>
        <w:tc>
          <w:tcPr>
            <w:tcW w:w="1887" w:type="dxa"/>
            <w:shd w:val="clear" w:color="auto" w:fill="FFFFFF" w:themeFill="background1"/>
            <w:noWrap/>
          </w:tcPr>
          <w:p w14:paraId="68194B78" w14:textId="77777777" w:rsidR="005011F1" w:rsidRDefault="005011F1" w:rsidP="00905D0E">
            <w:pPr>
              <w:spacing w:line="360" w:lineRule="auto"/>
              <w:jc w:val="center"/>
              <w:rPr>
                <w:b/>
                <w:bCs/>
                <w:sz w:val="22"/>
                <w:szCs w:val="22"/>
              </w:rPr>
            </w:pPr>
            <w:r>
              <w:rPr>
                <w:b/>
                <w:bCs/>
                <w:sz w:val="22"/>
                <w:szCs w:val="22"/>
              </w:rPr>
              <w:t>MCV</w:t>
            </w:r>
          </w:p>
        </w:tc>
        <w:tc>
          <w:tcPr>
            <w:tcW w:w="2285" w:type="dxa"/>
            <w:shd w:val="clear" w:color="auto" w:fill="FFFFFF" w:themeFill="background1"/>
            <w:noWrap/>
          </w:tcPr>
          <w:p w14:paraId="2D71201F" w14:textId="77777777" w:rsidR="005011F1" w:rsidRDefault="005011F1" w:rsidP="00905D0E">
            <w:pPr>
              <w:spacing w:line="360" w:lineRule="auto"/>
              <w:jc w:val="center"/>
              <w:rPr>
                <w:sz w:val="22"/>
                <w:szCs w:val="22"/>
              </w:rPr>
            </w:pPr>
            <w:r>
              <w:rPr>
                <w:sz w:val="22"/>
                <w:szCs w:val="22"/>
              </w:rPr>
              <w:t xml:space="preserve">69.96 ± 2.14 </w:t>
            </w:r>
          </w:p>
        </w:tc>
        <w:tc>
          <w:tcPr>
            <w:tcW w:w="1881" w:type="dxa"/>
            <w:shd w:val="clear" w:color="auto" w:fill="FFFFFF" w:themeFill="background1"/>
            <w:noWrap/>
          </w:tcPr>
          <w:p w14:paraId="67EA23D2" w14:textId="77777777" w:rsidR="005011F1" w:rsidRDefault="005011F1" w:rsidP="00905D0E">
            <w:pPr>
              <w:spacing w:line="360" w:lineRule="auto"/>
              <w:jc w:val="center"/>
              <w:rPr>
                <w:b/>
                <w:bCs/>
                <w:sz w:val="22"/>
                <w:szCs w:val="22"/>
              </w:rPr>
            </w:pPr>
            <w:r>
              <w:rPr>
                <w:b/>
                <w:bCs/>
                <w:sz w:val="22"/>
                <w:szCs w:val="22"/>
              </w:rPr>
              <w:t xml:space="preserve">51.11 ± 9.44** </w:t>
            </w:r>
          </w:p>
        </w:tc>
        <w:tc>
          <w:tcPr>
            <w:tcW w:w="1881" w:type="dxa"/>
            <w:shd w:val="clear" w:color="auto" w:fill="FFFFFF" w:themeFill="background1"/>
            <w:noWrap/>
          </w:tcPr>
          <w:p w14:paraId="1C6D11F9" w14:textId="77777777" w:rsidR="005011F1" w:rsidRDefault="005011F1" w:rsidP="00905D0E">
            <w:pPr>
              <w:spacing w:line="360" w:lineRule="auto"/>
              <w:jc w:val="center"/>
              <w:rPr>
                <w:b/>
                <w:bCs/>
                <w:sz w:val="22"/>
                <w:szCs w:val="22"/>
              </w:rPr>
            </w:pPr>
            <w:r>
              <w:rPr>
                <w:b/>
                <w:bCs/>
                <w:sz w:val="22"/>
                <w:szCs w:val="22"/>
              </w:rPr>
              <w:t xml:space="preserve">51.20 ± 9.51** </w:t>
            </w:r>
          </w:p>
        </w:tc>
        <w:tc>
          <w:tcPr>
            <w:tcW w:w="1881" w:type="dxa"/>
            <w:shd w:val="clear" w:color="auto" w:fill="FFFFFF" w:themeFill="background1"/>
            <w:noWrap/>
          </w:tcPr>
          <w:p w14:paraId="1F573967" w14:textId="77777777" w:rsidR="005011F1" w:rsidRDefault="005011F1" w:rsidP="00905D0E">
            <w:pPr>
              <w:spacing w:line="360" w:lineRule="auto"/>
              <w:jc w:val="center"/>
              <w:rPr>
                <w:b/>
                <w:bCs/>
                <w:sz w:val="22"/>
                <w:szCs w:val="22"/>
              </w:rPr>
            </w:pPr>
            <w:r>
              <w:rPr>
                <w:b/>
                <w:bCs/>
                <w:sz w:val="22"/>
                <w:szCs w:val="22"/>
              </w:rPr>
              <w:t>51.96 ± 10.11**</w:t>
            </w:r>
          </w:p>
        </w:tc>
      </w:tr>
      <w:tr w:rsidR="005011F1" w14:paraId="349C4653" w14:textId="77777777" w:rsidTr="00905D0E">
        <w:trPr>
          <w:trHeight w:val="371"/>
        </w:trPr>
        <w:tc>
          <w:tcPr>
            <w:tcW w:w="1887" w:type="dxa"/>
            <w:shd w:val="clear" w:color="auto" w:fill="FFFFFF" w:themeFill="background1"/>
            <w:noWrap/>
          </w:tcPr>
          <w:p w14:paraId="2AD0292C" w14:textId="77777777" w:rsidR="005011F1" w:rsidRDefault="005011F1" w:rsidP="00905D0E">
            <w:pPr>
              <w:spacing w:line="360" w:lineRule="auto"/>
              <w:jc w:val="center"/>
              <w:rPr>
                <w:b/>
                <w:bCs/>
                <w:sz w:val="22"/>
                <w:szCs w:val="22"/>
              </w:rPr>
            </w:pPr>
            <w:r>
              <w:rPr>
                <w:b/>
                <w:bCs/>
                <w:sz w:val="22"/>
                <w:szCs w:val="22"/>
              </w:rPr>
              <w:t>MCHC</w:t>
            </w:r>
          </w:p>
        </w:tc>
        <w:tc>
          <w:tcPr>
            <w:tcW w:w="2285" w:type="dxa"/>
            <w:shd w:val="clear" w:color="auto" w:fill="FFFFFF" w:themeFill="background1"/>
            <w:noWrap/>
          </w:tcPr>
          <w:p w14:paraId="0EC84F2F" w14:textId="77777777" w:rsidR="005011F1" w:rsidRDefault="005011F1" w:rsidP="00905D0E">
            <w:pPr>
              <w:spacing w:line="360" w:lineRule="auto"/>
              <w:jc w:val="center"/>
              <w:rPr>
                <w:sz w:val="22"/>
                <w:szCs w:val="22"/>
              </w:rPr>
            </w:pPr>
            <w:r>
              <w:rPr>
                <w:sz w:val="22"/>
                <w:szCs w:val="22"/>
              </w:rPr>
              <w:t xml:space="preserve">34.03 ± 0.77 </w:t>
            </w:r>
          </w:p>
        </w:tc>
        <w:tc>
          <w:tcPr>
            <w:tcW w:w="1881" w:type="dxa"/>
            <w:shd w:val="clear" w:color="auto" w:fill="FFFFFF" w:themeFill="background1"/>
            <w:noWrap/>
          </w:tcPr>
          <w:p w14:paraId="35927B84" w14:textId="77777777" w:rsidR="005011F1" w:rsidRDefault="005011F1" w:rsidP="00905D0E">
            <w:pPr>
              <w:spacing w:line="360" w:lineRule="auto"/>
              <w:jc w:val="center"/>
              <w:rPr>
                <w:sz w:val="22"/>
                <w:szCs w:val="22"/>
              </w:rPr>
            </w:pPr>
            <w:r>
              <w:rPr>
                <w:sz w:val="22"/>
                <w:szCs w:val="22"/>
              </w:rPr>
              <w:t xml:space="preserve">38.26 ± 9.39 </w:t>
            </w:r>
          </w:p>
        </w:tc>
        <w:tc>
          <w:tcPr>
            <w:tcW w:w="1881" w:type="dxa"/>
            <w:shd w:val="clear" w:color="auto" w:fill="FFFFFF" w:themeFill="background1"/>
            <w:noWrap/>
          </w:tcPr>
          <w:p w14:paraId="4F994EB2" w14:textId="77777777" w:rsidR="005011F1" w:rsidRDefault="005011F1" w:rsidP="00905D0E">
            <w:pPr>
              <w:spacing w:line="360" w:lineRule="auto"/>
              <w:jc w:val="center"/>
              <w:rPr>
                <w:b/>
                <w:bCs/>
                <w:sz w:val="22"/>
                <w:szCs w:val="22"/>
              </w:rPr>
            </w:pPr>
            <w:r>
              <w:rPr>
                <w:b/>
                <w:bCs/>
                <w:sz w:val="22"/>
                <w:szCs w:val="22"/>
              </w:rPr>
              <w:t xml:space="preserve">38.06 ± 9.37* </w:t>
            </w:r>
          </w:p>
        </w:tc>
        <w:tc>
          <w:tcPr>
            <w:tcW w:w="1881" w:type="dxa"/>
            <w:shd w:val="clear" w:color="auto" w:fill="FFFFFF" w:themeFill="background1"/>
            <w:noWrap/>
          </w:tcPr>
          <w:p w14:paraId="476CD10A" w14:textId="77777777" w:rsidR="005011F1" w:rsidRDefault="005011F1" w:rsidP="00905D0E">
            <w:pPr>
              <w:spacing w:line="360" w:lineRule="auto"/>
              <w:jc w:val="center"/>
              <w:rPr>
                <w:b/>
                <w:bCs/>
                <w:sz w:val="22"/>
                <w:szCs w:val="22"/>
              </w:rPr>
            </w:pPr>
            <w:r>
              <w:rPr>
                <w:b/>
                <w:bCs/>
                <w:sz w:val="22"/>
                <w:szCs w:val="22"/>
              </w:rPr>
              <w:t>37.63 ± 10.16 *</w:t>
            </w:r>
          </w:p>
        </w:tc>
      </w:tr>
      <w:tr w:rsidR="005011F1" w14:paraId="5B0BB9C0" w14:textId="77777777" w:rsidTr="00905D0E">
        <w:trPr>
          <w:trHeight w:val="623"/>
        </w:trPr>
        <w:tc>
          <w:tcPr>
            <w:tcW w:w="1887" w:type="dxa"/>
            <w:shd w:val="clear" w:color="auto" w:fill="FFFFFF" w:themeFill="background1"/>
            <w:noWrap/>
          </w:tcPr>
          <w:p w14:paraId="6A42A1E3" w14:textId="77777777" w:rsidR="005011F1" w:rsidRDefault="005011F1" w:rsidP="00905D0E">
            <w:pPr>
              <w:spacing w:line="360" w:lineRule="auto"/>
              <w:jc w:val="center"/>
              <w:rPr>
                <w:b/>
                <w:bCs/>
                <w:sz w:val="22"/>
                <w:szCs w:val="22"/>
              </w:rPr>
            </w:pPr>
            <w:r>
              <w:rPr>
                <w:b/>
                <w:bCs/>
                <w:sz w:val="22"/>
                <w:szCs w:val="22"/>
              </w:rPr>
              <w:t>Platelet count</w:t>
            </w:r>
          </w:p>
        </w:tc>
        <w:tc>
          <w:tcPr>
            <w:tcW w:w="2285" w:type="dxa"/>
            <w:shd w:val="clear" w:color="auto" w:fill="FFFFFF" w:themeFill="background1"/>
            <w:noWrap/>
          </w:tcPr>
          <w:p w14:paraId="19496319" w14:textId="77777777" w:rsidR="005011F1" w:rsidRDefault="005011F1" w:rsidP="00905D0E">
            <w:pPr>
              <w:spacing w:line="360" w:lineRule="auto"/>
              <w:jc w:val="center"/>
              <w:rPr>
                <w:sz w:val="22"/>
                <w:szCs w:val="22"/>
              </w:rPr>
            </w:pPr>
            <w:r>
              <w:rPr>
                <w:sz w:val="22"/>
                <w:szCs w:val="22"/>
              </w:rPr>
              <w:t xml:space="preserve">309.07 ± 48.73 </w:t>
            </w:r>
          </w:p>
        </w:tc>
        <w:tc>
          <w:tcPr>
            <w:tcW w:w="1881" w:type="dxa"/>
            <w:shd w:val="clear" w:color="auto" w:fill="FFFFFF" w:themeFill="background1"/>
            <w:noWrap/>
          </w:tcPr>
          <w:p w14:paraId="2F6B838F" w14:textId="77777777" w:rsidR="005011F1" w:rsidRDefault="005011F1" w:rsidP="00905D0E">
            <w:pPr>
              <w:spacing w:line="360" w:lineRule="auto"/>
              <w:jc w:val="center"/>
              <w:rPr>
                <w:sz w:val="22"/>
                <w:szCs w:val="22"/>
              </w:rPr>
            </w:pPr>
            <w:r>
              <w:rPr>
                <w:sz w:val="22"/>
                <w:szCs w:val="22"/>
              </w:rPr>
              <w:t xml:space="preserve">295.89 ± 171.50 </w:t>
            </w:r>
          </w:p>
        </w:tc>
        <w:tc>
          <w:tcPr>
            <w:tcW w:w="1881" w:type="dxa"/>
            <w:shd w:val="clear" w:color="auto" w:fill="FFFFFF" w:themeFill="background1"/>
            <w:noWrap/>
          </w:tcPr>
          <w:p w14:paraId="4AA2D7BF" w14:textId="77777777" w:rsidR="005011F1" w:rsidRDefault="005011F1" w:rsidP="00905D0E">
            <w:pPr>
              <w:spacing w:line="360" w:lineRule="auto"/>
              <w:jc w:val="center"/>
              <w:rPr>
                <w:sz w:val="22"/>
                <w:szCs w:val="22"/>
              </w:rPr>
            </w:pPr>
            <w:r>
              <w:rPr>
                <w:sz w:val="22"/>
                <w:szCs w:val="22"/>
              </w:rPr>
              <w:t xml:space="preserve">293.82 ± 172.60 </w:t>
            </w:r>
          </w:p>
        </w:tc>
        <w:tc>
          <w:tcPr>
            <w:tcW w:w="1881" w:type="dxa"/>
            <w:shd w:val="clear" w:color="auto" w:fill="FFFFFF" w:themeFill="background1"/>
            <w:noWrap/>
          </w:tcPr>
          <w:p w14:paraId="643B8936" w14:textId="77777777" w:rsidR="005011F1" w:rsidRDefault="005011F1" w:rsidP="00905D0E">
            <w:pPr>
              <w:spacing w:line="360" w:lineRule="auto"/>
              <w:jc w:val="center"/>
              <w:rPr>
                <w:sz w:val="22"/>
                <w:szCs w:val="22"/>
              </w:rPr>
            </w:pPr>
            <w:r>
              <w:rPr>
                <w:sz w:val="22"/>
                <w:szCs w:val="22"/>
              </w:rPr>
              <w:t xml:space="preserve">306.62 ± 182.86 </w:t>
            </w:r>
          </w:p>
        </w:tc>
      </w:tr>
    </w:tbl>
    <w:p w14:paraId="6BE1F27C" w14:textId="77777777" w:rsidR="005011F1" w:rsidRDefault="005011F1" w:rsidP="005011F1">
      <w:pPr>
        <w:spacing w:line="360" w:lineRule="auto"/>
        <w:rPr>
          <w:b/>
          <w:bCs/>
          <w:sz w:val="22"/>
          <w:szCs w:val="22"/>
        </w:rPr>
      </w:pPr>
      <w:r>
        <w:rPr>
          <w:sz w:val="22"/>
          <w:szCs w:val="22"/>
        </w:rPr>
        <w:t>*Significant P&lt;0.05                            **More significant P&lt;0.01</w:t>
      </w:r>
    </w:p>
    <w:p w14:paraId="562062ED" w14:textId="77777777" w:rsidR="005011F1" w:rsidRDefault="005011F1" w:rsidP="005011F1">
      <w:pPr>
        <w:spacing w:line="360" w:lineRule="auto"/>
        <w:jc w:val="both"/>
        <w:rPr>
          <w:i w:val="0"/>
          <w:iCs w:val="0"/>
        </w:rPr>
      </w:pPr>
    </w:p>
    <w:p w14:paraId="58171FCB" w14:textId="77777777" w:rsidR="005011F1" w:rsidRPr="00D96307" w:rsidRDefault="005011F1" w:rsidP="00D96307">
      <w:pPr>
        <w:spacing w:line="360" w:lineRule="auto"/>
        <w:jc w:val="both"/>
        <w:rPr>
          <w:i w:val="0"/>
          <w:iCs w:val="0"/>
        </w:rPr>
      </w:pPr>
    </w:p>
    <w:p w14:paraId="00C8325A" w14:textId="77777777" w:rsidR="00D96307" w:rsidRPr="00D96307" w:rsidRDefault="00D96307" w:rsidP="00D96307">
      <w:pPr>
        <w:spacing w:line="360" w:lineRule="auto"/>
        <w:jc w:val="both"/>
        <w:rPr>
          <w:b/>
          <w:bCs/>
          <w:i w:val="0"/>
          <w:iCs w:val="0"/>
        </w:rPr>
      </w:pPr>
    </w:p>
    <w:p w14:paraId="1B4059A6" w14:textId="77777777" w:rsidR="00D96307" w:rsidRPr="00D96307" w:rsidRDefault="00D96307" w:rsidP="00D96307">
      <w:pPr>
        <w:spacing w:line="360" w:lineRule="auto"/>
        <w:jc w:val="both"/>
        <w:rPr>
          <w:b/>
          <w:bCs/>
          <w:i w:val="0"/>
          <w:iCs w:val="0"/>
        </w:rPr>
      </w:pPr>
      <w:r w:rsidRPr="00D96307">
        <w:rPr>
          <w:b/>
          <w:bCs/>
          <w:i w:val="0"/>
          <w:iCs w:val="0"/>
        </w:rPr>
        <w:t>Biochemical parameters</w:t>
      </w:r>
    </w:p>
    <w:p w14:paraId="0EBBFC91" w14:textId="06C31129" w:rsidR="00D96307" w:rsidRPr="00D96307" w:rsidRDefault="00D96307" w:rsidP="00D96307">
      <w:pPr>
        <w:spacing w:line="360" w:lineRule="auto"/>
        <w:jc w:val="both"/>
        <w:rPr>
          <w:i w:val="0"/>
          <w:iCs w:val="0"/>
        </w:rPr>
      </w:pPr>
      <w:r w:rsidRPr="00D96307">
        <w:rPr>
          <w:i w:val="0"/>
          <w:iCs w:val="0"/>
        </w:rPr>
        <w:t>The biochemical alterations observed in CPV-2-infected dogs in this study align with previous research demonstrating significant metabolic disruptions caused by the virus. The significant reduction in serum total protein and albumin levels, especially in CPV-2c cases, supports the findings of Singh et al. (2019) and Kataria et al. (2020), who reported severe protein loss due to intestinal mucosal damage and malabsorption in parvoviral enteritis. The variations in globulin levels correspond with the observations of Sharma et al. (2018), indicating an altered immune response among infected dogs. The elevated levels of liver enzymes (AST, ALT and ALP), particularly the significantly increased ALP levels in CPV-2c cases, are consistent with the studies by Raj et al. (2016), who reported hepatic stress and liver damage as common biochemical manifestations of CPV-2 infection. These findings collectively reinforce the diagnostic and prognostic significance of biochemical markers in evaluating the severity of CPV-2 infection and guiding clinical management.</w:t>
      </w:r>
    </w:p>
    <w:p w14:paraId="5CD4FBB0" w14:textId="77777777" w:rsidR="00D96307" w:rsidRPr="00D96307" w:rsidRDefault="00D96307" w:rsidP="00D96307">
      <w:pPr>
        <w:spacing w:line="360" w:lineRule="auto"/>
        <w:jc w:val="both"/>
        <w:rPr>
          <w:i w:val="0"/>
          <w:iCs w:val="0"/>
        </w:rPr>
      </w:pPr>
    </w:p>
    <w:p w14:paraId="71C86930" w14:textId="20E4DB70" w:rsidR="00D96307" w:rsidRPr="00D96307" w:rsidRDefault="00D96307" w:rsidP="00D96307">
      <w:pPr>
        <w:spacing w:line="360" w:lineRule="auto"/>
        <w:jc w:val="both"/>
        <w:rPr>
          <w:i w:val="0"/>
          <w:iCs w:val="0"/>
        </w:rPr>
      </w:pPr>
      <w:r w:rsidRPr="00D96307">
        <w:rPr>
          <w:i w:val="0"/>
          <w:iCs w:val="0"/>
        </w:rPr>
        <w:t xml:space="preserve">This study highlights the clinical, haematological and biochemical alterations caused by Canine Parvovirus-2 (CPV-2) infection in dogs, focusing on the CPV-2a, CPV-2b and CPV-2c variants. The findings indicate that CPV-2b and CPV-2c infections are associated with more severe clinical symptoms, such as increased heart and respiration rates. </w:t>
      </w:r>
      <w:proofErr w:type="spellStart"/>
      <w:r w:rsidRPr="00D96307">
        <w:rPr>
          <w:i w:val="0"/>
          <w:iCs w:val="0"/>
        </w:rPr>
        <w:t>Hematological</w:t>
      </w:r>
      <w:proofErr w:type="spellEnd"/>
      <w:r w:rsidRPr="00D96307">
        <w:rPr>
          <w:i w:val="0"/>
          <w:iCs w:val="0"/>
        </w:rPr>
        <w:t xml:space="preserve"> analysis revealed a significant decline in haemoglobin, packed cell volume (PCV), and total erythrocyte count (TEC), indicating anaemia and immune suppression. The elevated neutrophil count and reduced lymphocyte percentage in CPV-2b and CPV-2c cases suggest an acute inflammatory response, consistent with prior research. Additionally, increased eosinophil and basophil counts reflect immune system activation due to viral infection.</w:t>
      </w:r>
    </w:p>
    <w:p w14:paraId="30783B4B" w14:textId="77777777" w:rsidR="00D96307" w:rsidRPr="00D96307" w:rsidRDefault="00D96307" w:rsidP="00D96307">
      <w:pPr>
        <w:spacing w:line="360" w:lineRule="auto"/>
        <w:jc w:val="both"/>
        <w:rPr>
          <w:i w:val="0"/>
          <w:iCs w:val="0"/>
        </w:rPr>
      </w:pPr>
    </w:p>
    <w:p w14:paraId="0F877275" w14:textId="77777777" w:rsidR="00D96307" w:rsidRPr="00D96307" w:rsidRDefault="00D96307" w:rsidP="00D96307">
      <w:pPr>
        <w:spacing w:line="360" w:lineRule="auto"/>
        <w:jc w:val="both"/>
        <w:rPr>
          <w:i w:val="0"/>
          <w:iCs w:val="0"/>
        </w:rPr>
      </w:pPr>
      <w:r w:rsidRPr="00D96307">
        <w:rPr>
          <w:i w:val="0"/>
          <w:iCs w:val="0"/>
        </w:rPr>
        <w:t>Biochemical changes further emphasize the systemic impact of CPV-2 infection. The reduced levels of serum total protein and albumin, particularly in CPV-2c cases, indicate severe protein loss due to gastrointestinal damage. Elevated AST and ALP levels suggest liver dysfunction, while lower serum creatinine levels, especially in CPV-2c-infected dogs, may indicate renal impairment. These findings align with existing literature, reinforcing the clinical importance of hematobiochemical parameters in diagnosing and managing CPV-2 infections.</w:t>
      </w:r>
    </w:p>
    <w:p w14:paraId="5A3EAD8C" w14:textId="77777777" w:rsidR="00D96307" w:rsidRPr="00D96307" w:rsidRDefault="00D96307" w:rsidP="00D96307">
      <w:pPr>
        <w:spacing w:line="360" w:lineRule="auto"/>
        <w:jc w:val="both"/>
        <w:rPr>
          <w:i w:val="0"/>
          <w:iCs w:val="0"/>
        </w:rPr>
      </w:pPr>
    </w:p>
    <w:p w14:paraId="3194B2CB" w14:textId="1A2FDD65" w:rsidR="00D96307" w:rsidRDefault="007C20B3" w:rsidP="00D96307">
      <w:pPr>
        <w:spacing w:line="360" w:lineRule="auto"/>
        <w:jc w:val="both"/>
        <w:rPr>
          <w:i w:val="0"/>
          <w:iCs w:val="0"/>
        </w:rPr>
      </w:pPr>
      <w:proofErr w:type="gramStart"/>
      <w:r w:rsidRPr="00D96307">
        <w:rPr>
          <w:i w:val="0"/>
          <w:iCs w:val="0"/>
        </w:rPr>
        <w:t>C</w:t>
      </w:r>
      <w:r w:rsidR="00D96307" w:rsidRPr="00D96307">
        <w:rPr>
          <w:i w:val="0"/>
          <w:iCs w:val="0"/>
        </w:rPr>
        <w:t>onclusion</w:t>
      </w:r>
      <w:r>
        <w:rPr>
          <w:i w:val="0"/>
          <w:iCs w:val="0"/>
        </w:rPr>
        <w:t xml:space="preserve"> :</w:t>
      </w:r>
      <w:proofErr w:type="gramEnd"/>
      <w:r>
        <w:rPr>
          <w:i w:val="0"/>
          <w:iCs w:val="0"/>
        </w:rPr>
        <w:t xml:space="preserve"> </w:t>
      </w:r>
      <w:r w:rsidR="00D96307" w:rsidRPr="00D96307">
        <w:rPr>
          <w:i w:val="0"/>
          <w:iCs w:val="0"/>
        </w:rPr>
        <w:t xml:space="preserve"> the study underscores the distinct pathological effects of CPV-2 variants, highlighting their role in disease severity. The observed differences among CPV-2a, CPV-2b, and CPV-2c strains provide crucial information for improving early diagnosis and treatment strategies. Future research should focus on molecular and immunological aspects to further understand CPV-2 pathogenesis. Integrating clinical, </w:t>
      </w:r>
      <w:proofErr w:type="spellStart"/>
      <w:r w:rsidR="00D96307" w:rsidRPr="00D96307">
        <w:rPr>
          <w:i w:val="0"/>
          <w:iCs w:val="0"/>
        </w:rPr>
        <w:t>hematological</w:t>
      </w:r>
      <w:proofErr w:type="spellEnd"/>
      <w:r w:rsidR="00D96307" w:rsidRPr="00D96307">
        <w:rPr>
          <w:i w:val="0"/>
          <w:iCs w:val="0"/>
        </w:rPr>
        <w:t>, and biochemical assessments enhances veterinary knowledge and aids in the effective management of CPV-2 infections in dogs.</w:t>
      </w:r>
    </w:p>
    <w:p w14:paraId="4EADF9E1" w14:textId="77777777" w:rsidR="005011F1" w:rsidRDefault="005011F1" w:rsidP="00D96307">
      <w:pPr>
        <w:spacing w:line="360" w:lineRule="auto"/>
        <w:jc w:val="both"/>
        <w:rPr>
          <w:i w:val="0"/>
          <w:iCs w:val="0"/>
        </w:rPr>
      </w:pPr>
    </w:p>
    <w:p w14:paraId="6C72DE56" w14:textId="77777777" w:rsidR="005357EB" w:rsidRDefault="005357EB" w:rsidP="00D96307">
      <w:pPr>
        <w:spacing w:line="360" w:lineRule="auto"/>
        <w:jc w:val="both"/>
        <w:rPr>
          <w:i w:val="0"/>
          <w:iCs w:val="0"/>
        </w:rPr>
      </w:pPr>
    </w:p>
    <w:p w14:paraId="604DD798" w14:textId="7271C69A" w:rsidR="005357EB" w:rsidRDefault="005357EB" w:rsidP="00D96307">
      <w:pPr>
        <w:spacing w:line="360" w:lineRule="auto"/>
        <w:jc w:val="both"/>
        <w:rPr>
          <w:i w:val="0"/>
          <w:iCs w:val="0"/>
        </w:rPr>
      </w:pPr>
      <w:r>
        <w:rPr>
          <w:i w:val="0"/>
          <w:iCs w:val="0"/>
        </w:rPr>
        <w:t xml:space="preserve">References </w:t>
      </w:r>
    </w:p>
    <w:p w14:paraId="0C9E4292" w14:textId="77777777" w:rsidR="005357EB" w:rsidRPr="005357EB" w:rsidRDefault="005357EB" w:rsidP="005357EB">
      <w:pPr>
        <w:pStyle w:val="NormalWeb"/>
        <w:spacing w:line="360" w:lineRule="auto"/>
        <w:ind w:left="709" w:hanging="720"/>
        <w:jc w:val="both"/>
        <w:rPr>
          <w:color w:val="000000"/>
        </w:rPr>
      </w:pPr>
      <w:r w:rsidRPr="005357EB">
        <w:rPr>
          <w:color w:val="000000"/>
        </w:rPr>
        <w:t xml:space="preserve">Decaro, N. and </w:t>
      </w:r>
      <w:proofErr w:type="spellStart"/>
      <w:r w:rsidRPr="005357EB">
        <w:rPr>
          <w:color w:val="000000"/>
        </w:rPr>
        <w:t>Buonavoglia</w:t>
      </w:r>
      <w:proofErr w:type="spellEnd"/>
      <w:r w:rsidRPr="005357EB">
        <w:rPr>
          <w:color w:val="000000"/>
        </w:rPr>
        <w:t>, C. (2012). Canine parvovirus—a review of epidemiological and diagnostic aspects, with emphasis on type 2c. Veterinary microbiology, </w:t>
      </w:r>
      <w:r w:rsidRPr="005357EB">
        <w:rPr>
          <w:b/>
          <w:bCs/>
          <w:color w:val="000000"/>
        </w:rPr>
        <w:t>155</w:t>
      </w:r>
      <w:r w:rsidRPr="005357EB">
        <w:rPr>
          <w:color w:val="000000"/>
        </w:rPr>
        <w:t>(1): 1-12.</w:t>
      </w:r>
    </w:p>
    <w:p w14:paraId="2E6CA2E6" w14:textId="77777777" w:rsidR="005357EB" w:rsidRPr="005357EB" w:rsidRDefault="005357EB" w:rsidP="005357EB">
      <w:pPr>
        <w:spacing w:before="100" w:beforeAutospacing="1" w:after="100" w:afterAutospacing="1" w:line="360" w:lineRule="auto"/>
        <w:ind w:left="709" w:hanging="720"/>
        <w:jc w:val="both"/>
        <w:rPr>
          <w:rFonts w:eastAsia="Times New Roman"/>
          <w:i w:val="0"/>
          <w:iCs w:val="0"/>
          <w:color w:val="000000"/>
          <w:kern w:val="0"/>
          <w:lang w:eastAsia="en-GB"/>
          <w14:ligatures w14:val="none"/>
        </w:rPr>
      </w:pPr>
      <w:r w:rsidRPr="005357EB">
        <w:rPr>
          <w:rFonts w:eastAsia="Times New Roman"/>
          <w:i w:val="0"/>
          <w:iCs w:val="0"/>
          <w:color w:val="000000"/>
          <w:kern w:val="0"/>
          <w:lang w:eastAsia="en-GB"/>
          <w14:ligatures w14:val="none"/>
        </w:rPr>
        <w:t xml:space="preserve">Decaro, N., Cirone, F., Desario, C., Elia, G., Lorusso, E., Colaianni, M. L. and </w:t>
      </w:r>
      <w:proofErr w:type="spellStart"/>
      <w:r w:rsidRPr="005357EB">
        <w:rPr>
          <w:rFonts w:eastAsia="Times New Roman"/>
          <w:i w:val="0"/>
          <w:iCs w:val="0"/>
          <w:color w:val="000000"/>
          <w:kern w:val="0"/>
          <w:lang w:eastAsia="en-GB"/>
          <w14:ligatures w14:val="none"/>
        </w:rPr>
        <w:t>Buonavoglia</w:t>
      </w:r>
      <w:proofErr w:type="spellEnd"/>
      <w:r w:rsidRPr="005357EB">
        <w:rPr>
          <w:rFonts w:eastAsia="Times New Roman"/>
          <w:i w:val="0"/>
          <w:iCs w:val="0"/>
          <w:color w:val="000000"/>
          <w:kern w:val="0"/>
          <w:lang w:eastAsia="en-GB"/>
          <w14:ligatures w14:val="none"/>
        </w:rPr>
        <w:t xml:space="preserve">, C. (2009). Severe parvovirus in a 12-year-old dog that had been repeatedly vaccinated. The Veterinary Record, </w:t>
      </w:r>
      <w:r w:rsidRPr="005357EB">
        <w:rPr>
          <w:rFonts w:eastAsia="Times New Roman"/>
          <w:b/>
          <w:bCs/>
          <w:i w:val="0"/>
          <w:iCs w:val="0"/>
          <w:color w:val="000000"/>
          <w:kern w:val="0"/>
          <w:lang w:eastAsia="en-GB"/>
          <w14:ligatures w14:val="none"/>
        </w:rPr>
        <w:t>164</w:t>
      </w:r>
      <w:r w:rsidRPr="005357EB">
        <w:rPr>
          <w:rFonts w:eastAsia="Times New Roman"/>
          <w:i w:val="0"/>
          <w:iCs w:val="0"/>
          <w:color w:val="000000"/>
          <w:kern w:val="0"/>
          <w:lang w:eastAsia="en-GB"/>
          <w14:ligatures w14:val="none"/>
        </w:rPr>
        <w:t>(19): 593.</w:t>
      </w:r>
    </w:p>
    <w:p w14:paraId="18B20C73" w14:textId="77777777" w:rsidR="005357EB" w:rsidRPr="005357EB" w:rsidRDefault="005357EB" w:rsidP="005357EB">
      <w:pPr>
        <w:spacing w:before="100" w:beforeAutospacing="1" w:after="100" w:afterAutospacing="1" w:line="360" w:lineRule="auto"/>
        <w:ind w:left="709" w:hanging="720"/>
        <w:jc w:val="both"/>
        <w:rPr>
          <w:rFonts w:eastAsia="Times New Roman"/>
          <w:i w:val="0"/>
          <w:iCs w:val="0"/>
          <w:color w:val="000000"/>
          <w:kern w:val="0"/>
          <w:lang w:eastAsia="en-GB"/>
          <w14:ligatures w14:val="none"/>
        </w:rPr>
      </w:pPr>
      <w:r w:rsidRPr="005357EB">
        <w:rPr>
          <w:rFonts w:eastAsia="Times New Roman"/>
          <w:i w:val="0"/>
          <w:iCs w:val="0"/>
          <w:color w:val="000000"/>
          <w:kern w:val="0"/>
          <w:lang w:eastAsia="en-GB"/>
          <w14:ligatures w14:val="none"/>
        </w:rPr>
        <w:t xml:space="preserve">Goddard, A., </w:t>
      </w:r>
      <w:proofErr w:type="spellStart"/>
      <w:r w:rsidRPr="005357EB">
        <w:rPr>
          <w:rFonts w:eastAsia="Times New Roman"/>
          <w:i w:val="0"/>
          <w:iCs w:val="0"/>
          <w:color w:val="000000"/>
          <w:kern w:val="0"/>
          <w:lang w:eastAsia="en-GB"/>
          <w14:ligatures w14:val="none"/>
        </w:rPr>
        <w:t>Leisewitz</w:t>
      </w:r>
      <w:proofErr w:type="spellEnd"/>
      <w:r w:rsidRPr="005357EB">
        <w:rPr>
          <w:rFonts w:eastAsia="Times New Roman"/>
          <w:i w:val="0"/>
          <w:iCs w:val="0"/>
          <w:color w:val="000000"/>
          <w:kern w:val="0"/>
          <w:lang w:eastAsia="en-GB"/>
          <w14:ligatures w14:val="none"/>
        </w:rPr>
        <w:t>, A. L., Christopher, M. M., Duncan, N. M. and Becker, P. J. (2008). Prognostic usefulness of blood leukocyte changes in canine parvoviral enteritis. Journal of Veterinary Internal Medicine, </w:t>
      </w:r>
      <w:r w:rsidRPr="005357EB">
        <w:rPr>
          <w:rFonts w:eastAsia="Times New Roman"/>
          <w:b/>
          <w:bCs/>
          <w:i w:val="0"/>
          <w:iCs w:val="0"/>
          <w:color w:val="000000"/>
          <w:kern w:val="0"/>
          <w:lang w:eastAsia="en-GB"/>
          <w14:ligatures w14:val="none"/>
        </w:rPr>
        <w:t>22</w:t>
      </w:r>
      <w:r w:rsidRPr="005357EB">
        <w:rPr>
          <w:rFonts w:eastAsia="Times New Roman"/>
          <w:i w:val="0"/>
          <w:iCs w:val="0"/>
          <w:color w:val="000000"/>
          <w:kern w:val="0"/>
          <w:lang w:eastAsia="en-GB"/>
          <w14:ligatures w14:val="none"/>
        </w:rPr>
        <w:t>(2): 309-316.</w:t>
      </w:r>
    </w:p>
    <w:p w14:paraId="019468C7" w14:textId="77777777" w:rsidR="005357EB" w:rsidRPr="005357EB" w:rsidRDefault="005357EB" w:rsidP="005357EB">
      <w:pPr>
        <w:spacing w:before="100" w:beforeAutospacing="1" w:after="100" w:afterAutospacing="1" w:line="360" w:lineRule="auto"/>
        <w:ind w:left="709" w:hanging="720"/>
        <w:jc w:val="both"/>
        <w:rPr>
          <w:rFonts w:eastAsia="Times New Roman"/>
          <w:i w:val="0"/>
          <w:iCs w:val="0"/>
          <w:color w:val="000000"/>
          <w:kern w:val="0"/>
          <w:lang w:eastAsia="en-GB"/>
          <w14:ligatures w14:val="none"/>
        </w:rPr>
      </w:pPr>
      <w:r w:rsidRPr="005357EB">
        <w:rPr>
          <w:rFonts w:eastAsia="Times New Roman"/>
          <w:i w:val="0"/>
          <w:iCs w:val="0"/>
          <w:color w:val="000000"/>
          <w:kern w:val="0"/>
          <w:lang w:eastAsia="en-GB"/>
          <w14:ligatures w14:val="none"/>
        </w:rPr>
        <w:t xml:space="preserve">Kataria, D., Agnihotri, D., Kumar, S. and </w:t>
      </w:r>
      <w:proofErr w:type="spellStart"/>
      <w:r w:rsidRPr="005357EB">
        <w:rPr>
          <w:rFonts w:eastAsia="Times New Roman"/>
          <w:i w:val="0"/>
          <w:iCs w:val="0"/>
          <w:color w:val="000000"/>
          <w:kern w:val="0"/>
          <w:lang w:eastAsia="en-GB"/>
          <w14:ligatures w14:val="none"/>
        </w:rPr>
        <w:t>Lohiya</w:t>
      </w:r>
      <w:proofErr w:type="spellEnd"/>
      <w:r w:rsidRPr="005357EB">
        <w:rPr>
          <w:rFonts w:eastAsia="Times New Roman"/>
          <w:i w:val="0"/>
          <w:iCs w:val="0"/>
          <w:color w:val="000000"/>
          <w:kern w:val="0"/>
          <w:lang w:eastAsia="en-GB"/>
          <w14:ligatures w14:val="none"/>
        </w:rPr>
        <w:t>, A. (2020). Comparative assessment of oxidative stress in dogs regarding CPV infection. Innov J,</w:t>
      </w:r>
      <w:r w:rsidRPr="005357EB">
        <w:rPr>
          <w:rFonts w:eastAsia="Times New Roman"/>
          <w:b/>
          <w:bCs/>
          <w:i w:val="0"/>
          <w:iCs w:val="0"/>
          <w:color w:val="000000"/>
          <w:kern w:val="0"/>
          <w:lang w:eastAsia="en-GB"/>
          <w14:ligatures w14:val="none"/>
        </w:rPr>
        <w:t xml:space="preserve"> 9</w:t>
      </w:r>
      <w:r w:rsidRPr="005357EB">
        <w:rPr>
          <w:rFonts w:eastAsia="Times New Roman"/>
          <w:i w:val="0"/>
          <w:iCs w:val="0"/>
          <w:color w:val="000000"/>
          <w:kern w:val="0"/>
          <w:lang w:eastAsia="en-GB"/>
          <w14:ligatures w14:val="none"/>
        </w:rPr>
        <w:t>(2): 115-117.</w:t>
      </w:r>
    </w:p>
    <w:p w14:paraId="35845B55" w14:textId="77777777" w:rsidR="005357EB" w:rsidRPr="005357EB" w:rsidRDefault="005357EB" w:rsidP="005357EB">
      <w:pPr>
        <w:spacing w:before="100" w:beforeAutospacing="1" w:after="100" w:afterAutospacing="1" w:line="360" w:lineRule="auto"/>
        <w:ind w:left="709" w:hanging="720"/>
        <w:jc w:val="both"/>
        <w:rPr>
          <w:i w:val="0"/>
          <w:iCs w:val="0"/>
        </w:rPr>
      </w:pPr>
      <w:r w:rsidRPr="005357EB">
        <w:rPr>
          <w:i w:val="0"/>
          <w:iCs w:val="0"/>
        </w:rPr>
        <w:t xml:space="preserve">Kaur, G., Chandra, M., Dwivedi, P. N. and Sharma, N. S. (2014). Antigenic typing of canine parvovirus using differential PCR. Virus disease, </w:t>
      </w:r>
      <w:r w:rsidRPr="005357EB">
        <w:rPr>
          <w:b/>
          <w:bCs/>
          <w:i w:val="0"/>
          <w:iCs w:val="0"/>
        </w:rPr>
        <w:t>25</w:t>
      </w:r>
      <w:r w:rsidRPr="005357EB">
        <w:rPr>
          <w:i w:val="0"/>
          <w:iCs w:val="0"/>
        </w:rPr>
        <w:t>: 481-487.</w:t>
      </w:r>
    </w:p>
    <w:p w14:paraId="31B098D5" w14:textId="77777777" w:rsidR="005357EB" w:rsidRPr="005357EB" w:rsidRDefault="005357EB" w:rsidP="005357EB">
      <w:pPr>
        <w:pStyle w:val="NormalWeb"/>
        <w:spacing w:line="360" w:lineRule="auto"/>
        <w:ind w:left="709" w:hanging="720"/>
        <w:jc w:val="both"/>
        <w:rPr>
          <w:color w:val="000000"/>
        </w:rPr>
      </w:pPr>
      <w:r w:rsidRPr="005357EB">
        <w:rPr>
          <w:color w:val="000000"/>
        </w:rPr>
        <w:lastRenderedPageBreak/>
        <w:t>Miranda, C. and Thompson, G. (2016). Canine parvovirus: the worldwide occurrence of antigenic variants. Journal of General Virology, </w:t>
      </w:r>
      <w:r w:rsidRPr="005357EB">
        <w:rPr>
          <w:b/>
          <w:bCs/>
          <w:color w:val="000000"/>
        </w:rPr>
        <w:t>97</w:t>
      </w:r>
      <w:r w:rsidRPr="005357EB">
        <w:rPr>
          <w:color w:val="000000"/>
        </w:rPr>
        <w:t>(9): 2043-2057.</w:t>
      </w:r>
    </w:p>
    <w:p w14:paraId="5EE3F739" w14:textId="064ABB65" w:rsidR="005357EB" w:rsidRPr="005357EB" w:rsidRDefault="005357EB" w:rsidP="005357EB">
      <w:pPr>
        <w:pStyle w:val="NormalWeb"/>
        <w:spacing w:line="360" w:lineRule="auto"/>
        <w:ind w:left="709" w:hanging="720"/>
        <w:jc w:val="both"/>
        <w:rPr>
          <w:color w:val="000000"/>
        </w:rPr>
      </w:pPr>
      <w:r w:rsidRPr="005357EB">
        <w:rPr>
          <w:color w:val="000000"/>
        </w:rPr>
        <w:t>Nandi, S. and Kumar, M. (2010). Canine parvovirus: current perspective. Indian Journal of virology, </w:t>
      </w:r>
      <w:r w:rsidRPr="005357EB">
        <w:rPr>
          <w:b/>
          <w:bCs/>
          <w:color w:val="000000"/>
        </w:rPr>
        <w:t>21</w:t>
      </w:r>
      <w:r w:rsidRPr="005357EB">
        <w:rPr>
          <w:color w:val="000000"/>
        </w:rPr>
        <w:t>: 31-44.</w:t>
      </w:r>
    </w:p>
    <w:p w14:paraId="6A90295C" w14:textId="77777777" w:rsidR="005357EB" w:rsidRPr="005357EB" w:rsidRDefault="005357EB" w:rsidP="005357EB">
      <w:pPr>
        <w:pStyle w:val="NormalWeb"/>
        <w:spacing w:line="360" w:lineRule="auto"/>
        <w:ind w:left="709" w:hanging="720"/>
        <w:jc w:val="both"/>
        <w:rPr>
          <w:color w:val="000000"/>
        </w:rPr>
      </w:pPr>
      <w:r w:rsidRPr="005357EB">
        <w:rPr>
          <w:color w:val="000000"/>
        </w:rPr>
        <w:t xml:space="preserve">Ogbu, K. I., Anene, B. M., Nweze, N. E., Okoro, J. I., Danladi, M. M. A. and </w:t>
      </w:r>
      <w:proofErr w:type="spellStart"/>
      <w:r w:rsidRPr="005357EB">
        <w:rPr>
          <w:color w:val="000000"/>
        </w:rPr>
        <w:t>Ochai</w:t>
      </w:r>
      <w:proofErr w:type="spellEnd"/>
      <w:r w:rsidRPr="005357EB">
        <w:rPr>
          <w:color w:val="000000"/>
        </w:rPr>
        <w:t>, S. O. (2017). Canine parvovirus: a review.</w:t>
      </w:r>
      <w:r w:rsidRPr="005357EB">
        <w:rPr>
          <w:rFonts w:ascii="-webkit-standard" w:eastAsia="Aptos" w:hAnsi="-webkit-standard"/>
          <w:color w:val="000000"/>
          <w:kern w:val="2"/>
          <w:sz w:val="27"/>
          <w:szCs w:val="27"/>
        </w:rPr>
        <w:t xml:space="preserve"> I</w:t>
      </w:r>
      <w:r w:rsidRPr="005357EB">
        <w:rPr>
          <w:color w:val="000000"/>
        </w:rPr>
        <w:t xml:space="preserve">nternational Journal of Sciences and Applied Research, </w:t>
      </w:r>
      <w:r w:rsidRPr="005357EB">
        <w:rPr>
          <w:b/>
          <w:bCs/>
          <w:color w:val="000000"/>
        </w:rPr>
        <w:t>2</w:t>
      </w:r>
      <w:r w:rsidRPr="005357EB">
        <w:rPr>
          <w:color w:val="000000"/>
        </w:rPr>
        <w:t>: 74-95</w:t>
      </w:r>
    </w:p>
    <w:p w14:paraId="378F9E97" w14:textId="77777777" w:rsidR="005357EB" w:rsidRPr="005357EB" w:rsidRDefault="005357EB" w:rsidP="005357EB">
      <w:pPr>
        <w:pStyle w:val="NormalWeb"/>
        <w:spacing w:line="360" w:lineRule="auto"/>
        <w:ind w:left="709" w:hanging="720"/>
        <w:jc w:val="both"/>
        <w:rPr>
          <w:color w:val="000000"/>
        </w:rPr>
      </w:pPr>
      <w:r w:rsidRPr="005357EB">
        <w:rPr>
          <w:color w:val="000000"/>
        </w:rPr>
        <w:t>Parrish, C. R. and Kawaoka, Y. (2005). The origins of new pandemic viruses: the acquisition of new host ranges by canine parvovirus and influenza A viruses. Annu. Rev. Microbiology., </w:t>
      </w:r>
      <w:r w:rsidRPr="005357EB">
        <w:rPr>
          <w:b/>
          <w:bCs/>
          <w:color w:val="000000"/>
        </w:rPr>
        <w:t>59</w:t>
      </w:r>
      <w:r w:rsidRPr="005357EB">
        <w:rPr>
          <w:color w:val="000000"/>
        </w:rPr>
        <w:t>(1): 553-586.</w:t>
      </w:r>
    </w:p>
    <w:p w14:paraId="1BC3DD7A" w14:textId="77777777" w:rsidR="005357EB" w:rsidRPr="005357EB" w:rsidRDefault="005357EB" w:rsidP="005357EB">
      <w:pPr>
        <w:spacing w:before="100" w:beforeAutospacing="1" w:after="100" w:afterAutospacing="1" w:line="360" w:lineRule="auto"/>
        <w:ind w:left="709" w:hanging="720"/>
        <w:jc w:val="both"/>
        <w:rPr>
          <w:i w:val="0"/>
          <w:iCs w:val="0"/>
        </w:rPr>
      </w:pPr>
      <w:r w:rsidRPr="005357EB">
        <w:rPr>
          <w:i w:val="0"/>
          <w:iCs w:val="0"/>
          <w:sz w:val="22"/>
          <w:szCs w:val="22"/>
        </w:rPr>
        <w:t xml:space="preserve">Pereira, C. A., </w:t>
      </w:r>
      <w:proofErr w:type="spellStart"/>
      <w:r w:rsidRPr="005357EB">
        <w:rPr>
          <w:i w:val="0"/>
          <w:iCs w:val="0"/>
          <w:sz w:val="22"/>
          <w:szCs w:val="22"/>
        </w:rPr>
        <w:t>Monezi</w:t>
      </w:r>
      <w:proofErr w:type="spellEnd"/>
      <w:r w:rsidRPr="005357EB">
        <w:rPr>
          <w:i w:val="0"/>
          <w:iCs w:val="0"/>
          <w:sz w:val="22"/>
          <w:szCs w:val="22"/>
        </w:rPr>
        <w:t xml:space="preserve">, T. A., Mehnert, D. U., D’Angelo, M. and </w:t>
      </w:r>
      <w:proofErr w:type="spellStart"/>
      <w:r w:rsidRPr="005357EB">
        <w:rPr>
          <w:i w:val="0"/>
          <w:iCs w:val="0"/>
          <w:sz w:val="22"/>
          <w:szCs w:val="22"/>
        </w:rPr>
        <w:t>Durigon</w:t>
      </w:r>
      <w:proofErr w:type="spellEnd"/>
      <w:r w:rsidRPr="005357EB">
        <w:rPr>
          <w:i w:val="0"/>
          <w:iCs w:val="0"/>
          <w:sz w:val="22"/>
          <w:szCs w:val="22"/>
        </w:rPr>
        <w:t xml:space="preserve">, E. L. (2000). Molecular characterization of canine parvovirus in Brazil by polymerase chain reaction assay. Veterinary microbiology, </w:t>
      </w:r>
      <w:r w:rsidRPr="005357EB">
        <w:rPr>
          <w:b/>
          <w:bCs/>
          <w:i w:val="0"/>
          <w:iCs w:val="0"/>
          <w:sz w:val="22"/>
          <w:szCs w:val="22"/>
        </w:rPr>
        <w:t>75</w:t>
      </w:r>
      <w:r w:rsidRPr="005357EB">
        <w:rPr>
          <w:i w:val="0"/>
          <w:iCs w:val="0"/>
          <w:sz w:val="22"/>
          <w:szCs w:val="22"/>
        </w:rPr>
        <w:t>(2): 127-133</w:t>
      </w:r>
    </w:p>
    <w:p w14:paraId="441443E6" w14:textId="77777777" w:rsidR="005357EB" w:rsidRPr="005357EB" w:rsidRDefault="005357EB" w:rsidP="005357EB">
      <w:pPr>
        <w:pStyle w:val="NormalWeb"/>
        <w:spacing w:line="360" w:lineRule="auto"/>
        <w:ind w:left="709" w:hanging="720"/>
        <w:jc w:val="both"/>
        <w:rPr>
          <w:color w:val="000000"/>
        </w:rPr>
      </w:pPr>
      <w:r w:rsidRPr="005357EB">
        <w:rPr>
          <w:color w:val="000000"/>
        </w:rPr>
        <w:t xml:space="preserve">Raj, J. M., Mukhopadhyay, H. K., </w:t>
      </w:r>
      <w:proofErr w:type="spellStart"/>
      <w:r w:rsidRPr="005357EB">
        <w:rPr>
          <w:color w:val="000000"/>
        </w:rPr>
        <w:t>Thanislass</w:t>
      </w:r>
      <w:proofErr w:type="spellEnd"/>
      <w:r w:rsidRPr="005357EB">
        <w:rPr>
          <w:color w:val="000000"/>
        </w:rPr>
        <w:t xml:space="preserve">, J., Antony, P. X. and Pillai, R. M. (2010). Isolation, molecular characterization and phylogenetic analysis of canine parvovirus. Infection, Genetics and Evolution, </w:t>
      </w:r>
      <w:r w:rsidRPr="005357EB">
        <w:rPr>
          <w:b/>
          <w:bCs/>
          <w:color w:val="000000"/>
        </w:rPr>
        <w:t>10</w:t>
      </w:r>
      <w:r w:rsidRPr="005357EB">
        <w:rPr>
          <w:color w:val="000000"/>
        </w:rPr>
        <w:t>(8): 1237-1241.</w:t>
      </w:r>
    </w:p>
    <w:p w14:paraId="587D9955" w14:textId="77777777" w:rsidR="005357EB" w:rsidRPr="005357EB" w:rsidRDefault="005357EB" w:rsidP="005357EB">
      <w:pPr>
        <w:pStyle w:val="NormalWeb"/>
        <w:spacing w:line="360" w:lineRule="auto"/>
        <w:ind w:left="709" w:hanging="720"/>
        <w:jc w:val="both"/>
        <w:rPr>
          <w:color w:val="000000"/>
        </w:rPr>
      </w:pPr>
      <w:r w:rsidRPr="005357EB">
        <w:rPr>
          <w:color w:val="000000"/>
        </w:rPr>
        <w:t>Reed, A. P., Jones, E. V. and Miller, T. J. (1988). Nucleotide sequence and genome organization of canine parvovirus. Journal of virology, </w:t>
      </w:r>
      <w:r w:rsidRPr="005357EB">
        <w:rPr>
          <w:b/>
          <w:bCs/>
          <w:color w:val="000000"/>
        </w:rPr>
        <w:t>62</w:t>
      </w:r>
      <w:r w:rsidRPr="005357EB">
        <w:rPr>
          <w:color w:val="000000"/>
        </w:rPr>
        <w:t>(1): 266-276.</w:t>
      </w:r>
    </w:p>
    <w:p w14:paraId="6570365B" w14:textId="77777777" w:rsidR="005357EB" w:rsidRPr="005357EB" w:rsidRDefault="005357EB" w:rsidP="005357EB">
      <w:pPr>
        <w:spacing w:before="100" w:beforeAutospacing="1" w:after="100" w:afterAutospacing="1" w:line="360" w:lineRule="auto"/>
        <w:ind w:left="709" w:hanging="720"/>
        <w:jc w:val="both"/>
        <w:rPr>
          <w:i w:val="0"/>
          <w:iCs w:val="0"/>
          <w:color w:val="000000" w:themeColor="text1"/>
        </w:rPr>
      </w:pPr>
      <w:r w:rsidRPr="005357EB">
        <w:rPr>
          <w:i w:val="0"/>
          <w:iCs w:val="0"/>
          <w:color w:val="000000" w:themeColor="text1"/>
        </w:rPr>
        <w:t xml:space="preserve">Sharma, S., Dhar, P. and Sharma, M. (2019). Study of different risk factors for canine parvovirus infection by haemagglutination assay. Journal of Animal Research, </w:t>
      </w:r>
      <w:r w:rsidRPr="005357EB">
        <w:rPr>
          <w:b/>
          <w:bCs/>
          <w:i w:val="0"/>
          <w:iCs w:val="0"/>
          <w:color w:val="000000" w:themeColor="text1"/>
        </w:rPr>
        <w:t>9</w:t>
      </w:r>
      <w:r w:rsidRPr="005357EB">
        <w:rPr>
          <w:i w:val="0"/>
          <w:iCs w:val="0"/>
          <w:color w:val="000000" w:themeColor="text1"/>
        </w:rPr>
        <w:t>(5): 735-739.</w:t>
      </w:r>
    </w:p>
    <w:p w14:paraId="1CE23127" w14:textId="77777777" w:rsidR="005357EB" w:rsidRPr="005357EB" w:rsidRDefault="005357EB" w:rsidP="005357EB">
      <w:pPr>
        <w:spacing w:before="100" w:beforeAutospacing="1" w:after="100" w:afterAutospacing="1" w:line="360" w:lineRule="auto"/>
        <w:ind w:left="709" w:hanging="720"/>
        <w:jc w:val="both"/>
        <w:rPr>
          <w:i w:val="0"/>
          <w:iCs w:val="0"/>
          <w:color w:val="000000" w:themeColor="text1"/>
        </w:rPr>
      </w:pPr>
      <w:r w:rsidRPr="005357EB">
        <w:rPr>
          <w:i w:val="0"/>
          <w:iCs w:val="0"/>
          <w:color w:val="000000" w:themeColor="text1"/>
        </w:rPr>
        <w:t>Singh, M., Chander, V. and Nandi, S. (2019). Canine Parvovirus. Recent Advances in Animal Virology: 207-233.</w:t>
      </w:r>
    </w:p>
    <w:p w14:paraId="66775FAC" w14:textId="77777777" w:rsidR="005357EB" w:rsidRPr="00D96307" w:rsidRDefault="005357EB" w:rsidP="00D96307">
      <w:pPr>
        <w:spacing w:line="360" w:lineRule="auto"/>
        <w:jc w:val="both"/>
        <w:rPr>
          <w:i w:val="0"/>
          <w:iCs w:val="0"/>
        </w:rPr>
      </w:pPr>
    </w:p>
    <w:p w14:paraId="309BF4E8" w14:textId="77777777" w:rsidR="00D96307" w:rsidRDefault="00D96307" w:rsidP="00D96307">
      <w:pPr>
        <w:spacing w:line="360" w:lineRule="auto"/>
        <w:jc w:val="both"/>
      </w:pPr>
    </w:p>
    <w:p w14:paraId="6A0F35FB" w14:textId="77777777" w:rsidR="00D96307" w:rsidRDefault="00D96307" w:rsidP="00D96307">
      <w:pPr>
        <w:spacing w:line="360" w:lineRule="auto"/>
        <w:jc w:val="both"/>
        <w:rPr>
          <w:b/>
          <w:bCs/>
          <w:i w:val="0"/>
          <w:iCs w:val="0"/>
        </w:rPr>
      </w:pPr>
    </w:p>
    <w:p w14:paraId="6496C5E2" w14:textId="77777777" w:rsidR="00D96307" w:rsidRDefault="00D96307" w:rsidP="00D96307">
      <w:pPr>
        <w:spacing w:line="360" w:lineRule="auto"/>
        <w:jc w:val="both"/>
        <w:rPr>
          <w:b/>
          <w:bCs/>
          <w:i w:val="0"/>
          <w:iCs w:val="0"/>
        </w:rPr>
      </w:pPr>
    </w:p>
    <w:p w14:paraId="3ADDFE48" w14:textId="77777777" w:rsidR="00D96307" w:rsidRPr="00D96307" w:rsidRDefault="00D96307" w:rsidP="00D96307">
      <w:pPr>
        <w:spacing w:line="360" w:lineRule="auto"/>
        <w:jc w:val="both"/>
        <w:rPr>
          <w:i w:val="0"/>
          <w:iCs w:val="0"/>
          <w:color w:val="000000"/>
        </w:rPr>
      </w:pPr>
    </w:p>
    <w:p w14:paraId="70C55A86" w14:textId="77777777" w:rsidR="00D96307" w:rsidRPr="00AB2A71" w:rsidRDefault="00D96307" w:rsidP="00935F6C">
      <w:pPr>
        <w:spacing w:line="360" w:lineRule="auto"/>
        <w:jc w:val="both"/>
        <w:rPr>
          <w:i w:val="0"/>
          <w:iCs w:val="0"/>
        </w:rPr>
      </w:pPr>
    </w:p>
    <w:sectPr w:rsidR="00D96307" w:rsidRPr="00AB2A7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598E7" w14:textId="77777777" w:rsidR="00CA6A61" w:rsidRDefault="00CA6A61" w:rsidP="00154619">
      <w:r>
        <w:separator/>
      </w:r>
    </w:p>
  </w:endnote>
  <w:endnote w:type="continuationSeparator" w:id="0">
    <w:p w14:paraId="61BF6BA7" w14:textId="77777777" w:rsidR="00CA6A61" w:rsidRDefault="00CA6A61" w:rsidP="0015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ebkit-standar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D00E9" w14:textId="77777777" w:rsidR="00154619" w:rsidRDefault="00154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6E12F" w14:textId="77777777" w:rsidR="00154619" w:rsidRDefault="001546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3DA7A" w14:textId="77777777" w:rsidR="00154619" w:rsidRDefault="00154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5B968" w14:textId="77777777" w:rsidR="00CA6A61" w:rsidRDefault="00CA6A61" w:rsidP="00154619">
      <w:r>
        <w:separator/>
      </w:r>
    </w:p>
  </w:footnote>
  <w:footnote w:type="continuationSeparator" w:id="0">
    <w:p w14:paraId="27FF7062" w14:textId="77777777" w:rsidR="00CA6A61" w:rsidRDefault="00CA6A61" w:rsidP="00154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91FA6" w14:textId="466540DE" w:rsidR="00154619" w:rsidRDefault="00154619">
    <w:pPr>
      <w:pStyle w:val="Header"/>
    </w:pPr>
    <w:r>
      <w:rPr>
        <w:noProof/>
      </w:rPr>
      <w:pict w14:anchorId="747BA4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58563"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29C49" w14:textId="1CCC41E4" w:rsidR="00154619" w:rsidRDefault="00154619">
    <w:pPr>
      <w:pStyle w:val="Header"/>
    </w:pPr>
    <w:r>
      <w:rPr>
        <w:noProof/>
      </w:rPr>
      <w:pict w14:anchorId="4C1D5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58564"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647E2" w14:textId="6F69124E" w:rsidR="00154619" w:rsidRDefault="00154619">
    <w:pPr>
      <w:pStyle w:val="Header"/>
    </w:pPr>
    <w:r>
      <w:rPr>
        <w:noProof/>
      </w:rPr>
      <w:pict w14:anchorId="7A6E2A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58562"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4979A3"/>
    <w:multiLevelType w:val="multilevel"/>
    <w:tmpl w:val="2D4979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1865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A71"/>
    <w:rsid w:val="000C7D54"/>
    <w:rsid w:val="00154619"/>
    <w:rsid w:val="00221AA1"/>
    <w:rsid w:val="005011F1"/>
    <w:rsid w:val="005357EB"/>
    <w:rsid w:val="0068298E"/>
    <w:rsid w:val="00724A85"/>
    <w:rsid w:val="007A43C8"/>
    <w:rsid w:val="007C20B3"/>
    <w:rsid w:val="00935F6C"/>
    <w:rsid w:val="0098598A"/>
    <w:rsid w:val="009A4D44"/>
    <w:rsid w:val="00AA66FB"/>
    <w:rsid w:val="00AB2A71"/>
    <w:rsid w:val="00AE4051"/>
    <w:rsid w:val="00CA6A61"/>
    <w:rsid w:val="00D30F53"/>
    <w:rsid w:val="00D75FF4"/>
    <w:rsid w:val="00D96307"/>
    <w:rsid w:val="00F823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56281"/>
  <w15:chartTrackingRefBased/>
  <w15:docId w15:val="{439C712E-392E-A345-B887-51AC5B06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i/>
        <w:iCs/>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2A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2A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2A7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2A71"/>
    <w:pPr>
      <w:keepNext/>
      <w:keepLines/>
      <w:spacing w:before="80" w:after="40"/>
      <w:outlineLvl w:val="3"/>
    </w:pPr>
    <w:rPr>
      <w:rFonts w:asciiTheme="minorHAnsi" w:eastAsiaTheme="majorEastAsia" w:hAnsiTheme="minorHAnsi" w:cstheme="majorBidi"/>
      <w:i w:val="0"/>
      <w:iCs w:val="0"/>
      <w:color w:val="0F4761" w:themeColor="accent1" w:themeShade="BF"/>
    </w:rPr>
  </w:style>
  <w:style w:type="paragraph" w:styleId="Heading5">
    <w:name w:val="heading 5"/>
    <w:basedOn w:val="Normal"/>
    <w:next w:val="Normal"/>
    <w:link w:val="Heading5Char"/>
    <w:uiPriority w:val="9"/>
    <w:semiHidden/>
    <w:unhideWhenUsed/>
    <w:qFormat/>
    <w:rsid w:val="00AB2A7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B2A71"/>
    <w:pPr>
      <w:keepNext/>
      <w:keepLines/>
      <w:spacing w:before="40"/>
      <w:outlineLvl w:val="5"/>
    </w:pPr>
    <w:rPr>
      <w:rFonts w:asciiTheme="minorHAnsi" w:eastAsiaTheme="majorEastAsia" w:hAnsiTheme="minorHAnsi" w:cstheme="majorBidi"/>
      <w:i w:val="0"/>
      <w:iCs w:val="0"/>
      <w:color w:val="595959" w:themeColor="text1" w:themeTint="A6"/>
    </w:rPr>
  </w:style>
  <w:style w:type="paragraph" w:styleId="Heading7">
    <w:name w:val="heading 7"/>
    <w:basedOn w:val="Normal"/>
    <w:next w:val="Normal"/>
    <w:link w:val="Heading7Char"/>
    <w:uiPriority w:val="9"/>
    <w:semiHidden/>
    <w:unhideWhenUsed/>
    <w:qFormat/>
    <w:rsid w:val="00AB2A7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B2A71"/>
    <w:pPr>
      <w:keepNext/>
      <w:keepLines/>
      <w:outlineLvl w:val="7"/>
    </w:pPr>
    <w:rPr>
      <w:rFonts w:asciiTheme="minorHAnsi" w:eastAsiaTheme="majorEastAsia" w:hAnsiTheme="minorHAnsi" w:cstheme="majorBidi"/>
      <w:i w:val="0"/>
      <w:iCs w:val="0"/>
      <w:color w:val="272727" w:themeColor="text1" w:themeTint="D8"/>
    </w:rPr>
  </w:style>
  <w:style w:type="paragraph" w:styleId="Heading9">
    <w:name w:val="heading 9"/>
    <w:basedOn w:val="Normal"/>
    <w:next w:val="Normal"/>
    <w:link w:val="Heading9Char"/>
    <w:uiPriority w:val="9"/>
    <w:semiHidden/>
    <w:unhideWhenUsed/>
    <w:qFormat/>
    <w:rsid w:val="00AB2A7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A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2A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2A7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2A71"/>
    <w:rPr>
      <w:rFonts w:asciiTheme="minorHAnsi" w:eastAsiaTheme="majorEastAsia" w:hAnsiTheme="minorHAnsi" w:cstheme="majorBidi"/>
      <w:i w:val="0"/>
      <w:iCs w:val="0"/>
      <w:color w:val="0F4761" w:themeColor="accent1" w:themeShade="BF"/>
    </w:rPr>
  </w:style>
  <w:style w:type="character" w:customStyle="1" w:styleId="Heading5Char">
    <w:name w:val="Heading 5 Char"/>
    <w:basedOn w:val="DefaultParagraphFont"/>
    <w:link w:val="Heading5"/>
    <w:uiPriority w:val="9"/>
    <w:semiHidden/>
    <w:rsid w:val="00AB2A7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B2A71"/>
    <w:rPr>
      <w:rFonts w:asciiTheme="minorHAnsi" w:eastAsiaTheme="majorEastAsia" w:hAnsiTheme="minorHAnsi" w:cstheme="majorBidi"/>
      <w:i w:val="0"/>
      <w:iCs w:val="0"/>
      <w:color w:val="595959" w:themeColor="text1" w:themeTint="A6"/>
    </w:rPr>
  </w:style>
  <w:style w:type="character" w:customStyle="1" w:styleId="Heading7Char">
    <w:name w:val="Heading 7 Char"/>
    <w:basedOn w:val="DefaultParagraphFont"/>
    <w:link w:val="Heading7"/>
    <w:uiPriority w:val="9"/>
    <w:semiHidden/>
    <w:rsid w:val="00AB2A7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B2A71"/>
    <w:rPr>
      <w:rFonts w:asciiTheme="minorHAnsi" w:eastAsiaTheme="majorEastAsia" w:hAnsiTheme="minorHAnsi" w:cstheme="majorBidi"/>
      <w:i w:val="0"/>
      <w:iCs w:val="0"/>
      <w:color w:val="272727" w:themeColor="text1" w:themeTint="D8"/>
    </w:rPr>
  </w:style>
  <w:style w:type="character" w:customStyle="1" w:styleId="Heading9Char">
    <w:name w:val="Heading 9 Char"/>
    <w:basedOn w:val="DefaultParagraphFont"/>
    <w:link w:val="Heading9"/>
    <w:uiPriority w:val="9"/>
    <w:semiHidden/>
    <w:rsid w:val="00AB2A7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B2A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2A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2A7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2A7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B2A71"/>
    <w:pPr>
      <w:spacing w:before="160" w:after="160"/>
      <w:jc w:val="center"/>
    </w:pPr>
    <w:rPr>
      <w:i w:val="0"/>
      <w:iCs w:val="0"/>
      <w:color w:val="404040" w:themeColor="text1" w:themeTint="BF"/>
    </w:rPr>
  </w:style>
  <w:style w:type="character" w:customStyle="1" w:styleId="QuoteChar">
    <w:name w:val="Quote Char"/>
    <w:basedOn w:val="DefaultParagraphFont"/>
    <w:link w:val="Quote"/>
    <w:uiPriority w:val="29"/>
    <w:rsid w:val="00AB2A71"/>
    <w:rPr>
      <w:i w:val="0"/>
      <w:iCs w:val="0"/>
      <w:color w:val="404040" w:themeColor="text1" w:themeTint="BF"/>
    </w:rPr>
  </w:style>
  <w:style w:type="paragraph" w:styleId="ListParagraph">
    <w:name w:val="List Paragraph"/>
    <w:basedOn w:val="Normal"/>
    <w:uiPriority w:val="34"/>
    <w:qFormat/>
    <w:rsid w:val="00AB2A71"/>
    <w:pPr>
      <w:ind w:left="720"/>
      <w:contextualSpacing/>
    </w:pPr>
  </w:style>
  <w:style w:type="character" w:styleId="IntenseEmphasis">
    <w:name w:val="Intense Emphasis"/>
    <w:basedOn w:val="DefaultParagraphFont"/>
    <w:uiPriority w:val="21"/>
    <w:qFormat/>
    <w:rsid w:val="00AB2A71"/>
    <w:rPr>
      <w:i w:val="0"/>
      <w:iCs w:val="0"/>
      <w:color w:val="0F4761" w:themeColor="accent1" w:themeShade="BF"/>
    </w:rPr>
  </w:style>
  <w:style w:type="paragraph" w:styleId="IntenseQuote">
    <w:name w:val="Intense Quote"/>
    <w:basedOn w:val="Normal"/>
    <w:next w:val="Normal"/>
    <w:link w:val="IntenseQuoteChar"/>
    <w:uiPriority w:val="30"/>
    <w:qFormat/>
    <w:rsid w:val="00AB2A71"/>
    <w:pPr>
      <w:pBdr>
        <w:top w:val="single" w:sz="4" w:space="10" w:color="0F4761" w:themeColor="accent1" w:themeShade="BF"/>
        <w:bottom w:val="single" w:sz="4" w:space="10" w:color="0F4761" w:themeColor="accent1" w:themeShade="BF"/>
      </w:pBdr>
      <w:spacing w:before="360" w:after="360"/>
      <w:ind w:left="864" w:right="864"/>
      <w:jc w:val="center"/>
    </w:pPr>
    <w:rPr>
      <w:i w:val="0"/>
      <w:iCs w:val="0"/>
      <w:color w:val="0F4761" w:themeColor="accent1" w:themeShade="BF"/>
    </w:rPr>
  </w:style>
  <w:style w:type="character" w:customStyle="1" w:styleId="IntenseQuoteChar">
    <w:name w:val="Intense Quote Char"/>
    <w:basedOn w:val="DefaultParagraphFont"/>
    <w:link w:val="IntenseQuote"/>
    <w:uiPriority w:val="30"/>
    <w:rsid w:val="00AB2A71"/>
    <w:rPr>
      <w:i w:val="0"/>
      <w:iCs w:val="0"/>
      <w:color w:val="0F4761" w:themeColor="accent1" w:themeShade="BF"/>
    </w:rPr>
  </w:style>
  <w:style w:type="character" w:styleId="IntenseReference">
    <w:name w:val="Intense Reference"/>
    <w:basedOn w:val="DefaultParagraphFont"/>
    <w:uiPriority w:val="32"/>
    <w:qFormat/>
    <w:rsid w:val="00AB2A71"/>
    <w:rPr>
      <w:b/>
      <w:bCs/>
      <w:smallCaps/>
      <w:color w:val="0F4761" w:themeColor="accent1" w:themeShade="BF"/>
      <w:spacing w:val="5"/>
    </w:rPr>
  </w:style>
  <w:style w:type="paragraph" w:styleId="NormalWeb">
    <w:name w:val="Normal (Web)"/>
    <w:basedOn w:val="Normal"/>
    <w:uiPriority w:val="99"/>
    <w:unhideWhenUsed/>
    <w:rsid w:val="00D96307"/>
    <w:pPr>
      <w:spacing w:before="100" w:beforeAutospacing="1" w:after="100" w:afterAutospacing="1"/>
    </w:pPr>
    <w:rPr>
      <w:rFonts w:eastAsia="Times New Roman"/>
      <w:i w:val="0"/>
      <w:iCs w:val="0"/>
      <w:kern w:val="0"/>
      <w:lang w:eastAsia="en-GB"/>
      <w14:ligatures w14:val="none"/>
    </w:rPr>
  </w:style>
  <w:style w:type="table" w:styleId="TableGrid">
    <w:name w:val="Table Grid"/>
    <w:basedOn w:val="TableNormal"/>
    <w:uiPriority w:val="39"/>
    <w:qFormat/>
    <w:rsid w:val="00D96307"/>
    <w:rPr>
      <w:i w:val="0"/>
      <w:iCs w:val="0"/>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1AA1"/>
    <w:rPr>
      <w:color w:val="467886" w:themeColor="hyperlink"/>
      <w:u w:val="single"/>
    </w:rPr>
  </w:style>
  <w:style w:type="paragraph" w:styleId="Header">
    <w:name w:val="header"/>
    <w:basedOn w:val="Normal"/>
    <w:link w:val="HeaderChar"/>
    <w:uiPriority w:val="99"/>
    <w:unhideWhenUsed/>
    <w:rsid w:val="00154619"/>
    <w:pPr>
      <w:tabs>
        <w:tab w:val="center" w:pos="4680"/>
        <w:tab w:val="right" w:pos="9360"/>
      </w:tabs>
    </w:pPr>
  </w:style>
  <w:style w:type="character" w:customStyle="1" w:styleId="HeaderChar">
    <w:name w:val="Header Char"/>
    <w:basedOn w:val="DefaultParagraphFont"/>
    <w:link w:val="Header"/>
    <w:uiPriority w:val="99"/>
    <w:rsid w:val="00154619"/>
  </w:style>
  <w:style w:type="paragraph" w:styleId="Footer">
    <w:name w:val="footer"/>
    <w:basedOn w:val="Normal"/>
    <w:link w:val="FooterChar"/>
    <w:uiPriority w:val="99"/>
    <w:unhideWhenUsed/>
    <w:rsid w:val="00154619"/>
    <w:pPr>
      <w:tabs>
        <w:tab w:val="center" w:pos="4680"/>
        <w:tab w:val="right" w:pos="9360"/>
      </w:tabs>
    </w:pPr>
  </w:style>
  <w:style w:type="character" w:customStyle="1" w:styleId="FooterChar">
    <w:name w:val="Footer Char"/>
    <w:basedOn w:val="DefaultParagraphFont"/>
    <w:link w:val="Footer"/>
    <w:uiPriority w:val="99"/>
    <w:rsid w:val="00154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11</Pages>
  <Words>2702</Words>
  <Characters>15406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jigary347@gmail.com</dc:creator>
  <cp:keywords/>
  <dc:description/>
  <cp:lastModifiedBy>Editor-22</cp:lastModifiedBy>
  <cp:revision>9</cp:revision>
  <dcterms:created xsi:type="dcterms:W3CDTF">2025-05-24T07:13:00Z</dcterms:created>
  <dcterms:modified xsi:type="dcterms:W3CDTF">2025-05-24T11:20:00Z</dcterms:modified>
</cp:coreProperties>
</file>