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D1517" w14:textId="77777777" w:rsidR="00754C9A" w:rsidRDefault="00754C9A" w:rsidP="00441B6F">
      <w:pPr>
        <w:pStyle w:val="Title"/>
        <w:spacing w:after="0"/>
        <w:jc w:val="both"/>
        <w:rPr>
          <w:rFonts w:ascii="Arial" w:hAnsi="Arial" w:cs="Arial"/>
        </w:rPr>
      </w:pPr>
    </w:p>
    <w:p w14:paraId="2020F635" w14:textId="77777777" w:rsidR="009A4DCE" w:rsidRPr="009A4DCE" w:rsidRDefault="009A4DCE" w:rsidP="009A4DCE">
      <w:pPr>
        <w:pStyle w:val="Author"/>
        <w:rPr>
          <w:rFonts w:ascii="Arial" w:hAnsi="Arial" w:cs="Arial"/>
          <w:bCs/>
          <w:i/>
          <w:iCs/>
          <w:kern w:val="28"/>
          <w:sz w:val="20"/>
          <w:u w:val="single"/>
        </w:rPr>
      </w:pPr>
      <w:r w:rsidRPr="009A4DCE">
        <w:rPr>
          <w:rFonts w:ascii="Arial" w:hAnsi="Arial" w:cs="Arial"/>
          <w:bCs/>
          <w:i/>
          <w:iCs/>
          <w:kern w:val="28"/>
          <w:sz w:val="20"/>
          <w:u w:val="single"/>
        </w:rPr>
        <w:t>Original Research Article</w:t>
      </w:r>
    </w:p>
    <w:p w14:paraId="243EB85F" w14:textId="77777777" w:rsidR="00163BC4" w:rsidRPr="00163BC4" w:rsidRDefault="00967333" w:rsidP="00441B6F">
      <w:pPr>
        <w:pStyle w:val="Author"/>
        <w:spacing w:line="240" w:lineRule="auto"/>
        <w:rPr>
          <w:rFonts w:ascii="Arial" w:hAnsi="Arial" w:cs="Arial"/>
          <w:bCs/>
          <w:iCs/>
          <w:kern w:val="28"/>
          <w:sz w:val="36"/>
        </w:rPr>
      </w:pPr>
      <w:r w:rsidRPr="00967333">
        <w:rPr>
          <w:rFonts w:ascii="Arial" w:hAnsi="Arial" w:cs="Arial"/>
          <w:bCs/>
          <w:iCs/>
          <w:kern w:val="28"/>
          <w:sz w:val="36"/>
        </w:rPr>
        <w:t xml:space="preserve">Effectiveness of </w:t>
      </w:r>
      <w:r w:rsidRPr="00967333">
        <w:rPr>
          <w:rFonts w:ascii="Arial" w:hAnsi="Arial" w:cs="Arial"/>
          <w:bCs/>
          <w:i/>
          <w:iCs/>
          <w:kern w:val="28"/>
          <w:sz w:val="36"/>
        </w:rPr>
        <w:t>Beauveria bassiana</w:t>
      </w:r>
      <w:r w:rsidRPr="00967333">
        <w:rPr>
          <w:rFonts w:ascii="Arial" w:hAnsi="Arial" w:cs="Arial"/>
          <w:bCs/>
          <w:iCs/>
          <w:kern w:val="28"/>
          <w:sz w:val="36"/>
        </w:rPr>
        <w:t xml:space="preserve"> Isolates in Controlling </w:t>
      </w:r>
      <w:proofErr w:type="spellStart"/>
      <w:r w:rsidRPr="00967333">
        <w:rPr>
          <w:rFonts w:ascii="Arial" w:hAnsi="Arial" w:cs="Arial"/>
          <w:bCs/>
          <w:i/>
          <w:iCs/>
          <w:kern w:val="28"/>
          <w:sz w:val="36"/>
        </w:rPr>
        <w:t>Dysmicoccus</w:t>
      </w:r>
      <w:proofErr w:type="spellEnd"/>
      <w:r w:rsidRPr="00967333">
        <w:rPr>
          <w:rFonts w:ascii="Arial" w:hAnsi="Arial" w:cs="Arial"/>
          <w:bCs/>
          <w:i/>
          <w:iCs/>
          <w:kern w:val="28"/>
          <w:sz w:val="36"/>
        </w:rPr>
        <w:t xml:space="preserve"> </w:t>
      </w:r>
      <w:proofErr w:type="spellStart"/>
      <w:r w:rsidRPr="00967333">
        <w:rPr>
          <w:rFonts w:ascii="Arial" w:hAnsi="Arial" w:cs="Arial"/>
          <w:bCs/>
          <w:i/>
          <w:iCs/>
          <w:kern w:val="28"/>
          <w:sz w:val="36"/>
        </w:rPr>
        <w:t>brevipes</w:t>
      </w:r>
      <w:proofErr w:type="spellEnd"/>
      <w:r w:rsidRPr="00967333">
        <w:rPr>
          <w:rFonts w:ascii="Arial" w:hAnsi="Arial" w:cs="Arial"/>
          <w:bCs/>
          <w:iCs/>
          <w:kern w:val="28"/>
          <w:sz w:val="36"/>
        </w:rPr>
        <w:t xml:space="preserve"> on Pineapple (</w:t>
      </w:r>
      <w:r w:rsidRPr="00967333">
        <w:rPr>
          <w:rFonts w:ascii="Arial" w:hAnsi="Arial" w:cs="Arial"/>
          <w:bCs/>
          <w:i/>
          <w:iCs/>
          <w:kern w:val="28"/>
          <w:sz w:val="36"/>
        </w:rPr>
        <w:t>Ananas comosus</w:t>
      </w:r>
      <w:r w:rsidRPr="00967333">
        <w:rPr>
          <w:rFonts w:ascii="Arial" w:hAnsi="Arial" w:cs="Arial"/>
          <w:bCs/>
          <w:iCs/>
          <w:kern w:val="28"/>
          <w:sz w:val="36"/>
        </w:rPr>
        <w:t>)</w:t>
      </w:r>
      <w:r w:rsidR="00231920">
        <w:rPr>
          <w:rFonts w:ascii="Arial" w:hAnsi="Arial" w:cs="Arial"/>
          <w:bCs/>
          <w:iCs/>
          <w:kern w:val="28"/>
          <w:sz w:val="36"/>
        </w:rPr>
        <w:t xml:space="preserve"> </w:t>
      </w:r>
    </w:p>
    <w:p w14:paraId="1533E403" w14:textId="77777777" w:rsidR="00A258C3" w:rsidRPr="00790ADA" w:rsidRDefault="00A258C3" w:rsidP="00441B6F">
      <w:pPr>
        <w:pStyle w:val="Author"/>
        <w:spacing w:line="240" w:lineRule="auto"/>
        <w:jc w:val="both"/>
        <w:rPr>
          <w:rFonts w:ascii="Arial" w:hAnsi="Arial" w:cs="Arial"/>
          <w:sz w:val="36"/>
        </w:rPr>
      </w:pPr>
    </w:p>
    <w:p w14:paraId="361DC7EE" w14:textId="77777777" w:rsidR="002C57D2" w:rsidRPr="00FB3A86" w:rsidRDefault="002C57D2" w:rsidP="00441B6F">
      <w:pPr>
        <w:pStyle w:val="Affiliation"/>
        <w:spacing w:after="0" w:line="240" w:lineRule="auto"/>
        <w:jc w:val="both"/>
        <w:rPr>
          <w:rFonts w:ascii="Arial" w:hAnsi="Arial" w:cs="Arial"/>
        </w:rPr>
      </w:pPr>
    </w:p>
    <w:p w14:paraId="2F8BB873" w14:textId="77777777" w:rsidR="00B01FCD" w:rsidRPr="00FB3A86" w:rsidRDefault="00C84930" w:rsidP="00441B6F">
      <w:pPr>
        <w:pStyle w:val="Copyright"/>
        <w:spacing w:after="0" w:line="240" w:lineRule="auto"/>
        <w:jc w:val="both"/>
        <w:rPr>
          <w:rFonts w:ascii="Arial" w:hAnsi="Arial" w:cs="Arial"/>
        </w:rPr>
        <w:sectPr w:rsidR="00B01FCD" w:rsidRPr="00FB3A86" w:rsidSect="004D25E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C0459E5">
          <v:shapetype id="_x0000_t32" coordsize="21600,21600" o:spt="32" o:oned="t" path="m,l21600,21600e" filled="f">
            <v:path arrowok="t" fillok="f" o:connecttype="none"/>
            <o:lock v:ext="edit" shapetype="t"/>
          </v:shapetype>
          <v:shape id="_x0000_s103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E2FD617" w14:textId="3FE94DB1"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C3500A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6A8A86D" w14:textId="77777777" w:rsidTr="001E44FE">
        <w:tc>
          <w:tcPr>
            <w:tcW w:w="9576" w:type="dxa"/>
            <w:shd w:val="clear" w:color="auto" w:fill="F2F2F2"/>
          </w:tcPr>
          <w:p w14:paraId="0867E244"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967333" w:rsidRPr="00967333">
              <w:rPr>
                <w:rFonts w:ascii="Arial" w:eastAsia="Calibri" w:hAnsi="Arial" w:cs="Arial"/>
                <w:szCs w:val="22"/>
              </w:rPr>
              <w:t xml:space="preserve">This study aimed to evaluate the effectiveness of several isolates of the entomopathogenic fungus </w:t>
            </w:r>
            <w:r w:rsidR="00967333" w:rsidRPr="00967333">
              <w:rPr>
                <w:rFonts w:ascii="Arial" w:eastAsia="Calibri" w:hAnsi="Arial" w:cs="Arial"/>
                <w:i/>
                <w:iCs/>
                <w:szCs w:val="22"/>
              </w:rPr>
              <w:t>Beauveria bassiana</w:t>
            </w:r>
            <w:r w:rsidR="00967333" w:rsidRPr="00967333">
              <w:rPr>
                <w:rFonts w:ascii="Arial" w:eastAsia="Calibri" w:hAnsi="Arial" w:cs="Arial"/>
                <w:szCs w:val="22"/>
              </w:rPr>
              <w:t xml:space="preserve"> in controlling </w:t>
            </w:r>
            <w:r w:rsidR="00967333" w:rsidRPr="00967333">
              <w:rPr>
                <w:rFonts w:ascii="Arial" w:eastAsia="Calibri" w:hAnsi="Arial" w:cs="Arial"/>
                <w:i/>
                <w:iCs/>
                <w:szCs w:val="22"/>
              </w:rPr>
              <w:t>D. brevipes</w:t>
            </w:r>
            <w:r w:rsidR="00967333" w:rsidRPr="00967333">
              <w:rPr>
                <w:rFonts w:ascii="Arial" w:eastAsia="Calibri" w:hAnsi="Arial" w:cs="Arial"/>
                <w:szCs w:val="22"/>
              </w:rPr>
              <w:t xml:space="preserve"> on pineapple plants</w:t>
            </w:r>
            <w:r w:rsidRPr="00BA1B01">
              <w:rPr>
                <w:rFonts w:ascii="Arial" w:eastAsia="Calibri" w:hAnsi="Arial" w:cs="Arial"/>
                <w:szCs w:val="22"/>
              </w:rPr>
              <w:t>.</w:t>
            </w:r>
          </w:p>
          <w:p w14:paraId="145FF005"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967333" w:rsidRPr="00967333">
              <w:rPr>
                <w:rFonts w:ascii="Arial" w:eastAsia="Calibri" w:hAnsi="Arial" w:cs="Arial"/>
                <w:szCs w:val="22"/>
              </w:rPr>
              <w:t xml:space="preserve">The experiment was arranged in a Completely Randomized Design (CRD) with four treatments and six replications, consisting of isolates </w:t>
            </w:r>
            <w:proofErr w:type="spellStart"/>
            <w:r w:rsidR="00967333" w:rsidRPr="00967333">
              <w:rPr>
                <w:rFonts w:ascii="Arial" w:eastAsia="Calibri" w:hAnsi="Arial" w:cs="Arial"/>
                <w:szCs w:val="22"/>
              </w:rPr>
              <w:t>BbSP</w:t>
            </w:r>
            <w:proofErr w:type="spellEnd"/>
            <w:r w:rsidR="00967333" w:rsidRPr="00967333">
              <w:rPr>
                <w:rFonts w:ascii="Arial" w:eastAsia="Calibri" w:hAnsi="Arial" w:cs="Arial"/>
                <w:szCs w:val="22"/>
              </w:rPr>
              <w:t xml:space="preserve"> 105, </w:t>
            </w:r>
            <w:proofErr w:type="spellStart"/>
            <w:r w:rsidR="00967333" w:rsidRPr="00967333">
              <w:rPr>
                <w:rFonts w:ascii="Arial" w:eastAsia="Calibri" w:hAnsi="Arial" w:cs="Arial"/>
                <w:szCs w:val="22"/>
              </w:rPr>
              <w:t>BbSP</w:t>
            </w:r>
            <w:proofErr w:type="spellEnd"/>
            <w:r w:rsidR="00967333" w:rsidRPr="00967333">
              <w:rPr>
                <w:rFonts w:ascii="Arial" w:eastAsia="Calibri" w:hAnsi="Arial" w:cs="Arial"/>
                <w:szCs w:val="22"/>
              </w:rPr>
              <w:t xml:space="preserve"> 217, </w:t>
            </w:r>
            <w:proofErr w:type="spellStart"/>
            <w:r w:rsidR="00967333" w:rsidRPr="00967333">
              <w:rPr>
                <w:rFonts w:ascii="Arial" w:eastAsia="Calibri" w:hAnsi="Arial" w:cs="Arial"/>
                <w:szCs w:val="22"/>
              </w:rPr>
              <w:t>BbKP</w:t>
            </w:r>
            <w:proofErr w:type="spellEnd"/>
            <w:r w:rsidR="00967333" w:rsidRPr="00967333">
              <w:rPr>
                <w:rFonts w:ascii="Arial" w:eastAsia="Calibri" w:hAnsi="Arial" w:cs="Arial"/>
                <w:szCs w:val="22"/>
              </w:rPr>
              <w:t xml:space="preserve"> 125, and a control (without fungal application). Data were analyzed us</w:t>
            </w:r>
            <w:bookmarkStart w:id="0" w:name="_GoBack"/>
            <w:bookmarkEnd w:id="0"/>
            <w:r w:rsidR="00967333" w:rsidRPr="00967333">
              <w:rPr>
                <w:rFonts w:ascii="Arial" w:eastAsia="Calibri" w:hAnsi="Arial" w:cs="Arial"/>
                <w:szCs w:val="22"/>
              </w:rPr>
              <w:t>ing analysis of variance (ANOVA), followed by LSD test at a 5% significance level</w:t>
            </w:r>
            <w:r w:rsidRPr="00BA1B01">
              <w:rPr>
                <w:rFonts w:ascii="Arial" w:eastAsia="Calibri" w:hAnsi="Arial" w:cs="Arial"/>
                <w:szCs w:val="22"/>
              </w:rPr>
              <w:t>.</w:t>
            </w:r>
          </w:p>
          <w:p w14:paraId="3F87B4D3"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967333" w:rsidRPr="00967333">
              <w:rPr>
                <w:rFonts w:ascii="Arial" w:eastAsia="Calibri" w:hAnsi="Arial" w:cs="Arial"/>
                <w:szCs w:val="22"/>
              </w:rPr>
              <w:t>This research was conducted in the Plant Pest and Disease Laboratory and the Microbiology Laboratory, Department of Agrotechnology, Faculty of Agriculture, Universitas Islam Riau, from January to April 2025.</w:t>
            </w:r>
          </w:p>
          <w:p w14:paraId="5430E7A8"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827FED" w:rsidRPr="00827FED">
              <w:rPr>
                <w:rFonts w:ascii="Arial" w:eastAsia="Calibri" w:hAnsi="Arial" w:cs="Arial"/>
                <w:szCs w:val="22"/>
              </w:rPr>
              <w:t xml:space="preserve">The experiment consisted of four treatments with five replications, using three isolates of the entomopathogenic fungus </w:t>
            </w:r>
            <w:r w:rsidR="00827FED" w:rsidRPr="00827FED">
              <w:rPr>
                <w:rFonts w:ascii="Arial" w:eastAsia="Calibri" w:hAnsi="Arial" w:cs="Arial"/>
                <w:i/>
                <w:iCs/>
                <w:szCs w:val="22"/>
              </w:rPr>
              <w:t>Beauveria bassiana</w:t>
            </w:r>
            <w:r w:rsidR="00827FED" w:rsidRPr="00827FED">
              <w:rPr>
                <w:rFonts w:ascii="Arial" w:eastAsia="Calibri" w:hAnsi="Arial" w:cs="Arial"/>
                <w:szCs w:val="22"/>
              </w:rPr>
              <w:t xml:space="preserve"> and one untreated control, resulting in a total of 24 observation units. The experimental procedures included fungal isolate preparation, conidial suspension formulation, preparation of test insects, and application of </w:t>
            </w:r>
            <w:r w:rsidR="00827FED" w:rsidRPr="00827FED">
              <w:rPr>
                <w:rFonts w:ascii="Arial" w:eastAsia="Calibri" w:hAnsi="Arial" w:cs="Arial"/>
                <w:i/>
                <w:iCs/>
                <w:szCs w:val="22"/>
              </w:rPr>
              <w:t xml:space="preserve">B. </w:t>
            </w:r>
            <w:proofErr w:type="spellStart"/>
            <w:r w:rsidR="00827FED" w:rsidRPr="00827FED">
              <w:rPr>
                <w:rFonts w:ascii="Arial" w:eastAsia="Calibri" w:hAnsi="Arial" w:cs="Arial"/>
                <w:i/>
                <w:iCs/>
                <w:szCs w:val="22"/>
              </w:rPr>
              <w:t>bassiana</w:t>
            </w:r>
            <w:proofErr w:type="spellEnd"/>
            <w:r w:rsidR="00827FED" w:rsidRPr="00827FED">
              <w:rPr>
                <w:rFonts w:ascii="Arial" w:eastAsia="Calibri" w:hAnsi="Arial" w:cs="Arial"/>
                <w:szCs w:val="22"/>
              </w:rPr>
              <w:t xml:space="preserve"> on </w:t>
            </w:r>
            <w:proofErr w:type="spellStart"/>
            <w:r w:rsidR="00827FED" w:rsidRPr="00827FED">
              <w:rPr>
                <w:rFonts w:ascii="Arial" w:eastAsia="Calibri" w:hAnsi="Arial" w:cs="Arial"/>
                <w:i/>
                <w:iCs/>
                <w:szCs w:val="22"/>
              </w:rPr>
              <w:t>Dysdercus</w:t>
            </w:r>
            <w:proofErr w:type="spellEnd"/>
            <w:r w:rsidR="00827FED" w:rsidRPr="00827FED">
              <w:rPr>
                <w:rFonts w:ascii="Arial" w:eastAsia="Calibri" w:hAnsi="Arial" w:cs="Arial"/>
                <w:i/>
                <w:iCs/>
                <w:szCs w:val="22"/>
              </w:rPr>
              <w:t xml:space="preserve"> </w:t>
            </w:r>
            <w:proofErr w:type="spellStart"/>
            <w:r w:rsidR="00827FED" w:rsidRPr="00827FED">
              <w:rPr>
                <w:rFonts w:ascii="Arial" w:eastAsia="Calibri" w:hAnsi="Arial" w:cs="Arial"/>
                <w:i/>
                <w:iCs/>
                <w:szCs w:val="22"/>
              </w:rPr>
              <w:t>brivioides</w:t>
            </w:r>
            <w:proofErr w:type="spellEnd"/>
            <w:r w:rsidR="00827FED" w:rsidRPr="00827FED">
              <w:rPr>
                <w:rFonts w:ascii="Arial" w:eastAsia="Calibri" w:hAnsi="Arial" w:cs="Arial"/>
                <w:szCs w:val="22"/>
              </w:rPr>
              <w:t xml:space="preserve">. The observed parameters included nymphal mortality of </w:t>
            </w:r>
            <w:r w:rsidR="00827FED" w:rsidRPr="00827FED">
              <w:rPr>
                <w:rFonts w:ascii="Arial" w:eastAsia="Calibri" w:hAnsi="Arial" w:cs="Arial"/>
                <w:i/>
                <w:iCs/>
                <w:szCs w:val="22"/>
              </w:rPr>
              <w:t xml:space="preserve">D. </w:t>
            </w:r>
            <w:proofErr w:type="spellStart"/>
            <w:r w:rsidR="00827FED" w:rsidRPr="00827FED">
              <w:rPr>
                <w:rFonts w:ascii="Arial" w:eastAsia="Calibri" w:hAnsi="Arial" w:cs="Arial"/>
                <w:i/>
                <w:iCs/>
                <w:szCs w:val="22"/>
              </w:rPr>
              <w:t>brivioides</w:t>
            </w:r>
            <w:proofErr w:type="spellEnd"/>
            <w:r w:rsidR="00827FED" w:rsidRPr="00827FED">
              <w:rPr>
                <w:rFonts w:ascii="Arial" w:eastAsia="Calibri" w:hAnsi="Arial" w:cs="Arial"/>
                <w:szCs w:val="22"/>
              </w:rPr>
              <w:t xml:space="preserve">, daily mortality rate, number of emerged adults, and symptoms of </w:t>
            </w:r>
            <w:r w:rsidR="00827FED" w:rsidRPr="00827FED">
              <w:rPr>
                <w:rFonts w:ascii="Arial" w:eastAsia="Calibri" w:hAnsi="Arial" w:cs="Arial"/>
                <w:i/>
                <w:iCs/>
                <w:szCs w:val="22"/>
              </w:rPr>
              <w:t>B. bassiana</w:t>
            </w:r>
            <w:r w:rsidR="00827FED" w:rsidRPr="00827FED">
              <w:rPr>
                <w:rFonts w:ascii="Arial" w:eastAsia="Calibri" w:hAnsi="Arial" w:cs="Arial"/>
                <w:szCs w:val="22"/>
              </w:rPr>
              <w:t xml:space="preserve"> infection on </w:t>
            </w:r>
            <w:r w:rsidR="00827FED" w:rsidRPr="00827FED">
              <w:rPr>
                <w:rFonts w:ascii="Arial" w:eastAsia="Calibri" w:hAnsi="Arial" w:cs="Arial"/>
                <w:i/>
                <w:iCs/>
                <w:szCs w:val="22"/>
              </w:rPr>
              <w:t xml:space="preserve">D. </w:t>
            </w:r>
            <w:proofErr w:type="spellStart"/>
            <w:r w:rsidR="00827FED" w:rsidRPr="00827FED">
              <w:rPr>
                <w:rFonts w:ascii="Arial" w:eastAsia="Calibri" w:hAnsi="Arial" w:cs="Arial"/>
                <w:i/>
                <w:iCs/>
                <w:szCs w:val="22"/>
              </w:rPr>
              <w:t>brivioides</w:t>
            </w:r>
            <w:proofErr w:type="spellEnd"/>
            <w:r w:rsidR="00827FED" w:rsidRPr="00827FED">
              <w:rPr>
                <w:rFonts w:ascii="Arial" w:eastAsia="Calibri" w:hAnsi="Arial" w:cs="Arial"/>
                <w:szCs w:val="22"/>
              </w:rPr>
              <w:t>.</w:t>
            </w:r>
          </w:p>
          <w:p w14:paraId="7333EC2C" w14:textId="77777777"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827FED" w:rsidRPr="00827FED">
              <w:rPr>
                <w:rFonts w:ascii="Arial" w:eastAsia="Calibri" w:hAnsi="Arial" w:cs="Arial"/>
                <w:szCs w:val="22"/>
              </w:rPr>
              <w:t xml:space="preserve">The results showed that all </w:t>
            </w:r>
            <w:r w:rsidR="00827FED" w:rsidRPr="00827FED">
              <w:rPr>
                <w:rFonts w:ascii="Arial" w:eastAsia="Calibri" w:hAnsi="Arial" w:cs="Arial"/>
                <w:i/>
                <w:iCs/>
                <w:szCs w:val="22"/>
              </w:rPr>
              <w:t>B. bassiana</w:t>
            </w:r>
            <w:r w:rsidR="00827FED" w:rsidRPr="00827FED">
              <w:rPr>
                <w:rFonts w:ascii="Arial" w:eastAsia="Calibri" w:hAnsi="Arial" w:cs="Arial"/>
                <w:szCs w:val="22"/>
              </w:rPr>
              <w:t xml:space="preserve"> isolates significantly suppressed the development of </w:t>
            </w:r>
            <w:r w:rsidR="00827FED" w:rsidRPr="00827FED">
              <w:rPr>
                <w:rFonts w:ascii="Arial" w:eastAsia="Calibri" w:hAnsi="Arial" w:cs="Arial"/>
                <w:i/>
                <w:iCs/>
                <w:szCs w:val="22"/>
              </w:rPr>
              <w:t>D. brevipes</w:t>
            </w:r>
            <w:r w:rsidR="00827FED" w:rsidRPr="00827FED">
              <w:rPr>
                <w:rFonts w:ascii="Arial" w:eastAsia="Calibri" w:hAnsi="Arial" w:cs="Arial"/>
                <w:szCs w:val="22"/>
              </w:rPr>
              <w:t xml:space="preserve">. The highest nymph mortality was observed in the </w:t>
            </w:r>
            <w:proofErr w:type="spellStart"/>
            <w:r w:rsidR="00827FED" w:rsidRPr="00827FED">
              <w:rPr>
                <w:rFonts w:ascii="Arial" w:eastAsia="Calibri" w:hAnsi="Arial" w:cs="Arial"/>
                <w:szCs w:val="22"/>
              </w:rPr>
              <w:t>BbSP</w:t>
            </w:r>
            <w:proofErr w:type="spellEnd"/>
            <w:r w:rsidR="00827FED" w:rsidRPr="00827FED">
              <w:rPr>
                <w:rFonts w:ascii="Arial" w:eastAsia="Calibri" w:hAnsi="Arial" w:cs="Arial"/>
                <w:szCs w:val="22"/>
              </w:rPr>
              <w:t xml:space="preserve"> 217 treatment, with a mortality rate of 62%, which was significantly different from other treatments. Mortality began to be observed on the fourth day after application. Furthermore, the number of emerging adult insects was also significantly reduced. Only 38% of adults emerged in the </w:t>
            </w:r>
            <w:proofErr w:type="spellStart"/>
            <w:r w:rsidR="00827FED" w:rsidRPr="00827FED">
              <w:rPr>
                <w:rFonts w:ascii="Arial" w:eastAsia="Calibri" w:hAnsi="Arial" w:cs="Arial"/>
                <w:szCs w:val="22"/>
              </w:rPr>
              <w:t>BbSP</w:t>
            </w:r>
            <w:proofErr w:type="spellEnd"/>
            <w:r w:rsidR="00827FED" w:rsidRPr="00827FED">
              <w:rPr>
                <w:rFonts w:ascii="Arial" w:eastAsia="Calibri" w:hAnsi="Arial" w:cs="Arial"/>
                <w:szCs w:val="22"/>
              </w:rPr>
              <w:t xml:space="preserve"> 217 treatment, much lower compared to 96.66% in the control. Therefore, all </w:t>
            </w:r>
            <w:r w:rsidR="00827FED" w:rsidRPr="00827FED">
              <w:rPr>
                <w:rFonts w:ascii="Arial" w:eastAsia="Calibri" w:hAnsi="Arial" w:cs="Arial"/>
                <w:i/>
                <w:iCs/>
                <w:szCs w:val="22"/>
              </w:rPr>
              <w:t>B. bassiana</w:t>
            </w:r>
            <w:r w:rsidR="00827FED" w:rsidRPr="00827FED">
              <w:rPr>
                <w:rFonts w:ascii="Arial" w:eastAsia="Calibri" w:hAnsi="Arial" w:cs="Arial"/>
                <w:szCs w:val="22"/>
              </w:rPr>
              <w:t xml:space="preserve"> isolates demonstrated potential as effective biological control agents, with </w:t>
            </w:r>
            <w:proofErr w:type="spellStart"/>
            <w:r w:rsidR="00827FED" w:rsidRPr="00827FED">
              <w:rPr>
                <w:rFonts w:ascii="Arial" w:eastAsia="Calibri" w:hAnsi="Arial" w:cs="Arial"/>
                <w:szCs w:val="22"/>
              </w:rPr>
              <w:t>BbSP</w:t>
            </w:r>
            <w:proofErr w:type="spellEnd"/>
            <w:r w:rsidR="00827FED" w:rsidRPr="00827FED">
              <w:rPr>
                <w:rFonts w:ascii="Arial" w:eastAsia="Calibri" w:hAnsi="Arial" w:cs="Arial"/>
                <w:szCs w:val="22"/>
              </w:rPr>
              <w:t xml:space="preserve"> 217 being the most effective isolate in suppressing </w:t>
            </w:r>
            <w:r w:rsidR="00827FED" w:rsidRPr="00827FED">
              <w:rPr>
                <w:rFonts w:ascii="Arial" w:eastAsia="Calibri" w:hAnsi="Arial" w:cs="Arial"/>
                <w:i/>
                <w:iCs/>
                <w:szCs w:val="22"/>
              </w:rPr>
              <w:t>D. brevipes</w:t>
            </w:r>
            <w:r w:rsidR="00827FED" w:rsidRPr="00827FED">
              <w:rPr>
                <w:rFonts w:ascii="Arial" w:eastAsia="Calibri" w:hAnsi="Arial" w:cs="Arial"/>
                <w:szCs w:val="22"/>
              </w:rPr>
              <w:t xml:space="preserve"> populations on pineapple.</w:t>
            </w:r>
          </w:p>
          <w:p w14:paraId="29F85384" w14:textId="77777777"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827FED" w:rsidRPr="00827FED">
              <w:rPr>
                <w:rFonts w:ascii="Arial" w:eastAsia="Calibri" w:hAnsi="Arial" w:cs="Arial"/>
                <w:szCs w:val="22"/>
              </w:rPr>
              <w:t xml:space="preserve">The study demonstrated that all tested </w:t>
            </w:r>
            <w:r w:rsidR="00827FED" w:rsidRPr="00827FED">
              <w:rPr>
                <w:rFonts w:ascii="Arial" w:eastAsia="Calibri" w:hAnsi="Arial" w:cs="Arial"/>
                <w:i/>
                <w:iCs/>
                <w:szCs w:val="22"/>
              </w:rPr>
              <w:t>Beauveria bassiana</w:t>
            </w:r>
            <w:r w:rsidR="00827FED" w:rsidRPr="00827FED">
              <w:rPr>
                <w:rFonts w:ascii="Arial" w:eastAsia="Calibri" w:hAnsi="Arial" w:cs="Arial"/>
                <w:szCs w:val="22"/>
              </w:rPr>
              <w:t xml:space="preserve"> isolates were effective in suppressing </w:t>
            </w:r>
            <w:proofErr w:type="spellStart"/>
            <w:r w:rsidR="00827FED" w:rsidRPr="00827FED">
              <w:rPr>
                <w:rFonts w:ascii="Arial" w:eastAsia="Calibri" w:hAnsi="Arial" w:cs="Arial"/>
                <w:i/>
                <w:iCs/>
                <w:szCs w:val="22"/>
              </w:rPr>
              <w:t>Dysdercus</w:t>
            </w:r>
            <w:proofErr w:type="spellEnd"/>
            <w:r w:rsidR="00827FED" w:rsidRPr="00827FED">
              <w:rPr>
                <w:rFonts w:ascii="Arial" w:eastAsia="Calibri" w:hAnsi="Arial" w:cs="Arial"/>
                <w:i/>
                <w:iCs/>
                <w:szCs w:val="22"/>
              </w:rPr>
              <w:t xml:space="preserve"> </w:t>
            </w:r>
            <w:proofErr w:type="spellStart"/>
            <w:r w:rsidR="00827FED" w:rsidRPr="00827FED">
              <w:rPr>
                <w:rFonts w:ascii="Arial" w:eastAsia="Calibri" w:hAnsi="Arial" w:cs="Arial"/>
                <w:i/>
                <w:iCs/>
                <w:szCs w:val="22"/>
              </w:rPr>
              <w:t>brevipes</w:t>
            </w:r>
            <w:proofErr w:type="spellEnd"/>
            <w:r w:rsidR="00827FED" w:rsidRPr="00827FED">
              <w:rPr>
                <w:rFonts w:ascii="Arial" w:eastAsia="Calibri" w:hAnsi="Arial" w:cs="Arial"/>
                <w:szCs w:val="22"/>
              </w:rPr>
              <w:t xml:space="preserve"> populations on pineapple plants. Among the isolates, </w:t>
            </w:r>
            <w:proofErr w:type="spellStart"/>
            <w:r w:rsidR="00827FED" w:rsidRPr="00827FED">
              <w:rPr>
                <w:rFonts w:ascii="Arial" w:eastAsia="Calibri" w:hAnsi="Arial" w:cs="Arial"/>
                <w:szCs w:val="22"/>
              </w:rPr>
              <w:t>BbSP</w:t>
            </w:r>
            <w:proofErr w:type="spellEnd"/>
            <w:r w:rsidR="00827FED" w:rsidRPr="00827FED">
              <w:rPr>
                <w:rFonts w:ascii="Arial" w:eastAsia="Calibri" w:hAnsi="Arial" w:cs="Arial"/>
                <w:szCs w:val="22"/>
              </w:rPr>
              <w:t xml:space="preserve"> 217 showed the highest efficacy, resulting in the greatest nymph mortality and the lowest adult emergence compared to the control. These findings highlight the potential of </w:t>
            </w:r>
            <w:r w:rsidR="00827FED" w:rsidRPr="00827FED">
              <w:rPr>
                <w:rFonts w:ascii="Arial" w:eastAsia="Calibri" w:hAnsi="Arial" w:cs="Arial"/>
                <w:i/>
                <w:iCs/>
                <w:szCs w:val="22"/>
              </w:rPr>
              <w:t xml:space="preserve">B. </w:t>
            </w:r>
            <w:proofErr w:type="spellStart"/>
            <w:r w:rsidR="00827FED" w:rsidRPr="00827FED">
              <w:rPr>
                <w:rFonts w:ascii="Arial" w:eastAsia="Calibri" w:hAnsi="Arial" w:cs="Arial"/>
                <w:i/>
                <w:iCs/>
                <w:szCs w:val="22"/>
              </w:rPr>
              <w:t>bassiana</w:t>
            </w:r>
            <w:proofErr w:type="spellEnd"/>
            <w:r w:rsidR="00827FED" w:rsidRPr="00827FED">
              <w:rPr>
                <w:rFonts w:ascii="Arial" w:eastAsia="Calibri" w:hAnsi="Arial" w:cs="Arial"/>
                <w:szCs w:val="22"/>
              </w:rPr>
              <w:t xml:space="preserve">, particularly the </w:t>
            </w:r>
            <w:proofErr w:type="spellStart"/>
            <w:r w:rsidR="00827FED" w:rsidRPr="00827FED">
              <w:rPr>
                <w:rFonts w:ascii="Arial" w:eastAsia="Calibri" w:hAnsi="Arial" w:cs="Arial"/>
                <w:szCs w:val="22"/>
              </w:rPr>
              <w:t>BbSP</w:t>
            </w:r>
            <w:proofErr w:type="spellEnd"/>
            <w:r w:rsidR="00827FED" w:rsidRPr="00827FED">
              <w:rPr>
                <w:rFonts w:ascii="Arial" w:eastAsia="Calibri" w:hAnsi="Arial" w:cs="Arial"/>
                <w:szCs w:val="22"/>
              </w:rPr>
              <w:t xml:space="preserve"> 217 isolate, as a promising biological control agent for managing </w:t>
            </w:r>
            <w:r w:rsidR="00827FED" w:rsidRPr="00827FED">
              <w:rPr>
                <w:rFonts w:ascii="Arial" w:eastAsia="Calibri" w:hAnsi="Arial" w:cs="Arial"/>
                <w:i/>
                <w:iCs/>
                <w:szCs w:val="22"/>
              </w:rPr>
              <w:t>D. brevipes</w:t>
            </w:r>
            <w:r w:rsidR="00827FED" w:rsidRPr="00827FED">
              <w:rPr>
                <w:rFonts w:ascii="Arial" w:eastAsia="Calibri" w:hAnsi="Arial" w:cs="Arial"/>
                <w:szCs w:val="22"/>
              </w:rPr>
              <w:t xml:space="preserve"> infestations in pineapple cultivation.</w:t>
            </w:r>
          </w:p>
        </w:tc>
      </w:tr>
    </w:tbl>
    <w:p w14:paraId="7F521D48" w14:textId="77777777" w:rsidR="00636EB2" w:rsidRDefault="00636EB2" w:rsidP="00441B6F">
      <w:pPr>
        <w:pStyle w:val="Body"/>
        <w:spacing w:after="0"/>
        <w:rPr>
          <w:rFonts w:ascii="Arial" w:hAnsi="Arial" w:cs="Arial"/>
          <w:i/>
        </w:rPr>
      </w:pPr>
    </w:p>
    <w:p w14:paraId="0C3A627F" w14:textId="77777777" w:rsidR="00A24E7E" w:rsidRDefault="00A24E7E" w:rsidP="00441B6F">
      <w:pPr>
        <w:pStyle w:val="Body"/>
        <w:spacing w:after="0"/>
        <w:rPr>
          <w:rFonts w:ascii="Arial" w:hAnsi="Arial" w:cs="Arial"/>
          <w:i/>
        </w:rPr>
      </w:pPr>
      <w:r>
        <w:rPr>
          <w:rFonts w:ascii="Arial" w:hAnsi="Arial" w:cs="Arial"/>
          <w:i/>
        </w:rPr>
        <w:t xml:space="preserve">Keywords: </w:t>
      </w:r>
      <w:r w:rsidR="00827FED" w:rsidRPr="00827FED">
        <w:rPr>
          <w:rFonts w:ascii="Arial" w:hAnsi="Arial" w:cs="Arial"/>
          <w:i/>
        </w:rPr>
        <w:t xml:space="preserve">Beauveria </w:t>
      </w:r>
      <w:proofErr w:type="spellStart"/>
      <w:r w:rsidR="00827FED" w:rsidRPr="00827FED">
        <w:rPr>
          <w:rFonts w:ascii="Arial" w:hAnsi="Arial" w:cs="Arial"/>
          <w:i/>
        </w:rPr>
        <w:t>bassiana</w:t>
      </w:r>
      <w:proofErr w:type="spellEnd"/>
      <w:r w:rsidR="00827FED" w:rsidRPr="00827FED">
        <w:rPr>
          <w:rFonts w:ascii="Arial" w:hAnsi="Arial" w:cs="Arial"/>
          <w:i/>
        </w:rPr>
        <w:t xml:space="preserve">, </w:t>
      </w:r>
      <w:proofErr w:type="spellStart"/>
      <w:r w:rsidR="00827FED" w:rsidRPr="00827FED">
        <w:rPr>
          <w:rFonts w:ascii="Arial" w:hAnsi="Arial" w:cs="Arial"/>
          <w:i/>
          <w:iCs/>
        </w:rPr>
        <w:t>Dysmicoccus</w:t>
      </w:r>
      <w:proofErr w:type="spellEnd"/>
      <w:r w:rsidR="00827FED" w:rsidRPr="00827FED">
        <w:rPr>
          <w:rFonts w:ascii="Arial" w:hAnsi="Arial" w:cs="Arial"/>
          <w:i/>
          <w:iCs/>
        </w:rPr>
        <w:t xml:space="preserve"> </w:t>
      </w:r>
      <w:proofErr w:type="spellStart"/>
      <w:r w:rsidR="00827FED" w:rsidRPr="00827FED">
        <w:rPr>
          <w:rFonts w:ascii="Arial" w:hAnsi="Arial" w:cs="Arial"/>
          <w:i/>
          <w:iCs/>
        </w:rPr>
        <w:t>sp</w:t>
      </w:r>
      <w:proofErr w:type="spellEnd"/>
      <w:r w:rsidR="00827FED" w:rsidRPr="00827FED">
        <w:rPr>
          <w:rFonts w:ascii="Arial" w:hAnsi="Arial" w:cs="Arial"/>
          <w:i/>
          <w:iCs/>
        </w:rPr>
        <w:t>, mortality, biological control</w:t>
      </w:r>
    </w:p>
    <w:p w14:paraId="36E1680C"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006159E6" w14:textId="77777777" w:rsidR="00790ADA" w:rsidRPr="00FB3A86" w:rsidRDefault="00790ADA" w:rsidP="00441B6F">
      <w:pPr>
        <w:pStyle w:val="AbstHead"/>
        <w:spacing w:after="0"/>
        <w:jc w:val="both"/>
        <w:rPr>
          <w:rFonts w:ascii="Arial" w:hAnsi="Arial" w:cs="Arial"/>
        </w:rPr>
      </w:pPr>
    </w:p>
    <w:p w14:paraId="31C26F3F" w14:textId="77777777" w:rsidR="00827FED" w:rsidRPr="00827FED" w:rsidRDefault="00827FED" w:rsidP="00827FED">
      <w:pPr>
        <w:pStyle w:val="Body"/>
        <w:rPr>
          <w:rFonts w:ascii="Arial" w:hAnsi="Arial" w:cs="Arial"/>
        </w:rPr>
      </w:pPr>
      <w:r w:rsidRPr="00827FED">
        <w:rPr>
          <w:rFonts w:ascii="Arial" w:hAnsi="Arial" w:cs="Arial"/>
        </w:rPr>
        <w:t>Pineapple (</w:t>
      </w:r>
      <w:r w:rsidRPr="00827FED">
        <w:rPr>
          <w:rFonts w:ascii="Arial" w:hAnsi="Arial" w:cs="Arial"/>
          <w:i/>
          <w:iCs/>
        </w:rPr>
        <w:t>Ananas comosus</w:t>
      </w:r>
      <w:r w:rsidRPr="00827FED">
        <w:rPr>
          <w:rFonts w:ascii="Arial" w:hAnsi="Arial" w:cs="Arial"/>
        </w:rPr>
        <w:t xml:space="preserve">) is one of the leading horticultural commodities in Indonesia, with high economic value for both domestic consumption and export markets. Processed pineapple products such as juice, jam, and canned fruit continue to experience increasing demand. Among the pineapple-producing regions in Indonesia, Riau Province is recognized </w:t>
      </w:r>
      <w:r w:rsidRPr="00827FED">
        <w:rPr>
          <w:rFonts w:ascii="Arial" w:hAnsi="Arial" w:cs="Arial"/>
        </w:rPr>
        <w:lastRenderedPageBreak/>
        <w:t xml:space="preserve">as one of the largest producers, particularly in the areas of Kampar, Siak, and Indragiri Hulu </w:t>
      </w:r>
      <w:r w:rsidRPr="00827FED">
        <w:rPr>
          <w:rFonts w:ascii="Arial" w:hAnsi="Arial" w:cs="Arial"/>
          <w:vertAlign w:val="superscript"/>
        </w:rPr>
        <w:fldChar w:fldCharType="begin" w:fldLock="1"/>
      </w:r>
      <w:r w:rsidR="00D74235">
        <w:rPr>
          <w:rFonts w:ascii="Arial" w:hAnsi="Arial" w:cs="Arial"/>
        </w:rPr>
        <w:instrText>ADDIN CSL_CITATION {"citationItems":[{"id":"ITEM-1","itemData":{"DOI":"10.21009/jmt.6.1.1","abstract":"Forecasting is an attempt to project future events using relevant information from the past. Using such data, forecasting serves as an effective means of planning activities and reducing the likelihood of errors in predicting the course of future events. One method of prediction is the Single Exponential Smoothing method. The research is aimed at predicting the amount of pineapple production in Riau Province by 2023. The study utilizes information on the number of pines production in the Riau province as many as 10 datasets covering the period from 2013 to 2022. This data is obtained from the official website of BPS Province Riau. In this study, the researchers used quantitative methods. Based on a solver analysis in Ms.Excel, the results showed that the forecast accuracy rate reached 71.64% with the smallest error presentation of about 28.36% which categorized these forecasts quite well. Using this method, the forecast quantity of pineapple production in Riau Province for 2023 is 262,637 tons.","author":[{"dropping-particle":"","family":"Az-Zahra","given":"Sarah Dwi","non-dropping-particle":"","parse-names":false,"suffix":""},{"dropping-particle":"","family":"Depriwana Rahmi","given":"","non-dropping-particle":"","parse-names":false,"suffix":""}],"container-title":"JMT : Jurnal Matematika dan Terapan","id":"ITEM-1","issue":"1","issued":{"date-parts":[["2024"]]},"page":"1-8","title":"Peramalan Jumlah Produksi Buah Nanas di Provinsi Riau Menggunakan Metode Single Exponential Smoothing","type":"article-journal","volume":"6"},"uris":["http://www.mendeley.com/documents/?uuid=657d35b2-0f84-4929-b722-d60a27b1aefd"]}],"mendeley":{"formattedCitation":"(Az-Zahra &amp; Depriwana Rahmi, 2024)","plainTextFormattedCitation":"(Az-Zahra &amp; Depriwana Rahmi, 2024)","previouslyFormattedCitation":"(Az-Zahra &amp; Depriwana Rahmi, 2024)"},"properties":{"noteIndex":0},"schema":"https://github.com/citation-style-language/schema/raw/master/csl-citation.json"}</w:instrText>
      </w:r>
      <w:r w:rsidRPr="00827FED">
        <w:rPr>
          <w:rFonts w:ascii="Arial" w:hAnsi="Arial" w:cs="Arial"/>
          <w:vertAlign w:val="superscript"/>
        </w:rPr>
        <w:fldChar w:fldCharType="separate"/>
      </w:r>
      <w:r w:rsidR="00D74235" w:rsidRPr="00D74235">
        <w:rPr>
          <w:rFonts w:ascii="Arial" w:hAnsi="Arial" w:cs="Arial"/>
          <w:bCs/>
          <w:noProof/>
        </w:rPr>
        <w:t>(Az-Zahra &amp; Depriwana Rahmi, 2024)</w:t>
      </w:r>
      <w:r w:rsidRPr="00827FED">
        <w:rPr>
          <w:rFonts w:ascii="Arial" w:hAnsi="Arial" w:cs="Arial"/>
        </w:rPr>
        <w:fldChar w:fldCharType="end"/>
      </w:r>
      <w:r w:rsidRPr="00827FED">
        <w:rPr>
          <w:rFonts w:ascii="Arial" w:hAnsi="Arial" w:cs="Arial"/>
        </w:rPr>
        <w:t xml:space="preserve">. The agribusiness potential for pineapple cultivation in Riau is highly promising; however, productivity remains constrained by serious pest infestations </w:t>
      </w:r>
      <w:r w:rsidRPr="00827FED">
        <w:rPr>
          <w:rFonts w:ascii="Arial" w:hAnsi="Arial" w:cs="Arial"/>
          <w:vertAlign w:val="superscript"/>
        </w:rPr>
        <w:fldChar w:fldCharType="begin" w:fldLock="1"/>
      </w:r>
      <w:r w:rsidR="00D74235">
        <w:rPr>
          <w:rFonts w:ascii="Arial" w:hAnsi="Arial" w:cs="Arial"/>
        </w:rPr>
        <w:instrText>ADDIN CSL_CITATION {"citationItems":[{"id":"ITEM-1","itemData":{"abstract":"… Pengaruh penyakit layu ini juga akan mengurangi bobot buah nanas yang dihasilkan. Seperti … Setelah lahan demplot ditentukan, langsung dilaksanakan praktik penerapan SOP budi …","author":[{"dropping-particle":"","family":"Rodliyatun","given":"Siti","non-dropping-particle":"","parse-names":false,"suffix":""},{"dropping-particle":"","family":"Triyanti","given":"Sinta","non-dropping-particle":"","parse-names":false,"suffix":""},{"dropping-particle":"","family":"Suseno","given":"Sugeng Heri","non-dropping-particle":"","parse-names":false,"suffix":""},{"dropping-particle":"","family":"Nugroho","given":"Danang Aria","non-dropping-particle":"","parse-names":false,"suffix":""}],"container-title":"Jurnal Pusat Inovasi Masyarakat","id":"ITEM-1","issue":"1","issued":{"date-parts":[["2019"]]},"page":"13-20","title":"Standar operasional prosedur budi daya nanas sebagai upaya penanggulangan serangan hama dan penyakit pada tanaman nanas","type":"article-journal","volume":"1"},"uris":["http://www.mendeley.com/documents/?uuid=893d732f-090a-452c-a564-854dc2cce73b"]}],"mendeley":{"formattedCitation":"(Rodliyatun et al., 2019)","plainTextFormattedCitation":"(Rodliyatun et al., 2019)","previouslyFormattedCitation":"(Rodliyatun et al., 2019)"},"properties":{"noteIndex":0},"schema":"https://github.com/citation-style-language/schema/raw/master/csl-citation.json"}</w:instrText>
      </w:r>
      <w:r w:rsidRPr="00827FED">
        <w:rPr>
          <w:rFonts w:ascii="Arial" w:hAnsi="Arial" w:cs="Arial"/>
          <w:vertAlign w:val="superscript"/>
        </w:rPr>
        <w:fldChar w:fldCharType="separate"/>
      </w:r>
      <w:r w:rsidR="00D74235" w:rsidRPr="00D74235">
        <w:rPr>
          <w:rFonts w:ascii="Arial" w:hAnsi="Arial" w:cs="Arial"/>
          <w:bCs/>
          <w:noProof/>
        </w:rPr>
        <w:t>(Rodliyatun et al., 2019)</w:t>
      </w:r>
      <w:r w:rsidRPr="00827FED">
        <w:rPr>
          <w:rFonts w:ascii="Arial" w:hAnsi="Arial" w:cs="Arial"/>
        </w:rPr>
        <w:fldChar w:fldCharType="end"/>
      </w:r>
      <w:r w:rsidRPr="00827FED">
        <w:rPr>
          <w:rFonts w:ascii="Arial" w:hAnsi="Arial" w:cs="Arial"/>
          <w:vertAlign w:val="superscript"/>
        </w:rPr>
        <w:fldChar w:fldCharType="begin" w:fldLock="1"/>
      </w:r>
      <w:r w:rsidR="00D74235">
        <w:rPr>
          <w:rFonts w:ascii="Arial" w:hAnsi="Arial" w:cs="Arial"/>
        </w:rPr>
        <w:instrText>ADDIN CSL_CITATION {"citationItems":[{"id":"ITEM-1","itemData":{"ISSN":"2675-9802","abstract":"Article Info ABSTRACT Article history:","author":[{"dropping-particle":"","family":"Hia","given":"Listera","non-dropping-particle":"","parse-names":false,"suffix":""},{"dropping-particle":"","family":"Ramadhan","given":"Mukhlis","non-dropping-particle":"","parse-names":false,"suffix":""},{"dropping-particle":"","family":"Kusnasari","given":"Sri","non-dropping-particle":"","parse-names":false,"suffix":""},{"dropping-particle":"","family":"Listera Hia","given":"Nama :","non-dropping-particle":"","parse-names":false,"suffix":""}],"container-title":"Jurnal CyberTech","id":"ITEM-1","issue":"3","issued":{"date-parts":[["2020"]]},"page":"578-590","title":"Sistem Pakar Mendiagnosis Penyakit Mealybug Wilt Pada Nanas Menggunakan Metode Certainty Factor","type":"article-journal","volume":"3"},"uris":["http://www.mendeley.com/documents/?uuid=667a863a-56b5-4369-9af3-71b31452a886"]}],"mendeley":{"formattedCitation":"(Hia et al., 2020)","plainTextFormattedCitation":"(Hia et al., 2020)","previouslyFormattedCitation":"(Hia et al., 2020)"},"properties":{"noteIndex":0},"schema":"https://github.com/citation-style-language/schema/raw/master/csl-citation.json"}</w:instrText>
      </w:r>
      <w:r w:rsidRPr="00827FED">
        <w:rPr>
          <w:rFonts w:ascii="Arial" w:hAnsi="Arial" w:cs="Arial"/>
          <w:vertAlign w:val="superscript"/>
        </w:rPr>
        <w:fldChar w:fldCharType="separate"/>
      </w:r>
      <w:r w:rsidR="00D74235" w:rsidRPr="00D74235">
        <w:rPr>
          <w:rFonts w:ascii="Arial" w:hAnsi="Arial" w:cs="Arial"/>
          <w:bCs/>
          <w:noProof/>
        </w:rPr>
        <w:t>(Hia et al., 2020)</w:t>
      </w:r>
      <w:r w:rsidRPr="00827FED">
        <w:rPr>
          <w:rFonts w:ascii="Arial" w:hAnsi="Arial" w:cs="Arial"/>
        </w:rPr>
        <w:fldChar w:fldCharType="end"/>
      </w:r>
    </w:p>
    <w:p w14:paraId="0B32A18D" w14:textId="77777777" w:rsidR="00827FED" w:rsidRPr="00827FED" w:rsidRDefault="00827FED" w:rsidP="00827FED">
      <w:pPr>
        <w:pStyle w:val="Body"/>
        <w:rPr>
          <w:rFonts w:ascii="Arial" w:hAnsi="Arial" w:cs="Arial"/>
        </w:rPr>
      </w:pPr>
      <w:r w:rsidRPr="00827FED">
        <w:rPr>
          <w:rFonts w:ascii="Arial" w:hAnsi="Arial" w:cs="Arial"/>
        </w:rPr>
        <w:t>One of the major pests attacking pineapple plants is the mealybug (</w:t>
      </w:r>
      <w:proofErr w:type="spellStart"/>
      <w:r w:rsidRPr="00827FED">
        <w:rPr>
          <w:rFonts w:ascii="Arial" w:hAnsi="Arial" w:cs="Arial"/>
          <w:i/>
          <w:iCs/>
        </w:rPr>
        <w:t>Dysmicoccus</w:t>
      </w:r>
      <w:proofErr w:type="spellEnd"/>
      <w:r w:rsidRPr="00827FED">
        <w:rPr>
          <w:rFonts w:ascii="Arial" w:hAnsi="Arial" w:cs="Arial"/>
          <w:i/>
          <w:iCs/>
        </w:rPr>
        <w:t xml:space="preserve"> </w:t>
      </w:r>
      <w:proofErr w:type="spellStart"/>
      <w:r w:rsidRPr="00827FED">
        <w:rPr>
          <w:rFonts w:ascii="Arial" w:hAnsi="Arial" w:cs="Arial"/>
          <w:i/>
          <w:iCs/>
        </w:rPr>
        <w:t>brevipes</w:t>
      </w:r>
      <w:proofErr w:type="spellEnd"/>
      <w:r w:rsidRPr="00827FED">
        <w:rPr>
          <w:rFonts w:ascii="Arial" w:hAnsi="Arial" w:cs="Arial"/>
        </w:rPr>
        <w:t xml:space="preserve">), an insect belonging to the order Hemiptera and the family </w:t>
      </w:r>
      <w:proofErr w:type="spellStart"/>
      <w:r w:rsidRPr="00827FED">
        <w:rPr>
          <w:rFonts w:ascii="Arial" w:hAnsi="Arial" w:cs="Arial"/>
        </w:rPr>
        <w:t>Pseudococcidae</w:t>
      </w:r>
      <w:proofErr w:type="spellEnd"/>
      <w:r w:rsidRPr="00827FED">
        <w:rPr>
          <w:rFonts w:ascii="Arial" w:hAnsi="Arial" w:cs="Arial"/>
        </w:rPr>
        <w:t xml:space="preserve">. This pest infests the roots, basal stems, and lower leaves of the plant. </w:t>
      </w:r>
      <w:r w:rsidRPr="00827FED">
        <w:rPr>
          <w:rFonts w:ascii="Arial" w:hAnsi="Arial" w:cs="Arial"/>
          <w:i/>
          <w:iCs/>
        </w:rPr>
        <w:t>D. brevipes</w:t>
      </w:r>
      <w:r w:rsidRPr="00827FED">
        <w:rPr>
          <w:rFonts w:ascii="Arial" w:hAnsi="Arial" w:cs="Arial"/>
        </w:rPr>
        <w:t xml:space="preserve"> feeds by piercing plant tissues and sucking sap using its stylet-like mouthparts, leading to physiological stress in the plant, such as stunted growth, leaf chlorosis, and, under severe infestations, plant death. In addition, </w:t>
      </w:r>
      <w:r w:rsidRPr="00827FED">
        <w:rPr>
          <w:rFonts w:ascii="Arial" w:hAnsi="Arial" w:cs="Arial"/>
          <w:i/>
          <w:iCs/>
        </w:rPr>
        <w:t>D. brevipes</w:t>
      </w:r>
      <w:r w:rsidRPr="00827FED">
        <w:rPr>
          <w:rFonts w:ascii="Arial" w:hAnsi="Arial" w:cs="Arial"/>
        </w:rPr>
        <w:t xml:space="preserve"> produces honeydew, which promotes the growth of sooty mold fungi that interfere with photosynthesis and reduce crop quality </w:t>
      </w:r>
      <w:r w:rsidRPr="00827FED">
        <w:rPr>
          <w:rFonts w:ascii="Arial" w:hAnsi="Arial" w:cs="Arial"/>
          <w:vertAlign w:val="superscript"/>
        </w:rPr>
        <w:fldChar w:fldCharType="begin" w:fldLock="1"/>
      </w:r>
      <w:r w:rsidR="00D74235">
        <w:rPr>
          <w:rFonts w:ascii="Arial" w:hAnsi="Arial" w:cs="Arial"/>
        </w:rPr>
        <w:instrText>ADDIN CSL_CITATION {"citationItems":[{"id":"ITEM-1","itemData":{"DOI":"10.23960/jat.v4i3.1853","ISSN":"2337-4993","abstract":"Nanas merupakan salah satu komoditas sumber devisa negara Indonesia dari sektor pertanian. Produksi nanas di Indonesia mengalami peningkatan setiap tahun, namun peningkatan tersebut akan mengalami gangguan dengan adanya seranganpatogen. Patogen yang menyerang harus dideteksi lebih dini agar mengetahui cara pengendaliannya. Penelitian ini bertujuan untuk menginventarisasi patogen dan menghitung intensitas penyakit pada berbagai umur nanas varietas Queen di arealperkebunan nanas rakyat di Punggur, Lampung tengah. Penelitian dilakukan di Desa Astomulyo, Punggur, Lampung Tengah dan Laboratorium Penyakit Tanaman, Jurusan Agroteknologi, Fakultas Pertanian, Universitas Lampung, yang berlangsung dari bulan Agustus - Oktober 2015. Penelitian ini diawali dengan pengamatan lahan dan pengambil sampel untuk diidentifikasi sampai tingkat genus di laboratorium serta menghitung intensitas penyakit (metode Townsend dan Heuberger). Hasil penelitianberupa beberapa jamur yang ditemukan pada tanaman yang bergejala. Jamur – jamur tersebut adalah Curvularia sp., Thielaviopsis sp., Fusarium sp. Selain itu ditemukan gejala yang diduga akibat serangan virus PMWaV pada nanas. Selainpertanaman, Isolasi dari tanah ditemukan jamur Penicillium sp., dan Trichoderma sp. Jamur Culvularia sp. menyerang tanaman nanas di umur 5-7 bulan setelah tanam (bst), 8 – 11 bst, dan 12 bst dengan tingkat keparahan penyakit berturut – turutsebesar 8,4%, 8,8%, dan 7,6%. Jamur Thielaviopsis sp. menyerang tanaman nanas berumur 5 – 7 bst, 8 – 11 bst dan 12 bst dengan tingkat keparahan penyakit sebesar 7,2 %, 15% dan 9,3%. Jamur Fusarium sp. tidak menyerang nanas berumur 5 – 7 bst, tetapi menyerang tanaman nanas berumur 8 – 11 bst dan 12 bst dengan tingkat keparahan penyakit sebesar 5% dan 9%.","author":[{"dropping-particle":"","family":"Gustina","given":"Maya","non-dropping-particle":"","parse-names":false,"suffix":""},{"dropping-particle":"","family":"Ratih","given":"Suskandini","non-dropping-particle":"","parse-names":false,"suffix":""},{"dropping-particle":"","family":"Nurdin","given":"Muhammad","non-dropping-particle":"","parse-names":false,"suffix":""},{"dropping-particle":"","family":"Suharjo","given":"Radix","non-dropping-particle":"","parse-names":false,"suffix":""}],"container-title":"Jurnal Agrotek Tropika","id":"ITEM-1","issue":"3","issued":{"date-parts":[["2016"]]},"page":"205-210","title":"Inventarisasi patogen di pertanaman nanas (Ananas comosus l.) varietas queen di desa Astomulyo, Kecamatan Punggur Kabupaten Lampung Tengah","type":"article-journal","volume":"4"},"uris":["http://www.mendeley.com/documents/?uuid=86044cb5-9341-465e-8cbe-18fef5b6c95c"]}],"mendeley":{"formattedCitation":"(Gustina et al., 2016)","plainTextFormattedCitation":"(Gustina et al., 2016)","previouslyFormattedCitation":"(Gustina et al., 2016)"},"properties":{"noteIndex":0},"schema":"https://github.com/citation-style-language/schema/raw/master/csl-citation.json"}</w:instrText>
      </w:r>
      <w:r w:rsidRPr="00827FED">
        <w:rPr>
          <w:rFonts w:ascii="Arial" w:hAnsi="Arial" w:cs="Arial"/>
          <w:vertAlign w:val="superscript"/>
        </w:rPr>
        <w:fldChar w:fldCharType="separate"/>
      </w:r>
      <w:r w:rsidR="00D74235" w:rsidRPr="00D74235">
        <w:rPr>
          <w:rFonts w:ascii="Arial" w:hAnsi="Arial" w:cs="Arial"/>
          <w:bCs/>
          <w:noProof/>
        </w:rPr>
        <w:t>(Gustina et al., 2016)</w:t>
      </w:r>
      <w:r w:rsidRPr="00827FED">
        <w:rPr>
          <w:rFonts w:ascii="Arial" w:hAnsi="Arial" w:cs="Arial"/>
        </w:rPr>
        <w:fldChar w:fldCharType="end"/>
      </w:r>
      <w:r w:rsidRPr="00827FED">
        <w:rPr>
          <w:rFonts w:ascii="Arial" w:hAnsi="Arial" w:cs="Arial"/>
        </w:rPr>
        <w:t>.</w:t>
      </w:r>
    </w:p>
    <w:p w14:paraId="306C6209" w14:textId="77777777" w:rsidR="00827FED" w:rsidRPr="00827FED" w:rsidRDefault="00827FED" w:rsidP="00827FED">
      <w:pPr>
        <w:pStyle w:val="Body"/>
        <w:rPr>
          <w:rFonts w:ascii="Arial" w:hAnsi="Arial" w:cs="Arial"/>
        </w:rPr>
      </w:pPr>
      <w:r w:rsidRPr="00827FED">
        <w:rPr>
          <w:rFonts w:ascii="Arial" w:hAnsi="Arial" w:cs="Arial"/>
        </w:rPr>
        <w:t>Current field management of mealybugs largely depends on the application of synthetic chemical insecticides. Although these chemicals offer rapid results, long-term use poses risks, including the development of pest resistance, disruption of natural enemies, and contamination of the environment and agricultural products. Therefore, there is a need for more environmentally friendly and sustainable pest control approaches.</w:t>
      </w:r>
    </w:p>
    <w:p w14:paraId="48F9B582" w14:textId="77777777" w:rsidR="00827FED" w:rsidRPr="00827FED" w:rsidRDefault="00827FED" w:rsidP="00827FED">
      <w:pPr>
        <w:pStyle w:val="Body"/>
        <w:rPr>
          <w:rFonts w:ascii="Arial" w:hAnsi="Arial" w:cs="Arial"/>
        </w:rPr>
      </w:pPr>
      <w:r w:rsidRPr="00827FED">
        <w:rPr>
          <w:rFonts w:ascii="Arial" w:hAnsi="Arial" w:cs="Arial"/>
        </w:rPr>
        <w:t xml:space="preserve">One promising alternative is the use of biological control agents, particularly the entomopathogenic fungus </w:t>
      </w:r>
      <w:r w:rsidRPr="00827FED">
        <w:rPr>
          <w:rFonts w:ascii="Arial" w:hAnsi="Arial" w:cs="Arial"/>
          <w:i/>
          <w:iCs/>
        </w:rPr>
        <w:t xml:space="preserve">B. bassiana </w:t>
      </w:r>
      <w:r w:rsidRPr="00827FED">
        <w:rPr>
          <w:rFonts w:ascii="Arial" w:hAnsi="Arial" w:cs="Arial"/>
          <w:iCs/>
          <w:vertAlign w:val="superscript"/>
        </w:rPr>
        <w:fldChar w:fldCharType="begin" w:fldLock="1"/>
      </w:r>
      <w:r w:rsidR="00D74235">
        <w:rPr>
          <w:rFonts w:ascii="Arial" w:hAnsi="Arial" w:cs="Arial"/>
          <w:iCs/>
        </w:rPr>
        <w:instrText>ADDIN CSL_CITATION {"citationItems":[{"id":"ITEM-1","itemData":{"author":[{"dropping-particle":"","family":"Tanada","given":"Yoshinori","non-dropping-particle":"","parse-names":false,"suffix":""},{"dropping-particle":"","family":"kaya H","given":"","non-dropping-particle":"","parse-names":false,"suffix":""}],"id":"ITEM-1","issued":{"date-parts":[["1993"]]},"number-of-pages":"666","publisher":"Academic Press, Inc., California","title":"Insect Pathology","type":"book"},"uris":["http://www.mendeley.com/documents/?uuid=256c5792-8b16-4c74-8c03-a19f4dec0318"]}],"mendeley":{"formattedCitation":"(Tanada &amp; kaya H, 1993)","plainTextFormattedCitation":"(Tanada &amp; kaya H, 1993)","previouslyFormattedCitation":"(Tanada &amp; kaya H, 1993)"},"properties":{"noteIndex":0},"schema":"https://github.com/citation-style-language/schema/raw/master/csl-citation.json"}</w:instrText>
      </w:r>
      <w:r w:rsidRPr="00827FED">
        <w:rPr>
          <w:rFonts w:ascii="Arial" w:hAnsi="Arial" w:cs="Arial"/>
          <w:iCs/>
          <w:vertAlign w:val="superscript"/>
        </w:rPr>
        <w:fldChar w:fldCharType="separate"/>
      </w:r>
      <w:r w:rsidR="00D74235" w:rsidRPr="00D74235">
        <w:rPr>
          <w:rFonts w:ascii="Arial" w:hAnsi="Arial" w:cs="Arial"/>
          <w:iCs/>
          <w:noProof/>
        </w:rPr>
        <w:t>(Tanada &amp; kaya H, 1993)</w:t>
      </w:r>
      <w:r w:rsidRPr="00827FED">
        <w:rPr>
          <w:rFonts w:ascii="Arial" w:hAnsi="Arial" w:cs="Arial"/>
        </w:rPr>
        <w:fldChar w:fldCharType="end"/>
      </w:r>
      <w:r w:rsidRPr="00827FED">
        <w:rPr>
          <w:rFonts w:ascii="Arial" w:hAnsi="Arial" w:cs="Arial"/>
          <w:iCs/>
          <w:vertAlign w:val="superscript"/>
        </w:rPr>
        <w:fldChar w:fldCharType="begin" w:fldLock="1"/>
      </w:r>
      <w:r w:rsidR="00D74235">
        <w:rPr>
          <w:rFonts w:ascii="Arial" w:hAnsi="Arial" w:cs="Arial"/>
          <w:iCs/>
        </w:rPr>
        <w:instrText>ADDIN CSL_CITATION {"citationItems":[{"id":"ITEM-1","itemData":{"DOI":"10.1016/j.sciaf.2023.e01594","ISSN":"24682276","abstract":"Endophytic fungi are naturally found within plants' tissues and cause no detectable disease symptoms in the plant. However, it is believed to possess supporting ecological and physiological benefits for the plant. The fungi confer to their host plant profound resistance to various pathogenic, parasitic, and pest attach by augmenting the plant's growth rate and improving adaptability and tolerance to pests and pathogens. Furthermore, the relationships between fungal endophytes and their host plant help synthesise varieties of biologically important secondary metabolites. Many of these metabolites have shown antibiotic and pest-repellant properties. In contrast, others have imbued the plant's adaptive properties to withstand environmental stress such as drought, significant variation in temperature, salinity and heavy metal accumulation. In recent years, the interest in fungal endophytes has shifted to their propensity to produce new unique compounds with bioactive properties. These properties include anticancer, antimicrobials, immunosuppressant and antioxidant functions. These fungi could become the future of medicine, agriculture and industrialisation revolutions, based on all of the possible biochemical produced by endophytes.","author":[{"dropping-particle":"","family":"Omomowo","given":"Iyabo Olunike","non-dropping-particle":"","parse-names":false,"suffix":""},{"dropping-particle":"","family":"Amao","given":"John Ayobami","non-dropping-particle":"","parse-names":false,"suffix":""},{"dropping-particle":"","family":"Abubakar","given":"Abdulwasiu","non-dropping-particle":"","parse-names":false,"suffix":""},{"dropping-particle":"","family":"Ogundola","given":"Adijat Funke","non-dropping-particle":"","parse-names":false,"suffix":""},{"dropping-particle":"","family":"Ezediuno","given":"Louis Odimakaose","non-dropping-particle":"","parse-names":false,"suffix":""},{"dropping-particle":"","family":"Bamigboye","given":"Comfort Olukemi","non-dropping-particle":"","parse-names":false,"suffix":""}],"container-title":"Scientific African","id":"ITEM-1","issued":{"date-parts":[["2023"]]},"publisher":"Elsevier B.V.","title":"A review on the trends of endophytic fungi bioactivities","type":"article-journal","volume":"20"},"uris":["http://www.mendeley.com/documents/?uuid=fa46699c-dcbb-493f-b2d2-e3c9a483b55f"]}],"mendeley":{"formattedCitation":"(Omomowo et al., 2023)","plainTextFormattedCitation":"(Omomowo et al., 2023)","previouslyFormattedCitation":"(Omomowo et al., 2023)"},"properties":{"noteIndex":0},"schema":"https://github.com/citation-style-language/schema/raw/master/csl-citation.json"}</w:instrText>
      </w:r>
      <w:r w:rsidRPr="00827FED">
        <w:rPr>
          <w:rFonts w:ascii="Arial" w:hAnsi="Arial" w:cs="Arial"/>
          <w:iCs/>
          <w:vertAlign w:val="superscript"/>
        </w:rPr>
        <w:fldChar w:fldCharType="separate"/>
      </w:r>
      <w:r w:rsidR="00D74235" w:rsidRPr="00D74235">
        <w:rPr>
          <w:rFonts w:ascii="Arial" w:hAnsi="Arial" w:cs="Arial"/>
          <w:iCs/>
          <w:noProof/>
        </w:rPr>
        <w:t>(Omomowo et al., 2023)</w:t>
      </w:r>
      <w:r w:rsidRPr="00827FED">
        <w:rPr>
          <w:rFonts w:ascii="Arial" w:hAnsi="Arial" w:cs="Arial"/>
        </w:rPr>
        <w:fldChar w:fldCharType="end"/>
      </w:r>
      <w:r w:rsidRPr="00827FED">
        <w:rPr>
          <w:rFonts w:ascii="Arial" w:hAnsi="Arial" w:cs="Arial"/>
        </w:rPr>
        <w:t xml:space="preserve">. This fungus infects a wide range of insect species through conidia that adhere to the insect cuticle, penetrate the exoskeleton, and proliferate within the host body. The infection leads to insect death by damaging internal tissues and producing toxic secondary metabolites. </w:t>
      </w:r>
      <w:r w:rsidRPr="00827FED">
        <w:rPr>
          <w:rFonts w:ascii="Arial" w:hAnsi="Arial" w:cs="Arial"/>
          <w:i/>
          <w:iCs/>
        </w:rPr>
        <w:t>B. bassiana</w:t>
      </w:r>
      <w:r w:rsidRPr="00827FED">
        <w:rPr>
          <w:rFonts w:ascii="Arial" w:hAnsi="Arial" w:cs="Arial"/>
        </w:rPr>
        <w:t xml:space="preserve"> is specific to target insects, safe for humans and the environment, and can be mass-produced for agricultural use. </w:t>
      </w:r>
      <w:r w:rsidRPr="00827FED">
        <w:rPr>
          <w:rFonts w:ascii="Arial" w:hAnsi="Arial" w:cs="Arial"/>
          <w:i/>
        </w:rPr>
        <w:t>B. bassiana</w:t>
      </w:r>
      <w:r w:rsidRPr="00827FED">
        <w:rPr>
          <w:rFonts w:ascii="Arial" w:hAnsi="Arial" w:cs="Arial"/>
        </w:rPr>
        <w:t xml:space="preserve"> fungi offer several advantages, such as a broad host range, simple production methods, high environmental persistence, and strong virulence. Research has demonstrated the effectiveness of these fungi in controlling brown planthopper populations</w:t>
      </w:r>
      <w:r w:rsidRPr="00827FED">
        <w:rPr>
          <w:rFonts w:ascii="Arial" w:hAnsi="Arial" w:cs="Arial"/>
        </w:rPr>
        <w:fldChar w:fldCharType="begin" w:fldLock="1"/>
      </w:r>
      <w:r w:rsidR="00D74235">
        <w:rPr>
          <w:rFonts w:ascii="Arial" w:hAnsi="Arial" w:cs="Arial"/>
        </w:rPr>
        <w:instrText>ADDIN CSL_CITATION {"citationItems":[{"id":"ITEM-1","itemData":{"DOI":"10.5994/jei.20.3.203","ISSN":"18297722","abstract":"its detrimental impact on rice production. Biological agents, such as the entomopathogenic fungus Beauveria bassiana (Bals.) Vuill., can effectively control this pest. B. bassiana, known for its endophytic abilities, colonises various plant tissues. This research aims to assess B. bassiana’s colonosation capacity on rice plants and its impact on nymph mortality and BPH fecundity. Four isolates of B. bassiana (BbWS, Pb211, Td312, and BbJg) were used, each with conidial density of 108 conidia/ml. The application menthod involved soaking rice seeds in the fungus for 24 hours. The results showed that all B. bassiana isolates could successfully establish as endophytes within rice plants, colonising all tissue parts, with leaves exhibiting the highest fungal colonisation at 58%. Seed soaking with B. bassiana reduced eggs hatching by 23.88% and increased nymph mortality by 40%. The presence of B. bassiana in rice tissue also influenced BPH adults fecundity. Notably, the BbWS isolate demonstrated the most significant effectiveness in elevating nymph mortality and reducing BPH fecundity.","author":[{"dropping-particle":"","family":"Hendra","given":"Yolma","non-dropping-particle":"","parse-names":false,"suffix":""},{"dropping-particle":"","family":"Trizelia","given":"Trizelia","non-dropping-particle":"","parse-names":false,"suffix":""},{"dropping-particle":"","family":"Syahrawati","given":"My","non-dropping-particle":"","parse-names":false,"suffix":""}],"container-title":"Jurnal Entomologi Indonesia","id":"ITEM-1","issue":"3","issued":{"date-parts":[["2023"]]},"page":"203-212","title":"Colonization of the entomopathogenic fungus Beauveria bassiana (Bals.) Vuill. on rice and its impact on nymph mortality and fecundity of brown planthopper (Nilaparvata lugens Stål)","type":"article-journal","volume":"20"},"uris":["http://www.mendeley.com/documents/?uuid=a429f642-f4a3-4b68-acde-c6e988076e17"]}],"mendeley":{"formattedCitation":"(Hendra et al., 2023)","plainTextFormattedCitation":"(Hendra et al., 2023)","previouslyFormattedCitation":"(Hendra et al., 2023)"},"properties":{"noteIndex":0},"schema":"https://github.com/citation-style-language/schema/raw/master/csl-citation.json"}</w:instrText>
      </w:r>
      <w:r w:rsidRPr="00827FED">
        <w:rPr>
          <w:rFonts w:ascii="Arial" w:hAnsi="Arial" w:cs="Arial"/>
        </w:rPr>
        <w:fldChar w:fldCharType="separate"/>
      </w:r>
      <w:r w:rsidR="00D74235" w:rsidRPr="00D74235">
        <w:rPr>
          <w:rFonts w:ascii="Arial" w:hAnsi="Arial" w:cs="Arial"/>
          <w:noProof/>
        </w:rPr>
        <w:t>(Hendra et al., 2023)</w:t>
      </w:r>
      <w:r w:rsidRPr="00827FED">
        <w:rPr>
          <w:rFonts w:ascii="Arial" w:hAnsi="Arial" w:cs="Arial"/>
        </w:rPr>
        <w:fldChar w:fldCharType="end"/>
      </w:r>
      <w:r w:rsidRPr="00827FED">
        <w:rPr>
          <w:rFonts w:ascii="Arial" w:hAnsi="Arial" w:cs="Arial"/>
        </w:rPr>
        <w:t xml:space="preserve">. Several species of entomopathogenic fungi that have been proven successful in managing </w:t>
      </w:r>
      <w:r w:rsidRPr="00827FED">
        <w:rPr>
          <w:rFonts w:ascii="Arial" w:hAnsi="Arial" w:cs="Arial"/>
          <w:i/>
        </w:rPr>
        <w:t>D. brevipes</w:t>
      </w:r>
      <w:r w:rsidRPr="00827FED">
        <w:rPr>
          <w:rFonts w:ascii="Arial" w:hAnsi="Arial" w:cs="Arial"/>
        </w:rPr>
        <w:t xml:space="preserve"> in previous studies include </w:t>
      </w:r>
      <w:r w:rsidRPr="00827FED">
        <w:rPr>
          <w:rFonts w:ascii="Arial" w:hAnsi="Arial" w:cs="Arial"/>
          <w:i/>
          <w:iCs/>
        </w:rPr>
        <w:t xml:space="preserve">B.  bassiana </w:t>
      </w:r>
      <w:r w:rsidRPr="00827FED">
        <w:rPr>
          <w:rFonts w:ascii="Arial" w:hAnsi="Arial" w:cs="Arial"/>
          <w:vertAlign w:val="superscript"/>
        </w:rPr>
        <w:fldChar w:fldCharType="begin" w:fldLock="1"/>
      </w:r>
      <w:r w:rsidR="00D74235">
        <w:rPr>
          <w:rFonts w:ascii="Arial" w:hAnsi="Arial" w:cs="Arial"/>
        </w:rPr>
        <w:instrText>ADDIN CSL_CITATION {"citationItems":[{"id":"ITEM-1","itemData":{"DOI":"10.30595/pspfs.v4i.539","abstract":"Wereng batang coklat (Nilaparvata lugens Stal.) merupakan hama utama yang menyebabkan rendahnya produksi tanaman padi. Pengendalian hama ini dapat dilakukan dengan pemanfaatan agens hayati. Salah satunya cendawan Beauveria bassiana (Bals.) Vuill. Tujuan penelitian adalah untuk mengetahui pengaruh cendawan B bassiana yang diinokulasikan melalui  benih padi selama 24 jam terhadap preferensi oviposisi imago Wereng Batang Coklat (WBC). Penelitian disusun dalam Rancangan Acak Lengkap (RAL) dengan 5 perlakuan dan 5 ulangan. Perlakuan terdiri dari empat isolat B.bassiana yaitu: BbJg, BbWS, Pb211, Td312 dan kontrol. Konsentrasi B. bassiana yang digunakan adalah 108  konidia/ml. Data yang didapat diolah dengan menggunakan sidik ragam atau analisis of variance (ANOVA), dan dilanjutkan dengan uji LSD taraf nyata 5%. Hasil penelitian menunjukkan bahwa semua isolat cendawan  B. bassiana mampu mengkolonisasi semua bagian tanaman padi dan tingkat kolonisasi tertinggi terdapat pada daun. Kemampuan kolonisasi dipengaruhi oleh jenis isolat.  Keberadaan cendawan B. bassiana  di dalam jaringan tanaman padi memberikan  pengaruh negatif terhadap preferensi oviposisi imago betina WBC.  Jumlah telur yang diletakkan imago lebih sedikit pada tanaman padi yang diaplikasi B. bassianadan  persentase  telur yang menetas juga lebih rendah dibandingkan dengan control.  Cendawan B. bassiana  dengan kode BbWS adalah yang terbaik dalam menghambat peletakan telur dan menekan persentase telur menetas WBC.","author":[{"dropping-particle":"","family":"Hendra","given":"Yolma","non-dropping-particle":"","parse-names":false,"suffix":""},{"dropping-particle":"","family":"Trizelia","given":"Trizelia","non-dropping-particle":"","parse-names":false,"suffix":""},{"dropping-particle":"","family":"Syahrawati","given":"My","non-dropping-particle":"","parse-names":false,"suffix":""}],"container-title":"Proceedings Series on Physical &amp; Formal Sciences","id":"ITEM-1","issued":{"date-parts":[["2022"]]},"page":"475-481","title":"Aplikasi Cendawan Entomopatogen Beauveria Bassiana (Bals.) pada Tanaman Padi dan Pengaruhnya Terhadap Preferensi Oviposisi Imago Wereng Batang Coklat (Nilaparvata Lugens Stal)","type":"article-journal","volume":"4"},"uris":["http://www.mendeley.com/documents/?uuid=96e60815-6374-4f3e-af5f-f9a5fd7e5460"]}],"mendeley":{"formattedCitation":"(Hendra et al., 2022)","plainTextFormattedCitation":"(Hendra et al., 2022)","previouslyFormattedCitation":"(Hendra et al., 2022)"},"properties":{"noteIndex":0},"schema":"https://github.com/citation-style-language/schema/raw/master/csl-citation.json"}</w:instrText>
      </w:r>
      <w:r w:rsidRPr="00827FED">
        <w:rPr>
          <w:rFonts w:ascii="Arial" w:hAnsi="Arial" w:cs="Arial"/>
          <w:vertAlign w:val="superscript"/>
        </w:rPr>
        <w:fldChar w:fldCharType="separate"/>
      </w:r>
      <w:r w:rsidR="00D74235" w:rsidRPr="00D74235">
        <w:rPr>
          <w:rFonts w:ascii="Arial" w:hAnsi="Arial" w:cs="Arial"/>
          <w:noProof/>
        </w:rPr>
        <w:t>(Hendra et al., 2022)</w:t>
      </w:r>
      <w:r w:rsidRPr="00827FED">
        <w:rPr>
          <w:rFonts w:ascii="Arial" w:hAnsi="Arial" w:cs="Arial"/>
        </w:rPr>
        <w:fldChar w:fldCharType="end"/>
      </w:r>
      <w:r w:rsidRPr="00827FED">
        <w:rPr>
          <w:rFonts w:ascii="Arial" w:hAnsi="Arial" w:cs="Arial"/>
          <w:vertAlign w:val="superscript"/>
        </w:rPr>
        <w:fldChar w:fldCharType="begin" w:fldLock="1"/>
      </w:r>
      <w:r w:rsidR="00D74235">
        <w:rPr>
          <w:rFonts w:ascii="Arial" w:hAnsi="Arial" w:cs="Arial"/>
        </w:rPr>
        <w:instrText>ADDIN CSL_CITATION {"citationItems":[{"id":"ITEM-1","itemData":{"DOI":"10.1016/j.biocontrol.2021.104793","ISSN":"10499644","abstract":"Sustainable and environmentally safe pest management often involves the use of natural enemies as an alternative to chemical means. For successful management of pests by natural enemies, a balanced population between insect pests and their natural enemies should be achieved. In this study, we compared such population balances in rice fields of Cambodia under the following conditions: no insecticide (NI), chemical pesticide-based conventional practice (CP), the use of a biopesticide (Beauveria bassiana, Bb), and the use of an orange oil extract (Oo). Treatment effects were evaluated by monitoring 17 species of insect pests and 15 species of natural enemies at two sites for two seasons. In the NI treatment, the level of natural enemies was the highest, however, the pest population density was also higher in this treatment than in the Bb and the Oo treatments, resulting in a low grain yield similar to that in the CP treatment notably in one trial. The Bb and the Oo treatments showed the lowest insect pest populations, although the Oo treatment had little impact on the populations of natural enemies. These results suggest that contributions of Bb and Oo treatments to decreasing pest populations were greater than those of the NI and the CP treatments, and that the Bb and the Oo treatments resulted in a favorable balance between populations of insect pests and their natural enemies. A high level of white earhead caused by stemborers resulted in significant yield losses in one trial. Among the four treatments in the trial, the Bb treatment resulted in the highest grain yield, and importantly, this treatment depressed the insect pest populations without much affecting the populations of their natural enemies. Overall, the results of this study suggest that the use of biopesticides in rice paddies is effective to keep the well-balanced population between insect pests and natural enemies by decreasing the serious pests such as stemborer and leaf folder that directly affect rice grain yields.","author":[{"dropping-particle":"","family":"Chou","given":"Cheythyrith","non-dropping-particle":"","parse-names":false,"suffix":""},{"dropping-particle":"","family":"Hadi","given":"Buyung A.R.","non-dropping-particle":"","parse-names":false,"suffix":""},{"dropping-particle":"","family":"Chiba","given":"Sotaro","non-dropping-particle":"","parse-names":false,"suffix":""},{"dropping-particle":"","family":"Sato","given":"Ikuo","non-dropping-particle":"","parse-names":false,"suffix":""},{"dropping-particle":"","family":"Choi","given":"Il Ryong","non-dropping-particle":"","parse-names":false,"suffix":""},{"dropping-particle":"","family":"Tanaka","given":"Toshiharu","non-dropping-particle":"","parse-names":false,"suffix":""}],"container-title":"Biological Control","id":"ITEM-1","issue":"May 2021","issued":{"date-parts":[["2022"]]},"page":"104793","publisher":"Elsevier Inc.","title":"An entomopathogenic fungus and a natural extract benefit rice (Oryza sativa) by suppressing populations of insect pests while keeping high populations of their natural enemies","type":"article-journal","volume":"165"},"uris":["http://www.mendeley.com/documents/?uuid=166e9ccd-5d06-43f4-b92d-0f96211ac8aa"]}],"mendeley":{"formattedCitation":"(Chou et al., 2022)","plainTextFormattedCitation":"(Chou et al., 2022)","previouslyFormattedCitation":"(Chou et al., 2022)"},"properties":{"noteIndex":0},"schema":"https://github.com/citation-style-language/schema/raw/master/csl-citation.json"}</w:instrText>
      </w:r>
      <w:r w:rsidRPr="00827FED">
        <w:rPr>
          <w:rFonts w:ascii="Arial" w:hAnsi="Arial" w:cs="Arial"/>
          <w:vertAlign w:val="superscript"/>
        </w:rPr>
        <w:fldChar w:fldCharType="separate"/>
      </w:r>
      <w:r w:rsidR="00D74235" w:rsidRPr="00D74235">
        <w:rPr>
          <w:rFonts w:ascii="Arial" w:hAnsi="Arial" w:cs="Arial"/>
          <w:noProof/>
        </w:rPr>
        <w:t>(Chou et al., 2022)</w:t>
      </w:r>
      <w:r w:rsidRPr="00827FED">
        <w:rPr>
          <w:rFonts w:ascii="Arial" w:hAnsi="Arial" w:cs="Arial"/>
        </w:rPr>
        <w:fldChar w:fldCharType="end"/>
      </w:r>
      <w:r w:rsidRPr="00827FED">
        <w:rPr>
          <w:rFonts w:ascii="Arial" w:hAnsi="Arial" w:cs="Arial"/>
        </w:rPr>
        <w:t xml:space="preserve">, </w:t>
      </w:r>
      <w:proofErr w:type="spellStart"/>
      <w:r w:rsidRPr="00827FED">
        <w:rPr>
          <w:rFonts w:ascii="Arial" w:hAnsi="Arial" w:cs="Arial"/>
          <w:i/>
          <w:iCs/>
        </w:rPr>
        <w:t>Metarhizium</w:t>
      </w:r>
      <w:proofErr w:type="spellEnd"/>
      <w:r w:rsidRPr="00827FED">
        <w:rPr>
          <w:rFonts w:ascii="Arial" w:hAnsi="Arial" w:cs="Arial"/>
          <w:i/>
          <w:iCs/>
        </w:rPr>
        <w:t xml:space="preserve"> </w:t>
      </w:r>
      <w:proofErr w:type="spellStart"/>
      <w:r w:rsidRPr="00827FED">
        <w:rPr>
          <w:rFonts w:ascii="Arial" w:hAnsi="Arial" w:cs="Arial"/>
          <w:i/>
          <w:iCs/>
        </w:rPr>
        <w:t>huainamdangense</w:t>
      </w:r>
      <w:proofErr w:type="spellEnd"/>
      <w:r w:rsidRPr="00827FED">
        <w:rPr>
          <w:rFonts w:ascii="Arial" w:hAnsi="Arial" w:cs="Arial"/>
          <w:vertAlign w:val="superscript"/>
        </w:rPr>
        <w:fldChar w:fldCharType="begin" w:fldLock="1"/>
      </w:r>
      <w:r w:rsidR="00D74235">
        <w:rPr>
          <w:rFonts w:ascii="Arial" w:hAnsi="Arial" w:cs="Arial"/>
        </w:rPr>
        <w:instrText>ADDIN CSL_CITATION {"citationItems":[{"id":"ITEM-1","itemData":{"DOI":"10.35799/jbl.v12i1.37827","ISSN":"2088-9569","abstract":"Brown planthoppers have been reported to be resistant to various types of insecticides. One of the environmentally friendly controls is the use of entomopathogenic fungi. This study aims to test the effectiveness of the entomopathogenic fungus M. huainamdangense local isolates against brown planthoppers. Pathogenicity testing of local isolates of M. huainamdangense used a completely randomized design (CRD) with five treatments, namely K1 (Density 106), K2 (Density 107), K3 (Density 108), K4 (Density 109) and K0 as control. Each treatment was repeated 5 (five) times. The results showed that the fastest treatment to kill insects up to 100% was in the K4 treatment (density 109). The results of the probit analysis showed the LT50 value in the conidium density treatment 109 (K4) at 1.6 days. Meanwhile, the LC50 value showed a concentration of 108.9 conidium/ml on the second day. The use of a lower concentration of conidia density was able to kill 50% of insects in a longer time. Keywords: Metarhizium huainamdangense; entomopathogen; Nilaparvata lugens ABSTRAKWereng coklat telah dilaporkan resisten terhadap berbagai jenis insektisida. Salah satu pengendalian yang ramah lingkungan, yaitu dengan penggunaan jamur entomopatogen. Penelitian ini bertujuan untuk menguji keefektifan jamur entomopatogen M. huainamdangense isolat lokal terhadap wereng coklat. Pengujian patogenisitas isolat lokal M. huainamdangense menggunakan Rancangan Acak Lengkap (RAL) dengan lima perlakuan yaitu perlakuan K1 (Kerapatan 106), K2 (Kerapatan 107), K3 (Kerapatan 108), K4 (Kerapatan 109) dan K0 sebagai kontrol. Setiap perlakuan diulang 5 (lima) kali. Hasil penelitian menunjukkan bahwa perlakuan yang paling cepat mematikan serangga hingga 100% yaitu pada perlakuan K4 (Kerapatan 109). Hasil analisis probit menunjukkan nilai LT50 pada perlakuan kerapatan konidium 109 (K4) yaitu pada 1,6 hari, sedangkan nilai LC50 menunjukkan konsentrasi 108,9 konidium/ml pada hari kedua. Penggunaan konsentrasi kerapatan konidia yang lebih rendah mampu mematikan 50% serangga dalam waktu yang lebih lama. Kata kunci: Metarhizium huainamdangense; entomopatogen; Nilaparvata lugens","author":[{"dropping-particle":"","family":"Wongkar","given":"Jusak","non-dropping-particle":"","parse-names":false,"suffix":""},{"dropping-particle":"","family":"Tarore","given":"D","non-dropping-particle":"","parse-names":false,"suffix":""},{"dropping-particle":"","family":"Rimbing","given":"J","non-dropping-particle":"","parse-names":false,"suffix":""}],"container-title":"Jurnal Bios Logos","id":"ITEM-1","issue":"1","issued":{"date-parts":[["2022"]]},"page":"25","title":"Patogenisitas Metarhizium huainamdangense Isolat Dumoga Timur Terhadap Wereng Batang Coklat (Nilaparvata lugens) Pada Tanaman Padi Sawah","type":"article-journal","volume":"12"},"uris":["http://www.mendeley.com/documents/?uuid=befdb455-ee20-4291-9349-835987af2d70"]}],"mendeley":{"formattedCitation":"(Wongkar et al., 2022)","plainTextFormattedCitation":"(Wongkar et al., 2022)","previouslyFormattedCitation":"(Wongkar et al., 2022)"},"properties":{"noteIndex":0},"schema":"https://github.com/citation-style-language/schema/raw/master/csl-citation.json"}</w:instrText>
      </w:r>
      <w:r w:rsidRPr="00827FED">
        <w:rPr>
          <w:rFonts w:ascii="Arial" w:hAnsi="Arial" w:cs="Arial"/>
          <w:vertAlign w:val="superscript"/>
        </w:rPr>
        <w:fldChar w:fldCharType="separate"/>
      </w:r>
      <w:r w:rsidR="00D74235" w:rsidRPr="00D74235">
        <w:rPr>
          <w:rFonts w:ascii="Arial" w:hAnsi="Arial" w:cs="Arial"/>
          <w:bCs/>
          <w:noProof/>
        </w:rPr>
        <w:t>(Wongkar et al., 2022)</w:t>
      </w:r>
      <w:r w:rsidRPr="00827FED">
        <w:rPr>
          <w:rFonts w:ascii="Arial" w:hAnsi="Arial" w:cs="Arial"/>
        </w:rPr>
        <w:fldChar w:fldCharType="end"/>
      </w:r>
      <w:r w:rsidRPr="00827FED">
        <w:rPr>
          <w:rFonts w:ascii="Arial" w:hAnsi="Arial" w:cs="Arial"/>
        </w:rPr>
        <w:t xml:space="preserve">, dan </w:t>
      </w:r>
      <w:r w:rsidRPr="00827FED">
        <w:rPr>
          <w:rFonts w:ascii="Arial" w:hAnsi="Arial" w:cs="Arial"/>
          <w:i/>
          <w:iCs/>
        </w:rPr>
        <w:t>Metarhizium anisopliae</w:t>
      </w:r>
      <w:r w:rsidRPr="00827FED">
        <w:rPr>
          <w:rFonts w:ascii="Arial" w:hAnsi="Arial" w:cs="Arial"/>
          <w:vertAlign w:val="superscript"/>
        </w:rPr>
        <w:fldChar w:fldCharType="begin" w:fldLock="1"/>
      </w:r>
      <w:r w:rsidR="00D74235">
        <w:rPr>
          <w:rFonts w:ascii="Arial" w:hAnsi="Arial" w:cs="Arial"/>
        </w:rPr>
        <w:instrText>ADDIN CSL_CITATION {"citationItems":[{"id":"ITEM-1","itemData":{"DOI":"10.13057/biodiv/d240453","ISSN":"20854722","abstract":"Various endophytic fungi can live in plant tissues for all or part of their life cycle without causing damage or disease in their host. Several genera of endophytic fungi have been reported to be entomopathogenic and can be used to control insect pests. This study aimed to determine the diversity of endophytic fungi from rice stems that were entomopathogenic against Nilaparvata lugens (Stål, 1854) or Brown Planthopper (BPH). Endophytic fungi were isolated from rice stems of IR42 and Cisokan varieties grown in Padang City, West Sumatra Indonesia. Isolated fungi were first evaluated for their pathogenicity against Tenebrio molitor larvae. Subsequently high pathogenicity showed isolates were tested on nymphs and adults of BPH. The results showed that the entomopathogenic fungi isolated from IR 42 and Cisokan were the members of genus Aspergillus, Trichoderma, and Beauveria. The entomopathogenic fungi from IR 42 were more diverse than Cisokan, and Beauveria sp. was the most common isolate and had a better ability to kill the BPH. The highest mortality of BPH was found in PIR 1.3 isolate, but the mortality was still relatively low (53.33% nymphs and 34.99% adults). Further study is needed to increase the effectiveness of these endophytic fungi against BPH directly or indirectly by inducing resistance.","author":[{"dropping-particle":"","family":"Trizelia","given":"","non-dropping-particle":"","parse-names":false,"suffix":""},{"dropping-particle":"","family":"Rahma","given":"Haliatur","non-dropping-particle":"","parse-names":false,"suffix":""},{"dropping-particle":"","family":"Syahrawati","given":"My","non-dropping-particle":"","parse-names":false,"suffix":""}],"container-title":"Biodiversitas","id":"ITEM-1","issue":"4","issued":{"date-parts":[["2023"]]},"page":"2384-2391","title":"Diversity of endophytic fungi of rice plants in Padang City, Indonesia, entomopathogenic to brown planthopper (Nilaparvata lugens)","type":"article-journal","volume":"24"},"uris":["http://www.mendeley.com/documents/?uuid=300c3383-86fa-4e2e-9ca5-bed14b25a854"]}],"mendeley":{"formattedCitation":"(Trizelia et al., 2023)","plainTextFormattedCitation":"(Trizelia et al., 2023)","previouslyFormattedCitation":"(Trizelia et al., 2023)"},"properties":{"noteIndex":0},"schema":"https://github.com/citation-style-language/schema/raw/master/csl-citation.json"}</w:instrText>
      </w:r>
      <w:r w:rsidRPr="00827FED">
        <w:rPr>
          <w:rFonts w:ascii="Arial" w:hAnsi="Arial" w:cs="Arial"/>
          <w:vertAlign w:val="superscript"/>
        </w:rPr>
        <w:fldChar w:fldCharType="separate"/>
      </w:r>
      <w:r w:rsidR="00D74235" w:rsidRPr="00D74235">
        <w:rPr>
          <w:rFonts w:ascii="Arial" w:hAnsi="Arial" w:cs="Arial"/>
          <w:bCs/>
          <w:noProof/>
        </w:rPr>
        <w:t>(Trizelia et al., 2023)</w:t>
      </w:r>
      <w:r w:rsidRPr="00827FED">
        <w:rPr>
          <w:rFonts w:ascii="Arial" w:hAnsi="Arial" w:cs="Arial"/>
        </w:rPr>
        <w:fldChar w:fldCharType="end"/>
      </w:r>
      <w:r w:rsidRPr="00827FED">
        <w:rPr>
          <w:rFonts w:ascii="Arial" w:hAnsi="Arial" w:cs="Arial"/>
        </w:rPr>
        <w:t xml:space="preserve">. </w:t>
      </w:r>
      <w:r w:rsidRPr="00827FED">
        <w:rPr>
          <w:rFonts w:ascii="Arial" w:hAnsi="Arial" w:cs="Arial"/>
          <w:i/>
        </w:rPr>
        <w:t>B. bassiana</w:t>
      </w:r>
      <w:r w:rsidRPr="00827FED">
        <w:rPr>
          <w:rFonts w:ascii="Arial" w:hAnsi="Arial" w:cs="Arial"/>
        </w:rPr>
        <w:t xml:space="preserve"> has been proven effective in controlling the papaya mealybug </w:t>
      </w:r>
      <w:proofErr w:type="spellStart"/>
      <w:r w:rsidRPr="00827FED">
        <w:rPr>
          <w:rFonts w:ascii="Arial" w:hAnsi="Arial" w:cs="Arial"/>
          <w:i/>
          <w:iCs/>
        </w:rPr>
        <w:t>Paracoccus</w:t>
      </w:r>
      <w:proofErr w:type="spellEnd"/>
      <w:r w:rsidRPr="00827FED">
        <w:rPr>
          <w:rFonts w:ascii="Arial" w:hAnsi="Arial" w:cs="Arial"/>
          <w:i/>
          <w:iCs/>
        </w:rPr>
        <w:t xml:space="preserve"> </w:t>
      </w:r>
      <w:proofErr w:type="spellStart"/>
      <w:r w:rsidRPr="00827FED">
        <w:rPr>
          <w:rFonts w:ascii="Arial" w:hAnsi="Arial" w:cs="Arial"/>
          <w:i/>
          <w:iCs/>
        </w:rPr>
        <w:t>marginatus</w:t>
      </w:r>
      <w:proofErr w:type="spellEnd"/>
      <w:r w:rsidRPr="00827FED">
        <w:rPr>
          <w:rFonts w:ascii="Arial" w:hAnsi="Arial" w:cs="Arial"/>
        </w:rPr>
        <w:t xml:space="preserve">, resulting in a mortality rate of 82.86%, with an average nymphal death time of 3.55 days </w:t>
      </w:r>
      <w:r w:rsidRPr="00827FED">
        <w:rPr>
          <w:rFonts w:ascii="Arial" w:hAnsi="Arial" w:cs="Arial"/>
          <w:vertAlign w:val="superscript"/>
        </w:rPr>
        <w:fldChar w:fldCharType="begin" w:fldLock="1"/>
      </w:r>
      <w:r w:rsidR="00D74235">
        <w:rPr>
          <w:rFonts w:ascii="Arial" w:hAnsi="Arial" w:cs="Arial"/>
        </w:rPr>
        <w:instrText>ADDIN CSL_CITATION {"citationItems":[{"id":"ITEM-1","itemData":{"DOI":"10.5994/jei.9.2.81","ISSN":"18297722","abstract":"Kutu putih pepaya, Paracoccus marginatus (Hemiptera: Pseudococcidae) di lahan rawa lebak Sumatera Selatan, dapat menyebabkan banyak tanaman pepaya muda yang mati dan kualitas buah menurun. Penelitian ini bertujuan untuk menguji bioesai formulasi Beauveria bassiana terhadap nimfa P. marginatus. B. bassiana diperbanyak pada media beras. Bahan pembawa yang digunakan adalah kompos, kompos kering, abu sekam, dedak, serbuk kayu, dedak dicampur dengan serbuk kayu, kompos diperkaya dengan Trichoderma virens. Kontrol yang digunakan ada dua macam, yaitu air steril (kontrol 1) dan isolat B. bassiana (kontrol 2). Viabilitas konidia B. bassiana pada kontrol 2 tertinggi (46,33%) dibandingkan dengan perlakuan lain. Viabilitas konidia kontrol 2 tersebut tidak berbeda nyata dengan formulasi dengan bahan pembawa dedak, dedak campuran serbuk kayu, dan kompos diperkaya T. virens. Mortalitas nimfa P. marginatus tertinggi (82,86%) terjadi pada formulasi dengan bahan pembawa kompos diperkaya dengan T. virens dan berbeda nyata dibandingkan dengan perlakuan lainnya. Mortalitas nimfa terendah (73,48%) terjadi pada formulasi abu sekam dan berbeda nyata dibandingkan dengan perlakuan lainnya. Mortalitas kontrol rata- rata 29,52% pada kontrol 1, sedangkan pada kontrol 2 rata-rata 75,71%. Median lethal time (LT50 ) tersingkat (3,55 hari) ditemukan pada formulasi kompos diperkaya dengan T. virens, sedangkan terlama (3,73 hari) ditemukan pada formulasi abu sekam. Dengan demikian, bioinsektisida yang paling efektif adalah formulasi kompos diperkaya dengan T. virens. Kata","author":[{"dropping-particle":"","family":"Herlinda","given":"Siti","non-dropping-particle":"","parse-names":false,"suffix":""},{"dropping-particle":"","family":"Armawan","given":"KA","non-dropping-particle":"","parse-names":false,"suffix":""},{"dropping-particle":"","family":"Firmansyah","given":"Firmansyah","non-dropping-particle":"","parse-names":false,"suffix":""},{"dropping-particle":"","family":"Adam","given":"T","non-dropping-particle":"","parse-names":false,"suffix":""},{"dropping-particle":"","family":"Irsan","given":"C","non-dropping-particle":"","parse-names":false,"suffix":""},{"dropping-particle":"","family":"Thalib","given":"R","non-dropping-particle":"","parse-names":false,"suffix":""}],"container-title":"Jurnal Entomologi Indonesia","id":"ITEM-1","issue":"2","issued":{"date-parts":[["2012"]]},"page":"81-87","title":"Bioesai bioinsektisida Beauveria bassiana dari Sumatera Selatan terhadap kutu putih pepaya, Paracoccus marginatus Williams &amp; Granara De Willink (Hemiptera: Pseudococcidae)","type":"article-journal","volume":"9"},"uris":["http://www.mendeley.com/documents/?uuid=27fe102e-da74-4daa-a21f-73c9f9f1ed9f"]}],"mendeley":{"formattedCitation":"(Herlinda et al., 2012)","plainTextFormattedCitation":"(Herlinda et al., 2012)","previouslyFormattedCitation":"(Herlinda et al., 2012)"},"properties":{"noteIndex":0},"schema":"https://github.com/citation-style-language/schema/raw/master/csl-citation.json"}</w:instrText>
      </w:r>
      <w:r w:rsidRPr="00827FED">
        <w:rPr>
          <w:rFonts w:ascii="Arial" w:hAnsi="Arial" w:cs="Arial"/>
          <w:vertAlign w:val="superscript"/>
        </w:rPr>
        <w:fldChar w:fldCharType="separate"/>
      </w:r>
      <w:r w:rsidR="00D74235" w:rsidRPr="00D74235">
        <w:rPr>
          <w:rFonts w:ascii="Arial" w:hAnsi="Arial" w:cs="Arial"/>
          <w:bCs/>
          <w:noProof/>
        </w:rPr>
        <w:t>(Herlinda et al., 2012)</w:t>
      </w:r>
      <w:r w:rsidRPr="00827FED">
        <w:rPr>
          <w:rFonts w:ascii="Arial" w:hAnsi="Arial" w:cs="Arial"/>
        </w:rPr>
        <w:fldChar w:fldCharType="end"/>
      </w:r>
      <w:r w:rsidRPr="00827FED">
        <w:rPr>
          <w:rFonts w:ascii="Arial" w:hAnsi="Arial" w:cs="Arial"/>
        </w:rPr>
        <w:t>.</w:t>
      </w:r>
      <w:r w:rsidRPr="00827FED">
        <w:rPr>
          <w:rFonts w:ascii="Arial" w:hAnsi="Arial" w:cs="Arial"/>
          <w:i/>
          <w:iCs/>
        </w:rPr>
        <w:t>B. bassiana</w:t>
      </w:r>
      <w:r w:rsidRPr="00827FED">
        <w:rPr>
          <w:rFonts w:ascii="Arial" w:hAnsi="Arial" w:cs="Arial"/>
        </w:rPr>
        <w:t xml:space="preserve"> has proven to be an effective biological control agent against </w:t>
      </w:r>
      <w:proofErr w:type="spellStart"/>
      <w:r w:rsidRPr="00827FED">
        <w:rPr>
          <w:rFonts w:ascii="Arial" w:hAnsi="Arial" w:cs="Arial"/>
          <w:i/>
          <w:iCs/>
        </w:rPr>
        <w:t>Planococcus</w:t>
      </w:r>
      <w:proofErr w:type="spellEnd"/>
      <w:r w:rsidRPr="00827FED">
        <w:rPr>
          <w:rFonts w:ascii="Arial" w:hAnsi="Arial" w:cs="Arial"/>
        </w:rPr>
        <w:t xml:space="preserve"> spp., significantly reducing pest populations and associated plant damage. Its mode of action—through enzymatic degradation and toxin production—targets various insect stages, making it a sustainable and environmentally friendly alternative to synthetic chemical pesticides</w:t>
      </w:r>
      <w:r w:rsidRPr="00827FED">
        <w:rPr>
          <w:rFonts w:ascii="Arial" w:hAnsi="Arial" w:cs="Arial"/>
          <w:vertAlign w:val="superscript"/>
        </w:rPr>
        <w:fldChar w:fldCharType="begin" w:fldLock="1"/>
      </w:r>
      <w:r w:rsidR="00D74235">
        <w:rPr>
          <w:rFonts w:ascii="Arial" w:hAnsi="Arial" w:cs="Arial"/>
        </w:rPr>
        <w:instrText>ADDIN CSL_CITATION {"citationItems":[{"id":"ITEM-1","itemData":{"ISSN":"2549-7863","abstract":"The mealybug insect pest planococcus spp. (Hemiptera: Pseudococcidae) attacks most plants, including food, horticultural, and plantation crops, which directly impacts reducing yields. Continuous control using pesticides made from synthetic chemicals harms environmental sustainability. The use of the entomopathogenic fungus Beauveria bassiana as a pest control for Planococcus spp. can be a long-term, environmentally friendly solution. The Beauveria bassiana fungus can kill all insect stages of various plant pests from all insect pest orders. The efficacy of beauveria bassiana is influenced by various types of enzymes from the secondary metabolites produced, namely: chitinase, protease, amylase, and lipase which function as degraders of the insect integument layer. Efficacy is also influenced by the production of toxins consisting of beauvericin, bassianin, bassiacridin, beauvericin, bassianolide, cyclosporine, oosporein, and tenellin which disrupt the nervous system and kill target insects. The results showed that the application of the Beauveria bassiana fungus was effective in reducing the population of the pest Planococcus spp. and reducing plant damage. The Beauveria bassiana mushroom is an alternative substitute for pesticides made from synthetic chemicals and is very prospective to be used as a biopesticide in controlling the pest Planococcus spp. which attacks agricultural plants and plantations.","author":[{"dropping-particle":"","family":"Taupiq","given":"Lukman","non-dropping-particle":"","parse-names":false,"suffix":""},{"dropping-particle":"","family":"Sudantha","given":"I Made","non-dropping-particle":"","parse-names":false,"suffix":""},{"dropping-particle":"","family":"Sudharmawan","given":"A A","non-dropping-particle":"","parse-names":false,"suffix":""}],"container-title":"Jurnal Biologi Tropis","id":"ITEM-1","issue":"1","issued":{"date-parts":[["2024"]]},"page":"424-433","title":"The Potential of The Entomopathogenic Fungus Beauveria Bassiana (bals) Vuillemin to Control Mealybugs Planococcus spp. Hemiptera: Pseudococcidae","type":"article-journal","volume":"24"},"uris":["http://www.mendeley.com/documents/?uuid=1f76b2f0-3e09-4c8e-b5e0-96628825fbdb"]}],"mendeley":{"formattedCitation":"(Taupiq et al., 2024)","plainTextFormattedCitation":"(Taupiq et al., 2024)","previouslyFormattedCitation":"(Taupiq et al., 2024)"},"properties":{"noteIndex":0},"schema":"https://github.com/citation-style-language/schema/raw/master/csl-citation.json"}</w:instrText>
      </w:r>
      <w:r w:rsidRPr="00827FED">
        <w:rPr>
          <w:rFonts w:ascii="Arial" w:hAnsi="Arial" w:cs="Arial"/>
          <w:vertAlign w:val="superscript"/>
        </w:rPr>
        <w:fldChar w:fldCharType="separate"/>
      </w:r>
      <w:r w:rsidR="00D74235" w:rsidRPr="00D74235">
        <w:rPr>
          <w:rFonts w:ascii="Arial" w:hAnsi="Arial" w:cs="Arial"/>
          <w:bCs/>
          <w:noProof/>
        </w:rPr>
        <w:t>(Taupiq et al., 2024)</w:t>
      </w:r>
      <w:r w:rsidRPr="00827FED">
        <w:rPr>
          <w:rFonts w:ascii="Arial" w:hAnsi="Arial" w:cs="Arial"/>
        </w:rPr>
        <w:fldChar w:fldCharType="end"/>
      </w:r>
      <w:r w:rsidRPr="00827FED">
        <w:rPr>
          <w:rFonts w:ascii="Arial" w:hAnsi="Arial" w:cs="Arial"/>
        </w:rPr>
        <w:t xml:space="preserve">. However, the specific effect of </w:t>
      </w:r>
      <w:r w:rsidRPr="00827FED">
        <w:rPr>
          <w:rFonts w:ascii="Arial" w:hAnsi="Arial" w:cs="Arial"/>
          <w:i/>
          <w:iCs/>
        </w:rPr>
        <w:t xml:space="preserve">B. </w:t>
      </w:r>
      <w:proofErr w:type="spellStart"/>
      <w:r w:rsidRPr="00827FED">
        <w:rPr>
          <w:rFonts w:ascii="Arial" w:hAnsi="Arial" w:cs="Arial"/>
          <w:i/>
          <w:iCs/>
        </w:rPr>
        <w:t>bassiana</w:t>
      </w:r>
      <w:proofErr w:type="spellEnd"/>
      <w:r w:rsidRPr="00827FED">
        <w:rPr>
          <w:rFonts w:ascii="Arial" w:hAnsi="Arial" w:cs="Arial"/>
        </w:rPr>
        <w:t xml:space="preserve"> on </w:t>
      </w:r>
      <w:proofErr w:type="spellStart"/>
      <w:r w:rsidRPr="00827FED">
        <w:rPr>
          <w:rFonts w:ascii="Arial" w:hAnsi="Arial" w:cs="Arial"/>
          <w:i/>
          <w:iCs/>
        </w:rPr>
        <w:t>Dysmicoccus</w:t>
      </w:r>
      <w:proofErr w:type="spellEnd"/>
      <w:r w:rsidRPr="00827FED">
        <w:rPr>
          <w:rFonts w:ascii="Arial" w:hAnsi="Arial" w:cs="Arial"/>
          <w:i/>
          <w:iCs/>
        </w:rPr>
        <w:t xml:space="preserve"> </w:t>
      </w:r>
      <w:proofErr w:type="spellStart"/>
      <w:r w:rsidRPr="00827FED">
        <w:rPr>
          <w:rFonts w:ascii="Arial" w:hAnsi="Arial" w:cs="Arial"/>
          <w:i/>
          <w:iCs/>
        </w:rPr>
        <w:t>brevipes</w:t>
      </w:r>
      <w:proofErr w:type="spellEnd"/>
      <w:r w:rsidRPr="00827FED">
        <w:rPr>
          <w:rFonts w:ascii="Arial" w:hAnsi="Arial" w:cs="Arial"/>
        </w:rPr>
        <w:t xml:space="preserve"> has not yet been extensively studied</w:t>
      </w:r>
    </w:p>
    <w:p w14:paraId="2EB50595" w14:textId="77777777" w:rsidR="00B01FCD" w:rsidRDefault="00827FED" w:rsidP="00827FED">
      <w:pPr>
        <w:pStyle w:val="Body"/>
        <w:spacing w:after="0"/>
        <w:rPr>
          <w:rFonts w:ascii="Arial" w:hAnsi="Arial" w:cs="Arial"/>
        </w:rPr>
      </w:pPr>
      <w:r w:rsidRPr="00827FED">
        <w:rPr>
          <w:rFonts w:ascii="Arial" w:hAnsi="Arial" w:cs="Arial"/>
        </w:rPr>
        <w:t xml:space="preserve">Based on this background, the present study aims to evaluate the effectiveness of </w:t>
      </w:r>
      <w:r w:rsidRPr="00827FED">
        <w:rPr>
          <w:rFonts w:ascii="Arial" w:hAnsi="Arial" w:cs="Arial"/>
          <w:i/>
          <w:iCs/>
        </w:rPr>
        <w:t>B.  bassiana</w:t>
      </w:r>
      <w:r w:rsidRPr="00827FED">
        <w:rPr>
          <w:rFonts w:ascii="Arial" w:hAnsi="Arial" w:cs="Arial"/>
        </w:rPr>
        <w:t xml:space="preserve"> in controlling </w:t>
      </w:r>
      <w:r w:rsidRPr="00827FED">
        <w:rPr>
          <w:rFonts w:ascii="Arial" w:hAnsi="Arial" w:cs="Arial"/>
          <w:i/>
          <w:iCs/>
        </w:rPr>
        <w:t>D. brevipes</w:t>
      </w:r>
      <w:r w:rsidRPr="00827FED">
        <w:rPr>
          <w:rFonts w:ascii="Arial" w:hAnsi="Arial" w:cs="Arial"/>
        </w:rPr>
        <w:t xml:space="preserve"> on pineapple plants in Riau Province. The findings of this research are expected to provide a scientific basis for the development of effective biological control strategies and support sustainable pineapple farming in the region</w:t>
      </w:r>
    </w:p>
    <w:p w14:paraId="71A3F84C" w14:textId="77777777" w:rsidR="00790ADA" w:rsidRPr="00FB3A86" w:rsidRDefault="00790ADA" w:rsidP="00441B6F">
      <w:pPr>
        <w:pStyle w:val="Body"/>
        <w:spacing w:after="0"/>
        <w:rPr>
          <w:rFonts w:ascii="Arial" w:hAnsi="Arial" w:cs="Arial"/>
        </w:rPr>
      </w:pPr>
    </w:p>
    <w:p w14:paraId="3A796D47" w14:textId="77777777" w:rsidR="007F7B32" w:rsidRDefault="00902823" w:rsidP="00441B6F">
      <w:pPr>
        <w:pStyle w:val="AbstHead"/>
        <w:spacing w:after="0"/>
        <w:jc w:val="both"/>
        <w:rPr>
          <w:rFonts w:ascii="Arial" w:hAnsi="Arial" w:cs="Arial"/>
        </w:rPr>
      </w:pPr>
      <w:r>
        <w:rPr>
          <w:rFonts w:ascii="Arial" w:hAnsi="Arial" w:cs="Arial"/>
        </w:rPr>
        <w:t>2. material and method</w:t>
      </w:r>
      <w:r w:rsidR="00BE73C6">
        <w:rPr>
          <w:rFonts w:ascii="Arial" w:hAnsi="Arial" w:cs="Arial"/>
        </w:rPr>
        <w:t>s</w:t>
      </w:r>
    </w:p>
    <w:p w14:paraId="5F620566" w14:textId="77777777" w:rsidR="00790ADA" w:rsidRDefault="00790ADA" w:rsidP="00441B6F">
      <w:pPr>
        <w:pStyle w:val="AbstHead"/>
        <w:spacing w:after="0"/>
        <w:jc w:val="both"/>
        <w:rPr>
          <w:rFonts w:ascii="Arial" w:hAnsi="Arial" w:cs="Arial"/>
        </w:rPr>
      </w:pPr>
    </w:p>
    <w:p w14:paraId="4E75F445" w14:textId="77777777" w:rsidR="00737EFA" w:rsidRDefault="00737EFA" w:rsidP="00737EFA">
      <w:pPr>
        <w:pStyle w:val="Body"/>
        <w:spacing w:after="0"/>
        <w:rPr>
          <w:rFonts w:ascii="Arial" w:eastAsia="Calibri" w:hAnsi="Arial" w:cs="Arial"/>
          <w:szCs w:val="22"/>
        </w:rPr>
      </w:pPr>
      <w:r w:rsidRPr="00967333">
        <w:rPr>
          <w:rFonts w:ascii="Arial" w:eastAsia="Calibri" w:hAnsi="Arial" w:cs="Arial"/>
          <w:szCs w:val="22"/>
        </w:rPr>
        <w:t xml:space="preserve">The experiment was arranged in a Completely Randomized Design (CRD) with four treatments and six replications, consisting of isolates </w:t>
      </w:r>
      <w:proofErr w:type="spellStart"/>
      <w:r w:rsidRPr="00967333">
        <w:rPr>
          <w:rFonts w:ascii="Arial" w:eastAsia="Calibri" w:hAnsi="Arial" w:cs="Arial"/>
          <w:szCs w:val="22"/>
        </w:rPr>
        <w:t>BbSP</w:t>
      </w:r>
      <w:proofErr w:type="spellEnd"/>
      <w:r w:rsidRPr="00967333">
        <w:rPr>
          <w:rFonts w:ascii="Arial" w:eastAsia="Calibri" w:hAnsi="Arial" w:cs="Arial"/>
          <w:szCs w:val="22"/>
        </w:rPr>
        <w:t xml:space="preserve"> 105, </w:t>
      </w:r>
      <w:proofErr w:type="spellStart"/>
      <w:r w:rsidRPr="00967333">
        <w:rPr>
          <w:rFonts w:ascii="Arial" w:eastAsia="Calibri" w:hAnsi="Arial" w:cs="Arial"/>
          <w:szCs w:val="22"/>
        </w:rPr>
        <w:t>BbSP</w:t>
      </w:r>
      <w:proofErr w:type="spellEnd"/>
      <w:r w:rsidRPr="00967333">
        <w:rPr>
          <w:rFonts w:ascii="Arial" w:eastAsia="Calibri" w:hAnsi="Arial" w:cs="Arial"/>
          <w:szCs w:val="22"/>
        </w:rPr>
        <w:t xml:space="preserve"> 217, </w:t>
      </w:r>
      <w:proofErr w:type="spellStart"/>
      <w:r w:rsidRPr="00967333">
        <w:rPr>
          <w:rFonts w:ascii="Arial" w:eastAsia="Calibri" w:hAnsi="Arial" w:cs="Arial"/>
          <w:szCs w:val="22"/>
        </w:rPr>
        <w:t>BbKP</w:t>
      </w:r>
      <w:proofErr w:type="spellEnd"/>
      <w:r w:rsidRPr="00967333">
        <w:rPr>
          <w:rFonts w:ascii="Arial" w:eastAsia="Calibri" w:hAnsi="Arial" w:cs="Arial"/>
          <w:szCs w:val="22"/>
        </w:rPr>
        <w:t xml:space="preserve"> 125, and a control (without fungal application). Data were analyzed using analysis of variance (ANOVA), followed by LSD test at a 5% significance level</w:t>
      </w:r>
      <w:r w:rsidRPr="00BA1B01">
        <w:rPr>
          <w:rFonts w:ascii="Arial" w:eastAsia="Calibri" w:hAnsi="Arial" w:cs="Arial"/>
          <w:szCs w:val="22"/>
        </w:rPr>
        <w:t>.</w:t>
      </w:r>
      <w:r>
        <w:rPr>
          <w:rFonts w:ascii="Arial" w:eastAsia="Calibri" w:hAnsi="Arial" w:cs="Arial"/>
          <w:szCs w:val="22"/>
        </w:rPr>
        <w:t xml:space="preserve"> </w:t>
      </w:r>
      <w:r w:rsidRPr="00967333">
        <w:rPr>
          <w:rFonts w:ascii="Arial" w:eastAsia="Calibri" w:hAnsi="Arial" w:cs="Arial"/>
          <w:szCs w:val="22"/>
        </w:rPr>
        <w:t xml:space="preserve">This research was conducted in </w:t>
      </w:r>
      <w:r w:rsidRPr="00967333">
        <w:rPr>
          <w:rFonts w:ascii="Arial" w:eastAsia="Calibri" w:hAnsi="Arial" w:cs="Arial"/>
          <w:szCs w:val="22"/>
        </w:rPr>
        <w:lastRenderedPageBreak/>
        <w:t>the Plant Pest and Disease Laboratory and the Microbiology Laboratory, Department of Agrotechnology, Faculty of Agriculture, Universitas Islam Riau, from January to April 2025</w:t>
      </w:r>
      <w:r>
        <w:rPr>
          <w:rFonts w:ascii="Arial" w:eastAsia="Calibri" w:hAnsi="Arial" w:cs="Arial"/>
          <w:szCs w:val="22"/>
        </w:rPr>
        <w:t>.</w:t>
      </w:r>
    </w:p>
    <w:p w14:paraId="1E28C938" w14:textId="77777777" w:rsidR="00737EFA" w:rsidRPr="00737EFA" w:rsidRDefault="00737EFA" w:rsidP="00737EFA">
      <w:pPr>
        <w:pStyle w:val="Body"/>
        <w:spacing w:after="0"/>
        <w:rPr>
          <w:rFonts w:ascii="Arial" w:eastAsia="Calibri" w:hAnsi="Arial" w:cs="Arial"/>
          <w:szCs w:val="22"/>
        </w:rPr>
      </w:pPr>
    </w:p>
    <w:p w14:paraId="1DBC2E21" w14:textId="77777777" w:rsidR="00260503" w:rsidRPr="00260503" w:rsidRDefault="00260503" w:rsidP="00260503">
      <w:pPr>
        <w:pStyle w:val="Body"/>
        <w:spacing w:after="0"/>
        <w:rPr>
          <w:rFonts w:ascii="Arial" w:hAnsi="Arial" w:cs="Arial"/>
        </w:rPr>
      </w:pPr>
      <w:r>
        <w:rPr>
          <w:rFonts w:ascii="Arial" w:hAnsi="Arial" w:cs="Arial"/>
          <w:b/>
          <w:bCs/>
        </w:rPr>
        <w:t xml:space="preserve">2.1 </w:t>
      </w:r>
      <w:r w:rsidRPr="00260503">
        <w:rPr>
          <w:rFonts w:ascii="Arial" w:hAnsi="Arial" w:cs="Arial"/>
          <w:b/>
          <w:bCs/>
        </w:rPr>
        <w:t xml:space="preserve">Preparation of </w:t>
      </w:r>
      <w:r w:rsidRPr="00260503">
        <w:rPr>
          <w:rFonts w:ascii="Arial" w:hAnsi="Arial" w:cs="Arial"/>
          <w:b/>
          <w:bCs/>
          <w:i/>
          <w:iCs/>
        </w:rPr>
        <w:t>Beauveria bassiana</w:t>
      </w:r>
      <w:r w:rsidRPr="00260503">
        <w:rPr>
          <w:rFonts w:ascii="Arial" w:hAnsi="Arial" w:cs="Arial"/>
          <w:b/>
          <w:bCs/>
        </w:rPr>
        <w:t xml:space="preserve"> Isolates</w:t>
      </w:r>
    </w:p>
    <w:p w14:paraId="57427816" w14:textId="77777777" w:rsidR="00260503" w:rsidRPr="00260503" w:rsidRDefault="00260503" w:rsidP="00260503">
      <w:pPr>
        <w:pStyle w:val="Body"/>
        <w:spacing w:after="0"/>
        <w:rPr>
          <w:rFonts w:ascii="Arial" w:hAnsi="Arial" w:cs="Arial"/>
        </w:rPr>
      </w:pPr>
      <w:r w:rsidRPr="00260503">
        <w:rPr>
          <w:rFonts w:ascii="Arial" w:hAnsi="Arial" w:cs="Arial"/>
        </w:rPr>
        <w:t xml:space="preserve">The </w:t>
      </w:r>
      <w:r w:rsidRPr="00260503">
        <w:rPr>
          <w:rFonts w:ascii="Arial" w:hAnsi="Arial" w:cs="Arial"/>
          <w:i/>
          <w:iCs/>
        </w:rPr>
        <w:t>B. bassiana</w:t>
      </w:r>
      <w:r w:rsidRPr="00260503">
        <w:rPr>
          <w:rFonts w:ascii="Arial" w:hAnsi="Arial" w:cs="Arial"/>
        </w:rPr>
        <w:t xml:space="preserve"> isolates used in this study were obtained from the Laboratory of Pests, Diseases, and Microbiology, Faculty of Agriculture, Universitas Islam Riau. The isolates were originally collected from the rhizosphere of pineapple plants in two major pineapple-producing regions in Riau Province: Siak and Kampar Regencies. Three isolates were used in this experiment, namely </w:t>
      </w:r>
      <w:proofErr w:type="spellStart"/>
      <w:r w:rsidRPr="00260503">
        <w:rPr>
          <w:rFonts w:ascii="Arial" w:hAnsi="Arial" w:cs="Arial"/>
        </w:rPr>
        <w:t>BbSP</w:t>
      </w:r>
      <w:proofErr w:type="spellEnd"/>
      <w:r w:rsidRPr="00260503">
        <w:rPr>
          <w:rFonts w:ascii="Arial" w:hAnsi="Arial" w:cs="Arial"/>
        </w:rPr>
        <w:t xml:space="preserve"> 217, </w:t>
      </w:r>
      <w:proofErr w:type="spellStart"/>
      <w:r w:rsidRPr="00260503">
        <w:rPr>
          <w:rFonts w:ascii="Arial" w:hAnsi="Arial" w:cs="Arial"/>
        </w:rPr>
        <w:t>BbSP</w:t>
      </w:r>
      <w:proofErr w:type="spellEnd"/>
      <w:r w:rsidRPr="00260503">
        <w:rPr>
          <w:rFonts w:ascii="Arial" w:hAnsi="Arial" w:cs="Arial"/>
        </w:rPr>
        <w:t xml:space="preserve"> 105, and </w:t>
      </w:r>
      <w:proofErr w:type="spellStart"/>
      <w:r w:rsidRPr="00260503">
        <w:rPr>
          <w:rFonts w:ascii="Arial" w:hAnsi="Arial" w:cs="Arial"/>
        </w:rPr>
        <w:t>BbKP</w:t>
      </w:r>
      <w:proofErr w:type="spellEnd"/>
      <w:r w:rsidRPr="00260503">
        <w:rPr>
          <w:rFonts w:ascii="Arial" w:hAnsi="Arial" w:cs="Arial"/>
        </w:rPr>
        <w:t xml:space="preserve"> 125. Details of the isolate codes, plant origin, and collection sites are presented in Table 1.</w:t>
      </w:r>
    </w:p>
    <w:p w14:paraId="2C05C480" w14:textId="77777777" w:rsidR="00260503" w:rsidRDefault="00260503" w:rsidP="00260503">
      <w:pPr>
        <w:pStyle w:val="Body"/>
        <w:spacing w:after="0"/>
        <w:rPr>
          <w:rFonts w:ascii="Arial" w:hAnsi="Arial" w:cs="Arial"/>
          <w:b/>
          <w:bCs/>
        </w:rPr>
      </w:pPr>
    </w:p>
    <w:p w14:paraId="74503A8A" w14:textId="77777777" w:rsidR="00260503" w:rsidRPr="00260503" w:rsidRDefault="00260503" w:rsidP="00260503">
      <w:pPr>
        <w:pStyle w:val="Body"/>
        <w:spacing w:after="0"/>
        <w:rPr>
          <w:rFonts w:ascii="Arial" w:hAnsi="Arial" w:cs="Arial"/>
        </w:rPr>
      </w:pPr>
      <w:r w:rsidRPr="00260503">
        <w:rPr>
          <w:rFonts w:ascii="Arial" w:hAnsi="Arial" w:cs="Arial"/>
          <w:b/>
          <w:bCs/>
        </w:rPr>
        <w:t xml:space="preserve">Table 1. Isolate code, plant origin, and geographical origin of </w:t>
      </w:r>
      <w:r w:rsidRPr="00260503">
        <w:rPr>
          <w:rFonts w:ascii="Arial" w:hAnsi="Arial" w:cs="Arial"/>
          <w:b/>
          <w:bCs/>
          <w:i/>
          <w:iCs/>
        </w:rPr>
        <w:t>B. bassiana</w:t>
      </w:r>
      <w:r w:rsidRPr="00260503">
        <w:rPr>
          <w:rFonts w:ascii="Arial" w:hAnsi="Arial" w:cs="Arial"/>
          <w:b/>
          <w:bCs/>
        </w:rPr>
        <w:t xml:space="preserve"> isolates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693"/>
        <w:gridCol w:w="3638"/>
      </w:tblGrid>
      <w:tr w:rsidR="00260503" w:rsidRPr="00260503" w14:paraId="79F535A6" w14:textId="77777777" w:rsidTr="00260503">
        <w:tc>
          <w:tcPr>
            <w:tcW w:w="2093" w:type="dxa"/>
            <w:tcBorders>
              <w:top w:val="single" w:sz="4" w:space="0" w:color="auto"/>
              <w:bottom w:val="single" w:sz="4" w:space="0" w:color="auto"/>
            </w:tcBorders>
          </w:tcPr>
          <w:p w14:paraId="44E2AA62" w14:textId="77777777" w:rsidR="00260503" w:rsidRPr="00260503" w:rsidRDefault="00260503" w:rsidP="00260503">
            <w:pPr>
              <w:pStyle w:val="Body"/>
              <w:spacing w:after="0"/>
              <w:rPr>
                <w:rFonts w:ascii="Arial" w:hAnsi="Arial" w:cs="Arial"/>
                <w:sz w:val="20"/>
                <w:szCs w:val="20"/>
              </w:rPr>
            </w:pPr>
            <w:r w:rsidRPr="00260503">
              <w:rPr>
                <w:rFonts w:ascii="Arial" w:hAnsi="Arial" w:cs="Arial"/>
                <w:sz w:val="20"/>
                <w:szCs w:val="20"/>
              </w:rPr>
              <w:t>Isolate Code</w:t>
            </w:r>
          </w:p>
        </w:tc>
        <w:tc>
          <w:tcPr>
            <w:tcW w:w="2693" w:type="dxa"/>
            <w:tcBorders>
              <w:top w:val="single" w:sz="4" w:space="0" w:color="auto"/>
              <w:bottom w:val="single" w:sz="4" w:space="0" w:color="auto"/>
            </w:tcBorders>
          </w:tcPr>
          <w:p w14:paraId="46AF3AF5" w14:textId="77777777" w:rsidR="00260503" w:rsidRPr="00260503" w:rsidRDefault="00260503" w:rsidP="00260503">
            <w:pPr>
              <w:pStyle w:val="Body"/>
              <w:spacing w:after="0"/>
              <w:rPr>
                <w:rFonts w:ascii="Arial" w:hAnsi="Arial" w:cs="Arial"/>
                <w:sz w:val="20"/>
                <w:szCs w:val="20"/>
              </w:rPr>
            </w:pPr>
            <w:r w:rsidRPr="00260503">
              <w:rPr>
                <w:rFonts w:ascii="Arial" w:hAnsi="Arial" w:cs="Arial"/>
                <w:sz w:val="20"/>
                <w:szCs w:val="20"/>
              </w:rPr>
              <w:t xml:space="preserve">Plant </w:t>
            </w:r>
            <w:proofErr w:type="spellStart"/>
            <w:r w:rsidRPr="00260503">
              <w:rPr>
                <w:rFonts w:ascii="Arial" w:hAnsi="Arial" w:cs="Arial"/>
                <w:sz w:val="20"/>
                <w:szCs w:val="20"/>
              </w:rPr>
              <w:t>Orgini</w:t>
            </w:r>
            <w:proofErr w:type="spellEnd"/>
            <w:r w:rsidRPr="00260503">
              <w:rPr>
                <w:rFonts w:ascii="Arial" w:hAnsi="Arial" w:cs="Arial"/>
                <w:sz w:val="20"/>
                <w:szCs w:val="20"/>
              </w:rPr>
              <w:t xml:space="preserve"> </w:t>
            </w:r>
            <w:proofErr w:type="spellStart"/>
            <w:r w:rsidRPr="00260503">
              <w:rPr>
                <w:rFonts w:ascii="Arial" w:hAnsi="Arial" w:cs="Arial"/>
                <w:sz w:val="20"/>
                <w:szCs w:val="20"/>
              </w:rPr>
              <w:t>Isolat</w:t>
            </w:r>
            <w:proofErr w:type="spellEnd"/>
          </w:p>
        </w:tc>
        <w:tc>
          <w:tcPr>
            <w:tcW w:w="3638" w:type="dxa"/>
            <w:tcBorders>
              <w:top w:val="single" w:sz="4" w:space="0" w:color="auto"/>
              <w:bottom w:val="single" w:sz="4" w:space="0" w:color="auto"/>
            </w:tcBorders>
          </w:tcPr>
          <w:p w14:paraId="4B759C2D" w14:textId="77777777" w:rsidR="00260503" w:rsidRPr="00260503" w:rsidRDefault="00260503" w:rsidP="00260503">
            <w:pPr>
              <w:pStyle w:val="Body"/>
              <w:spacing w:after="0"/>
              <w:rPr>
                <w:rFonts w:ascii="Arial" w:hAnsi="Arial" w:cs="Arial"/>
                <w:sz w:val="20"/>
                <w:szCs w:val="20"/>
              </w:rPr>
            </w:pPr>
            <w:r w:rsidRPr="00260503">
              <w:rPr>
                <w:rFonts w:ascii="Arial" w:hAnsi="Arial" w:cs="Arial"/>
                <w:sz w:val="20"/>
                <w:szCs w:val="20"/>
              </w:rPr>
              <w:t>Region of origin</w:t>
            </w:r>
          </w:p>
        </w:tc>
      </w:tr>
      <w:tr w:rsidR="00260503" w:rsidRPr="00260503" w14:paraId="781D144C" w14:textId="77777777" w:rsidTr="00260503">
        <w:tc>
          <w:tcPr>
            <w:tcW w:w="2093" w:type="dxa"/>
            <w:tcBorders>
              <w:top w:val="single" w:sz="4" w:space="0" w:color="auto"/>
            </w:tcBorders>
            <w:vAlign w:val="bottom"/>
          </w:tcPr>
          <w:p w14:paraId="4F181033" w14:textId="77777777" w:rsidR="00260503" w:rsidRPr="00260503" w:rsidRDefault="00260503" w:rsidP="00260503">
            <w:pPr>
              <w:pStyle w:val="Body"/>
              <w:spacing w:after="0"/>
              <w:rPr>
                <w:rFonts w:ascii="Arial" w:hAnsi="Arial" w:cs="Arial"/>
                <w:sz w:val="20"/>
                <w:szCs w:val="20"/>
              </w:rPr>
            </w:pPr>
            <w:proofErr w:type="spellStart"/>
            <w:r w:rsidRPr="00260503">
              <w:rPr>
                <w:rFonts w:ascii="Arial" w:hAnsi="Arial" w:cs="Arial"/>
                <w:sz w:val="20"/>
                <w:szCs w:val="20"/>
              </w:rPr>
              <w:t>BbSP</w:t>
            </w:r>
            <w:proofErr w:type="spellEnd"/>
            <w:r w:rsidRPr="00260503">
              <w:rPr>
                <w:rFonts w:ascii="Arial" w:hAnsi="Arial" w:cs="Arial"/>
                <w:sz w:val="20"/>
                <w:szCs w:val="20"/>
              </w:rPr>
              <w:t xml:space="preserve"> 217</w:t>
            </w:r>
          </w:p>
        </w:tc>
        <w:tc>
          <w:tcPr>
            <w:tcW w:w="2693" w:type="dxa"/>
            <w:tcBorders>
              <w:top w:val="single" w:sz="4" w:space="0" w:color="auto"/>
            </w:tcBorders>
          </w:tcPr>
          <w:p w14:paraId="693247C5" w14:textId="77777777" w:rsidR="00260503" w:rsidRPr="00260503" w:rsidRDefault="00260503" w:rsidP="00260503">
            <w:pPr>
              <w:pStyle w:val="Body"/>
              <w:spacing w:after="0"/>
              <w:rPr>
                <w:rFonts w:ascii="Arial" w:hAnsi="Arial" w:cs="Arial"/>
                <w:sz w:val="20"/>
                <w:szCs w:val="20"/>
              </w:rPr>
            </w:pPr>
            <w:r w:rsidRPr="00260503">
              <w:rPr>
                <w:rFonts w:ascii="Arial" w:hAnsi="Arial" w:cs="Arial"/>
                <w:sz w:val="20"/>
                <w:szCs w:val="20"/>
              </w:rPr>
              <w:t>Pineapple rhizosphere</w:t>
            </w:r>
          </w:p>
        </w:tc>
        <w:tc>
          <w:tcPr>
            <w:tcW w:w="3638" w:type="dxa"/>
            <w:tcBorders>
              <w:top w:val="single" w:sz="4" w:space="0" w:color="auto"/>
            </w:tcBorders>
          </w:tcPr>
          <w:p w14:paraId="48F84933" w14:textId="77777777" w:rsidR="00260503" w:rsidRPr="00260503" w:rsidRDefault="00260503" w:rsidP="00260503">
            <w:pPr>
              <w:pStyle w:val="Body"/>
              <w:spacing w:after="0"/>
              <w:rPr>
                <w:rFonts w:ascii="Arial" w:hAnsi="Arial" w:cs="Arial"/>
                <w:sz w:val="20"/>
                <w:szCs w:val="20"/>
              </w:rPr>
            </w:pPr>
            <w:r w:rsidRPr="00260503">
              <w:rPr>
                <w:rFonts w:ascii="Arial" w:hAnsi="Arial" w:cs="Arial"/>
                <w:sz w:val="20"/>
                <w:szCs w:val="20"/>
              </w:rPr>
              <w:t>Siak, Riau Province, Indonesia</w:t>
            </w:r>
          </w:p>
        </w:tc>
      </w:tr>
      <w:tr w:rsidR="00260503" w:rsidRPr="00260503" w14:paraId="211D01D6" w14:textId="77777777" w:rsidTr="00260503">
        <w:tc>
          <w:tcPr>
            <w:tcW w:w="2093" w:type="dxa"/>
            <w:vAlign w:val="bottom"/>
          </w:tcPr>
          <w:p w14:paraId="0EA0A199" w14:textId="77777777" w:rsidR="00260503" w:rsidRPr="00260503" w:rsidRDefault="00260503" w:rsidP="00260503">
            <w:pPr>
              <w:pStyle w:val="Body"/>
              <w:spacing w:after="0"/>
              <w:rPr>
                <w:rFonts w:ascii="Arial" w:hAnsi="Arial" w:cs="Arial"/>
                <w:sz w:val="20"/>
                <w:szCs w:val="20"/>
              </w:rPr>
            </w:pPr>
            <w:proofErr w:type="spellStart"/>
            <w:r w:rsidRPr="00260503">
              <w:rPr>
                <w:rFonts w:ascii="Arial" w:hAnsi="Arial" w:cs="Arial"/>
                <w:sz w:val="20"/>
                <w:szCs w:val="20"/>
              </w:rPr>
              <w:t>BbSP</w:t>
            </w:r>
            <w:proofErr w:type="spellEnd"/>
            <w:r w:rsidRPr="00260503">
              <w:rPr>
                <w:rFonts w:ascii="Arial" w:hAnsi="Arial" w:cs="Arial"/>
                <w:sz w:val="20"/>
                <w:szCs w:val="20"/>
              </w:rPr>
              <w:t xml:space="preserve"> 105</w:t>
            </w:r>
          </w:p>
        </w:tc>
        <w:tc>
          <w:tcPr>
            <w:tcW w:w="2693" w:type="dxa"/>
          </w:tcPr>
          <w:p w14:paraId="436412F8" w14:textId="77777777" w:rsidR="00260503" w:rsidRPr="00260503" w:rsidRDefault="00260503" w:rsidP="00260503">
            <w:pPr>
              <w:pStyle w:val="Body"/>
              <w:spacing w:after="0"/>
              <w:rPr>
                <w:rFonts w:ascii="Arial" w:hAnsi="Arial" w:cs="Arial"/>
                <w:sz w:val="20"/>
                <w:szCs w:val="20"/>
              </w:rPr>
            </w:pPr>
            <w:r w:rsidRPr="00260503">
              <w:rPr>
                <w:rFonts w:ascii="Arial" w:hAnsi="Arial" w:cs="Arial"/>
                <w:sz w:val="20"/>
                <w:szCs w:val="20"/>
              </w:rPr>
              <w:t>Pineapple rhizosphere</w:t>
            </w:r>
          </w:p>
        </w:tc>
        <w:tc>
          <w:tcPr>
            <w:tcW w:w="3638" w:type="dxa"/>
          </w:tcPr>
          <w:p w14:paraId="71388A42" w14:textId="77777777" w:rsidR="00260503" w:rsidRPr="00260503" w:rsidRDefault="00260503" w:rsidP="00260503">
            <w:pPr>
              <w:pStyle w:val="Body"/>
              <w:spacing w:after="0"/>
              <w:rPr>
                <w:rFonts w:ascii="Arial" w:hAnsi="Arial" w:cs="Arial"/>
                <w:sz w:val="20"/>
                <w:szCs w:val="20"/>
              </w:rPr>
            </w:pPr>
            <w:r w:rsidRPr="00260503">
              <w:rPr>
                <w:rFonts w:ascii="Arial" w:hAnsi="Arial" w:cs="Arial"/>
                <w:sz w:val="20"/>
                <w:szCs w:val="20"/>
              </w:rPr>
              <w:t>Siak, Riau Province, Indonesia</w:t>
            </w:r>
          </w:p>
        </w:tc>
      </w:tr>
      <w:tr w:rsidR="00260503" w:rsidRPr="00260503" w14:paraId="061E610F" w14:textId="77777777" w:rsidTr="00260503">
        <w:tc>
          <w:tcPr>
            <w:tcW w:w="2093" w:type="dxa"/>
            <w:vAlign w:val="bottom"/>
          </w:tcPr>
          <w:p w14:paraId="70DC2BF5" w14:textId="77777777" w:rsidR="00260503" w:rsidRPr="00260503" w:rsidRDefault="00260503" w:rsidP="00260503">
            <w:pPr>
              <w:pStyle w:val="Body"/>
              <w:spacing w:after="0"/>
              <w:rPr>
                <w:rFonts w:ascii="Arial" w:hAnsi="Arial" w:cs="Arial"/>
                <w:sz w:val="20"/>
                <w:szCs w:val="20"/>
              </w:rPr>
            </w:pPr>
            <w:proofErr w:type="spellStart"/>
            <w:r w:rsidRPr="00260503">
              <w:rPr>
                <w:rFonts w:ascii="Arial" w:hAnsi="Arial" w:cs="Arial"/>
                <w:sz w:val="20"/>
                <w:szCs w:val="20"/>
              </w:rPr>
              <w:t>BbKP</w:t>
            </w:r>
            <w:proofErr w:type="spellEnd"/>
            <w:r w:rsidRPr="00260503">
              <w:rPr>
                <w:rFonts w:ascii="Arial" w:hAnsi="Arial" w:cs="Arial"/>
                <w:sz w:val="20"/>
                <w:szCs w:val="20"/>
              </w:rPr>
              <w:t xml:space="preserve"> 125</w:t>
            </w:r>
          </w:p>
        </w:tc>
        <w:tc>
          <w:tcPr>
            <w:tcW w:w="2693" w:type="dxa"/>
          </w:tcPr>
          <w:p w14:paraId="498F3F34" w14:textId="77777777" w:rsidR="00260503" w:rsidRPr="00260503" w:rsidRDefault="00260503" w:rsidP="00260503">
            <w:pPr>
              <w:pStyle w:val="Body"/>
              <w:spacing w:after="0"/>
              <w:rPr>
                <w:rFonts w:ascii="Arial" w:hAnsi="Arial" w:cs="Arial"/>
                <w:sz w:val="20"/>
                <w:szCs w:val="20"/>
              </w:rPr>
            </w:pPr>
            <w:r w:rsidRPr="00260503">
              <w:rPr>
                <w:rFonts w:ascii="Arial" w:hAnsi="Arial" w:cs="Arial"/>
                <w:sz w:val="20"/>
                <w:szCs w:val="20"/>
              </w:rPr>
              <w:t>Pineapple rhizosphere</w:t>
            </w:r>
          </w:p>
        </w:tc>
        <w:tc>
          <w:tcPr>
            <w:tcW w:w="3638" w:type="dxa"/>
          </w:tcPr>
          <w:p w14:paraId="177888A2" w14:textId="77777777" w:rsidR="00260503" w:rsidRPr="00260503" w:rsidRDefault="00260503" w:rsidP="00260503">
            <w:pPr>
              <w:pStyle w:val="Body"/>
              <w:spacing w:after="0"/>
              <w:rPr>
                <w:rFonts w:ascii="Arial" w:hAnsi="Arial" w:cs="Arial"/>
                <w:sz w:val="20"/>
                <w:szCs w:val="20"/>
              </w:rPr>
            </w:pPr>
            <w:r w:rsidRPr="00260503">
              <w:rPr>
                <w:rFonts w:ascii="Arial" w:hAnsi="Arial" w:cs="Arial"/>
                <w:sz w:val="20"/>
                <w:szCs w:val="20"/>
              </w:rPr>
              <w:t>Kampar, Riau Province, Indonesia</w:t>
            </w:r>
          </w:p>
        </w:tc>
      </w:tr>
    </w:tbl>
    <w:p w14:paraId="567E2463" w14:textId="77777777" w:rsidR="00260503" w:rsidRPr="00260503" w:rsidRDefault="00260503" w:rsidP="00260503">
      <w:pPr>
        <w:pStyle w:val="Body"/>
        <w:spacing w:after="0"/>
        <w:rPr>
          <w:rFonts w:ascii="Arial" w:hAnsi="Arial" w:cs="Arial"/>
        </w:rPr>
      </w:pPr>
    </w:p>
    <w:p w14:paraId="4046BCB0" w14:textId="77777777" w:rsidR="00260503" w:rsidRPr="00260503" w:rsidRDefault="00260503" w:rsidP="00260503">
      <w:pPr>
        <w:pStyle w:val="Body"/>
        <w:spacing w:after="0"/>
        <w:rPr>
          <w:rFonts w:ascii="Arial" w:hAnsi="Arial" w:cs="Arial"/>
          <w:b/>
        </w:rPr>
      </w:pPr>
      <w:r>
        <w:rPr>
          <w:rFonts w:ascii="Arial" w:hAnsi="Arial" w:cs="Arial"/>
          <w:b/>
        </w:rPr>
        <w:t xml:space="preserve">2.2 </w:t>
      </w:r>
      <w:r w:rsidRPr="00260503">
        <w:rPr>
          <w:rFonts w:ascii="Arial" w:hAnsi="Arial" w:cs="Arial"/>
          <w:b/>
        </w:rPr>
        <w:t>Preparation of conidia suspension</w:t>
      </w:r>
    </w:p>
    <w:p w14:paraId="74C173CA" w14:textId="77777777" w:rsidR="00260503" w:rsidRPr="00260503" w:rsidRDefault="00260503" w:rsidP="00260503">
      <w:pPr>
        <w:pStyle w:val="Body"/>
        <w:spacing w:after="0"/>
        <w:rPr>
          <w:rFonts w:ascii="Arial" w:hAnsi="Arial" w:cs="Arial"/>
        </w:rPr>
      </w:pPr>
      <w:r w:rsidRPr="00260503">
        <w:rPr>
          <w:rFonts w:ascii="Arial" w:hAnsi="Arial" w:cs="Arial"/>
        </w:rPr>
        <w:t xml:space="preserve">The conidial suspension of </w:t>
      </w:r>
      <w:r w:rsidRPr="00260503">
        <w:rPr>
          <w:rFonts w:ascii="Arial" w:hAnsi="Arial" w:cs="Arial"/>
          <w:i/>
          <w:iCs/>
        </w:rPr>
        <w:t>B. bassiana</w:t>
      </w:r>
      <w:r w:rsidRPr="00260503">
        <w:rPr>
          <w:rFonts w:ascii="Arial" w:hAnsi="Arial" w:cs="Arial"/>
        </w:rPr>
        <w:t xml:space="preserve"> was prepared by adding 10 ml of sterile distilled water mixed with 0.05% Tween 80 (as a surfactant) to a petri dish containing fungal culture. The surface of the culture medium was gently scraped with a sterile fine brush to release the conidia. The resulting concentrated suspension was diluted, and conidial density was determined using a </w:t>
      </w:r>
      <w:proofErr w:type="spellStart"/>
      <w:r w:rsidRPr="00260503">
        <w:rPr>
          <w:rFonts w:ascii="Arial" w:hAnsi="Arial" w:cs="Arial"/>
        </w:rPr>
        <w:t>haemocytometer</w:t>
      </w:r>
      <w:proofErr w:type="spellEnd"/>
      <w:r w:rsidRPr="00260503">
        <w:rPr>
          <w:rFonts w:ascii="Arial" w:hAnsi="Arial" w:cs="Arial"/>
        </w:rPr>
        <w:t>. The suspension was then adjusted to a final concentration of 10⁸ conidia/ml to ensure uniformity across treatments.</w:t>
      </w:r>
    </w:p>
    <w:p w14:paraId="3C841401" w14:textId="77777777" w:rsidR="00260503" w:rsidRDefault="00260503" w:rsidP="00260503">
      <w:pPr>
        <w:pStyle w:val="Body"/>
        <w:spacing w:after="0"/>
        <w:rPr>
          <w:rFonts w:ascii="Arial" w:hAnsi="Arial" w:cs="Arial"/>
          <w:b/>
        </w:rPr>
      </w:pPr>
    </w:p>
    <w:p w14:paraId="32003B83" w14:textId="77777777" w:rsidR="00260503" w:rsidRPr="00260503" w:rsidRDefault="00260503" w:rsidP="00260503">
      <w:pPr>
        <w:pStyle w:val="Body"/>
        <w:spacing w:after="0"/>
        <w:rPr>
          <w:rFonts w:ascii="Arial" w:hAnsi="Arial" w:cs="Arial"/>
          <w:b/>
        </w:rPr>
      </w:pPr>
      <w:r>
        <w:rPr>
          <w:rFonts w:ascii="Arial" w:hAnsi="Arial" w:cs="Arial"/>
          <w:b/>
        </w:rPr>
        <w:t xml:space="preserve">2.3 </w:t>
      </w:r>
      <w:r w:rsidRPr="00260503">
        <w:rPr>
          <w:rFonts w:ascii="Arial" w:hAnsi="Arial" w:cs="Arial"/>
          <w:b/>
        </w:rPr>
        <w:t>Preparation of Test Insects</w:t>
      </w:r>
    </w:p>
    <w:p w14:paraId="4DF7DF90" w14:textId="77777777" w:rsidR="00260503" w:rsidRPr="00260503" w:rsidRDefault="00260503" w:rsidP="00260503">
      <w:pPr>
        <w:pStyle w:val="Body"/>
        <w:spacing w:after="0"/>
        <w:rPr>
          <w:rFonts w:ascii="Arial" w:hAnsi="Arial" w:cs="Arial"/>
        </w:rPr>
      </w:pPr>
      <w:r w:rsidRPr="00260503">
        <w:rPr>
          <w:rFonts w:ascii="Arial" w:hAnsi="Arial" w:cs="Arial"/>
        </w:rPr>
        <w:tab/>
        <w:t>Nymphs of the pineapple mealybug (</w:t>
      </w:r>
      <w:proofErr w:type="spellStart"/>
      <w:r w:rsidRPr="00260503">
        <w:rPr>
          <w:rFonts w:ascii="Arial" w:hAnsi="Arial" w:cs="Arial"/>
          <w:i/>
          <w:iCs/>
        </w:rPr>
        <w:t>Dysmicoccus</w:t>
      </w:r>
      <w:proofErr w:type="spellEnd"/>
      <w:r w:rsidRPr="00260503">
        <w:rPr>
          <w:rFonts w:ascii="Arial" w:hAnsi="Arial" w:cs="Arial"/>
          <w:i/>
          <w:iCs/>
        </w:rPr>
        <w:t xml:space="preserve"> </w:t>
      </w:r>
      <w:proofErr w:type="spellStart"/>
      <w:r w:rsidRPr="00260503">
        <w:rPr>
          <w:rFonts w:ascii="Arial" w:hAnsi="Arial" w:cs="Arial"/>
          <w:i/>
          <w:iCs/>
        </w:rPr>
        <w:t>brevipes</w:t>
      </w:r>
      <w:proofErr w:type="spellEnd"/>
      <w:r w:rsidRPr="00260503">
        <w:rPr>
          <w:rFonts w:ascii="Arial" w:hAnsi="Arial" w:cs="Arial"/>
        </w:rPr>
        <w:t xml:space="preserve">) were collected from a farmer’s pineapple plantation in Tambang Subdistrict, Kampar Regency, Riau Province. The insects were mass-reared under laboratory conditions until the third generation. Second-instar nymphs from the third generation were selected for bioassay because they are sufficiently active and highly susceptible to fungal infection. </w:t>
      </w:r>
    </w:p>
    <w:p w14:paraId="39488263" w14:textId="77777777" w:rsidR="00260503" w:rsidRDefault="00260503" w:rsidP="00260503">
      <w:pPr>
        <w:pStyle w:val="Body"/>
        <w:spacing w:after="0"/>
        <w:rPr>
          <w:rFonts w:ascii="Arial" w:hAnsi="Arial" w:cs="Arial"/>
          <w:b/>
        </w:rPr>
      </w:pPr>
    </w:p>
    <w:p w14:paraId="2DBED919" w14:textId="77777777" w:rsidR="00260503" w:rsidRPr="00260503" w:rsidRDefault="00260503" w:rsidP="00260503">
      <w:pPr>
        <w:pStyle w:val="Body"/>
        <w:spacing w:after="0"/>
        <w:rPr>
          <w:rFonts w:ascii="Arial" w:hAnsi="Arial" w:cs="Arial"/>
          <w:b/>
        </w:rPr>
      </w:pPr>
      <w:r>
        <w:rPr>
          <w:rFonts w:ascii="Arial" w:hAnsi="Arial" w:cs="Arial"/>
          <w:b/>
        </w:rPr>
        <w:t xml:space="preserve">2.4 </w:t>
      </w:r>
      <w:r w:rsidRPr="00260503">
        <w:rPr>
          <w:rFonts w:ascii="Arial" w:hAnsi="Arial" w:cs="Arial"/>
          <w:b/>
        </w:rPr>
        <w:t xml:space="preserve">Application of </w:t>
      </w:r>
      <w:r w:rsidRPr="00260503">
        <w:rPr>
          <w:rFonts w:ascii="Arial" w:hAnsi="Arial" w:cs="Arial"/>
          <w:b/>
          <w:i/>
          <w:iCs/>
        </w:rPr>
        <w:t>B. bassiana</w:t>
      </w:r>
      <w:r w:rsidRPr="00260503">
        <w:rPr>
          <w:rFonts w:ascii="Arial" w:hAnsi="Arial" w:cs="Arial"/>
          <w:b/>
        </w:rPr>
        <w:t xml:space="preserve"> to </w:t>
      </w:r>
      <w:r w:rsidRPr="00260503">
        <w:rPr>
          <w:rFonts w:ascii="Arial" w:hAnsi="Arial" w:cs="Arial"/>
          <w:b/>
          <w:i/>
          <w:iCs/>
        </w:rPr>
        <w:t>D. brevipes</w:t>
      </w:r>
      <w:r w:rsidRPr="00260503">
        <w:rPr>
          <w:rFonts w:ascii="Arial" w:hAnsi="Arial" w:cs="Arial"/>
          <w:b/>
        </w:rPr>
        <w:t xml:space="preserve"> Nymphs</w:t>
      </w:r>
    </w:p>
    <w:p w14:paraId="0D9B525A" w14:textId="77777777" w:rsidR="00260503" w:rsidRPr="00260503" w:rsidRDefault="00260503" w:rsidP="00260503">
      <w:pPr>
        <w:pStyle w:val="Body"/>
        <w:spacing w:after="0"/>
        <w:rPr>
          <w:rFonts w:ascii="Arial" w:hAnsi="Arial" w:cs="Arial"/>
        </w:rPr>
      </w:pPr>
      <w:r w:rsidRPr="00260503">
        <w:rPr>
          <w:rFonts w:ascii="Arial" w:hAnsi="Arial" w:cs="Arial"/>
        </w:rPr>
        <w:t xml:space="preserve">The fungal suspension (2 ml) was sprayed onto sterilized pineapple leaf discs measuring 4 × 4 cm. The treated leaf discs were then placed in test containers (petri dishes or sterile plastic containers). After drying, 25 second-instar </w:t>
      </w:r>
      <w:r w:rsidRPr="00260503">
        <w:rPr>
          <w:rFonts w:ascii="Arial" w:hAnsi="Arial" w:cs="Arial"/>
          <w:i/>
          <w:iCs/>
        </w:rPr>
        <w:t>D. brevipes</w:t>
      </w:r>
      <w:r w:rsidRPr="00260503">
        <w:rPr>
          <w:rFonts w:ascii="Arial" w:hAnsi="Arial" w:cs="Arial"/>
        </w:rPr>
        <w:t xml:space="preserve"> nymphs were introduced onto each treated leaf disc. Each treatment was replicated six times. The leaf discs were replaced on day 4 after application to maintain optimal food quality and prevent cross-</w:t>
      </w:r>
      <w:proofErr w:type="gramStart"/>
      <w:r w:rsidRPr="00260503">
        <w:rPr>
          <w:rFonts w:ascii="Arial" w:hAnsi="Arial" w:cs="Arial"/>
        </w:rPr>
        <w:t>contamination..</w:t>
      </w:r>
      <w:proofErr w:type="gramEnd"/>
    </w:p>
    <w:p w14:paraId="1AB2F800" w14:textId="77777777" w:rsidR="00260503" w:rsidRDefault="00260503" w:rsidP="00260503">
      <w:pPr>
        <w:pStyle w:val="Body"/>
        <w:spacing w:after="0"/>
        <w:rPr>
          <w:rFonts w:ascii="Arial" w:hAnsi="Arial" w:cs="Arial"/>
          <w:b/>
          <w:bCs/>
        </w:rPr>
      </w:pPr>
    </w:p>
    <w:p w14:paraId="5EE0DF68" w14:textId="77777777" w:rsidR="00260503" w:rsidRPr="00260503" w:rsidRDefault="00260503" w:rsidP="00260503">
      <w:pPr>
        <w:pStyle w:val="Body"/>
        <w:spacing w:after="0"/>
        <w:rPr>
          <w:rFonts w:ascii="Arial" w:hAnsi="Arial" w:cs="Arial"/>
        </w:rPr>
      </w:pPr>
      <w:r>
        <w:rPr>
          <w:rFonts w:ascii="Arial" w:hAnsi="Arial" w:cs="Arial"/>
          <w:b/>
          <w:bCs/>
        </w:rPr>
        <w:t xml:space="preserve">2.5 </w:t>
      </w:r>
      <w:r w:rsidRPr="00260503">
        <w:rPr>
          <w:rFonts w:ascii="Arial" w:hAnsi="Arial" w:cs="Arial"/>
          <w:b/>
          <w:bCs/>
        </w:rPr>
        <w:t>Observation Parameters</w:t>
      </w:r>
    </w:p>
    <w:p w14:paraId="73E77697" w14:textId="77777777" w:rsidR="00A03B96" w:rsidRDefault="00260503" w:rsidP="00260503">
      <w:pPr>
        <w:pStyle w:val="Body"/>
        <w:spacing w:after="0"/>
        <w:rPr>
          <w:rFonts w:ascii="Arial" w:hAnsi="Arial" w:cs="Arial"/>
        </w:rPr>
      </w:pPr>
      <w:r w:rsidRPr="00260503">
        <w:rPr>
          <w:rFonts w:ascii="Arial" w:hAnsi="Arial" w:cs="Arial"/>
        </w:rPr>
        <w:t>Three key parameters were observed in this study: total nymphal mortality, daily nymphal mortality, and the number of nymphs that successfully developed into adults (</w:t>
      </w:r>
      <w:proofErr w:type="spellStart"/>
      <w:r w:rsidRPr="00260503">
        <w:rPr>
          <w:rFonts w:ascii="Arial" w:hAnsi="Arial" w:cs="Arial"/>
        </w:rPr>
        <w:t>imagos</w:t>
      </w:r>
      <w:proofErr w:type="spellEnd"/>
      <w:r w:rsidRPr="00260503">
        <w:rPr>
          <w:rFonts w:ascii="Arial" w:hAnsi="Arial" w:cs="Arial"/>
        </w:rPr>
        <w:t xml:space="preserve">). Total nymphal mortality was calculated based on the number of dead individuals throughout the observation period and expressed as a percentage of the total number of nymphs tested per treatment. Daily mortality was recorded each day to monitor the progression of infection and to determine the onset of mortality caused by </w:t>
      </w:r>
      <w:r w:rsidRPr="00260503">
        <w:rPr>
          <w:rFonts w:ascii="Arial" w:hAnsi="Arial" w:cs="Arial"/>
          <w:i/>
          <w:iCs/>
        </w:rPr>
        <w:t>B. bassiana</w:t>
      </w:r>
      <w:r w:rsidRPr="00260503">
        <w:rPr>
          <w:rFonts w:ascii="Arial" w:hAnsi="Arial" w:cs="Arial"/>
        </w:rPr>
        <w:t xml:space="preserve">. In addition, the number of nymphs that survived and successfully molted into adults was recorded as an important indicator of the fungal isolates' effectiveness in suppressing </w:t>
      </w:r>
      <w:r w:rsidRPr="00260503">
        <w:rPr>
          <w:rFonts w:ascii="Arial" w:hAnsi="Arial" w:cs="Arial"/>
          <w:i/>
          <w:iCs/>
        </w:rPr>
        <w:t>D. brevipes</w:t>
      </w:r>
      <w:r w:rsidRPr="00260503">
        <w:rPr>
          <w:rFonts w:ascii="Arial" w:hAnsi="Arial" w:cs="Arial"/>
        </w:rPr>
        <w:t xml:space="preserve"> populations.</w:t>
      </w:r>
    </w:p>
    <w:p w14:paraId="11BD6895" w14:textId="77777777" w:rsidR="00A03B96" w:rsidRDefault="00A03B96" w:rsidP="00441B6F">
      <w:pPr>
        <w:pStyle w:val="Body"/>
        <w:spacing w:after="0"/>
        <w:rPr>
          <w:rFonts w:ascii="Arial" w:hAnsi="Arial" w:cs="Arial"/>
        </w:rPr>
      </w:pPr>
    </w:p>
    <w:p w14:paraId="2A61DAFF" w14:textId="77777777" w:rsidR="00A03B96" w:rsidRDefault="00A03B96" w:rsidP="00441B6F">
      <w:pPr>
        <w:pStyle w:val="Body"/>
        <w:spacing w:after="0"/>
        <w:rPr>
          <w:rFonts w:ascii="Arial" w:hAnsi="Arial" w:cs="Arial"/>
        </w:rPr>
      </w:pPr>
    </w:p>
    <w:p w14:paraId="071B2B54"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859DBF4" w14:textId="77777777" w:rsidR="00790ADA" w:rsidRPr="00FB3A86" w:rsidRDefault="00790ADA" w:rsidP="00441B6F">
      <w:pPr>
        <w:pStyle w:val="Head1"/>
        <w:spacing w:after="0"/>
        <w:jc w:val="both"/>
        <w:rPr>
          <w:rFonts w:ascii="Arial" w:hAnsi="Arial" w:cs="Arial"/>
        </w:rPr>
      </w:pPr>
    </w:p>
    <w:p w14:paraId="6A580072" w14:textId="77777777" w:rsidR="00260503" w:rsidRPr="00260503" w:rsidRDefault="00260503" w:rsidP="00260503">
      <w:pPr>
        <w:pStyle w:val="Body"/>
        <w:spacing w:after="0"/>
        <w:rPr>
          <w:rFonts w:ascii="Arial" w:hAnsi="Arial" w:cs="Arial"/>
          <w:b/>
        </w:rPr>
      </w:pPr>
      <w:r>
        <w:rPr>
          <w:rFonts w:ascii="Arial" w:hAnsi="Arial" w:cs="Arial"/>
          <w:b/>
        </w:rPr>
        <w:t xml:space="preserve">3.1 </w:t>
      </w:r>
      <w:proofErr w:type="spellStart"/>
      <w:r w:rsidRPr="00260503">
        <w:rPr>
          <w:rFonts w:ascii="Arial" w:hAnsi="Arial" w:cs="Arial"/>
          <w:b/>
        </w:rPr>
        <w:t>Nymphal</w:t>
      </w:r>
      <w:proofErr w:type="spellEnd"/>
      <w:r w:rsidRPr="00260503">
        <w:rPr>
          <w:rFonts w:ascii="Arial" w:hAnsi="Arial" w:cs="Arial"/>
          <w:b/>
        </w:rPr>
        <w:t xml:space="preserve"> Mortality of </w:t>
      </w:r>
      <w:proofErr w:type="spellStart"/>
      <w:r w:rsidRPr="00260503">
        <w:rPr>
          <w:rFonts w:ascii="Arial" w:hAnsi="Arial" w:cs="Arial"/>
          <w:b/>
          <w:i/>
          <w:iCs/>
        </w:rPr>
        <w:t>Dysmicoccus</w:t>
      </w:r>
      <w:proofErr w:type="spellEnd"/>
      <w:r w:rsidRPr="00260503">
        <w:rPr>
          <w:rFonts w:ascii="Arial" w:hAnsi="Arial" w:cs="Arial"/>
          <w:b/>
          <w:i/>
          <w:iCs/>
        </w:rPr>
        <w:t xml:space="preserve"> </w:t>
      </w:r>
      <w:proofErr w:type="spellStart"/>
      <w:r w:rsidRPr="00260503">
        <w:rPr>
          <w:rFonts w:ascii="Arial" w:hAnsi="Arial" w:cs="Arial"/>
          <w:b/>
          <w:i/>
          <w:iCs/>
        </w:rPr>
        <w:t>brevipes</w:t>
      </w:r>
      <w:proofErr w:type="spellEnd"/>
    </w:p>
    <w:p w14:paraId="4D160954" w14:textId="77777777" w:rsidR="00260503" w:rsidRDefault="00260503" w:rsidP="00260503">
      <w:pPr>
        <w:pStyle w:val="Body"/>
        <w:spacing w:after="0"/>
        <w:rPr>
          <w:rFonts w:ascii="Arial" w:hAnsi="Arial" w:cs="Arial"/>
        </w:rPr>
      </w:pPr>
      <w:r w:rsidRPr="00260503">
        <w:rPr>
          <w:rFonts w:ascii="Arial" w:hAnsi="Arial" w:cs="Arial"/>
        </w:rPr>
        <w:lastRenderedPageBreak/>
        <w:t xml:space="preserve">The results of this study indicate that the application of different </w:t>
      </w:r>
      <w:r w:rsidRPr="00260503">
        <w:rPr>
          <w:rFonts w:ascii="Arial" w:hAnsi="Arial" w:cs="Arial"/>
          <w:i/>
          <w:iCs/>
        </w:rPr>
        <w:t>B. bassiana</w:t>
      </w:r>
      <w:r w:rsidRPr="00260503">
        <w:rPr>
          <w:rFonts w:ascii="Arial" w:hAnsi="Arial" w:cs="Arial"/>
        </w:rPr>
        <w:t xml:space="preserve"> isolates had a significant effect on the mortality rate of </w:t>
      </w:r>
      <w:proofErr w:type="spellStart"/>
      <w:r w:rsidRPr="00260503">
        <w:rPr>
          <w:rFonts w:ascii="Arial" w:hAnsi="Arial" w:cs="Arial"/>
          <w:i/>
          <w:iCs/>
        </w:rPr>
        <w:t>Dysmicoccus</w:t>
      </w:r>
      <w:proofErr w:type="spellEnd"/>
      <w:r w:rsidRPr="00260503">
        <w:rPr>
          <w:rFonts w:ascii="Arial" w:hAnsi="Arial" w:cs="Arial"/>
          <w:i/>
          <w:iCs/>
        </w:rPr>
        <w:t xml:space="preserve"> </w:t>
      </w:r>
      <w:proofErr w:type="spellStart"/>
      <w:r w:rsidRPr="00260503">
        <w:rPr>
          <w:rFonts w:ascii="Arial" w:hAnsi="Arial" w:cs="Arial"/>
          <w:i/>
          <w:iCs/>
        </w:rPr>
        <w:t>brevipes</w:t>
      </w:r>
      <w:proofErr w:type="spellEnd"/>
      <w:r w:rsidRPr="00260503">
        <w:rPr>
          <w:rFonts w:ascii="Arial" w:hAnsi="Arial" w:cs="Arial"/>
        </w:rPr>
        <w:t xml:space="preserve"> nymphs on pineapple plants. The average percentage of nymphal mortality caused by each treatment is presented in Table 2. Analysis of variance (ANOVA) revealed significant differences among treatments, which were further analyzed using the LSD test at the 5% significance level.</w:t>
      </w:r>
    </w:p>
    <w:p w14:paraId="6170B547" w14:textId="77777777" w:rsidR="00260503" w:rsidRPr="00260503" w:rsidRDefault="00260503" w:rsidP="00260503">
      <w:pPr>
        <w:pStyle w:val="Body"/>
        <w:spacing w:after="0"/>
        <w:rPr>
          <w:rFonts w:ascii="Arial" w:hAnsi="Arial" w:cs="Arial"/>
        </w:rPr>
      </w:pPr>
    </w:p>
    <w:p w14:paraId="3BE755DC" w14:textId="77777777" w:rsidR="00260503" w:rsidRPr="00260503" w:rsidRDefault="00260503" w:rsidP="00260503">
      <w:pPr>
        <w:pStyle w:val="Body"/>
        <w:spacing w:after="0"/>
        <w:rPr>
          <w:rFonts w:ascii="Arial" w:hAnsi="Arial" w:cs="Arial"/>
          <w:b/>
        </w:rPr>
      </w:pPr>
      <w:r w:rsidRPr="00260503">
        <w:rPr>
          <w:rFonts w:ascii="Arial" w:hAnsi="Arial" w:cs="Arial"/>
          <w:b/>
        </w:rPr>
        <w:t xml:space="preserve">Table 2. </w:t>
      </w:r>
      <w:proofErr w:type="spellStart"/>
      <w:r w:rsidRPr="00260503">
        <w:rPr>
          <w:rFonts w:ascii="Arial" w:hAnsi="Arial" w:cs="Arial"/>
          <w:b/>
        </w:rPr>
        <w:t>Nymphal</w:t>
      </w:r>
      <w:proofErr w:type="spellEnd"/>
      <w:r w:rsidRPr="00260503">
        <w:rPr>
          <w:rFonts w:ascii="Arial" w:hAnsi="Arial" w:cs="Arial"/>
          <w:b/>
        </w:rPr>
        <w:t xml:space="preserve"> Mortality of </w:t>
      </w:r>
      <w:proofErr w:type="spellStart"/>
      <w:r w:rsidRPr="00260503">
        <w:rPr>
          <w:rFonts w:ascii="Arial" w:hAnsi="Arial" w:cs="Arial"/>
          <w:b/>
          <w:i/>
          <w:iCs/>
        </w:rPr>
        <w:t>Dysmicoccus</w:t>
      </w:r>
      <w:proofErr w:type="spellEnd"/>
      <w:r w:rsidRPr="00260503">
        <w:rPr>
          <w:rFonts w:ascii="Arial" w:hAnsi="Arial" w:cs="Arial"/>
          <w:b/>
          <w:i/>
          <w:iCs/>
        </w:rPr>
        <w:t xml:space="preserve"> </w:t>
      </w:r>
      <w:proofErr w:type="spellStart"/>
      <w:r w:rsidRPr="00260503">
        <w:rPr>
          <w:rFonts w:ascii="Arial" w:hAnsi="Arial" w:cs="Arial"/>
          <w:b/>
          <w:i/>
          <w:iCs/>
        </w:rPr>
        <w:t>brevipes</w:t>
      </w:r>
      <w:proofErr w:type="spellEnd"/>
    </w:p>
    <w:tbl>
      <w:tblPr>
        <w:tblW w:w="4771" w:type="pct"/>
        <w:tblBorders>
          <w:top w:val="single" w:sz="4" w:space="0" w:color="auto"/>
          <w:bottom w:val="single" w:sz="4" w:space="0" w:color="auto"/>
        </w:tblBorders>
        <w:tblLayout w:type="fixed"/>
        <w:tblLook w:val="04A0" w:firstRow="1" w:lastRow="0" w:firstColumn="1" w:lastColumn="0" w:noHBand="0" w:noVBand="1"/>
      </w:tblPr>
      <w:tblGrid>
        <w:gridCol w:w="2615"/>
        <w:gridCol w:w="2487"/>
        <w:gridCol w:w="256"/>
        <w:gridCol w:w="638"/>
        <w:gridCol w:w="2042"/>
      </w:tblGrid>
      <w:tr w:rsidR="00260503" w:rsidRPr="00260503" w14:paraId="608F239F" w14:textId="77777777" w:rsidTr="00DC4A03">
        <w:trPr>
          <w:trHeight w:val="290"/>
        </w:trPr>
        <w:tc>
          <w:tcPr>
            <w:tcW w:w="1627" w:type="pct"/>
            <w:tcBorders>
              <w:top w:val="single" w:sz="4" w:space="0" w:color="auto"/>
              <w:bottom w:val="single" w:sz="4" w:space="0" w:color="auto"/>
            </w:tcBorders>
            <w:shd w:val="clear" w:color="auto" w:fill="auto"/>
            <w:noWrap/>
            <w:vAlign w:val="bottom"/>
            <w:hideMark/>
          </w:tcPr>
          <w:p w14:paraId="34D5B66F" w14:textId="77777777" w:rsidR="00260503" w:rsidRPr="00260503" w:rsidRDefault="00260503" w:rsidP="00260503">
            <w:pPr>
              <w:pStyle w:val="Body"/>
              <w:spacing w:after="0"/>
              <w:rPr>
                <w:rFonts w:ascii="Arial" w:hAnsi="Arial" w:cs="Arial"/>
              </w:rPr>
            </w:pPr>
            <w:r w:rsidRPr="00260503">
              <w:rPr>
                <w:rFonts w:ascii="Arial" w:hAnsi="Arial" w:cs="Arial"/>
              </w:rPr>
              <w:t>Treatments</w:t>
            </w:r>
          </w:p>
        </w:tc>
        <w:tc>
          <w:tcPr>
            <w:tcW w:w="3373" w:type="pct"/>
            <w:gridSpan w:val="4"/>
            <w:tcBorders>
              <w:top w:val="single" w:sz="4" w:space="0" w:color="auto"/>
              <w:bottom w:val="single" w:sz="4" w:space="0" w:color="auto"/>
            </w:tcBorders>
            <w:shd w:val="clear" w:color="auto" w:fill="auto"/>
            <w:noWrap/>
            <w:vAlign w:val="bottom"/>
            <w:hideMark/>
          </w:tcPr>
          <w:p w14:paraId="05C48E2E" w14:textId="77777777" w:rsidR="00260503" w:rsidRPr="00260503" w:rsidRDefault="00260503" w:rsidP="00260503">
            <w:pPr>
              <w:pStyle w:val="Body"/>
              <w:spacing w:after="0"/>
              <w:jc w:val="center"/>
              <w:rPr>
                <w:rFonts w:ascii="Arial" w:hAnsi="Arial" w:cs="Arial"/>
              </w:rPr>
            </w:pPr>
            <w:r w:rsidRPr="00260503">
              <w:rPr>
                <w:rFonts w:ascii="Arial" w:hAnsi="Arial" w:cs="Arial"/>
              </w:rPr>
              <w:t>Nymph Mortality (%) ± Sd</w:t>
            </w:r>
          </w:p>
        </w:tc>
      </w:tr>
      <w:tr w:rsidR="00260503" w:rsidRPr="00260503" w14:paraId="63D7B527" w14:textId="77777777" w:rsidTr="00DC4A03">
        <w:trPr>
          <w:trHeight w:val="290"/>
        </w:trPr>
        <w:tc>
          <w:tcPr>
            <w:tcW w:w="1627" w:type="pct"/>
            <w:tcBorders>
              <w:top w:val="single" w:sz="4" w:space="0" w:color="auto"/>
            </w:tcBorders>
            <w:shd w:val="clear" w:color="auto" w:fill="auto"/>
            <w:noWrap/>
            <w:vAlign w:val="bottom"/>
            <w:hideMark/>
          </w:tcPr>
          <w:p w14:paraId="6E566B57" w14:textId="77777777" w:rsidR="00260503" w:rsidRPr="00260503" w:rsidRDefault="00260503" w:rsidP="00260503">
            <w:pPr>
              <w:pStyle w:val="Body"/>
              <w:spacing w:after="0"/>
              <w:rPr>
                <w:rFonts w:ascii="Arial" w:hAnsi="Arial" w:cs="Arial"/>
              </w:rPr>
            </w:pPr>
            <w:proofErr w:type="spellStart"/>
            <w:r w:rsidRPr="00260503">
              <w:rPr>
                <w:rFonts w:ascii="Arial" w:hAnsi="Arial" w:cs="Arial"/>
              </w:rPr>
              <w:t>BbSP</w:t>
            </w:r>
            <w:proofErr w:type="spellEnd"/>
            <w:r w:rsidRPr="00260503">
              <w:rPr>
                <w:rFonts w:ascii="Arial" w:hAnsi="Arial" w:cs="Arial"/>
              </w:rPr>
              <w:t xml:space="preserve"> 217</w:t>
            </w:r>
          </w:p>
        </w:tc>
        <w:tc>
          <w:tcPr>
            <w:tcW w:w="1547" w:type="pct"/>
            <w:tcBorders>
              <w:top w:val="single" w:sz="4" w:space="0" w:color="auto"/>
            </w:tcBorders>
            <w:shd w:val="clear" w:color="auto" w:fill="auto"/>
            <w:noWrap/>
            <w:vAlign w:val="bottom"/>
            <w:hideMark/>
          </w:tcPr>
          <w:p w14:paraId="0460EDFB" w14:textId="77777777" w:rsidR="00260503" w:rsidRPr="00260503" w:rsidRDefault="00260503" w:rsidP="00260503">
            <w:pPr>
              <w:pStyle w:val="Body"/>
              <w:spacing w:after="0"/>
              <w:jc w:val="right"/>
              <w:rPr>
                <w:rFonts w:ascii="Arial" w:hAnsi="Arial" w:cs="Arial"/>
              </w:rPr>
            </w:pPr>
            <w:r w:rsidRPr="00260503">
              <w:rPr>
                <w:rFonts w:ascii="Arial" w:hAnsi="Arial" w:cs="Arial"/>
              </w:rPr>
              <w:t>62</w:t>
            </w:r>
          </w:p>
        </w:tc>
        <w:tc>
          <w:tcPr>
            <w:tcW w:w="159" w:type="pct"/>
            <w:tcBorders>
              <w:top w:val="single" w:sz="4" w:space="0" w:color="auto"/>
            </w:tcBorders>
            <w:shd w:val="clear" w:color="auto" w:fill="auto"/>
            <w:noWrap/>
            <w:vAlign w:val="bottom"/>
            <w:hideMark/>
          </w:tcPr>
          <w:p w14:paraId="159675F3" w14:textId="77777777" w:rsidR="00260503" w:rsidRPr="00260503" w:rsidRDefault="00260503" w:rsidP="00260503">
            <w:pPr>
              <w:pStyle w:val="Body"/>
              <w:spacing w:after="0"/>
              <w:rPr>
                <w:rFonts w:ascii="Arial" w:hAnsi="Arial" w:cs="Arial"/>
              </w:rPr>
            </w:pPr>
            <w:r w:rsidRPr="00260503">
              <w:rPr>
                <w:rFonts w:ascii="Arial" w:hAnsi="Arial" w:cs="Arial"/>
              </w:rPr>
              <w:t>±</w:t>
            </w:r>
          </w:p>
        </w:tc>
        <w:tc>
          <w:tcPr>
            <w:tcW w:w="397" w:type="pct"/>
            <w:tcBorders>
              <w:top w:val="single" w:sz="4" w:space="0" w:color="auto"/>
            </w:tcBorders>
            <w:shd w:val="clear" w:color="auto" w:fill="auto"/>
            <w:noWrap/>
            <w:vAlign w:val="bottom"/>
            <w:hideMark/>
          </w:tcPr>
          <w:p w14:paraId="4837B4DB" w14:textId="77777777" w:rsidR="00260503" w:rsidRPr="00260503" w:rsidRDefault="00260503" w:rsidP="00260503">
            <w:pPr>
              <w:pStyle w:val="Body"/>
              <w:spacing w:after="0"/>
              <w:rPr>
                <w:rFonts w:ascii="Arial" w:hAnsi="Arial" w:cs="Arial"/>
              </w:rPr>
            </w:pPr>
            <w:r w:rsidRPr="00260503">
              <w:rPr>
                <w:rFonts w:ascii="Arial" w:hAnsi="Arial" w:cs="Arial"/>
              </w:rPr>
              <w:t>2.19</w:t>
            </w:r>
          </w:p>
        </w:tc>
        <w:tc>
          <w:tcPr>
            <w:tcW w:w="1270" w:type="pct"/>
            <w:tcBorders>
              <w:top w:val="single" w:sz="4" w:space="0" w:color="auto"/>
            </w:tcBorders>
            <w:shd w:val="clear" w:color="auto" w:fill="auto"/>
            <w:noWrap/>
            <w:vAlign w:val="bottom"/>
            <w:hideMark/>
          </w:tcPr>
          <w:p w14:paraId="1C221DA3" w14:textId="77777777" w:rsidR="00260503" w:rsidRPr="00260503" w:rsidRDefault="00260503" w:rsidP="00260503">
            <w:pPr>
              <w:pStyle w:val="Body"/>
              <w:spacing w:after="0"/>
              <w:rPr>
                <w:rFonts w:ascii="Arial" w:hAnsi="Arial" w:cs="Arial"/>
              </w:rPr>
            </w:pPr>
            <w:r w:rsidRPr="00260503">
              <w:rPr>
                <w:rFonts w:ascii="Arial" w:hAnsi="Arial" w:cs="Arial"/>
              </w:rPr>
              <w:t>a</w:t>
            </w:r>
          </w:p>
        </w:tc>
      </w:tr>
      <w:tr w:rsidR="00260503" w:rsidRPr="00260503" w14:paraId="6A1E4229" w14:textId="77777777" w:rsidTr="00DC4A03">
        <w:trPr>
          <w:trHeight w:val="290"/>
        </w:trPr>
        <w:tc>
          <w:tcPr>
            <w:tcW w:w="1627" w:type="pct"/>
            <w:shd w:val="clear" w:color="auto" w:fill="auto"/>
            <w:noWrap/>
            <w:vAlign w:val="bottom"/>
            <w:hideMark/>
          </w:tcPr>
          <w:p w14:paraId="654D892F" w14:textId="77777777" w:rsidR="00260503" w:rsidRPr="00260503" w:rsidRDefault="00260503" w:rsidP="00260503">
            <w:pPr>
              <w:pStyle w:val="Body"/>
              <w:spacing w:after="0"/>
              <w:rPr>
                <w:rFonts w:ascii="Arial" w:hAnsi="Arial" w:cs="Arial"/>
              </w:rPr>
            </w:pPr>
            <w:proofErr w:type="spellStart"/>
            <w:r w:rsidRPr="00260503">
              <w:rPr>
                <w:rFonts w:ascii="Arial" w:hAnsi="Arial" w:cs="Arial"/>
              </w:rPr>
              <w:t>BbSP</w:t>
            </w:r>
            <w:proofErr w:type="spellEnd"/>
            <w:r w:rsidRPr="00260503">
              <w:rPr>
                <w:rFonts w:ascii="Arial" w:hAnsi="Arial" w:cs="Arial"/>
              </w:rPr>
              <w:t xml:space="preserve"> 105</w:t>
            </w:r>
          </w:p>
        </w:tc>
        <w:tc>
          <w:tcPr>
            <w:tcW w:w="1547" w:type="pct"/>
            <w:shd w:val="clear" w:color="auto" w:fill="auto"/>
            <w:noWrap/>
            <w:vAlign w:val="bottom"/>
            <w:hideMark/>
          </w:tcPr>
          <w:p w14:paraId="6A94BF1E" w14:textId="77777777" w:rsidR="00260503" w:rsidRPr="00260503" w:rsidRDefault="00260503" w:rsidP="00260503">
            <w:pPr>
              <w:pStyle w:val="Body"/>
              <w:spacing w:after="0"/>
              <w:jc w:val="right"/>
              <w:rPr>
                <w:rFonts w:ascii="Arial" w:hAnsi="Arial" w:cs="Arial"/>
              </w:rPr>
            </w:pPr>
            <w:r w:rsidRPr="00260503">
              <w:rPr>
                <w:rFonts w:ascii="Arial" w:hAnsi="Arial" w:cs="Arial"/>
              </w:rPr>
              <w:t>54</w:t>
            </w:r>
          </w:p>
        </w:tc>
        <w:tc>
          <w:tcPr>
            <w:tcW w:w="159" w:type="pct"/>
            <w:shd w:val="clear" w:color="auto" w:fill="auto"/>
            <w:noWrap/>
            <w:vAlign w:val="bottom"/>
            <w:hideMark/>
          </w:tcPr>
          <w:p w14:paraId="6774C314" w14:textId="77777777" w:rsidR="00260503" w:rsidRPr="00260503" w:rsidRDefault="00260503" w:rsidP="00260503">
            <w:pPr>
              <w:pStyle w:val="Body"/>
              <w:spacing w:after="0"/>
              <w:rPr>
                <w:rFonts w:ascii="Arial" w:hAnsi="Arial" w:cs="Arial"/>
              </w:rPr>
            </w:pPr>
            <w:r w:rsidRPr="00260503">
              <w:rPr>
                <w:rFonts w:ascii="Arial" w:hAnsi="Arial" w:cs="Arial"/>
              </w:rPr>
              <w:t>±</w:t>
            </w:r>
          </w:p>
        </w:tc>
        <w:tc>
          <w:tcPr>
            <w:tcW w:w="397" w:type="pct"/>
            <w:shd w:val="clear" w:color="auto" w:fill="auto"/>
            <w:noWrap/>
            <w:vAlign w:val="bottom"/>
            <w:hideMark/>
          </w:tcPr>
          <w:p w14:paraId="056CC6A9" w14:textId="77777777" w:rsidR="00260503" w:rsidRPr="00260503" w:rsidRDefault="00260503" w:rsidP="00260503">
            <w:pPr>
              <w:pStyle w:val="Body"/>
              <w:spacing w:after="0"/>
              <w:rPr>
                <w:rFonts w:ascii="Arial" w:hAnsi="Arial" w:cs="Arial"/>
              </w:rPr>
            </w:pPr>
            <w:r w:rsidRPr="00260503">
              <w:rPr>
                <w:rFonts w:ascii="Arial" w:hAnsi="Arial" w:cs="Arial"/>
              </w:rPr>
              <w:t>3.34</w:t>
            </w:r>
          </w:p>
        </w:tc>
        <w:tc>
          <w:tcPr>
            <w:tcW w:w="1270" w:type="pct"/>
            <w:shd w:val="clear" w:color="auto" w:fill="auto"/>
            <w:noWrap/>
            <w:vAlign w:val="bottom"/>
            <w:hideMark/>
          </w:tcPr>
          <w:p w14:paraId="390E068E" w14:textId="77777777" w:rsidR="00260503" w:rsidRPr="00260503" w:rsidRDefault="00260503" w:rsidP="00260503">
            <w:pPr>
              <w:pStyle w:val="Body"/>
              <w:spacing w:after="0"/>
              <w:rPr>
                <w:rFonts w:ascii="Arial" w:hAnsi="Arial" w:cs="Arial"/>
              </w:rPr>
            </w:pPr>
            <w:r w:rsidRPr="00260503">
              <w:rPr>
                <w:rFonts w:ascii="Arial" w:hAnsi="Arial" w:cs="Arial"/>
              </w:rPr>
              <w:t>b</w:t>
            </w:r>
          </w:p>
        </w:tc>
      </w:tr>
      <w:tr w:rsidR="00260503" w:rsidRPr="00260503" w14:paraId="2F997E8D" w14:textId="77777777" w:rsidTr="00DC4A03">
        <w:trPr>
          <w:trHeight w:val="290"/>
        </w:trPr>
        <w:tc>
          <w:tcPr>
            <w:tcW w:w="1627" w:type="pct"/>
            <w:shd w:val="clear" w:color="auto" w:fill="auto"/>
            <w:noWrap/>
            <w:vAlign w:val="bottom"/>
            <w:hideMark/>
          </w:tcPr>
          <w:p w14:paraId="25DD1129" w14:textId="77777777" w:rsidR="00260503" w:rsidRPr="00260503" w:rsidRDefault="00260503" w:rsidP="00260503">
            <w:pPr>
              <w:pStyle w:val="Body"/>
              <w:spacing w:after="0"/>
              <w:rPr>
                <w:rFonts w:ascii="Arial" w:hAnsi="Arial" w:cs="Arial"/>
              </w:rPr>
            </w:pPr>
            <w:proofErr w:type="spellStart"/>
            <w:r w:rsidRPr="00260503">
              <w:rPr>
                <w:rFonts w:ascii="Arial" w:hAnsi="Arial" w:cs="Arial"/>
              </w:rPr>
              <w:t>BbKP</w:t>
            </w:r>
            <w:proofErr w:type="spellEnd"/>
            <w:r w:rsidRPr="00260503">
              <w:rPr>
                <w:rFonts w:ascii="Arial" w:hAnsi="Arial" w:cs="Arial"/>
              </w:rPr>
              <w:t xml:space="preserve"> 125</w:t>
            </w:r>
          </w:p>
        </w:tc>
        <w:tc>
          <w:tcPr>
            <w:tcW w:w="1547" w:type="pct"/>
            <w:shd w:val="clear" w:color="auto" w:fill="auto"/>
            <w:noWrap/>
            <w:vAlign w:val="bottom"/>
            <w:hideMark/>
          </w:tcPr>
          <w:p w14:paraId="2CE82BCF" w14:textId="77777777" w:rsidR="00260503" w:rsidRPr="00260503" w:rsidRDefault="00260503" w:rsidP="00260503">
            <w:pPr>
              <w:pStyle w:val="Body"/>
              <w:spacing w:after="0"/>
              <w:jc w:val="right"/>
              <w:rPr>
                <w:rFonts w:ascii="Arial" w:hAnsi="Arial" w:cs="Arial"/>
              </w:rPr>
            </w:pPr>
            <w:r w:rsidRPr="00260503">
              <w:rPr>
                <w:rFonts w:ascii="Arial" w:hAnsi="Arial" w:cs="Arial"/>
              </w:rPr>
              <w:t>40</w:t>
            </w:r>
          </w:p>
        </w:tc>
        <w:tc>
          <w:tcPr>
            <w:tcW w:w="159" w:type="pct"/>
            <w:shd w:val="clear" w:color="auto" w:fill="auto"/>
            <w:noWrap/>
            <w:vAlign w:val="bottom"/>
            <w:hideMark/>
          </w:tcPr>
          <w:p w14:paraId="61E57CD6" w14:textId="77777777" w:rsidR="00260503" w:rsidRPr="00260503" w:rsidRDefault="00260503" w:rsidP="00260503">
            <w:pPr>
              <w:pStyle w:val="Body"/>
              <w:spacing w:after="0"/>
              <w:rPr>
                <w:rFonts w:ascii="Arial" w:hAnsi="Arial" w:cs="Arial"/>
              </w:rPr>
            </w:pPr>
            <w:r w:rsidRPr="00260503">
              <w:rPr>
                <w:rFonts w:ascii="Arial" w:hAnsi="Arial" w:cs="Arial"/>
              </w:rPr>
              <w:t>±</w:t>
            </w:r>
          </w:p>
        </w:tc>
        <w:tc>
          <w:tcPr>
            <w:tcW w:w="397" w:type="pct"/>
            <w:shd w:val="clear" w:color="auto" w:fill="auto"/>
            <w:noWrap/>
            <w:vAlign w:val="bottom"/>
            <w:hideMark/>
          </w:tcPr>
          <w:p w14:paraId="3BF31960" w14:textId="77777777" w:rsidR="00260503" w:rsidRPr="00260503" w:rsidRDefault="00260503" w:rsidP="00260503">
            <w:pPr>
              <w:pStyle w:val="Body"/>
              <w:spacing w:after="0"/>
              <w:rPr>
                <w:rFonts w:ascii="Arial" w:hAnsi="Arial" w:cs="Arial"/>
              </w:rPr>
            </w:pPr>
            <w:r w:rsidRPr="00260503">
              <w:rPr>
                <w:rFonts w:ascii="Arial" w:hAnsi="Arial" w:cs="Arial"/>
              </w:rPr>
              <w:t>5.65</w:t>
            </w:r>
          </w:p>
        </w:tc>
        <w:tc>
          <w:tcPr>
            <w:tcW w:w="1270" w:type="pct"/>
            <w:shd w:val="clear" w:color="auto" w:fill="auto"/>
            <w:noWrap/>
            <w:vAlign w:val="bottom"/>
            <w:hideMark/>
          </w:tcPr>
          <w:p w14:paraId="78214679" w14:textId="77777777" w:rsidR="00260503" w:rsidRPr="00260503" w:rsidRDefault="00260503" w:rsidP="00260503">
            <w:pPr>
              <w:pStyle w:val="Body"/>
              <w:spacing w:after="0"/>
              <w:rPr>
                <w:rFonts w:ascii="Arial" w:hAnsi="Arial" w:cs="Arial"/>
              </w:rPr>
            </w:pPr>
            <w:r w:rsidRPr="00260503">
              <w:rPr>
                <w:rFonts w:ascii="Arial" w:hAnsi="Arial" w:cs="Arial"/>
              </w:rPr>
              <w:t>c</w:t>
            </w:r>
          </w:p>
        </w:tc>
      </w:tr>
      <w:tr w:rsidR="00260503" w:rsidRPr="00260503" w14:paraId="2C3407F4" w14:textId="77777777" w:rsidTr="00DC4A03">
        <w:trPr>
          <w:trHeight w:val="290"/>
        </w:trPr>
        <w:tc>
          <w:tcPr>
            <w:tcW w:w="1627" w:type="pct"/>
            <w:shd w:val="clear" w:color="auto" w:fill="auto"/>
            <w:noWrap/>
            <w:vAlign w:val="bottom"/>
            <w:hideMark/>
          </w:tcPr>
          <w:p w14:paraId="2E98C4F6" w14:textId="77777777" w:rsidR="00260503" w:rsidRPr="00260503" w:rsidRDefault="00260503" w:rsidP="00260503">
            <w:pPr>
              <w:pStyle w:val="Body"/>
              <w:spacing w:after="0"/>
              <w:rPr>
                <w:rFonts w:ascii="Arial" w:hAnsi="Arial" w:cs="Arial"/>
              </w:rPr>
            </w:pPr>
            <w:proofErr w:type="spellStart"/>
            <w:r w:rsidRPr="00260503">
              <w:rPr>
                <w:rFonts w:ascii="Arial" w:hAnsi="Arial" w:cs="Arial"/>
              </w:rPr>
              <w:t>Kontrol</w:t>
            </w:r>
            <w:proofErr w:type="spellEnd"/>
          </w:p>
        </w:tc>
        <w:tc>
          <w:tcPr>
            <w:tcW w:w="1547" w:type="pct"/>
            <w:shd w:val="clear" w:color="auto" w:fill="auto"/>
            <w:noWrap/>
            <w:vAlign w:val="bottom"/>
            <w:hideMark/>
          </w:tcPr>
          <w:p w14:paraId="35C8CDC3" w14:textId="77777777" w:rsidR="00260503" w:rsidRPr="00260503" w:rsidRDefault="00260503" w:rsidP="00260503">
            <w:pPr>
              <w:pStyle w:val="Body"/>
              <w:spacing w:after="0"/>
              <w:jc w:val="right"/>
              <w:rPr>
                <w:rFonts w:ascii="Arial" w:hAnsi="Arial" w:cs="Arial"/>
              </w:rPr>
            </w:pPr>
            <w:r w:rsidRPr="00260503">
              <w:rPr>
                <w:rFonts w:ascii="Arial" w:hAnsi="Arial" w:cs="Arial"/>
              </w:rPr>
              <w:t>3.33</w:t>
            </w:r>
          </w:p>
        </w:tc>
        <w:tc>
          <w:tcPr>
            <w:tcW w:w="159" w:type="pct"/>
            <w:shd w:val="clear" w:color="auto" w:fill="auto"/>
            <w:noWrap/>
            <w:vAlign w:val="bottom"/>
            <w:hideMark/>
          </w:tcPr>
          <w:p w14:paraId="738A74BF" w14:textId="77777777" w:rsidR="00260503" w:rsidRPr="00260503" w:rsidRDefault="00260503" w:rsidP="00260503">
            <w:pPr>
              <w:pStyle w:val="Body"/>
              <w:spacing w:after="0"/>
              <w:rPr>
                <w:rFonts w:ascii="Arial" w:hAnsi="Arial" w:cs="Arial"/>
              </w:rPr>
            </w:pPr>
            <w:r w:rsidRPr="00260503">
              <w:rPr>
                <w:rFonts w:ascii="Arial" w:hAnsi="Arial" w:cs="Arial"/>
              </w:rPr>
              <w:t>±</w:t>
            </w:r>
          </w:p>
        </w:tc>
        <w:tc>
          <w:tcPr>
            <w:tcW w:w="397" w:type="pct"/>
            <w:shd w:val="clear" w:color="auto" w:fill="auto"/>
            <w:noWrap/>
            <w:vAlign w:val="bottom"/>
            <w:hideMark/>
          </w:tcPr>
          <w:p w14:paraId="21ADCB75" w14:textId="77777777" w:rsidR="00260503" w:rsidRPr="00260503" w:rsidRDefault="00260503" w:rsidP="00260503">
            <w:pPr>
              <w:pStyle w:val="Body"/>
              <w:spacing w:after="0"/>
              <w:rPr>
                <w:rFonts w:ascii="Arial" w:hAnsi="Arial" w:cs="Arial"/>
              </w:rPr>
            </w:pPr>
            <w:r w:rsidRPr="00260503">
              <w:rPr>
                <w:rFonts w:ascii="Arial" w:hAnsi="Arial" w:cs="Arial"/>
              </w:rPr>
              <w:t>3.01</w:t>
            </w:r>
          </w:p>
        </w:tc>
        <w:tc>
          <w:tcPr>
            <w:tcW w:w="1270" w:type="pct"/>
            <w:shd w:val="clear" w:color="auto" w:fill="auto"/>
            <w:noWrap/>
            <w:vAlign w:val="bottom"/>
            <w:hideMark/>
          </w:tcPr>
          <w:p w14:paraId="23631BF3" w14:textId="77777777" w:rsidR="00260503" w:rsidRPr="00260503" w:rsidRDefault="00260503" w:rsidP="00260503">
            <w:pPr>
              <w:pStyle w:val="Body"/>
              <w:spacing w:after="0"/>
              <w:rPr>
                <w:rFonts w:ascii="Arial" w:hAnsi="Arial" w:cs="Arial"/>
              </w:rPr>
            </w:pPr>
            <w:r w:rsidRPr="00260503">
              <w:rPr>
                <w:rFonts w:ascii="Arial" w:hAnsi="Arial" w:cs="Arial"/>
              </w:rPr>
              <w:t>d</w:t>
            </w:r>
          </w:p>
        </w:tc>
      </w:tr>
    </w:tbl>
    <w:p w14:paraId="6321EAD7" w14:textId="77777777" w:rsidR="00260503" w:rsidRDefault="00260503" w:rsidP="00260503">
      <w:pPr>
        <w:pStyle w:val="Body"/>
        <w:spacing w:after="0"/>
        <w:rPr>
          <w:rFonts w:ascii="Arial" w:hAnsi="Arial" w:cs="Arial"/>
          <w:sz w:val="18"/>
        </w:rPr>
      </w:pPr>
      <w:r w:rsidRPr="00260503">
        <w:rPr>
          <w:rFonts w:ascii="Arial" w:hAnsi="Arial" w:cs="Arial"/>
          <w:sz w:val="18"/>
        </w:rPr>
        <w:t>*The numbers followed by the same letter in the same column are not significantly different in LSD test at 5% level.</w:t>
      </w:r>
    </w:p>
    <w:p w14:paraId="273B13B9" w14:textId="77777777" w:rsidR="00260503" w:rsidRPr="00260503" w:rsidRDefault="00260503" w:rsidP="00260503">
      <w:pPr>
        <w:pStyle w:val="Body"/>
        <w:spacing w:after="0"/>
        <w:rPr>
          <w:rFonts w:ascii="Arial" w:hAnsi="Arial" w:cs="Arial"/>
          <w:sz w:val="18"/>
        </w:rPr>
      </w:pPr>
    </w:p>
    <w:p w14:paraId="20705CFA" w14:textId="77777777" w:rsidR="00260503" w:rsidRPr="00260503" w:rsidRDefault="00260503" w:rsidP="00260503">
      <w:pPr>
        <w:pStyle w:val="Body"/>
        <w:rPr>
          <w:rFonts w:ascii="Arial" w:hAnsi="Arial" w:cs="Arial"/>
        </w:rPr>
      </w:pPr>
      <w:r w:rsidRPr="00260503">
        <w:rPr>
          <w:rFonts w:ascii="Arial" w:hAnsi="Arial" w:cs="Arial"/>
        </w:rPr>
        <w:t xml:space="preserve">All tested </w:t>
      </w:r>
      <w:r w:rsidRPr="00260503">
        <w:rPr>
          <w:rFonts w:ascii="Arial" w:hAnsi="Arial" w:cs="Arial"/>
          <w:i/>
          <w:iCs/>
        </w:rPr>
        <w:t>B. bassiana</w:t>
      </w:r>
      <w:r w:rsidRPr="00260503">
        <w:rPr>
          <w:rFonts w:ascii="Arial" w:hAnsi="Arial" w:cs="Arial"/>
        </w:rPr>
        <w:t xml:space="preserve"> isolates significantly increased the mortality of </w:t>
      </w:r>
      <w:r w:rsidRPr="00260503">
        <w:rPr>
          <w:rFonts w:ascii="Arial" w:hAnsi="Arial" w:cs="Arial"/>
          <w:i/>
          <w:iCs/>
        </w:rPr>
        <w:t>D. brevipes</w:t>
      </w:r>
      <w:r w:rsidRPr="00260503">
        <w:rPr>
          <w:rFonts w:ascii="Arial" w:hAnsi="Arial" w:cs="Arial"/>
        </w:rPr>
        <w:t xml:space="preserve"> nymphs compared to the control. Among them, isolate </w:t>
      </w:r>
      <w:proofErr w:type="spellStart"/>
      <w:r w:rsidRPr="00260503">
        <w:rPr>
          <w:rFonts w:ascii="Arial" w:hAnsi="Arial" w:cs="Arial"/>
        </w:rPr>
        <w:t>BbSP</w:t>
      </w:r>
      <w:proofErr w:type="spellEnd"/>
      <w:r w:rsidRPr="00260503">
        <w:rPr>
          <w:rFonts w:ascii="Arial" w:hAnsi="Arial" w:cs="Arial"/>
        </w:rPr>
        <w:t xml:space="preserve"> 217 exhibited the highest efficacy, resulting in a mortality rate of 62%, which was statistically different from the other isolates. This suggests that </w:t>
      </w:r>
      <w:proofErr w:type="spellStart"/>
      <w:r w:rsidRPr="00260503">
        <w:rPr>
          <w:rFonts w:ascii="Arial" w:hAnsi="Arial" w:cs="Arial"/>
        </w:rPr>
        <w:t>BbSP</w:t>
      </w:r>
      <w:proofErr w:type="spellEnd"/>
      <w:r w:rsidRPr="00260503">
        <w:rPr>
          <w:rFonts w:ascii="Arial" w:hAnsi="Arial" w:cs="Arial"/>
        </w:rPr>
        <w:t xml:space="preserve"> 217 is the most promising candidate for biological control among the isolates evaluated.</w:t>
      </w:r>
    </w:p>
    <w:p w14:paraId="11ABA236" w14:textId="77777777" w:rsidR="00260503" w:rsidRPr="00260503" w:rsidRDefault="00260503" w:rsidP="00260503">
      <w:pPr>
        <w:pStyle w:val="Body"/>
        <w:rPr>
          <w:rFonts w:ascii="Arial" w:hAnsi="Arial" w:cs="Arial"/>
        </w:rPr>
      </w:pPr>
      <w:r w:rsidRPr="00260503">
        <w:rPr>
          <w:rFonts w:ascii="Arial" w:hAnsi="Arial" w:cs="Arial"/>
        </w:rPr>
        <w:t xml:space="preserve">The infection mechanism of </w:t>
      </w:r>
      <w:r w:rsidRPr="00260503">
        <w:rPr>
          <w:rFonts w:ascii="Arial" w:hAnsi="Arial" w:cs="Arial"/>
          <w:i/>
          <w:iCs/>
        </w:rPr>
        <w:t>B. bassiana</w:t>
      </w:r>
      <w:r w:rsidRPr="00260503">
        <w:rPr>
          <w:rFonts w:ascii="Arial" w:hAnsi="Arial" w:cs="Arial"/>
        </w:rPr>
        <w:t xml:space="preserve"> begins with the adhesion of conidia to the insect cuticle, followed by enzymatic penetration through the action of proteolytic and lipolytic enzymes. Once inside the host, the fungus proliferates in the hemocoel, ultimately leading to death through the production of secondary metabolites such as beauvericin and </w:t>
      </w:r>
      <w:proofErr w:type="spellStart"/>
      <w:r w:rsidRPr="00260503">
        <w:rPr>
          <w:rFonts w:ascii="Arial" w:hAnsi="Arial" w:cs="Arial"/>
        </w:rPr>
        <w:t>bassianolide</w:t>
      </w:r>
      <w:proofErr w:type="spellEnd"/>
      <w:r w:rsidRPr="00260503">
        <w:rPr>
          <w:rFonts w:ascii="Arial" w:hAnsi="Arial" w:cs="Arial"/>
        </w:rPr>
        <w:t xml:space="preserve"> </w:t>
      </w:r>
      <w:r w:rsidRPr="00260503">
        <w:rPr>
          <w:rFonts w:ascii="Arial" w:hAnsi="Arial" w:cs="Arial"/>
          <w:vertAlign w:val="superscript"/>
        </w:rPr>
        <w:fldChar w:fldCharType="begin" w:fldLock="1"/>
      </w:r>
      <w:r w:rsidR="00AC25AB">
        <w:rPr>
          <w:rFonts w:ascii="Arial" w:hAnsi="Arial" w:cs="Arial"/>
        </w:rPr>
        <w:instrText>ADDIN CSL_CITATION {"citationItems":[{"id":"ITEM-1","itemData":{"DOI":"10.1093/femsre/fuae003","ISSN":"15746976","PMID":"38341280","abstract":"Insects are one of the most successful animals in nature, and entomopathogenic fungi play a significant role in the natural epizootic control of insect populations in many ecosystems. The interaction between insects and entomopathogenic fungi has continuously coevolved over hundreds of millions of years. Many components of the insect innate immune responses against fungal infection are conserved across phyla. Additionally, behavioral responses, which include avoidance, grooming, and/or modulation of body temperature, have been recognized as important mechanisms for opposing fungal pathogens. In an effort to investigate possible cross-talk and mediating mechanisms between these fundamental biological processes, recent studies have integrated and/or explored immune and behavioral responses. Current information indicates that during discrete stages of fungal infection, several insect behavioral and immune responses are altered simultaneously, suggesting important connections between the two systems. This review synthesizes recent advances in our understanding of the physiological and molecular aspects influencing cross-talk between behavioral and innate immune antifungal reactions, including chemical perception and olfactory pathways.","author":[{"dropping-particle":"","family":"Zhang","given":"Wei","non-dropping-particle":"","parse-names":false,"suffix":""},{"dropping-particle":"","family":"Chen","given":"Xuanyu","non-dropping-particle":"","parse-names":false,"suffix":""},{"dropping-particle":"","family":"Eleftherianos","given":"Ioannis","non-dropping-particle":"","parse-names":false,"suffix":""},{"dropping-particle":"","family":"Mohamed","given":"Amr","non-dropping-particle":"","parse-names":false,"suffix":""},{"dropping-particle":"","family":"Bastin","given":"Ashley","non-dropping-particle":"","parse-names":false,"suffix":""},{"dropping-particle":"","family":"Keyhani","given":"Nemat O.","non-dropping-particle":"","parse-names":false,"suffix":""}],"container-title":"FEMS Microbiology Reviews","id":"ITEM-1","issue":"1","issued":{"date-parts":[["2024"]]},"title":"Cross-talk between immunity and behavior: insights from entomopathogenic fungi and their insect hosts","type":"article-journal","volume":"48"},"uris":["http://www.mendeley.com/documents/?uuid=b463ce9f-dec2-48e7-a9d6-b0182a2d4833"]}],"mendeley":{"formattedCitation":"(W. Zhang et al., 2024)","plainTextFormattedCitation":"(W. Zhang et al., 2024)","previouslyFormattedCitation":"(W. Zhang et al., 2024)"},"properties":{"noteIndex":0},"schema":"https://github.com/citation-style-language/schema/raw/master/csl-citation.json"}</w:instrText>
      </w:r>
      <w:r w:rsidRPr="00260503">
        <w:rPr>
          <w:rFonts w:ascii="Arial" w:hAnsi="Arial" w:cs="Arial"/>
          <w:vertAlign w:val="superscript"/>
        </w:rPr>
        <w:fldChar w:fldCharType="separate"/>
      </w:r>
      <w:r w:rsidR="00D74235" w:rsidRPr="00D74235">
        <w:rPr>
          <w:rFonts w:ascii="Arial" w:hAnsi="Arial" w:cs="Arial"/>
          <w:bCs/>
          <w:noProof/>
        </w:rPr>
        <w:t>(W. Zhang et al., 2024)</w:t>
      </w:r>
      <w:r w:rsidRPr="00260503">
        <w:rPr>
          <w:rFonts w:ascii="Arial" w:hAnsi="Arial" w:cs="Arial"/>
        </w:rPr>
        <w:fldChar w:fldCharType="end"/>
      </w:r>
      <w:r w:rsidRPr="00260503">
        <w:rPr>
          <w:rFonts w:ascii="Arial" w:hAnsi="Arial" w:cs="Arial"/>
        </w:rPr>
        <w:t>. The variation in mortality rates among isolates may be attributed to differences in genetic traits, sporulation capacity, conidial viability, and environmental adaptability.</w:t>
      </w:r>
    </w:p>
    <w:p w14:paraId="007ABEB9" w14:textId="77777777" w:rsidR="00260503" w:rsidRPr="00260503" w:rsidRDefault="00260503" w:rsidP="00260503">
      <w:pPr>
        <w:pStyle w:val="Body"/>
        <w:rPr>
          <w:rFonts w:ascii="Arial" w:hAnsi="Arial" w:cs="Arial"/>
        </w:rPr>
      </w:pPr>
      <w:r w:rsidRPr="00260503">
        <w:rPr>
          <w:rFonts w:ascii="Arial" w:hAnsi="Arial" w:cs="Arial"/>
        </w:rPr>
        <w:t xml:space="preserve">Although </w:t>
      </w:r>
      <w:proofErr w:type="spellStart"/>
      <w:r w:rsidRPr="00260503">
        <w:rPr>
          <w:rFonts w:ascii="Arial" w:hAnsi="Arial" w:cs="Arial"/>
        </w:rPr>
        <w:t>BbSP</w:t>
      </w:r>
      <w:proofErr w:type="spellEnd"/>
      <w:r w:rsidRPr="00260503">
        <w:rPr>
          <w:rFonts w:ascii="Arial" w:hAnsi="Arial" w:cs="Arial"/>
        </w:rPr>
        <w:t xml:space="preserve"> 105 and </w:t>
      </w:r>
      <w:proofErr w:type="spellStart"/>
      <w:r w:rsidRPr="00260503">
        <w:rPr>
          <w:rFonts w:ascii="Arial" w:hAnsi="Arial" w:cs="Arial"/>
        </w:rPr>
        <w:t>BbKP</w:t>
      </w:r>
      <w:proofErr w:type="spellEnd"/>
      <w:r w:rsidRPr="00260503">
        <w:rPr>
          <w:rFonts w:ascii="Arial" w:hAnsi="Arial" w:cs="Arial"/>
        </w:rPr>
        <w:t xml:space="preserve"> 125 also caused significant mortality, their effectiveness was lower than that of </w:t>
      </w:r>
      <w:proofErr w:type="spellStart"/>
      <w:r w:rsidRPr="00260503">
        <w:rPr>
          <w:rFonts w:ascii="Arial" w:hAnsi="Arial" w:cs="Arial"/>
        </w:rPr>
        <w:t>BbSP</w:t>
      </w:r>
      <w:proofErr w:type="spellEnd"/>
      <w:r w:rsidRPr="00260503">
        <w:rPr>
          <w:rFonts w:ascii="Arial" w:hAnsi="Arial" w:cs="Arial"/>
        </w:rPr>
        <w:t xml:space="preserve"> 217. The control treatment showed very low mortality (3.33%), which may have resulted from natural factors or environmental stress, but it was not sufficient to suppress the pest population. The high efficacy of </w:t>
      </w:r>
      <w:proofErr w:type="spellStart"/>
      <w:r w:rsidRPr="00260503">
        <w:rPr>
          <w:rFonts w:ascii="Arial" w:hAnsi="Arial" w:cs="Arial"/>
        </w:rPr>
        <w:t>BbSP</w:t>
      </w:r>
      <w:proofErr w:type="spellEnd"/>
      <w:r w:rsidRPr="00260503">
        <w:rPr>
          <w:rFonts w:ascii="Arial" w:hAnsi="Arial" w:cs="Arial"/>
        </w:rPr>
        <w:t xml:space="preserve"> 217 offers a valuable opportunity for the development of environmentally friendly bioinsecticide formulations specifically targeting </w:t>
      </w:r>
      <w:r w:rsidRPr="00260503">
        <w:rPr>
          <w:rFonts w:ascii="Arial" w:hAnsi="Arial" w:cs="Arial"/>
          <w:i/>
          <w:iCs/>
        </w:rPr>
        <w:t>D. brevipes</w:t>
      </w:r>
      <w:r w:rsidRPr="00260503">
        <w:rPr>
          <w:rFonts w:ascii="Arial" w:hAnsi="Arial" w:cs="Arial"/>
        </w:rPr>
        <w:t xml:space="preserve"> in pineapple cultivation, especially in Riau Province. However, further research is needed to evaluate the field stability of this isolate, optimize application techniques, and assess its compatibility with integrated pest management (IPM) components </w:t>
      </w:r>
      <w:r w:rsidRPr="00260503">
        <w:rPr>
          <w:rFonts w:ascii="Arial" w:hAnsi="Arial" w:cs="Arial"/>
          <w:vertAlign w:val="superscript"/>
        </w:rPr>
        <w:fldChar w:fldCharType="begin" w:fldLock="1"/>
      </w:r>
      <w:r w:rsidR="00D74235">
        <w:rPr>
          <w:rFonts w:ascii="Arial" w:hAnsi="Arial" w:cs="Arial"/>
        </w:rPr>
        <w:instrText>ADDIN CSL_CITATION {"citationItems":[{"id":"ITEM-1","itemData":{"DOI":"10.1016/S0167-8809(01)00227-4","ISSN":"01678809","abstract":"A method for baiting soil samples with Delia floralis larvae was developed, and a systematic survey was conducted on soils from northern Norway for insect pathogenic fungi, using D. floralis and Galleria mellonella larvae as bait. The occurrence of insect pathogenic fungi in soils from arable fields and adjacent field margins of conventionally and organically managed farms was compared. The study showed a significantly higher occurrence of insect pathogenic fungi in soils from arable fields of organically managed farms. No significant differences in the occurrence of insect pathogenic fungi were, however, found between the field margins of the two cropping systems. Fungal species identified in the study were Beauveria bassiana, Fusarium merismoides, Metarhizium anisopliae and Tolypocladium cylindrosporum. T. cylindrosporum was found more frequently when using D. floralis as the bait insect than when using G. mellonella. © 2002 Elsevier Science B.V. All rights reserved.","author":[{"dropping-particle":"","family":"Klingen","given":"Ingeborg","non-dropping-particle":"","parse-names":false,"suffix":""},{"dropping-particle":"","family":"Eilenberg","given":"Jørgen","non-dropping-particle":"","parse-names":false,"suffix":""},{"dropping-particle":"","family":"Meadow","given":"Richard","non-dropping-particle":"","parse-names":false,"suffix":""}],"container-title":"Agriculture, Ecosystems and Environment","id":"ITEM-1","issue":"1-3","issued":{"date-parts":[["2002"]]},"page":"191-198","title":"Effects of farming system, field margins and bait insect on the occurrence of insect pathogenic fungi in soils","type":"article-journal","volume":"91"},"uris":["http://www.mendeley.com/documents/?uuid=ac5c9b7b-a130-4b38-8263-2b697ce7770c"]}],"mendeley":{"formattedCitation":"(Klingen et al., 2002)","plainTextFormattedCitation":"(Klingen et al., 2002)","previouslyFormattedCitation":"(Klingen et al., 2002)"},"properties":{"noteIndex":0},"schema":"https://github.com/citation-style-language/schema/raw/master/csl-citation.json"}</w:instrText>
      </w:r>
      <w:r w:rsidRPr="00260503">
        <w:rPr>
          <w:rFonts w:ascii="Arial" w:hAnsi="Arial" w:cs="Arial"/>
          <w:vertAlign w:val="superscript"/>
        </w:rPr>
        <w:fldChar w:fldCharType="separate"/>
      </w:r>
      <w:r w:rsidR="00D74235" w:rsidRPr="00D74235">
        <w:rPr>
          <w:rFonts w:ascii="Arial" w:hAnsi="Arial" w:cs="Arial"/>
          <w:bCs/>
          <w:noProof/>
        </w:rPr>
        <w:t>(Klingen et al., 2002)</w:t>
      </w:r>
      <w:r w:rsidRPr="00260503">
        <w:rPr>
          <w:rFonts w:ascii="Arial" w:hAnsi="Arial" w:cs="Arial"/>
        </w:rPr>
        <w:fldChar w:fldCharType="end"/>
      </w:r>
    </w:p>
    <w:p w14:paraId="7FF36F28" w14:textId="77777777" w:rsidR="00260503" w:rsidRPr="00260503" w:rsidRDefault="00260503" w:rsidP="00260503">
      <w:pPr>
        <w:pStyle w:val="Body"/>
        <w:spacing w:after="0"/>
        <w:rPr>
          <w:rFonts w:ascii="Arial" w:hAnsi="Arial" w:cs="Arial"/>
          <w:b/>
          <w:i/>
          <w:iCs/>
        </w:rPr>
      </w:pPr>
      <w:r>
        <w:rPr>
          <w:rFonts w:ascii="Arial" w:hAnsi="Arial" w:cs="Arial"/>
          <w:b/>
        </w:rPr>
        <w:t xml:space="preserve">3.2 </w:t>
      </w:r>
      <w:r w:rsidRPr="00260503">
        <w:rPr>
          <w:rFonts w:ascii="Arial" w:hAnsi="Arial" w:cs="Arial"/>
          <w:b/>
        </w:rPr>
        <w:t xml:space="preserve">Daily </w:t>
      </w:r>
      <w:proofErr w:type="spellStart"/>
      <w:r w:rsidRPr="00260503">
        <w:rPr>
          <w:rFonts w:ascii="Arial" w:hAnsi="Arial" w:cs="Arial"/>
          <w:b/>
        </w:rPr>
        <w:t>Nymphal</w:t>
      </w:r>
      <w:proofErr w:type="spellEnd"/>
      <w:r w:rsidRPr="00260503">
        <w:rPr>
          <w:rFonts w:ascii="Arial" w:hAnsi="Arial" w:cs="Arial"/>
          <w:b/>
        </w:rPr>
        <w:t xml:space="preserve"> Mortality of </w:t>
      </w:r>
      <w:proofErr w:type="spellStart"/>
      <w:r w:rsidRPr="00260503">
        <w:rPr>
          <w:rFonts w:ascii="Arial" w:hAnsi="Arial" w:cs="Arial"/>
          <w:b/>
          <w:i/>
          <w:iCs/>
        </w:rPr>
        <w:t>Dysmicoccus</w:t>
      </w:r>
      <w:proofErr w:type="spellEnd"/>
      <w:r w:rsidRPr="00260503">
        <w:rPr>
          <w:rFonts w:ascii="Arial" w:hAnsi="Arial" w:cs="Arial"/>
          <w:b/>
          <w:i/>
          <w:iCs/>
        </w:rPr>
        <w:t xml:space="preserve"> </w:t>
      </w:r>
      <w:proofErr w:type="spellStart"/>
      <w:r w:rsidRPr="00260503">
        <w:rPr>
          <w:rFonts w:ascii="Arial" w:hAnsi="Arial" w:cs="Arial"/>
          <w:b/>
          <w:i/>
          <w:iCs/>
        </w:rPr>
        <w:t>brevipes</w:t>
      </w:r>
      <w:proofErr w:type="spellEnd"/>
    </w:p>
    <w:p w14:paraId="38FC5B54" w14:textId="77777777" w:rsidR="00260503" w:rsidRPr="00260503" w:rsidRDefault="00260503" w:rsidP="00260503">
      <w:pPr>
        <w:pStyle w:val="Body"/>
        <w:spacing w:after="0"/>
        <w:rPr>
          <w:rFonts w:ascii="Arial" w:hAnsi="Arial" w:cs="Arial"/>
        </w:rPr>
      </w:pPr>
      <w:r w:rsidRPr="00260503">
        <w:rPr>
          <w:rFonts w:ascii="Arial" w:hAnsi="Arial" w:cs="Arial"/>
        </w:rPr>
        <w:t xml:space="preserve">The daily mortality of </w:t>
      </w:r>
      <w:r w:rsidRPr="00260503">
        <w:rPr>
          <w:rFonts w:ascii="Arial" w:hAnsi="Arial" w:cs="Arial"/>
          <w:i/>
          <w:iCs/>
        </w:rPr>
        <w:t>D. brevipes</w:t>
      </w:r>
      <w:r w:rsidRPr="00260503">
        <w:rPr>
          <w:rFonts w:ascii="Arial" w:hAnsi="Arial" w:cs="Arial"/>
        </w:rPr>
        <w:t xml:space="preserve"> nymphs following application of different </w:t>
      </w:r>
      <w:r w:rsidRPr="00260503">
        <w:rPr>
          <w:rFonts w:ascii="Arial" w:hAnsi="Arial" w:cs="Arial"/>
          <w:i/>
          <w:iCs/>
        </w:rPr>
        <w:t>B. bassiana</w:t>
      </w:r>
      <w:r w:rsidRPr="00260503">
        <w:rPr>
          <w:rFonts w:ascii="Arial" w:hAnsi="Arial" w:cs="Arial"/>
        </w:rPr>
        <w:t xml:space="preserve"> isolates was monitored for eight days. Figure 1 illustrates the daily mortality dynamics for each treatment: </w:t>
      </w:r>
      <w:proofErr w:type="spellStart"/>
      <w:r w:rsidRPr="00260503">
        <w:rPr>
          <w:rFonts w:ascii="Arial" w:hAnsi="Arial" w:cs="Arial"/>
        </w:rPr>
        <w:t>BbSP</w:t>
      </w:r>
      <w:proofErr w:type="spellEnd"/>
      <w:r w:rsidRPr="00260503">
        <w:rPr>
          <w:rFonts w:ascii="Arial" w:hAnsi="Arial" w:cs="Arial"/>
        </w:rPr>
        <w:t xml:space="preserve"> 217, </w:t>
      </w:r>
      <w:proofErr w:type="spellStart"/>
      <w:r w:rsidRPr="00260503">
        <w:rPr>
          <w:rFonts w:ascii="Arial" w:hAnsi="Arial" w:cs="Arial"/>
        </w:rPr>
        <w:t>BbSP</w:t>
      </w:r>
      <w:proofErr w:type="spellEnd"/>
      <w:r w:rsidRPr="00260503">
        <w:rPr>
          <w:rFonts w:ascii="Arial" w:hAnsi="Arial" w:cs="Arial"/>
        </w:rPr>
        <w:t xml:space="preserve"> 105, </w:t>
      </w:r>
      <w:proofErr w:type="spellStart"/>
      <w:r w:rsidRPr="00260503">
        <w:rPr>
          <w:rFonts w:ascii="Arial" w:hAnsi="Arial" w:cs="Arial"/>
        </w:rPr>
        <w:t>BbKP</w:t>
      </w:r>
      <w:proofErr w:type="spellEnd"/>
      <w:r w:rsidRPr="00260503">
        <w:rPr>
          <w:rFonts w:ascii="Arial" w:hAnsi="Arial" w:cs="Arial"/>
        </w:rPr>
        <w:t xml:space="preserve"> 125, and the untreated control. The graph reveals distinct mortality patterns among treatments over the observation period.</w:t>
      </w:r>
    </w:p>
    <w:p w14:paraId="44486607" w14:textId="77777777" w:rsidR="00260503" w:rsidRPr="00260503" w:rsidRDefault="00260503" w:rsidP="00260503">
      <w:pPr>
        <w:pStyle w:val="Body"/>
        <w:spacing w:after="0"/>
        <w:rPr>
          <w:rFonts w:ascii="Arial" w:hAnsi="Arial" w:cs="Arial"/>
        </w:rPr>
      </w:pPr>
      <w:r w:rsidRPr="00260503">
        <w:rPr>
          <w:rFonts w:ascii="Arial" w:hAnsi="Arial" w:cs="Arial"/>
          <w:noProof/>
        </w:rPr>
        <w:lastRenderedPageBreak/>
        <w:drawing>
          <wp:inline distT="0" distB="0" distL="0" distR="0" wp14:anchorId="6DF9601C" wp14:editId="12E8FBAD">
            <wp:extent cx="507365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87F0372" w14:textId="77777777" w:rsidR="00260503" w:rsidRPr="00260503" w:rsidRDefault="00260503" w:rsidP="00260503">
      <w:pPr>
        <w:pStyle w:val="Body"/>
        <w:spacing w:after="0"/>
        <w:rPr>
          <w:rFonts w:ascii="Arial" w:hAnsi="Arial" w:cs="Arial"/>
          <w:b/>
        </w:rPr>
      </w:pPr>
      <w:r w:rsidRPr="00260503">
        <w:rPr>
          <w:rFonts w:ascii="Arial" w:hAnsi="Arial" w:cs="Arial"/>
          <w:b/>
        </w:rPr>
        <w:t xml:space="preserve">Figure 1. Daily </w:t>
      </w:r>
      <w:proofErr w:type="spellStart"/>
      <w:r w:rsidRPr="00260503">
        <w:rPr>
          <w:rFonts w:ascii="Arial" w:hAnsi="Arial" w:cs="Arial"/>
          <w:b/>
        </w:rPr>
        <w:t>Nymphal</w:t>
      </w:r>
      <w:proofErr w:type="spellEnd"/>
      <w:r w:rsidRPr="00260503">
        <w:rPr>
          <w:rFonts w:ascii="Arial" w:hAnsi="Arial" w:cs="Arial"/>
          <w:b/>
        </w:rPr>
        <w:t xml:space="preserve"> Mortality of </w:t>
      </w:r>
      <w:proofErr w:type="spellStart"/>
      <w:r w:rsidRPr="00260503">
        <w:rPr>
          <w:rFonts w:ascii="Arial" w:hAnsi="Arial" w:cs="Arial"/>
          <w:b/>
          <w:i/>
          <w:iCs/>
        </w:rPr>
        <w:t>Dysmicoccus</w:t>
      </w:r>
      <w:proofErr w:type="spellEnd"/>
      <w:r w:rsidRPr="00260503">
        <w:rPr>
          <w:rFonts w:ascii="Arial" w:hAnsi="Arial" w:cs="Arial"/>
          <w:b/>
          <w:i/>
          <w:iCs/>
        </w:rPr>
        <w:t xml:space="preserve"> </w:t>
      </w:r>
      <w:proofErr w:type="spellStart"/>
      <w:r w:rsidRPr="00260503">
        <w:rPr>
          <w:rFonts w:ascii="Arial" w:hAnsi="Arial" w:cs="Arial"/>
          <w:b/>
          <w:i/>
          <w:iCs/>
        </w:rPr>
        <w:t>brevipes</w:t>
      </w:r>
      <w:proofErr w:type="spellEnd"/>
    </w:p>
    <w:p w14:paraId="2BB3EB48" w14:textId="77777777" w:rsidR="00260503" w:rsidRDefault="00260503" w:rsidP="00260503">
      <w:pPr>
        <w:pStyle w:val="Body"/>
        <w:rPr>
          <w:rFonts w:ascii="Arial" w:hAnsi="Arial" w:cs="Arial"/>
        </w:rPr>
      </w:pPr>
    </w:p>
    <w:p w14:paraId="3055EBD8" w14:textId="77777777" w:rsidR="00260503" w:rsidRPr="00260503" w:rsidRDefault="00260503" w:rsidP="00260503">
      <w:pPr>
        <w:pStyle w:val="Body"/>
        <w:rPr>
          <w:rFonts w:ascii="Arial" w:hAnsi="Arial" w:cs="Arial"/>
        </w:rPr>
      </w:pPr>
      <w:r w:rsidRPr="00260503">
        <w:rPr>
          <w:rFonts w:ascii="Arial" w:hAnsi="Arial" w:cs="Arial"/>
        </w:rPr>
        <w:t xml:space="preserve">As shown in Figure 1, noticeable mortality began to occur on day 4 after fungal application, with a sharp increase on days 5 and 6 across all treatments involving </w:t>
      </w:r>
      <w:r w:rsidRPr="00260503">
        <w:rPr>
          <w:rFonts w:ascii="Arial" w:hAnsi="Arial" w:cs="Arial"/>
          <w:i/>
          <w:iCs/>
        </w:rPr>
        <w:t>B. bassiana</w:t>
      </w:r>
      <w:r w:rsidRPr="00260503">
        <w:rPr>
          <w:rFonts w:ascii="Arial" w:hAnsi="Arial" w:cs="Arial"/>
        </w:rPr>
        <w:t xml:space="preserve"> isolates. In contrast, the control treatment exhibited minimal and stagnant mortality throughout the observation period, suggesting that deaths in the control group were due to natural causes rather than fungal infection.</w:t>
      </w:r>
    </w:p>
    <w:p w14:paraId="6B458A45" w14:textId="77777777" w:rsidR="00260503" w:rsidRPr="00260503" w:rsidRDefault="00260503" w:rsidP="00260503">
      <w:pPr>
        <w:pStyle w:val="Body"/>
        <w:rPr>
          <w:rFonts w:ascii="Arial" w:hAnsi="Arial" w:cs="Arial"/>
        </w:rPr>
      </w:pPr>
      <w:r w:rsidRPr="00260503">
        <w:rPr>
          <w:rFonts w:ascii="Arial" w:hAnsi="Arial" w:cs="Arial"/>
        </w:rPr>
        <w:t xml:space="preserve">Isolate </w:t>
      </w:r>
      <w:proofErr w:type="spellStart"/>
      <w:r w:rsidRPr="00260503">
        <w:rPr>
          <w:rFonts w:ascii="Arial" w:hAnsi="Arial" w:cs="Arial"/>
        </w:rPr>
        <w:t>BbSP</w:t>
      </w:r>
      <w:proofErr w:type="spellEnd"/>
      <w:r w:rsidRPr="00260503">
        <w:rPr>
          <w:rFonts w:ascii="Arial" w:hAnsi="Arial" w:cs="Arial"/>
        </w:rPr>
        <w:t xml:space="preserve"> 105 showed the fastest and highest mortality rate among all treatments. A marked increase was observed starting on day 4, peaking on day 6 with over 15 individuals dead. This indicates that </w:t>
      </w:r>
      <w:proofErr w:type="spellStart"/>
      <w:r w:rsidRPr="00260503">
        <w:rPr>
          <w:rFonts w:ascii="Arial" w:hAnsi="Arial" w:cs="Arial"/>
        </w:rPr>
        <w:t>BbSP</w:t>
      </w:r>
      <w:proofErr w:type="spellEnd"/>
      <w:r w:rsidRPr="00260503">
        <w:rPr>
          <w:rFonts w:ascii="Arial" w:hAnsi="Arial" w:cs="Arial"/>
        </w:rPr>
        <w:t xml:space="preserve"> 105 possesses high infectivity and a relatively short latency period. Although </w:t>
      </w:r>
      <w:proofErr w:type="spellStart"/>
      <w:r w:rsidRPr="00260503">
        <w:rPr>
          <w:rFonts w:ascii="Arial" w:hAnsi="Arial" w:cs="Arial"/>
        </w:rPr>
        <w:t>BbSP</w:t>
      </w:r>
      <w:proofErr w:type="spellEnd"/>
      <w:r w:rsidRPr="00260503">
        <w:rPr>
          <w:rFonts w:ascii="Arial" w:hAnsi="Arial" w:cs="Arial"/>
        </w:rPr>
        <w:t xml:space="preserve"> 217 also demonstrated strong efficacy, the increase in mortality was slightly slower, suggesting differences in infection speed and replication dynamics between isolates.</w:t>
      </w:r>
    </w:p>
    <w:p w14:paraId="65D659DF" w14:textId="77777777" w:rsidR="00260503" w:rsidRPr="00260503" w:rsidRDefault="00260503" w:rsidP="00260503">
      <w:pPr>
        <w:pStyle w:val="Body"/>
        <w:rPr>
          <w:rFonts w:ascii="Arial" w:hAnsi="Arial" w:cs="Arial"/>
        </w:rPr>
      </w:pPr>
      <w:r w:rsidRPr="00260503">
        <w:rPr>
          <w:rFonts w:ascii="Arial" w:hAnsi="Arial" w:cs="Arial"/>
        </w:rPr>
        <w:t xml:space="preserve">Isolate </w:t>
      </w:r>
      <w:proofErr w:type="spellStart"/>
      <w:r w:rsidRPr="00260503">
        <w:rPr>
          <w:rFonts w:ascii="Arial" w:hAnsi="Arial" w:cs="Arial"/>
        </w:rPr>
        <w:t>BbKP</w:t>
      </w:r>
      <w:proofErr w:type="spellEnd"/>
      <w:r w:rsidRPr="00260503">
        <w:rPr>
          <w:rFonts w:ascii="Arial" w:hAnsi="Arial" w:cs="Arial"/>
        </w:rPr>
        <w:t xml:space="preserve"> 125 exhibited lower overall mortality compared to the other two isolates, although it was still significantly more effective than the control. Mortality in this treatment increased gradually and plateaued after day 6, indicating that its efficacy might be influenced by factors such as conidial viability, adaptation to the host environment, or penetration ability </w:t>
      </w:r>
      <w:r w:rsidRPr="00260503">
        <w:rPr>
          <w:rFonts w:ascii="Arial" w:hAnsi="Arial" w:cs="Arial"/>
          <w:vertAlign w:val="superscript"/>
        </w:rPr>
        <w:fldChar w:fldCharType="begin" w:fldLock="1"/>
      </w:r>
      <w:r w:rsidR="00D74235">
        <w:rPr>
          <w:rFonts w:ascii="Arial" w:hAnsi="Arial" w:cs="Arial"/>
        </w:rPr>
        <w:instrText>ADDIN CSL_CITATION {"citationItems":[{"id":"ITEM-1","itemData":{"DOI":"10.3390/app10010360","ISSN":"20763417","abstract":"Among the non-chemical insect control methods, biological control is one of the most eective human and environmentally friendly alternatives. One of the main biological control methods is the application of entomopathogenic fungi (EPF). Today, biological crop protection with EPF plays a key role in projects for the sustainable management of insect pests. EPF have several advantages over conventional insecticides, including cost-eectiveness, high yield, absence of harmful side-eects for beneficial organisms, fewer chemical residues in the environment and increased biodiversity in ecosystems. Apart from direct application as contact bioinsecticides, EPF are able to colonize plants as endophytes acting not only as pest and disease control agents but also as plant growth promoters. The present paper presents an outline of the biocontrol potential of several EPF, which could be harnessed for the development of new integrated pest Management (IPM) strategies. Emphasis is given on benefits of endophytic EPF, on issues for practical application and in fields in need of further research. Our findings are discussed in the context of highlighting the value of entomopathogenic fungal endophytes as an integral part of pest management programs for the optimization of crop production.","author":[{"dropping-particle":"","family":"Mantzoukas","given":"Spiridon","non-dropping-particle":"","parse-names":false,"suffix":""},{"dropping-particle":"","family":"Eliopoulos","given":"Panagiotis A.","non-dropping-particle":"","parse-names":false,"suffix":""}],"container-title":"Applied Sciences (Switzerland)","id":"ITEM-1","issue":"1","issued":{"date-parts":[["2020"]]},"title":"Endophytic entomopathogenic fungi: A valuable biological control tool against plant pests","type":"article-journal","volume":"10"},"uris":["http://www.mendeley.com/documents/?uuid=38d37607-aeea-46ef-abe1-8dd1b157e2d7"]}],"mendeley":{"formattedCitation":"(Mantzoukas &amp; Eliopoulos, 2020)","plainTextFormattedCitation":"(Mantzoukas &amp; Eliopoulos, 2020)","previouslyFormattedCitation":"(Mantzoukas &amp; Eliopoulos, 2020)"},"properties":{"noteIndex":0},"schema":"https://github.com/citation-style-language/schema/raw/master/csl-citation.json"}</w:instrText>
      </w:r>
      <w:r w:rsidRPr="00260503">
        <w:rPr>
          <w:rFonts w:ascii="Arial" w:hAnsi="Arial" w:cs="Arial"/>
          <w:vertAlign w:val="superscript"/>
        </w:rPr>
        <w:fldChar w:fldCharType="separate"/>
      </w:r>
      <w:r w:rsidR="00D74235" w:rsidRPr="00D74235">
        <w:rPr>
          <w:rFonts w:ascii="Arial" w:hAnsi="Arial" w:cs="Arial"/>
          <w:bCs/>
          <w:noProof/>
        </w:rPr>
        <w:t>(Mantzoukas &amp; Eliopoulos, 2020)</w:t>
      </w:r>
      <w:r w:rsidRPr="00260503">
        <w:rPr>
          <w:rFonts w:ascii="Arial" w:hAnsi="Arial" w:cs="Arial"/>
        </w:rPr>
        <w:fldChar w:fldCharType="end"/>
      </w:r>
      <w:r w:rsidRPr="00260503">
        <w:rPr>
          <w:rFonts w:ascii="Arial" w:hAnsi="Arial" w:cs="Arial"/>
          <w:vertAlign w:val="superscript"/>
        </w:rPr>
        <w:fldChar w:fldCharType="begin" w:fldLock="1"/>
      </w:r>
      <w:r w:rsidR="00D74235">
        <w:rPr>
          <w:rFonts w:ascii="Arial" w:hAnsi="Arial" w:cs="Arial"/>
        </w:rPr>
        <w:instrText>ADDIN CSL_CITATION {"citationItems":[{"id":"ITEM-1","itemData":{"DOI":"10.1016/j.biocontrol.2019.104102","ISSN":"10499644","abstract":"Pecan (Carya illinoinensis) is an important crop in the USA, which produces approximately 55% of the world's pecans. Several insect pests and various plant diseases reduce crop yield directly destroying nutmeats, or indirectly through effects on foliage and shucks, reducing photosynthesis. Beauveria bassiana is a well-studied, commercialized fungal entomopathogen that when applied inundatively is an effective biocontrol agent against certain pecan pests. In addition to being used in inundative biocontrol, B. bassiana can exist as an endophyte in many plant species and has been shown in some cases to reduce pest damage when present as an endophyte. The potential for B. bassiana to exist as an endophyte in pecan had not been explored previously. We tested whether B. bassiana could endophytically colonize pecan seedlings by seed soaking, seed coating and soil drenching. Results indicated that B. bassiana became established in the roots, leaves and stems of pecan seedlings. Establishment was verified using molecular techniques as well as completing Koch's postulates on the re-isolated fungus, infecting two susceptible insect hosts (Galleria mellonella and Tenebrio molitor) and a target pest (Curculio caryae). Subsequently we explored whether the established endophytic fungus suppressed two pecan aphid species. In a leaf-disc assay, populations of two pecan aphids (Melanocallis caryaefoliae and Monellia caryella) were reduced when placed on leaves of pecan that were colonized endophytically with B. bassiana, relative to control leaves. Our study demonstrates the ability to establish endophytic B. bassiana in pecan and the potential to apply this capability in pecan pest management. Additional research is needed to determine the utility of the endophytic approach against various insect and plant pathogens and to measure efficacy under field conditions.","author":[{"dropping-particle":"","family":"Ramakuwela","given":"Tshimangadzo","non-dropping-particle":"","parse-names":false,"suffix":""},{"dropping-particle":"","family":"Hatting","given":"Justin","non-dropping-particle":"","parse-names":false,"suffix":""},{"dropping-particle":"","family":"Bock","given":"Clive","non-dropping-particle":"","parse-names":false,"suffix":""},{"dropping-particle":"","family":"Vega","given":"Fernando E.","non-dropping-particle":"","parse-names":false,"suffix":""},{"dropping-particle":"","family":"Wells","given":"Lenny","non-dropping-particle":"","parse-names":false,"suffix":""},{"dropping-particle":"","family":"Mbata","given":"George N.","non-dropping-particle":"","parse-names":false,"suffix":""},{"dropping-particle":"","family":"Shapiro-Ilan","given":"David","non-dropping-particle":"","parse-names":false,"suffix":""}],"container-title":"Biological Control","id":"ITEM-1","issue":"August 2019","issued":{"date-parts":[["2020"]]},"page":"104102","publisher":"Elsevier","title":"Establishment of Beauveria bassiana as a fungal endophyte in pecan (Carya illinoinensis) seedlings and its virulence against pecan insect pests","type":"article-journal","volume":"140"},"uris":["http://www.mendeley.com/documents/?uuid=c1f3b204-9c64-41a4-8334-d33486689520"]}],"mendeley":{"formattedCitation":"(Ramakuwela et al., 2020)","plainTextFormattedCitation":"(Ramakuwela et al., 2020)","previouslyFormattedCitation":"(Ramakuwela et al., 2020)"},"properties":{"noteIndex":0},"schema":"https://github.com/citation-style-language/schema/raw/master/csl-citation.json"}</w:instrText>
      </w:r>
      <w:r w:rsidRPr="00260503">
        <w:rPr>
          <w:rFonts w:ascii="Arial" w:hAnsi="Arial" w:cs="Arial"/>
          <w:vertAlign w:val="superscript"/>
        </w:rPr>
        <w:fldChar w:fldCharType="separate"/>
      </w:r>
      <w:r w:rsidR="00D74235" w:rsidRPr="00D74235">
        <w:rPr>
          <w:rFonts w:ascii="Arial" w:hAnsi="Arial" w:cs="Arial"/>
          <w:noProof/>
        </w:rPr>
        <w:t>(Ramakuwela et al., 2020)</w:t>
      </w:r>
      <w:r w:rsidRPr="00260503">
        <w:rPr>
          <w:rFonts w:ascii="Arial" w:hAnsi="Arial" w:cs="Arial"/>
        </w:rPr>
        <w:fldChar w:fldCharType="end"/>
      </w:r>
      <w:r w:rsidR="00737EFA">
        <w:rPr>
          <w:rFonts w:ascii="Arial" w:hAnsi="Arial" w:cs="Arial"/>
        </w:rPr>
        <w:t>.</w:t>
      </w:r>
    </w:p>
    <w:p w14:paraId="6B42B3EC" w14:textId="77777777" w:rsidR="00260503" w:rsidRPr="00260503" w:rsidRDefault="00260503" w:rsidP="00260503">
      <w:pPr>
        <w:pStyle w:val="Body"/>
        <w:rPr>
          <w:rFonts w:ascii="Arial" w:hAnsi="Arial" w:cs="Arial"/>
        </w:rPr>
      </w:pPr>
      <w:r w:rsidRPr="00260503">
        <w:rPr>
          <w:rFonts w:ascii="Arial" w:hAnsi="Arial" w:cs="Arial"/>
        </w:rPr>
        <w:t>The control treatment showed virtually no significant increase in mortality, with fewer than two deaths recorded by the end of the observation period. This confirms that natural mortality was minimal and not related to fungal treatment.</w:t>
      </w:r>
    </w:p>
    <w:p w14:paraId="78FD64DC" w14:textId="77777777" w:rsidR="00260503" w:rsidRPr="00260503" w:rsidRDefault="00260503" w:rsidP="00260503">
      <w:pPr>
        <w:pStyle w:val="Body"/>
        <w:spacing w:after="0"/>
        <w:rPr>
          <w:rFonts w:ascii="Arial" w:hAnsi="Arial" w:cs="Arial"/>
          <w:b/>
        </w:rPr>
      </w:pPr>
      <w:r>
        <w:rPr>
          <w:rFonts w:ascii="Arial" w:hAnsi="Arial" w:cs="Arial"/>
          <w:b/>
        </w:rPr>
        <w:t xml:space="preserve">3.3 </w:t>
      </w:r>
      <w:r w:rsidRPr="00260503">
        <w:rPr>
          <w:rFonts w:ascii="Arial" w:hAnsi="Arial" w:cs="Arial"/>
          <w:b/>
        </w:rPr>
        <w:t>Percentage of Nymphs Developing into Adults</w:t>
      </w:r>
    </w:p>
    <w:p w14:paraId="2C133D24" w14:textId="77777777" w:rsidR="00260503" w:rsidRPr="00260503" w:rsidRDefault="00260503" w:rsidP="00260503">
      <w:pPr>
        <w:pStyle w:val="Body"/>
        <w:rPr>
          <w:rFonts w:ascii="Arial" w:hAnsi="Arial" w:cs="Arial"/>
        </w:rPr>
      </w:pPr>
      <w:r w:rsidRPr="00260503">
        <w:rPr>
          <w:rFonts w:ascii="Arial" w:hAnsi="Arial" w:cs="Arial"/>
        </w:rPr>
        <w:t xml:space="preserve">The percentage of </w:t>
      </w:r>
      <w:proofErr w:type="spellStart"/>
      <w:r w:rsidRPr="00260503">
        <w:rPr>
          <w:rFonts w:ascii="Arial" w:hAnsi="Arial" w:cs="Arial"/>
          <w:i/>
          <w:iCs/>
        </w:rPr>
        <w:t>Dysmicoccus</w:t>
      </w:r>
      <w:proofErr w:type="spellEnd"/>
      <w:r w:rsidRPr="00260503">
        <w:rPr>
          <w:rFonts w:ascii="Arial" w:hAnsi="Arial" w:cs="Arial"/>
          <w:i/>
          <w:iCs/>
        </w:rPr>
        <w:t xml:space="preserve"> </w:t>
      </w:r>
      <w:proofErr w:type="spellStart"/>
      <w:r w:rsidRPr="00260503">
        <w:rPr>
          <w:rFonts w:ascii="Arial" w:hAnsi="Arial" w:cs="Arial"/>
          <w:i/>
          <w:iCs/>
        </w:rPr>
        <w:t>brevipes</w:t>
      </w:r>
      <w:proofErr w:type="spellEnd"/>
      <w:r w:rsidRPr="00260503">
        <w:rPr>
          <w:rFonts w:ascii="Arial" w:hAnsi="Arial" w:cs="Arial"/>
        </w:rPr>
        <w:t xml:space="preserve"> nymphs that successfully developed into adult stages following treatment with different </w:t>
      </w:r>
      <w:r w:rsidRPr="00260503">
        <w:rPr>
          <w:rFonts w:ascii="Arial" w:hAnsi="Arial" w:cs="Arial"/>
          <w:i/>
          <w:iCs/>
        </w:rPr>
        <w:t>B. bassiana</w:t>
      </w:r>
      <w:r w:rsidRPr="00260503">
        <w:rPr>
          <w:rFonts w:ascii="Arial" w:hAnsi="Arial" w:cs="Arial"/>
        </w:rPr>
        <w:t xml:space="preserve"> isolates is presented in Table 3. The results demonstrate that all fungal treatments significantly reduced the number of nymphs reaching adulthood compared to the control. Statistical analysis using ANOVA, followed by the LSD test at a 5% significance level, confirmed significant differences among treatments.</w:t>
      </w:r>
    </w:p>
    <w:p w14:paraId="791D533C" w14:textId="77777777" w:rsidR="00260503" w:rsidRPr="00260503" w:rsidRDefault="00260503" w:rsidP="00260503">
      <w:pPr>
        <w:pStyle w:val="Body"/>
        <w:rPr>
          <w:rFonts w:ascii="Arial" w:hAnsi="Arial" w:cs="Arial"/>
        </w:rPr>
      </w:pPr>
      <w:r w:rsidRPr="00260503">
        <w:rPr>
          <w:rFonts w:ascii="Arial" w:hAnsi="Arial" w:cs="Arial"/>
        </w:rPr>
        <w:lastRenderedPageBreak/>
        <w:t xml:space="preserve">Among the isolates, </w:t>
      </w:r>
      <w:proofErr w:type="spellStart"/>
      <w:r w:rsidRPr="00260503">
        <w:rPr>
          <w:rFonts w:ascii="Arial" w:hAnsi="Arial" w:cs="Arial"/>
        </w:rPr>
        <w:t>BbSP</w:t>
      </w:r>
      <w:proofErr w:type="spellEnd"/>
      <w:r w:rsidRPr="00260503">
        <w:rPr>
          <w:rFonts w:ascii="Arial" w:hAnsi="Arial" w:cs="Arial"/>
        </w:rPr>
        <w:t xml:space="preserve"> 217 showed the most substantial impact, allowing only 38% of nymphs to develop into adults. This was significantly lower than </w:t>
      </w:r>
      <w:proofErr w:type="spellStart"/>
      <w:r w:rsidRPr="00260503">
        <w:rPr>
          <w:rFonts w:ascii="Arial" w:hAnsi="Arial" w:cs="Arial"/>
        </w:rPr>
        <w:t>BbSP</w:t>
      </w:r>
      <w:proofErr w:type="spellEnd"/>
      <w:r w:rsidRPr="00260503">
        <w:rPr>
          <w:rFonts w:ascii="Arial" w:hAnsi="Arial" w:cs="Arial"/>
        </w:rPr>
        <w:t xml:space="preserve"> 105 (46%) and </w:t>
      </w:r>
      <w:proofErr w:type="spellStart"/>
      <w:r w:rsidRPr="00260503">
        <w:rPr>
          <w:rFonts w:ascii="Arial" w:hAnsi="Arial" w:cs="Arial"/>
        </w:rPr>
        <w:t>BbKP</w:t>
      </w:r>
      <w:proofErr w:type="spellEnd"/>
      <w:r w:rsidRPr="00260503">
        <w:rPr>
          <w:rFonts w:ascii="Arial" w:hAnsi="Arial" w:cs="Arial"/>
        </w:rPr>
        <w:t xml:space="preserve"> 125 (60%). In contrast, the control treatment, which received no fungal application, had the highest percentage of nymphs successfully emerging as adults (96.66%), indicating normal development in the absence of fungal infection</w:t>
      </w:r>
    </w:p>
    <w:p w14:paraId="750F17BC" w14:textId="77777777" w:rsidR="00260503" w:rsidRPr="00BE73C6" w:rsidRDefault="00260503" w:rsidP="00260503">
      <w:pPr>
        <w:pStyle w:val="Body"/>
        <w:spacing w:after="0"/>
        <w:rPr>
          <w:rFonts w:ascii="Arial" w:hAnsi="Arial" w:cs="Arial"/>
          <w:b/>
        </w:rPr>
      </w:pPr>
      <w:r w:rsidRPr="00BE73C6">
        <w:rPr>
          <w:rFonts w:ascii="Arial" w:hAnsi="Arial" w:cs="Arial"/>
          <w:b/>
        </w:rPr>
        <w:t xml:space="preserve">Table 3. Effect of </w:t>
      </w:r>
      <w:r w:rsidRPr="00BE73C6">
        <w:rPr>
          <w:rFonts w:ascii="Arial" w:hAnsi="Arial" w:cs="Arial"/>
          <w:b/>
          <w:i/>
          <w:iCs/>
        </w:rPr>
        <w:t>B.  bassiana</w:t>
      </w:r>
      <w:r w:rsidRPr="00BE73C6">
        <w:rPr>
          <w:rFonts w:ascii="Arial" w:hAnsi="Arial" w:cs="Arial"/>
          <w:b/>
        </w:rPr>
        <w:t xml:space="preserve"> Isolates on the Adult Emergence of </w:t>
      </w:r>
      <w:r w:rsidRPr="00BE73C6">
        <w:rPr>
          <w:rFonts w:ascii="Arial" w:hAnsi="Arial" w:cs="Arial"/>
          <w:b/>
          <w:i/>
          <w:iCs/>
        </w:rPr>
        <w:t>D. brevipes</w:t>
      </w:r>
    </w:p>
    <w:tbl>
      <w:tblPr>
        <w:tblW w:w="5000" w:type="pct"/>
        <w:tblBorders>
          <w:top w:val="single" w:sz="4" w:space="0" w:color="auto"/>
          <w:bottom w:val="single" w:sz="4" w:space="0" w:color="auto"/>
        </w:tblBorders>
        <w:tblLook w:val="04A0" w:firstRow="1" w:lastRow="0" w:firstColumn="1" w:lastColumn="0" w:noHBand="0" w:noVBand="1"/>
      </w:tblPr>
      <w:tblGrid>
        <w:gridCol w:w="1796"/>
        <w:gridCol w:w="2775"/>
        <w:gridCol w:w="376"/>
        <w:gridCol w:w="699"/>
        <w:gridCol w:w="2778"/>
      </w:tblGrid>
      <w:tr w:rsidR="00260503" w:rsidRPr="00260503" w14:paraId="082D345E" w14:textId="77777777" w:rsidTr="00260503">
        <w:trPr>
          <w:trHeight w:val="290"/>
        </w:trPr>
        <w:tc>
          <w:tcPr>
            <w:tcW w:w="1066" w:type="pct"/>
            <w:tcBorders>
              <w:top w:val="single" w:sz="4" w:space="0" w:color="auto"/>
              <w:bottom w:val="single" w:sz="4" w:space="0" w:color="auto"/>
            </w:tcBorders>
            <w:shd w:val="clear" w:color="auto" w:fill="auto"/>
            <w:noWrap/>
            <w:vAlign w:val="bottom"/>
            <w:hideMark/>
          </w:tcPr>
          <w:p w14:paraId="5F0E79B6" w14:textId="77777777" w:rsidR="00260503" w:rsidRPr="00260503" w:rsidRDefault="00260503" w:rsidP="00260503">
            <w:pPr>
              <w:pStyle w:val="Body"/>
              <w:spacing w:after="0"/>
              <w:rPr>
                <w:rFonts w:ascii="Arial" w:hAnsi="Arial" w:cs="Arial"/>
                <w:sz w:val="18"/>
                <w:szCs w:val="18"/>
              </w:rPr>
            </w:pPr>
            <w:r w:rsidRPr="00260503">
              <w:rPr>
                <w:rFonts w:ascii="Arial" w:hAnsi="Arial" w:cs="Arial"/>
                <w:sz w:val="18"/>
                <w:szCs w:val="18"/>
              </w:rPr>
              <w:t>Treatments</w:t>
            </w:r>
          </w:p>
        </w:tc>
        <w:tc>
          <w:tcPr>
            <w:tcW w:w="3934" w:type="pct"/>
            <w:gridSpan w:val="4"/>
            <w:tcBorders>
              <w:top w:val="single" w:sz="4" w:space="0" w:color="auto"/>
              <w:bottom w:val="single" w:sz="4" w:space="0" w:color="auto"/>
            </w:tcBorders>
            <w:shd w:val="clear" w:color="auto" w:fill="auto"/>
            <w:noWrap/>
            <w:vAlign w:val="bottom"/>
            <w:hideMark/>
          </w:tcPr>
          <w:p w14:paraId="4960230B" w14:textId="77777777" w:rsidR="00260503" w:rsidRPr="00260503" w:rsidRDefault="00260503" w:rsidP="00260503">
            <w:pPr>
              <w:pStyle w:val="Body"/>
              <w:spacing w:after="0"/>
              <w:jc w:val="center"/>
              <w:rPr>
                <w:rFonts w:ascii="Arial" w:hAnsi="Arial" w:cs="Arial"/>
                <w:sz w:val="18"/>
                <w:szCs w:val="18"/>
              </w:rPr>
            </w:pPr>
            <w:r w:rsidRPr="00260503">
              <w:rPr>
                <w:rFonts w:ascii="Arial" w:hAnsi="Arial" w:cs="Arial"/>
                <w:sz w:val="18"/>
                <w:szCs w:val="18"/>
              </w:rPr>
              <w:t>Adult Emergence  (%) ± Sd</w:t>
            </w:r>
          </w:p>
        </w:tc>
      </w:tr>
      <w:tr w:rsidR="00260503" w:rsidRPr="00260503" w14:paraId="5C4C7E1F" w14:textId="77777777" w:rsidTr="00260503">
        <w:trPr>
          <w:trHeight w:val="290"/>
        </w:trPr>
        <w:tc>
          <w:tcPr>
            <w:tcW w:w="1066" w:type="pct"/>
            <w:tcBorders>
              <w:top w:val="single" w:sz="4" w:space="0" w:color="auto"/>
            </w:tcBorders>
            <w:shd w:val="clear" w:color="auto" w:fill="auto"/>
            <w:noWrap/>
            <w:vAlign w:val="bottom"/>
            <w:hideMark/>
          </w:tcPr>
          <w:p w14:paraId="493EA5AE" w14:textId="77777777" w:rsidR="00260503" w:rsidRPr="00260503" w:rsidRDefault="00260503" w:rsidP="00260503">
            <w:pPr>
              <w:pStyle w:val="Body"/>
              <w:spacing w:after="0"/>
              <w:rPr>
                <w:rFonts w:ascii="Arial" w:hAnsi="Arial" w:cs="Arial"/>
                <w:sz w:val="18"/>
                <w:szCs w:val="18"/>
              </w:rPr>
            </w:pPr>
            <w:proofErr w:type="spellStart"/>
            <w:r w:rsidRPr="00260503">
              <w:rPr>
                <w:rFonts w:ascii="Arial" w:hAnsi="Arial" w:cs="Arial"/>
                <w:sz w:val="18"/>
                <w:szCs w:val="18"/>
              </w:rPr>
              <w:t>BbSP</w:t>
            </w:r>
            <w:proofErr w:type="spellEnd"/>
            <w:r w:rsidRPr="00260503">
              <w:rPr>
                <w:rFonts w:ascii="Arial" w:hAnsi="Arial" w:cs="Arial"/>
                <w:sz w:val="18"/>
                <w:szCs w:val="18"/>
              </w:rPr>
              <w:t xml:space="preserve"> 217</w:t>
            </w:r>
          </w:p>
        </w:tc>
        <w:tc>
          <w:tcPr>
            <w:tcW w:w="1647" w:type="pct"/>
            <w:tcBorders>
              <w:top w:val="single" w:sz="4" w:space="0" w:color="auto"/>
            </w:tcBorders>
            <w:shd w:val="clear" w:color="auto" w:fill="auto"/>
            <w:noWrap/>
            <w:vAlign w:val="bottom"/>
            <w:hideMark/>
          </w:tcPr>
          <w:p w14:paraId="0366F282" w14:textId="77777777" w:rsidR="00260503" w:rsidRPr="00260503" w:rsidRDefault="00260503" w:rsidP="00260503">
            <w:pPr>
              <w:pStyle w:val="Body"/>
              <w:spacing w:after="0"/>
              <w:jc w:val="right"/>
              <w:rPr>
                <w:rFonts w:ascii="Arial" w:hAnsi="Arial" w:cs="Arial"/>
                <w:sz w:val="18"/>
                <w:szCs w:val="18"/>
              </w:rPr>
            </w:pPr>
            <w:r w:rsidRPr="00260503">
              <w:rPr>
                <w:rFonts w:ascii="Arial" w:hAnsi="Arial" w:cs="Arial"/>
                <w:sz w:val="18"/>
                <w:szCs w:val="18"/>
              </w:rPr>
              <w:t>38</w:t>
            </w:r>
          </w:p>
        </w:tc>
        <w:tc>
          <w:tcPr>
            <w:tcW w:w="223" w:type="pct"/>
            <w:tcBorders>
              <w:top w:val="single" w:sz="4" w:space="0" w:color="auto"/>
            </w:tcBorders>
            <w:shd w:val="clear" w:color="auto" w:fill="auto"/>
            <w:noWrap/>
            <w:vAlign w:val="bottom"/>
            <w:hideMark/>
          </w:tcPr>
          <w:p w14:paraId="1F722717" w14:textId="77777777" w:rsidR="00260503" w:rsidRPr="00260503" w:rsidRDefault="00260503" w:rsidP="00260503">
            <w:pPr>
              <w:pStyle w:val="Body"/>
              <w:spacing w:after="0"/>
              <w:rPr>
                <w:rFonts w:ascii="Arial" w:hAnsi="Arial" w:cs="Arial"/>
                <w:sz w:val="18"/>
                <w:szCs w:val="18"/>
              </w:rPr>
            </w:pPr>
            <w:r w:rsidRPr="00260503">
              <w:rPr>
                <w:rFonts w:ascii="Arial" w:hAnsi="Arial" w:cs="Arial"/>
                <w:sz w:val="18"/>
                <w:szCs w:val="18"/>
              </w:rPr>
              <w:t>±</w:t>
            </w:r>
          </w:p>
        </w:tc>
        <w:tc>
          <w:tcPr>
            <w:tcW w:w="415" w:type="pct"/>
            <w:tcBorders>
              <w:top w:val="single" w:sz="4" w:space="0" w:color="auto"/>
            </w:tcBorders>
            <w:shd w:val="clear" w:color="auto" w:fill="auto"/>
            <w:noWrap/>
            <w:vAlign w:val="bottom"/>
            <w:hideMark/>
          </w:tcPr>
          <w:p w14:paraId="79526A3B" w14:textId="77777777" w:rsidR="00260503" w:rsidRPr="00260503" w:rsidRDefault="00260503" w:rsidP="00260503">
            <w:pPr>
              <w:pStyle w:val="Body"/>
              <w:spacing w:after="0"/>
              <w:rPr>
                <w:rFonts w:ascii="Arial" w:hAnsi="Arial" w:cs="Arial"/>
                <w:sz w:val="18"/>
                <w:szCs w:val="18"/>
              </w:rPr>
            </w:pPr>
            <w:r w:rsidRPr="00260503">
              <w:rPr>
                <w:rFonts w:ascii="Arial" w:hAnsi="Arial" w:cs="Arial"/>
                <w:sz w:val="18"/>
                <w:szCs w:val="18"/>
              </w:rPr>
              <w:t>2.19</w:t>
            </w:r>
          </w:p>
        </w:tc>
        <w:tc>
          <w:tcPr>
            <w:tcW w:w="1649" w:type="pct"/>
            <w:tcBorders>
              <w:top w:val="single" w:sz="4" w:space="0" w:color="auto"/>
            </w:tcBorders>
            <w:shd w:val="clear" w:color="auto" w:fill="auto"/>
            <w:noWrap/>
            <w:vAlign w:val="bottom"/>
            <w:hideMark/>
          </w:tcPr>
          <w:p w14:paraId="69C24135" w14:textId="77777777" w:rsidR="00260503" w:rsidRPr="00260503" w:rsidRDefault="00260503" w:rsidP="00260503">
            <w:pPr>
              <w:pStyle w:val="Body"/>
              <w:spacing w:after="0"/>
              <w:rPr>
                <w:rFonts w:ascii="Arial" w:hAnsi="Arial" w:cs="Arial"/>
                <w:sz w:val="18"/>
                <w:szCs w:val="18"/>
              </w:rPr>
            </w:pPr>
            <w:r w:rsidRPr="00260503">
              <w:rPr>
                <w:rFonts w:ascii="Arial" w:hAnsi="Arial" w:cs="Arial"/>
                <w:sz w:val="18"/>
                <w:szCs w:val="18"/>
              </w:rPr>
              <w:t>d</w:t>
            </w:r>
          </w:p>
        </w:tc>
      </w:tr>
      <w:tr w:rsidR="00260503" w:rsidRPr="00260503" w14:paraId="43BC1A18" w14:textId="77777777" w:rsidTr="00260503">
        <w:trPr>
          <w:trHeight w:val="290"/>
        </w:trPr>
        <w:tc>
          <w:tcPr>
            <w:tcW w:w="1066" w:type="pct"/>
            <w:shd w:val="clear" w:color="auto" w:fill="auto"/>
            <w:noWrap/>
            <w:vAlign w:val="bottom"/>
            <w:hideMark/>
          </w:tcPr>
          <w:p w14:paraId="7D8F4C5E" w14:textId="77777777" w:rsidR="00260503" w:rsidRPr="00260503" w:rsidRDefault="00260503" w:rsidP="00260503">
            <w:pPr>
              <w:pStyle w:val="Body"/>
              <w:spacing w:after="0"/>
              <w:rPr>
                <w:rFonts w:ascii="Arial" w:hAnsi="Arial" w:cs="Arial"/>
                <w:sz w:val="18"/>
                <w:szCs w:val="18"/>
              </w:rPr>
            </w:pPr>
            <w:proofErr w:type="spellStart"/>
            <w:r w:rsidRPr="00260503">
              <w:rPr>
                <w:rFonts w:ascii="Arial" w:hAnsi="Arial" w:cs="Arial"/>
                <w:sz w:val="18"/>
                <w:szCs w:val="18"/>
              </w:rPr>
              <w:t>BbSP</w:t>
            </w:r>
            <w:proofErr w:type="spellEnd"/>
            <w:r w:rsidRPr="00260503">
              <w:rPr>
                <w:rFonts w:ascii="Arial" w:hAnsi="Arial" w:cs="Arial"/>
                <w:sz w:val="18"/>
                <w:szCs w:val="18"/>
              </w:rPr>
              <w:t xml:space="preserve"> 105</w:t>
            </w:r>
          </w:p>
        </w:tc>
        <w:tc>
          <w:tcPr>
            <w:tcW w:w="1647" w:type="pct"/>
            <w:shd w:val="clear" w:color="auto" w:fill="auto"/>
            <w:noWrap/>
            <w:vAlign w:val="bottom"/>
            <w:hideMark/>
          </w:tcPr>
          <w:p w14:paraId="7D719B92" w14:textId="77777777" w:rsidR="00260503" w:rsidRPr="00260503" w:rsidRDefault="00260503" w:rsidP="00260503">
            <w:pPr>
              <w:pStyle w:val="Body"/>
              <w:spacing w:after="0"/>
              <w:jc w:val="right"/>
              <w:rPr>
                <w:rFonts w:ascii="Arial" w:hAnsi="Arial" w:cs="Arial"/>
                <w:sz w:val="18"/>
                <w:szCs w:val="18"/>
              </w:rPr>
            </w:pPr>
            <w:r w:rsidRPr="00260503">
              <w:rPr>
                <w:rFonts w:ascii="Arial" w:hAnsi="Arial" w:cs="Arial"/>
                <w:sz w:val="18"/>
                <w:szCs w:val="18"/>
              </w:rPr>
              <w:t>46</w:t>
            </w:r>
          </w:p>
        </w:tc>
        <w:tc>
          <w:tcPr>
            <w:tcW w:w="223" w:type="pct"/>
            <w:shd w:val="clear" w:color="auto" w:fill="auto"/>
            <w:noWrap/>
            <w:vAlign w:val="bottom"/>
            <w:hideMark/>
          </w:tcPr>
          <w:p w14:paraId="0A6A1FC3" w14:textId="77777777" w:rsidR="00260503" w:rsidRPr="00260503" w:rsidRDefault="00260503" w:rsidP="00260503">
            <w:pPr>
              <w:pStyle w:val="Body"/>
              <w:spacing w:after="0"/>
              <w:rPr>
                <w:rFonts w:ascii="Arial" w:hAnsi="Arial" w:cs="Arial"/>
                <w:sz w:val="18"/>
                <w:szCs w:val="18"/>
              </w:rPr>
            </w:pPr>
            <w:r w:rsidRPr="00260503">
              <w:rPr>
                <w:rFonts w:ascii="Arial" w:hAnsi="Arial" w:cs="Arial"/>
                <w:sz w:val="18"/>
                <w:szCs w:val="18"/>
              </w:rPr>
              <w:t>±</w:t>
            </w:r>
          </w:p>
        </w:tc>
        <w:tc>
          <w:tcPr>
            <w:tcW w:w="415" w:type="pct"/>
            <w:shd w:val="clear" w:color="auto" w:fill="auto"/>
            <w:noWrap/>
            <w:vAlign w:val="bottom"/>
            <w:hideMark/>
          </w:tcPr>
          <w:p w14:paraId="245128B9" w14:textId="77777777" w:rsidR="00260503" w:rsidRPr="00260503" w:rsidRDefault="00260503" w:rsidP="00260503">
            <w:pPr>
              <w:pStyle w:val="Body"/>
              <w:spacing w:after="0"/>
              <w:rPr>
                <w:rFonts w:ascii="Arial" w:hAnsi="Arial" w:cs="Arial"/>
                <w:sz w:val="18"/>
                <w:szCs w:val="18"/>
              </w:rPr>
            </w:pPr>
            <w:r w:rsidRPr="00260503">
              <w:rPr>
                <w:rFonts w:ascii="Arial" w:hAnsi="Arial" w:cs="Arial"/>
                <w:sz w:val="18"/>
                <w:szCs w:val="18"/>
              </w:rPr>
              <w:t>3.36</w:t>
            </w:r>
          </w:p>
        </w:tc>
        <w:tc>
          <w:tcPr>
            <w:tcW w:w="1649" w:type="pct"/>
            <w:shd w:val="clear" w:color="auto" w:fill="auto"/>
            <w:noWrap/>
            <w:vAlign w:val="bottom"/>
            <w:hideMark/>
          </w:tcPr>
          <w:p w14:paraId="5894137A" w14:textId="77777777" w:rsidR="00260503" w:rsidRPr="00260503" w:rsidRDefault="00260503" w:rsidP="00260503">
            <w:pPr>
              <w:pStyle w:val="Body"/>
              <w:spacing w:after="0"/>
              <w:rPr>
                <w:rFonts w:ascii="Arial" w:hAnsi="Arial" w:cs="Arial"/>
                <w:sz w:val="18"/>
                <w:szCs w:val="18"/>
              </w:rPr>
            </w:pPr>
            <w:r w:rsidRPr="00260503">
              <w:rPr>
                <w:rFonts w:ascii="Arial" w:hAnsi="Arial" w:cs="Arial"/>
                <w:sz w:val="18"/>
                <w:szCs w:val="18"/>
              </w:rPr>
              <w:t>c</w:t>
            </w:r>
          </w:p>
        </w:tc>
      </w:tr>
      <w:tr w:rsidR="00260503" w:rsidRPr="00260503" w14:paraId="2742C008" w14:textId="77777777" w:rsidTr="00260503">
        <w:trPr>
          <w:trHeight w:val="290"/>
        </w:trPr>
        <w:tc>
          <w:tcPr>
            <w:tcW w:w="1066" w:type="pct"/>
            <w:shd w:val="clear" w:color="auto" w:fill="auto"/>
            <w:noWrap/>
            <w:vAlign w:val="bottom"/>
            <w:hideMark/>
          </w:tcPr>
          <w:p w14:paraId="2241DE57" w14:textId="77777777" w:rsidR="00260503" w:rsidRPr="00260503" w:rsidRDefault="00260503" w:rsidP="00260503">
            <w:pPr>
              <w:pStyle w:val="Body"/>
              <w:spacing w:after="0"/>
              <w:rPr>
                <w:rFonts w:ascii="Arial" w:hAnsi="Arial" w:cs="Arial"/>
                <w:sz w:val="18"/>
                <w:szCs w:val="18"/>
              </w:rPr>
            </w:pPr>
            <w:proofErr w:type="spellStart"/>
            <w:r w:rsidRPr="00260503">
              <w:rPr>
                <w:rFonts w:ascii="Arial" w:hAnsi="Arial" w:cs="Arial"/>
                <w:sz w:val="18"/>
                <w:szCs w:val="18"/>
              </w:rPr>
              <w:t>BbKP</w:t>
            </w:r>
            <w:proofErr w:type="spellEnd"/>
            <w:r w:rsidRPr="00260503">
              <w:rPr>
                <w:rFonts w:ascii="Arial" w:hAnsi="Arial" w:cs="Arial"/>
                <w:sz w:val="18"/>
                <w:szCs w:val="18"/>
              </w:rPr>
              <w:t xml:space="preserve"> 125</w:t>
            </w:r>
          </w:p>
        </w:tc>
        <w:tc>
          <w:tcPr>
            <w:tcW w:w="1647" w:type="pct"/>
            <w:shd w:val="clear" w:color="auto" w:fill="auto"/>
            <w:noWrap/>
            <w:vAlign w:val="bottom"/>
            <w:hideMark/>
          </w:tcPr>
          <w:p w14:paraId="53FB7E5B" w14:textId="77777777" w:rsidR="00260503" w:rsidRPr="00260503" w:rsidRDefault="00260503" w:rsidP="00260503">
            <w:pPr>
              <w:pStyle w:val="Body"/>
              <w:spacing w:after="0"/>
              <w:jc w:val="right"/>
              <w:rPr>
                <w:rFonts w:ascii="Arial" w:hAnsi="Arial" w:cs="Arial"/>
                <w:sz w:val="18"/>
                <w:szCs w:val="18"/>
              </w:rPr>
            </w:pPr>
            <w:r w:rsidRPr="00260503">
              <w:rPr>
                <w:rFonts w:ascii="Arial" w:hAnsi="Arial" w:cs="Arial"/>
                <w:sz w:val="18"/>
                <w:szCs w:val="18"/>
              </w:rPr>
              <w:t>60</w:t>
            </w:r>
          </w:p>
        </w:tc>
        <w:tc>
          <w:tcPr>
            <w:tcW w:w="223" w:type="pct"/>
            <w:shd w:val="clear" w:color="auto" w:fill="auto"/>
            <w:noWrap/>
            <w:vAlign w:val="bottom"/>
            <w:hideMark/>
          </w:tcPr>
          <w:p w14:paraId="722B3F39" w14:textId="77777777" w:rsidR="00260503" w:rsidRPr="00260503" w:rsidRDefault="00260503" w:rsidP="00260503">
            <w:pPr>
              <w:pStyle w:val="Body"/>
              <w:spacing w:after="0"/>
              <w:rPr>
                <w:rFonts w:ascii="Arial" w:hAnsi="Arial" w:cs="Arial"/>
                <w:sz w:val="18"/>
                <w:szCs w:val="18"/>
              </w:rPr>
            </w:pPr>
            <w:r w:rsidRPr="00260503">
              <w:rPr>
                <w:rFonts w:ascii="Arial" w:hAnsi="Arial" w:cs="Arial"/>
                <w:sz w:val="18"/>
                <w:szCs w:val="18"/>
              </w:rPr>
              <w:t>±</w:t>
            </w:r>
          </w:p>
        </w:tc>
        <w:tc>
          <w:tcPr>
            <w:tcW w:w="415" w:type="pct"/>
            <w:shd w:val="clear" w:color="auto" w:fill="auto"/>
            <w:noWrap/>
            <w:vAlign w:val="bottom"/>
            <w:hideMark/>
          </w:tcPr>
          <w:p w14:paraId="00256991" w14:textId="77777777" w:rsidR="00260503" w:rsidRPr="00260503" w:rsidRDefault="00260503" w:rsidP="00260503">
            <w:pPr>
              <w:pStyle w:val="Body"/>
              <w:spacing w:after="0"/>
              <w:rPr>
                <w:rFonts w:ascii="Arial" w:hAnsi="Arial" w:cs="Arial"/>
                <w:sz w:val="18"/>
                <w:szCs w:val="18"/>
              </w:rPr>
            </w:pPr>
            <w:r w:rsidRPr="00260503">
              <w:rPr>
                <w:rFonts w:ascii="Arial" w:hAnsi="Arial" w:cs="Arial"/>
                <w:sz w:val="18"/>
                <w:szCs w:val="18"/>
              </w:rPr>
              <w:t>5.65</w:t>
            </w:r>
          </w:p>
        </w:tc>
        <w:tc>
          <w:tcPr>
            <w:tcW w:w="1649" w:type="pct"/>
            <w:shd w:val="clear" w:color="auto" w:fill="auto"/>
            <w:noWrap/>
            <w:vAlign w:val="bottom"/>
            <w:hideMark/>
          </w:tcPr>
          <w:p w14:paraId="364F9CE5" w14:textId="77777777" w:rsidR="00260503" w:rsidRPr="00260503" w:rsidRDefault="00260503" w:rsidP="00260503">
            <w:pPr>
              <w:pStyle w:val="Body"/>
              <w:spacing w:after="0"/>
              <w:rPr>
                <w:rFonts w:ascii="Arial" w:hAnsi="Arial" w:cs="Arial"/>
                <w:sz w:val="18"/>
                <w:szCs w:val="18"/>
              </w:rPr>
            </w:pPr>
            <w:r w:rsidRPr="00260503">
              <w:rPr>
                <w:rFonts w:ascii="Arial" w:hAnsi="Arial" w:cs="Arial"/>
                <w:sz w:val="18"/>
                <w:szCs w:val="18"/>
              </w:rPr>
              <w:t>b</w:t>
            </w:r>
          </w:p>
        </w:tc>
      </w:tr>
      <w:tr w:rsidR="00260503" w:rsidRPr="00260503" w14:paraId="1A0846A6" w14:textId="77777777" w:rsidTr="00260503">
        <w:trPr>
          <w:trHeight w:val="290"/>
        </w:trPr>
        <w:tc>
          <w:tcPr>
            <w:tcW w:w="1066" w:type="pct"/>
            <w:shd w:val="clear" w:color="auto" w:fill="auto"/>
            <w:noWrap/>
            <w:vAlign w:val="bottom"/>
            <w:hideMark/>
          </w:tcPr>
          <w:p w14:paraId="46CDB5AB" w14:textId="77777777" w:rsidR="00260503" w:rsidRPr="00260503" w:rsidRDefault="00260503" w:rsidP="00260503">
            <w:pPr>
              <w:pStyle w:val="Body"/>
              <w:spacing w:after="0"/>
              <w:rPr>
                <w:rFonts w:ascii="Arial" w:hAnsi="Arial" w:cs="Arial"/>
                <w:sz w:val="18"/>
                <w:szCs w:val="18"/>
              </w:rPr>
            </w:pPr>
            <w:proofErr w:type="spellStart"/>
            <w:r w:rsidRPr="00260503">
              <w:rPr>
                <w:rFonts w:ascii="Arial" w:hAnsi="Arial" w:cs="Arial"/>
                <w:sz w:val="18"/>
                <w:szCs w:val="18"/>
              </w:rPr>
              <w:t>Kontrol</w:t>
            </w:r>
            <w:proofErr w:type="spellEnd"/>
          </w:p>
        </w:tc>
        <w:tc>
          <w:tcPr>
            <w:tcW w:w="1647" w:type="pct"/>
            <w:shd w:val="clear" w:color="auto" w:fill="auto"/>
            <w:noWrap/>
            <w:vAlign w:val="bottom"/>
            <w:hideMark/>
          </w:tcPr>
          <w:p w14:paraId="5CBF34E4" w14:textId="77777777" w:rsidR="00260503" w:rsidRPr="00260503" w:rsidRDefault="00260503" w:rsidP="00260503">
            <w:pPr>
              <w:pStyle w:val="Body"/>
              <w:spacing w:after="0"/>
              <w:jc w:val="right"/>
              <w:rPr>
                <w:rFonts w:ascii="Arial" w:hAnsi="Arial" w:cs="Arial"/>
                <w:sz w:val="18"/>
                <w:szCs w:val="18"/>
              </w:rPr>
            </w:pPr>
            <w:r w:rsidRPr="00260503">
              <w:rPr>
                <w:rFonts w:ascii="Arial" w:hAnsi="Arial" w:cs="Arial"/>
                <w:sz w:val="18"/>
                <w:szCs w:val="18"/>
              </w:rPr>
              <w:t>96.66</w:t>
            </w:r>
          </w:p>
        </w:tc>
        <w:tc>
          <w:tcPr>
            <w:tcW w:w="223" w:type="pct"/>
            <w:shd w:val="clear" w:color="auto" w:fill="auto"/>
            <w:noWrap/>
            <w:vAlign w:val="bottom"/>
            <w:hideMark/>
          </w:tcPr>
          <w:p w14:paraId="2E5CEB84" w14:textId="77777777" w:rsidR="00260503" w:rsidRPr="00260503" w:rsidRDefault="00260503" w:rsidP="00260503">
            <w:pPr>
              <w:pStyle w:val="Body"/>
              <w:spacing w:after="0"/>
              <w:rPr>
                <w:rFonts w:ascii="Arial" w:hAnsi="Arial" w:cs="Arial"/>
                <w:sz w:val="18"/>
                <w:szCs w:val="18"/>
              </w:rPr>
            </w:pPr>
            <w:r w:rsidRPr="00260503">
              <w:rPr>
                <w:rFonts w:ascii="Arial" w:hAnsi="Arial" w:cs="Arial"/>
                <w:sz w:val="18"/>
                <w:szCs w:val="18"/>
              </w:rPr>
              <w:t>±</w:t>
            </w:r>
          </w:p>
        </w:tc>
        <w:tc>
          <w:tcPr>
            <w:tcW w:w="415" w:type="pct"/>
            <w:shd w:val="clear" w:color="auto" w:fill="auto"/>
            <w:noWrap/>
            <w:vAlign w:val="bottom"/>
            <w:hideMark/>
          </w:tcPr>
          <w:p w14:paraId="3DC3F4E1" w14:textId="77777777" w:rsidR="00260503" w:rsidRPr="00260503" w:rsidRDefault="00260503" w:rsidP="00260503">
            <w:pPr>
              <w:pStyle w:val="Body"/>
              <w:spacing w:after="0"/>
              <w:rPr>
                <w:rFonts w:ascii="Arial" w:hAnsi="Arial" w:cs="Arial"/>
                <w:sz w:val="18"/>
                <w:szCs w:val="18"/>
              </w:rPr>
            </w:pPr>
            <w:r w:rsidRPr="00260503">
              <w:rPr>
                <w:rFonts w:ascii="Arial" w:hAnsi="Arial" w:cs="Arial"/>
                <w:sz w:val="18"/>
                <w:szCs w:val="18"/>
              </w:rPr>
              <w:t>3.01</w:t>
            </w:r>
          </w:p>
        </w:tc>
        <w:tc>
          <w:tcPr>
            <w:tcW w:w="1649" w:type="pct"/>
            <w:shd w:val="clear" w:color="auto" w:fill="auto"/>
            <w:noWrap/>
            <w:vAlign w:val="bottom"/>
            <w:hideMark/>
          </w:tcPr>
          <w:p w14:paraId="219631FC" w14:textId="77777777" w:rsidR="00260503" w:rsidRPr="00260503" w:rsidRDefault="00260503" w:rsidP="00260503">
            <w:pPr>
              <w:pStyle w:val="Body"/>
              <w:spacing w:after="0"/>
              <w:rPr>
                <w:rFonts w:ascii="Arial" w:hAnsi="Arial" w:cs="Arial"/>
                <w:sz w:val="18"/>
                <w:szCs w:val="18"/>
              </w:rPr>
            </w:pPr>
            <w:r w:rsidRPr="00260503">
              <w:rPr>
                <w:rFonts w:ascii="Arial" w:hAnsi="Arial" w:cs="Arial"/>
                <w:sz w:val="18"/>
                <w:szCs w:val="18"/>
              </w:rPr>
              <w:t>a</w:t>
            </w:r>
          </w:p>
        </w:tc>
      </w:tr>
    </w:tbl>
    <w:p w14:paraId="4A8B0753" w14:textId="77777777" w:rsidR="00260503" w:rsidRDefault="00260503" w:rsidP="00260503">
      <w:pPr>
        <w:pStyle w:val="Body"/>
        <w:spacing w:after="0"/>
        <w:rPr>
          <w:rFonts w:ascii="Arial" w:hAnsi="Arial" w:cs="Arial"/>
          <w:sz w:val="18"/>
        </w:rPr>
      </w:pPr>
      <w:r w:rsidRPr="00260503">
        <w:rPr>
          <w:rFonts w:ascii="Arial" w:hAnsi="Arial" w:cs="Arial"/>
          <w:sz w:val="18"/>
        </w:rPr>
        <w:t>*The numbers followed by the same letter in the same column are not significantly different in LSD test at 5% level.</w:t>
      </w:r>
    </w:p>
    <w:p w14:paraId="52A4DDC2" w14:textId="77777777" w:rsidR="00260503" w:rsidRPr="00260503" w:rsidRDefault="00260503" w:rsidP="00260503">
      <w:pPr>
        <w:pStyle w:val="Body"/>
        <w:spacing w:after="0"/>
        <w:rPr>
          <w:rFonts w:ascii="Arial" w:hAnsi="Arial" w:cs="Arial"/>
        </w:rPr>
      </w:pPr>
    </w:p>
    <w:p w14:paraId="19DC36D1" w14:textId="77777777" w:rsidR="00260503" w:rsidRPr="00260503" w:rsidRDefault="00260503" w:rsidP="00260503">
      <w:pPr>
        <w:pStyle w:val="Body"/>
        <w:rPr>
          <w:rFonts w:ascii="Arial" w:hAnsi="Arial" w:cs="Arial"/>
        </w:rPr>
      </w:pPr>
      <w:r w:rsidRPr="00260503">
        <w:rPr>
          <w:rFonts w:ascii="Arial" w:hAnsi="Arial" w:cs="Arial"/>
        </w:rPr>
        <w:t xml:space="preserve">The observations revealed that treatments with </w:t>
      </w:r>
      <w:r w:rsidRPr="00260503">
        <w:rPr>
          <w:rFonts w:ascii="Arial" w:hAnsi="Arial" w:cs="Arial"/>
          <w:i/>
          <w:iCs/>
        </w:rPr>
        <w:t>B. bassiana</w:t>
      </w:r>
      <w:r w:rsidRPr="00260503">
        <w:rPr>
          <w:rFonts w:ascii="Arial" w:hAnsi="Arial" w:cs="Arial"/>
        </w:rPr>
        <w:t xml:space="preserve"> isolates significantly reduced the percentage of </w:t>
      </w:r>
      <w:proofErr w:type="spellStart"/>
      <w:r w:rsidRPr="00260503">
        <w:rPr>
          <w:rFonts w:ascii="Arial" w:hAnsi="Arial" w:cs="Arial"/>
          <w:i/>
          <w:iCs/>
        </w:rPr>
        <w:t>Dysmicoccus</w:t>
      </w:r>
      <w:proofErr w:type="spellEnd"/>
      <w:r w:rsidRPr="00260503">
        <w:rPr>
          <w:rFonts w:ascii="Arial" w:hAnsi="Arial" w:cs="Arial"/>
          <w:i/>
          <w:iCs/>
        </w:rPr>
        <w:t xml:space="preserve"> </w:t>
      </w:r>
      <w:proofErr w:type="spellStart"/>
      <w:r w:rsidRPr="00260503">
        <w:rPr>
          <w:rFonts w:ascii="Arial" w:hAnsi="Arial" w:cs="Arial"/>
          <w:i/>
          <w:iCs/>
        </w:rPr>
        <w:t>brevipes</w:t>
      </w:r>
      <w:proofErr w:type="spellEnd"/>
      <w:r w:rsidRPr="00260503">
        <w:rPr>
          <w:rFonts w:ascii="Arial" w:hAnsi="Arial" w:cs="Arial"/>
        </w:rPr>
        <w:t xml:space="preserve"> nymphs that successfully developed into adults compared to the control. The highest adult emergence was recorded in the control treatment, reaching 96.66%, indicating that under untreated conditions, nearly all nymphs successfully completed their development. This demonstrates the high survival rate of nymphs in the absence of control measures, suggesting a strong potential for population outbreaks.</w:t>
      </w:r>
    </w:p>
    <w:p w14:paraId="302FB383" w14:textId="77777777" w:rsidR="00260503" w:rsidRPr="00260503" w:rsidRDefault="00260503" w:rsidP="00260503">
      <w:pPr>
        <w:pStyle w:val="Body"/>
        <w:rPr>
          <w:rFonts w:ascii="Arial" w:hAnsi="Arial" w:cs="Arial"/>
        </w:rPr>
      </w:pPr>
      <w:r w:rsidRPr="00260503">
        <w:rPr>
          <w:rFonts w:ascii="Arial" w:hAnsi="Arial" w:cs="Arial"/>
        </w:rPr>
        <w:t xml:space="preserve">In contrast, all treatments with </w:t>
      </w:r>
      <w:r w:rsidRPr="00260503">
        <w:rPr>
          <w:rFonts w:ascii="Arial" w:hAnsi="Arial" w:cs="Arial"/>
          <w:i/>
          <w:iCs/>
        </w:rPr>
        <w:t>B. bassiana</w:t>
      </w:r>
      <w:r w:rsidRPr="00260503">
        <w:rPr>
          <w:rFonts w:ascii="Arial" w:hAnsi="Arial" w:cs="Arial"/>
        </w:rPr>
        <w:t xml:space="preserve"> isolates resulted in a significant reduction in nymph development into adults. The </w:t>
      </w:r>
      <w:proofErr w:type="spellStart"/>
      <w:r w:rsidRPr="00260503">
        <w:rPr>
          <w:rFonts w:ascii="Arial" w:hAnsi="Arial" w:cs="Arial"/>
        </w:rPr>
        <w:t>BbSP</w:t>
      </w:r>
      <w:proofErr w:type="spellEnd"/>
      <w:r w:rsidRPr="00260503">
        <w:rPr>
          <w:rFonts w:ascii="Arial" w:hAnsi="Arial" w:cs="Arial"/>
        </w:rPr>
        <w:t xml:space="preserve"> 217 isolate yielded the lowest adult emergence rate at only 38%, indicating that the majority of nymphs either died or failed to develop properly due to fungal infection. This suggests that </w:t>
      </w:r>
      <w:proofErr w:type="spellStart"/>
      <w:r w:rsidRPr="00260503">
        <w:rPr>
          <w:rFonts w:ascii="Arial" w:hAnsi="Arial" w:cs="Arial"/>
        </w:rPr>
        <w:t>BbSP</w:t>
      </w:r>
      <w:proofErr w:type="spellEnd"/>
      <w:r w:rsidRPr="00260503">
        <w:rPr>
          <w:rFonts w:ascii="Arial" w:hAnsi="Arial" w:cs="Arial"/>
        </w:rPr>
        <w:t xml:space="preserve"> 217 is the most effective isolate in inhibiting the pest’s development to the adult stage.</w:t>
      </w:r>
    </w:p>
    <w:p w14:paraId="31067C49" w14:textId="77777777" w:rsidR="00260503" w:rsidRPr="00260503" w:rsidRDefault="00260503" w:rsidP="00260503">
      <w:pPr>
        <w:pStyle w:val="Body"/>
        <w:rPr>
          <w:rFonts w:ascii="Arial" w:hAnsi="Arial" w:cs="Arial"/>
        </w:rPr>
      </w:pPr>
      <w:r w:rsidRPr="00260503">
        <w:rPr>
          <w:rFonts w:ascii="Arial" w:hAnsi="Arial" w:cs="Arial"/>
        </w:rPr>
        <w:t xml:space="preserve">Similarly, the </w:t>
      </w:r>
      <w:proofErr w:type="spellStart"/>
      <w:r w:rsidRPr="00260503">
        <w:rPr>
          <w:rFonts w:ascii="Arial" w:hAnsi="Arial" w:cs="Arial"/>
        </w:rPr>
        <w:t>BbSP</w:t>
      </w:r>
      <w:proofErr w:type="spellEnd"/>
      <w:r w:rsidRPr="00260503">
        <w:rPr>
          <w:rFonts w:ascii="Arial" w:hAnsi="Arial" w:cs="Arial"/>
        </w:rPr>
        <w:t xml:space="preserve"> 105 isolate was also effective, with a slightly higher adult emergence rate of 46%, while the </w:t>
      </w:r>
      <w:proofErr w:type="spellStart"/>
      <w:r w:rsidRPr="00260503">
        <w:rPr>
          <w:rFonts w:ascii="Arial" w:hAnsi="Arial" w:cs="Arial"/>
        </w:rPr>
        <w:t>BbKP</w:t>
      </w:r>
      <w:proofErr w:type="spellEnd"/>
      <w:r w:rsidRPr="00260503">
        <w:rPr>
          <w:rFonts w:ascii="Arial" w:hAnsi="Arial" w:cs="Arial"/>
        </w:rPr>
        <w:t xml:space="preserve"> 125 isolate resulted in the highest emergence among the tested isolates at 60%. However, all fungal treatments still showed significantly lower adult emergence compared to the control. These results indicate that all tested </w:t>
      </w:r>
      <w:r w:rsidRPr="00260503">
        <w:rPr>
          <w:rFonts w:ascii="Arial" w:hAnsi="Arial" w:cs="Arial"/>
          <w:i/>
          <w:iCs/>
        </w:rPr>
        <w:t>B. bassiana</w:t>
      </w:r>
      <w:r w:rsidRPr="00260503">
        <w:rPr>
          <w:rFonts w:ascii="Arial" w:hAnsi="Arial" w:cs="Arial"/>
        </w:rPr>
        <w:t xml:space="preserve"> isolates have strong potential as biological control agents by disrupting the life cycle of </w:t>
      </w:r>
      <w:r w:rsidRPr="00260503">
        <w:rPr>
          <w:rFonts w:ascii="Arial" w:hAnsi="Arial" w:cs="Arial"/>
          <w:i/>
          <w:iCs/>
        </w:rPr>
        <w:t>D. brevipes</w:t>
      </w:r>
      <w:r w:rsidRPr="00260503">
        <w:rPr>
          <w:rFonts w:ascii="Arial" w:hAnsi="Arial" w:cs="Arial"/>
        </w:rPr>
        <w:t xml:space="preserve"> and preventing its progression to adulthood.</w:t>
      </w:r>
    </w:p>
    <w:p w14:paraId="60DAD23C" w14:textId="77777777" w:rsidR="00260503" w:rsidRPr="00260503" w:rsidRDefault="00737EFA" w:rsidP="00260503">
      <w:pPr>
        <w:pStyle w:val="Body"/>
        <w:spacing w:after="0"/>
        <w:rPr>
          <w:rFonts w:ascii="Arial" w:hAnsi="Arial" w:cs="Arial"/>
          <w:b/>
          <w:bCs/>
          <w:i/>
          <w:iCs/>
        </w:rPr>
      </w:pPr>
      <w:r>
        <w:rPr>
          <w:rFonts w:ascii="Arial" w:hAnsi="Arial" w:cs="Arial"/>
          <w:b/>
          <w:bCs/>
        </w:rPr>
        <w:t xml:space="preserve">3.4 </w:t>
      </w:r>
      <w:r w:rsidR="00260503" w:rsidRPr="00260503">
        <w:rPr>
          <w:rFonts w:ascii="Arial" w:hAnsi="Arial" w:cs="Arial"/>
          <w:b/>
          <w:bCs/>
        </w:rPr>
        <w:t xml:space="preserve">Symptoms of </w:t>
      </w:r>
      <w:r w:rsidR="00260503" w:rsidRPr="00260503">
        <w:rPr>
          <w:rFonts w:ascii="Arial" w:hAnsi="Arial" w:cs="Arial"/>
          <w:b/>
          <w:bCs/>
          <w:i/>
          <w:iCs/>
        </w:rPr>
        <w:t xml:space="preserve">Beauveria </w:t>
      </w:r>
      <w:proofErr w:type="spellStart"/>
      <w:r w:rsidR="00260503" w:rsidRPr="00260503">
        <w:rPr>
          <w:rFonts w:ascii="Arial" w:hAnsi="Arial" w:cs="Arial"/>
          <w:b/>
          <w:bCs/>
          <w:i/>
          <w:iCs/>
        </w:rPr>
        <w:t>bassiana</w:t>
      </w:r>
      <w:proofErr w:type="spellEnd"/>
      <w:r w:rsidR="00260503" w:rsidRPr="00260503">
        <w:rPr>
          <w:rFonts w:ascii="Arial" w:hAnsi="Arial" w:cs="Arial"/>
          <w:b/>
          <w:bCs/>
        </w:rPr>
        <w:t xml:space="preserve"> Infection in </w:t>
      </w:r>
      <w:proofErr w:type="spellStart"/>
      <w:r w:rsidR="00260503" w:rsidRPr="00260503">
        <w:rPr>
          <w:rFonts w:ascii="Arial" w:hAnsi="Arial" w:cs="Arial"/>
          <w:b/>
          <w:bCs/>
          <w:i/>
          <w:iCs/>
        </w:rPr>
        <w:t>Dysmicoccus</w:t>
      </w:r>
      <w:proofErr w:type="spellEnd"/>
      <w:r w:rsidR="00260503" w:rsidRPr="00260503">
        <w:rPr>
          <w:rFonts w:ascii="Arial" w:hAnsi="Arial" w:cs="Arial"/>
          <w:b/>
          <w:bCs/>
          <w:i/>
          <w:iCs/>
        </w:rPr>
        <w:t xml:space="preserve"> </w:t>
      </w:r>
      <w:proofErr w:type="spellStart"/>
      <w:r w:rsidR="00260503" w:rsidRPr="00260503">
        <w:rPr>
          <w:rFonts w:ascii="Arial" w:hAnsi="Arial" w:cs="Arial"/>
          <w:b/>
          <w:bCs/>
          <w:i/>
          <w:iCs/>
        </w:rPr>
        <w:t>brevipes</w:t>
      </w:r>
      <w:proofErr w:type="spellEnd"/>
    </w:p>
    <w:p w14:paraId="45C04035" w14:textId="77777777" w:rsidR="00260503" w:rsidRPr="00260503" w:rsidRDefault="00260503" w:rsidP="00260503">
      <w:pPr>
        <w:pStyle w:val="Body"/>
        <w:spacing w:after="0"/>
        <w:rPr>
          <w:rFonts w:ascii="Arial" w:hAnsi="Arial" w:cs="Arial"/>
          <w:bCs/>
          <w:iCs/>
        </w:rPr>
      </w:pPr>
      <w:r w:rsidRPr="00260503">
        <w:rPr>
          <w:rFonts w:ascii="Arial" w:hAnsi="Arial" w:cs="Arial"/>
          <w:bCs/>
          <w:iCs/>
        </w:rPr>
        <w:tab/>
        <w:t>Changes in body color and reduced activity serve as early indicators of infection, which are later followed by fungal colonization on the surface of the insect's body (Figure 2). Figure 2 illustrates the progressive stages of infection, from a healthy condition to the development of external fungal structures.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02"/>
        <w:gridCol w:w="2876"/>
        <w:gridCol w:w="2567"/>
      </w:tblGrid>
      <w:tr w:rsidR="00260503" w:rsidRPr="00260503" w14:paraId="3DF27845" w14:textId="77777777" w:rsidTr="00260503">
        <w:tc>
          <w:tcPr>
            <w:tcW w:w="2902" w:type="dxa"/>
          </w:tcPr>
          <w:p w14:paraId="7B6C071E" w14:textId="77777777" w:rsidR="00260503" w:rsidRPr="00260503" w:rsidRDefault="00C84930" w:rsidP="00260503">
            <w:pPr>
              <w:pStyle w:val="Body"/>
              <w:spacing w:after="0"/>
              <w:rPr>
                <w:rFonts w:ascii="Arial" w:hAnsi="Arial" w:cs="Arial"/>
              </w:rPr>
            </w:pPr>
            <w:r>
              <w:rPr>
                <w:rFonts w:ascii="Arial" w:hAnsi="Arial" w:cs="Arial"/>
                <w:noProof/>
              </w:rPr>
              <w:lastRenderedPageBreak/>
              <w:pict w14:anchorId="0F0BC5BC">
                <v:shapetype id="_x0000_t202" coordsize="21600,21600" o:spt="202" path="m,l,21600r21600,l21600,xe">
                  <v:stroke joinstyle="miter"/>
                  <v:path gradientshapeok="t" o:connecttype="rect"/>
                </v:shapetype>
                <v:shape id="_x0000_s1027" type="#_x0000_t202" style="position:absolute;left:0;text-align:left;margin-left:3.2pt;margin-top:122pt;width:25pt;height:18.5pt;z-index:251658240">
                  <v:textbox style="mso-next-textbox:#_x0000_s1027">
                    <w:txbxContent>
                      <w:p w14:paraId="0BF6C5FB" w14:textId="77777777" w:rsidR="00737EFA" w:rsidRDefault="00737EFA">
                        <w:r>
                          <w:t>a</w:t>
                        </w:r>
                      </w:p>
                    </w:txbxContent>
                  </v:textbox>
                </v:shape>
              </w:pict>
            </w:r>
            <w:r w:rsidR="00260503" w:rsidRPr="00260503">
              <w:rPr>
                <w:rFonts w:ascii="Arial" w:hAnsi="Arial" w:cs="Arial"/>
                <w:noProof/>
              </w:rPr>
              <w:drawing>
                <wp:inline distT="0" distB="0" distL="0" distR="0" wp14:anchorId="51AD8561" wp14:editId="08E2AA0A">
                  <wp:extent cx="1936376" cy="1828495"/>
                  <wp:effectExtent l="0" t="0" r="698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45097" cy="1836730"/>
                          </a:xfrm>
                          <a:prstGeom prst="rect">
                            <a:avLst/>
                          </a:prstGeom>
                        </pic:spPr>
                      </pic:pic>
                    </a:graphicData>
                  </a:graphic>
                </wp:inline>
              </w:drawing>
            </w:r>
          </w:p>
        </w:tc>
        <w:tc>
          <w:tcPr>
            <w:tcW w:w="2876" w:type="dxa"/>
          </w:tcPr>
          <w:p w14:paraId="7A5A103E" w14:textId="77777777" w:rsidR="00260503" w:rsidRPr="00260503" w:rsidRDefault="00C84930" w:rsidP="00260503">
            <w:pPr>
              <w:pStyle w:val="Body"/>
              <w:spacing w:after="0"/>
              <w:ind w:left="-135"/>
              <w:rPr>
                <w:rFonts w:ascii="Arial" w:hAnsi="Arial" w:cs="Arial"/>
              </w:rPr>
            </w:pPr>
            <w:r>
              <w:rPr>
                <w:rFonts w:ascii="Arial" w:hAnsi="Arial" w:cs="Arial"/>
                <w:noProof/>
              </w:rPr>
              <w:pict w14:anchorId="7AA20644">
                <v:shape id="_x0000_s1028" type="#_x0000_t202" style="position:absolute;left:0;text-align:left;margin-left:-3.4pt;margin-top:122pt;width:25.5pt;height:18.5pt;z-index:251659264;mso-position-horizontal-relative:text;mso-position-vertical-relative:text">
                  <v:textbox style="mso-next-textbox:#_x0000_s1028">
                    <w:txbxContent>
                      <w:p w14:paraId="06D77B88" w14:textId="77777777" w:rsidR="00737EFA" w:rsidRDefault="00737EFA">
                        <w:r>
                          <w:t>b</w:t>
                        </w:r>
                      </w:p>
                    </w:txbxContent>
                  </v:textbox>
                </v:shape>
              </w:pict>
            </w:r>
            <w:r w:rsidR="00260503" w:rsidRPr="00260503">
              <w:rPr>
                <w:rFonts w:ascii="Arial" w:hAnsi="Arial" w:cs="Arial"/>
                <w:noProof/>
              </w:rPr>
              <w:drawing>
                <wp:inline distT="0" distB="0" distL="0" distR="0" wp14:anchorId="34D7473B" wp14:editId="41D464E5">
                  <wp:extent cx="2066340" cy="18281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83441" cy="1843295"/>
                          </a:xfrm>
                          <a:prstGeom prst="rect">
                            <a:avLst/>
                          </a:prstGeom>
                        </pic:spPr>
                      </pic:pic>
                    </a:graphicData>
                  </a:graphic>
                </wp:inline>
              </w:drawing>
            </w:r>
          </w:p>
        </w:tc>
        <w:tc>
          <w:tcPr>
            <w:tcW w:w="2567" w:type="dxa"/>
          </w:tcPr>
          <w:p w14:paraId="6C2E0E96" w14:textId="77777777" w:rsidR="00260503" w:rsidRPr="00260503" w:rsidRDefault="00C84930" w:rsidP="00260503">
            <w:pPr>
              <w:pStyle w:val="Body"/>
              <w:spacing w:after="0"/>
              <w:ind w:left="-117"/>
              <w:rPr>
                <w:rFonts w:ascii="Arial" w:hAnsi="Arial" w:cs="Arial"/>
              </w:rPr>
            </w:pPr>
            <w:r>
              <w:rPr>
                <w:rFonts w:ascii="Arial" w:hAnsi="Arial" w:cs="Arial"/>
                <w:noProof/>
              </w:rPr>
              <w:pict w14:anchorId="0C2F8374">
                <v:shape id="_x0000_s1029" type="#_x0000_t202" style="position:absolute;left:0;text-align:left;margin-left:-3.2pt;margin-top:122pt;width:24.5pt;height:18.5pt;z-index:251660288;mso-position-horizontal-relative:text;mso-position-vertical-relative:text">
                  <v:textbox style="mso-next-textbox:#_x0000_s1029">
                    <w:txbxContent>
                      <w:p w14:paraId="19070854" w14:textId="77777777" w:rsidR="00737EFA" w:rsidRDefault="00737EFA">
                        <w:r>
                          <w:t>c</w:t>
                        </w:r>
                      </w:p>
                    </w:txbxContent>
                  </v:textbox>
                </v:shape>
              </w:pict>
            </w:r>
            <w:r w:rsidR="00260503" w:rsidRPr="00260503">
              <w:rPr>
                <w:rFonts w:ascii="Arial" w:hAnsi="Arial" w:cs="Arial"/>
                <w:noProof/>
              </w:rPr>
              <w:drawing>
                <wp:inline distT="0" distB="0" distL="0" distR="0" wp14:anchorId="15D2BFF3" wp14:editId="511A99B4">
                  <wp:extent cx="1774638" cy="1827932"/>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1790" t="5884"/>
                          <a:stretch/>
                        </pic:blipFill>
                        <pic:spPr bwMode="auto">
                          <a:xfrm>
                            <a:off x="0" y="0"/>
                            <a:ext cx="1792134" cy="1845954"/>
                          </a:xfrm>
                          <a:prstGeom prst="rect">
                            <a:avLst/>
                          </a:prstGeom>
                          <a:ln>
                            <a:noFill/>
                          </a:ln>
                          <a:extLst>
                            <a:ext uri="{53640926-AAD7-44D8-BBD7-CCE9431645EC}">
                              <a14:shadowObscured xmlns:a14="http://schemas.microsoft.com/office/drawing/2010/main"/>
                            </a:ext>
                          </a:extLst>
                        </pic:spPr>
                      </pic:pic>
                    </a:graphicData>
                  </a:graphic>
                </wp:inline>
              </w:drawing>
            </w:r>
          </w:p>
        </w:tc>
      </w:tr>
    </w:tbl>
    <w:p w14:paraId="19FCB893" w14:textId="77777777" w:rsidR="00260503" w:rsidRDefault="00260503" w:rsidP="00260503">
      <w:pPr>
        <w:pStyle w:val="Body"/>
        <w:spacing w:after="0"/>
        <w:rPr>
          <w:rFonts w:ascii="Arial" w:hAnsi="Arial" w:cs="Arial"/>
          <w:b/>
          <w:i/>
          <w:iCs/>
        </w:rPr>
      </w:pPr>
      <w:r w:rsidRPr="00260503">
        <w:rPr>
          <w:rFonts w:ascii="Arial" w:hAnsi="Arial" w:cs="Arial"/>
          <w:b/>
        </w:rPr>
        <w:t xml:space="preserve">Figure 2. Symptoms of </w:t>
      </w:r>
      <w:r w:rsidRPr="00260503">
        <w:rPr>
          <w:rFonts w:ascii="Arial" w:hAnsi="Arial" w:cs="Arial"/>
          <w:b/>
          <w:i/>
          <w:iCs/>
        </w:rPr>
        <w:t xml:space="preserve">Beauveria </w:t>
      </w:r>
      <w:proofErr w:type="spellStart"/>
      <w:r w:rsidRPr="00260503">
        <w:rPr>
          <w:rFonts w:ascii="Arial" w:hAnsi="Arial" w:cs="Arial"/>
          <w:b/>
          <w:i/>
          <w:iCs/>
        </w:rPr>
        <w:t>bassiana</w:t>
      </w:r>
      <w:proofErr w:type="spellEnd"/>
      <w:r w:rsidRPr="00260503">
        <w:rPr>
          <w:rFonts w:ascii="Arial" w:hAnsi="Arial" w:cs="Arial"/>
          <w:b/>
        </w:rPr>
        <w:t xml:space="preserve"> infection in </w:t>
      </w:r>
      <w:proofErr w:type="spellStart"/>
      <w:r w:rsidRPr="00260503">
        <w:rPr>
          <w:rFonts w:ascii="Arial" w:hAnsi="Arial" w:cs="Arial"/>
          <w:b/>
          <w:i/>
          <w:iCs/>
        </w:rPr>
        <w:t>Dysmicoccus</w:t>
      </w:r>
      <w:proofErr w:type="spellEnd"/>
      <w:r w:rsidRPr="00260503">
        <w:rPr>
          <w:rFonts w:ascii="Arial" w:hAnsi="Arial" w:cs="Arial"/>
          <w:b/>
          <w:i/>
          <w:iCs/>
        </w:rPr>
        <w:t xml:space="preserve"> </w:t>
      </w:r>
      <w:proofErr w:type="spellStart"/>
      <w:r w:rsidRPr="00260503">
        <w:rPr>
          <w:rFonts w:ascii="Arial" w:hAnsi="Arial" w:cs="Arial"/>
          <w:b/>
          <w:i/>
          <w:iCs/>
        </w:rPr>
        <w:t>brevipes</w:t>
      </w:r>
      <w:proofErr w:type="spellEnd"/>
      <w:r w:rsidRPr="00260503">
        <w:rPr>
          <w:rFonts w:ascii="Arial" w:hAnsi="Arial" w:cs="Arial"/>
          <w:b/>
        </w:rPr>
        <w:t xml:space="preserve"> nymphs: (a) normal nymph, (b) infected nymph, (c) nymph colonized by </w:t>
      </w:r>
      <w:r w:rsidRPr="00260503">
        <w:rPr>
          <w:rFonts w:ascii="Arial" w:hAnsi="Arial" w:cs="Arial"/>
          <w:b/>
          <w:i/>
          <w:iCs/>
        </w:rPr>
        <w:t>B. bassiana</w:t>
      </w:r>
    </w:p>
    <w:p w14:paraId="0F419A26" w14:textId="77777777" w:rsidR="00737EFA" w:rsidRPr="00260503" w:rsidRDefault="00737EFA" w:rsidP="00260503">
      <w:pPr>
        <w:pStyle w:val="Body"/>
        <w:spacing w:after="0"/>
        <w:rPr>
          <w:rFonts w:ascii="Arial" w:hAnsi="Arial" w:cs="Arial"/>
          <w:b/>
        </w:rPr>
      </w:pPr>
    </w:p>
    <w:p w14:paraId="62C366DD" w14:textId="77777777" w:rsidR="00260503" w:rsidRPr="00260503" w:rsidRDefault="00260503" w:rsidP="00260503">
      <w:pPr>
        <w:pStyle w:val="Body"/>
        <w:rPr>
          <w:rFonts w:ascii="Arial" w:hAnsi="Arial" w:cs="Arial"/>
        </w:rPr>
      </w:pPr>
      <w:r w:rsidRPr="00260503">
        <w:rPr>
          <w:rFonts w:ascii="Arial" w:hAnsi="Arial" w:cs="Arial"/>
        </w:rPr>
        <w:t xml:space="preserve">Based on visual observations, </w:t>
      </w:r>
      <w:r w:rsidRPr="00260503">
        <w:rPr>
          <w:rFonts w:ascii="Arial" w:hAnsi="Arial" w:cs="Arial"/>
          <w:i/>
          <w:iCs/>
        </w:rPr>
        <w:t>D. brevipes</w:t>
      </w:r>
      <w:r w:rsidRPr="00260503">
        <w:rPr>
          <w:rFonts w:ascii="Arial" w:hAnsi="Arial" w:cs="Arial"/>
        </w:rPr>
        <w:t xml:space="preserve"> individuals that were not infected exhibited normal morphological characteristics: their bodies were white to yellowish in color, with a clean surface and active movement. These traits indicate a healthy physiological condition with no disturbance from pathogenic agents.</w:t>
      </w:r>
    </w:p>
    <w:p w14:paraId="7D4E1BED" w14:textId="77777777" w:rsidR="00260503" w:rsidRPr="00260503" w:rsidRDefault="00260503" w:rsidP="00260503">
      <w:pPr>
        <w:pStyle w:val="Body"/>
        <w:rPr>
          <w:rFonts w:ascii="Arial" w:hAnsi="Arial" w:cs="Arial"/>
        </w:rPr>
      </w:pPr>
      <w:r w:rsidRPr="00260503">
        <w:rPr>
          <w:rFonts w:ascii="Arial" w:hAnsi="Arial" w:cs="Arial"/>
        </w:rPr>
        <w:t xml:space="preserve">In contrast, early symptoms of infection by </w:t>
      </w:r>
      <w:r w:rsidRPr="00260503">
        <w:rPr>
          <w:rFonts w:ascii="Arial" w:hAnsi="Arial" w:cs="Arial"/>
          <w:i/>
          <w:iCs/>
        </w:rPr>
        <w:t>B.  bassiana</w:t>
      </w:r>
      <w:r w:rsidRPr="00260503">
        <w:rPr>
          <w:rFonts w:ascii="Arial" w:hAnsi="Arial" w:cs="Arial"/>
        </w:rPr>
        <w:t xml:space="preserve"> in treated individuals included a noticeable darkening of the body to a brownish hue, which serves as an early indicator of infection (Figure 2b). This discoloration reflects internal tissue damage resulting from the penetration of fungal hyphae through the insect’s cuticle and the subsequent colonization of the hemolymph </w:t>
      </w:r>
      <w:r w:rsidRPr="00260503">
        <w:rPr>
          <w:rFonts w:ascii="Arial" w:hAnsi="Arial" w:cs="Arial"/>
          <w:vertAlign w:val="superscript"/>
        </w:rPr>
        <w:fldChar w:fldCharType="begin" w:fldLock="1"/>
      </w:r>
      <w:r w:rsidR="00D74235">
        <w:rPr>
          <w:rFonts w:ascii="Arial" w:hAnsi="Arial" w:cs="Arial"/>
        </w:rPr>
        <w:instrText>ADDIN CSL_CITATION {"citationItems":[{"id":"ITEM-1","itemData":{"author":[{"dropping-particle":"","family":"Thakur","given":"Neelam","non-dropping-particle":"","parse-names":false,"suffix":""},{"dropping-particle":"","family":"Tomar","given":"Preety","non-dropping-particle":"","parse-names":false,"suffix":""},{"dropping-particle":"","family":"Kaur","given":"Simranjeet","non-dropping-particle":"","parse-names":false,"suffix":""},{"dropping-particle":"","family":"Kaur","given":"Tanvir","non-dropping-particle":"","parse-names":false,"suffix":""},{"dropping-particle":"","family":"Yadav","given":"Ajar Nath","non-dropping-particle":"","parse-names":false,"suffix":""}],"container-title":"Academic press","id":"ITEM-1","issued":{"date-parts":[["2024"]]},"page":"81-133","title":"The insecticidal activity of endophytic fungi for sustainable agriculture. In Endophytic Fungi","type":"article-journal"},"uris":["http://www.mendeley.com/documents/?uuid=04d8ccb5-cd9c-418a-a9cd-6bce601010d0"]}],"mendeley":{"formattedCitation":"(Thakur et al., 2024)","plainTextFormattedCitation":"(Thakur et al., 2024)","previouslyFormattedCitation":"(Thakur et al., 2024)"},"properties":{"noteIndex":0},"schema":"https://github.com/citation-style-language/schema/raw/master/csl-citation.json"}</w:instrText>
      </w:r>
      <w:r w:rsidRPr="00260503">
        <w:rPr>
          <w:rFonts w:ascii="Arial" w:hAnsi="Arial" w:cs="Arial"/>
          <w:vertAlign w:val="superscript"/>
        </w:rPr>
        <w:fldChar w:fldCharType="separate"/>
      </w:r>
      <w:r w:rsidR="00D74235" w:rsidRPr="00D74235">
        <w:rPr>
          <w:rFonts w:ascii="Arial" w:hAnsi="Arial" w:cs="Arial"/>
          <w:bCs/>
          <w:noProof/>
        </w:rPr>
        <w:t>(Thakur et al., 2024)</w:t>
      </w:r>
      <w:r w:rsidRPr="00260503">
        <w:rPr>
          <w:rFonts w:ascii="Arial" w:hAnsi="Arial" w:cs="Arial"/>
        </w:rPr>
        <w:fldChar w:fldCharType="end"/>
      </w:r>
      <w:r w:rsidRPr="00260503">
        <w:rPr>
          <w:rFonts w:ascii="Arial" w:hAnsi="Arial" w:cs="Arial"/>
        </w:rPr>
        <w:t>. Although external fungal structures such as mycelium or conidia were not yet visible at this stage, the change in body color and reduction in insect activity provided clear signs that infection had begun</w:t>
      </w:r>
      <w:r w:rsidRPr="00260503">
        <w:rPr>
          <w:rFonts w:ascii="Arial" w:hAnsi="Arial" w:cs="Arial"/>
          <w:vertAlign w:val="superscript"/>
        </w:rPr>
        <w:fldChar w:fldCharType="begin" w:fldLock="1"/>
      </w:r>
      <w:r w:rsidR="00D74235">
        <w:rPr>
          <w:rFonts w:ascii="Arial" w:hAnsi="Arial" w:cs="Arial"/>
        </w:rPr>
        <w:instrText>ADDIN CSL_CITATION {"citationItems":[{"id":"ITEM-1","itemData":{"DOI":"10.1016/j.sciaf.2023.e01594","ISSN":"24682276","abstract":"Endophytic fungi are naturally found within plants' tissues and cause no detectable disease symptoms in the plant. However, it is believed to possess supporting ecological and physiological benefits for the plant. The fungi confer to their host plant profound resistance to various pathogenic, parasitic, and pest attach by augmenting the plant's growth rate and improving adaptability and tolerance to pests and pathogens. Furthermore, the relationships between fungal endophytes and their host plant help synthesise varieties of biologically important secondary metabolites. Many of these metabolites have shown antibiotic and pest-repellant properties. In contrast, others have imbued the plant's adaptive properties to withstand environmental stress such as drought, significant variation in temperature, salinity and heavy metal accumulation. In recent years, the interest in fungal endophytes has shifted to their propensity to produce new unique compounds with bioactive properties. These properties include anticancer, antimicrobials, immunosuppressant and antioxidant functions. These fungi could become the future of medicine, agriculture and industrialisation revolutions, based on all of the possible biochemical produced by endophytes.","author":[{"dropping-particle":"","family":"Omomowo","given":"Iyabo Olunike","non-dropping-particle":"","parse-names":false,"suffix":""},{"dropping-particle":"","family":"Amao","given":"John Ayobami","non-dropping-particle":"","parse-names":false,"suffix":""},{"dropping-particle":"","family":"Abubakar","given":"Abdulwasiu","non-dropping-particle":"","parse-names":false,"suffix":""},{"dropping-particle":"","family":"Ogundola","given":"Adijat Funke","non-dropping-particle":"","parse-names":false,"suffix":""},{"dropping-particle":"","family":"Ezediuno","given":"Louis Odimakaose","non-dropping-particle":"","parse-names":false,"suffix":""},{"dropping-particle":"","family":"Bamigboye","given":"Comfort Olukemi","non-dropping-particle":"","parse-names":false,"suffix":""}],"container-title":"Scientific African","id":"ITEM-1","issued":{"date-parts":[["2023"]]},"publisher":"Elsevier B.V.","title":"A review on the trends of endophytic fungi bioactivities","type":"article-journal","volume":"20"},"uris":["http://www.mendeley.com/documents/?uuid=fa46699c-dcbb-493f-b2d2-e3c9a483b55f"]}],"mendeley":{"formattedCitation":"(Omomowo et al., 2023)","plainTextFormattedCitation":"(Omomowo et al., 2023)","previouslyFormattedCitation":"(Omomowo et al., 2023)"},"properties":{"noteIndex":0},"schema":"https://github.com/citation-style-language/schema/raw/master/csl-citation.json"}</w:instrText>
      </w:r>
      <w:r w:rsidRPr="00260503">
        <w:rPr>
          <w:rFonts w:ascii="Arial" w:hAnsi="Arial" w:cs="Arial"/>
          <w:vertAlign w:val="superscript"/>
        </w:rPr>
        <w:fldChar w:fldCharType="separate"/>
      </w:r>
      <w:r w:rsidR="00D74235" w:rsidRPr="00D74235">
        <w:rPr>
          <w:rFonts w:ascii="Arial" w:hAnsi="Arial" w:cs="Arial"/>
          <w:noProof/>
        </w:rPr>
        <w:t>(Omomowo et al., 2023)</w:t>
      </w:r>
      <w:r w:rsidRPr="00260503">
        <w:rPr>
          <w:rFonts w:ascii="Arial" w:hAnsi="Arial" w:cs="Arial"/>
        </w:rPr>
        <w:fldChar w:fldCharType="end"/>
      </w:r>
      <w:r w:rsidRPr="00260503">
        <w:rPr>
          <w:rFonts w:ascii="Arial" w:hAnsi="Arial" w:cs="Arial"/>
        </w:rPr>
        <w:t>.</w:t>
      </w:r>
    </w:p>
    <w:p w14:paraId="389245AA" w14:textId="77777777" w:rsidR="00E053D0" w:rsidRDefault="00260503" w:rsidP="00737EFA">
      <w:pPr>
        <w:pStyle w:val="Body"/>
        <w:rPr>
          <w:rFonts w:ascii="Arial" w:hAnsi="Arial" w:cs="Arial"/>
        </w:rPr>
      </w:pPr>
      <w:r w:rsidRPr="00260503">
        <w:rPr>
          <w:rFonts w:ascii="Arial" w:hAnsi="Arial" w:cs="Arial"/>
        </w:rPr>
        <w:t>These morphological changes typically occurred within 2 to 4 days after the application of fungal spores, depending on inoculum concentration, environmental conditions (especially temperature and humidity), and the susceptibility of the host individual. These symptoms generally precede insect mortality, which is later followed by the emergence of external mycelium if environmental conditions are favorable for fungal growth</w:t>
      </w:r>
      <w:r w:rsidR="00737EFA">
        <w:rPr>
          <w:rFonts w:ascii="Arial" w:hAnsi="Arial" w:cs="Arial"/>
        </w:rPr>
        <w:t xml:space="preserve"> (Figure 2c).</w:t>
      </w:r>
    </w:p>
    <w:p w14:paraId="5E875A41" w14:textId="77777777" w:rsidR="00737EFA" w:rsidRPr="00737EFA" w:rsidRDefault="00737EFA" w:rsidP="00737EFA">
      <w:pPr>
        <w:pStyle w:val="Body"/>
        <w:rPr>
          <w:rFonts w:ascii="Arial" w:hAnsi="Arial" w:cs="Arial"/>
        </w:rPr>
      </w:pPr>
      <w:r w:rsidRPr="00737EFA">
        <w:rPr>
          <w:rFonts w:ascii="Arial" w:hAnsi="Arial" w:cs="Arial"/>
        </w:rPr>
        <w:t xml:space="preserve">The observed infection symptoms and high mortality rates reinforce the potential of </w:t>
      </w:r>
      <w:r w:rsidRPr="00737EFA">
        <w:rPr>
          <w:rFonts w:ascii="Arial" w:hAnsi="Arial" w:cs="Arial"/>
          <w:i/>
          <w:iCs/>
        </w:rPr>
        <w:t>Beauveria bassiana</w:t>
      </w:r>
      <w:r w:rsidRPr="00737EFA">
        <w:rPr>
          <w:rFonts w:ascii="Arial" w:hAnsi="Arial" w:cs="Arial"/>
        </w:rPr>
        <w:t xml:space="preserve"> as a biocontrol agent with a reliable infection process against </w:t>
      </w:r>
      <w:proofErr w:type="spellStart"/>
      <w:r w:rsidRPr="00737EFA">
        <w:rPr>
          <w:rFonts w:ascii="Arial" w:hAnsi="Arial" w:cs="Arial"/>
          <w:i/>
          <w:iCs/>
        </w:rPr>
        <w:t>Dysmicoccus</w:t>
      </w:r>
      <w:proofErr w:type="spellEnd"/>
      <w:r w:rsidRPr="00737EFA">
        <w:rPr>
          <w:rFonts w:ascii="Arial" w:hAnsi="Arial" w:cs="Arial"/>
          <w:i/>
          <w:iCs/>
        </w:rPr>
        <w:t xml:space="preserve"> </w:t>
      </w:r>
      <w:proofErr w:type="spellStart"/>
      <w:r w:rsidRPr="00737EFA">
        <w:rPr>
          <w:rFonts w:ascii="Arial" w:hAnsi="Arial" w:cs="Arial"/>
          <w:i/>
          <w:iCs/>
        </w:rPr>
        <w:t>brevipes</w:t>
      </w:r>
      <w:proofErr w:type="spellEnd"/>
      <w:r w:rsidRPr="00737EFA">
        <w:rPr>
          <w:rFonts w:ascii="Arial" w:hAnsi="Arial" w:cs="Arial"/>
        </w:rPr>
        <w:t>. Its ability to suppress population growth at multiple life stages makes it a valuable alternative to synthetic insecticides, especially for farmers seeking environmentally friendly pest control solutions</w:t>
      </w:r>
      <w:r w:rsidR="00D74235">
        <w:rPr>
          <w:rFonts w:ascii="Arial" w:hAnsi="Arial" w:cs="Arial"/>
        </w:rPr>
        <w:t xml:space="preserve"> </w:t>
      </w:r>
      <w:r w:rsidR="00D74235">
        <w:rPr>
          <w:rFonts w:ascii="Arial" w:hAnsi="Arial" w:cs="Arial"/>
        </w:rPr>
        <w:fldChar w:fldCharType="begin" w:fldLock="1"/>
      </w:r>
      <w:r w:rsidR="00D74235">
        <w:rPr>
          <w:rFonts w:ascii="Arial" w:hAnsi="Arial" w:cs="Arial"/>
        </w:rPr>
        <w:instrText>ADDIN CSL_CITATION {"citationItems":[{"id":"ITEM-1","itemData":{"DOI":"10.3389/fpls.2023.1211825","ISSN":"1664462X","abstract":"The entomopathogenic fungus Beauveria bassiana is used commercially as a microbial insecticides against a wide range of agricultural insect pests. Some strains of B. bassiana protect the plants from pathogens, but the underlying mechanisms are largely unknown. Here, we found that prophylactic sprays of commercial bioinsecticide Botanigard on cucumber, tomato, and strawberry plants suppressed the severity of economically damaging powdery mildews. On leaf surfaces, hyphal elongation and spore germination of cucumber powdery mildew, Podosphaera xanthii, were inhibited, but B. bassiana strain GHA, the active ingredient isolated from Botanigard, only inhibited hyphal elongation but had no effect on spore germination of P. xanthii. In addition, strain GHA suppressed powdery mildew symptoms locally, not systemically. Treatment with Botanigard and strain GHA induced a hypersensitive response (HR)–like cell death in epidermal cells of the cucumber leaves in a concentration-dependent manner and inhibited penetration by P. xanthii. Transcriptome analysis and mass spectrometry revealed that GHA induced expression of salicylic acid (SA)–related genes, and treatment with Botanigard and GHA increased the SA level in the cucumber leaves. In NahG-transgenic tomato plants, which do not accumulate SA, the biocontrol effect of tomato powdery mildew by GHA was significantly reduced. These results suggested that B. bassiana GHA induces SA accumulation, leading to the induction of HR-like cell death against powdery mildew and subsequent suppression of fungal penetration. Thus, Botanigard has the potential to control both insect pests and plant diseases.","author":[{"dropping-particle":"","family":"Iida","given":"Yuichiro","non-dropping-particle":"","parse-names":false,"suffix":""},{"dropping-particle":"","family":"Higashi","given":"Yumiko","non-dropping-particle":"","parse-names":false,"suffix":""},{"dropping-particle":"","family":"Nishi","given":"Oumi","non-dropping-particle":"","parse-names":false,"suffix":""},{"dropping-particle":"","family":"Kouda","given":"Mariko","non-dropping-particle":"","parse-names":false,"suffix":""},{"dropping-particle":"","family":"Maeda","given":"Kazuya","non-dropping-particle":"","parse-names":false,"suffix":""},{"dropping-particle":"","family":"Yoshida","given":"Kandai","non-dropping-particle":"","parse-names":false,"suffix":""},{"dropping-particle":"","family":"Asano","given":"Shunsuke","non-dropping-particle":"","parse-names":false,"suffix":""},{"dropping-particle":"","family":"Kawakami","given":"Taku","non-dropping-particle":"","parse-names":false,"suffix":""},{"dropping-particle":"","family":"Nakajima","given":"Kaori","non-dropping-particle":"","parse-names":false,"suffix":""},{"dropping-particle":"","family":"Kuroda","given":"Katsutoshi","non-dropping-particle":"","parse-names":false,"suffix":""},{"dropping-particle":"","family":"Tanaka","given":"Chiharu","non-dropping-particle":"","parse-names":false,"suffix":""},{"dropping-particle":"","family":"Sasaki","given":"Ayano","non-dropping-particle":"","parse-names":false,"suffix":""},{"dropping-particle":"","family":"Kamiya","given":"Katsumi","non-dropping-particle":"","parse-names":false,"suffix":""},{"dropping-particle":"","family":"Yamagishi","given":"Naho","non-dropping-particle":"","parse-names":false,"suffix":""},{"dropping-particle":"","family":"Fujinaga","given":"Masashi","non-dropping-particle":"","parse-names":false,"suffix":""},{"dropping-particle":"","family":"Terami","given":"Fumihiro","non-dropping-particle":"","parse-names":false,"suffix":""},{"dropping-particle":"","family":"Yamanaka","given":"Satoshi","non-dropping-particle":"","parse-names":false,"suffix":""},{"dropping-particle":"","family":"Kubota","given":"Masaharu","non-dropping-particle":"","parse-names":false,"suffix":""}],"container-title":"Frontiers in Plant Science","id":"ITEM-1","issue":"August","issued":{"date-parts":[["2023"]]},"page":"1-12","title":"Entomopathogenic fungus Beauveria bassiana–based bioinsecticide suppresses severity of powdery mildews of vegetables by inducing the plant defense responses","type":"article-journal","volume":"14"},"uris":["http://www.mendeley.com/documents/?uuid=591f3101-62cb-4214-bba3-1c83c3eb570d"]}],"mendeley":{"formattedCitation":"(Iida et al., 2023)","plainTextFormattedCitation":"(Iida et al., 2023)","previouslyFormattedCitation":"(Iida et al., 2023)"},"properties":{"noteIndex":0},"schema":"https://github.com/citation-style-language/schema/raw/master/csl-citation.json"}</w:instrText>
      </w:r>
      <w:r w:rsidR="00D74235">
        <w:rPr>
          <w:rFonts w:ascii="Arial" w:hAnsi="Arial" w:cs="Arial"/>
        </w:rPr>
        <w:fldChar w:fldCharType="separate"/>
      </w:r>
      <w:r w:rsidR="00D74235" w:rsidRPr="00D74235">
        <w:rPr>
          <w:rFonts w:ascii="Arial" w:hAnsi="Arial" w:cs="Arial"/>
          <w:noProof/>
        </w:rPr>
        <w:t>(Iida et al., 2023)</w:t>
      </w:r>
      <w:r w:rsidR="00D74235">
        <w:rPr>
          <w:rFonts w:ascii="Arial" w:hAnsi="Arial" w:cs="Arial"/>
        </w:rPr>
        <w:fldChar w:fldCharType="end"/>
      </w:r>
      <w:r w:rsidRPr="00737EFA">
        <w:rPr>
          <w:rFonts w:ascii="Arial" w:hAnsi="Arial" w:cs="Arial"/>
        </w:rPr>
        <w:t>. Furthermore, biological control using entomopathogenic fungi reduces the risk of pesticide resistance development, which has become a major concern in conventional pest management</w:t>
      </w:r>
      <w:r w:rsidR="00D74235">
        <w:rPr>
          <w:rFonts w:ascii="Arial" w:hAnsi="Arial" w:cs="Arial"/>
        </w:rPr>
        <w:t xml:space="preserve"> </w:t>
      </w:r>
      <w:r w:rsidR="00D74235">
        <w:rPr>
          <w:rFonts w:ascii="Arial" w:hAnsi="Arial" w:cs="Arial"/>
        </w:rPr>
        <w:fldChar w:fldCharType="begin" w:fldLock="1"/>
      </w:r>
      <w:r w:rsidR="00D74235">
        <w:rPr>
          <w:rFonts w:ascii="Arial" w:hAnsi="Arial" w:cs="Arial"/>
        </w:rPr>
        <w:instrText>ADDIN CSL_CITATION {"citationItems":[{"id":"ITEM-1","itemData":{"DOI":"10.1016/j.jafr.2022.100376","ISSN":"26661543","abstract":"The growing global population has created a significant demand for both quality and quantity of agricultural products, resulting in a significant increase in the use of agrochemicals such as chemical pesticides to counter insect pests. Consumers, on the other hand, have grown increasingly concerned in recent years about the adverse effects of chemical insecticides on human health and the environment. As a result, researchers worldwide have been compelled to conduct research into alternative crop protection solutions. Biological control through entomopathogens has gained prominence among these alternatives, and several microbial biocontrol agents, including baculoviruses, Bacillus, Beauveria, Steinernema, and Heterorhabditis species, have been tested. Microbial biopesticide products are currently being used to combat specific insects that harm crops. The modes of action of entomopathogens, their advantages and constraints are discussed. An overview of processes for their development are highlighted with examples, as well as the issues that impede their development. Finally, special attention was paid to the gaps identified in this sector and the factors limiting their application particularly with respect to market potential. The future potential of entomopathogens may be affected by changing agricultural systems.","author":[{"dropping-particle":"","family":"Sabbahi","given":"Rachid","non-dropping-particle":"","parse-names":false,"suffix":""},{"dropping-particle":"","family":"Hock","given":"Virginia","non-dropping-particle":"","parse-names":false,"suffix":""},{"dropping-particle":"","family":"Azzaoui","given":"Khalil","non-dropping-particle":"","parse-names":false,"suffix":""},{"dropping-particle":"","family":"Saoiabi","given":"Sanaa","non-dropping-particle":"","parse-names":false,"suffix":""},{"dropping-particle":"","family":"Hammouti","given":"Belkheir","non-dropping-particle":"","parse-names":false,"suffix":""}],"container-title":"Journal of Agriculture and Food Research","id":"ITEM-1","issue":"August","issued":{"date-parts":[["2022"]]},"page":"100376","publisher":"Elsevier B.V.","title":"A global perspective of entomopathogens as microbial biocontrol agents of insect pests","type":"article-journal","volume":"10"},"uris":["http://www.mendeley.com/documents/?uuid=d5d2d98a-9d86-4226-b432-c97ef41cdcbd"]}],"mendeley":{"formattedCitation":"(Sabbahi et al., 2022)","plainTextFormattedCitation":"(Sabbahi et al., 2022)","previouslyFormattedCitation":"(Sabbahi et al., 2022)"},"properties":{"noteIndex":0},"schema":"https://github.com/citation-style-language/schema/raw/master/csl-citation.json"}</w:instrText>
      </w:r>
      <w:r w:rsidR="00D74235">
        <w:rPr>
          <w:rFonts w:ascii="Arial" w:hAnsi="Arial" w:cs="Arial"/>
        </w:rPr>
        <w:fldChar w:fldCharType="separate"/>
      </w:r>
      <w:r w:rsidR="00D74235" w:rsidRPr="00D74235">
        <w:rPr>
          <w:rFonts w:ascii="Arial" w:hAnsi="Arial" w:cs="Arial"/>
          <w:noProof/>
        </w:rPr>
        <w:t>(Sabbahi et al., 2022)</w:t>
      </w:r>
      <w:r w:rsidR="00D74235">
        <w:rPr>
          <w:rFonts w:ascii="Arial" w:hAnsi="Arial" w:cs="Arial"/>
        </w:rPr>
        <w:fldChar w:fldCharType="end"/>
      </w:r>
      <w:r w:rsidRPr="00737EFA">
        <w:rPr>
          <w:rFonts w:ascii="Arial" w:hAnsi="Arial" w:cs="Arial"/>
        </w:rPr>
        <w:t>.</w:t>
      </w:r>
    </w:p>
    <w:p w14:paraId="099E651B" w14:textId="77777777" w:rsidR="00737EFA" w:rsidRPr="00737EFA" w:rsidRDefault="00737EFA" w:rsidP="00737EFA">
      <w:pPr>
        <w:pStyle w:val="Body"/>
        <w:rPr>
          <w:rFonts w:ascii="Arial" w:hAnsi="Arial" w:cs="Arial"/>
        </w:rPr>
      </w:pPr>
      <w:r w:rsidRPr="00737EFA">
        <w:rPr>
          <w:rFonts w:ascii="Arial" w:hAnsi="Arial" w:cs="Arial"/>
        </w:rPr>
        <w:t>In this study, the variation in isolate performance highlights the importance of strain selection. Different isolates may vary in virulence due to genetic differences, spore germination rates</w:t>
      </w:r>
      <w:r w:rsidR="00D74235">
        <w:rPr>
          <w:rFonts w:ascii="Arial" w:hAnsi="Arial" w:cs="Arial"/>
        </w:rPr>
        <w:t xml:space="preserve"> </w:t>
      </w:r>
      <w:r w:rsidR="00D74235">
        <w:rPr>
          <w:rFonts w:ascii="Arial" w:hAnsi="Arial" w:cs="Arial"/>
        </w:rPr>
        <w:fldChar w:fldCharType="begin" w:fldLock="1"/>
      </w:r>
      <w:r w:rsidR="00D74235">
        <w:rPr>
          <w:rFonts w:ascii="Arial" w:hAnsi="Arial" w:cs="Arial"/>
        </w:rPr>
        <w:instrText>ADDIN CSL_CITATION {"citationItems":[{"id":"ITEM-1","itemData":{"DOI":"10.12688/f1000research.134020.5","ISSN":"20461402","abstract":"Background: Entomopathogenic fungi exists naturally in plants as an asymptote and have the potential to reduce the population of insect pests through indirect interactions. This study was conducted to detect and characterize the endophytic fungi Beauveria bassiana and Metarhizium robertsii from the rhizosphere soil of tomato plants and their virulence effect on Galleria melonella. Methods: From the rhizosphere soil of 40 tomato fields, three Beauveria bassiana and seven Metarhizium robertsii isolates were isolated using the galleria bait method. All fungi isolate were morphologically characterized by their colony color, shape, and surface texture. Isolates with the highest percentages of germination, conidial yield, and radial growth were selected, and their virulence was evaluated on second instar larvae of Galleria melonella under laboratory conditions. Results: In this study, Beauveria bassiana showed white colony color and aseptate hyphae, whereas Metarhizium robertsii showed dark green to light green colony color and septate hyphal structures. Maximum spore production and conidial length were obtained by Beauveria bassiana isolate APPRC-27 with 2.67x10 7 spores ml -1 and 3.24 µm, respectively. Colony radial growth rates ranged from 1.73 to 3.24 mm day -1. The results revealed that the highest mortality rate of Galleria melonella (100%) was obtained by Metarhizium robertsii isolates K-61 and K-102 at a concentration of 1x10 8 conidial ml -1 at 7 days post-inoculation. The lowest mortality rate was registered by Metarhizium robertsii isolate RST-11. Conclusions: In the present study, isolates that produced the most spores and had the highest germination rates were the most virulent to Galleria mellonella second instar larvae. Therefore, virulent entomopathogenic fungi, Beauveria bassiana and Metarhizium robertsii, are promising bioagents for the control of insect pests.","author":[{"dropping-particle":"","family":"Geremew","given":"Dereje","non-dropping-particle":"","parse-names":false,"suffix":""},{"dropping-particle":"","family":"Shiberu","given":"Tadale","non-dropping-particle":"","parse-names":false,"suffix":""},{"dropping-particle":"","family":"Leta","given":"Ararsa","non-dropping-particle":"","parse-names":false,"suffix":""}],"container-title":"F1000Research","id":"ITEM-1","issued":{"date-parts":[["2024"]]},"page":"1-24","title":"Isolation, morphological characterization, and screening virulence of Beauveria bassiana and Metarhizium robertsii fungal isolates  on Galleria mellonella","type":"article-journal","volume":"12"},"uris":["http://www.mendeley.com/documents/?uuid=1d43dd96-0328-43ce-b63e-0b93c82cd102"]}],"mendeley":{"formattedCitation":"(Geremew et al., 2024)","plainTextFormattedCitation":"(Geremew et al., 2024)","previouslyFormattedCitation":"(Geremew et al., 2024)"},"properties":{"noteIndex":0},"schema":"https://github.com/citation-style-language/schema/raw/master/csl-citation.json"}</w:instrText>
      </w:r>
      <w:r w:rsidR="00D74235">
        <w:rPr>
          <w:rFonts w:ascii="Arial" w:hAnsi="Arial" w:cs="Arial"/>
        </w:rPr>
        <w:fldChar w:fldCharType="separate"/>
      </w:r>
      <w:r w:rsidR="00D74235" w:rsidRPr="00D74235">
        <w:rPr>
          <w:rFonts w:ascii="Arial" w:hAnsi="Arial" w:cs="Arial"/>
          <w:noProof/>
        </w:rPr>
        <w:t>(Geremew et al., 2024)</w:t>
      </w:r>
      <w:r w:rsidR="00D74235">
        <w:rPr>
          <w:rFonts w:ascii="Arial" w:hAnsi="Arial" w:cs="Arial"/>
        </w:rPr>
        <w:fldChar w:fldCharType="end"/>
      </w:r>
      <w:r w:rsidRPr="00737EFA">
        <w:rPr>
          <w:rFonts w:ascii="Arial" w:hAnsi="Arial" w:cs="Arial"/>
        </w:rPr>
        <w:t>, or their ability to adapt to the pest’s microhabitat</w:t>
      </w:r>
      <w:r w:rsidR="00D74235">
        <w:rPr>
          <w:rFonts w:ascii="Arial" w:hAnsi="Arial" w:cs="Arial"/>
        </w:rPr>
        <w:t xml:space="preserve"> </w:t>
      </w:r>
      <w:r w:rsidR="00D74235">
        <w:rPr>
          <w:rFonts w:ascii="Arial" w:hAnsi="Arial" w:cs="Arial"/>
        </w:rPr>
        <w:fldChar w:fldCharType="begin" w:fldLock="1"/>
      </w:r>
      <w:r w:rsidR="00D74235">
        <w:rPr>
          <w:rFonts w:ascii="Arial" w:hAnsi="Arial" w:cs="Arial"/>
        </w:rPr>
        <w:instrText>ADDIN CSL_CITATION {"citationItems":[{"id":"ITEM-1","itemData":{"DOI":"10.3390/insects16030287","abstract":"Certain entomopathogenic fungi, such as Beauveria bassiana, are highly pathogenic to arthropod pests and are able to colonize plant tissues, thereby enhancing both plant growth and disease resistance. This study assessed three B. bassiana strains (CBM1, CBM2, and CBM3) for their pathogenicity toward insect larvae and colonization potential in wheat. The insecticidal activity of the fungi against the larvae of the major lepidopteran pests Helicoverpa armigera, Spodoptera frugiperda, Mythimna separata, and Plutella xylostella was determined. The fungi were then applied to wheat plants using seed immersion and soil drench methods; their colonization rates were compared, and the impacts of fungal colonization on wheat growth and survival were evaluated. The results demonstrated that all three strains were effective in reducing insect damage, with B. bassiana CBM1 exhibiting the highest pathogenicity followed by CBM3 and CBM2. B. bassiana CBM1 was particularly effective, with a significantly higher colonization rate achieved through soil drenching compared to seed immersion. The soil inoculation of B. bassiana resulted in increased plant height at 30 days after sowing (DAS) and root length at 15 DAS compared to the control group. B. bassiana CBM1-colonized wheat increased the mortality of fall armyworm. This research has enriched the biological control microbial resource pool and highlights the potential of B. bassiana in integrated pest management strategies. © 2025 by the authors.","author":[{"dropping-particle":"","family":"Liu","given":"L","non-dropping-particle":"","parse-names":false,"suffix":""},{"dropping-particle":"","family":"Liu","given":"S","non-dropping-particle":"","parse-names":false,"suffix":""},{"dropping-particle":"","family":"Meng","given":"Q","non-dropping-particle":"","parse-names":false,"suffix":""},{"dropping-particle":"","family":"Chen","given":"B","non-dropping-particle":"","parse-names":false,"suffix":""},{"dropping-particle":"","family":"Zhang","given":"J","non-dropping-particle":"","parse-names":false,"suffix":""},{"dropping-particle":"","family":"Zhang","given":"X","non-dropping-particle":"","parse-names":false,"suffix":""},{"dropping-particle":"","family":"Lin","given":"Z","non-dropping-particle":"","parse-names":false,"suffix":""},{"dropping-particle":"","family":"Zou","given":"Z","non-dropping-particle":"","parse-names":false,"suffix":""}],"container-title":"Insects ","id":"ITEM-1","issue":"3","issued":{"date-parts":[["2025"]]},"note":"Export Date: 11 May 2025; Cited By: 0","publisher":"Multidisciplinary Digital Publishing Institute (MDPI)","title":"Evaluating Beauveria bassiana Strains for Insect Pest Control and Endophytic Colonization in Wheat","type":"article-journal","volume":"16"},"uris":["http://www.mendeley.com/documents/?uuid=b28c22f4-ec41-445e-8ab8-f1e660e0b238"]}],"mendeley":{"formattedCitation":"(Liu et al., 2025)","plainTextFormattedCitation":"(Liu et al., 2025)","previouslyFormattedCitation":"(Liu et al., 2025)"},"properties":{"noteIndex":0},"schema":"https://github.com/citation-style-language/schema/raw/master/csl-citation.json"}</w:instrText>
      </w:r>
      <w:r w:rsidR="00D74235">
        <w:rPr>
          <w:rFonts w:ascii="Arial" w:hAnsi="Arial" w:cs="Arial"/>
        </w:rPr>
        <w:fldChar w:fldCharType="separate"/>
      </w:r>
      <w:r w:rsidR="00D74235" w:rsidRPr="00D74235">
        <w:rPr>
          <w:rFonts w:ascii="Arial" w:hAnsi="Arial" w:cs="Arial"/>
          <w:noProof/>
        </w:rPr>
        <w:t>(Liu et al., 2025)</w:t>
      </w:r>
      <w:r w:rsidR="00D74235">
        <w:rPr>
          <w:rFonts w:ascii="Arial" w:hAnsi="Arial" w:cs="Arial"/>
        </w:rPr>
        <w:fldChar w:fldCharType="end"/>
      </w:r>
      <w:r w:rsidRPr="00737EFA">
        <w:rPr>
          <w:rFonts w:ascii="Arial" w:hAnsi="Arial" w:cs="Arial"/>
        </w:rPr>
        <w:t xml:space="preserve">. For instance, the superior performance of </w:t>
      </w:r>
      <w:proofErr w:type="spellStart"/>
      <w:r w:rsidRPr="00737EFA">
        <w:rPr>
          <w:rFonts w:ascii="Arial" w:hAnsi="Arial" w:cs="Arial"/>
        </w:rPr>
        <w:t>BbSP</w:t>
      </w:r>
      <w:proofErr w:type="spellEnd"/>
      <w:r w:rsidRPr="00737EFA">
        <w:rPr>
          <w:rFonts w:ascii="Arial" w:hAnsi="Arial" w:cs="Arial"/>
        </w:rPr>
        <w:t xml:space="preserve"> 217 suggests a more efficient infection mechanism or better environmental fitness compared to the other isolates. This underscores the necessity of conducting thorough screening before recommending specific isolates for large-scale application</w:t>
      </w:r>
      <w:r w:rsidR="00D74235">
        <w:rPr>
          <w:rFonts w:ascii="Arial" w:hAnsi="Arial" w:cs="Arial"/>
        </w:rPr>
        <w:t xml:space="preserve"> </w:t>
      </w:r>
      <w:r w:rsidR="00D74235">
        <w:rPr>
          <w:rFonts w:ascii="Arial" w:hAnsi="Arial" w:cs="Arial"/>
        </w:rPr>
        <w:fldChar w:fldCharType="begin" w:fldLock="1"/>
      </w:r>
      <w:r w:rsidR="00AC25AB">
        <w:rPr>
          <w:rFonts w:ascii="Arial" w:hAnsi="Arial" w:cs="Arial"/>
        </w:rPr>
        <w:instrText>ADDIN CSL_CITATION {"citationItems":[{"id":"ITEM-1","itemData":{"DOI":"10.1186/s12864-020-06791-9","ISSN":"14712164","PMID":"32605539","abstract":"Background: Beauveria bassiana (B. bassiana) is a famous entomopathogenic fungus that could parasitize on hundreds of insect species, which are being used as an environmentally friendly mycoinsecticide. Nevertheless, the possible effect of genetic diversity of these B. bassiana isolates from different hosts on virulence has not been explored before. In order to explore that issue, we compared the genome sequences among seventeen B. bassiana isolates from 17 different insects using whole genome re-sequencing, with B. bassiana strain ARSEF 2860 as the reference genome. Results: There were a total of 10,098 missense mutated genes, 720 positively selected genes were identified in 17 strains of B. bassiana. Among these, two genes with high frequency mutations encode the toxin-producing non-ribosomal peptide synthase (NRPS) protein. Seven genes undergoing positive selection were enriched in the two-component signaling pathway that is known to regulate the fungal toxicity. In addition, the domain changes of three positively selected genes are also directly related to the virulence plasticity. Besides, the functional categorization of mutated genes showed that most of them involved in the biological functions of toxic proteins involved in. Conclusions: Based on our data, our results indicate that several mutated genes and positively selected genes may underpin virulence of B. bassiana towards hosts during infection process, which provide an insight into the potential effects of natural variation on the virulence of B. bassiana, which will be useful in screening out potential virulence factors in B. bassiana.","author":[{"dropping-particle":"","family":"Zhang","given":"Zhengkun","non-dropping-particle":"","parse-names":false,"suffix":""},{"dropping-particle":"","family":"Lu","given":"Yang","non-dropping-particle":"","parse-names":false,"suffix":""},{"dropping-particle":"","family":"Xu","given":"Wenjing","non-dropping-particle":"","parse-names":false,"suffix":""},{"dropping-particle":"","family":"Sui","given":"Li","non-dropping-particle":"","parse-names":false,"suffix":""},{"dropping-particle":"","family":"Du","given":"Qian","non-dropping-particle":"","parse-names":false,"suffix":""},{"dropping-particle":"","family":"Wang","given":"Yangzhou","non-dropping-particle":"","parse-names":false,"suffix":""},{"dropping-particle":"","family":"Zhao","given":"Yu","non-dropping-particle":"","parse-names":false,"suffix":""},{"dropping-particle":"","family":"Li","given":"Qiyun","non-dropping-particle":"","parse-names":false,"suffix":""}],"container-title":"BMC Genomics","id":"ITEM-1","issue":"1","issued":{"date-parts":[["2020"]]},"page":"1-12","publisher":"BMC Genomics","title":"Influence of genetic diversity of seventeen Beauveria bassiana isolates from different hosts on virulence by comparative genomics","type":"article-journal","volume":"21"},"uris":["http://www.mendeley.com/documents/?uuid=417fc42c-5a9f-4c4d-926f-d39bf5cf4e94"]}],"mendeley":{"formattedCitation":"(Z. Zhang et al., 2020)","plainTextFormattedCitation":"(Z. Zhang et al., 2020)","previouslyFormattedCitation":"(Z. Zhang et al., 2020)"},"properties":{"noteIndex":0},"schema":"https://github.com/citation-style-language/schema/raw/master/csl-citation.json"}</w:instrText>
      </w:r>
      <w:r w:rsidR="00D74235">
        <w:rPr>
          <w:rFonts w:ascii="Arial" w:hAnsi="Arial" w:cs="Arial"/>
        </w:rPr>
        <w:fldChar w:fldCharType="separate"/>
      </w:r>
      <w:r w:rsidR="00D74235" w:rsidRPr="00D74235">
        <w:rPr>
          <w:rFonts w:ascii="Arial" w:hAnsi="Arial" w:cs="Arial"/>
          <w:noProof/>
        </w:rPr>
        <w:t>(Z. Zhang et al., 2020)</w:t>
      </w:r>
      <w:r w:rsidR="00D74235">
        <w:rPr>
          <w:rFonts w:ascii="Arial" w:hAnsi="Arial" w:cs="Arial"/>
        </w:rPr>
        <w:fldChar w:fldCharType="end"/>
      </w:r>
      <w:r w:rsidRPr="00737EFA">
        <w:rPr>
          <w:rFonts w:ascii="Arial" w:hAnsi="Arial" w:cs="Arial"/>
        </w:rPr>
        <w:t>.</w:t>
      </w:r>
    </w:p>
    <w:p w14:paraId="1C996918" w14:textId="77777777" w:rsidR="00737EFA" w:rsidRPr="00737EFA" w:rsidRDefault="00737EFA" w:rsidP="00737EFA">
      <w:pPr>
        <w:pStyle w:val="Body"/>
        <w:rPr>
          <w:rFonts w:ascii="Arial" w:hAnsi="Arial" w:cs="Arial"/>
        </w:rPr>
      </w:pPr>
      <w:r w:rsidRPr="00737EFA">
        <w:rPr>
          <w:rFonts w:ascii="Arial" w:hAnsi="Arial" w:cs="Arial"/>
        </w:rPr>
        <w:t xml:space="preserve">Another important consideration is formulation and application technique. For optimal field efficacy, conidial formulations must maintain viability under fluctuating environmental </w:t>
      </w:r>
      <w:r w:rsidRPr="00737EFA">
        <w:rPr>
          <w:rFonts w:ascii="Arial" w:hAnsi="Arial" w:cs="Arial"/>
        </w:rPr>
        <w:lastRenderedPageBreak/>
        <w:t>conditions, including sunlight exposure and desiccation</w:t>
      </w:r>
      <w:r w:rsidR="00AC25AB">
        <w:rPr>
          <w:rFonts w:ascii="Arial" w:hAnsi="Arial" w:cs="Arial"/>
        </w:rPr>
        <w:t xml:space="preserve"> </w:t>
      </w:r>
      <w:r w:rsidR="00AC25AB">
        <w:rPr>
          <w:rFonts w:ascii="Arial" w:hAnsi="Arial" w:cs="Arial"/>
        </w:rPr>
        <w:fldChar w:fldCharType="begin" w:fldLock="1"/>
      </w:r>
      <w:r w:rsidR="00AC25AB">
        <w:rPr>
          <w:rFonts w:ascii="Arial" w:hAnsi="Arial" w:cs="Arial"/>
        </w:rPr>
        <w:instrText>ADDIN CSL_CITATION {"citationItems":[{"id":"ITEM-1","itemData":{"DOI":"10.3390/plants13192762","ISSN":"22237747","abstract":"Pesticide use in crops is a severe problem in some countries. Each country has its legislation for use, but they differ in the degree of tolerance for these broadly toxic products. Several synthetic pesticides can cause air, soil, and water pollution, contaminating the human food chain and other living beings. In addition, some of them can accumulate in the environment for an indeterminate amount of time. The agriculture sector must guarantee healthy food with sustainable production using environmentally friendly methods. In this context, biological biopesticides from microbes and plants are a growing green solution for this segment. Several pests attack crops worldwide, including weeds, insects, nematodes, and microorganisms such as fungi, bacteria, and viruses, causing diseases and economic losses. The use of bioproducts from microorganisms, such as microbial biopesticides (MBPs) or microorganisms alone, is a practice and is growing due to the intense research in the world. Mainly, bacteria, fungi, and baculoviruses have been used as sources of biomolecules and secondary metabolites for biopesticide use. Different methods, such as direct soil application, spraying techniques with microorganisms, endotherapy, and seed treatment, are used. Adjuvants like surfactants, protective agents, and carriers improve the system in different formulations. In addition, microorganisms are a tool for the bioremediation of pesticides in the environment. This review summarizes these topics, focusing on the biopesticides of microbial origin.","author":[{"dropping-particle":"","family":"Vermelho","given":"Alane Beatriz","non-dropping-particle":"","parse-names":false,"suffix":""},{"dropping-particle":"","family":"Moreira","given":"Jean Vinícius","non-dropping-particle":"","parse-names":false,"suffix":""},{"dropping-particle":"","family":"Akamine","given":"Ingrid Teixeira","non-dropping-particle":"","parse-names":false,"suffix":""},{"dropping-particle":"","family":"Cardoso","given":"Veronica S.","non-dropping-particle":"","parse-names":false,"suffix":""},{"dropping-particle":"","family":"Mansoldo","given":"Felipe R.P.","non-dropping-particle":"","parse-names":false,"suffix":""}],"container-title":"Plants","id":"ITEM-1","issue":"19","issued":{"date-parts":[["2024"]]},"page":"1-49","title":"Agricultural Pest Management: The Role of Microorganisms in Biopesticides and Soil Bioremediation","type":"article-journal","volume":"13"},"uris":["http://www.mendeley.com/documents/?uuid=67cc181b-117d-4e13-8de6-da3dd8b316da"]}],"mendeley":{"formattedCitation":"(Vermelho et al., 2024)","plainTextFormattedCitation":"(Vermelho et al., 2024)","previouslyFormattedCitation":"(Vermelho et al., 2024)"},"properties":{"noteIndex":0},"schema":"https://github.com/citation-style-language/schema/raw/master/csl-citation.json"}</w:instrText>
      </w:r>
      <w:r w:rsidR="00AC25AB">
        <w:rPr>
          <w:rFonts w:ascii="Arial" w:hAnsi="Arial" w:cs="Arial"/>
        </w:rPr>
        <w:fldChar w:fldCharType="separate"/>
      </w:r>
      <w:r w:rsidR="00AC25AB" w:rsidRPr="00AC25AB">
        <w:rPr>
          <w:rFonts w:ascii="Arial" w:hAnsi="Arial" w:cs="Arial"/>
          <w:noProof/>
        </w:rPr>
        <w:t>(Vermelho et al., 2024)</w:t>
      </w:r>
      <w:r w:rsidR="00AC25AB">
        <w:rPr>
          <w:rFonts w:ascii="Arial" w:hAnsi="Arial" w:cs="Arial"/>
        </w:rPr>
        <w:fldChar w:fldCharType="end"/>
      </w:r>
      <w:r w:rsidRPr="00737EFA">
        <w:rPr>
          <w:rFonts w:ascii="Arial" w:hAnsi="Arial" w:cs="Arial"/>
        </w:rPr>
        <w:t>. Oil-based carriers or encapsulation techniques may be investigated in future studies to improve spore persistence and adhesion on plant surfaces or pest bodies</w:t>
      </w:r>
      <w:r w:rsidR="00AC25AB">
        <w:rPr>
          <w:rFonts w:ascii="Arial" w:hAnsi="Arial" w:cs="Arial"/>
        </w:rPr>
        <w:t xml:space="preserve"> </w:t>
      </w:r>
      <w:r w:rsidR="00AC25AB">
        <w:rPr>
          <w:rFonts w:ascii="Arial" w:hAnsi="Arial" w:cs="Arial"/>
        </w:rPr>
        <w:fldChar w:fldCharType="begin" w:fldLock="1"/>
      </w:r>
      <w:r w:rsidR="00AC25AB">
        <w:rPr>
          <w:rFonts w:ascii="Arial" w:hAnsi="Arial" w:cs="Arial"/>
        </w:rPr>
        <w:instrText>ADDIN CSL_CITATION {"citationItems":[{"id":"ITEM-1","itemData":{"DOI":"10.1007/s44351-025-00011-z","ISBN":"0123456789","ISSN":"3004-9768","author":[{"dropping-particle":"","family":"Das","given":"Dipayan","non-dropping-particle":"","parse-names":false,"suffix":""},{"dropping-particle":"","family":"Losan","given":"Pankaj","non-dropping-particle":"","parse-names":false,"suffix":""},{"dropping-particle":"","family":"Payel","given":"Sharma","non-dropping-particle":"","parse-names":false,"suffix":""},{"dropping-particle":"","family":"Nisha","given":"Paul","non-dropping-particle":"","parse-names":false,"suffix":""},{"dropping-particle":"","family":"Baruah","given":"Rani","non-dropping-particle":"","parse-names":false,"suffix":""},{"dropping-particle":"","family":"Choudhury","given":"Jimoni","non-dropping-particle":"","parse-names":false,"suffix":""},{"dropping-particle":"","family":"Begum","given":"Tina","non-dropping-particle":"","parse-names":false,"suffix":""}],"container-title":"Discover Bacteria","id":"ITEM-1","issued":{"date-parts":[["2025"]]},"publisher":"Springer Nature Singapore","title":"Harnessing endophytes : innovative strategies for sustainable agricultural practices","type":"book"},"uris":["http://www.mendeley.com/documents/?uuid=a5a994b3-21d2-4b0e-8c5e-55d1e854fb49"]}],"mendeley":{"formattedCitation":"(Das et al., 2025)","plainTextFormattedCitation":"(Das et al., 2025)","previouslyFormattedCitation":"(Das et al., 2025)"},"properties":{"noteIndex":0},"schema":"https://github.com/citation-style-language/schema/raw/master/csl-citation.json"}</w:instrText>
      </w:r>
      <w:r w:rsidR="00AC25AB">
        <w:rPr>
          <w:rFonts w:ascii="Arial" w:hAnsi="Arial" w:cs="Arial"/>
        </w:rPr>
        <w:fldChar w:fldCharType="separate"/>
      </w:r>
      <w:r w:rsidR="00AC25AB" w:rsidRPr="00AC25AB">
        <w:rPr>
          <w:rFonts w:ascii="Arial" w:hAnsi="Arial" w:cs="Arial"/>
          <w:noProof/>
        </w:rPr>
        <w:t>(Das et al., 2025)</w:t>
      </w:r>
      <w:r w:rsidR="00AC25AB">
        <w:rPr>
          <w:rFonts w:ascii="Arial" w:hAnsi="Arial" w:cs="Arial"/>
        </w:rPr>
        <w:fldChar w:fldCharType="end"/>
      </w:r>
      <w:r w:rsidRPr="00737EFA">
        <w:rPr>
          <w:rFonts w:ascii="Arial" w:hAnsi="Arial" w:cs="Arial"/>
        </w:rPr>
        <w:t>.</w:t>
      </w:r>
    </w:p>
    <w:p w14:paraId="44617E9B" w14:textId="77777777" w:rsidR="00737EFA" w:rsidRPr="00737EFA" w:rsidRDefault="00737EFA" w:rsidP="00737EFA">
      <w:pPr>
        <w:pStyle w:val="Body"/>
        <w:rPr>
          <w:rFonts w:ascii="Arial" w:hAnsi="Arial" w:cs="Arial"/>
        </w:rPr>
      </w:pPr>
      <w:r w:rsidRPr="00737EFA">
        <w:rPr>
          <w:rFonts w:ascii="Arial" w:hAnsi="Arial" w:cs="Arial"/>
        </w:rPr>
        <w:t xml:space="preserve">Additionally, the interaction of </w:t>
      </w:r>
      <w:r w:rsidRPr="00737EFA">
        <w:rPr>
          <w:rFonts w:ascii="Arial" w:hAnsi="Arial" w:cs="Arial"/>
          <w:i/>
          <w:iCs/>
        </w:rPr>
        <w:t>B. bassiana</w:t>
      </w:r>
      <w:r w:rsidRPr="00737EFA">
        <w:rPr>
          <w:rFonts w:ascii="Arial" w:hAnsi="Arial" w:cs="Arial"/>
        </w:rPr>
        <w:t xml:space="preserve"> with native soil microbiota and beneficial arthropods needs to be assessed to avoid unintended ecological disturbances. Compatibility studies with predators, parasitoids, and pollinators should also be conducted to ensure that introducing the fungus does not disrupt the agroecosystem balance</w:t>
      </w:r>
      <w:r w:rsidR="00AC25AB">
        <w:rPr>
          <w:rFonts w:ascii="Arial" w:hAnsi="Arial" w:cs="Arial"/>
        </w:rPr>
        <w:t xml:space="preserve"> </w:t>
      </w:r>
      <w:r w:rsidR="00AC25AB">
        <w:rPr>
          <w:rFonts w:ascii="Arial" w:hAnsi="Arial" w:cs="Arial"/>
        </w:rPr>
        <w:fldChar w:fldCharType="begin" w:fldLock="1"/>
      </w:r>
      <w:r w:rsidR="00AC25AB">
        <w:rPr>
          <w:rFonts w:ascii="Arial" w:hAnsi="Arial" w:cs="Arial"/>
        </w:rPr>
        <w:instrText>ADDIN CSL_CITATION {"citationItems":[{"id":"ITEM-1","itemData":{"DOI":"10.3390/microorganisms11040943","ISSN":"20762607","abstract":"Entomopathogenic fungi can be inhibited by different soil microorganisms, but the effect of a soil microbiota on fungal growth, survival, and infectivity toward insects is insufficiently understood. We investigated the level of fungistasis toward Metarhizium robertsii and Beauveria bassiana in soils of conventional potato fields and kitchen potato gardens. Agar diffusion methods, 16S rDNA metabarcoding, bacterial DNA quantification, and assays of Leptinotarsa decemlineata survival in soils inoculated with fungal conidia were used. Soils of kitchen gardens showed stronger fungistasis toward M. robertsii and B. bassiana and at the same time the highest density of the fungi compared to soils of conventional fields. The fungistasis level depended on the quantity of bacterial DNA and relative abundance of Bacillus, Streptomyces, and some Proteobacteria, whose abundance levels were the highest in kitchen garden soils. Cultivable isolates of bacilli exhibited antagonism to both fungi in vitro. Assays involving inoculation of nonsterile soils with B. bassiana conidia showed trends toward elevated mortality of L. decemlineata in highly fungistatic soils compared to low-fungistasis ones. Introduction of antagonistic bacilli into sterile soil did not significantly change infectivity of B. bassiana toward the insect. The results support the idea that entomopathogenic fungi can infect insects within a hypogean habitat despite high abundance and diversity of soil antagonistic bacteria.","author":[{"dropping-particle":"","family":"Chertkova","given":"Ekaterina","non-dropping-particle":"","parse-names":false,"suffix":""},{"dropping-particle":"","family":"Kabilov","given":"Marsel R.","non-dropping-particle":"","parse-names":false,"suffix":""},{"dropping-particle":"","family":"Yaroslavtseva","given":"Olga","non-dropping-particle":"","parse-names":false,"suffix":""},{"dropping-particle":"","family":"Polenogova","given":"Olga","non-dropping-particle":"","parse-names":false,"suffix":""},{"dropping-particle":"","family":"Kosman","given":"Elena","non-dropping-particle":"","parse-names":false,"suffix":""},{"dropping-particle":"","family":"Sidorenko","given":"Darya","non-dropping-particle":"","parse-names":false,"suffix":""},{"dropping-particle":"","family":"Alikina","given":"Tatyana","non-dropping-particle":"","parse-names":false,"suffix":""},{"dropping-particle":"","family":"Noskov","given":"Yury","non-dropping-particle":"","parse-names":false,"suffix":""},{"dropping-particle":"","family":"Krivopalov","given":"Anton","non-dropping-particle":"","parse-names":false,"suffix":""},{"dropping-particle":"V.","family":"Glupov","given":"Viktor","non-dropping-particle":"","parse-names":false,"suffix":""},{"dropping-particle":"","family":"Kryukov","given":"Vadim Yu","non-dropping-particle":"","parse-names":false,"suffix":""}],"container-title":"Microorganisms","id":"ITEM-1","issue":"4","issued":{"date-parts":[["2023"]]},"page":"1-17","title":"Links between Soil Bacteriobiomes and Fungistasis toward Fungi Infecting the Colorado Potato Beetle","type":"article-journal","volume":"11"},"uris":["http://www.mendeley.com/documents/?uuid=14883147-14d9-471c-bfb8-ae9544c7f79d"]}],"mendeley":{"formattedCitation":"(Chertkova et al., 2023)","plainTextFormattedCitation":"(Chertkova et al., 2023)","previouslyFormattedCitation":"(Chertkova et al., 2023)"},"properties":{"noteIndex":0},"schema":"https://github.com/citation-style-language/schema/raw/master/csl-citation.json"}</w:instrText>
      </w:r>
      <w:r w:rsidR="00AC25AB">
        <w:rPr>
          <w:rFonts w:ascii="Arial" w:hAnsi="Arial" w:cs="Arial"/>
        </w:rPr>
        <w:fldChar w:fldCharType="separate"/>
      </w:r>
      <w:r w:rsidR="00AC25AB" w:rsidRPr="00AC25AB">
        <w:rPr>
          <w:rFonts w:ascii="Arial" w:hAnsi="Arial" w:cs="Arial"/>
          <w:noProof/>
        </w:rPr>
        <w:t>(Chertkova et al., 2023)</w:t>
      </w:r>
      <w:r w:rsidR="00AC25AB">
        <w:rPr>
          <w:rFonts w:ascii="Arial" w:hAnsi="Arial" w:cs="Arial"/>
        </w:rPr>
        <w:fldChar w:fldCharType="end"/>
      </w:r>
      <w:r w:rsidRPr="00737EFA">
        <w:rPr>
          <w:rFonts w:ascii="Arial" w:hAnsi="Arial" w:cs="Arial"/>
        </w:rPr>
        <w:t>.</w:t>
      </w:r>
    </w:p>
    <w:p w14:paraId="6B42E5AF" w14:textId="77777777" w:rsidR="00790ADA" w:rsidRPr="00FB3A86" w:rsidRDefault="00737EFA" w:rsidP="00737EFA">
      <w:pPr>
        <w:pStyle w:val="Body"/>
        <w:rPr>
          <w:rFonts w:ascii="Arial" w:hAnsi="Arial" w:cs="Arial"/>
        </w:rPr>
      </w:pPr>
      <w:r w:rsidRPr="00737EFA">
        <w:rPr>
          <w:rFonts w:ascii="Arial" w:hAnsi="Arial" w:cs="Arial"/>
        </w:rPr>
        <w:t xml:space="preserve">From a practical standpoint, integrating </w:t>
      </w:r>
      <w:r w:rsidRPr="00737EFA">
        <w:rPr>
          <w:rFonts w:ascii="Arial" w:hAnsi="Arial" w:cs="Arial"/>
          <w:i/>
          <w:iCs/>
        </w:rPr>
        <w:t>B. bassiana</w:t>
      </w:r>
      <w:r w:rsidRPr="00737EFA">
        <w:rPr>
          <w:rFonts w:ascii="Arial" w:hAnsi="Arial" w:cs="Arial"/>
        </w:rPr>
        <w:t xml:space="preserve"> into pineapple pest management programs may reduce dependency on chemical control while promoting sustainable farming. Future research should focus on field validation, dose optimization, and determining appropriate application timing. Moreover, economic feasibility studies are essential to assess the cost-effectiveness of fungal-based biopesticides in smallholder farming systems</w:t>
      </w:r>
      <w:r w:rsidR="00AC25AB">
        <w:rPr>
          <w:rFonts w:ascii="Arial" w:hAnsi="Arial" w:cs="Arial"/>
        </w:rPr>
        <w:t xml:space="preserve"> </w:t>
      </w:r>
      <w:r w:rsidR="00AC25AB">
        <w:rPr>
          <w:rFonts w:ascii="Arial" w:hAnsi="Arial" w:cs="Arial"/>
        </w:rPr>
        <w:fldChar w:fldCharType="begin" w:fldLock="1"/>
      </w:r>
      <w:r w:rsidR="00AC25AB">
        <w:rPr>
          <w:rFonts w:ascii="Arial" w:hAnsi="Arial" w:cs="Arial"/>
        </w:rPr>
        <w:instrText>ADDIN CSL_CITATION {"citationItems":[{"id":"ITEM-1","itemData":{"author":[{"dropping-particle":"","family":"Daud","given":"Itji Diana","non-dropping-particle":"","parse-names":false,"suffix":""},{"dropping-particle":"","family":"Kuswinanti","given":"Tutik","non-dropping-particle":"","parse-names":false,"suffix":""},{"dropping-particle":"","family":"Suryani","given":"A Irma","non-dropping-particle":"","parse-names":false,"suffix":""},{"dropping-particle":"","family":"Yusri","given":"Mita","non-dropping-particle":"","parse-names":false,"suffix":""}],"id":"ITEM-1","issued":{"date-parts":[["2024"]]},"title":"Memberdayakan Petani dengan Beauveria bassiana : Inisiatif Pelatihan untuk Pengelolaan Hama yang Berkelanjutan dan Perlindungan Lingkungan Empowering Farmers with Beauveria bassiana : A Training Initiative for Sustainable Pest Management and Environmental Protection","type":"article-journal"},"uris":["http://www.mendeley.com/documents/?uuid=7f70b578-f59e-4527-ae71-5e4fc770d441"]}],"mendeley":{"formattedCitation":"(Daud et al., 2024)","plainTextFormattedCitation":"(Daud et al., 2024)","previouslyFormattedCitation":"(Daud et al., 2024)"},"properties":{"noteIndex":0},"schema":"https://github.com/citation-style-language/schema/raw/master/csl-citation.json"}</w:instrText>
      </w:r>
      <w:r w:rsidR="00AC25AB">
        <w:rPr>
          <w:rFonts w:ascii="Arial" w:hAnsi="Arial" w:cs="Arial"/>
        </w:rPr>
        <w:fldChar w:fldCharType="separate"/>
      </w:r>
      <w:r w:rsidR="00AC25AB" w:rsidRPr="00AC25AB">
        <w:rPr>
          <w:rFonts w:ascii="Arial" w:hAnsi="Arial" w:cs="Arial"/>
          <w:noProof/>
        </w:rPr>
        <w:t>(Daud et al., 2024)</w:t>
      </w:r>
      <w:r w:rsidR="00AC25AB">
        <w:rPr>
          <w:rFonts w:ascii="Arial" w:hAnsi="Arial" w:cs="Arial"/>
        </w:rPr>
        <w:fldChar w:fldCharType="end"/>
      </w:r>
      <w:r w:rsidRPr="00737EFA">
        <w:rPr>
          <w:rFonts w:ascii="Arial" w:hAnsi="Arial" w:cs="Arial"/>
        </w:rPr>
        <w:t>.</w:t>
      </w:r>
      <w:r w:rsidR="00AC25AB">
        <w:rPr>
          <w:rFonts w:ascii="Arial" w:hAnsi="Arial" w:cs="Arial"/>
        </w:rPr>
        <w:t xml:space="preserve"> </w:t>
      </w:r>
      <w:r w:rsidRPr="00737EFA">
        <w:rPr>
          <w:rFonts w:ascii="Arial" w:hAnsi="Arial" w:cs="Arial"/>
        </w:rPr>
        <w:t xml:space="preserve">Overall, this study lays the groundwork for the development of </w:t>
      </w:r>
      <w:r w:rsidRPr="00737EFA">
        <w:rPr>
          <w:rFonts w:ascii="Arial" w:hAnsi="Arial" w:cs="Arial"/>
          <w:i/>
          <w:iCs/>
        </w:rPr>
        <w:t>B. bassiana</w:t>
      </w:r>
      <w:r w:rsidRPr="00737EFA">
        <w:rPr>
          <w:rFonts w:ascii="Arial" w:hAnsi="Arial" w:cs="Arial"/>
        </w:rPr>
        <w:t xml:space="preserve"> as a promising biocontrol agent and contributes to the advancement of eco-friendly pest management approaches in pineapple cultivation.</w:t>
      </w:r>
    </w:p>
    <w:p w14:paraId="00726191"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F1595DF" w14:textId="77777777" w:rsidR="00790ADA" w:rsidRPr="00FB3A86" w:rsidRDefault="00790ADA" w:rsidP="00441B6F">
      <w:pPr>
        <w:pStyle w:val="ConcHead"/>
        <w:spacing w:after="0"/>
        <w:jc w:val="both"/>
        <w:rPr>
          <w:rFonts w:ascii="Arial" w:hAnsi="Arial" w:cs="Arial"/>
        </w:rPr>
      </w:pPr>
    </w:p>
    <w:p w14:paraId="3A236D92" w14:textId="77777777" w:rsidR="00B01FCD" w:rsidRDefault="00737EFA" w:rsidP="00441B6F">
      <w:pPr>
        <w:pStyle w:val="Body"/>
        <w:spacing w:after="0"/>
        <w:rPr>
          <w:rFonts w:ascii="Arial" w:hAnsi="Arial" w:cs="Arial"/>
        </w:rPr>
      </w:pPr>
      <w:r w:rsidRPr="00737EFA">
        <w:rPr>
          <w:rFonts w:ascii="Arial" w:hAnsi="Arial" w:cs="Arial"/>
        </w:rPr>
        <w:t xml:space="preserve">The study demonstrated that all tested </w:t>
      </w:r>
      <w:r w:rsidRPr="00737EFA">
        <w:rPr>
          <w:rFonts w:ascii="Arial" w:hAnsi="Arial" w:cs="Arial"/>
          <w:i/>
          <w:iCs/>
        </w:rPr>
        <w:t>Beauveria bassiana</w:t>
      </w:r>
      <w:r w:rsidRPr="00737EFA">
        <w:rPr>
          <w:rFonts w:ascii="Arial" w:hAnsi="Arial" w:cs="Arial"/>
        </w:rPr>
        <w:t xml:space="preserve"> isolates were effective in suppressing </w:t>
      </w:r>
      <w:proofErr w:type="spellStart"/>
      <w:r w:rsidRPr="00737EFA">
        <w:rPr>
          <w:rFonts w:ascii="Arial" w:hAnsi="Arial" w:cs="Arial"/>
          <w:i/>
          <w:iCs/>
        </w:rPr>
        <w:t>Dysdercus</w:t>
      </w:r>
      <w:proofErr w:type="spellEnd"/>
      <w:r w:rsidRPr="00737EFA">
        <w:rPr>
          <w:rFonts w:ascii="Arial" w:hAnsi="Arial" w:cs="Arial"/>
          <w:i/>
          <w:iCs/>
        </w:rPr>
        <w:t xml:space="preserve"> </w:t>
      </w:r>
      <w:proofErr w:type="spellStart"/>
      <w:r w:rsidRPr="00737EFA">
        <w:rPr>
          <w:rFonts w:ascii="Arial" w:hAnsi="Arial" w:cs="Arial"/>
          <w:i/>
          <w:iCs/>
        </w:rPr>
        <w:t>brevipes</w:t>
      </w:r>
      <w:proofErr w:type="spellEnd"/>
      <w:r w:rsidRPr="00737EFA">
        <w:rPr>
          <w:rFonts w:ascii="Arial" w:hAnsi="Arial" w:cs="Arial"/>
        </w:rPr>
        <w:t xml:space="preserve"> populations on pineapple plants. Among the isolates, </w:t>
      </w:r>
      <w:proofErr w:type="spellStart"/>
      <w:r w:rsidRPr="00737EFA">
        <w:rPr>
          <w:rFonts w:ascii="Arial" w:hAnsi="Arial" w:cs="Arial"/>
        </w:rPr>
        <w:t>BbSP</w:t>
      </w:r>
      <w:proofErr w:type="spellEnd"/>
      <w:r w:rsidRPr="00737EFA">
        <w:rPr>
          <w:rFonts w:ascii="Arial" w:hAnsi="Arial" w:cs="Arial"/>
        </w:rPr>
        <w:t xml:space="preserve"> 217 showed the highest efficacy, resulting in the greatest nymph mortality and the lowest adult emergence compared to the control. These findings highlight the potential of </w:t>
      </w:r>
      <w:r w:rsidRPr="00737EFA">
        <w:rPr>
          <w:rFonts w:ascii="Arial" w:hAnsi="Arial" w:cs="Arial"/>
          <w:i/>
          <w:iCs/>
        </w:rPr>
        <w:t xml:space="preserve">B. </w:t>
      </w:r>
      <w:proofErr w:type="spellStart"/>
      <w:r w:rsidRPr="00737EFA">
        <w:rPr>
          <w:rFonts w:ascii="Arial" w:hAnsi="Arial" w:cs="Arial"/>
          <w:i/>
          <w:iCs/>
        </w:rPr>
        <w:t>bassiana</w:t>
      </w:r>
      <w:proofErr w:type="spellEnd"/>
      <w:r w:rsidRPr="00737EFA">
        <w:rPr>
          <w:rFonts w:ascii="Arial" w:hAnsi="Arial" w:cs="Arial"/>
        </w:rPr>
        <w:t xml:space="preserve">, particularly the </w:t>
      </w:r>
      <w:proofErr w:type="spellStart"/>
      <w:r w:rsidRPr="00737EFA">
        <w:rPr>
          <w:rFonts w:ascii="Arial" w:hAnsi="Arial" w:cs="Arial"/>
        </w:rPr>
        <w:t>BbSP</w:t>
      </w:r>
      <w:proofErr w:type="spellEnd"/>
      <w:r w:rsidRPr="00737EFA">
        <w:rPr>
          <w:rFonts w:ascii="Arial" w:hAnsi="Arial" w:cs="Arial"/>
        </w:rPr>
        <w:t xml:space="preserve"> 217 isolate, as a promising biological control agent for managing </w:t>
      </w:r>
      <w:r w:rsidRPr="00737EFA">
        <w:rPr>
          <w:rFonts w:ascii="Arial" w:hAnsi="Arial" w:cs="Arial"/>
          <w:i/>
          <w:iCs/>
        </w:rPr>
        <w:t>D. brevipes</w:t>
      </w:r>
      <w:r w:rsidRPr="00737EFA">
        <w:rPr>
          <w:rFonts w:ascii="Arial" w:hAnsi="Arial" w:cs="Arial"/>
        </w:rPr>
        <w:t xml:space="preserve"> infestations in pineapple cultivation.</w:t>
      </w:r>
    </w:p>
    <w:p w14:paraId="05BAC809" w14:textId="39680BE3" w:rsidR="00371FB6" w:rsidRPr="00F469F0" w:rsidRDefault="00371FB6" w:rsidP="00441B6F">
      <w:pPr>
        <w:pStyle w:val="ReferHead"/>
        <w:spacing w:after="0"/>
        <w:jc w:val="both"/>
        <w:rPr>
          <w:rFonts w:ascii="Arial" w:hAnsi="Arial" w:cs="Arial"/>
          <w:b w:val="0"/>
          <w:caps w:val="0"/>
          <w:sz w:val="20"/>
          <w:u w:val="single"/>
        </w:rPr>
      </w:pPr>
    </w:p>
    <w:p w14:paraId="6998C06F" w14:textId="77777777" w:rsidR="002B685A" w:rsidRDefault="002B685A" w:rsidP="00441B6F">
      <w:pPr>
        <w:pStyle w:val="ReferHead"/>
        <w:spacing w:after="0"/>
        <w:jc w:val="both"/>
        <w:rPr>
          <w:rFonts w:ascii="Arial" w:hAnsi="Arial" w:cs="Arial"/>
          <w:b w:val="0"/>
          <w:caps w:val="0"/>
          <w:sz w:val="20"/>
        </w:rPr>
      </w:pPr>
    </w:p>
    <w:p w14:paraId="241B40E3"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449500C8" w14:textId="77777777" w:rsidR="00D74235" w:rsidRDefault="00D74235" w:rsidP="00441B6F">
      <w:pPr>
        <w:pStyle w:val="ReferHead"/>
        <w:spacing w:after="0"/>
        <w:jc w:val="both"/>
        <w:rPr>
          <w:rFonts w:ascii="Arial" w:hAnsi="Arial" w:cs="Arial"/>
          <w:b w:val="0"/>
          <w:caps w:val="0"/>
          <w:sz w:val="20"/>
          <w:u w:val="single"/>
        </w:rPr>
      </w:pPr>
    </w:p>
    <w:p w14:paraId="234BDAF7" w14:textId="77777777" w:rsidR="001A29D8" w:rsidRPr="00F469F0" w:rsidRDefault="001A29D8" w:rsidP="00441B6F">
      <w:pPr>
        <w:pStyle w:val="ReferHead"/>
        <w:spacing w:after="0"/>
        <w:jc w:val="both"/>
        <w:rPr>
          <w:rFonts w:ascii="Arial" w:hAnsi="Arial" w:cs="Arial"/>
          <w:b w:val="0"/>
          <w:caps w:val="0"/>
          <w:sz w:val="20"/>
          <w:u w:val="single"/>
        </w:rPr>
      </w:pPr>
      <w:r w:rsidRPr="00F469F0">
        <w:rPr>
          <w:rFonts w:ascii="Arial" w:hAnsi="Arial" w:cs="Arial"/>
          <w:b w:val="0"/>
          <w:caps w:val="0"/>
          <w:sz w:val="20"/>
          <w:u w:val="single"/>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301BF532" w14:textId="77777777" w:rsidR="001A29D8" w:rsidRDefault="001A29D8" w:rsidP="00441B6F">
      <w:pPr>
        <w:pStyle w:val="ReferHead"/>
        <w:spacing w:after="0"/>
        <w:jc w:val="both"/>
        <w:rPr>
          <w:rFonts w:ascii="Arial" w:hAnsi="Arial" w:cs="Arial"/>
          <w:b w:val="0"/>
          <w:caps w:val="0"/>
          <w:sz w:val="20"/>
        </w:rPr>
      </w:pPr>
    </w:p>
    <w:p w14:paraId="3B9A533C" w14:textId="77777777" w:rsidR="005C784C" w:rsidRDefault="005C784C" w:rsidP="00441B6F">
      <w:pPr>
        <w:pStyle w:val="ReferHead"/>
        <w:spacing w:after="0"/>
        <w:jc w:val="both"/>
        <w:rPr>
          <w:rFonts w:ascii="Arial" w:hAnsi="Arial" w:cs="Arial"/>
          <w:b w:val="0"/>
          <w:caps w:val="0"/>
          <w:sz w:val="20"/>
        </w:rPr>
      </w:pPr>
    </w:p>
    <w:p w14:paraId="2A77F6FF"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574B5214" w14:textId="77777777" w:rsidR="005C784C" w:rsidRPr="002B685A" w:rsidRDefault="005C784C" w:rsidP="00441B6F">
      <w:pPr>
        <w:pStyle w:val="ReferHead"/>
        <w:spacing w:after="0"/>
        <w:jc w:val="both"/>
        <w:rPr>
          <w:rFonts w:ascii="Arial" w:hAnsi="Arial" w:cs="Arial"/>
          <w:bCs/>
        </w:rPr>
      </w:pPr>
    </w:p>
    <w:p w14:paraId="7F98A101" w14:textId="77777777" w:rsidR="0041027F" w:rsidRPr="00F469F0" w:rsidRDefault="008671C6" w:rsidP="00441B6F">
      <w:pPr>
        <w:pStyle w:val="ReferHead"/>
        <w:spacing w:after="0"/>
        <w:jc w:val="both"/>
        <w:rPr>
          <w:rFonts w:ascii="Arial" w:hAnsi="Arial" w:cs="Arial"/>
          <w:b w:val="0"/>
          <w:caps w:val="0"/>
          <w:sz w:val="20"/>
          <w:u w:val="single"/>
        </w:rPr>
      </w:pPr>
      <w:r w:rsidRPr="008671C6">
        <w:rPr>
          <w:rFonts w:ascii="Arial" w:hAnsi="Arial" w:cs="Arial"/>
          <w:b w:val="0"/>
          <w:caps w:val="0"/>
          <w:sz w:val="20"/>
          <w:u w:val="single"/>
        </w:rPr>
        <w:t xml:space="preserve">“All authors hereby declare that </w:t>
      </w:r>
      <w:r w:rsidR="0041027F" w:rsidRPr="008671C6">
        <w:rPr>
          <w:rFonts w:ascii="Arial" w:hAnsi="Arial" w:cs="Arial"/>
          <w:b w:val="0"/>
          <w:caps w:val="0"/>
          <w:sz w:val="20"/>
          <w:u w:val="single"/>
        </w:rPr>
        <w:t>"Principles of laboratory animal care" (NIH publication No. 85-23, revised 1985) were followed, as well as specific national laws where applicable.</w:t>
      </w:r>
      <w:r>
        <w:rPr>
          <w:rFonts w:ascii="Arial" w:hAnsi="Arial" w:cs="Arial"/>
          <w:b w:val="0"/>
          <w:caps w:val="0"/>
          <w:sz w:val="20"/>
          <w:u w:val="single"/>
        </w:rPr>
        <w:t xml:space="preserve"> A</w:t>
      </w:r>
      <w:r w:rsidRPr="00F469F0">
        <w:rPr>
          <w:rFonts w:ascii="Arial" w:hAnsi="Arial" w:cs="Arial"/>
          <w:b w:val="0"/>
          <w:caps w:val="0"/>
          <w:sz w:val="20"/>
          <w:u w:val="single"/>
        </w:rPr>
        <w:t>ll experiments have been examined and approved by the appropriate ethics committee</w:t>
      </w:r>
      <w:r w:rsidRPr="008671C6">
        <w:rPr>
          <w:rFonts w:ascii="Arial" w:hAnsi="Arial" w:cs="Arial"/>
          <w:b w:val="0"/>
          <w:caps w:val="0"/>
          <w:sz w:val="20"/>
          <w:u w:val="single"/>
        </w:rPr>
        <w:t>”</w:t>
      </w:r>
    </w:p>
    <w:p w14:paraId="1D65981B" w14:textId="77777777" w:rsidR="00860000" w:rsidRDefault="00860000" w:rsidP="00441B6F">
      <w:pPr>
        <w:pStyle w:val="ReferHead"/>
        <w:spacing w:after="0"/>
        <w:jc w:val="both"/>
        <w:rPr>
          <w:rFonts w:ascii="Arial" w:hAnsi="Arial" w:cs="Arial"/>
        </w:rPr>
      </w:pPr>
    </w:p>
    <w:p w14:paraId="5D88F748"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A837D30" w14:textId="77777777" w:rsidR="00790ADA" w:rsidRPr="00FB3A86" w:rsidRDefault="00790ADA" w:rsidP="00441B6F">
      <w:pPr>
        <w:pStyle w:val="ReferHead"/>
        <w:spacing w:after="0"/>
        <w:jc w:val="both"/>
        <w:rPr>
          <w:rFonts w:ascii="Arial" w:hAnsi="Arial" w:cs="Arial"/>
        </w:rPr>
      </w:pPr>
    </w:p>
    <w:p w14:paraId="50D54666" w14:textId="77777777" w:rsidR="008177DF" w:rsidRDefault="00D74235" w:rsidP="0076040C">
      <w:pPr>
        <w:widowControl w:val="0"/>
        <w:autoSpaceDE w:val="0"/>
        <w:autoSpaceDN w:val="0"/>
        <w:adjustRightInd w:val="0"/>
        <w:ind w:left="480" w:hanging="480"/>
        <w:jc w:val="both"/>
        <w:rPr>
          <w:rFonts w:ascii="Arial" w:hAnsi="Arial" w:cs="Arial"/>
          <w:noProof/>
          <w:szCs w:val="24"/>
        </w:rPr>
      </w:pPr>
      <w:r>
        <w:rPr>
          <w:rFonts w:ascii="Arial" w:hAnsi="Arial" w:cs="Arial"/>
        </w:rPr>
        <w:fldChar w:fldCharType="begin" w:fldLock="1"/>
      </w:r>
      <w:r>
        <w:rPr>
          <w:rFonts w:ascii="Arial" w:hAnsi="Arial" w:cs="Arial"/>
        </w:rPr>
        <w:instrText xml:space="preserve">ADDIN Mendeley Bibliography CSL_BIBLIOGRAPHY </w:instrText>
      </w:r>
      <w:r>
        <w:rPr>
          <w:rFonts w:ascii="Arial" w:hAnsi="Arial" w:cs="Arial"/>
        </w:rPr>
        <w:fldChar w:fldCharType="separate"/>
      </w:r>
      <w:r w:rsidR="008177DF" w:rsidRPr="008177DF">
        <w:t xml:space="preserve"> </w:t>
      </w:r>
      <w:r w:rsidR="008177DF" w:rsidRPr="008177DF">
        <w:rPr>
          <w:rFonts w:ascii="Arial" w:hAnsi="Arial" w:cs="Arial"/>
          <w:noProof/>
          <w:szCs w:val="24"/>
        </w:rPr>
        <w:t>Az-Zahra, S. D., &amp; Depriwana Rahmi. (2024). Forecasting the Amount of Pineapple Production in Riau Province Using the Single Exponential Smoothing Method. JMT: Journal of Mathematics and Applied Mathematics, 6(1), 1–8. https://doi.org/10.21009/jmt.6.1.1</w:t>
      </w:r>
    </w:p>
    <w:p w14:paraId="68361806" w14:textId="4ECAB02B" w:rsidR="00AC25AB" w:rsidRPr="00AC25AB" w:rsidRDefault="00AC25AB" w:rsidP="0076040C">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t xml:space="preserve">Chertkova, E., Kabilov, M. R., Yaroslavtseva, O., Polenogova, O., Kosman, E., Sidorenko, D., Alikina, T., Noskov, Y., Krivopalov, A., Glupov, V. V., &amp; Kryukov, V. Y. (2023). Links between Soil Bacteriobiomes and Fungistasis toward Fungi Infecting the Colorado Potato Beetle. </w:t>
      </w:r>
      <w:r w:rsidRPr="00AC25AB">
        <w:rPr>
          <w:rFonts w:ascii="Arial" w:hAnsi="Arial" w:cs="Arial"/>
          <w:i/>
          <w:iCs/>
          <w:noProof/>
          <w:szCs w:val="24"/>
        </w:rPr>
        <w:t>Microorganisms</w:t>
      </w:r>
      <w:r w:rsidRPr="00AC25AB">
        <w:rPr>
          <w:rFonts w:ascii="Arial" w:hAnsi="Arial" w:cs="Arial"/>
          <w:noProof/>
          <w:szCs w:val="24"/>
        </w:rPr>
        <w:t xml:space="preserve">, </w:t>
      </w:r>
      <w:r w:rsidRPr="00AC25AB">
        <w:rPr>
          <w:rFonts w:ascii="Arial" w:hAnsi="Arial" w:cs="Arial"/>
          <w:i/>
          <w:iCs/>
          <w:noProof/>
          <w:szCs w:val="24"/>
        </w:rPr>
        <w:t>11</w:t>
      </w:r>
      <w:r w:rsidRPr="00AC25AB">
        <w:rPr>
          <w:rFonts w:ascii="Arial" w:hAnsi="Arial" w:cs="Arial"/>
          <w:noProof/>
          <w:szCs w:val="24"/>
        </w:rPr>
        <w:t xml:space="preserve">(4), 1–17. </w:t>
      </w:r>
      <w:r w:rsidRPr="00AC25AB">
        <w:rPr>
          <w:rFonts w:ascii="Arial" w:hAnsi="Arial" w:cs="Arial"/>
          <w:noProof/>
          <w:szCs w:val="24"/>
        </w:rPr>
        <w:lastRenderedPageBreak/>
        <w:t>https://doi.org/10.3390/microorganisms11040943</w:t>
      </w:r>
    </w:p>
    <w:p w14:paraId="7E44904B" w14:textId="77777777" w:rsidR="00AC25AB" w:rsidRPr="00AC25AB" w:rsidRDefault="00AC25AB" w:rsidP="0076040C">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t xml:space="preserve">Chou, C., Hadi, B. A. R., Chiba, S., Sato, I., Choi, I. R., &amp; Tanaka, T. (2022). An entomopathogenic fungus and a natural extract benefit rice (Oryza sativa) by suppressing populations of insect pests while keeping high populations of their natural enemies. </w:t>
      </w:r>
      <w:r w:rsidRPr="00AC25AB">
        <w:rPr>
          <w:rFonts w:ascii="Arial" w:hAnsi="Arial" w:cs="Arial"/>
          <w:i/>
          <w:iCs/>
          <w:noProof/>
          <w:szCs w:val="24"/>
        </w:rPr>
        <w:t>Biological Control</w:t>
      </w:r>
      <w:r w:rsidRPr="00AC25AB">
        <w:rPr>
          <w:rFonts w:ascii="Arial" w:hAnsi="Arial" w:cs="Arial"/>
          <w:noProof/>
          <w:szCs w:val="24"/>
        </w:rPr>
        <w:t xml:space="preserve">, </w:t>
      </w:r>
      <w:r w:rsidRPr="00AC25AB">
        <w:rPr>
          <w:rFonts w:ascii="Arial" w:hAnsi="Arial" w:cs="Arial"/>
          <w:i/>
          <w:iCs/>
          <w:noProof/>
          <w:szCs w:val="24"/>
        </w:rPr>
        <w:t>165</w:t>
      </w:r>
      <w:r w:rsidRPr="00AC25AB">
        <w:rPr>
          <w:rFonts w:ascii="Arial" w:hAnsi="Arial" w:cs="Arial"/>
          <w:noProof/>
          <w:szCs w:val="24"/>
        </w:rPr>
        <w:t>(May 2021), 104793. https://doi.org/10.1016/j.biocontrol.2021.104793</w:t>
      </w:r>
    </w:p>
    <w:p w14:paraId="27607F97" w14:textId="77777777" w:rsidR="00AC25AB" w:rsidRPr="00AC25AB" w:rsidRDefault="00AC25AB" w:rsidP="0076040C">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t xml:space="preserve">Das, D., Losan, P., Payel, S., Nisha, P., Baruah, R., Choudhury, J., &amp; Begum, T. (2025). Harnessing endophytes : innovative strategies for sustainable agricultural practices. In </w:t>
      </w:r>
      <w:r w:rsidRPr="00AC25AB">
        <w:rPr>
          <w:rFonts w:ascii="Arial" w:hAnsi="Arial" w:cs="Arial"/>
          <w:i/>
          <w:iCs/>
          <w:noProof/>
          <w:szCs w:val="24"/>
        </w:rPr>
        <w:t>Discover Bacteria</w:t>
      </w:r>
      <w:r w:rsidRPr="00AC25AB">
        <w:rPr>
          <w:rFonts w:ascii="Arial" w:hAnsi="Arial" w:cs="Arial"/>
          <w:noProof/>
          <w:szCs w:val="24"/>
        </w:rPr>
        <w:t>. Springer Nature Singapore. https://doi.org/10.1007/s44351-025-00011-z</w:t>
      </w:r>
    </w:p>
    <w:p w14:paraId="3C0B7E86" w14:textId="769A1799" w:rsidR="00AC25AB" w:rsidRPr="00AC25AB" w:rsidRDefault="00C175E9" w:rsidP="0076040C">
      <w:pPr>
        <w:widowControl w:val="0"/>
        <w:autoSpaceDE w:val="0"/>
        <w:autoSpaceDN w:val="0"/>
        <w:adjustRightInd w:val="0"/>
        <w:ind w:left="480" w:hanging="480"/>
        <w:jc w:val="both"/>
        <w:rPr>
          <w:rFonts w:ascii="Arial" w:hAnsi="Arial" w:cs="Arial"/>
          <w:noProof/>
          <w:szCs w:val="24"/>
        </w:rPr>
      </w:pPr>
      <w:r w:rsidRPr="00C175E9">
        <w:rPr>
          <w:rFonts w:ascii="Arial" w:hAnsi="Arial" w:cs="Arial"/>
          <w:noProof/>
          <w:szCs w:val="24"/>
        </w:rPr>
        <w:t xml:space="preserve">Daud, I. D., Kuswinanti, T., Suryani, A. I., &amp; Yusri, M. (2024). Empowering Farmers with Beauveria bassiana: A Training Initiative for Sustainable Pest Management and Environmental Protection Empowering Farmers with Beauveria bassiana: A Training Initiative for Sustainable Pest Management and Environmental Protection </w:t>
      </w:r>
      <w:r w:rsidR="00AC25AB" w:rsidRPr="00AC25AB">
        <w:rPr>
          <w:rFonts w:ascii="Arial" w:hAnsi="Arial" w:cs="Arial"/>
          <w:i/>
          <w:iCs/>
          <w:noProof/>
          <w:szCs w:val="24"/>
        </w:rPr>
        <w:t>Protection</w:t>
      </w:r>
      <w:r w:rsidR="00AC25AB" w:rsidRPr="00AC25AB">
        <w:rPr>
          <w:rFonts w:ascii="Arial" w:hAnsi="Arial" w:cs="Arial"/>
          <w:noProof/>
          <w:szCs w:val="24"/>
        </w:rPr>
        <w:t>.</w:t>
      </w:r>
    </w:p>
    <w:p w14:paraId="2001BD23" w14:textId="77777777" w:rsidR="00AC25AB" w:rsidRPr="00AC25AB" w:rsidRDefault="00AC25AB" w:rsidP="0076040C">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t xml:space="preserve">Geremew, D., Shiberu, T., &amp; Leta, A. (2024). Isolation, morphological characterization, and screening virulence of Beauveria bassiana and Metarhizium robertsii fungal isolates  on Galleria mellonella. </w:t>
      </w:r>
      <w:r w:rsidRPr="00AC25AB">
        <w:rPr>
          <w:rFonts w:ascii="Arial" w:hAnsi="Arial" w:cs="Arial"/>
          <w:i/>
          <w:iCs/>
          <w:noProof/>
          <w:szCs w:val="24"/>
        </w:rPr>
        <w:t>F1000Research</w:t>
      </w:r>
      <w:r w:rsidRPr="00AC25AB">
        <w:rPr>
          <w:rFonts w:ascii="Arial" w:hAnsi="Arial" w:cs="Arial"/>
          <w:noProof/>
          <w:szCs w:val="24"/>
        </w:rPr>
        <w:t xml:space="preserve">, </w:t>
      </w:r>
      <w:r w:rsidRPr="00AC25AB">
        <w:rPr>
          <w:rFonts w:ascii="Arial" w:hAnsi="Arial" w:cs="Arial"/>
          <w:i/>
          <w:iCs/>
          <w:noProof/>
          <w:szCs w:val="24"/>
        </w:rPr>
        <w:t>12</w:t>
      </w:r>
      <w:r w:rsidRPr="00AC25AB">
        <w:rPr>
          <w:rFonts w:ascii="Arial" w:hAnsi="Arial" w:cs="Arial"/>
          <w:noProof/>
          <w:szCs w:val="24"/>
        </w:rPr>
        <w:t>, 1–24. https://doi.org/10.12688/f1000research.134020.5</w:t>
      </w:r>
    </w:p>
    <w:p w14:paraId="4E44B4FC" w14:textId="77777777" w:rsidR="008177DF" w:rsidRPr="008177DF" w:rsidRDefault="008177DF" w:rsidP="008177DF">
      <w:pPr>
        <w:widowControl w:val="0"/>
        <w:autoSpaceDE w:val="0"/>
        <w:autoSpaceDN w:val="0"/>
        <w:adjustRightInd w:val="0"/>
        <w:ind w:left="480" w:hanging="480"/>
        <w:jc w:val="both"/>
        <w:rPr>
          <w:rFonts w:ascii="Arial" w:hAnsi="Arial" w:cs="Arial"/>
          <w:noProof/>
          <w:szCs w:val="24"/>
        </w:rPr>
      </w:pPr>
      <w:r w:rsidRPr="008177DF">
        <w:rPr>
          <w:rFonts w:ascii="Arial" w:hAnsi="Arial" w:cs="Arial"/>
          <w:noProof/>
          <w:szCs w:val="24"/>
        </w:rPr>
        <w:t>Gustina, M., Ratih, S., Nurdin, M., &amp; Suharjo, R. (2016). Pathogen inventory in pineapple (Ananas comosus l.) queen variety plantations in Astomulyo village, Punggur District, Central Lampung Regency. Jurnal Agrotek Tropika, 4(3), 205–210. https://doi.org/10.23960/jat.v4i3.1853</w:t>
      </w:r>
    </w:p>
    <w:p w14:paraId="351C2498" w14:textId="77777777" w:rsidR="008177DF" w:rsidRDefault="008177DF" w:rsidP="008177DF">
      <w:pPr>
        <w:widowControl w:val="0"/>
        <w:autoSpaceDE w:val="0"/>
        <w:autoSpaceDN w:val="0"/>
        <w:adjustRightInd w:val="0"/>
        <w:ind w:left="480" w:hanging="480"/>
        <w:jc w:val="both"/>
        <w:rPr>
          <w:rFonts w:ascii="Arial" w:hAnsi="Arial" w:cs="Arial"/>
          <w:noProof/>
          <w:szCs w:val="24"/>
        </w:rPr>
      </w:pPr>
      <w:r w:rsidRPr="008177DF">
        <w:rPr>
          <w:rFonts w:ascii="Arial" w:hAnsi="Arial" w:cs="Arial"/>
          <w:noProof/>
          <w:szCs w:val="24"/>
        </w:rPr>
        <w:t>Hendra, Y., Trizelia, T., &amp; Syahrawati, M. (2022). Application of Entomopathogenic Fungi Beauveria Bassiana (Bals.) on Rice Plants and Its Effect on Oviposition Preferences of Brown Planthopper (Nilaparvata Lugens Stal) Imago. Proceedings Series on Physical &amp; Formal Sciences, 4, 475–481. https://doi.org/10.30595/pspfs.v4i.539</w:t>
      </w:r>
    </w:p>
    <w:p w14:paraId="4C24B184" w14:textId="3C5572A6" w:rsidR="00AC25AB" w:rsidRPr="00AC25AB" w:rsidRDefault="00AC25AB" w:rsidP="008177DF">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t xml:space="preserve">Hendra, Y., Trizelia, T., &amp; Syahrawati, M. (2023). Colonization of the entomopathogenic fungus Beauveria bassiana (Bals.) Vuill. on rice and its impact on nymph mortality and fecundity of brown planthopper (Nilaparvata lugens Stål). </w:t>
      </w:r>
      <w:r w:rsidRPr="00AC25AB">
        <w:rPr>
          <w:rFonts w:ascii="Arial" w:hAnsi="Arial" w:cs="Arial"/>
          <w:i/>
          <w:iCs/>
          <w:noProof/>
          <w:szCs w:val="24"/>
        </w:rPr>
        <w:t>Jurnal Entomologi Indonesia</w:t>
      </w:r>
      <w:r w:rsidRPr="00AC25AB">
        <w:rPr>
          <w:rFonts w:ascii="Arial" w:hAnsi="Arial" w:cs="Arial"/>
          <w:noProof/>
          <w:szCs w:val="24"/>
        </w:rPr>
        <w:t xml:space="preserve">, </w:t>
      </w:r>
      <w:r w:rsidRPr="00AC25AB">
        <w:rPr>
          <w:rFonts w:ascii="Arial" w:hAnsi="Arial" w:cs="Arial"/>
          <w:i/>
          <w:iCs/>
          <w:noProof/>
          <w:szCs w:val="24"/>
        </w:rPr>
        <w:t>20</w:t>
      </w:r>
      <w:r w:rsidRPr="00AC25AB">
        <w:rPr>
          <w:rFonts w:ascii="Arial" w:hAnsi="Arial" w:cs="Arial"/>
          <w:noProof/>
          <w:szCs w:val="24"/>
        </w:rPr>
        <w:t>(3), 203–212. https://doi.org/10.5994/jei.20.3.203</w:t>
      </w:r>
    </w:p>
    <w:p w14:paraId="50353EB1" w14:textId="77777777" w:rsidR="008177DF" w:rsidRPr="008177DF" w:rsidRDefault="008177DF" w:rsidP="008177DF">
      <w:pPr>
        <w:widowControl w:val="0"/>
        <w:autoSpaceDE w:val="0"/>
        <w:autoSpaceDN w:val="0"/>
        <w:adjustRightInd w:val="0"/>
        <w:ind w:left="480" w:hanging="480"/>
        <w:jc w:val="both"/>
        <w:rPr>
          <w:rFonts w:ascii="Arial" w:hAnsi="Arial" w:cs="Arial"/>
          <w:noProof/>
          <w:szCs w:val="24"/>
        </w:rPr>
      </w:pPr>
      <w:r w:rsidRPr="008177DF">
        <w:rPr>
          <w:rFonts w:ascii="Arial" w:hAnsi="Arial" w:cs="Arial"/>
          <w:noProof/>
          <w:szCs w:val="24"/>
        </w:rPr>
        <w:t>Herlinda, S., Armawan, K., Firmansyah, F., Adam, T., Irsan, C., &amp; Thalib, R. (2012). Bioessay of Beauveria bassiana bioinsecticide from South Sumatra against papaya mealybug, Paracoccus marginatus Williams &amp; Granara De Willink (Hemiptera: Pseudococcidae). Indonesian Journal of Entomology, 9(2), 81–87. https://doi.org/10.5994/jei.9.2.81</w:t>
      </w:r>
    </w:p>
    <w:p w14:paraId="25B2F6A0" w14:textId="77777777" w:rsidR="008177DF" w:rsidRPr="008177DF" w:rsidRDefault="008177DF" w:rsidP="008177DF">
      <w:pPr>
        <w:widowControl w:val="0"/>
        <w:autoSpaceDE w:val="0"/>
        <w:autoSpaceDN w:val="0"/>
        <w:adjustRightInd w:val="0"/>
        <w:ind w:left="480" w:hanging="480"/>
        <w:jc w:val="both"/>
        <w:rPr>
          <w:rFonts w:ascii="Arial" w:hAnsi="Arial" w:cs="Arial"/>
          <w:noProof/>
          <w:szCs w:val="24"/>
        </w:rPr>
      </w:pPr>
      <w:r w:rsidRPr="008177DF">
        <w:rPr>
          <w:rFonts w:ascii="Arial" w:hAnsi="Arial" w:cs="Arial"/>
          <w:noProof/>
          <w:szCs w:val="24"/>
        </w:rPr>
        <w:t>Hia, L., Ramadhan, M., Kusnasari, S., &amp; Listera Hia, N.: (2020). Expert System for Diagnosing Mealybug Wilt Disease in Pineapple Using Certainty Factor Method. CyberTech Journal, 3(3), 578–590. https://ojs.trigunadharma.ac.id/</w:t>
      </w:r>
    </w:p>
    <w:p w14:paraId="5DAC284C" w14:textId="77777777" w:rsidR="008177DF" w:rsidRPr="008177DF" w:rsidRDefault="008177DF" w:rsidP="008177DF">
      <w:pPr>
        <w:widowControl w:val="0"/>
        <w:autoSpaceDE w:val="0"/>
        <w:autoSpaceDN w:val="0"/>
        <w:adjustRightInd w:val="0"/>
        <w:ind w:left="480" w:hanging="480"/>
        <w:jc w:val="both"/>
        <w:rPr>
          <w:rFonts w:ascii="Arial" w:hAnsi="Arial" w:cs="Arial"/>
          <w:noProof/>
          <w:szCs w:val="24"/>
        </w:rPr>
      </w:pPr>
      <w:r w:rsidRPr="008177DF">
        <w:rPr>
          <w:rFonts w:ascii="Arial" w:hAnsi="Arial" w:cs="Arial"/>
          <w:noProof/>
          <w:szCs w:val="24"/>
        </w:rPr>
        <w:t>Iida, Y., Higashi, Y., Nishi, O., Kouda, M., Maeda, K., Yoshida, K., Asano, S., Kawakami, T., Nakajima, K., Kuroda, K., Tanaka, C., Sasaki, A., Kamiya, K., Yamagishi, N., Fujinaga, M., Terami, F., Yamanaka, S., &amp; Kubota, M. (2023). Entomopathogenic fungus Beauveria bassiana–based bioinsecticide suppresses severity of powdery mildews of vegetables by inducing the plant defense responses. Frontiers in Plant Science, 14(August), 1–12. https://doi.org/10.3389/fpls.2023.1211825</w:t>
      </w:r>
    </w:p>
    <w:p w14:paraId="6BEF3108" w14:textId="77777777" w:rsidR="008177DF" w:rsidRDefault="008177DF" w:rsidP="008177DF">
      <w:pPr>
        <w:widowControl w:val="0"/>
        <w:autoSpaceDE w:val="0"/>
        <w:autoSpaceDN w:val="0"/>
        <w:adjustRightInd w:val="0"/>
        <w:ind w:left="480" w:hanging="480"/>
        <w:jc w:val="both"/>
        <w:rPr>
          <w:rFonts w:ascii="Arial" w:hAnsi="Arial" w:cs="Arial"/>
          <w:noProof/>
          <w:szCs w:val="24"/>
        </w:rPr>
      </w:pPr>
      <w:r w:rsidRPr="008177DF">
        <w:rPr>
          <w:rFonts w:ascii="Arial" w:hAnsi="Arial" w:cs="Arial"/>
          <w:noProof/>
          <w:szCs w:val="24"/>
        </w:rPr>
        <w:t>Klingen, I., Eilenberg, J., &amp; Meadow, R. (2002). Effects of farming systems, field margins and bait insects on the occurrence of insect pathogenic fungi in soils. Agriculture, Ecosystems and Environment, 91(1–3), 191–198. https://doi.org/10.1016/S0167-8809(01)00227-4</w:t>
      </w:r>
    </w:p>
    <w:p w14:paraId="4E65BED2" w14:textId="4B89437F" w:rsidR="00AC25AB" w:rsidRPr="00AC25AB" w:rsidRDefault="00AC25AB" w:rsidP="008177DF">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t xml:space="preserve">Liu, L., Liu, S., Meng, Q., Chen, B., Zhang, J., Zhang, X., Lin, Z., &amp; Zou, Z. (2025). Evaluating Beauveria bassiana Strains for Insect Pest Control and Endophytic Colonization in Wheat. </w:t>
      </w:r>
      <w:r w:rsidRPr="00AC25AB">
        <w:rPr>
          <w:rFonts w:ascii="Arial" w:hAnsi="Arial" w:cs="Arial"/>
          <w:i/>
          <w:iCs/>
          <w:noProof/>
          <w:szCs w:val="24"/>
        </w:rPr>
        <w:t xml:space="preserve">Insects </w:t>
      </w:r>
      <w:r w:rsidRPr="00AC25AB">
        <w:rPr>
          <w:rFonts w:ascii="Arial" w:hAnsi="Arial" w:cs="Arial"/>
          <w:noProof/>
          <w:szCs w:val="24"/>
        </w:rPr>
        <w:t xml:space="preserve">, </w:t>
      </w:r>
      <w:r w:rsidRPr="00AC25AB">
        <w:rPr>
          <w:rFonts w:ascii="Arial" w:hAnsi="Arial" w:cs="Arial"/>
          <w:i/>
          <w:iCs/>
          <w:noProof/>
          <w:szCs w:val="24"/>
        </w:rPr>
        <w:t>16</w:t>
      </w:r>
      <w:r w:rsidRPr="00AC25AB">
        <w:rPr>
          <w:rFonts w:ascii="Arial" w:hAnsi="Arial" w:cs="Arial"/>
          <w:noProof/>
          <w:szCs w:val="24"/>
        </w:rPr>
        <w:t>(3). https://doi.org/10.3390/insects16030287</w:t>
      </w:r>
    </w:p>
    <w:p w14:paraId="30564C4A" w14:textId="77777777" w:rsidR="00AC25AB" w:rsidRPr="00AC25AB" w:rsidRDefault="00AC25AB" w:rsidP="0076040C">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t xml:space="preserve">Mantzoukas, S., &amp; Eliopoulos, P. A. (2020). Endophytic entomopathogenic fungi: A valuable biological control tool against plant pests. </w:t>
      </w:r>
      <w:r w:rsidRPr="00AC25AB">
        <w:rPr>
          <w:rFonts w:ascii="Arial" w:hAnsi="Arial" w:cs="Arial"/>
          <w:i/>
          <w:iCs/>
          <w:noProof/>
          <w:szCs w:val="24"/>
        </w:rPr>
        <w:t>Applied Sciences (Switzerland)</w:t>
      </w:r>
      <w:r w:rsidRPr="00AC25AB">
        <w:rPr>
          <w:rFonts w:ascii="Arial" w:hAnsi="Arial" w:cs="Arial"/>
          <w:noProof/>
          <w:szCs w:val="24"/>
        </w:rPr>
        <w:t xml:space="preserve">, </w:t>
      </w:r>
      <w:r w:rsidRPr="00AC25AB">
        <w:rPr>
          <w:rFonts w:ascii="Arial" w:hAnsi="Arial" w:cs="Arial"/>
          <w:i/>
          <w:iCs/>
          <w:noProof/>
          <w:szCs w:val="24"/>
        </w:rPr>
        <w:t>10</w:t>
      </w:r>
      <w:r w:rsidRPr="00AC25AB">
        <w:rPr>
          <w:rFonts w:ascii="Arial" w:hAnsi="Arial" w:cs="Arial"/>
          <w:noProof/>
          <w:szCs w:val="24"/>
        </w:rPr>
        <w:t xml:space="preserve">(1). </w:t>
      </w:r>
      <w:r w:rsidRPr="00AC25AB">
        <w:rPr>
          <w:rFonts w:ascii="Arial" w:hAnsi="Arial" w:cs="Arial"/>
          <w:noProof/>
          <w:szCs w:val="24"/>
        </w:rPr>
        <w:lastRenderedPageBreak/>
        <w:t>https://doi.org/10.3390/app10010360</w:t>
      </w:r>
    </w:p>
    <w:p w14:paraId="79B99017" w14:textId="77777777" w:rsidR="00AC25AB" w:rsidRPr="00AC25AB" w:rsidRDefault="00AC25AB" w:rsidP="0076040C">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t xml:space="preserve">Omomowo, I. O., Amao, J. A., Abubakar, A., Ogundola, A. F., Ezediuno, L. O., &amp; Bamigboye, C. O. (2023). A review on the trends of endophytic fungi bioactivities. </w:t>
      </w:r>
      <w:r w:rsidRPr="00AC25AB">
        <w:rPr>
          <w:rFonts w:ascii="Arial" w:hAnsi="Arial" w:cs="Arial"/>
          <w:i/>
          <w:iCs/>
          <w:noProof/>
          <w:szCs w:val="24"/>
        </w:rPr>
        <w:t>Scientific African</w:t>
      </w:r>
      <w:r w:rsidRPr="00AC25AB">
        <w:rPr>
          <w:rFonts w:ascii="Arial" w:hAnsi="Arial" w:cs="Arial"/>
          <w:noProof/>
          <w:szCs w:val="24"/>
        </w:rPr>
        <w:t xml:space="preserve">, </w:t>
      </w:r>
      <w:r w:rsidRPr="00AC25AB">
        <w:rPr>
          <w:rFonts w:ascii="Arial" w:hAnsi="Arial" w:cs="Arial"/>
          <w:i/>
          <w:iCs/>
          <w:noProof/>
          <w:szCs w:val="24"/>
        </w:rPr>
        <w:t>20</w:t>
      </w:r>
      <w:r w:rsidRPr="00AC25AB">
        <w:rPr>
          <w:rFonts w:ascii="Arial" w:hAnsi="Arial" w:cs="Arial"/>
          <w:noProof/>
          <w:szCs w:val="24"/>
        </w:rPr>
        <w:t>. https://doi.org/10.1016/j.sciaf.2023.e01594</w:t>
      </w:r>
    </w:p>
    <w:p w14:paraId="5ED9C10F" w14:textId="77777777" w:rsidR="00AC25AB" w:rsidRPr="00AC25AB" w:rsidRDefault="00AC25AB" w:rsidP="0076040C">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t xml:space="preserve">Ramakuwela, T., Hatting, J., Bock, C., Vega, F. E., Wells, L., Mbata, G. N., &amp; Shapiro-Ilan, D. (2020). Establishment of Beauveria bassiana as a fungal endophyte in pecan (Carya illinoinensis) seedlings and its virulence against pecan insect pests. </w:t>
      </w:r>
      <w:r w:rsidRPr="00AC25AB">
        <w:rPr>
          <w:rFonts w:ascii="Arial" w:hAnsi="Arial" w:cs="Arial"/>
          <w:i/>
          <w:iCs/>
          <w:noProof/>
          <w:szCs w:val="24"/>
        </w:rPr>
        <w:t>Biological Control</w:t>
      </w:r>
      <w:r w:rsidRPr="00AC25AB">
        <w:rPr>
          <w:rFonts w:ascii="Arial" w:hAnsi="Arial" w:cs="Arial"/>
          <w:noProof/>
          <w:szCs w:val="24"/>
        </w:rPr>
        <w:t xml:space="preserve">, </w:t>
      </w:r>
      <w:r w:rsidRPr="00AC25AB">
        <w:rPr>
          <w:rFonts w:ascii="Arial" w:hAnsi="Arial" w:cs="Arial"/>
          <w:i/>
          <w:iCs/>
          <w:noProof/>
          <w:szCs w:val="24"/>
        </w:rPr>
        <w:t>140</w:t>
      </w:r>
      <w:r w:rsidRPr="00AC25AB">
        <w:rPr>
          <w:rFonts w:ascii="Arial" w:hAnsi="Arial" w:cs="Arial"/>
          <w:noProof/>
          <w:szCs w:val="24"/>
        </w:rPr>
        <w:t>(August 2019), 104102. https://doi.org/10.1016/j.biocontrol.2019.104102</w:t>
      </w:r>
    </w:p>
    <w:p w14:paraId="62D03C48" w14:textId="77777777" w:rsidR="00AC25AB" w:rsidRPr="00AC25AB" w:rsidRDefault="00AC25AB" w:rsidP="0076040C">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t xml:space="preserve">Rodliyatun, S., Triyanti, S., Suseno, S. H., &amp; Nugroho, D. A. (2019). Standar operasional prosedur budi daya nanas sebagai upaya penanggulangan serangan hama dan penyakit pada tanaman nanas. </w:t>
      </w:r>
      <w:r w:rsidRPr="00AC25AB">
        <w:rPr>
          <w:rFonts w:ascii="Arial" w:hAnsi="Arial" w:cs="Arial"/>
          <w:i/>
          <w:iCs/>
          <w:noProof/>
          <w:szCs w:val="24"/>
        </w:rPr>
        <w:t>Jurnal Pusat Inovasi Masyarakat</w:t>
      </w:r>
      <w:r w:rsidRPr="00AC25AB">
        <w:rPr>
          <w:rFonts w:ascii="Arial" w:hAnsi="Arial" w:cs="Arial"/>
          <w:noProof/>
          <w:szCs w:val="24"/>
        </w:rPr>
        <w:t xml:space="preserve">, </w:t>
      </w:r>
      <w:r w:rsidRPr="00AC25AB">
        <w:rPr>
          <w:rFonts w:ascii="Arial" w:hAnsi="Arial" w:cs="Arial"/>
          <w:i/>
          <w:iCs/>
          <w:noProof/>
          <w:szCs w:val="24"/>
        </w:rPr>
        <w:t>1</w:t>
      </w:r>
      <w:r w:rsidRPr="00AC25AB">
        <w:rPr>
          <w:rFonts w:ascii="Arial" w:hAnsi="Arial" w:cs="Arial"/>
          <w:noProof/>
          <w:szCs w:val="24"/>
        </w:rPr>
        <w:t>(1), 13–20.</w:t>
      </w:r>
    </w:p>
    <w:p w14:paraId="69A57C35" w14:textId="77777777" w:rsidR="00AC25AB" w:rsidRPr="00AC25AB" w:rsidRDefault="00AC25AB" w:rsidP="0076040C">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t xml:space="preserve">Sabbahi, R., Hock, V., Azzaoui, K., Saoiabi, S., &amp; Hammouti, B. (2022). A global perspective of entomopathogens as microbial biocontrol agents of insect pests. </w:t>
      </w:r>
      <w:r w:rsidRPr="00AC25AB">
        <w:rPr>
          <w:rFonts w:ascii="Arial" w:hAnsi="Arial" w:cs="Arial"/>
          <w:i/>
          <w:iCs/>
          <w:noProof/>
          <w:szCs w:val="24"/>
        </w:rPr>
        <w:t>Journal of Agriculture and Food Research</w:t>
      </w:r>
      <w:r w:rsidRPr="00AC25AB">
        <w:rPr>
          <w:rFonts w:ascii="Arial" w:hAnsi="Arial" w:cs="Arial"/>
          <w:noProof/>
          <w:szCs w:val="24"/>
        </w:rPr>
        <w:t xml:space="preserve">, </w:t>
      </w:r>
      <w:r w:rsidRPr="00AC25AB">
        <w:rPr>
          <w:rFonts w:ascii="Arial" w:hAnsi="Arial" w:cs="Arial"/>
          <w:i/>
          <w:iCs/>
          <w:noProof/>
          <w:szCs w:val="24"/>
        </w:rPr>
        <w:t>10</w:t>
      </w:r>
      <w:r w:rsidRPr="00AC25AB">
        <w:rPr>
          <w:rFonts w:ascii="Arial" w:hAnsi="Arial" w:cs="Arial"/>
          <w:noProof/>
          <w:szCs w:val="24"/>
        </w:rPr>
        <w:t>(August), 100376. https://doi.org/10.1016/j.jafr.2022.100376</w:t>
      </w:r>
    </w:p>
    <w:p w14:paraId="0C9AE63B" w14:textId="77777777" w:rsidR="00AC25AB" w:rsidRPr="00AC25AB" w:rsidRDefault="00AC25AB" w:rsidP="0076040C">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t xml:space="preserve">Tanada, Y., &amp; kaya H. (1993). </w:t>
      </w:r>
      <w:r w:rsidRPr="00AC25AB">
        <w:rPr>
          <w:rFonts w:ascii="Arial" w:hAnsi="Arial" w:cs="Arial"/>
          <w:i/>
          <w:iCs/>
          <w:noProof/>
          <w:szCs w:val="24"/>
        </w:rPr>
        <w:t>Insect Pathology</w:t>
      </w:r>
      <w:r w:rsidRPr="00AC25AB">
        <w:rPr>
          <w:rFonts w:ascii="Arial" w:hAnsi="Arial" w:cs="Arial"/>
          <w:noProof/>
          <w:szCs w:val="24"/>
        </w:rPr>
        <w:t>. Academic Press, Inc., California.</w:t>
      </w:r>
    </w:p>
    <w:p w14:paraId="2D7F2B45" w14:textId="77777777" w:rsidR="00AC25AB" w:rsidRPr="00AC25AB" w:rsidRDefault="00AC25AB" w:rsidP="0076040C">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t xml:space="preserve">Taupiq, L., Sudantha, I. M., &amp; Sudharmawan, A. A. (2024). The Potential of The Entomopathogenic Fungus Beauveria Bassiana (bals) Vuillemin to Control Mealybugs Planococcus spp. Hemiptera: Pseudococcidae. </w:t>
      </w:r>
      <w:r w:rsidRPr="00AC25AB">
        <w:rPr>
          <w:rFonts w:ascii="Arial" w:hAnsi="Arial" w:cs="Arial"/>
          <w:i/>
          <w:iCs/>
          <w:noProof/>
          <w:szCs w:val="24"/>
        </w:rPr>
        <w:t>Jurnal Biologi Tropis</w:t>
      </w:r>
      <w:r w:rsidRPr="00AC25AB">
        <w:rPr>
          <w:rFonts w:ascii="Arial" w:hAnsi="Arial" w:cs="Arial"/>
          <w:noProof/>
          <w:szCs w:val="24"/>
        </w:rPr>
        <w:t xml:space="preserve">, </w:t>
      </w:r>
      <w:r w:rsidRPr="00AC25AB">
        <w:rPr>
          <w:rFonts w:ascii="Arial" w:hAnsi="Arial" w:cs="Arial"/>
          <w:i/>
          <w:iCs/>
          <w:noProof/>
          <w:szCs w:val="24"/>
        </w:rPr>
        <w:t>24</w:t>
      </w:r>
      <w:r w:rsidRPr="00AC25AB">
        <w:rPr>
          <w:rFonts w:ascii="Arial" w:hAnsi="Arial" w:cs="Arial"/>
          <w:noProof/>
          <w:szCs w:val="24"/>
        </w:rPr>
        <w:t>(1), 424–433.</w:t>
      </w:r>
    </w:p>
    <w:p w14:paraId="02ABB4A3" w14:textId="77777777" w:rsidR="00AC25AB" w:rsidRPr="00AC25AB" w:rsidRDefault="00AC25AB" w:rsidP="0076040C">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t xml:space="preserve">Thakur, N., Tomar, P., Kaur, S., Kaur, T., &amp; Yadav, A. N. (2024). The insecticidal activity of endophytic fungi for sustainable agriculture. In Endophytic Fungi. </w:t>
      </w:r>
      <w:r w:rsidRPr="00AC25AB">
        <w:rPr>
          <w:rFonts w:ascii="Arial" w:hAnsi="Arial" w:cs="Arial"/>
          <w:i/>
          <w:iCs/>
          <w:noProof/>
          <w:szCs w:val="24"/>
        </w:rPr>
        <w:t>Academic press</w:t>
      </w:r>
      <w:r w:rsidRPr="00AC25AB">
        <w:rPr>
          <w:rFonts w:ascii="Arial" w:hAnsi="Arial" w:cs="Arial"/>
          <w:noProof/>
          <w:szCs w:val="24"/>
        </w:rPr>
        <w:t>, 81–133.</w:t>
      </w:r>
    </w:p>
    <w:p w14:paraId="103D7808" w14:textId="77777777" w:rsidR="00AC25AB" w:rsidRPr="00AC25AB" w:rsidRDefault="00AC25AB" w:rsidP="0076040C">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t xml:space="preserve">Trizelia, Rahma, H., &amp; Syahrawati, M. (2023). Diversity of endophytic fungi of rice plants in Padang City, Indonesia, entomopathogenic to brown planthopper (Nilaparvata lugens). </w:t>
      </w:r>
      <w:r w:rsidRPr="00AC25AB">
        <w:rPr>
          <w:rFonts w:ascii="Arial" w:hAnsi="Arial" w:cs="Arial"/>
          <w:i/>
          <w:iCs/>
          <w:noProof/>
          <w:szCs w:val="24"/>
        </w:rPr>
        <w:t>Biodiversitas</w:t>
      </w:r>
      <w:r w:rsidRPr="00AC25AB">
        <w:rPr>
          <w:rFonts w:ascii="Arial" w:hAnsi="Arial" w:cs="Arial"/>
          <w:noProof/>
          <w:szCs w:val="24"/>
        </w:rPr>
        <w:t xml:space="preserve">, </w:t>
      </w:r>
      <w:r w:rsidRPr="00AC25AB">
        <w:rPr>
          <w:rFonts w:ascii="Arial" w:hAnsi="Arial" w:cs="Arial"/>
          <w:i/>
          <w:iCs/>
          <w:noProof/>
          <w:szCs w:val="24"/>
        </w:rPr>
        <w:t>24</w:t>
      </w:r>
      <w:r w:rsidRPr="00AC25AB">
        <w:rPr>
          <w:rFonts w:ascii="Arial" w:hAnsi="Arial" w:cs="Arial"/>
          <w:noProof/>
          <w:szCs w:val="24"/>
        </w:rPr>
        <w:t>(4), 2384–2391. https://doi.org/10.13057/biodiv/d240453</w:t>
      </w:r>
    </w:p>
    <w:p w14:paraId="213281D5" w14:textId="77777777" w:rsidR="00AC25AB" w:rsidRPr="00AC25AB" w:rsidRDefault="00AC25AB" w:rsidP="0076040C">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t xml:space="preserve">Vermelho, A. B., Moreira, J. V., Akamine, I. T., Cardoso, V. S., &amp; Mansoldo, F. R. P. (2024). Agricultural Pest Management: The Role of Microorganisms in Biopesticides and Soil Bioremediation. </w:t>
      </w:r>
      <w:r w:rsidRPr="00AC25AB">
        <w:rPr>
          <w:rFonts w:ascii="Arial" w:hAnsi="Arial" w:cs="Arial"/>
          <w:i/>
          <w:iCs/>
          <w:noProof/>
          <w:szCs w:val="24"/>
        </w:rPr>
        <w:t>Plants</w:t>
      </w:r>
      <w:r w:rsidRPr="00AC25AB">
        <w:rPr>
          <w:rFonts w:ascii="Arial" w:hAnsi="Arial" w:cs="Arial"/>
          <w:noProof/>
          <w:szCs w:val="24"/>
        </w:rPr>
        <w:t xml:space="preserve">, </w:t>
      </w:r>
      <w:r w:rsidRPr="00AC25AB">
        <w:rPr>
          <w:rFonts w:ascii="Arial" w:hAnsi="Arial" w:cs="Arial"/>
          <w:i/>
          <w:iCs/>
          <w:noProof/>
          <w:szCs w:val="24"/>
        </w:rPr>
        <w:t>13</w:t>
      </w:r>
      <w:r w:rsidRPr="00AC25AB">
        <w:rPr>
          <w:rFonts w:ascii="Arial" w:hAnsi="Arial" w:cs="Arial"/>
          <w:noProof/>
          <w:szCs w:val="24"/>
        </w:rPr>
        <w:t>(19), 1–49. https://doi.org/10.3390/plants13192762</w:t>
      </w:r>
    </w:p>
    <w:p w14:paraId="2C0A4E75" w14:textId="77777777" w:rsidR="00C175E9" w:rsidRDefault="00C175E9" w:rsidP="0076040C">
      <w:pPr>
        <w:widowControl w:val="0"/>
        <w:autoSpaceDE w:val="0"/>
        <w:autoSpaceDN w:val="0"/>
        <w:adjustRightInd w:val="0"/>
        <w:ind w:left="480" w:hanging="480"/>
        <w:jc w:val="both"/>
        <w:rPr>
          <w:rFonts w:ascii="Arial" w:hAnsi="Arial" w:cs="Arial"/>
          <w:noProof/>
          <w:szCs w:val="24"/>
        </w:rPr>
      </w:pPr>
      <w:r w:rsidRPr="00C175E9">
        <w:rPr>
          <w:rFonts w:ascii="Arial" w:hAnsi="Arial" w:cs="Arial"/>
          <w:noProof/>
          <w:szCs w:val="24"/>
        </w:rPr>
        <w:t>Wongkar, J., Tarore, D., &amp; Rimbing, J. (2022). Pathogenicity of Metarhizium huainamdangense Isolate of East Dumoga Against Brown Planthopper (Nilaparvata lugens) In Rice Plants. Journal of Bios Logos, 12(1), 25. https://doi.org/10.35799/jbl.v12i1.37827</w:t>
      </w:r>
    </w:p>
    <w:p w14:paraId="36FFA116" w14:textId="6281E3BA" w:rsidR="00AC25AB" w:rsidRPr="00AC25AB" w:rsidRDefault="00AC25AB" w:rsidP="0076040C">
      <w:pPr>
        <w:widowControl w:val="0"/>
        <w:autoSpaceDE w:val="0"/>
        <w:autoSpaceDN w:val="0"/>
        <w:adjustRightInd w:val="0"/>
        <w:ind w:left="480" w:hanging="480"/>
        <w:jc w:val="both"/>
        <w:rPr>
          <w:rFonts w:ascii="Arial" w:hAnsi="Arial" w:cs="Arial"/>
          <w:noProof/>
          <w:szCs w:val="24"/>
        </w:rPr>
      </w:pPr>
      <w:r w:rsidRPr="00AC25AB">
        <w:rPr>
          <w:rFonts w:ascii="Arial" w:hAnsi="Arial" w:cs="Arial"/>
          <w:noProof/>
          <w:szCs w:val="24"/>
        </w:rPr>
        <w:t xml:space="preserve">Zhang, W., Chen, X., Eleftherianos, I., Mohamed, A., Bastin, A., &amp; Keyhani, N. O. (2024). Cross-talk between immunity and behavior: insights from entomopathogenic fungi and their insect hosts. </w:t>
      </w:r>
      <w:r w:rsidRPr="00AC25AB">
        <w:rPr>
          <w:rFonts w:ascii="Arial" w:hAnsi="Arial" w:cs="Arial"/>
          <w:i/>
          <w:iCs/>
          <w:noProof/>
          <w:szCs w:val="24"/>
        </w:rPr>
        <w:t>FEMS Microbiology Reviews</w:t>
      </w:r>
      <w:r w:rsidRPr="00AC25AB">
        <w:rPr>
          <w:rFonts w:ascii="Arial" w:hAnsi="Arial" w:cs="Arial"/>
          <w:noProof/>
          <w:szCs w:val="24"/>
        </w:rPr>
        <w:t xml:space="preserve">, </w:t>
      </w:r>
      <w:r w:rsidRPr="00AC25AB">
        <w:rPr>
          <w:rFonts w:ascii="Arial" w:hAnsi="Arial" w:cs="Arial"/>
          <w:i/>
          <w:iCs/>
          <w:noProof/>
          <w:szCs w:val="24"/>
        </w:rPr>
        <w:t>48</w:t>
      </w:r>
      <w:r w:rsidRPr="00AC25AB">
        <w:rPr>
          <w:rFonts w:ascii="Arial" w:hAnsi="Arial" w:cs="Arial"/>
          <w:noProof/>
          <w:szCs w:val="24"/>
        </w:rPr>
        <w:t>(1). https://doi.org/10.1093/femsre/fuae003</w:t>
      </w:r>
    </w:p>
    <w:p w14:paraId="07D3A947" w14:textId="77777777" w:rsidR="00AC25AB" w:rsidRPr="00AC25AB" w:rsidRDefault="00AC25AB" w:rsidP="0076040C">
      <w:pPr>
        <w:widowControl w:val="0"/>
        <w:autoSpaceDE w:val="0"/>
        <w:autoSpaceDN w:val="0"/>
        <w:adjustRightInd w:val="0"/>
        <w:ind w:left="480" w:hanging="480"/>
        <w:jc w:val="both"/>
        <w:rPr>
          <w:rFonts w:ascii="Arial" w:hAnsi="Arial" w:cs="Arial"/>
          <w:noProof/>
        </w:rPr>
      </w:pPr>
      <w:r w:rsidRPr="00AC25AB">
        <w:rPr>
          <w:rFonts w:ascii="Arial" w:hAnsi="Arial" w:cs="Arial"/>
          <w:noProof/>
          <w:szCs w:val="24"/>
        </w:rPr>
        <w:t xml:space="preserve">Zhang, Z., Lu, Y., Xu, W., Sui, L., Du, Q., Wang, Y., Zhao, Y., &amp; Li, Q. (2020). Influence of genetic diversity of seventeen Beauveria bassiana isolates from different hosts on virulence by comparative genomics. </w:t>
      </w:r>
      <w:r w:rsidRPr="00AC25AB">
        <w:rPr>
          <w:rFonts w:ascii="Arial" w:hAnsi="Arial" w:cs="Arial"/>
          <w:i/>
          <w:iCs/>
          <w:noProof/>
          <w:szCs w:val="24"/>
        </w:rPr>
        <w:t>BMC Genomics</w:t>
      </w:r>
      <w:r w:rsidRPr="00AC25AB">
        <w:rPr>
          <w:rFonts w:ascii="Arial" w:hAnsi="Arial" w:cs="Arial"/>
          <w:noProof/>
          <w:szCs w:val="24"/>
        </w:rPr>
        <w:t xml:space="preserve">, </w:t>
      </w:r>
      <w:r w:rsidRPr="00AC25AB">
        <w:rPr>
          <w:rFonts w:ascii="Arial" w:hAnsi="Arial" w:cs="Arial"/>
          <w:i/>
          <w:iCs/>
          <w:noProof/>
          <w:szCs w:val="24"/>
        </w:rPr>
        <w:t>21</w:t>
      </w:r>
      <w:r w:rsidRPr="00AC25AB">
        <w:rPr>
          <w:rFonts w:ascii="Arial" w:hAnsi="Arial" w:cs="Arial"/>
          <w:noProof/>
          <w:szCs w:val="24"/>
        </w:rPr>
        <w:t>(1), 1–12. https://doi.org/10.1186/s12864-020-06791-9</w:t>
      </w:r>
    </w:p>
    <w:p w14:paraId="5E11CBED" w14:textId="77777777" w:rsidR="00790ADA" w:rsidRDefault="00D74235" w:rsidP="00D74235">
      <w:pPr>
        <w:pStyle w:val="Body"/>
        <w:spacing w:after="0"/>
        <w:rPr>
          <w:rFonts w:ascii="Arial" w:hAnsi="Arial" w:cs="Arial"/>
        </w:rPr>
      </w:pPr>
      <w:r>
        <w:rPr>
          <w:rFonts w:ascii="Arial" w:hAnsi="Arial" w:cs="Arial"/>
        </w:rPr>
        <w:fldChar w:fldCharType="end"/>
      </w:r>
    </w:p>
    <w:p w14:paraId="6BC939B5" w14:textId="77777777" w:rsidR="004D4277" w:rsidRPr="00FB3A86" w:rsidRDefault="004D4277" w:rsidP="00441B6F">
      <w:pPr>
        <w:pStyle w:val="Appendix"/>
        <w:spacing w:after="0"/>
        <w:jc w:val="both"/>
        <w:rPr>
          <w:rFonts w:ascii="Arial" w:hAnsi="Arial" w:cs="Arial"/>
          <w:b w:val="0"/>
        </w:rPr>
        <w:sectPr w:rsidR="004D4277" w:rsidRPr="00FB3A86" w:rsidSect="004D25EC">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21B7C333" w14:textId="77777777" w:rsidR="00B01FCD" w:rsidRPr="00FB3A86" w:rsidRDefault="00B01FCD" w:rsidP="00441B6F">
      <w:pPr>
        <w:pStyle w:val="Appendix"/>
        <w:spacing w:after="0"/>
        <w:jc w:val="both"/>
        <w:rPr>
          <w:rFonts w:ascii="Arial" w:hAnsi="Arial" w:cs="Arial"/>
          <w:b w:val="0"/>
        </w:rPr>
      </w:pPr>
    </w:p>
    <w:sectPr w:rsidR="00B01FCD" w:rsidRPr="00FB3A86" w:rsidSect="004D25E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C55C7" w14:textId="77777777" w:rsidR="00C84930" w:rsidRDefault="00C84930" w:rsidP="00C37E61">
      <w:r>
        <w:separator/>
      </w:r>
    </w:p>
  </w:endnote>
  <w:endnote w:type="continuationSeparator" w:id="0">
    <w:p w14:paraId="57454115" w14:textId="77777777" w:rsidR="00C84930" w:rsidRDefault="00C8493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C1906" w14:textId="77777777" w:rsidR="0091356C" w:rsidRDefault="00913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EC4EA" w14:textId="77777777" w:rsidR="0091356C" w:rsidRDefault="009135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7ABB8" w14:textId="77777777" w:rsidR="009E048A" w:rsidRDefault="009E048A">
    <w:pPr>
      <w:pStyle w:val="Footer"/>
      <w:rPr>
        <w:rFonts w:ascii="Arial" w:hAnsi="Arial" w:cs="Arial"/>
        <w:sz w:val="16"/>
      </w:rPr>
    </w:pPr>
  </w:p>
  <w:p w14:paraId="12535F1B"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3743732" w14:textId="77777777" w:rsidR="009E048A" w:rsidRDefault="009E048A">
    <w:pPr>
      <w:pStyle w:val="Footer"/>
      <w:rPr>
        <w:rFonts w:ascii="Arial" w:hAnsi="Arial" w:cs="Arial"/>
        <w:sz w:val="16"/>
      </w:rPr>
    </w:pPr>
  </w:p>
  <w:p w14:paraId="3C764F55"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8310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7FA8C" w14:textId="77777777" w:rsidR="00C84930" w:rsidRDefault="00C84930" w:rsidP="00C37E61">
      <w:r>
        <w:separator/>
      </w:r>
    </w:p>
  </w:footnote>
  <w:footnote w:type="continuationSeparator" w:id="0">
    <w:p w14:paraId="2FB4D9B3" w14:textId="77777777" w:rsidR="00C84930" w:rsidRDefault="00C8493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FBCFD" w14:textId="106044BC" w:rsidR="0091356C" w:rsidRDefault="0091356C">
    <w:pPr>
      <w:pStyle w:val="Header"/>
    </w:pPr>
    <w:r>
      <w:rPr>
        <w:noProof/>
      </w:rPr>
      <w:pict w14:anchorId="15704D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80831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2011C" w14:textId="2552C7E0" w:rsidR="0091356C" w:rsidRDefault="0091356C">
    <w:pPr>
      <w:pStyle w:val="Header"/>
    </w:pPr>
    <w:r>
      <w:rPr>
        <w:noProof/>
      </w:rPr>
      <w:pict w14:anchorId="6D8BC0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80831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5E9DC" w14:textId="6156E1B0" w:rsidR="00296529" w:rsidRPr="00296529" w:rsidRDefault="0091356C" w:rsidP="00296529">
    <w:pPr>
      <w:ind w:left="2160"/>
      <w:jc w:val="center"/>
      <w:rPr>
        <w:rFonts w:ascii="Times New Roman" w:eastAsia="Calibri" w:hAnsi="Times New Roman"/>
        <w:i/>
        <w:sz w:val="18"/>
        <w:szCs w:val="22"/>
      </w:rPr>
    </w:pPr>
    <w:r>
      <w:rPr>
        <w:noProof/>
      </w:rPr>
      <w:pict w14:anchorId="54F1F5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80831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829812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B4D81F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7810DF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D02BAF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CCA781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E6D90E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E2595" w14:textId="5B86D2FF" w:rsidR="0091356C" w:rsidRDefault="0091356C">
    <w:pPr>
      <w:pStyle w:val="Header"/>
    </w:pPr>
    <w:r>
      <w:rPr>
        <w:noProof/>
      </w:rPr>
      <w:pict w14:anchorId="66B226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80831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A1DE6" w14:textId="7ACC0210" w:rsidR="0091356C" w:rsidRDefault="0091356C">
    <w:pPr>
      <w:pStyle w:val="Header"/>
    </w:pPr>
    <w:r>
      <w:rPr>
        <w:noProof/>
      </w:rPr>
      <w:pict w14:anchorId="428B73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80831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62EB0" w14:textId="5AAC3D99" w:rsidR="0091356C" w:rsidRDefault="0091356C">
    <w:pPr>
      <w:pStyle w:val="Header"/>
    </w:pPr>
    <w:r>
      <w:rPr>
        <w:noProof/>
      </w:rPr>
      <w:pict w14:anchorId="0CE8D1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80831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6129D"/>
    <w:rsid w:val="000A47FA"/>
    <w:rsid w:val="000A65D3"/>
    <w:rsid w:val="000B1E33"/>
    <w:rsid w:val="000D689F"/>
    <w:rsid w:val="000E7B7B"/>
    <w:rsid w:val="000E7D62"/>
    <w:rsid w:val="00103357"/>
    <w:rsid w:val="00123C9F"/>
    <w:rsid w:val="00126190"/>
    <w:rsid w:val="00130F17"/>
    <w:rsid w:val="001320BF"/>
    <w:rsid w:val="00163BC4"/>
    <w:rsid w:val="0019053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60503"/>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34A37"/>
    <w:rsid w:val="00440F43"/>
    <w:rsid w:val="00441B6F"/>
    <w:rsid w:val="00446221"/>
    <w:rsid w:val="00450E62"/>
    <w:rsid w:val="004539DB"/>
    <w:rsid w:val="00471A80"/>
    <w:rsid w:val="004D25EC"/>
    <w:rsid w:val="004D305E"/>
    <w:rsid w:val="004D4277"/>
    <w:rsid w:val="00502516"/>
    <w:rsid w:val="00505F06"/>
    <w:rsid w:val="00506828"/>
    <w:rsid w:val="0053056E"/>
    <w:rsid w:val="00554FDA"/>
    <w:rsid w:val="005C30F8"/>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37EFA"/>
    <w:rsid w:val="00746E59"/>
    <w:rsid w:val="00754C9A"/>
    <w:rsid w:val="0075599A"/>
    <w:rsid w:val="0076040C"/>
    <w:rsid w:val="00761D52"/>
    <w:rsid w:val="0077749E"/>
    <w:rsid w:val="00790ADA"/>
    <w:rsid w:val="007D2288"/>
    <w:rsid w:val="007E088F"/>
    <w:rsid w:val="007F7B32"/>
    <w:rsid w:val="00804BC2"/>
    <w:rsid w:val="0081431A"/>
    <w:rsid w:val="008177DF"/>
    <w:rsid w:val="00827FED"/>
    <w:rsid w:val="0083216F"/>
    <w:rsid w:val="00860000"/>
    <w:rsid w:val="00863BD3"/>
    <w:rsid w:val="008641ED"/>
    <w:rsid w:val="00866D66"/>
    <w:rsid w:val="008671C6"/>
    <w:rsid w:val="00875803"/>
    <w:rsid w:val="008B459E"/>
    <w:rsid w:val="008E13AE"/>
    <w:rsid w:val="008E1506"/>
    <w:rsid w:val="008E710C"/>
    <w:rsid w:val="008F69D6"/>
    <w:rsid w:val="00902823"/>
    <w:rsid w:val="0091356C"/>
    <w:rsid w:val="00915CA6"/>
    <w:rsid w:val="00927834"/>
    <w:rsid w:val="009300A2"/>
    <w:rsid w:val="009500A6"/>
    <w:rsid w:val="00953F89"/>
    <w:rsid w:val="00957C18"/>
    <w:rsid w:val="009659BA"/>
    <w:rsid w:val="00967333"/>
    <w:rsid w:val="00983040"/>
    <w:rsid w:val="009A4DCE"/>
    <w:rsid w:val="009B3FB9"/>
    <w:rsid w:val="009C2465"/>
    <w:rsid w:val="009D13E0"/>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25AB"/>
    <w:rsid w:val="00AC6BB8"/>
    <w:rsid w:val="00AD7C32"/>
    <w:rsid w:val="00AE008F"/>
    <w:rsid w:val="00B01FCD"/>
    <w:rsid w:val="00B046B3"/>
    <w:rsid w:val="00B1776C"/>
    <w:rsid w:val="00B52583"/>
    <w:rsid w:val="00B52896"/>
    <w:rsid w:val="00B7564E"/>
    <w:rsid w:val="00B901FA"/>
    <w:rsid w:val="00B95236"/>
    <w:rsid w:val="00B96BD9"/>
    <w:rsid w:val="00BA1B01"/>
    <w:rsid w:val="00BA2641"/>
    <w:rsid w:val="00BB37AA"/>
    <w:rsid w:val="00BC53A0"/>
    <w:rsid w:val="00BE62AD"/>
    <w:rsid w:val="00BE73C6"/>
    <w:rsid w:val="00BF121F"/>
    <w:rsid w:val="00BF1F80"/>
    <w:rsid w:val="00C166EF"/>
    <w:rsid w:val="00C175E9"/>
    <w:rsid w:val="00C17EB0"/>
    <w:rsid w:val="00C27F5F"/>
    <w:rsid w:val="00C30A0F"/>
    <w:rsid w:val="00C371B8"/>
    <w:rsid w:val="00C37E61"/>
    <w:rsid w:val="00C7084C"/>
    <w:rsid w:val="00C70F1B"/>
    <w:rsid w:val="00C71A47"/>
    <w:rsid w:val="00C7464C"/>
    <w:rsid w:val="00C84930"/>
    <w:rsid w:val="00C84DDE"/>
    <w:rsid w:val="00C85588"/>
    <w:rsid w:val="00CD6755"/>
    <w:rsid w:val="00CD6856"/>
    <w:rsid w:val="00CE0089"/>
    <w:rsid w:val="00CE793C"/>
    <w:rsid w:val="00CF193C"/>
    <w:rsid w:val="00D173F1"/>
    <w:rsid w:val="00D74235"/>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7769D"/>
    <w:rsid w:val="00E8407C"/>
    <w:rsid w:val="00E84F3C"/>
    <w:rsid w:val="00EA012C"/>
    <w:rsid w:val="00EB0621"/>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30"/>
      </o:rules>
    </o:shapelayout>
  </w:shapeDefaults>
  <w:decimalSymbol w:val="."/>
  <w:listSeparator w:val=","/>
  <w14:docId w14:val="3C35F93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260503"/>
    <w:rPr>
      <w:b/>
      <w:bCs/>
    </w:rPr>
  </w:style>
  <w:style w:type="paragraph" w:styleId="ListParagraph">
    <w:name w:val="List Paragraph"/>
    <w:basedOn w:val="Normal"/>
    <w:uiPriority w:val="34"/>
    <w:qFormat/>
    <w:rsid w:val="00C17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9908630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a:solidFill>
                  <a:schemeClr val="tx1"/>
                </a:solidFill>
              </a:rPr>
              <a:t>Treatments:</a:t>
            </a:r>
          </a:p>
        </c:rich>
      </c:tx>
      <c:layout>
        <c:manualLayout>
          <c:xMode val="edge"/>
          <c:yMode val="edge"/>
          <c:x val="0.82676613483389694"/>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429206187252466"/>
          <c:y val="5.0925925925925923E-2"/>
          <c:w val="0.73201698974111351"/>
          <c:h val="0.80984543598716829"/>
        </c:manualLayout>
      </c:layout>
      <c:lineChart>
        <c:grouping val="standard"/>
        <c:varyColors val="0"/>
        <c:ser>
          <c:idx val="0"/>
          <c:order val="0"/>
          <c:tx>
            <c:strRef>
              <c:f>Sheet2!$L$14</c:f>
              <c:strCache>
                <c:ptCount val="1"/>
                <c:pt idx="0">
                  <c:v>BbSP 217</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Sheet2!$M$14:$T$14</c:f>
              <c:numCache>
                <c:formatCode>0.00</c:formatCode>
                <c:ptCount val="8"/>
                <c:pt idx="0" formatCode="General">
                  <c:v>0</c:v>
                </c:pt>
                <c:pt idx="1">
                  <c:v>0.5</c:v>
                </c:pt>
                <c:pt idx="2">
                  <c:v>1</c:v>
                </c:pt>
                <c:pt idx="3">
                  <c:v>5.833333333333333</c:v>
                </c:pt>
                <c:pt idx="4">
                  <c:v>10.833333333333334</c:v>
                </c:pt>
                <c:pt idx="5">
                  <c:v>12.666666666666666</c:v>
                </c:pt>
                <c:pt idx="6">
                  <c:v>13.166666666666666</c:v>
                </c:pt>
                <c:pt idx="7">
                  <c:v>13.5</c:v>
                </c:pt>
              </c:numCache>
            </c:numRef>
          </c:val>
          <c:smooth val="0"/>
          <c:extLst>
            <c:ext xmlns:c16="http://schemas.microsoft.com/office/drawing/2014/chart" uri="{C3380CC4-5D6E-409C-BE32-E72D297353CC}">
              <c16:uniqueId val="{00000000-B0E1-4AC5-9B15-CD09F7647868}"/>
            </c:ext>
          </c:extLst>
        </c:ser>
        <c:ser>
          <c:idx val="1"/>
          <c:order val="1"/>
          <c:tx>
            <c:strRef>
              <c:f>Sheet2!$L$15</c:f>
              <c:strCache>
                <c:ptCount val="1"/>
                <c:pt idx="0">
                  <c:v>BbSP 105</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Sheet2!$M$15:$T$15</c:f>
              <c:numCache>
                <c:formatCode>0.00</c:formatCode>
                <c:ptCount val="8"/>
                <c:pt idx="0" formatCode="General">
                  <c:v>0</c:v>
                </c:pt>
                <c:pt idx="1">
                  <c:v>1.1666666666666667</c:v>
                </c:pt>
                <c:pt idx="2">
                  <c:v>1.8333333333333333</c:v>
                </c:pt>
                <c:pt idx="3">
                  <c:v>8.5</c:v>
                </c:pt>
                <c:pt idx="4">
                  <c:v>14.166666666666666</c:v>
                </c:pt>
                <c:pt idx="5">
                  <c:v>14.666666666666666</c:v>
                </c:pt>
                <c:pt idx="6">
                  <c:v>15</c:v>
                </c:pt>
                <c:pt idx="7">
                  <c:v>15.5</c:v>
                </c:pt>
              </c:numCache>
            </c:numRef>
          </c:val>
          <c:smooth val="0"/>
          <c:extLst>
            <c:ext xmlns:c16="http://schemas.microsoft.com/office/drawing/2014/chart" uri="{C3380CC4-5D6E-409C-BE32-E72D297353CC}">
              <c16:uniqueId val="{00000001-B0E1-4AC5-9B15-CD09F7647868}"/>
            </c:ext>
          </c:extLst>
        </c:ser>
        <c:ser>
          <c:idx val="2"/>
          <c:order val="2"/>
          <c:tx>
            <c:strRef>
              <c:f>Sheet2!$L$16</c:f>
              <c:strCache>
                <c:ptCount val="1"/>
                <c:pt idx="0">
                  <c:v>BbKP 125</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Sheet2!$M$16:$T$16</c:f>
              <c:numCache>
                <c:formatCode>0.00</c:formatCode>
                <c:ptCount val="8"/>
                <c:pt idx="0" formatCode="General">
                  <c:v>0</c:v>
                </c:pt>
                <c:pt idx="1">
                  <c:v>0.33333333333333331</c:v>
                </c:pt>
                <c:pt idx="2">
                  <c:v>0.5</c:v>
                </c:pt>
                <c:pt idx="3">
                  <c:v>6.666666666666667</c:v>
                </c:pt>
                <c:pt idx="4">
                  <c:v>9</c:v>
                </c:pt>
                <c:pt idx="5">
                  <c:v>9.6666666666666661</c:v>
                </c:pt>
                <c:pt idx="6">
                  <c:v>10</c:v>
                </c:pt>
                <c:pt idx="7">
                  <c:v>10</c:v>
                </c:pt>
              </c:numCache>
            </c:numRef>
          </c:val>
          <c:smooth val="0"/>
          <c:extLst>
            <c:ext xmlns:c16="http://schemas.microsoft.com/office/drawing/2014/chart" uri="{C3380CC4-5D6E-409C-BE32-E72D297353CC}">
              <c16:uniqueId val="{00000002-B0E1-4AC5-9B15-CD09F7647868}"/>
            </c:ext>
          </c:extLst>
        </c:ser>
        <c:ser>
          <c:idx val="3"/>
          <c:order val="3"/>
          <c:tx>
            <c:strRef>
              <c:f>Sheet2!$L$17</c:f>
              <c:strCache>
                <c:ptCount val="1"/>
                <c:pt idx="0">
                  <c:v>Kontrol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val>
            <c:numRef>
              <c:f>Sheet2!$M$17:$T$17</c:f>
              <c:numCache>
                <c:formatCode>0.00</c:formatCode>
                <c:ptCount val="8"/>
                <c:pt idx="0" formatCode="General">
                  <c:v>0</c:v>
                </c:pt>
                <c:pt idx="1">
                  <c:v>0</c:v>
                </c:pt>
                <c:pt idx="2">
                  <c:v>0.33333333333333331</c:v>
                </c:pt>
                <c:pt idx="3">
                  <c:v>0.33333333333333331</c:v>
                </c:pt>
                <c:pt idx="4">
                  <c:v>0.66666666666666663</c:v>
                </c:pt>
                <c:pt idx="5">
                  <c:v>0.83333333333333337</c:v>
                </c:pt>
                <c:pt idx="6">
                  <c:v>0.83333333333333337</c:v>
                </c:pt>
                <c:pt idx="7">
                  <c:v>0.83333333333333337</c:v>
                </c:pt>
              </c:numCache>
            </c:numRef>
          </c:val>
          <c:smooth val="0"/>
          <c:extLst>
            <c:ext xmlns:c16="http://schemas.microsoft.com/office/drawing/2014/chart" uri="{C3380CC4-5D6E-409C-BE32-E72D297353CC}">
              <c16:uniqueId val="{00000003-B0E1-4AC5-9B15-CD09F7647868}"/>
            </c:ext>
          </c:extLst>
        </c:ser>
        <c:dLbls>
          <c:showLegendKey val="0"/>
          <c:showVal val="0"/>
          <c:showCatName val="0"/>
          <c:showSerName val="0"/>
          <c:showPercent val="0"/>
          <c:showBubbleSize val="0"/>
        </c:dLbls>
        <c:marker val="1"/>
        <c:smooth val="0"/>
        <c:axId val="912065472"/>
        <c:axId val="912064928"/>
      </c:lineChart>
      <c:catAx>
        <c:axId val="9120654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chemeClr val="tx1"/>
                    </a:solidFill>
                  </a:rPr>
                  <a:t>Daya after aplication</a:t>
                </a:r>
              </a:p>
            </c:rich>
          </c:tx>
          <c:layout>
            <c:manualLayout>
              <c:xMode val="edge"/>
              <c:yMode val="edge"/>
              <c:x val="0.38011098433328511"/>
              <c:y val="0.9265040828229804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912064928"/>
        <c:crosses val="autoZero"/>
        <c:auto val="1"/>
        <c:lblAlgn val="ctr"/>
        <c:lblOffset val="100"/>
        <c:noMultiLvlLbl val="0"/>
      </c:catAx>
      <c:valAx>
        <c:axId val="91206492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chemeClr val="tx1"/>
                    </a:solidFill>
                  </a:rPr>
                  <a:t>Nymphal Mortallty</a:t>
                </a:r>
                <a:r>
                  <a:rPr lang="en-US" baseline="0">
                    <a:solidFill>
                      <a:schemeClr val="tx1"/>
                    </a:solidFill>
                  </a:rPr>
                  <a:t> (Individual)</a:t>
                </a:r>
                <a:endParaRPr lang="en-US">
                  <a:solidFill>
                    <a:schemeClr val="tx1"/>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2065472"/>
        <c:crosses val="autoZero"/>
        <c:crossBetween val="between"/>
      </c:valAx>
      <c:spPr>
        <a:noFill/>
        <a:ln>
          <a:noFill/>
        </a:ln>
        <a:effectLst/>
      </c:spPr>
    </c:plotArea>
    <c:legend>
      <c:legendPos val="b"/>
      <c:layout>
        <c:manualLayout>
          <c:xMode val="edge"/>
          <c:yMode val="edge"/>
          <c:x val="0.82555497521508203"/>
          <c:y val="0.11168926800816567"/>
          <c:w val="0.15415609194083918"/>
          <c:h val="0.3281255468066491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0784B-0EAD-4EE6-9CE9-DB174F33A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95</TotalTime>
  <Pages>10</Pages>
  <Words>15524</Words>
  <Characters>88487</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103804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25</cp:revision>
  <cp:lastPrinted>1999-07-06T11:00:00Z</cp:lastPrinted>
  <dcterms:created xsi:type="dcterms:W3CDTF">2014-10-25T14:34:00Z</dcterms:created>
  <dcterms:modified xsi:type="dcterms:W3CDTF">2025-06-06T07:59:00Z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2ed9c2da-804e-4950-8b3b-cd6d1f20aa52</vt:lpwstr>
  </property>
  <property fmtid="{D5CDD505-2E9C-101B-9397-08002B2CF9AE}" pid="3" name="Mendeley Document_1">
    <vt:lpwstr>True</vt:lpwstr>
  </property>
  <property fmtid="{D5CDD505-2E9C-101B-9397-08002B2CF9AE}" pid="4" name="Mendeley Unique User Id_1">
    <vt:lpwstr>dbae28bb-6316-37b0-9085-8014b5be1a42</vt:lpwstr>
  </property>
  <property fmtid="{D5CDD505-2E9C-101B-9397-08002B2CF9AE}" pid="5" name="Mendeley Citation Style_1">
    <vt:lpwstr>http://csl.mendeley.com/styles/616085851/apa-2</vt:lpwstr>
  </property>
  <property fmtid="{D5CDD505-2E9C-101B-9397-08002B2CF9AE}" pid="6" name="Mendeley Recent Style Id 0_1">
    <vt:lpwstr>http://csl.mendeley.com/styles/616085851/apa-2</vt:lpwstr>
  </property>
  <property fmtid="{D5CDD505-2E9C-101B-9397-08002B2CF9AE}" pid="7" name="Mendeley Recent Style Name 0_1">
    <vt:lpwstr>APA YOL</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 edition</vt:lpwstr>
  </property>
  <property fmtid="{D5CDD505-2E9C-101B-9397-08002B2CF9AE}" pid="12" name="Mendeley Recent Style Id 3_1">
    <vt:lpwstr>http://www.zotero.org/styles/begell-house-apa</vt:lpwstr>
  </property>
  <property fmtid="{D5CDD505-2E9C-101B-9397-08002B2CF9AE}" pid="13" name="Mendeley Recent Style Name 3_1">
    <vt:lpwstr>Begell House - APA</vt:lpwstr>
  </property>
  <property fmtid="{D5CDD505-2E9C-101B-9397-08002B2CF9AE}" pid="14" name="Mendeley Recent Style Id 4_1">
    <vt:lpwstr>http://www.zotero.org/styles/elsevier-vancouver</vt:lpwstr>
  </property>
  <property fmtid="{D5CDD505-2E9C-101B-9397-08002B2CF9AE}" pid="15" name="Mendeley Recent Style Name 4_1">
    <vt:lpwstr>Elsevier - Vancouver</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http://www.zotero.org/styles/international-journal-of-osteoarchaeology</vt:lpwstr>
  </property>
  <property fmtid="{D5CDD505-2E9C-101B-9397-08002B2CF9AE}" pid="19" name="Mendeley Recent Style Name 6_1">
    <vt:lpwstr>International Journal of Osteoarchaeology</vt:lpwstr>
  </property>
  <property fmtid="{D5CDD505-2E9C-101B-9397-08002B2CF9AE}" pid="20" name="Mendeley Recent Style Id 7_1">
    <vt:lpwstr>http://csl.mendeley.com/styles/616085851/land-degradation-and-development-2</vt:lpwstr>
  </property>
  <property fmtid="{D5CDD505-2E9C-101B-9397-08002B2CF9AE}" pid="21" name="Mendeley Recent Style Name 7_1">
    <vt:lpwstr>JURNAL PROTEKSI TANAMAN (JPT)- UNAND (YH)</vt:lpwstr>
  </property>
  <property fmtid="{D5CDD505-2E9C-101B-9397-08002B2CF9AE}" pid="22" name="Mendeley Recent Style Id 8_1">
    <vt:lpwstr>http://www.zotero.org/styles/modern-humanities-research-association</vt:lpwstr>
  </property>
  <property fmtid="{D5CDD505-2E9C-101B-9397-08002B2CF9AE}" pid="23" name="Mendeley Recent Style Name 8_1">
    <vt:lpwstr>Modern Humanities Research Association 3rd edition (note with bibliography)</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