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53A2" w14:textId="77777777" w:rsidR="002E7FDA" w:rsidRDefault="002E7FDA" w:rsidP="00292FDF">
      <w:pPr>
        <w:spacing w:line="240" w:lineRule="auto"/>
        <w:jc w:val="right"/>
        <w:rPr>
          <w:rFonts w:ascii="Arial" w:hAnsi="Arial" w:cs="Arial"/>
          <w:b/>
          <w:sz w:val="36"/>
          <w:szCs w:val="36"/>
        </w:rPr>
      </w:pPr>
      <w:bookmarkStart w:id="0" w:name="_Hlk169480061"/>
      <w:r w:rsidRPr="002E7FDA">
        <w:rPr>
          <w:rFonts w:ascii="Arial" w:hAnsi="Arial" w:cs="Arial"/>
          <w:b/>
          <w:sz w:val="36"/>
          <w:szCs w:val="36"/>
        </w:rPr>
        <w:t>Review Article</w:t>
      </w:r>
    </w:p>
    <w:p w14:paraId="225B18C8" w14:textId="77777777" w:rsidR="002E7FDA" w:rsidRDefault="002E7FDA" w:rsidP="00292FDF">
      <w:pPr>
        <w:spacing w:line="240" w:lineRule="auto"/>
        <w:jc w:val="right"/>
        <w:rPr>
          <w:rFonts w:ascii="Arial" w:hAnsi="Arial" w:cs="Arial"/>
          <w:b/>
          <w:sz w:val="36"/>
          <w:szCs w:val="36"/>
        </w:rPr>
      </w:pPr>
    </w:p>
    <w:p w14:paraId="173A3246" w14:textId="7163F280" w:rsidR="00EE785D" w:rsidRDefault="000A6046" w:rsidP="00292FDF">
      <w:pPr>
        <w:spacing w:line="240" w:lineRule="auto"/>
        <w:jc w:val="right"/>
        <w:rPr>
          <w:rFonts w:ascii="Arial" w:hAnsi="Arial" w:cs="Arial"/>
          <w:b/>
          <w:sz w:val="36"/>
          <w:szCs w:val="36"/>
        </w:rPr>
      </w:pPr>
      <w:r w:rsidRPr="000A6046">
        <w:rPr>
          <w:rFonts w:ascii="Arial" w:hAnsi="Arial" w:cs="Arial"/>
          <w:b/>
          <w:sz w:val="36"/>
          <w:szCs w:val="36"/>
        </w:rPr>
        <w:t>Co</w:t>
      </w:r>
      <w:r w:rsidR="001950F4">
        <w:rPr>
          <w:rFonts w:ascii="Arial" w:hAnsi="Arial" w:cs="Arial"/>
          <w:b/>
          <w:sz w:val="36"/>
          <w:szCs w:val="36"/>
        </w:rPr>
        <w:t>-</w:t>
      </w:r>
      <w:r w:rsidRPr="000A6046">
        <w:rPr>
          <w:rFonts w:ascii="Arial" w:hAnsi="Arial" w:cs="Arial"/>
          <w:b/>
          <w:sz w:val="36"/>
          <w:szCs w:val="36"/>
        </w:rPr>
        <w:t xml:space="preserve">relating </w:t>
      </w:r>
      <w:r w:rsidR="001950F4" w:rsidRPr="000A6046">
        <w:rPr>
          <w:rFonts w:ascii="Arial" w:hAnsi="Arial" w:cs="Arial"/>
          <w:b/>
          <w:sz w:val="36"/>
          <w:szCs w:val="36"/>
        </w:rPr>
        <w:t>Hyperlipidaemia</w:t>
      </w:r>
      <w:r w:rsidRPr="000A6046">
        <w:rPr>
          <w:rFonts w:ascii="Arial" w:hAnsi="Arial" w:cs="Arial"/>
          <w:b/>
          <w:sz w:val="36"/>
          <w:szCs w:val="36"/>
        </w:rPr>
        <w:t xml:space="preserve"> </w:t>
      </w:r>
      <w:proofErr w:type="gramStart"/>
      <w:r w:rsidR="001950F4">
        <w:rPr>
          <w:rFonts w:ascii="Arial" w:hAnsi="Arial" w:cs="Arial"/>
          <w:b/>
          <w:sz w:val="36"/>
          <w:szCs w:val="36"/>
        </w:rPr>
        <w:t>I</w:t>
      </w:r>
      <w:r w:rsidRPr="000A6046">
        <w:rPr>
          <w:rFonts w:ascii="Arial" w:hAnsi="Arial" w:cs="Arial"/>
          <w:b/>
          <w:sz w:val="36"/>
          <w:szCs w:val="36"/>
        </w:rPr>
        <w:t>n</w:t>
      </w:r>
      <w:proofErr w:type="gramEnd"/>
      <w:r w:rsidRPr="000A6046">
        <w:rPr>
          <w:rFonts w:ascii="Arial" w:hAnsi="Arial" w:cs="Arial"/>
          <w:b/>
          <w:sz w:val="36"/>
          <w:szCs w:val="36"/>
        </w:rPr>
        <w:t xml:space="preserve"> School Going Children </w:t>
      </w:r>
      <w:r w:rsidR="001950F4">
        <w:rPr>
          <w:rFonts w:ascii="Arial" w:hAnsi="Arial" w:cs="Arial"/>
          <w:b/>
          <w:sz w:val="36"/>
          <w:szCs w:val="36"/>
        </w:rPr>
        <w:t xml:space="preserve">Due With </w:t>
      </w:r>
      <w:r w:rsidRPr="000A6046">
        <w:rPr>
          <w:rFonts w:ascii="Arial" w:hAnsi="Arial" w:cs="Arial"/>
          <w:b/>
          <w:sz w:val="36"/>
          <w:szCs w:val="36"/>
        </w:rPr>
        <w:t>Their Sedentary Lifestyle</w:t>
      </w:r>
    </w:p>
    <w:p w14:paraId="6285A01E" w14:textId="77777777" w:rsidR="00C368E5" w:rsidRPr="001019C9" w:rsidRDefault="00C368E5" w:rsidP="00292FDF">
      <w:pPr>
        <w:spacing w:line="240" w:lineRule="auto"/>
        <w:jc w:val="right"/>
        <w:rPr>
          <w:rFonts w:ascii="Arial" w:hAnsi="Arial" w:cs="Arial"/>
          <w:b/>
          <w:sz w:val="24"/>
          <w:szCs w:val="24"/>
        </w:rPr>
      </w:pPr>
    </w:p>
    <w:bookmarkEnd w:id="0"/>
    <w:p w14:paraId="24DC78BA" w14:textId="63FF1740" w:rsidR="00C368E5" w:rsidRPr="00072766" w:rsidRDefault="00C368E5" w:rsidP="00C368E5">
      <w:pPr>
        <w:spacing w:line="240" w:lineRule="auto"/>
        <w:jc w:val="right"/>
        <w:rPr>
          <w:rFonts w:ascii="Arial" w:hAnsi="Arial" w:cs="Arial"/>
          <w:i/>
          <w:iCs/>
          <w:sz w:val="20"/>
          <w:szCs w:val="20"/>
        </w:rPr>
      </w:pPr>
      <w:r>
        <w:rPr>
          <w:rFonts w:ascii="Arial" w:hAnsi="Arial" w:cs="Arial"/>
          <w:i/>
          <w:iCs/>
          <w:sz w:val="20"/>
          <w:szCs w:val="20"/>
        </w:rPr>
        <w:t xml:space="preserve"> </w:t>
      </w:r>
    </w:p>
    <w:p w14:paraId="4BD809E8" w14:textId="03100AFC" w:rsidR="00B71A88" w:rsidRPr="000240B4" w:rsidRDefault="00904703" w:rsidP="00E01012">
      <w:pPr>
        <w:pStyle w:val="NormalWeb"/>
        <w:spacing w:line="276" w:lineRule="auto"/>
        <w:jc w:val="both"/>
        <w:rPr>
          <w:rFonts w:ascii="Arial" w:hAnsi="Arial" w:cs="Arial"/>
          <w:b/>
          <w:color w:val="000000" w:themeColor="text1"/>
          <w:sz w:val="22"/>
          <w:szCs w:val="22"/>
        </w:rPr>
      </w:pPr>
      <w:r w:rsidRPr="000240B4">
        <w:rPr>
          <w:rFonts w:ascii="Arial" w:hAnsi="Arial" w:cs="Arial"/>
          <w:b/>
          <w:noProof/>
          <w:color w:val="000000" w:themeColor="text1"/>
          <w:sz w:val="22"/>
          <w:szCs w:val="22"/>
        </w:rPr>
        <mc:AlternateContent>
          <mc:Choice Requires="wps">
            <w:drawing>
              <wp:anchor distT="0" distB="0" distL="114300" distR="114300" simplePos="0" relativeHeight="251660288" behindDoc="1" locked="0" layoutInCell="1" allowOverlap="1" wp14:anchorId="2A2DB722" wp14:editId="54268FFC">
                <wp:simplePos x="0" y="0"/>
                <wp:positionH relativeFrom="column">
                  <wp:posOffset>-45720</wp:posOffset>
                </wp:positionH>
                <wp:positionV relativeFrom="paragraph">
                  <wp:posOffset>396240</wp:posOffset>
                </wp:positionV>
                <wp:extent cx="5838825" cy="3223260"/>
                <wp:effectExtent l="0" t="0" r="28575" b="15240"/>
                <wp:wrapNone/>
                <wp:docPr id="509831525" name="Rectangle 2"/>
                <wp:cNvGraphicFramePr/>
                <a:graphic xmlns:a="http://schemas.openxmlformats.org/drawingml/2006/main">
                  <a:graphicData uri="http://schemas.microsoft.com/office/word/2010/wordprocessingShape">
                    <wps:wsp>
                      <wps:cNvSpPr/>
                      <wps:spPr>
                        <a:xfrm>
                          <a:off x="0" y="0"/>
                          <a:ext cx="5838825" cy="3223260"/>
                        </a:xfrm>
                        <a:prstGeom prst="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566875" id="Rectangle 2" o:spid="_x0000_s1026" style="position:absolute;margin-left:-3.6pt;margin-top:31.2pt;width:459.75pt;height:25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" fillcolor="#f2f2f2 [3052]" strokecolor="black [3200]"/>
            </w:pict>
          </mc:Fallback>
        </mc:AlternateContent>
      </w:r>
      <w:r w:rsidR="00B71A88" w:rsidRPr="000240B4">
        <w:rPr>
          <w:rFonts w:ascii="Arial" w:hAnsi="Arial" w:cs="Arial"/>
          <w:b/>
          <w:color w:val="000000" w:themeColor="text1"/>
          <w:sz w:val="22"/>
          <w:szCs w:val="22"/>
        </w:rPr>
        <w:t>A</w:t>
      </w:r>
      <w:r w:rsidR="00760CAE" w:rsidRPr="000240B4">
        <w:rPr>
          <w:rFonts w:ascii="Arial" w:hAnsi="Arial" w:cs="Arial"/>
          <w:b/>
          <w:color w:val="000000" w:themeColor="text1"/>
          <w:sz w:val="22"/>
          <w:szCs w:val="22"/>
        </w:rPr>
        <w:t>BSTRACT</w:t>
      </w:r>
    </w:p>
    <w:p w14:paraId="664F08C3" w14:textId="5EEE4934" w:rsidR="00ED6567" w:rsidRPr="0072598A" w:rsidRDefault="006C4857" w:rsidP="00E01012">
      <w:pPr>
        <w:jc w:val="both"/>
        <w:rPr>
          <w:rFonts w:ascii="Arial" w:hAnsi="Arial" w:cs="Arial"/>
          <w:bCs/>
          <w:color w:val="000000" w:themeColor="text1"/>
          <w:sz w:val="20"/>
          <w:szCs w:val="20"/>
        </w:rPr>
      </w:pPr>
      <w:r w:rsidRPr="0072598A">
        <w:rPr>
          <w:rFonts w:ascii="Arial" w:hAnsi="Arial" w:cs="Arial"/>
          <w:b/>
          <w:color w:val="000000" w:themeColor="text1"/>
          <w:sz w:val="20"/>
          <w:szCs w:val="20"/>
        </w:rPr>
        <w:t>Introduction:</w:t>
      </w:r>
      <w:r w:rsidRPr="0072598A">
        <w:rPr>
          <w:rFonts w:ascii="Arial" w:hAnsi="Arial" w:cs="Arial"/>
          <w:bCs/>
          <w:color w:val="000000" w:themeColor="text1"/>
          <w:sz w:val="20"/>
          <w:szCs w:val="20"/>
        </w:rPr>
        <w:t xml:space="preserve"> </w:t>
      </w:r>
      <w:r w:rsidR="000A6046" w:rsidRPr="000A6046">
        <w:rPr>
          <w:rFonts w:ascii="Arial" w:hAnsi="Arial" w:cs="Arial"/>
          <w:bCs/>
          <w:color w:val="000000" w:themeColor="text1"/>
          <w:sz w:val="20"/>
          <w:szCs w:val="20"/>
        </w:rPr>
        <w:t xml:space="preserve">Due to their increasingly sedentary lifestyles, school-age children are more at risk for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which is defined by increased blood lipid levels. Children who have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are far more likely to be obese and have higher BMIs, which increases their risk of developing cardiovascular diseases (CVD) that may last into adulthood. This study examines the relationship between childhood sedentary </w:t>
      </w:r>
      <w:r w:rsidR="001950F4" w:rsidRPr="000A6046">
        <w:rPr>
          <w:rFonts w:ascii="Arial" w:hAnsi="Arial" w:cs="Arial"/>
          <w:bCs/>
          <w:color w:val="000000" w:themeColor="text1"/>
          <w:sz w:val="20"/>
          <w:szCs w:val="20"/>
        </w:rPr>
        <w:t>behaviour</w:t>
      </w:r>
      <w:r w:rsidR="000A6046" w:rsidRPr="000A6046">
        <w:rPr>
          <w:rFonts w:ascii="Arial" w:hAnsi="Arial" w:cs="Arial"/>
          <w:bCs/>
          <w:color w:val="000000" w:themeColor="text1"/>
          <w:sz w:val="20"/>
          <w:szCs w:val="20"/>
        </w:rPr>
        <w:t xml:space="preserve"> and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highlighting risk factors, pathophysiological mechanisms, and preventative strategies.</w:t>
      </w:r>
    </w:p>
    <w:p w14:paraId="684DAB29" w14:textId="6E372148" w:rsidR="004E61C2" w:rsidRPr="0072598A" w:rsidRDefault="006C4857" w:rsidP="00E01012">
      <w:pPr>
        <w:jc w:val="both"/>
        <w:rPr>
          <w:rFonts w:ascii="Arial" w:hAnsi="Arial" w:cs="Arial"/>
          <w:bCs/>
          <w:color w:val="000000" w:themeColor="text1"/>
          <w:sz w:val="20"/>
          <w:szCs w:val="20"/>
        </w:rPr>
      </w:pPr>
      <w:r w:rsidRPr="0072598A">
        <w:rPr>
          <w:rFonts w:ascii="Arial" w:hAnsi="Arial" w:cs="Arial"/>
          <w:b/>
          <w:color w:val="000000" w:themeColor="text1"/>
          <w:sz w:val="20"/>
          <w:szCs w:val="20"/>
        </w:rPr>
        <w:t>Method:</w:t>
      </w:r>
      <w:r w:rsidRPr="0072598A">
        <w:rPr>
          <w:rFonts w:ascii="Arial" w:hAnsi="Arial" w:cs="Arial"/>
          <w:bCs/>
          <w:color w:val="000000" w:themeColor="text1"/>
          <w:sz w:val="20"/>
          <w:szCs w:val="20"/>
        </w:rPr>
        <w:t xml:space="preserve"> </w:t>
      </w:r>
      <w:r w:rsidR="000A6046" w:rsidRPr="000A6046">
        <w:rPr>
          <w:rFonts w:ascii="Arial" w:hAnsi="Arial" w:cs="Arial"/>
          <w:bCs/>
          <w:color w:val="000000" w:themeColor="text1"/>
          <w:sz w:val="20"/>
          <w:szCs w:val="20"/>
        </w:rPr>
        <w:t xml:space="preserve">To evaluate the connection between sedentary lifestyles, lipid metabolism, and the emergence of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in children, a thorough literature analysis was carried out. Important elements were examined, including lipoprotein profiles, lipid classes, and their connection to atherosclerosis. Pharmacological treatments, lifestyle changes, and screening techniques for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management were also assessed.</w:t>
      </w:r>
    </w:p>
    <w:p w14:paraId="00510339" w14:textId="68C239E3" w:rsidR="000A6046" w:rsidRPr="000A6046" w:rsidRDefault="00A50401" w:rsidP="000A6046">
      <w:pPr>
        <w:jc w:val="both"/>
        <w:rPr>
          <w:rFonts w:ascii="Arial" w:hAnsi="Arial" w:cs="Arial"/>
          <w:bCs/>
          <w:color w:val="000000" w:themeColor="text1"/>
          <w:sz w:val="20"/>
          <w:szCs w:val="20"/>
        </w:rPr>
      </w:pPr>
      <w:r w:rsidRPr="0072598A">
        <w:rPr>
          <w:rFonts w:ascii="Arial" w:hAnsi="Arial" w:cs="Arial"/>
          <w:b/>
          <w:color w:val="000000" w:themeColor="text1"/>
          <w:sz w:val="20"/>
          <w:szCs w:val="20"/>
        </w:rPr>
        <w:t>Conclusion:</w:t>
      </w:r>
      <w:r w:rsidRPr="0072598A">
        <w:rPr>
          <w:rFonts w:ascii="Arial" w:hAnsi="Arial" w:cs="Arial"/>
          <w:bCs/>
          <w:color w:val="000000" w:themeColor="text1"/>
          <w:sz w:val="20"/>
          <w:szCs w:val="20"/>
        </w:rPr>
        <w:t xml:space="preserve"> </w:t>
      </w:r>
      <w:r w:rsidR="000A6046" w:rsidRPr="000A6046">
        <w:rPr>
          <w:rFonts w:ascii="Arial" w:hAnsi="Arial" w:cs="Arial"/>
          <w:bCs/>
          <w:color w:val="000000" w:themeColor="text1"/>
          <w:sz w:val="20"/>
          <w:szCs w:val="20"/>
        </w:rPr>
        <w:t xml:space="preserve">According to the results, controlling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and lowering children's long-term cardiovascular risks requires early detection through screening in addition to dietary changes and lifestyle changes such increased physical exercise. When lifestyle modifications are insufficient for severe cases, pharmaceutical treatment is advised. To reduce the increased prevalence of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and related CVD risks, public health interventions must emphasize encouraging youngsters to lead active lives and to be nutritionally aware.</w:t>
      </w:r>
    </w:p>
    <w:p w14:paraId="67968FCA" w14:textId="3EF54719" w:rsidR="00A50401" w:rsidRPr="0072598A" w:rsidRDefault="00A50401" w:rsidP="00E01012">
      <w:pPr>
        <w:jc w:val="both"/>
        <w:rPr>
          <w:rFonts w:ascii="Arial" w:hAnsi="Arial" w:cs="Arial"/>
          <w:bCs/>
          <w:color w:val="000000" w:themeColor="text1"/>
          <w:sz w:val="20"/>
          <w:szCs w:val="20"/>
        </w:rPr>
      </w:pPr>
    </w:p>
    <w:p w14:paraId="72E15C08" w14:textId="652DA127" w:rsidR="006C4857" w:rsidRPr="008606EF" w:rsidRDefault="006942E2" w:rsidP="00510DC9">
      <w:pPr>
        <w:spacing w:line="360" w:lineRule="auto"/>
        <w:jc w:val="both"/>
        <w:rPr>
          <w:rFonts w:ascii="Arial" w:hAnsi="Arial" w:cs="Arial"/>
          <w:bCs/>
          <w:i/>
          <w:iCs/>
          <w:color w:val="000000" w:themeColor="text1"/>
          <w:sz w:val="20"/>
          <w:szCs w:val="20"/>
        </w:rPr>
      </w:pPr>
      <w:r w:rsidRPr="008606EF">
        <w:rPr>
          <w:rFonts w:ascii="Arial" w:hAnsi="Arial" w:cs="Arial"/>
          <w:bCs/>
          <w:i/>
          <w:iCs/>
          <w:color w:val="000000" w:themeColor="text1"/>
          <w:sz w:val="20"/>
          <w:szCs w:val="20"/>
        </w:rPr>
        <w:t xml:space="preserve">Keywords: </w:t>
      </w:r>
      <w:r w:rsidR="001950F4">
        <w:rPr>
          <w:rFonts w:ascii="Arial" w:hAnsi="Arial" w:cs="Arial"/>
          <w:bCs/>
          <w:i/>
          <w:iCs/>
          <w:color w:val="000000" w:themeColor="text1"/>
          <w:sz w:val="20"/>
          <w:szCs w:val="20"/>
        </w:rPr>
        <w:t>Hyperlipidaemia</w:t>
      </w:r>
      <w:r w:rsidR="00EE785D" w:rsidRPr="008606EF">
        <w:rPr>
          <w:rFonts w:ascii="Arial" w:hAnsi="Arial" w:cs="Arial"/>
          <w:bCs/>
          <w:i/>
          <w:iCs/>
          <w:color w:val="000000" w:themeColor="text1"/>
          <w:sz w:val="20"/>
          <w:szCs w:val="20"/>
        </w:rPr>
        <w:t xml:space="preserve">, </w:t>
      </w:r>
      <w:r w:rsidR="000A6046">
        <w:rPr>
          <w:rFonts w:ascii="Arial" w:hAnsi="Arial" w:cs="Arial"/>
          <w:bCs/>
          <w:i/>
          <w:iCs/>
          <w:color w:val="000000" w:themeColor="text1"/>
          <w:sz w:val="20"/>
          <w:szCs w:val="20"/>
        </w:rPr>
        <w:t>Cardiovascular disease</w:t>
      </w:r>
      <w:r w:rsidR="00FE7752" w:rsidRPr="008606EF">
        <w:rPr>
          <w:rFonts w:ascii="Arial" w:hAnsi="Arial" w:cs="Arial"/>
          <w:bCs/>
          <w:i/>
          <w:iCs/>
          <w:color w:val="000000" w:themeColor="text1"/>
          <w:sz w:val="20"/>
          <w:szCs w:val="20"/>
        </w:rPr>
        <w:t>,</w:t>
      </w:r>
      <w:r w:rsidR="000A6046">
        <w:rPr>
          <w:rFonts w:ascii="Arial" w:hAnsi="Arial" w:cs="Arial"/>
          <w:bCs/>
          <w:i/>
          <w:iCs/>
          <w:color w:val="000000" w:themeColor="text1"/>
          <w:sz w:val="20"/>
          <w:szCs w:val="20"/>
        </w:rPr>
        <w:t xml:space="preserve"> Sedentary lifestyle, </w:t>
      </w:r>
      <w:r w:rsidR="005C5971">
        <w:rPr>
          <w:rFonts w:ascii="Arial" w:hAnsi="Arial" w:cs="Arial"/>
          <w:bCs/>
          <w:i/>
          <w:iCs/>
          <w:color w:val="000000" w:themeColor="text1"/>
          <w:sz w:val="20"/>
          <w:szCs w:val="20"/>
        </w:rPr>
        <w:t>School children, Body Mass Index, Atherosclerosis.</w:t>
      </w:r>
    </w:p>
    <w:p w14:paraId="1788C2E3" w14:textId="63B6F35A" w:rsidR="00AA5A45" w:rsidRDefault="001277B5" w:rsidP="00510DC9">
      <w:pPr>
        <w:spacing w:line="360" w:lineRule="auto"/>
        <w:jc w:val="both"/>
        <w:rPr>
          <w:rFonts w:ascii="Arial" w:hAnsi="Arial" w:cs="Arial"/>
          <w:b/>
          <w:color w:val="000000" w:themeColor="text1"/>
        </w:rPr>
      </w:pPr>
      <w:r w:rsidRPr="00C644CE">
        <w:rPr>
          <w:rFonts w:ascii="Arial" w:hAnsi="Arial" w:cs="Arial"/>
          <w:b/>
          <w:color w:val="000000" w:themeColor="text1"/>
        </w:rPr>
        <w:t xml:space="preserve">1. </w:t>
      </w:r>
      <w:r w:rsidR="00B71A88" w:rsidRPr="00C644CE">
        <w:rPr>
          <w:rFonts w:ascii="Arial" w:hAnsi="Arial" w:cs="Arial"/>
          <w:b/>
          <w:color w:val="000000" w:themeColor="text1"/>
        </w:rPr>
        <w:t>INTRODUCTION:</w:t>
      </w:r>
    </w:p>
    <w:p w14:paraId="1A5031DB" w14:textId="7CCDF855" w:rsidR="005C5971" w:rsidRPr="005C5971" w:rsidRDefault="001950F4" w:rsidP="005C5971">
      <w:pPr>
        <w:spacing w:line="360" w:lineRule="auto"/>
        <w:jc w:val="both"/>
        <w:rPr>
          <w:rFonts w:ascii="Arial" w:hAnsi="Arial" w:cs="Arial"/>
          <w:bCs/>
          <w:color w:val="000000" w:themeColor="text1"/>
          <w:sz w:val="20"/>
          <w:szCs w:val="20"/>
        </w:rPr>
      </w:pPr>
      <w:r>
        <w:rPr>
          <w:rFonts w:ascii="Arial" w:hAnsi="Arial" w:cs="Arial"/>
          <w:bCs/>
          <w:color w:val="000000" w:themeColor="text1"/>
          <w:sz w:val="20"/>
          <w:szCs w:val="20"/>
        </w:rPr>
        <w:t>Hyperlipidaemia</w:t>
      </w:r>
      <w:r w:rsidR="005C5971" w:rsidRPr="005C5971">
        <w:rPr>
          <w:rFonts w:ascii="Arial" w:hAnsi="Arial" w:cs="Arial"/>
          <w:bCs/>
          <w:color w:val="000000" w:themeColor="text1"/>
          <w:sz w:val="20"/>
          <w:szCs w:val="20"/>
        </w:rPr>
        <w:t xml:space="preserve">, defined as elevated lipid levels in the blood, has emerged as a concerning health issue in school-going children, often linked to the rise in the sedentary lifestyles </w:t>
      </w:r>
      <w:hyperlink r:id="rId8" w:history="1">
        <w:r w:rsidR="005C5971" w:rsidRPr="005C5971">
          <w:rPr>
            <w:rStyle w:val="Hyperlink"/>
            <w:rFonts w:ascii="Arial" w:hAnsi="Arial" w:cs="Arial"/>
            <w:bCs/>
            <w:sz w:val="20"/>
            <w:szCs w:val="20"/>
          </w:rPr>
          <w:t>[20]</w:t>
        </w:r>
      </w:hyperlink>
      <w:r w:rsidR="005C5971" w:rsidRPr="005C5971">
        <w:rPr>
          <w:rFonts w:ascii="Arial" w:hAnsi="Arial" w:cs="Arial"/>
          <w:bCs/>
          <w:color w:val="000000" w:themeColor="text1"/>
          <w:sz w:val="20"/>
          <w:szCs w:val="20"/>
        </w:rPr>
        <w:t xml:space="preserve">. Also, a pattern has emerged correlating </w:t>
      </w:r>
      <w:r>
        <w:rPr>
          <w:rFonts w:ascii="Arial" w:hAnsi="Arial" w:cs="Arial"/>
          <w:bCs/>
          <w:color w:val="000000" w:themeColor="text1"/>
          <w:sz w:val="20"/>
          <w:szCs w:val="20"/>
        </w:rPr>
        <w:t>hyperlipidaemia</w:t>
      </w:r>
      <w:r w:rsidR="005C5971" w:rsidRPr="005C5971">
        <w:rPr>
          <w:rFonts w:ascii="Arial" w:hAnsi="Arial" w:cs="Arial"/>
          <w:bCs/>
          <w:color w:val="000000" w:themeColor="text1"/>
          <w:sz w:val="20"/>
          <w:szCs w:val="20"/>
        </w:rPr>
        <w:t xml:space="preserve"> with frequent hospitalizations and treatments. In the age group of children in between 6-12 years, the mean levels of Triglycerides in boys are 85.3 mg/dL, LDL is 78.3 mg/dL, HDL is 57.1 mg/dL and Total Cholesterol is 151.9 mg/dL, and similarly in girls of the same age group, the levels of triglyceride are 95.8 mg/dL, LDL is 75.5 mg/dL, HDL is 63.8 mg/dL and Total Cholesterol is 159.0 mg/dL </w:t>
      </w:r>
      <w:hyperlink r:id="rId9" w:history="1">
        <w:r w:rsidR="005C5971" w:rsidRPr="005C5971">
          <w:rPr>
            <w:rStyle w:val="Hyperlink"/>
            <w:rFonts w:ascii="Arial" w:hAnsi="Arial" w:cs="Arial"/>
            <w:bCs/>
            <w:sz w:val="20"/>
            <w:szCs w:val="20"/>
          </w:rPr>
          <w:t>[1]</w:t>
        </w:r>
      </w:hyperlink>
      <w:hyperlink r:id="rId10" w:history="1">
        <w:r w:rsidR="005C5971" w:rsidRPr="005C5971">
          <w:rPr>
            <w:rStyle w:val="Hyperlink"/>
            <w:rFonts w:ascii="Arial" w:hAnsi="Arial" w:cs="Arial"/>
            <w:bCs/>
            <w:sz w:val="20"/>
            <w:szCs w:val="20"/>
            <w:lang w:val="en-US"/>
          </w:rPr>
          <w:t>[32]</w:t>
        </w:r>
      </w:hyperlink>
      <w:r w:rsidR="005C5971" w:rsidRPr="005C5971">
        <w:rPr>
          <w:rFonts w:ascii="Arial" w:hAnsi="Arial" w:cs="Arial"/>
          <w:bCs/>
          <w:color w:val="000000" w:themeColor="text1"/>
          <w:sz w:val="20"/>
          <w:szCs w:val="20"/>
        </w:rPr>
        <w:t xml:space="preserve">. According to a study conducted in 2023, 15% of the children population globally are affected by this, due to at least one adverse lipid level, mainly due to the increase in BMI (Body Mass Index) with age </w:t>
      </w:r>
      <w:hyperlink r:id="rId11" w:history="1">
        <w:r w:rsidR="005C5971" w:rsidRPr="005C5971">
          <w:rPr>
            <w:rStyle w:val="Hyperlink"/>
            <w:rFonts w:ascii="Arial" w:hAnsi="Arial" w:cs="Arial"/>
            <w:bCs/>
            <w:sz w:val="20"/>
            <w:szCs w:val="20"/>
          </w:rPr>
          <w:t>[2]</w:t>
        </w:r>
      </w:hyperlink>
      <w:r w:rsidR="005C5971" w:rsidRPr="005C5971">
        <w:rPr>
          <w:rFonts w:ascii="Arial" w:hAnsi="Arial" w:cs="Arial"/>
          <w:bCs/>
          <w:color w:val="000000" w:themeColor="text1"/>
          <w:sz w:val="20"/>
          <w:szCs w:val="20"/>
        </w:rPr>
        <w:t xml:space="preserve">. Children who are obese typically have an even greater </w:t>
      </w:r>
      <w:r w:rsidR="005C5971" w:rsidRPr="005C5971">
        <w:rPr>
          <w:rFonts w:ascii="Arial" w:hAnsi="Arial" w:cs="Arial"/>
          <w:bCs/>
          <w:color w:val="000000" w:themeColor="text1"/>
          <w:sz w:val="20"/>
          <w:szCs w:val="20"/>
        </w:rPr>
        <w:lastRenderedPageBreak/>
        <w:t xml:space="preserve">prevalence of </w:t>
      </w:r>
      <w:r>
        <w:rPr>
          <w:rFonts w:ascii="Arial" w:hAnsi="Arial" w:cs="Arial"/>
          <w:bCs/>
          <w:color w:val="000000" w:themeColor="text1"/>
          <w:sz w:val="20"/>
          <w:szCs w:val="20"/>
        </w:rPr>
        <w:t>hyperlipidaemia</w:t>
      </w:r>
      <w:r w:rsidR="005C5971" w:rsidRPr="005C5971">
        <w:rPr>
          <w:rFonts w:ascii="Arial" w:hAnsi="Arial" w:cs="Arial"/>
          <w:bCs/>
          <w:color w:val="000000" w:themeColor="text1"/>
          <w:sz w:val="20"/>
          <w:szCs w:val="20"/>
        </w:rPr>
        <w:t xml:space="preserve"> – up to 42%, which means overweight and obesity both acts as significant factors which are also related to their sedentary lifestyle </w:t>
      </w:r>
      <w:hyperlink r:id="rId12" w:history="1">
        <w:r w:rsidR="005C5971" w:rsidRPr="005C5971">
          <w:rPr>
            <w:rStyle w:val="Hyperlink"/>
            <w:rFonts w:ascii="Arial" w:hAnsi="Arial" w:cs="Arial"/>
            <w:bCs/>
            <w:sz w:val="20"/>
            <w:szCs w:val="20"/>
          </w:rPr>
          <w:t>[2]</w:t>
        </w:r>
      </w:hyperlink>
      <w:hyperlink r:id="rId13" w:history="1">
        <w:r w:rsidR="005C5971" w:rsidRPr="005C5971">
          <w:rPr>
            <w:rStyle w:val="Hyperlink"/>
            <w:rFonts w:ascii="Arial" w:hAnsi="Arial" w:cs="Arial"/>
            <w:bCs/>
            <w:sz w:val="20"/>
            <w:szCs w:val="20"/>
            <w:lang w:val="en-US"/>
          </w:rPr>
          <w:t>[31]</w:t>
        </w:r>
      </w:hyperlink>
      <w:r w:rsidR="005C5971" w:rsidRPr="005C5971">
        <w:rPr>
          <w:rFonts w:ascii="Arial" w:hAnsi="Arial" w:cs="Arial"/>
          <w:bCs/>
          <w:color w:val="000000" w:themeColor="text1"/>
          <w:sz w:val="20"/>
          <w:szCs w:val="20"/>
        </w:rPr>
        <w:t xml:space="preserve">. </w:t>
      </w:r>
    </w:p>
    <w:p w14:paraId="1195613F" w14:textId="77777777" w:rsidR="005C5971" w:rsidRPr="005C5971" w:rsidRDefault="005C5971" w:rsidP="005C5971">
      <w:pPr>
        <w:spacing w:line="360" w:lineRule="auto"/>
        <w:jc w:val="both"/>
        <w:rPr>
          <w:rFonts w:ascii="Arial" w:hAnsi="Arial" w:cs="Arial"/>
          <w:bCs/>
          <w:color w:val="000000" w:themeColor="text1"/>
          <w:sz w:val="20"/>
          <w:szCs w:val="20"/>
        </w:rPr>
      </w:pPr>
      <w:r w:rsidRPr="005C5971">
        <w:rPr>
          <w:rFonts w:ascii="Arial" w:hAnsi="Arial" w:cs="Arial"/>
          <w:bCs/>
          <w:color w:val="000000" w:themeColor="text1"/>
          <w:sz w:val="20"/>
          <w:szCs w:val="20"/>
        </w:rPr>
        <w:t xml:space="preserve">The frequency of cardiovascular disease (CVD) in children rises in tandem with this condition. These cardiovascular risk factors tend to follow throughout adulthood and predict a subsequent high risk for cardiovascular events, even if they may manifest at an early age </w:t>
      </w:r>
      <w:hyperlink r:id="rId14" w:history="1">
        <w:r w:rsidRPr="005C5971">
          <w:rPr>
            <w:rStyle w:val="Hyperlink"/>
            <w:rFonts w:ascii="Arial" w:hAnsi="Arial" w:cs="Arial"/>
            <w:bCs/>
            <w:sz w:val="20"/>
            <w:szCs w:val="20"/>
          </w:rPr>
          <w:t>[2]</w:t>
        </w:r>
      </w:hyperlink>
      <w:r w:rsidRPr="005C5971">
        <w:rPr>
          <w:rFonts w:ascii="Arial" w:hAnsi="Arial" w:cs="Arial"/>
          <w:bCs/>
          <w:color w:val="000000" w:themeColor="text1"/>
          <w:sz w:val="20"/>
          <w:szCs w:val="20"/>
        </w:rPr>
        <w:t xml:space="preserve">. There is no doubt that cardiovascular risk increases with the number of cardiovascular risk factors. Children who come from low-income families can be vulnerable, and even children from middle-income families are also vulnerable, all due to the unhygienic food consumption, irregular nutritional intake or diet, and poor healthcare </w:t>
      </w:r>
      <w:hyperlink r:id="rId15" w:history="1">
        <w:r w:rsidRPr="005C5971">
          <w:rPr>
            <w:rStyle w:val="Hyperlink"/>
            <w:rFonts w:ascii="Arial" w:hAnsi="Arial" w:cs="Arial"/>
            <w:bCs/>
            <w:sz w:val="20"/>
            <w:szCs w:val="20"/>
          </w:rPr>
          <w:t>[33]</w:t>
        </w:r>
      </w:hyperlink>
      <w:r w:rsidRPr="005C5971">
        <w:rPr>
          <w:rFonts w:ascii="Arial" w:hAnsi="Arial" w:cs="Arial"/>
          <w:bCs/>
          <w:color w:val="000000" w:themeColor="text1"/>
          <w:sz w:val="20"/>
          <w:szCs w:val="20"/>
        </w:rPr>
        <w:t xml:space="preserve">. </w:t>
      </w:r>
    </w:p>
    <w:p w14:paraId="2AC07AB1" w14:textId="22673890" w:rsidR="005C5971" w:rsidRPr="005C5971" w:rsidRDefault="005C5971" w:rsidP="005C5971">
      <w:pPr>
        <w:spacing w:line="360" w:lineRule="auto"/>
        <w:jc w:val="both"/>
        <w:rPr>
          <w:rFonts w:ascii="Arial" w:hAnsi="Arial" w:cs="Arial"/>
          <w:bCs/>
          <w:color w:val="000000" w:themeColor="text1"/>
          <w:sz w:val="20"/>
          <w:szCs w:val="20"/>
        </w:rPr>
      </w:pPr>
      <w:r w:rsidRPr="005C5971">
        <w:rPr>
          <w:rFonts w:ascii="Arial" w:hAnsi="Arial" w:cs="Arial"/>
          <w:bCs/>
          <w:color w:val="000000" w:themeColor="text1"/>
          <w:sz w:val="20"/>
          <w:szCs w:val="20"/>
        </w:rPr>
        <w:t xml:space="preserve">We review the present scenario in terms of the elevated lipid levels that is observed in children, the reasons for which </w:t>
      </w:r>
      <w:r w:rsidR="001950F4">
        <w:rPr>
          <w:rFonts w:ascii="Arial" w:hAnsi="Arial" w:cs="Arial"/>
          <w:bCs/>
          <w:color w:val="000000" w:themeColor="text1"/>
          <w:sz w:val="20"/>
          <w:szCs w:val="20"/>
        </w:rPr>
        <w:t>hyperlipidaemia</w:t>
      </w:r>
      <w:r w:rsidRPr="005C5971">
        <w:rPr>
          <w:rFonts w:ascii="Arial" w:hAnsi="Arial" w:cs="Arial"/>
          <w:bCs/>
          <w:color w:val="000000" w:themeColor="text1"/>
          <w:sz w:val="20"/>
          <w:szCs w:val="20"/>
        </w:rPr>
        <w:t xml:space="preserve"> is becoming prevalent in this particular population and whether its specific to a particular region or not. We also try and discuss the necessary pathways for the control and prevention of </w:t>
      </w:r>
      <w:r w:rsidR="001950F4">
        <w:rPr>
          <w:rFonts w:ascii="Arial" w:hAnsi="Arial" w:cs="Arial"/>
          <w:bCs/>
          <w:color w:val="000000" w:themeColor="text1"/>
          <w:sz w:val="20"/>
          <w:szCs w:val="20"/>
        </w:rPr>
        <w:t>hyperlipidaemia</w:t>
      </w:r>
      <w:r w:rsidRPr="005C5971">
        <w:rPr>
          <w:rFonts w:ascii="Arial" w:hAnsi="Arial" w:cs="Arial"/>
          <w:bCs/>
          <w:color w:val="000000" w:themeColor="text1"/>
          <w:sz w:val="20"/>
          <w:szCs w:val="20"/>
        </w:rPr>
        <w:t xml:space="preserve">, thus eliminating or minimizing the risk of cardiovascular diseases </w:t>
      </w:r>
      <w:hyperlink r:id="rId16" w:history="1">
        <w:r w:rsidRPr="005C5971">
          <w:rPr>
            <w:rStyle w:val="Hyperlink"/>
            <w:rFonts w:ascii="Arial" w:hAnsi="Arial" w:cs="Arial"/>
            <w:bCs/>
            <w:sz w:val="20"/>
            <w:szCs w:val="20"/>
          </w:rPr>
          <w:t>[31]</w:t>
        </w:r>
      </w:hyperlink>
      <w:hyperlink r:id="rId17" w:history="1">
        <w:r w:rsidRPr="005C5971">
          <w:rPr>
            <w:rStyle w:val="Hyperlink"/>
            <w:rFonts w:ascii="Arial" w:hAnsi="Arial" w:cs="Arial"/>
            <w:bCs/>
            <w:sz w:val="20"/>
            <w:szCs w:val="20"/>
          </w:rPr>
          <w:t>[34]</w:t>
        </w:r>
      </w:hyperlink>
      <w:r w:rsidRPr="005C5971">
        <w:rPr>
          <w:rFonts w:ascii="Arial" w:hAnsi="Arial" w:cs="Arial"/>
          <w:bCs/>
          <w:color w:val="000000" w:themeColor="text1"/>
          <w:sz w:val="20"/>
          <w:szCs w:val="20"/>
        </w:rPr>
        <w:t>.</w:t>
      </w:r>
    </w:p>
    <w:p w14:paraId="0658797E" w14:textId="77777777" w:rsidR="005C5971" w:rsidRPr="00C644CE" w:rsidRDefault="005C5971" w:rsidP="00510DC9">
      <w:pPr>
        <w:spacing w:line="360" w:lineRule="auto"/>
        <w:jc w:val="both"/>
        <w:rPr>
          <w:rFonts w:ascii="Arial" w:hAnsi="Arial" w:cs="Arial"/>
          <w:b/>
          <w:color w:val="000000" w:themeColor="text1"/>
        </w:rPr>
      </w:pPr>
    </w:p>
    <w:p w14:paraId="29807A59" w14:textId="0EDEDF4A" w:rsidR="00114A55" w:rsidRDefault="001077BE" w:rsidP="00510DC9">
      <w:pPr>
        <w:spacing w:line="360" w:lineRule="auto"/>
        <w:jc w:val="both"/>
        <w:rPr>
          <w:rFonts w:ascii="Arial" w:hAnsi="Arial" w:cs="Arial"/>
          <w:b/>
          <w:bCs/>
          <w:color w:val="000000" w:themeColor="text1"/>
        </w:rPr>
      </w:pPr>
      <w:r w:rsidRPr="00377280">
        <w:rPr>
          <w:rFonts w:ascii="Arial" w:hAnsi="Arial" w:cs="Arial"/>
          <w:b/>
          <w:color w:val="000000" w:themeColor="text1"/>
        </w:rPr>
        <w:t xml:space="preserve">2. </w:t>
      </w:r>
      <w:r w:rsidR="00533E50" w:rsidRPr="00377280">
        <w:rPr>
          <w:rFonts w:ascii="Arial" w:hAnsi="Arial" w:cs="Arial"/>
          <w:b/>
          <w:color w:val="000000" w:themeColor="text1"/>
        </w:rPr>
        <w:t xml:space="preserve"> </w:t>
      </w:r>
      <w:r w:rsidR="005C5971" w:rsidRPr="005C5971">
        <w:rPr>
          <w:rFonts w:ascii="Arial" w:hAnsi="Arial" w:cs="Arial"/>
          <w:b/>
          <w:bCs/>
          <w:color w:val="000000" w:themeColor="text1"/>
        </w:rPr>
        <w:t xml:space="preserve">THE RELATION BETWEEN THROMBOSIS, FIBRINOLYSIS AND </w:t>
      </w:r>
      <w:r w:rsidR="001950F4">
        <w:rPr>
          <w:rFonts w:ascii="Arial" w:hAnsi="Arial" w:cs="Arial"/>
          <w:b/>
          <w:bCs/>
          <w:color w:val="000000" w:themeColor="text1"/>
        </w:rPr>
        <w:t>HYPERLIPIDAEMIA</w:t>
      </w:r>
    </w:p>
    <w:p w14:paraId="16F393DC" w14:textId="11F0E464" w:rsidR="005C5971" w:rsidRP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 xml:space="preserve">Structural vascular wall damage and functional problems are encouraged by </w:t>
      </w:r>
      <w:r w:rsidR="001950F4">
        <w:rPr>
          <w:rFonts w:ascii="Arial" w:hAnsi="Arial" w:cs="Arial"/>
          <w:color w:val="000000" w:themeColor="text1"/>
          <w:sz w:val="20"/>
          <w:szCs w:val="20"/>
        </w:rPr>
        <w:t>hyperlipidaemia</w:t>
      </w:r>
      <w:r w:rsidRPr="005C5971">
        <w:rPr>
          <w:rFonts w:ascii="Arial" w:hAnsi="Arial" w:cs="Arial"/>
          <w:color w:val="000000" w:themeColor="text1"/>
          <w:sz w:val="20"/>
          <w:szCs w:val="20"/>
        </w:rPr>
        <w:t>. This is mostly mediated by the endo’s numerous roles.</w:t>
      </w:r>
    </w:p>
    <w:p w14:paraId="197C2CDA" w14:textId="77777777" w:rsidR="005C5971" w:rsidRP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Endothelium, a smooth surface that helps control blood flow and has anti-inflammatory, anti-thrombotic, and pro-fibrinolytic qualities is an intact and healthy endothelium.</w:t>
      </w:r>
    </w:p>
    <w:p w14:paraId="4BD16293" w14:textId="77777777" w:rsidR="005C5971" w:rsidRP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 xml:space="preserve">Numerous of these processes are mediated by oxidation-sensitive pathways that affect nitric oxide’s bioavailability </w:t>
      </w:r>
      <w:hyperlink r:id="rId18" w:history="1">
        <w:r w:rsidRPr="005C5971">
          <w:rPr>
            <w:rStyle w:val="Hyperlink"/>
            <w:rFonts w:ascii="Arial" w:hAnsi="Arial" w:cs="Arial"/>
            <w:sz w:val="20"/>
            <w:szCs w:val="20"/>
          </w:rPr>
          <w:t>[3]</w:t>
        </w:r>
      </w:hyperlink>
      <w:hyperlink r:id="rId19" w:history="1">
        <w:r w:rsidRPr="005C5971">
          <w:rPr>
            <w:rStyle w:val="Hyperlink"/>
            <w:rFonts w:ascii="Arial" w:hAnsi="Arial" w:cs="Arial"/>
            <w:sz w:val="20"/>
            <w:szCs w:val="20"/>
          </w:rPr>
          <w:t>[35]</w:t>
        </w:r>
      </w:hyperlink>
      <w:r w:rsidRPr="005C5971">
        <w:rPr>
          <w:rFonts w:ascii="Arial" w:hAnsi="Arial" w:cs="Arial"/>
          <w:color w:val="000000" w:themeColor="text1"/>
          <w:sz w:val="20"/>
          <w:szCs w:val="20"/>
        </w:rPr>
        <w:t>.</w:t>
      </w:r>
    </w:p>
    <w:p w14:paraId="3ABF8C83" w14:textId="07BF6E1E" w:rsidR="005C5971" w:rsidRP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 xml:space="preserve">Atherosclerotic plaque rupture or </w:t>
      </w:r>
      <w:r w:rsidR="001950F4" w:rsidRPr="005C5971">
        <w:rPr>
          <w:rFonts w:ascii="Arial" w:hAnsi="Arial" w:cs="Arial"/>
          <w:color w:val="000000" w:themeColor="text1"/>
          <w:sz w:val="20"/>
          <w:szCs w:val="20"/>
        </w:rPr>
        <w:t>haemorrhage</w:t>
      </w:r>
      <w:r w:rsidRPr="005C5971">
        <w:rPr>
          <w:rFonts w:ascii="Arial" w:hAnsi="Arial" w:cs="Arial"/>
          <w:color w:val="000000" w:themeColor="text1"/>
          <w:sz w:val="20"/>
          <w:szCs w:val="20"/>
        </w:rPr>
        <w:t xml:space="preserve"> has been the subject of much of the attention about the connection between thrombosis and atherosclerosis</w:t>
      </w:r>
      <w:r w:rsidR="001950F4">
        <w:rPr>
          <w:rFonts w:ascii="Arial" w:hAnsi="Arial" w:cs="Arial"/>
          <w:color w:val="000000" w:themeColor="text1"/>
          <w:sz w:val="20"/>
          <w:szCs w:val="20"/>
        </w:rPr>
        <w:t xml:space="preserve"> (Figure 1)</w:t>
      </w:r>
      <w:r w:rsidRPr="005C5971">
        <w:rPr>
          <w:rFonts w:ascii="Arial" w:hAnsi="Arial" w:cs="Arial"/>
          <w:color w:val="000000" w:themeColor="text1"/>
          <w:sz w:val="20"/>
          <w:szCs w:val="20"/>
        </w:rPr>
        <w:t>. Thrombosis of the lumina. Both platelets and clotting factors contribute to this dynamic reaction, which leads to acute coronary syndromes.</w:t>
      </w:r>
    </w:p>
    <w:p w14:paraId="617E5D59" w14:textId="33CA7DC4" w:rsid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 xml:space="preserve">Nevertheless, very severe atherosclerotic lesions are uncommon in children. However, it has been demonstrated that children with </w:t>
      </w:r>
      <w:r w:rsidR="001950F4" w:rsidRPr="005C5971">
        <w:rPr>
          <w:rFonts w:ascii="Arial" w:hAnsi="Arial" w:cs="Arial"/>
          <w:color w:val="000000" w:themeColor="text1"/>
          <w:sz w:val="20"/>
          <w:szCs w:val="20"/>
        </w:rPr>
        <w:t>dyslipidaemia</w:t>
      </w:r>
      <w:r w:rsidRPr="005C5971">
        <w:rPr>
          <w:rFonts w:ascii="Arial" w:hAnsi="Arial" w:cs="Arial"/>
          <w:color w:val="000000" w:themeColor="text1"/>
          <w:sz w:val="20"/>
          <w:szCs w:val="20"/>
        </w:rPr>
        <w:t xml:space="preserve"> have decreased fibrinolytic activity </w:t>
      </w:r>
      <w:hyperlink r:id="rId20" w:history="1">
        <w:r w:rsidRPr="005C5971">
          <w:rPr>
            <w:rStyle w:val="Hyperlink"/>
            <w:rFonts w:ascii="Arial" w:hAnsi="Arial" w:cs="Arial"/>
            <w:sz w:val="20"/>
            <w:szCs w:val="20"/>
          </w:rPr>
          <w:t>[35]</w:t>
        </w:r>
      </w:hyperlink>
      <w:hyperlink r:id="rId21" w:history="1">
        <w:r w:rsidRPr="005C5971">
          <w:rPr>
            <w:rStyle w:val="Hyperlink"/>
            <w:rFonts w:ascii="Arial" w:hAnsi="Arial" w:cs="Arial"/>
            <w:sz w:val="20"/>
            <w:szCs w:val="20"/>
          </w:rPr>
          <w:t>[37]</w:t>
        </w:r>
      </w:hyperlink>
      <w:r w:rsidRPr="005C5971">
        <w:rPr>
          <w:rFonts w:ascii="Arial" w:hAnsi="Arial" w:cs="Arial"/>
          <w:color w:val="000000" w:themeColor="text1"/>
          <w:sz w:val="20"/>
          <w:szCs w:val="20"/>
        </w:rPr>
        <w:t>.</w:t>
      </w:r>
    </w:p>
    <w:p w14:paraId="1E1BFA0E" w14:textId="6EBD4FAA" w:rsidR="005C5971" w:rsidRDefault="005C5971" w:rsidP="001950F4">
      <w:pPr>
        <w:spacing w:line="360" w:lineRule="auto"/>
        <w:jc w:val="center"/>
        <w:rPr>
          <w:rFonts w:ascii="Arial" w:hAnsi="Arial" w:cs="Arial"/>
          <w:color w:val="000000" w:themeColor="text1"/>
          <w:sz w:val="20"/>
          <w:szCs w:val="20"/>
        </w:rPr>
      </w:pPr>
      <w:r>
        <w:rPr>
          <w:rFonts w:ascii="Arial" w:hAnsi="Arial" w:cs="Arial"/>
          <w:noProof/>
          <w:color w:val="000000" w:themeColor="text1"/>
          <w:sz w:val="20"/>
          <w:szCs w:val="20"/>
        </w:rPr>
        <w:lastRenderedPageBreak/>
        <w:drawing>
          <wp:inline distT="0" distB="0" distL="0" distR="0" wp14:anchorId="377306E3" wp14:editId="0FF96C52">
            <wp:extent cx="5224780" cy="2743200"/>
            <wp:effectExtent l="0" t="0" r="0" b="0"/>
            <wp:docPr id="1787497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4780" cy="2743200"/>
                    </a:xfrm>
                    <a:prstGeom prst="rect">
                      <a:avLst/>
                    </a:prstGeom>
                    <a:noFill/>
                  </pic:spPr>
                </pic:pic>
              </a:graphicData>
            </a:graphic>
          </wp:inline>
        </w:drawing>
      </w:r>
    </w:p>
    <w:p w14:paraId="2E174C49" w14:textId="2C9E1AC6" w:rsidR="001950F4" w:rsidRDefault="001950F4" w:rsidP="001950F4">
      <w:pPr>
        <w:spacing w:line="360" w:lineRule="auto"/>
        <w:jc w:val="center"/>
        <w:rPr>
          <w:rFonts w:ascii="Arial" w:hAnsi="Arial" w:cs="Arial"/>
          <w:color w:val="000000" w:themeColor="text1"/>
          <w:sz w:val="20"/>
          <w:szCs w:val="20"/>
        </w:rPr>
      </w:pPr>
      <w:r>
        <w:rPr>
          <w:rFonts w:ascii="Arial" w:hAnsi="Arial" w:cs="Arial"/>
          <w:color w:val="000000" w:themeColor="text1"/>
          <w:sz w:val="20"/>
          <w:szCs w:val="20"/>
        </w:rPr>
        <w:t xml:space="preserve">Figure 1: </w:t>
      </w:r>
      <w:r w:rsidRPr="005C5971">
        <w:rPr>
          <w:rFonts w:ascii="Arial" w:hAnsi="Arial" w:cs="Arial"/>
          <w:color w:val="000000" w:themeColor="text1"/>
          <w:sz w:val="20"/>
          <w:szCs w:val="20"/>
        </w:rPr>
        <w:t>Thrombosis of the lumina</w:t>
      </w:r>
    </w:p>
    <w:p w14:paraId="6620D9CE" w14:textId="77777777" w:rsidR="001950F4" w:rsidRDefault="001950F4" w:rsidP="001950F4">
      <w:pPr>
        <w:spacing w:line="360" w:lineRule="auto"/>
        <w:jc w:val="center"/>
        <w:rPr>
          <w:rFonts w:ascii="Arial" w:hAnsi="Arial" w:cs="Arial"/>
          <w:color w:val="000000" w:themeColor="text1"/>
          <w:sz w:val="20"/>
          <w:szCs w:val="20"/>
        </w:rPr>
      </w:pPr>
    </w:p>
    <w:p w14:paraId="4C29FDAF" w14:textId="1DADA4DA" w:rsidR="005C5971" w:rsidRPr="005C5971" w:rsidRDefault="005C5971" w:rsidP="005C5971">
      <w:pPr>
        <w:spacing w:line="360" w:lineRule="auto"/>
        <w:jc w:val="both"/>
        <w:rPr>
          <w:rFonts w:ascii="Arial" w:hAnsi="Arial" w:cs="Arial"/>
          <w:color w:val="000000" w:themeColor="text1"/>
          <w:sz w:val="20"/>
          <w:szCs w:val="20"/>
          <w:lang w:val="en-US"/>
        </w:rPr>
      </w:pPr>
      <w:r w:rsidRPr="005C5971">
        <w:rPr>
          <w:rFonts w:ascii="Arial" w:hAnsi="Arial" w:cs="Arial"/>
          <w:color w:val="000000" w:themeColor="text1"/>
          <w:sz w:val="20"/>
          <w:szCs w:val="20"/>
          <w:lang w:val="en-US"/>
        </w:rPr>
        <w:t xml:space="preserve">Adult research has demonstrated that treating </w:t>
      </w:r>
      <w:proofErr w:type="spellStart"/>
      <w:r w:rsidR="001950F4">
        <w:rPr>
          <w:rFonts w:ascii="Arial" w:hAnsi="Arial" w:cs="Arial"/>
          <w:color w:val="000000" w:themeColor="text1"/>
          <w:sz w:val="20"/>
          <w:szCs w:val="20"/>
          <w:lang w:val="en-US"/>
        </w:rPr>
        <w:t>hyperlipidaemia</w:t>
      </w:r>
      <w:proofErr w:type="spellEnd"/>
      <w:r w:rsidRPr="005C5971">
        <w:rPr>
          <w:rFonts w:ascii="Arial" w:hAnsi="Arial" w:cs="Arial"/>
          <w:color w:val="000000" w:themeColor="text1"/>
          <w:sz w:val="20"/>
          <w:szCs w:val="20"/>
          <w:lang w:val="en-US"/>
        </w:rPr>
        <w:t xml:space="preserve"> with </w:t>
      </w:r>
      <w:proofErr w:type="spellStart"/>
      <w:r w:rsidRPr="005C5971">
        <w:rPr>
          <w:rFonts w:ascii="Arial" w:hAnsi="Arial" w:cs="Arial"/>
          <w:color w:val="000000" w:themeColor="text1"/>
          <w:sz w:val="20"/>
          <w:szCs w:val="20"/>
          <w:lang w:val="en-US"/>
        </w:rPr>
        <w:t>hydroxymethylglutaryl</w:t>
      </w:r>
      <w:proofErr w:type="spellEnd"/>
      <w:r w:rsidRPr="005C5971">
        <w:rPr>
          <w:rFonts w:ascii="Arial" w:hAnsi="Arial" w:cs="Arial"/>
          <w:color w:val="000000" w:themeColor="text1"/>
          <w:sz w:val="20"/>
          <w:szCs w:val="20"/>
          <w:lang w:val="en-US"/>
        </w:rPr>
        <w:t xml:space="preserve"> (HMG) CoA reductase inhibitors or </w:t>
      </w:r>
      <w:proofErr w:type="spellStart"/>
      <w:r w:rsidRPr="005C5971">
        <w:rPr>
          <w:rFonts w:ascii="Arial" w:hAnsi="Arial" w:cs="Arial"/>
          <w:color w:val="000000" w:themeColor="text1"/>
          <w:sz w:val="20"/>
          <w:szCs w:val="20"/>
          <w:lang w:val="en-US"/>
        </w:rPr>
        <w:t>bstatinsQ</w:t>
      </w:r>
      <w:proofErr w:type="spellEnd"/>
      <w:r w:rsidRPr="005C5971">
        <w:rPr>
          <w:rFonts w:ascii="Arial" w:hAnsi="Arial" w:cs="Arial"/>
          <w:color w:val="000000" w:themeColor="text1"/>
          <w:sz w:val="20"/>
          <w:szCs w:val="20"/>
          <w:lang w:val="en-US"/>
        </w:rPr>
        <w:t xml:space="preserve"> can greatly reduce the production of </w:t>
      </w:r>
      <w:proofErr w:type="spellStart"/>
      <w:r w:rsidRPr="005C5971">
        <w:rPr>
          <w:rFonts w:ascii="Arial" w:hAnsi="Arial" w:cs="Arial"/>
          <w:color w:val="000000" w:themeColor="text1"/>
          <w:sz w:val="20"/>
          <w:szCs w:val="20"/>
          <w:lang w:val="en-US"/>
        </w:rPr>
        <w:t>thrombuses</w:t>
      </w:r>
      <w:proofErr w:type="spellEnd"/>
      <w:r w:rsidRPr="005C5971">
        <w:rPr>
          <w:rFonts w:ascii="Arial" w:hAnsi="Arial" w:cs="Arial"/>
          <w:color w:val="000000" w:themeColor="text1"/>
          <w:sz w:val="20"/>
          <w:szCs w:val="20"/>
          <w:lang w:val="en-US"/>
        </w:rPr>
        <w:t xml:space="preserve"> and enhances the fibrinolytic profile.</w:t>
      </w:r>
    </w:p>
    <w:p w14:paraId="3C8D26C4" w14:textId="1324B4F8" w:rsidR="005C5971" w:rsidRDefault="005C5971" w:rsidP="00510DC9">
      <w:pPr>
        <w:spacing w:line="360" w:lineRule="auto"/>
        <w:jc w:val="both"/>
        <w:rPr>
          <w:rFonts w:ascii="Arial" w:hAnsi="Arial" w:cs="Arial"/>
          <w:color w:val="000000" w:themeColor="text1"/>
          <w:sz w:val="20"/>
          <w:szCs w:val="20"/>
          <w:lang w:val="en-US"/>
        </w:rPr>
      </w:pPr>
      <w:r w:rsidRPr="005C5971">
        <w:rPr>
          <w:rFonts w:ascii="Arial" w:hAnsi="Arial" w:cs="Arial"/>
          <w:color w:val="000000" w:themeColor="text1"/>
          <w:sz w:val="20"/>
          <w:szCs w:val="20"/>
          <w:lang w:val="en-US"/>
        </w:rPr>
        <w:t xml:space="preserve">Reduced levels of tissue plasminogen activator antigen and plasminogen activator inhibitor 1 are indicators of this. A study conducted by </w:t>
      </w:r>
      <w:proofErr w:type="spellStart"/>
      <w:r w:rsidRPr="005C5971">
        <w:rPr>
          <w:rFonts w:ascii="Arial" w:hAnsi="Arial" w:cs="Arial"/>
          <w:color w:val="000000" w:themeColor="text1"/>
          <w:sz w:val="20"/>
          <w:szCs w:val="20"/>
          <w:lang w:val="en-US"/>
        </w:rPr>
        <w:t>Joukha</w:t>
      </w:r>
      <w:proofErr w:type="spellEnd"/>
      <w:r w:rsidRPr="005C5971">
        <w:rPr>
          <w:rFonts w:ascii="Arial" w:hAnsi="Arial" w:cs="Arial"/>
          <w:color w:val="000000" w:themeColor="text1"/>
          <w:sz w:val="20"/>
          <w:szCs w:val="20"/>
          <w:lang w:val="en-US"/>
        </w:rPr>
        <w:t xml:space="preserve"> Dar and associates demonstrated that prothrombin fragment 1+2 and von </w:t>
      </w:r>
      <w:proofErr w:type="spellStart"/>
      <w:r w:rsidRPr="005C5971">
        <w:rPr>
          <w:rFonts w:ascii="Arial" w:hAnsi="Arial" w:cs="Arial"/>
          <w:color w:val="000000" w:themeColor="text1"/>
          <w:sz w:val="20"/>
          <w:szCs w:val="20"/>
          <w:lang w:val="en-US"/>
        </w:rPr>
        <w:t>willibrand</w:t>
      </w:r>
      <w:proofErr w:type="spellEnd"/>
      <w:r w:rsidRPr="005C5971">
        <w:rPr>
          <w:rFonts w:ascii="Arial" w:hAnsi="Arial" w:cs="Arial"/>
          <w:color w:val="000000" w:themeColor="text1"/>
          <w:sz w:val="20"/>
          <w:szCs w:val="20"/>
          <w:lang w:val="en-US"/>
        </w:rPr>
        <w:t xml:space="preserve"> factor antigen plasma levels were considerably lowered by treatment with different statins. According to these research, </w:t>
      </w:r>
      <w:proofErr w:type="spellStart"/>
      <w:r w:rsidR="001950F4">
        <w:rPr>
          <w:rFonts w:ascii="Arial" w:hAnsi="Arial" w:cs="Arial"/>
          <w:color w:val="000000" w:themeColor="text1"/>
          <w:sz w:val="20"/>
          <w:szCs w:val="20"/>
          <w:lang w:val="en-US"/>
        </w:rPr>
        <w:t>hyperlipidaemia</w:t>
      </w:r>
      <w:proofErr w:type="spellEnd"/>
      <w:r w:rsidRPr="005C5971">
        <w:rPr>
          <w:rFonts w:ascii="Arial" w:hAnsi="Arial" w:cs="Arial"/>
          <w:color w:val="000000" w:themeColor="text1"/>
          <w:sz w:val="20"/>
          <w:szCs w:val="20"/>
          <w:lang w:val="en-US"/>
        </w:rPr>
        <w:t xml:space="preserve">, endothelial dysfunction, and anomalies in children’s thrombosis and fibrinolysis may be related </w:t>
      </w:r>
      <w:hyperlink r:id="rId23" w:history="1">
        <w:r w:rsidRPr="005C5971">
          <w:rPr>
            <w:rStyle w:val="Hyperlink"/>
            <w:rFonts w:ascii="Arial" w:hAnsi="Arial" w:cs="Arial"/>
            <w:sz w:val="20"/>
            <w:szCs w:val="20"/>
            <w:lang w:val="en-US"/>
          </w:rPr>
          <w:t>[36]</w:t>
        </w:r>
      </w:hyperlink>
      <w:hyperlink r:id="rId24" w:history="1">
        <w:r w:rsidRPr="005C5971">
          <w:rPr>
            <w:rStyle w:val="Hyperlink"/>
            <w:rFonts w:ascii="Arial" w:hAnsi="Arial" w:cs="Arial"/>
            <w:sz w:val="20"/>
            <w:szCs w:val="20"/>
            <w:lang w:val="en-US"/>
          </w:rPr>
          <w:t>[37]</w:t>
        </w:r>
      </w:hyperlink>
      <w:r w:rsidRPr="005C5971">
        <w:rPr>
          <w:rFonts w:ascii="Arial" w:hAnsi="Arial" w:cs="Arial"/>
          <w:color w:val="000000" w:themeColor="text1"/>
          <w:sz w:val="20"/>
          <w:szCs w:val="20"/>
          <w:lang w:val="en-US"/>
        </w:rPr>
        <w:t>.</w:t>
      </w:r>
    </w:p>
    <w:p w14:paraId="6F85AADB" w14:textId="77777777" w:rsidR="001950F4" w:rsidRPr="005C5971" w:rsidRDefault="001950F4" w:rsidP="00510DC9">
      <w:pPr>
        <w:spacing w:line="360" w:lineRule="auto"/>
        <w:jc w:val="both"/>
        <w:rPr>
          <w:rFonts w:ascii="Arial" w:hAnsi="Arial" w:cs="Arial"/>
          <w:color w:val="000000" w:themeColor="text1"/>
          <w:sz w:val="20"/>
          <w:szCs w:val="20"/>
          <w:lang w:val="en-US"/>
        </w:rPr>
      </w:pPr>
    </w:p>
    <w:p w14:paraId="7FE1C3D2" w14:textId="38904132" w:rsidR="00F5553D" w:rsidRDefault="001077BE"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 xml:space="preserve">3. </w:t>
      </w:r>
      <w:r w:rsidR="005C5971" w:rsidRPr="005C5971">
        <w:rPr>
          <w:rFonts w:ascii="Arial" w:hAnsi="Arial" w:cs="Arial"/>
          <w:b/>
          <w:bCs/>
          <w:color w:val="000000" w:themeColor="text1"/>
          <w:lang w:val="en-US"/>
        </w:rPr>
        <w:t>LIPID CLASSES</w:t>
      </w:r>
    </w:p>
    <w:p w14:paraId="12201306" w14:textId="77777777" w:rsidR="00F5553D" w:rsidRP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To better understand lipid problems in children, it is essential to have a thorough grasp of how lipids are processed in the body. Maintaining metabolic homeostasis requires precise control of the balance between energy intake, storage and use.</w:t>
      </w:r>
    </w:p>
    <w:p w14:paraId="73869B67" w14:textId="77777777" w:rsid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The four primary classes of lipids in plasma that must be packaged and transported are phospholipids, cholesterol, cholesterol esters and triglycerides (TG).</w:t>
      </w:r>
      <w:hyperlink r:id="rId25" w:history="1">
        <w:r w:rsidRPr="00F5553D">
          <w:rPr>
            <w:rStyle w:val="Hyperlink"/>
            <w:rFonts w:ascii="Arial" w:hAnsi="Arial" w:cs="Arial"/>
            <w:sz w:val="20"/>
            <w:szCs w:val="20"/>
            <w:lang w:val="en-US"/>
          </w:rPr>
          <w:t>[2]</w:t>
        </w:r>
      </w:hyperlink>
      <w:hyperlink r:id="rId26" w:anchor="abstract1" w:history="1">
        <w:r w:rsidRPr="00F5553D">
          <w:rPr>
            <w:rStyle w:val="Hyperlink"/>
            <w:rFonts w:ascii="Arial" w:hAnsi="Arial" w:cs="Arial"/>
            <w:sz w:val="20"/>
            <w:szCs w:val="20"/>
            <w:lang w:val="en-US"/>
          </w:rPr>
          <w:t>[21]</w:t>
        </w:r>
      </w:hyperlink>
      <w:hyperlink r:id="rId27" w:history="1">
        <w:r w:rsidRPr="00F5553D">
          <w:rPr>
            <w:rStyle w:val="Hyperlink"/>
            <w:rFonts w:ascii="Arial" w:hAnsi="Arial" w:cs="Arial"/>
            <w:sz w:val="20"/>
            <w:szCs w:val="20"/>
            <w:lang w:val="en-US"/>
          </w:rPr>
          <w:t>[23]</w:t>
        </w:r>
      </w:hyperlink>
    </w:p>
    <w:p w14:paraId="24D81701" w14:textId="77777777" w:rsidR="00F5553D" w:rsidRDefault="00F5553D" w:rsidP="00F5553D">
      <w:pPr>
        <w:spacing w:line="360" w:lineRule="auto"/>
        <w:jc w:val="both"/>
        <w:rPr>
          <w:rFonts w:ascii="Arial" w:hAnsi="Arial" w:cs="Arial"/>
          <w:b/>
          <w:bCs/>
          <w:color w:val="000000" w:themeColor="text1"/>
          <w:lang w:val="en-US"/>
        </w:rPr>
      </w:pPr>
      <w:r w:rsidRPr="00F5553D">
        <w:rPr>
          <w:rFonts w:ascii="Arial" w:hAnsi="Arial" w:cs="Arial"/>
          <w:b/>
          <w:bCs/>
          <w:color w:val="000000" w:themeColor="text1"/>
          <w:lang w:val="en-US"/>
        </w:rPr>
        <w:t xml:space="preserve">3.1 Phospholipids </w:t>
      </w:r>
    </w:p>
    <w:p w14:paraId="29287006" w14:textId="42840EC3" w:rsid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 xml:space="preserve">A vital component of cell membranes, phospholipids are made up of a hydrophilic phosphate “head” and a hydrophobic fatty acid “tail”. Polar phospholipids include sphingomyelin and phosphatidylcholine. The phospholipids of the oxidized low-density lipoprotein (LDL) surface monolayers are hydrolyzed by </w:t>
      </w:r>
      <w:r w:rsidRPr="00F5553D">
        <w:rPr>
          <w:rFonts w:ascii="Arial" w:hAnsi="Arial" w:cs="Arial"/>
          <w:color w:val="000000" w:themeColor="text1"/>
          <w:sz w:val="20"/>
          <w:szCs w:val="20"/>
          <w:lang w:val="en-US"/>
        </w:rPr>
        <w:lastRenderedPageBreak/>
        <w:t xml:space="preserve">lipoprotein-associated phospholipase A2 (Lp-FLA2), which is secreted by white blood cells </w:t>
      </w:r>
      <w:hyperlink r:id="rId28" w:history="1">
        <w:r w:rsidRPr="00F5553D">
          <w:rPr>
            <w:rStyle w:val="Hyperlink"/>
            <w:rFonts w:ascii="Arial" w:hAnsi="Arial" w:cs="Arial"/>
            <w:sz w:val="20"/>
            <w:szCs w:val="20"/>
            <w:lang w:val="en-US"/>
          </w:rPr>
          <w:t>[5]</w:t>
        </w:r>
      </w:hyperlink>
      <w:hyperlink r:id="rId29" w:history="1">
        <w:r w:rsidRPr="00F5553D">
          <w:rPr>
            <w:rStyle w:val="Hyperlink"/>
            <w:rFonts w:ascii="Arial" w:hAnsi="Arial" w:cs="Arial"/>
            <w:sz w:val="20"/>
            <w:szCs w:val="20"/>
            <w:lang w:val="en-US"/>
          </w:rPr>
          <w:t>[38]</w:t>
        </w:r>
      </w:hyperlink>
      <w:r w:rsidRPr="00F5553D">
        <w:rPr>
          <w:rFonts w:ascii="Arial" w:hAnsi="Arial" w:cs="Arial"/>
          <w:color w:val="000000" w:themeColor="text1"/>
          <w:sz w:val="20"/>
          <w:szCs w:val="20"/>
          <w:lang w:val="en-US"/>
        </w:rPr>
        <w:t xml:space="preserve">. This process produces endogenous inflammatory mediators, </w:t>
      </w:r>
      <w:proofErr w:type="spellStart"/>
      <w:r w:rsidRPr="00F5553D">
        <w:rPr>
          <w:rFonts w:ascii="Arial" w:hAnsi="Arial" w:cs="Arial"/>
          <w:color w:val="000000" w:themeColor="text1"/>
          <w:sz w:val="20"/>
          <w:szCs w:val="20"/>
          <w:lang w:val="en-US"/>
        </w:rPr>
        <w:t>lysophosphatidylcholine</w:t>
      </w:r>
      <w:proofErr w:type="spellEnd"/>
      <w:r w:rsidRPr="00F5553D">
        <w:rPr>
          <w:rFonts w:ascii="Arial" w:hAnsi="Arial" w:cs="Arial"/>
          <w:color w:val="000000" w:themeColor="text1"/>
          <w:sz w:val="20"/>
          <w:szCs w:val="20"/>
          <w:lang w:val="en-US"/>
        </w:rPr>
        <w:t xml:space="preserve"> and oxidizes </w:t>
      </w:r>
      <w:proofErr w:type="spellStart"/>
      <w:r w:rsidRPr="00F5553D">
        <w:rPr>
          <w:rFonts w:ascii="Arial" w:hAnsi="Arial" w:cs="Arial"/>
          <w:color w:val="000000" w:themeColor="text1"/>
          <w:sz w:val="20"/>
          <w:szCs w:val="20"/>
          <w:lang w:val="en-US"/>
        </w:rPr>
        <w:t>nonesterified</w:t>
      </w:r>
      <w:proofErr w:type="spellEnd"/>
      <w:r w:rsidRPr="00F5553D">
        <w:rPr>
          <w:rFonts w:ascii="Arial" w:hAnsi="Arial" w:cs="Arial"/>
          <w:color w:val="000000" w:themeColor="text1"/>
          <w:sz w:val="20"/>
          <w:szCs w:val="20"/>
          <w:lang w:val="en-US"/>
        </w:rPr>
        <w:t xml:space="preserve"> fatty acids, which are important in atherogenesis. Phospholipids can influence a number of cellular functions, such as the initiation of the innate immune response, because of their location on the surface of lipoproteins.</w:t>
      </w:r>
      <w:hyperlink r:id="rId30" w:history="1">
        <w:r w:rsidRPr="00F5553D">
          <w:rPr>
            <w:rStyle w:val="Hyperlink"/>
            <w:rFonts w:ascii="Arial" w:hAnsi="Arial" w:cs="Arial"/>
            <w:sz w:val="20"/>
            <w:szCs w:val="20"/>
            <w:lang w:val="en-US"/>
          </w:rPr>
          <w:t>[2]</w:t>
        </w:r>
      </w:hyperlink>
      <w:r w:rsidRPr="00F5553D">
        <w:rPr>
          <w:rFonts w:ascii="Arial" w:hAnsi="Arial" w:cs="Arial"/>
          <w:color w:val="000000" w:themeColor="text1"/>
          <w:sz w:val="20"/>
          <w:szCs w:val="20"/>
          <w:lang w:val="en-US"/>
        </w:rPr>
        <w:t xml:space="preserve"> </w:t>
      </w:r>
      <w:hyperlink r:id="rId31" w:history="1">
        <w:r w:rsidRPr="00F5553D">
          <w:rPr>
            <w:rStyle w:val="Hyperlink"/>
            <w:rFonts w:ascii="Arial" w:hAnsi="Arial" w:cs="Arial"/>
            <w:sz w:val="20"/>
            <w:szCs w:val="20"/>
            <w:lang w:val="en-US"/>
          </w:rPr>
          <w:t>[22]</w:t>
        </w:r>
      </w:hyperlink>
      <w:r w:rsidRPr="00F5553D">
        <w:rPr>
          <w:rFonts w:ascii="Arial" w:hAnsi="Arial" w:cs="Arial"/>
          <w:color w:val="000000" w:themeColor="text1"/>
          <w:sz w:val="20"/>
          <w:szCs w:val="20"/>
          <w:lang w:val="en-US"/>
        </w:rPr>
        <w:t xml:space="preserve"> </w:t>
      </w:r>
      <w:hyperlink r:id="rId32" w:history="1">
        <w:r w:rsidRPr="00F5553D">
          <w:rPr>
            <w:rStyle w:val="Hyperlink"/>
            <w:rFonts w:ascii="Arial" w:hAnsi="Arial" w:cs="Arial"/>
            <w:sz w:val="20"/>
            <w:szCs w:val="20"/>
            <w:lang w:val="en-US"/>
          </w:rPr>
          <w:t>[24]</w:t>
        </w:r>
      </w:hyperlink>
      <w:r>
        <w:rPr>
          <w:rFonts w:ascii="Arial" w:hAnsi="Arial" w:cs="Arial"/>
          <w:color w:val="000000" w:themeColor="text1"/>
          <w:sz w:val="20"/>
          <w:szCs w:val="20"/>
          <w:lang w:val="en-US"/>
        </w:rPr>
        <w:t>.</w:t>
      </w:r>
    </w:p>
    <w:p w14:paraId="2265F71D" w14:textId="77777777" w:rsidR="00F5553D" w:rsidRDefault="00F5553D" w:rsidP="00F5553D">
      <w:pPr>
        <w:spacing w:line="360" w:lineRule="auto"/>
        <w:jc w:val="both"/>
        <w:rPr>
          <w:rFonts w:ascii="Arial" w:hAnsi="Arial" w:cs="Arial"/>
          <w:b/>
          <w:bCs/>
          <w:color w:val="000000" w:themeColor="text1"/>
          <w:lang w:val="en-US"/>
        </w:rPr>
      </w:pPr>
      <w:r w:rsidRPr="00F5553D">
        <w:rPr>
          <w:rFonts w:ascii="Arial" w:hAnsi="Arial" w:cs="Arial"/>
          <w:b/>
          <w:bCs/>
          <w:color w:val="000000" w:themeColor="text1"/>
          <w:lang w:val="en-US"/>
        </w:rPr>
        <w:t xml:space="preserve">3.2 Cholesterol </w:t>
      </w:r>
    </w:p>
    <w:p w14:paraId="1E2A7152" w14:textId="30456CE4" w:rsid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A number of substances that are essential to our body’s necessary biological processes, including bile acids, vitamin D, steroid hormone and cell membrane integrity are synthesized in large part by cholesterol. Although cholesterol has several beneficial properties, excessive quantities of it are poisonous and many routes strictly regulate them</w:t>
      </w:r>
      <w:hyperlink r:id="rId33" w:history="1">
        <w:r w:rsidRPr="00F5553D">
          <w:rPr>
            <w:rStyle w:val="Hyperlink"/>
            <w:rFonts w:ascii="Arial" w:hAnsi="Arial" w:cs="Arial"/>
            <w:sz w:val="20"/>
            <w:szCs w:val="20"/>
            <w:lang w:val="en-US"/>
          </w:rPr>
          <w:t>[40]</w:t>
        </w:r>
      </w:hyperlink>
      <w:r w:rsidRPr="00F5553D">
        <w:rPr>
          <w:rFonts w:ascii="Arial" w:hAnsi="Arial" w:cs="Arial"/>
          <w:color w:val="000000" w:themeColor="text1"/>
          <w:sz w:val="20"/>
          <w:szCs w:val="20"/>
          <w:lang w:val="en-US"/>
        </w:rPr>
        <w:t>, They are principally represented by esterification through the enzyme acyl-coenzyme-A cholesterol acyltransferase (ACAT), LDL receptor-mediated endocytosis, cholesterol efflux from plasma membranes to cholesterol acceptor particles in the high-density class of lipoproteins and de novo synthesis in the smooth endoplasmic reticulum via 3-hydroxy-3methylglutryl-coenzyme-A (HMG-CoA) reductase. All of these pathways exhibit distinct regulation, with the first two and final pathways being influenced by environmental and inherited modulators that affect gene transcription, and the ACAT pathway being regulated by substrate interactions that are sensitive to the amount of cholesterol in the membrane.</w:t>
      </w:r>
      <w:hyperlink r:id="rId34" w:history="1">
        <w:r w:rsidRPr="00F5553D">
          <w:rPr>
            <w:rStyle w:val="Hyperlink"/>
            <w:rFonts w:ascii="Arial" w:hAnsi="Arial" w:cs="Arial"/>
            <w:sz w:val="20"/>
            <w:szCs w:val="20"/>
            <w:lang w:val="en-US"/>
          </w:rPr>
          <w:t>[2]</w:t>
        </w:r>
      </w:hyperlink>
      <w:hyperlink r:id="rId35" w:history="1">
        <w:r w:rsidRPr="00F5553D">
          <w:rPr>
            <w:rStyle w:val="Hyperlink"/>
            <w:rFonts w:ascii="Arial" w:hAnsi="Arial" w:cs="Arial"/>
            <w:sz w:val="20"/>
            <w:szCs w:val="20"/>
            <w:lang w:val="en-US"/>
          </w:rPr>
          <w:t>[3]</w:t>
        </w:r>
      </w:hyperlink>
      <w:hyperlink r:id="rId36" w:history="1">
        <w:r w:rsidRPr="00F5553D">
          <w:rPr>
            <w:rStyle w:val="Hyperlink"/>
            <w:rFonts w:ascii="Arial" w:hAnsi="Arial" w:cs="Arial"/>
            <w:sz w:val="20"/>
            <w:szCs w:val="20"/>
            <w:lang w:val="en-US"/>
          </w:rPr>
          <w:t>[39]</w:t>
        </w:r>
      </w:hyperlink>
      <w:r>
        <w:rPr>
          <w:rFonts w:ascii="Arial" w:hAnsi="Arial" w:cs="Arial"/>
          <w:color w:val="000000" w:themeColor="text1"/>
          <w:sz w:val="20"/>
          <w:szCs w:val="20"/>
          <w:lang w:val="en-US"/>
        </w:rPr>
        <w:t>.</w:t>
      </w:r>
    </w:p>
    <w:p w14:paraId="5192E2F3" w14:textId="77777777" w:rsidR="00F5553D" w:rsidRDefault="00F5553D" w:rsidP="00F5553D">
      <w:pPr>
        <w:spacing w:line="360" w:lineRule="auto"/>
        <w:jc w:val="both"/>
        <w:rPr>
          <w:rFonts w:ascii="Arial" w:hAnsi="Arial" w:cs="Arial"/>
          <w:b/>
          <w:bCs/>
          <w:color w:val="000000" w:themeColor="text1"/>
          <w:lang w:val="en-US"/>
        </w:rPr>
      </w:pPr>
      <w:r w:rsidRPr="00F5553D">
        <w:rPr>
          <w:rFonts w:ascii="Arial" w:hAnsi="Arial" w:cs="Arial"/>
          <w:b/>
          <w:bCs/>
          <w:color w:val="000000" w:themeColor="text1"/>
          <w:lang w:val="en-US"/>
        </w:rPr>
        <w:t>3.3Cholesterol esters</w:t>
      </w:r>
    </w:p>
    <w:p w14:paraId="612A8216" w14:textId="77777777" w:rsidR="00F5553D" w:rsidRP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ACAT produces cholesterol esters in the liver and gut while lecithin cholesterol acyltransferase produces them in the plasma. Cholesterol esters are created when cholesterol is esterified with long-chain fatty acids. Not only is TG (triacylglycerol) carried by lipoproteins through the bloodstream, but cholesterol itself can also be retained in cells.</w:t>
      </w:r>
    </w:p>
    <w:p w14:paraId="36CD7569" w14:textId="77777777" w:rsidR="00F5553D" w:rsidRP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Therefore, these molecules play a critical role in metabolic processes that underpin homeostasis and cholesterol trafficking.</w:t>
      </w:r>
      <w:hyperlink r:id="rId37" w:history="1">
        <w:r w:rsidRPr="00F5553D">
          <w:rPr>
            <w:rStyle w:val="Hyperlink"/>
            <w:rFonts w:ascii="Arial" w:hAnsi="Arial" w:cs="Arial"/>
            <w:sz w:val="20"/>
            <w:szCs w:val="20"/>
            <w:lang w:val="en-US"/>
          </w:rPr>
          <w:t>[2]</w:t>
        </w:r>
      </w:hyperlink>
      <w:hyperlink r:id="rId38" w:history="1">
        <w:r w:rsidRPr="00F5553D">
          <w:rPr>
            <w:rStyle w:val="Hyperlink"/>
            <w:rFonts w:ascii="Arial" w:hAnsi="Arial" w:cs="Arial"/>
            <w:sz w:val="20"/>
            <w:szCs w:val="20"/>
            <w:lang w:val="en-US"/>
          </w:rPr>
          <w:t>[3]</w:t>
        </w:r>
      </w:hyperlink>
    </w:p>
    <w:p w14:paraId="28EC9221" w14:textId="77777777" w:rsidR="00F5553D" w:rsidRPr="00F5553D" w:rsidRDefault="00F5553D" w:rsidP="00F5553D">
      <w:pPr>
        <w:spacing w:line="360" w:lineRule="auto"/>
        <w:jc w:val="both"/>
        <w:rPr>
          <w:rFonts w:ascii="Arial" w:hAnsi="Arial" w:cs="Arial"/>
          <w:b/>
          <w:bCs/>
          <w:color w:val="000000" w:themeColor="text1"/>
          <w:lang w:val="en-US"/>
        </w:rPr>
      </w:pPr>
      <w:r w:rsidRPr="00F5553D">
        <w:rPr>
          <w:rFonts w:ascii="Arial" w:hAnsi="Arial" w:cs="Arial"/>
          <w:b/>
          <w:bCs/>
          <w:color w:val="000000" w:themeColor="text1"/>
          <w:lang w:val="en-US"/>
        </w:rPr>
        <w:t xml:space="preserve">3.4Triglycerides  </w:t>
      </w:r>
    </w:p>
    <w:p w14:paraId="1E8B485D" w14:textId="77777777" w:rsidR="00F5553D" w:rsidRP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 xml:space="preserve">Many organs, including the liver, gut and adipose cells, generate </w:t>
      </w:r>
      <w:proofErr w:type="spellStart"/>
      <w:r w:rsidRPr="00F5553D">
        <w:rPr>
          <w:rFonts w:ascii="Arial" w:hAnsi="Arial" w:cs="Arial"/>
          <w:color w:val="000000" w:themeColor="text1"/>
          <w:sz w:val="20"/>
          <w:szCs w:val="20"/>
          <w:lang w:val="en-US"/>
        </w:rPr>
        <w:t>TGare</w:t>
      </w:r>
      <w:proofErr w:type="spellEnd"/>
      <w:r w:rsidRPr="00F5553D">
        <w:rPr>
          <w:rFonts w:ascii="Arial" w:hAnsi="Arial" w:cs="Arial"/>
          <w:color w:val="000000" w:themeColor="text1"/>
          <w:sz w:val="20"/>
          <w:szCs w:val="20"/>
          <w:lang w:val="en-US"/>
        </w:rPr>
        <w:t xml:space="preserve"> esters, which are made from glycerol and three fatty acids. They are in the blood to facilitate the liver’s two-way translocation of blood glucose and adipose fat. Chylomicrons are responsible for transport of diet TG. During absorption, the byproducts of TG cleavage pass through the membranes of the epithelial cells in the villi of the small intestine before being transported to smooth endoplasmic reticulum, where TG resynthesis occurs although visceral and subcutaneous adipose cells typically retain TG, under stressful conditions, </w:t>
      </w:r>
      <w:proofErr w:type="spellStart"/>
      <w:r w:rsidRPr="00F5553D">
        <w:rPr>
          <w:rFonts w:ascii="Arial" w:hAnsi="Arial" w:cs="Arial"/>
          <w:color w:val="000000" w:themeColor="text1"/>
          <w:sz w:val="20"/>
          <w:szCs w:val="20"/>
          <w:lang w:val="en-US"/>
        </w:rPr>
        <w:t>TGlipolysis</w:t>
      </w:r>
      <w:proofErr w:type="spellEnd"/>
      <w:r w:rsidRPr="00F5553D">
        <w:rPr>
          <w:rFonts w:ascii="Arial" w:hAnsi="Arial" w:cs="Arial"/>
          <w:color w:val="000000" w:themeColor="text1"/>
          <w:sz w:val="20"/>
          <w:szCs w:val="20"/>
          <w:lang w:val="en-US"/>
        </w:rPr>
        <w:t xml:space="preserve"> take place, resulting in the generation of free fatty acids that are then taken up by muscle cells as a substrate for ATP synthesis and mitochondrial oxidation.</w:t>
      </w:r>
      <w:hyperlink r:id="rId39" w:history="1">
        <w:r w:rsidRPr="00F5553D">
          <w:rPr>
            <w:rStyle w:val="Hyperlink"/>
            <w:rFonts w:ascii="Arial" w:hAnsi="Arial" w:cs="Arial"/>
            <w:sz w:val="20"/>
            <w:szCs w:val="20"/>
            <w:lang w:val="en-US"/>
          </w:rPr>
          <w:t>[2]</w:t>
        </w:r>
      </w:hyperlink>
      <w:r w:rsidRPr="00F5553D">
        <w:rPr>
          <w:rFonts w:ascii="Arial" w:hAnsi="Arial" w:cs="Arial"/>
          <w:color w:val="000000" w:themeColor="text1"/>
          <w:sz w:val="20"/>
          <w:szCs w:val="20"/>
          <w:lang w:val="en-US"/>
        </w:rPr>
        <w:t>[</w:t>
      </w:r>
      <w:hyperlink r:id="rId40" w:history="1">
        <w:r w:rsidRPr="00F5553D">
          <w:rPr>
            <w:rStyle w:val="Hyperlink"/>
            <w:rFonts w:ascii="Arial" w:hAnsi="Arial" w:cs="Arial"/>
            <w:sz w:val="20"/>
            <w:szCs w:val="20"/>
            <w:lang w:val="en-US"/>
          </w:rPr>
          <w:t>4]</w:t>
        </w:r>
      </w:hyperlink>
    </w:p>
    <w:p w14:paraId="3C3222E2" w14:textId="77777777" w:rsidR="00F5553D" w:rsidRPr="00F5553D" w:rsidRDefault="00F5553D" w:rsidP="00F5553D">
      <w:pPr>
        <w:spacing w:line="360" w:lineRule="auto"/>
        <w:jc w:val="both"/>
        <w:rPr>
          <w:rFonts w:ascii="Arial" w:hAnsi="Arial" w:cs="Arial"/>
          <w:b/>
          <w:bCs/>
          <w:color w:val="000000" w:themeColor="text1"/>
          <w:lang w:val="en-US"/>
        </w:rPr>
      </w:pPr>
    </w:p>
    <w:p w14:paraId="6007B673" w14:textId="51CA1FB6" w:rsidR="005527B8" w:rsidRDefault="00F73803"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 xml:space="preserve">4. </w:t>
      </w:r>
      <w:r w:rsidR="00F5553D" w:rsidRPr="00F5553D">
        <w:rPr>
          <w:rFonts w:ascii="Arial" w:hAnsi="Arial" w:cs="Arial"/>
          <w:b/>
          <w:bCs/>
          <w:color w:val="000000" w:themeColor="text1"/>
          <w:lang w:val="en-US"/>
        </w:rPr>
        <w:t>LIPOPROTEINS</w:t>
      </w:r>
    </w:p>
    <w:p w14:paraId="2F2D2D76" w14:textId="4B347662" w:rsidR="00F5553D" w:rsidRPr="00F5553D" w:rsidRDefault="00F5553D" w:rsidP="00510DC9">
      <w:pPr>
        <w:spacing w:line="360" w:lineRule="auto"/>
        <w:jc w:val="both"/>
        <w:rPr>
          <w:rFonts w:ascii="Arial" w:hAnsi="Arial" w:cs="Arial"/>
          <w:bCs/>
          <w:color w:val="000000" w:themeColor="text1"/>
          <w:sz w:val="20"/>
          <w:szCs w:val="20"/>
          <w:lang w:val="en-US"/>
        </w:rPr>
      </w:pPr>
      <w:r w:rsidRPr="00F5553D">
        <w:rPr>
          <w:rFonts w:ascii="Arial" w:hAnsi="Arial" w:cs="Arial"/>
          <w:bCs/>
          <w:color w:val="000000" w:themeColor="text1"/>
          <w:sz w:val="20"/>
          <w:szCs w:val="20"/>
          <w:lang w:val="en-US"/>
        </w:rPr>
        <w:lastRenderedPageBreak/>
        <w:t>Lipoproteins are categorized based on the relative amounts of four main lipids serve as the body’s main storage respiratory and have a variety of distinct roles –</w:t>
      </w:r>
    </w:p>
    <w:p w14:paraId="2861DC0A" w14:textId="47020AF0" w:rsidR="002A24EC" w:rsidRDefault="002A24EC"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 xml:space="preserve">4.1 </w:t>
      </w:r>
      <w:r w:rsidR="00E63D4C" w:rsidRPr="00E63D4C">
        <w:rPr>
          <w:rFonts w:ascii="Arial" w:hAnsi="Arial" w:cs="Arial"/>
          <w:b/>
          <w:bCs/>
          <w:color w:val="000000" w:themeColor="text1"/>
          <w:lang w:val="en-US"/>
        </w:rPr>
        <w:t>Chylomicrons</w:t>
      </w:r>
    </w:p>
    <w:p w14:paraId="5210F617" w14:textId="33DD4760" w:rsidR="00E63D4C" w:rsidRPr="00E63D4C" w:rsidRDefault="00E63D4C" w:rsidP="00510DC9">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There are three primary chylomicron apoproteins: apoB48, </w:t>
      </w:r>
      <w:proofErr w:type="spellStart"/>
      <w:r w:rsidRPr="00E63D4C">
        <w:rPr>
          <w:rFonts w:ascii="Arial" w:hAnsi="Arial" w:cs="Arial"/>
          <w:bCs/>
          <w:color w:val="000000" w:themeColor="text1"/>
          <w:sz w:val="20"/>
          <w:szCs w:val="20"/>
          <w:lang w:val="en-US"/>
        </w:rPr>
        <w:t>apoE</w:t>
      </w:r>
      <w:proofErr w:type="spellEnd"/>
      <w:r w:rsidRPr="00E63D4C">
        <w:rPr>
          <w:rFonts w:ascii="Arial" w:hAnsi="Arial" w:cs="Arial"/>
          <w:bCs/>
          <w:color w:val="000000" w:themeColor="text1"/>
          <w:sz w:val="20"/>
          <w:szCs w:val="20"/>
          <w:lang w:val="en-US"/>
        </w:rPr>
        <w:t xml:space="preserve"> and apoC11. A plasma enzyme known as lipoprotein lipase (LPL) is activated by apoc11 if the preceding two work by attaching the chylomicron fragments to hepatocyte scavenger receptors. This enzyme recognizes </w:t>
      </w:r>
      <w:proofErr w:type="spellStart"/>
      <w:r w:rsidRPr="00E63D4C">
        <w:rPr>
          <w:rFonts w:ascii="Arial" w:hAnsi="Arial" w:cs="Arial"/>
          <w:bCs/>
          <w:color w:val="000000" w:themeColor="text1"/>
          <w:sz w:val="20"/>
          <w:szCs w:val="20"/>
          <w:lang w:val="en-US"/>
        </w:rPr>
        <w:t>recognizes</w:t>
      </w:r>
      <w:proofErr w:type="spellEnd"/>
      <w:r w:rsidRPr="00E63D4C">
        <w:rPr>
          <w:rFonts w:ascii="Arial" w:hAnsi="Arial" w:cs="Arial"/>
          <w:bCs/>
          <w:color w:val="000000" w:themeColor="text1"/>
          <w:sz w:val="20"/>
          <w:szCs w:val="20"/>
          <w:lang w:val="en-US"/>
        </w:rPr>
        <w:t xml:space="preserve"> the hydrolysis of lipoproteins that contain a lot of TG. [</w:t>
      </w:r>
      <w:hyperlink r:id="rId41" w:history="1">
        <w:r w:rsidRPr="00E63D4C">
          <w:rPr>
            <w:rStyle w:val="Hyperlink"/>
            <w:rFonts w:ascii="Arial" w:hAnsi="Arial" w:cs="Arial"/>
            <w:bCs/>
            <w:sz w:val="20"/>
            <w:szCs w:val="20"/>
            <w:lang w:val="en-US"/>
          </w:rPr>
          <w:t>2]</w:t>
        </w:r>
      </w:hyperlink>
      <w:hyperlink r:id="rId42" w:history="1">
        <w:r w:rsidRPr="00E63D4C">
          <w:rPr>
            <w:rStyle w:val="Hyperlink"/>
            <w:rFonts w:ascii="Arial" w:hAnsi="Arial" w:cs="Arial"/>
            <w:bCs/>
            <w:sz w:val="20"/>
            <w:szCs w:val="20"/>
            <w:lang w:val="en-US"/>
          </w:rPr>
          <w:t>[41]</w:t>
        </w:r>
      </w:hyperlink>
    </w:p>
    <w:p w14:paraId="01841D04" w14:textId="44B065F0" w:rsidR="00507957" w:rsidRPr="00472684" w:rsidRDefault="00507957" w:rsidP="00510DC9">
      <w:pPr>
        <w:spacing w:line="360" w:lineRule="auto"/>
        <w:jc w:val="both"/>
        <w:rPr>
          <w:rFonts w:ascii="Arial" w:hAnsi="Arial" w:cs="Arial"/>
          <w:b/>
          <w:color w:val="000000" w:themeColor="text1"/>
        </w:rPr>
      </w:pPr>
      <w:r w:rsidRPr="00472684">
        <w:rPr>
          <w:rFonts w:ascii="Arial" w:hAnsi="Arial" w:cs="Arial"/>
          <w:b/>
          <w:color w:val="000000" w:themeColor="text1"/>
        </w:rPr>
        <w:t xml:space="preserve">4.2 </w:t>
      </w:r>
      <w:r w:rsidR="00E63D4C" w:rsidRPr="00E63D4C">
        <w:rPr>
          <w:rFonts w:ascii="Arial" w:hAnsi="Arial" w:cs="Arial"/>
          <w:b/>
          <w:bCs/>
          <w:color w:val="000000" w:themeColor="text1"/>
          <w:lang w:val="en-US"/>
        </w:rPr>
        <w:t>LDL-Cholesterol and VLDL-Cholesterol</w:t>
      </w:r>
    </w:p>
    <w:p w14:paraId="684BF54A" w14:textId="63E4DA39" w:rsidR="00E63D4C" w:rsidRPr="00E63D4C" w:rsidRDefault="0029319A" w:rsidP="00E63D4C">
      <w:pPr>
        <w:spacing w:line="360" w:lineRule="auto"/>
        <w:jc w:val="both"/>
        <w:rPr>
          <w:rFonts w:ascii="Arial" w:hAnsi="Arial" w:cs="Arial"/>
          <w:bCs/>
          <w:color w:val="000000" w:themeColor="text1"/>
          <w:sz w:val="20"/>
          <w:szCs w:val="20"/>
          <w:lang w:val="en-US"/>
        </w:rPr>
      </w:pPr>
      <w:r w:rsidRPr="00472684">
        <w:rPr>
          <w:rFonts w:ascii="Arial" w:hAnsi="Arial" w:cs="Arial"/>
          <w:bCs/>
          <w:color w:val="000000" w:themeColor="text1"/>
          <w:sz w:val="20"/>
          <w:szCs w:val="20"/>
        </w:rPr>
        <w:t>.</w:t>
      </w:r>
      <w:r w:rsidR="00E63D4C" w:rsidRPr="00E63D4C">
        <w:rPr>
          <w:rFonts w:ascii="Times New Roman" w:hAnsi="Times New Roman" w:cs="Times New Roman"/>
          <w:color w:val="000000" w:themeColor="text1"/>
          <w:sz w:val="24"/>
          <w:szCs w:val="24"/>
          <w:lang w:val="en-US"/>
        </w:rPr>
        <w:t xml:space="preserve"> </w:t>
      </w:r>
      <w:r w:rsidR="00E63D4C" w:rsidRPr="00E63D4C">
        <w:rPr>
          <w:rFonts w:ascii="Arial" w:hAnsi="Arial" w:cs="Arial"/>
          <w:bCs/>
          <w:color w:val="000000" w:themeColor="text1"/>
          <w:sz w:val="20"/>
          <w:szCs w:val="20"/>
          <w:lang w:val="en-US"/>
        </w:rPr>
        <w:t>LDL cholesterol (LDL-C) and VLDL cholesterol (VLDL-C), which are intricate protein-lipid supramolecular complexes that deliver polyunsaturated fatty acids and cholesterol to cells, respectively, are the most atherogenic lipoprotein classes.</w:t>
      </w:r>
    </w:p>
    <w:p w14:paraId="412C8141" w14:textId="403AA8FA" w:rsidR="0007507F" w:rsidRPr="00E63D4C" w:rsidRDefault="00E63D4C" w:rsidP="00510DC9">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As the main causes of atherogenesis, particles change the properties of endothelium, improve blood cell adhesion, and trigger monocyte/macrophage chemotaxis, all of which lead to the growth of smooth muscle cells. According to Brown and Goldstein, receptor-mediated endocytosis is responsible for the movement of cholesterol into the cell as a component of LDL-C. Therefore, the receptor-mediated capture of LDL-C can maintain </w:t>
      </w:r>
      <w:proofErr w:type="spellStart"/>
      <w:r w:rsidRPr="00E63D4C">
        <w:rPr>
          <w:rFonts w:ascii="Arial" w:hAnsi="Arial" w:cs="Arial"/>
          <w:bCs/>
          <w:color w:val="000000" w:themeColor="text1"/>
          <w:sz w:val="20"/>
          <w:szCs w:val="20"/>
          <w:lang w:val="en-US"/>
        </w:rPr>
        <w:t>normolipidemia</w:t>
      </w:r>
      <w:proofErr w:type="spellEnd"/>
      <w:r w:rsidRPr="00E63D4C">
        <w:rPr>
          <w:rFonts w:ascii="Arial" w:hAnsi="Arial" w:cs="Arial"/>
          <w:bCs/>
          <w:color w:val="000000" w:themeColor="text1"/>
          <w:sz w:val="20"/>
          <w:szCs w:val="20"/>
          <w:lang w:val="en-US"/>
        </w:rPr>
        <w:t xml:space="preserve">, ensuring that blood cholesterol levels stay within the normal range and preventing the development of atherosclerosis. Peroxide-modified LDL-C plays an even greater impact in atherogenesis and is quickly identified and taken up by the scavenger receptors of macrophages. </w:t>
      </w:r>
      <w:hyperlink r:id="rId43"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44" w:history="1">
        <w:r w:rsidRPr="00E63D4C">
          <w:rPr>
            <w:rStyle w:val="Hyperlink"/>
            <w:rFonts w:ascii="Arial" w:hAnsi="Arial" w:cs="Arial"/>
            <w:bCs/>
            <w:sz w:val="20"/>
            <w:szCs w:val="20"/>
            <w:lang w:val="en-US"/>
          </w:rPr>
          <w:t>5]</w:t>
        </w:r>
      </w:hyperlink>
      <w:hyperlink r:id="rId45" w:history="1">
        <w:r w:rsidRPr="00E63D4C">
          <w:rPr>
            <w:rStyle w:val="Hyperlink"/>
            <w:rFonts w:ascii="Arial" w:hAnsi="Arial" w:cs="Arial"/>
            <w:bCs/>
            <w:sz w:val="20"/>
            <w:szCs w:val="20"/>
            <w:lang w:val="en-US"/>
          </w:rPr>
          <w:t>[41]</w:t>
        </w:r>
      </w:hyperlink>
    </w:p>
    <w:p w14:paraId="7CFCC086" w14:textId="2865ECB0" w:rsidR="00881A5E" w:rsidRDefault="00ED4867"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 xml:space="preserve">4.3 </w:t>
      </w:r>
      <w:r w:rsidR="00E63D4C" w:rsidRPr="00E63D4C">
        <w:rPr>
          <w:rFonts w:ascii="Arial" w:hAnsi="Arial" w:cs="Arial"/>
          <w:b/>
          <w:bCs/>
          <w:color w:val="000000" w:themeColor="text1"/>
          <w:lang w:val="en-US"/>
        </w:rPr>
        <w:t>HDL-Cholesterol</w:t>
      </w:r>
    </w:p>
    <w:p w14:paraId="4FD14935" w14:textId="0735D7A5" w:rsidR="00E63D4C" w:rsidRPr="00E63D4C" w:rsidRDefault="00E63D4C" w:rsidP="00510DC9">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Phospholipids and apolipoproteins A-1 and A-2 make up the majority of nascent HDL particles, which are produced in the liver and gut. The ATP binding cassette transporter A1 (ABCA1) allows them to absorb cholesterol. HDL particles </w:t>
      </w:r>
      <w:proofErr w:type="gramStart"/>
      <w:r w:rsidRPr="00E63D4C">
        <w:rPr>
          <w:rFonts w:ascii="Arial" w:hAnsi="Arial" w:cs="Arial"/>
          <w:bCs/>
          <w:color w:val="000000" w:themeColor="text1"/>
          <w:sz w:val="20"/>
          <w:szCs w:val="20"/>
          <w:lang w:val="en-US"/>
        </w:rPr>
        <w:t>make an effort</w:t>
      </w:r>
      <w:proofErr w:type="gramEnd"/>
      <w:r w:rsidRPr="00E63D4C">
        <w:rPr>
          <w:rFonts w:ascii="Arial" w:hAnsi="Arial" w:cs="Arial"/>
          <w:bCs/>
          <w:color w:val="000000" w:themeColor="text1"/>
          <w:sz w:val="20"/>
          <w:szCs w:val="20"/>
          <w:lang w:val="en-US"/>
        </w:rPr>
        <w:t xml:space="preserve"> to primary function by recognizing the reverse movement of cholesterol from arterial walls and peripheral tissues to liver cells, earning it the moniker anti-atherogenic. HDL esterification is accomplished by the enzyme lecithin cholesterol acyltransferase (LCAT). Furthermore, HDL cholesterol (HDL-C) protects LDL-C by preventing their transformation into an atherogenic orientation and promoting the use of TG-rich lipoproteins [</w:t>
      </w:r>
      <w:hyperlink r:id="rId46"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47" w:history="1">
        <w:r w:rsidRPr="00E63D4C">
          <w:rPr>
            <w:rStyle w:val="Hyperlink"/>
            <w:rFonts w:ascii="Arial" w:hAnsi="Arial" w:cs="Arial"/>
            <w:bCs/>
            <w:sz w:val="20"/>
            <w:szCs w:val="20"/>
            <w:lang w:val="en-US"/>
          </w:rPr>
          <w:t>6</w:t>
        </w:r>
      </w:hyperlink>
      <w:r w:rsidRPr="00E63D4C">
        <w:rPr>
          <w:rFonts w:ascii="Arial" w:hAnsi="Arial" w:cs="Arial"/>
          <w:bCs/>
          <w:color w:val="000000" w:themeColor="text1"/>
          <w:sz w:val="20"/>
          <w:szCs w:val="20"/>
          <w:lang w:val="en-US"/>
        </w:rPr>
        <w:t>]</w:t>
      </w:r>
      <w:hyperlink r:id="rId48" w:history="1">
        <w:r w:rsidRPr="00E63D4C">
          <w:rPr>
            <w:rStyle w:val="Hyperlink"/>
            <w:rFonts w:ascii="Arial" w:hAnsi="Arial" w:cs="Arial"/>
            <w:bCs/>
            <w:sz w:val="20"/>
            <w:szCs w:val="20"/>
            <w:lang w:val="en-US"/>
          </w:rPr>
          <w:t>[42]</w:t>
        </w:r>
      </w:hyperlink>
      <w:r w:rsidRPr="00E63D4C">
        <w:rPr>
          <w:rFonts w:ascii="Arial" w:hAnsi="Arial" w:cs="Arial"/>
          <w:bCs/>
          <w:color w:val="000000" w:themeColor="text1"/>
          <w:sz w:val="20"/>
          <w:szCs w:val="20"/>
          <w:lang w:val="en-US"/>
        </w:rPr>
        <w:t>. Since only two-thirds of plasma cholesterol is impacted by the esterification of VLDL, HDL and LDL carried out by cholesterol ester transfer protein (CETP), only a small percentage of circulating cholesterol is free. LDL causes atherosclerosis by depositing cholesterol in foam cells, where as HDL removes cholesterol from these cells. This is one of the main differences between the two types of cholesterol. Low plasma HDL-C concentration has been shown to be an independent risk factor for ASCVD; however, there is currently no proof that higher plasma HDL-C levels lower the risk of ASCVD [</w:t>
      </w:r>
      <w:hyperlink r:id="rId49"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50" w:history="1">
        <w:r w:rsidRPr="00E63D4C">
          <w:rPr>
            <w:rStyle w:val="Hyperlink"/>
            <w:rFonts w:ascii="Arial" w:hAnsi="Arial" w:cs="Arial"/>
            <w:bCs/>
            <w:sz w:val="20"/>
            <w:szCs w:val="20"/>
            <w:lang w:val="en-US"/>
          </w:rPr>
          <w:t>4</w:t>
        </w:r>
      </w:hyperlink>
      <w:r w:rsidRPr="00E63D4C">
        <w:rPr>
          <w:rFonts w:ascii="Arial" w:hAnsi="Arial" w:cs="Arial"/>
          <w:bCs/>
          <w:color w:val="000000" w:themeColor="text1"/>
          <w:sz w:val="20"/>
          <w:szCs w:val="20"/>
          <w:lang w:val="en-US"/>
        </w:rPr>
        <w:t>]</w:t>
      </w:r>
      <w:hyperlink r:id="rId51" w:history="1">
        <w:r w:rsidRPr="00E63D4C">
          <w:rPr>
            <w:rStyle w:val="Hyperlink"/>
            <w:rFonts w:ascii="Arial" w:hAnsi="Arial" w:cs="Arial"/>
            <w:bCs/>
            <w:sz w:val="20"/>
            <w:szCs w:val="20"/>
            <w:lang w:val="en-US"/>
          </w:rPr>
          <w:t>[43]</w:t>
        </w:r>
      </w:hyperlink>
      <w:r w:rsidRPr="00E63D4C">
        <w:rPr>
          <w:rFonts w:ascii="Arial" w:hAnsi="Arial" w:cs="Arial"/>
          <w:bCs/>
          <w:color w:val="000000" w:themeColor="text1"/>
          <w:sz w:val="20"/>
          <w:szCs w:val="20"/>
          <w:lang w:val="en-US"/>
        </w:rPr>
        <w:t xml:space="preserve">. How ever, characteristics associated with raised HDL-C levels include feminine gender, estrogens, increased physical activity, and weight loss. Conversely, masculine gender, progesterone, obesity, hypertriglyceridemia, type 2 </w:t>
      </w:r>
      <w:r w:rsidRPr="00E63D4C">
        <w:rPr>
          <w:rFonts w:ascii="Arial" w:hAnsi="Arial" w:cs="Arial"/>
          <w:bCs/>
          <w:color w:val="000000" w:themeColor="text1"/>
          <w:sz w:val="20"/>
          <w:szCs w:val="20"/>
          <w:lang w:val="en-US"/>
        </w:rPr>
        <w:lastRenderedPageBreak/>
        <w:t>diabetes. Since low HDL-C plasma concentrations are more frequently caused by drinking, tobacco usage and heavy carbohydrate consumption.</w:t>
      </w:r>
    </w:p>
    <w:p w14:paraId="513406C7" w14:textId="6F39C4A8" w:rsidR="00F0020D" w:rsidRDefault="008029D4"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4.4</w:t>
      </w:r>
      <w:r w:rsidR="00E63D4C">
        <w:rPr>
          <w:rFonts w:ascii="Arial" w:hAnsi="Arial" w:cs="Arial"/>
          <w:b/>
          <w:color w:val="000000" w:themeColor="text1"/>
        </w:rPr>
        <w:t xml:space="preserve"> </w:t>
      </w:r>
      <w:r w:rsidR="00E63D4C" w:rsidRPr="00E63D4C">
        <w:rPr>
          <w:rFonts w:ascii="Arial" w:hAnsi="Arial" w:cs="Arial"/>
          <w:b/>
          <w:bCs/>
          <w:color w:val="000000" w:themeColor="text1"/>
          <w:lang w:val="en-US"/>
        </w:rPr>
        <w:t>Lipoprotein-a</w:t>
      </w:r>
    </w:p>
    <w:p w14:paraId="2EADF475" w14:textId="71657222" w:rsidR="00E63D4C" w:rsidRDefault="00E63D4C" w:rsidP="00510DC9">
      <w:pPr>
        <w:spacing w:line="360" w:lineRule="auto"/>
        <w:jc w:val="both"/>
      </w:pPr>
      <w:r w:rsidRPr="00E63D4C">
        <w:rPr>
          <w:rFonts w:ascii="Arial" w:hAnsi="Arial" w:cs="Arial"/>
          <w:bCs/>
          <w:color w:val="000000" w:themeColor="text1"/>
          <w:sz w:val="20"/>
          <w:szCs w:val="20"/>
          <w:lang w:val="en-US"/>
        </w:rPr>
        <w:t>The LDL-C conjugate lipoprotein a (</w:t>
      </w:r>
      <w:proofErr w:type="spellStart"/>
      <w:r w:rsidRPr="00E63D4C">
        <w:rPr>
          <w:rFonts w:ascii="Arial" w:hAnsi="Arial" w:cs="Arial"/>
          <w:bCs/>
          <w:color w:val="000000" w:themeColor="text1"/>
          <w:sz w:val="20"/>
          <w:szCs w:val="20"/>
          <w:lang w:val="en-US"/>
        </w:rPr>
        <w:t>Lp</w:t>
      </w:r>
      <w:proofErr w:type="spellEnd"/>
      <w:r w:rsidRPr="00E63D4C">
        <w:rPr>
          <w:rFonts w:ascii="Arial" w:hAnsi="Arial" w:cs="Arial"/>
          <w:bCs/>
          <w:color w:val="000000" w:themeColor="text1"/>
          <w:sz w:val="20"/>
          <w:szCs w:val="20"/>
          <w:lang w:val="en-US"/>
        </w:rPr>
        <w:t xml:space="preserve">(a)) has a distinct apoprotein (a) that resembles plasminogen in structure and can prevent fibrinolysis. Furthermore </w:t>
      </w:r>
      <w:proofErr w:type="spellStart"/>
      <w:r w:rsidRPr="00E63D4C">
        <w:rPr>
          <w:rFonts w:ascii="Arial" w:hAnsi="Arial" w:cs="Arial"/>
          <w:bCs/>
          <w:color w:val="000000" w:themeColor="text1"/>
          <w:sz w:val="20"/>
          <w:szCs w:val="20"/>
          <w:lang w:val="en-US"/>
        </w:rPr>
        <w:t>Lp</w:t>
      </w:r>
      <w:proofErr w:type="spellEnd"/>
      <w:r w:rsidRPr="00E63D4C">
        <w:rPr>
          <w:rFonts w:ascii="Arial" w:hAnsi="Arial" w:cs="Arial"/>
          <w:bCs/>
          <w:color w:val="000000" w:themeColor="text1"/>
          <w:sz w:val="20"/>
          <w:szCs w:val="20"/>
          <w:lang w:val="en-US"/>
        </w:rPr>
        <w:t xml:space="preserve">(a) displays pro-inflammatory properties due to the transfer of oxidized phospholipids. The risk of ASCVD increases with increased plasma levels of </w:t>
      </w:r>
      <w:proofErr w:type="spellStart"/>
      <w:r w:rsidRPr="00E63D4C">
        <w:rPr>
          <w:rFonts w:ascii="Arial" w:hAnsi="Arial" w:cs="Arial"/>
          <w:bCs/>
          <w:color w:val="000000" w:themeColor="text1"/>
          <w:sz w:val="20"/>
          <w:szCs w:val="20"/>
          <w:lang w:val="en-US"/>
        </w:rPr>
        <w:t>Lp</w:t>
      </w:r>
      <w:proofErr w:type="spellEnd"/>
      <w:r w:rsidRPr="00E63D4C">
        <w:rPr>
          <w:rFonts w:ascii="Arial" w:hAnsi="Arial" w:cs="Arial"/>
          <w:bCs/>
          <w:color w:val="000000" w:themeColor="text1"/>
          <w:sz w:val="20"/>
          <w:szCs w:val="20"/>
          <w:lang w:val="en-US"/>
        </w:rPr>
        <w:t xml:space="preserve">(a); however, in certain patients, the amount of risk may be less than that associated with LDL-C. However, it has recently been discovered that individuals with </w:t>
      </w:r>
      <w:proofErr w:type="spellStart"/>
      <w:r w:rsidRPr="00E63D4C">
        <w:rPr>
          <w:rFonts w:ascii="Arial" w:hAnsi="Arial" w:cs="Arial"/>
          <w:bCs/>
          <w:color w:val="000000" w:themeColor="text1"/>
          <w:sz w:val="20"/>
          <w:szCs w:val="20"/>
          <w:lang w:val="en-US"/>
        </w:rPr>
        <w:t>Lp</w:t>
      </w:r>
      <w:proofErr w:type="spellEnd"/>
      <w:r w:rsidRPr="00E63D4C">
        <w:rPr>
          <w:rFonts w:ascii="Arial" w:hAnsi="Arial" w:cs="Arial"/>
          <w:bCs/>
          <w:color w:val="000000" w:themeColor="text1"/>
          <w:sz w:val="20"/>
          <w:szCs w:val="20"/>
          <w:lang w:val="en-US"/>
        </w:rPr>
        <w:t xml:space="preserve">(a) levels greater than 180 mg/dL are more likely to develop ASCVD, as if they had familial hypercholesterolemia. It is more plausible that an excessively high level of </w:t>
      </w:r>
      <w:proofErr w:type="spellStart"/>
      <w:r w:rsidRPr="00E63D4C">
        <w:rPr>
          <w:rFonts w:ascii="Arial" w:hAnsi="Arial" w:cs="Arial"/>
          <w:bCs/>
          <w:color w:val="000000" w:themeColor="text1"/>
          <w:sz w:val="20"/>
          <w:szCs w:val="20"/>
          <w:lang w:val="en-US"/>
        </w:rPr>
        <w:t>Lp</w:t>
      </w:r>
      <w:proofErr w:type="spellEnd"/>
      <w:r w:rsidRPr="00E63D4C">
        <w:rPr>
          <w:rFonts w:ascii="Arial" w:hAnsi="Arial" w:cs="Arial"/>
          <w:bCs/>
          <w:color w:val="000000" w:themeColor="text1"/>
          <w:sz w:val="20"/>
          <w:szCs w:val="20"/>
          <w:lang w:val="en-US"/>
        </w:rPr>
        <w:t xml:space="preserve">(a) determines a novel and common hereditary dyslipidemia linked to an elevated risk of ASCVD because </w:t>
      </w:r>
      <w:proofErr w:type="spellStart"/>
      <w:r w:rsidRPr="00E63D4C">
        <w:rPr>
          <w:rFonts w:ascii="Arial" w:hAnsi="Arial" w:cs="Arial"/>
          <w:bCs/>
          <w:color w:val="000000" w:themeColor="text1"/>
          <w:sz w:val="20"/>
          <w:szCs w:val="20"/>
          <w:lang w:val="en-US"/>
        </w:rPr>
        <w:t>Lp</w:t>
      </w:r>
      <w:proofErr w:type="spellEnd"/>
      <w:r w:rsidRPr="00E63D4C">
        <w:rPr>
          <w:rFonts w:ascii="Arial" w:hAnsi="Arial" w:cs="Arial"/>
          <w:bCs/>
          <w:color w:val="000000" w:themeColor="text1"/>
          <w:sz w:val="20"/>
          <w:szCs w:val="20"/>
          <w:lang w:val="en-US"/>
        </w:rPr>
        <w:t>(a) is generally transmitted in nearly 90% of instances all entire life.[</w:t>
      </w:r>
      <w:hyperlink r:id="rId52" w:history="1">
        <w:r w:rsidRPr="00E63D4C">
          <w:rPr>
            <w:rStyle w:val="Hyperlink"/>
            <w:rFonts w:ascii="Arial" w:hAnsi="Arial" w:cs="Arial"/>
            <w:bCs/>
            <w:sz w:val="20"/>
            <w:szCs w:val="20"/>
            <w:lang w:val="en-US"/>
          </w:rPr>
          <w:t>2]</w:t>
        </w:r>
      </w:hyperlink>
      <w:hyperlink r:id="rId53" w:history="1">
        <w:r w:rsidRPr="00E63D4C">
          <w:rPr>
            <w:rStyle w:val="Hyperlink"/>
            <w:rFonts w:ascii="Arial" w:hAnsi="Arial" w:cs="Arial"/>
            <w:bCs/>
            <w:sz w:val="20"/>
            <w:szCs w:val="20"/>
            <w:lang w:val="en-US"/>
          </w:rPr>
          <w:t>[44]</w:t>
        </w:r>
      </w:hyperlink>
    </w:p>
    <w:p w14:paraId="27E01E65" w14:textId="77777777" w:rsidR="001950F4" w:rsidRPr="00E63D4C" w:rsidRDefault="001950F4" w:rsidP="00510DC9">
      <w:pPr>
        <w:spacing w:line="360" w:lineRule="auto"/>
        <w:jc w:val="both"/>
        <w:rPr>
          <w:rFonts w:ascii="Arial" w:hAnsi="Arial" w:cs="Arial"/>
          <w:bCs/>
          <w:color w:val="000000" w:themeColor="text1"/>
          <w:sz w:val="20"/>
          <w:szCs w:val="20"/>
          <w:lang w:val="en-US"/>
        </w:rPr>
      </w:pPr>
    </w:p>
    <w:p w14:paraId="3399E0B7" w14:textId="1ED441CD" w:rsidR="001E7B99" w:rsidRDefault="00AD0EA0" w:rsidP="00510DC9">
      <w:pPr>
        <w:spacing w:line="360" w:lineRule="auto"/>
        <w:jc w:val="both"/>
        <w:rPr>
          <w:rFonts w:ascii="Arial" w:hAnsi="Arial" w:cs="Arial"/>
          <w:b/>
          <w:bCs/>
          <w:color w:val="000000" w:themeColor="text1"/>
          <w:lang w:val="en-US"/>
        </w:rPr>
      </w:pPr>
      <w:r w:rsidRPr="00ED2EF5">
        <w:rPr>
          <w:rFonts w:ascii="Arial" w:hAnsi="Arial" w:cs="Arial"/>
          <w:b/>
          <w:color w:val="000000" w:themeColor="text1"/>
        </w:rPr>
        <w:t>5</w:t>
      </w:r>
      <w:r w:rsidR="001077BE" w:rsidRPr="00ED2EF5">
        <w:rPr>
          <w:rFonts w:ascii="Arial" w:hAnsi="Arial" w:cs="Arial"/>
          <w:b/>
          <w:color w:val="000000" w:themeColor="text1"/>
        </w:rPr>
        <w:t xml:space="preserve">. </w:t>
      </w:r>
      <w:r w:rsidR="00E63D4C" w:rsidRPr="00E63D4C">
        <w:rPr>
          <w:rFonts w:ascii="Arial" w:hAnsi="Arial" w:cs="Arial"/>
          <w:b/>
          <w:bCs/>
          <w:color w:val="000000" w:themeColor="text1"/>
          <w:lang w:val="en-US"/>
        </w:rPr>
        <w:t>THE ATHEROSCLEROTIC PROCESS IN CHILDREN AND ADOLESCENTS</w:t>
      </w:r>
    </w:p>
    <w:p w14:paraId="294BC1E3"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An increasing amount of research indicates that the atherosclerosis process starts in childhood and advances in response to the presence of conventional risk factors for cardiovascular disease. A pathologic analysis of 30 young adults revealed a linear relationship between pre-mortem measurements of low-density lipoprotein (LDL) cholesterol levels and percentage of the aorta’s surface involvement with fatty streaks [</w:t>
      </w:r>
      <w:hyperlink r:id="rId54" w:history="1">
        <w:r w:rsidRPr="00E63D4C">
          <w:rPr>
            <w:rStyle w:val="Hyperlink"/>
            <w:rFonts w:ascii="Arial" w:hAnsi="Arial" w:cs="Arial"/>
            <w:bCs/>
            <w:sz w:val="20"/>
            <w:szCs w:val="20"/>
            <w:lang w:val="en-US"/>
          </w:rPr>
          <w:t>7</w:t>
        </w:r>
      </w:hyperlink>
      <w:r w:rsidRPr="00E63D4C">
        <w:rPr>
          <w:rFonts w:ascii="Arial" w:hAnsi="Arial" w:cs="Arial"/>
          <w:bCs/>
          <w:color w:val="000000" w:themeColor="text1"/>
          <w:sz w:val="20"/>
          <w:szCs w:val="20"/>
          <w:lang w:val="en-US"/>
        </w:rPr>
        <w:t>]</w:t>
      </w:r>
      <w:hyperlink r:id="rId55" w:history="1">
        <w:r w:rsidRPr="00E63D4C">
          <w:rPr>
            <w:rStyle w:val="Hyperlink"/>
            <w:rFonts w:ascii="Arial" w:hAnsi="Arial" w:cs="Arial"/>
            <w:bCs/>
            <w:sz w:val="20"/>
            <w:szCs w:val="20"/>
            <w:lang w:val="en-US"/>
          </w:rPr>
          <w:t>[25]</w:t>
        </w:r>
      </w:hyperlink>
      <w:hyperlink r:id="rId56" w:history="1">
        <w:r w:rsidRPr="00E63D4C">
          <w:rPr>
            <w:rStyle w:val="Hyperlink"/>
            <w:rFonts w:ascii="Arial" w:hAnsi="Arial" w:cs="Arial"/>
            <w:bCs/>
            <w:sz w:val="20"/>
            <w:szCs w:val="20"/>
            <w:lang w:val="en-US"/>
          </w:rPr>
          <w:t>[43]</w:t>
        </w:r>
      </w:hyperlink>
      <w:r w:rsidRPr="00E63D4C">
        <w:rPr>
          <w:rFonts w:ascii="Arial" w:hAnsi="Arial" w:cs="Arial"/>
          <w:bCs/>
          <w:color w:val="000000" w:themeColor="text1"/>
          <w:sz w:val="20"/>
          <w:szCs w:val="20"/>
          <w:lang w:val="en-US"/>
        </w:rPr>
        <w:t xml:space="preserve">. </w:t>
      </w:r>
    </w:p>
    <w:p w14:paraId="05FDE886" w14:textId="4FF14DA4" w:rsidR="00E63D4C" w:rsidRPr="004A3090" w:rsidRDefault="00E63D4C" w:rsidP="00510DC9">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According to a pathologic investigation, in young children with normal cholesterol levels, the rate of abdominal aortic fatty streaks </w:t>
      </w:r>
      <w:proofErr w:type="gramStart"/>
      <w:r w:rsidRPr="00E63D4C">
        <w:rPr>
          <w:rFonts w:ascii="Arial" w:hAnsi="Arial" w:cs="Arial"/>
          <w:bCs/>
          <w:color w:val="000000" w:themeColor="text1"/>
          <w:sz w:val="20"/>
          <w:szCs w:val="20"/>
          <w:lang w:val="en-US"/>
        </w:rPr>
        <w:t>were</w:t>
      </w:r>
      <w:proofErr w:type="gramEnd"/>
      <w:r w:rsidRPr="00E63D4C">
        <w:rPr>
          <w:rFonts w:ascii="Arial" w:hAnsi="Arial" w:cs="Arial"/>
          <w:bCs/>
          <w:color w:val="000000" w:themeColor="text1"/>
          <w:sz w:val="20"/>
          <w:szCs w:val="20"/>
          <w:lang w:val="en-US"/>
        </w:rPr>
        <w:t xml:space="preserve"> considerably more common in children born to mothers with high cholesterol. This study raises the notion that endothelial dysfunction may be caused by environmental prenatal programming. Berenson and colleagues’ additional research revealed that fibrous plaque lesions were directly associated with conventional cardiovascular risk factor and that their prevalence rose with age [</w:t>
      </w:r>
      <w:hyperlink r:id="rId57" w:history="1">
        <w:r w:rsidRPr="00E63D4C">
          <w:rPr>
            <w:rStyle w:val="Hyperlink"/>
            <w:rFonts w:ascii="Arial" w:hAnsi="Arial" w:cs="Arial"/>
            <w:bCs/>
            <w:sz w:val="20"/>
            <w:szCs w:val="20"/>
            <w:lang w:val="en-US"/>
          </w:rPr>
          <w:t>7</w:t>
        </w:r>
      </w:hyperlink>
      <w:r w:rsidRPr="00E63D4C">
        <w:rPr>
          <w:rFonts w:ascii="Arial" w:hAnsi="Arial" w:cs="Arial"/>
          <w:bCs/>
          <w:color w:val="000000" w:themeColor="text1"/>
          <w:sz w:val="20"/>
          <w:szCs w:val="20"/>
          <w:lang w:val="en-US"/>
        </w:rPr>
        <w:t>][</w:t>
      </w:r>
      <w:hyperlink r:id="rId58" w:history="1">
        <w:r w:rsidRPr="00E63D4C">
          <w:rPr>
            <w:rStyle w:val="Hyperlink"/>
            <w:rFonts w:ascii="Arial" w:hAnsi="Arial" w:cs="Arial"/>
            <w:bCs/>
            <w:sz w:val="20"/>
            <w:szCs w:val="20"/>
            <w:lang w:val="en-US"/>
          </w:rPr>
          <w:t>9</w:t>
        </w:r>
      </w:hyperlink>
      <w:r w:rsidRPr="00E63D4C">
        <w:rPr>
          <w:rFonts w:ascii="Arial" w:hAnsi="Arial" w:cs="Arial"/>
          <w:bCs/>
          <w:color w:val="000000" w:themeColor="text1"/>
          <w:sz w:val="20"/>
          <w:szCs w:val="20"/>
          <w:lang w:val="en-US"/>
        </w:rPr>
        <w:t>]</w:t>
      </w:r>
      <w:hyperlink r:id="rId59" w:history="1">
        <w:r w:rsidRPr="00E63D4C">
          <w:rPr>
            <w:rStyle w:val="Hyperlink"/>
            <w:rFonts w:ascii="Arial" w:hAnsi="Arial" w:cs="Arial"/>
            <w:bCs/>
            <w:sz w:val="20"/>
            <w:szCs w:val="20"/>
            <w:lang w:val="en-US"/>
          </w:rPr>
          <w:t>[34]</w:t>
        </w:r>
      </w:hyperlink>
      <w:r w:rsidRPr="00E63D4C">
        <w:rPr>
          <w:rFonts w:ascii="Arial" w:hAnsi="Arial" w:cs="Arial"/>
          <w:bCs/>
          <w:color w:val="000000" w:themeColor="text1"/>
          <w:sz w:val="20"/>
          <w:szCs w:val="20"/>
          <w:lang w:val="en-US"/>
        </w:rPr>
        <w:t xml:space="preserve">. But they also demonstrated that when the number of cardiovascular risk factors rose exponentially. Pediatric patients have been studied using noninvasive in vivo indicators of atherosclerosis. Vascular ultrasound imaging has demonstrated aberrant endothelial function in children with familial hypercholesterolemia, as measured by provocative maneuvers that cause the brachial artery to dilate. Vascular ultrasonography has also demonstrated that </w:t>
      </w:r>
      <w:proofErr w:type="spellStart"/>
      <w:r w:rsidR="001950F4">
        <w:rPr>
          <w:rFonts w:ascii="Arial" w:hAnsi="Arial" w:cs="Arial"/>
          <w:bCs/>
          <w:color w:val="000000" w:themeColor="text1"/>
          <w:sz w:val="20"/>
          <w:szCs w:val="20"/>
          <w:lang w:val="en-US"/>
        </w:rPr>
        <w:t>hyperlipidaemia</w:t>
      </w:r>
      <w:proofErr w:type="spellEnd"/>
      <w:r w:rsidRPr="00E63D4C">
        <w:rPr>
          <w:rFonts w:ascii="Arial" w:hAnsi="Arial" w:cs="Arial"/>
          <w:bCs/>
          <w:color w:val="000000" w:themeColor="text1"/>
          <w:sz w:val="20"/>
          <w:szCs w:val="20"/>
          <w:lang w:val="en-US"/>
        </w:rPr>
        <w:t xml:space="preserve"> in children causes anomalies in the carotid intima’s medium thickness, distensibility and compliance. [</w:t>
      </w:r>
      <w:hyperlink r:id="rId60" w:history="1">
        <w:r w:rsidRPr="00E63D4C">
          <w:rPr>
            <w:rStyle w:val="Hyperlink"/>
            <w:rFonts w:ascii="Arial" w:hAnsi="Arial" w:cs="Arial"/>
            <w:bCs/>
            <w:sz w:val="20"/>
            <w:szCs w:val="20"/>
            <w:lang w:val="en-US"/>
          </w:rPr>
          <w:t>7</w:t>
        </w:r>
      </w:hyperlink>
      <w:r w:rsidRPr="00E63D4C">
        <w:rPr>
          <w:rFonts w:ascii="Arial" w:hAnsi="Arial" w:cs="Arial"/>
          <w:bCs/>
          <w:color w:val="000000" w:themeColor="text1"/>
          <w:sz w:val="20"/>
          <w:szCs w:val="20"/>
          <w:lang w:val="en-US"/>
        </w:rPr>
        <w:t>]</w:t>
      </w:r>
      <w:hyperlink r:id="rId61" w:history="1">
        <w:r w:rsidRPr="00E63D4C">
          <w:rPr>
            <w:rStyle w:val="Hyperlink"/>
            <w:rFonts w:ascii="Arial" w:hAnsi="Arial" w:cs="Arial"/>
            <w:bCs/>
            <w:sz w:val="20"/>
            <w:szCs w:val="20"/>
            <w:lang w:val="en-US"/>
          </w:rPr>
          <w:t>[10]</w:t>
        </w:r>
      </w:hyperlink>
      <w:hyperlink r:id="rId62" w:history="1">
        <w:r w:rsidRPr="00E63D4C">
          <w:rPr>
            <w:rStyle w:val="Hyperlink"/>
            <w:rFonts w:ascii="Arial" w:hAnsi="Arial" w:cs="Arial"/>
            <w:bCs/>
            <w:sz w:val="20"/>
            <w:szCs w:val="20"/>
            <w:lang w:val="en-US"/>
          </w:rPr>
          <w:t>[45]</w:t>
        </w:r>
      </w:hyperlink>
    </w:p>
    <w:p w14:paraId="3D1FF4EE" w14:textId="77777777" w:rsidR="001950F4" w:rsidRDefault="001950F4" w:rsidP="00510DC9">
      <w:pPr>
        <w:spacing w:line="360" w:lineRule="auto"/>
        <w:jc w:val="both"/>
        <w:rPr>
          <w:rFonts w:ascii="Arial" w:hAnsi="Arial" w:cs="Arial"/>
          <w:b/>
          <w:color w:val="000000" w:themeColor="text1"/>
        </w:rPr>
      </w:pPr>
    </w:p>
    <w:p w14:paraId="7D5F045C" w14:textId="46BF8A0D" w:rsidR="009757F3" w:rsidRDefault="009757F3" w:rsidP="00510DC9">
      <w:pPr>
        <w:spacing w:line="360" w:lineRule="auto"/>
        <w:jc w:val="both"/>
        <w:rPr>
          <w:rFonts w:ascii="Arial" w:hAnsi="Arial" w:cs="Arial"/>
          <w:b/>
          <w:bCs/>
          <w:color w:val="000000" w:themeColor="text1"/>
          <w:lang w:val="en-US"/>
        </w:rPr>
      </w:pPr>
      <w:r w:rsidRPr="00ED2EF5">
        <w:rPr>
          <w:rFonts w:ascii="Arial" w:hAnsi="Arial" w:cs="Arial"/>
          <w:b/>
          <w:color w:val="000000" w:themeColor="text1"/>
        </w:rPr>
        <w:t xml:space="preserve">6. </w:t>
      </w:r>
      <w:r w:rsidR="00E63D4C" w:rsidRPr="00E63D4C">
        <w:rPr>
          <w:rFonts w:ascii="Arial" w:hAnsi="Arial" w:cs="Arial"/>
          <w:b/>
          <w:bCs/>
          <w:color w:val="000000" w:themeColor="text1"/>
          <w:lang w:val="en-US"/>
        </w:rPr>
        <w:t>DYSLIPIDEMIA</w:t>
      </w:r>
    </w:p>
    <w:p w14:paraId="3A55A998" w14:textId="19E3A3DC" w:rsid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Dyslipidemia is the term for lipoprotein abnormalities identified by laboratory testing, which typically manifest in childhood and early adulthood without any outward manifestations. Appropriate </w:t>
      </w:r>
      <w:r w:rsidRPr="00E63D4C">
        <w:rPr>
          <w:rFonts w:ascii="Arial" w:hAnsi="Arial" w:cs="Arial"/>
          <w:bCs/>
          <w:color w:val="000000" w:themeColor="text1"/>
          <w:sz w:val="20"/>
          <w:szCs w:val="20"/>
          <w:lang w:val="en-US"/>
        </w:rPr>
        <w:lastRenderedPageBreak/>
        <w:t xml:space="preserve">identification and handling potentially lower cardiovascular morbidity and death due to lipoprotein abnormalities. Conceptually, dyslipidemia can be classified as primary when it involves hereditary lipoprotein issues that result in abnormalities in the metabolic pathways and secondary when it comes to medication, lifestyle and environmental factors, metabolic or endocrine disorders, or coexisting conditions </w:t>
      </w:r>
      <w:hyperlink r:id="rId63" w:history="1">
        <w:r w:rsidRPr="00E63D4C">
          <w:rPr>
            <w:rStyle w:val="Hyperlink"/>
            <w:rFonts w:ascii="Arial" w:hAnsi="Arial" w:cs="Arial"/>
            <w:bCs/>
            <w:sz w:val="20"/>
            <w:szCs w:val="20"/>
            <w:lang w:val="en-US"/>
          </w:rPr>
          <w:t>[16]</w:t>
        </w:r>
      </w:hyperlink>
      <w:hyperlink r:id="rId64" w:history="1">
        <w:r w:rsidRPr="00E63D4C">
          <w:rPr>
            <w:rStyle w:val="Hyperlink"/>
            <w:rFonts w:ascii="Arial" w:hAnsi="Arial" w:cs="Arial"/>
            <w:bCs/>
            <w:sz w:val="20"/>
            <w:szCs w:val="20"/>
            <w:lang w:val="en-US"/>
          </w:rPr>
          <w:t>[31]</w:t>
        </w:r>
      </w:hyperlink>
      <w:r w:rsidRPr="00E63D4C">
        <w:rPr>
          <w:rFonts w:ascii="Arial" w:hAnsi="Arial" w:cs="Arial"/>
          <w:bCs/>
          <w:color w:val="000000" w:themeColor="text1"/>
          <w:sz w:val="20"/>
          <w:szCs w:val="20"/>
          <w:lang w:val="en-US"/>
        </w:rPr>
        <w:t xml:space="preserve">. The most prevalent primary dyslipidemia in children and adolescents is familial hypercholesterolemia, which is an autonomic dominant condition with an incidence of 1 in 250–500 in the general population for heterozygous genotype. This is linked to a higher risk of early CVD and entails a functional change where there is a malfunction in either the LDL receptor or the LDL receptor's capacity to identify apo B. TC and LDL-C values rise noticeably as a result of this lipid condition. Compared to children whose parents had premature CVD, children with lipid abnormalities, such as an LDL-C concentration above 240 mg/dl and an HDL-C level below 40 mg/dl, were 1.7 and 1.8 times more at risk, respectively </w:t>
      </w:r>
      <w:hyperlink r:id="rId65" w:history="1">
        <w:r w:rsidRPr="00E63D4C">
          <w:rPr>
            <w:rStyle w:val="Hyperlink"/>
            <w:rFonts w:ascii="Arial" w:hAnsi="Arial" w:cs="Arial"/>
            <w:bCs/>
            <w:sz w:val="20"/>
            <w:szCs w:val="20"/>
            <w:lang w:val="en-US"/>
          </w:rPr>
          <w:t>[16]</w:t>
        </w:r>
      </w:hyperlink>
      <w:r w:rsidRPr="00E63D4C">
        <w:rPr>
          <w:rFonts w:ascii="Arial" w:hAnsi="Arial" w:cs="Arial"/>
          <w:bCs/>
          <w:color w:val="000000" w:themeColor="text1"/>
          <w:sz w:val="20"/>
          <w:szCs w:val="20"/>
          <w:lang w:val="en-US"/>
        </w:rPr>
        <w:t xml:space="preserve"> </w:t>
      </w:r>
      <w:hyperlink r:id="rId66" w:history="1">
        <w:r w:rsidRPr="00E63D4C">
          <w:rPr>
            <w:rStyle w:val="Hyperlink"/>
            <w:rFonts w:ascii="Arial" w:hAnsi="Arial" w:cs="Arial"/>
            <w:bCs/>
            <w:sz w:val="20"/>
            <w:szCs w:val="20"/>
            <w:lang w:val="en-US"/>
          </w:rPr>
          <w:t>[17]</w:t>
        </w:r>
      </w:hyperlink>
      <w:hyperlink r:id="rId67" w:history="1">
        <w:r w:rsidRPr="00E63D4C">
          <w:rPr>
            <w:rStyle w:val="Hyperlink"/>
            <w:rFonts w:ascii="Arial" w:hAnsi="Arial" w:cs="Arial"/>
            <w:bCs/>
            <w:sz w:val="20"/>
            <w:szCs w:val="20"/>
            <w:lang w:val="en-US"/>
          </w:rPr>
          <w:t>[38]</w:t>
        </w:r>
      </w:hyperlink>
      <w:r w:rsidRPr="00E63D4C">
        <w:rPr>
          <w:rFonts w:ascii="Arial" w:hAnsi="Arial" w:cs="Arial"/>
          <w:bCs/>
          <w:color w:val="000000" w:themeColor="text1"/>
          <w:sz w:val="20"/>
          <w:szCs w:val="20"/>
          <w:lang w:val="en-US"/>
        </w:rPr>
        <w:t xml:space="preserve">. The study by Cortner et al. displayed the plasma lipid profiles of kids with and without primary dyslipidemia. Due to the high cost of tests and the challenges of using new technology to analyze lipid profiles in order to discover metabolic pathway deficiencies, the diagnosis of hereditary lipid abnormalities often happens after ruling out the most prevalent causes of secondary </w:t>
      </w:r>
      <w:proofErr w:type="spellStart"/>
      <w:r w:rsidRPr="00E63D4C">
        <w:rPr>
          <w:rFonts w:ascii="Arial" w:hAnsi="Arial" w:cs="Arial"/>
          <w:bCs/>
          <w:color w:val="000000" w:themeColor="text1"/>
          <w:sz w:val="20"/>
          <w:szCs w:val="20"/>
          <w:lang w:val="en-US"/>
        </w:rPr>
        <w:t>dyslipidemia.Obesity</w:t>
      </w:r>
      <w:proofErr w:type="spellEnd"/>
      <w:r w:rsidRPr="00E63D4C">
        <w:rPr>
          <w:rFonts w:ascii="Arial" w:hAnsi="Arial" w:cs="Arial"/>
          <w:bCs/>
          <w:color w:val="000000" w:themeColor="text1"/>
          <w:sz w:val="20"/>
          <w:szCs w:val="20"/>
          <w:lang w:val="en-US"/>
        </w:rPr>
        <w:t>, which is characterized by low HDL-C concentration, elevated triglyceride levels, and alterations in the structure of LDL-C, which makes it a smaller, denser, and more atherogenic particle, is the most common secondary cause of dyslipidemia in children</w:t>
      </w:r>
      <w:hyperlink r:id="rId68" w:history="1">
        <w:r w:rsidRPr="00E63D4C">
          <w:rPr>
            <w:rStyle w:val="Hyperlink"/>
            <w:rFonts w:ascii="Arial" w:hAnsi="Arial" w:cs="Arial"/>
            <w:bCs/>
            <w:sz w:val="20"/>
            <w:szCs w:val="20"/>
            <w:lang w:val="en-US"/>
          </w:rPr>
          <w:t>[27]</w:t>
        </w:r>
      </w:hyperlink>
      <w:hyperlink r:id="rId69" w:history="1">
        <w:r w:rsidRPr="00E63D4C">
          <w:rPr>
            <w:rStyle w:val="Hyperlink"/>
            <w:rFonts w:ascii="Arial" w:hAnsi="Arial" w:cs="Arial"/>
            <w:bCs/>
            <w:sz w:val="20"/>
            <w:szCs w:val="20"/>
            <w:lang w:val="en-US"/>
          </w:rPr>
          <w:t>[20]</w:t>
        </w:r>
      </w:hyperlink>
      <w:r w:rsidRPr="00E63D4C">
        <w:rPr>
          <w:rFonts w:ascii="Arial" w:hAnsi="Arial" w:cs="Arial"/>
          <w:bCs/>
          <w:color w:val="000000" w:themeColor="text1"/>
          <w:sz w:val="20"/>
          <w:szCs w:val="20"/>
          <w:lang w:val="en-US"/>
        </w:rPr>
        <w:t xml:space="preserve">. In affluent nations, an appropriate lipid profile was described as falling between the 5th and 95th percentiles, or between -2 and +2 standard deviations, based on population reference values for age and sex. Ethnicity and teenage sexual maturity, which are known to result in significant variations in lipoprotein and triglyceride levels because of the impact of sexual hormones, were not taken into account by these curves </w:t>
      </w:r>
      <w:hyperlink r:id="rId70" w:history="1">
        <w:r w:rsidRPr="00E63D4C">
          <w:rPr>
            <w:rStyle w:val="Hyperlink"/>
            <w:rFonts w:ascii="Arial" w:hAnsi="Arial" w:cs="Arial"/>
            <w:bCs/>
            <w:sz w:val="20"/>
            <w:szCs w:val="20"/>
            <w:lang w:val="en-US"/>
          </w:rPr>
          <w:t>[16]</w:t>
        </w:r>
      </w:hyperlink>
      <w:r w:rsidRPr="00E63D4C">
        <w:rPr>
          <w:rFonts w:ascii="Arial" w:hAnsi="Arial" w:cs="Arial"/>
          <w:bCs/>
          <w:color w:val="000000" w:themeColor="text1"/>
          <w:sz w:val="20"/>
          <w:szCs w:val="20"/>
          <w:lang w:val="en-US"/>
        </w:rPr>
        <w:t xml:space="preserve"> </w:t>
      </w:r>
      <w:hyperlink r:id="rId71" w:history="1">
        <w:r w:rsidRPr="00E63D4C">
          <w:rPr>
            <w:rStyle w:val="Hyperlink"/>
            <w:rFonts w:ascii="Arial" w:hAnsi="Arial" w:cs="Arial"/>
            <w:bCs/>
            <w:sz w:val="20"/>
            <w:szCs w:val="20"/>
            <w:lang w:val="en-US"/>
          </w:rPr>
          <w:t>[18]</w:t>
        </w:r>
      </w:hyperlink>
      <w:r w:rsidRPr="00E63D4C">
        <w:rPr>
          <w:rFonts w:ascii="Arial" w:hAnsi="Arial" w:cs="Arial"/>
          <w:bCs/>
          <w:color w:val="000000" w:themeColor="text1"/>
          <w:sz w:val="20"/>
          <w:szCs w:val="20"/>
          <w:lang w:val="en-US"/>
        </w:rPr>
        <w:t xml:space="preserve">. When one or more lipoproteins are greater than or equivalent to the 95th percentile for TC, LDL-C, triglycerides, and apo B, and lower than the 5th percentile for HDL-C and apo AI, dyslipidemia is diagnosed. The National Cholesterol Education Program (NCEP) released the first pediatric joint statement, which outlines two methods for identifying dyslipidemia in kids and teenagers. According to one of them, TC serum levels should be checked in kids with a family history of early CVD. Parents or grandparents who are 55 years of age or younger and exhibit signs of atherosclerosis, peripheral vascular disease, cerebrovascular illness, coronary artery surgery, acute myocardial infarction, or sudden cardiac death are considered to have a family history </w:t>
      </w:r>
      <w:hyperlink r:id="rId72" w:history="1">
        <w:r w:rsidRPr="00E63D4C">
          <w:rPr>
            <w:rStyle w:val="Hyperlink"/>
            <w:rFonts w:ascii="Arial" w:hAnsi="Arial" w:cs="Arial"/>
            <w:bCs/>
            <w:sz w:val="20"/>
            <w:szCs w:val="20"/>
            <w:lang w:val="en-US"/>
          </w:rPr>
          <w:t>[40]</w:t>
        </w:r>
      </w:hyperlink>
      <w:hyperlink r:id="rId73" w:history="1">
        <w:r w:rsidRPr="00E63D4C">
          <w:rPr>
            <w:rStyle w:val="Hyperlink"/>
            <w:rFonts w:ascii="Arial" w:hAnsi="Arial" w:cs="Arial"/>
            <w:bCs/>
            <w:sz w:val="20"/>
            <w:szCs w:val="20"/>
            <w:lang w:val="en-US"/>
          </w:rPr>
          <w:t>[45]</w:t>
        </w:r>
      </w:hyperlink>
      <w:r w:rsidRPr="00E63D4C">
        <w:rPr>
          <w:rFonts w:ascii="Arial" w:hAnsi="Arial" w:cs="Arial"/>
          <w:bCs/>
          <w:color w:val="000000" w:themeColor="text1"/>
          <w:sz w:val="20"/>
          <w:szCs w:val="20"/>
          <w:lang w:val="en-US"/>
        </w:rPr>
        <w:t>. The other states that children should have their TC levels checked if their parents have a history of hypercholesterolemia (TC level ≥240 mg/dl). Repeat the measurement if the cholesterol level is borderline (170–200 mg/dl). Children should have their serum cholesterol fractions tested if the first measurement is more than 200 mg/dl or if two TC readings are 170 mg/dl or higher</w:t>
      </w:r>
      <w:r w:rsidR="001950F4">
        <w:rPr>
          <w:rFonts w:ascii="Arial" w:hAnsi="Arial" w:cs="Arial"/>
          <w:bCs/>
          <w:color w:val="000000" w:themeColor="text1"/>
          <w:sz w:val="20"/>
          <w:szCs w:val="20"/>
          <w:lang w:val="en-US"/>
        </w:rPr>
        <w:t xml:space="preserve"> (Table 1)</w:t>
      </w:r>
      <w:r w:rsidRPr="00E63D4C">
        <w:rPr>
          <w:rFonts w:ascii="Arial" w:hAnsi="Arial" w:cs="Arial"/>
          <w:bCs/>
          <w:color w:val="000000" w:themeColor="text1"/>
          <w:sz w:val="20"/>
          <w:szCs w:val="20"/>
          <w:lang w:val="en-US"/>
        </w:rPr>
        <w:t xml:space="preserve">. To confirm the diagnosis of dyslipidemia, serum cholesterol levels and fractions should be evaluated twice in the same clinical laboratory, always after a 12-hour overnight fast </w:t>
      </w:r>
      <w:hyperlink r:id="rId74" w:history="1">
        <w:r w:rsidRPr="00E63D4C">
          <w:rPr>
            <w:rStyle w:val="Hyperlink"/>
            <w:rFonts w:ascii="Arial" w:hAnsi="Arial" w:cs="Arial"/>
            <w:bCs/>
            <w:sz w:val="20"/>
            <w:szCs w:val="20"/>
            <w:lang w:val="en-US"/>
          </w:rPr>
          <w:t>[16]</w:t>
        </w:r>
      </w:hyperlink>
      <w:r w:rsidRPr="00E63D4C">
        <w:rPr>
          <w:rFonts w:ascii="Arial" w:hAnsi="Arial" w:cs="Arial"/>
          <w:bCs/>
          <w:color w:val="000000" w:themeColor="text1"/>
          <w:sz w:val="20"/>
          <w:szCs w:val="20"/>
          <w:lang w:val="en-US"/>
        </w:rPr>
        <w:t xml:space="preserve"> </w:t>
      </w:r>
      <w:hyperlink r:id="rId75" w:history="1">
        <w:r w:rsidRPr="00E63D4C">
          <w:rPr>
            <w:rStyle w:val="Hyperlink"/>
            <w:rFonts w:ascii="Arial" w:hAnsi="Arial" w:cs="Arial"/>
            <w:bCs/>
            <w:sz w:val="20"/>
            <w:szCs w:val="20"/>
            <w:lang w:val="en-US"/>
          </w:rPr>
          <w:t>[19]</w:t>
        </w:r>
      </w:hyperlink>
      <w:r w:rsidRPr="00E63D4C">
        <w:rPr>
          <w:rFonts w:ascii="Arial" w:hAnsi="Arial" w:cs="Arial"/>
          <w:bCs/>
          <w:color w:val="000000" w:themeColor="text1"/>
          <w:sz w:val="20"/>
          <w:szCs w:val="20"/>
          <w:lang w:val="en-US"/>
        </w:rPr>
        <w:t>.</w:t>
      </w:r>
    </w:p>
    <w:p w14:paraId="7DB2E3DC" w14:textId="34D169D6" w:rsidR="00E63D4C" w:rsidRPr="00E63D4C" w:rsidRDefault="001950F4" w:rsidP="00E63D4C">
      <w:pPr>
        <w:spacing w:line="360" w:lineRule="auto"/>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Table 1: </w:t>
      </w:r>
      <w:r w:rsidR="00E63D4C" w:rsidRPr="00E63D4C">
        <w:rPr>
          <w:rFonts w:ascii="Arial" w:hAnsi="Arial" w:cs="Arial"/>
          <w:b/>
          <w:bCs/>
          <w:color w:val="000000" w:themeColor="text1"/>
          <w:sz w:val="20"/>
          <w:szCs w:val="20"/>
          <w:lang w:val="en-US"/>
        </w:rPr>
        <w:t>Lipid Profile Table for Children and Adolescents</w:t>
      </w:r>
    </w:p>
    <w:tbl>
      <w:tblPr>
        <w:tblStyle w:val="TableGrid"/>
        <w:tblW w:w="0" w:type="auto"/>
        <w:tblLook w:val="04A0" w:firstRow="1" w:lastRow="0" w:firstColumn="1" w:lastColumn="0" w:noHBand="0" w:noVBand="1"/>
      </w:tblPr>
      <w:tblGrid>
        <w:gridCol w:w="2160"/>
        <w:gridCol w:w="2160"/>
        <w:gridCol w:w="2160"/>
        <w:gridCol w:w="2160"/>
      </w:tblGrid>
      <w:tr w:rsidR="00E63D4C" w:rsidRPr="00E63D4C" w14:paraId="60E955E8" w14:textId="77777777" w:rsidTr="0010287B">
        <w:tc>
          <w:tcPr>
            <w:tcW w:w="2160" w:type="dxa"/>
          </w:tcPr>
          <w:p w14:paraId="362E9FB9"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Lipoproteins</w:t>
            </w:r>
          </w:p>
        </w:tc>
        <w:tc>
          <w:tcPr>
            <w:tcW w:w="2160" w:type="dxa"/>
          </w:tcPr>
          <w:p w14:paraId="35B23CF2"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Acceptable (mg/dl)</w:t>
            </w:r>
          </w:p>
        </w:tc>
        <w:tc>
          <w:tcPr>
            <w:tcW w:w="2160" w:type="dxa"/>
          </w:tcPr>
          <w:p w14:paraId="11D8E75C"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Borderline (mg/dl)</w:t>
            </w:r>
          </w:p>
        </w:tc>
        <w:tc>
          <w:tcPr>
            <w:tcW w:w="2160" w:type="dxa"/>
          </w:tcPr>
          <w:p w14:paraId="493066EC"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Elevated (mg/dl)</w:t>
            </w:r>
          </w:p>
        </w:tc>
      </w:tr>
      <w:tr w:rsidR="00E63D4C" w:rsidRPr="00E63D4C" w14:paraId="16AEB598" w14:textId="77777777" w:rsidTr="0010287B">
        <w:tc>
          <w:tcPr>
            <w:tcW w:w="2160" w:type="dxa"/>
          </w:tcPr>
          <w:p w14:paraId="72918DE1"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lastRenderedPageBreak/>
              <w:t>TC</w:t>
            </w:r>
          </w:p>
        </w:tc>
        <w:tc>
          <w:tcPr>
            <w:tcW w:w="2160" w:type="dxa"/>
          </w:tcPr>
          <w:p w14:paraId="54FCE075"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&lt;150</w:t>
            </w:r>
          </w:p>
        </w:tc>
        <w:tc>
          <w:tcPr>
            <w:tcW w:w="2160" w:type="dxa"/>
          </w:tcPr>
          <w:p w14:paraId="043BBBC1"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150–169</w:t>
            </w:r>
          </w:p>
        </w:tc>
        <w:tc>
          <w:tcPr>
            <w:tcW w:w="2160" w:type="dxa"/>
          </w:tcPr>
          <w:p w14:paraId="029E8706"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≥170</w:t>
            </w:r>
          </w:p>
        </w:tc>
      </w:tr>
      <w:tr w:rsidR="00E63D4C" w:rsidRPr="00E63D4C" w14:paraId="0EF103A5" w14:textId="77777777" w:rsidTr="0010287B">
        <w:tc>
          <w:tcPr>
            <w:tcW w:w="2160" w:type="dxa"/>
          </w:tcPr>
          <w:p w14:paraId="4779357A"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LDL-C</w:t>
            </w:r>
          </w:p>
        </w:tc>
        <w:tc>
          <w:tcPr>
            <w:tcW w:w="2160" w:type="dxa"/>
          </w:tcPr>
          <w:p w14:paraId="10056F14"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&lt;100</w:t>
            </w:r>
          </w:p>
        </w:tc>
        <w:tc>
          <w:tcPr>
            <w:tcW w:w="2160" w:type="dxa"/>
          </w:tcPr>
          <w:p w14:paraId="3B82F901"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100–129</w:t>
            </w:r>
          </w:p>
        </w:tc>
        <w:tc>
          <w:tcPr>
            <w:tcW w:w="2160" w:type="dxa"/>
          </w:tcPr>
          <w:p w14:paraId="2A9771AF"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≥130</w:t>
            </w:r>
          </w:p>
        </w:tc>
      </w:tr>
      <w:tr w:rsidR="00E63D4C" w:rsidRPr="00E63D4C" w14:paraId="1F0C7311" w14:textId="77777777" w:rsidTr="0010287B">
        <w:tc>
          <w:tcPr>
            <w:tcW w:w="2160" w:type="dxa"/>
          </w:tcPr>
          <w:p w14:paraId="4F2585D7"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HDL-C</w:t>
            </w:r>
          </w:p>
        </w:tc>
        <w:tc>
          <w:tcPr>
            <w:tcW w:w="2160" w:type="dxa"/>
          </w:tcPr>
          <w:p w14:paraId="6D8C6C15"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&lt;45</w:t>
            </w:r>
          </w:p>
        </w:tc>
        <w:tc>
          <w:tcPr>
            <w:tcW w:w="2160" w:type="dxa"/>
          </w:tcPr>
          <w:p w14:paraId="3F1B5FCF" w14:textId="6C6D9A8D" w:rsidR="00E63D4C" w:rsidRPr="00E63D4C" w:rsidRDefault="003760B1" w:rsidP="00E63D4C">
            <w:pPr>
              <w:spacing w:after="200"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w:t>
            </w:r>
          </w:p>
        </w:tc>
        <w:tc>
          <w:tcPr>
            <w:tcW w:w="2160" w:type="dxa"/>
          </w:tcPr>
          <w:p w14:paraId="18375D8C" w14:textId="74080BA5" w:rsidR="00E63D4C" w:rsidRPr="00E63D4C" w:rsidRDefault="003760B1" w:rsidP="00E63D4C">
            <w:pPr>
              <w:spacing w:after="200"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w:t>
            </w:r>
          </w:p>
        </w:tc>
      </w:tr>
      <w:tr w:rsidR="00E63D4C" w:rsidRPr="00E63D4C" w14:paraId="1738B1F5" w14:textId="77777777" w:rsidTr="0010287B">
        <w:tc>
          <w:tcPr>
            <w:tcW w:w="2160" w:type="dxa"/>
          </w:tcPr>
          <w:p w14:paraId="3BA71749"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TG</w:t>
            </w:r>
          </w:p>
        </w:tc>
        <w:tc>
          <w:tcPr>
            <w:tcW w:w="2160" w:type="dxa"/>
          </w:tcPr>
          <w:p w14:paraId="143529A2"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&lt;100</w:t>
            </w:r>
          </w:p>
        </w:tc>
        <w:tc>
          <w:tcPr>
            <w:tcW w:w="2160" w:type="dxa"/>
          </w:tcPr>
          <w:p w14:paraId="568AE4B9"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100–129</w:t>
            </w:r>
          </w:p>
        </w:tc>
        <w:tc>
          <w:tcPr>
            <w:tcW w:w="2160" w:type="dxa"/>
          </w:tcPr>
          <w:p w14:paraId="297561E1"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≥130</w:t>
            </w:r>
          </w:p>
        </w:tc>
      </w:tr>
    </w:tbl>
    <w:p w14:paraId="08B31D90" w14:textId="77777777" w:rsidR="00E63D4C" w:rsidRPr="00ED2EF5" w:rsidRDefault="00E63D4C" w:rsidP="00510DC9">
      <w:pPr>
        <w:spacing w:line="360" w:lineRule="auto"/>
        <w:jc w:val="both"/>
        <w:rPr>
          <w:rFonts w:ascii="Arial" w:hAnsi="Arial" w:cs="Arial"/>
          <w:b/>
          <w:color w:val="000000" w:themeColor="text1"/>
        </w:rPr>
      </w:pPr>
    </w:p>
    <w:p w14:paraId="4441B7C2" w14:textId="64BEADB2" w:rsidR="00F63470" w:rsidRPr="00ED2EF5" w:rsidRDefault="0038381A" w:rsidP="00510DC9">
      <w:pPr>
        <w:spacing w:line="360" w:lineRule="auto"/>
        <w:jc w:val="both"/>
        <w:rPr>
          <w:rFonts w:ascii="Arial" w:hAnsi="Arial" w:cs="Arial"/>
          <w:b/>
          <w:color w:val="000000" w:themeColor="text1"/>
        </w:rPr>
      </w:pPr>
      <w:r w:rsidRPr="00ED2EF5">
        <w:rPr>
          <w:rFonts w:ascii="Arial" w:hAnsi="Arial" w:cs="Arial"/>
          <w:b/>
          <w:color w:val="000000" w:themeColor="text1"/>
        </w:rPr>
        <w:t>7</w:t>
      </w:r>
      <w:r w:rsidR="001077BE" w:rsidRPr="00ED2EF5">
        <w:rPr>
          <w:rFonts w:ascii="Arial" w:hAnsi="Arial" w:cs="Arial"/>
          <w:b/>
          <w:color w:val="000000" w:themeColor="text1"/>
        </w:rPr>
        <w:t xml:space="preserve">. </w:t>
      </w:r>
      <w:r w:rsidR="00E63D4C" w:rsidRPr="00E63D4C">
        <w:rPr>
          <w:rFonts w:ascii="Arial" w:hAnsi="Arial" w:cs="Arial"/>
          <w:b/>
          <w:bCs/>
          <w:color w:val="000000" w:themeColor="text1"/>
          <w:lang w:val="en-US"/>
        </w:rPr>
        <w:t xml:space="preserve">SCREENING FOR </w:t>
      </w:r>
      <w:r w:rsidR="001950F4">
        <w:rPr>
          <w:rFonts w:ascii="Arial" w:hAnsi="Arial" w:cs="Arial"/>
          <w:b/>
          <w:bCs/>
          <w:color w:val="000000" w:themeColor="text1"/>
          <w:lang w:val="en-US"/>
        </w:rPr>
        <w:t>HYPERLIPIDAEMIA</w:t>
      </w:r>
    </w:p>
    <w:p w14:paraId="373CAB3D" w14:textId="4D7FCAD2"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Risk factors and risk behaviors that accelerate the development of atherosclerosis start in infancy, and there is mounting evidence that reducing risk may slow the progression of the disease and lower cardiovascular complications, even though there is rarely obvious cardiovascular damage in children and adolescents. Nonetheless, it is crucial to realize the differences and similarities among children and adolescents' risk categories, genders, ages, and ethnicities in order to fully appreciate the timeliness, relevance, and sufficiency of a broad population lipid screening. About 20% of pediatric patients have an increase in one or more blood lipid values, and this number rises to 40% in pediatric patients who are obese, which is defined as having a BMI more than the 95th percentile, according to data from the US and other nations [</w:t>
      </w:r>
      <w:hyperlink r:id="rId76"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77" w:history="1">
        <w:r w:rsidRPr="00E63D4C">
          <w:rPr>
            <w:rStyle w:val="Hyperlink"/>
            <w:rFonts w:ascii="Arial" w:hAnsi="Arial" w:cs="Arial"/>
            <w:bCs/>
            <w:sz w:val="20"/>
            <w:szCs w:val="20"/>
            <w:lang w:val="en-US"/>
          </w:rPr>
          <w:t>[36]</w:t>
        </w:r>
      </w:hyperlink>
      <w:r w:rsidRPr="00E63D4C">
        <w:rPr>
          <w:rFonts w:ascii="Arial" w:hAnsi="Arial" w:cs="Arial"/>
          <w:bCs/>
          <w:color w:val="000000" w:themeColor="text1"/>
          <w:sz w:val="20"/>
          <w:szCs w:val="20"/>
          <w:lang w:val="en-US"/>
        </w:rPr>
        <w:t xml:space="preserve">. Increased TC, HDL-C, LDL-C, HDL-C, and TG levels in children are predictive of coronary artery calcium (CAC) and CIMT, two known indicators of severe atherosclerosis. Furthermore, compared to young people in good health, adolescents with elevated </w:t>
      </w:r>
      <w:proofErr w:type="spellStart"/>
      <w:r w:rsidRPr="00E63D4C">
        <w:rPr>
          <w:rFonts w:ascii="Arial" w:hAnsi="Arial" w:cs="Arial"/>
          <w:bCs/>
          <w:color w:val="000000" w:themeColor="text1"/>
          <w:sz w:val="20"/>
          <w:szCs w:val="20"/>
          <w:lang w:val="en-US"/>
        </w:rPr>
        <w:t>TCvalues</w:t>
      </w:r>
      <w:proofErr w:type="spellEnd"/>
      <w:r w:rsidRPr="00E63D4C">
        <w:rPr>
          <w:rFonts w:ascii="Arial" w:hAnsi="Arial" w:cs="Arial"/>
          <w:bCs/>
          <w:color w:val="000000" w:themeColor="text1"/>
          <w:sz w:val="20"/>
          <w:szCs w:val="20"/>
          <w:lang w:val="en-US"/>
        </w:rPr>
        <w:t xml:space="preserve"> had a five-fold higher chance of experiencing CVD events 40 years later. Given these assumptions, it should seem very easy to understand the crucial role and significant influence that appropriate screening may have in preventing CVD and lowering the incidence of cardiovascular mortality in both adult and pediatric patients </w:t>
      </w:r>
      <w:hyperlink r:id="rId78" w:history="1">
        <w:r w:rsidRPr="00E63D4C">
          <w:rPr>
            <w:rStyle w:val="Hyperlink"/>
            <w:rFonts w:ascii="Arial" w:hAnsi="Arial" w:cs="Arial"/>
            <w:bCs/>
            <w:sz w:val="20"/>
            <w:szCs w:val="20"/>
            <w:lang w:val="en-US"/>
          </w:rPr>
          <w:t>[15]</w:t>
        </w:r>
      </w:hyperlink>
      <w:hyperlink r:id="rId79" w:history="1">
        <w:r w:rsidRPr="00E63D4C">
          <w:rPr>
            <w:rStyle w:val="Hyperlink"/>
            <w:rFonts w:ascii="Arial" w:hAnsi="Arial" w:cs="Arial"/>
            <w:bCs/>
            <w:sz w:val="20"/>
            <w:szCs w:val="20"/>
            <w:lang w:val="en-US"/>
          </w:rPr>
          <w:t>[40]</w:t>
        </w:r>
      </w:hyperlink>
      <w:r w:rsidRPr="00E63D4C">
        <w:rPr>
          <w:rFonts w:ascii="Arial" w:hAnsi="Arial" w:cs="Arial"/>
          <w:bCs/>
          <w:color w:val="000000" w:themeColor="text1"/>
          <w:sz w:val="20"/>
          <w:szCs w:val="20"/>
          <w:lang w:val="en-US"/>
        </w:rPr>
        <w:t xml:space="preserve">. It is well recognized that childhood </w:t>
      </w:r>
      <w:proofErr w:type="spellStart"/>
      <w:r w:rsidR="001950F4">
        <w:rPr>
          <w:rFonts w:ascii="Arial" w:hAnsi="Arial" w:cs="Arial"/>
          <w:bCs/>
          <w:color w:val="000000" w:themeColor="text1"/>
          <w:sz w:val="20"/>
          <w:szCs w:val="20"/>
          <w:lang w:val="en-US"/>
        </w:rPr>
        <w:t>hyperlipidaemia</w:t>
      </w:r>
      <w:proofErr w:type="spellEnd"/>
      <w:r w:rsidRPr="00E63D4C">
        <w:rPr>
          <w:rFonts w:ascii="Arial" w:hAnsi="Arial" w:cs="Arial"/>
          <w:bCs/>
          <w:color w:val="000000" w:themeColor="text1"/>
          <w:sz w:val="20"/>
          <w:szCs w:val="20"/>
          <w:lang w:val="en-US"/>
        </w:rPr>
        <w:t xml:space="preserve"> is on the rise, coupled with obesity and insulin resistance. In fact, age-based guidelines for lipid value screening in specific patients should be a typical component of routine pediatric therapy in order to identify issues at appropriate times that are pertinent to the course of the disease. A strong wide-population screening program, however, should influence the course of the disease and its long-term results and have good reproducibility, accuracy, and acceptability. Serum lipids and lipoproteins, in particular, are easily detected in blood samples, the costs are affordable, the accuracy is proven, the impact on patients is well recognized, and the technique relies heavily on the participation of qualified applicants. However, the majority of </w:t>
      </w:r>
      <w:proofErr w:type="spellStart"/>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s</w:t>
      </w:r>
      <w:proofErr w:type="spellEnd"/>
      <w:r w:rsidRPr="00E63D4C">
        <w:rPr>
          <w:rFonts w:ascii="Arial" w:hAnsi="Arial" w:cs="Arial"/>
          <w:bCs/>
          <w:color w:val="000000" w:themeColor="text1"/>
          <w:sz w:val="20"/>
          <w:szCs w:val="20"/>
          <w:lang w:val="en-US"/>
        </w:rPr>
        <w:t xml:space="preserve"> are clinically asymptomatic, and selective screening—such as looking only for children with a positive family history—fails to detect a sizable percentage of children with lipid abnormalities, making it difficult to choose suitable kids and teenagers for lipid screening. According to the results of the 2010 "Coronary Artery Risk Detection in Appalachian Communities" (CARDIAC) Project, which involved over 20,000 fifth-graders, using family history to determine whether children needed cholesterol screening would have missed a large percentage of mild </w:t>
      </w:r>
      <w:proofErr w:type="spellStart"/>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s</w:t>
      </w:r>
      <w:proofErr w:type="spellEnd"/>
      <w:r w:rsidRPr="00E63D4C">
        <w:rPr>
          <w:rFonts w:ascii="Arial" w:hAnsi="Arial" w:cs="Arial"/>
          <w:bCs/>
          <w:color w:val="000000" w:themeColor="text1"/>
          <w:sz w:val="20"/>
          <w:szCs w:val="20"/>
          <w:lang w:val="en-US"/>
        </w:rPr>
        <w:t xml:space="preserve"> and failed to identify a significant portion with likely hereditary </w:t>
      </w:r>
      <w:proofErr w:type="spellStart"/>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s</w:t>
      </w:r>
      <w:proofErr w:type="spellEnd"/>
      <w:r w:rsidRPr="00E63D4C">
        <w:rPr>
          <w:rFonts w:ascii="Arial" w:hAnsi="Arial" w:cs="Arial"/>
          <w:bCs/>
          <w:color w:val="000000" w:themeColor="text1"/>
          <w:sz w:val="20"/>
          <w:szCs w:val="20"/>
          <w:lang w:val="en-US"/>
        </w:rPr>
        <w:t xml:space="preserve"> requiring pharmacological therapy [</w:t>
      </w:r>
      <w:hyperlink r:id="rId80"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81" w:history="1">
        <w:r w:rsidRPr="00E63D4C">
          <w:rPr>
            <w:rStyle w:val="Hyperlink"/>
            <w:rFonts w:ascii="Arial" w:hAnsi="Arial" w:cs="Arial"/>
            <w:bCs/>
            <w:sz w:val="20"/>
            <w:szCs w:val="20"/>
            <w:lang w:val="en-US"/>
          </w:rPr>
          <w:t>[11]</w:t>
        </w:r>
      </w:hyperlink>
      <w:r w:rsidRPr="00E63D4C">
        <w:rPr>
          <w:rFonts w:ascii="Arial" w:hAnsi="Arial" w:cs="Arial"/>
          <w:bCs/>
          <w:color w:val="000000" w:themeColor="text1"/>
          <w:sz w:val="20"/>
          <w:szCs w:val="20"/>
          <w:lang w:val="en-US"/>
        </w:rPr>
        <w:t xml:space="preserve">. All children with severe </w:t>
      </w:r>
      <w:proofErr w:type="spellStart"/>
      <w:r w:rsidR="001950F4">
        <w:rPr>
          <w:rFonts w:ascii="Arial" w:hAnsi="Arial" w:cs="Arial"/>
          <w:bCs/>
          <w:color w:val="000000" w:themeColor="text1"/>
          <w:sz w:val="20"/>
          <w:szCs w:val="20"/>
          <w:lang w:val="en-US"/>
        </w:rPr>
        <w:t>hyperlipidaemia</w:t>
      </w:r>
      <w:proofErr w:type="spellEnd"/>
      <w:r w:rsidRPr="00E63D4C">
        <w:rPr>
          <w:rFonts w:ascii="Arial" w:hAnsi="Arial" w:cs="Arial"/>
          <w:bCs/>
          <w:color w:val="000000" w:themeColor="text1"/>
          <w:sz w:val="20"/>
          <w:szCs w:val="20"/>
          <w:lang w:val="en-US"/>
        </w:rPr>
        <w:t xml:space="preserve"> would be covered by universal cholesterol </w:t>
      </w:r>
      <w:r w:rsidRPr="00E63D4C">
        <w:rPr>
          <w:rFonts w:ascii="Arial" w:hAnsi="Arial" w:cs="Arial"/>
          <w:bCs/>
          <w:color w:val="000000" w:themeColor="text1"/>
          <w:sz w:val="20"/>
          <w:szCs w:val="20"/>
          <w:lang w:val="en-US"/>
        </w:rPr>
        <w:lastRenderedPageBreak/>
        <w:t xml:space="preserve">screening; however, there is currently no information on how cost-effective pediatric cholesterol screening methods are. Natural history study indicates that 25% of women and 50% of men with FH develop clinical CVD by the age of 50 due to elevated LDL-C levels, despite these acquisitions. A family history of CVD is recognized as a significant risk factor. However, there is no standardized method for assessing family history of CVD, which is often inaccurate and insufficient. Individual lipid screening is supported by the fact that between 25 and 55 percent of children have family history of early CVD </w:t>
      </w:r>
      <w:hyperlink r:id="rId82" w:history="1">
        <w:r w:rsidRPr="00E63D4C">
          <w:rPr>
            <w:rStyle w:val="Hyperlink"/>
            <w:rFonts w:ascii="Arial" w:hAnsi="Arial" w:cs="Arial"/>
            <w:bCs/>
            <w:sz w:val="20"/>
            <w:szCs w:val="20"/>
            <w:lang w:val="en-US"/>
          </w:rPr>
          <w:t>[28]</w:t>
        </w:r>
      </w:hyperlink>
      <w:r w:rsidRPr="00E63D4C">
        <w:rPr>
          <w:rFonts w:ascii="Arial" w:hAnsi="Arial" w:cs="Arial"/>
          <w:bCs/>
          <w:color w:val="000000" w:themeColor="text1"/>
          <w:sz w:val="20"/>
          <w:szCs w:val="20"/>
          <w:lang w:val="en-US"/>
        </w:rPr>
        <w:t xml:space="preserve">. This fact is incredibly relevant because, even though pediatric medication trials have relatively short follow-up periods, statin therapy significantly lowers LDL-C levels and delays the development of atherosclerosis and CVD in RCTs, including older children and adolescents with FH. Furthermore, since first-degree relatives of children with elevated LDL-C values also had higher LDL-C levels and a higher incidence of CV events, lipid screening ought to be expanded to the entire family. However, as stated in the same recommendations, economic evaluations play a significant role in screening decisions. To identify </w:t>
      </w:r>
      <w:proofErr w:type="spellStart"/>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s</w:t>
      </w:r>
      <w:proofErr w:type="spellEnd"/>
      <w:r w:rsidRPr="00E63D4C">
        <w:rPr>
          <w:rFonts w:ascii="Arial" w:hAnsi="Arial" w:cs="Arial"/>
          <w:bCs/>
          <w:color w:val="000000" w:themeColor="text1"/>
          <w:sz w:val="20"/>
          <w:szCs w:val="20"/>
          <w:lang w:val="en-US"/>
        </w:rPr>
        <w:t xml:space="preserve"> in kids and teens, several screening techniques have been put forth, including the universal method, population screening for a particular age group, the selective method, which evaluates a particular high-risk population, the cascade method, which screens from an index case to family members, the reverse cascade method, which evaluates from pediatric affected patients to other family members, and the child-parent method, which screens from kids at a particular age to parents</w:t>
      </w:r>
      <w:hyperlink r:id="rId83" w:history="1">
        <w:r w:rsidRPr="00E63D4C">
          <w:rPr>
            <w:rStyle w:val="Hyperlink"/>
            <w:rFonts w:ascii="Arial" w:hAnsi="Arial" w:cs="Arial"/>
            <w:bCs/>
            <w:sz w:val="20"/>
            <w:szCs w:val="20"/>
            <w:lang w:val="en-US"/>
          </w:rPr>
          <w:t>[12]</w:t>
        </w:r>
      </w:hyperlink>
      <w:hyperlink r:id="rId84" w:history="1">
        <w:r w:rsidRPr="00E63D4C">
          <w:rPr>
            <w:rStyle w:val="Hyperlink"/>
            <w:rFonts w:ascii="Arial" w:hAnsi="Arial" w:cs="Arial"/>
            <w:bCs/>
            <w:sz w:val="20"/>
            <w:szCs w:val="20"/>
            <w:lang w:val="en-US"/>
          </w:rPr>
          <w:t>[30]</w:t>
        </w:r>
      </w:hyperlink>
      <w:r w:rsidRPr="00E63D4C">
        <w:rPr>
          <w:rFonts w:ascii="Arial" w:hAnsi="Arial" w:cs="Arial"/>
          <w:bCs/>
          <w:color w:val="000000" w:themeColor="text1"/>
          <w:sz w:val="20"/>
          <w:szCs w:val="20"/>
          <w:lang w:val="en-US"/>
        </w:rPr>
        <w:t>. The strategy should be age-based if the patient has no risk factors: ----</w:t>
      </w:r>
    </w:p>
    <w:p w14:paraId="2D821AFA"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Children under 9: no screening</w:t>
      </w:r>
    </w:p>
    <w:p w14:paraId="7351BE29" w14:textId="77777777" w:rsidR="00E63D4C" w:rsidRPr="00E63D4C" w:rsidRDefault="00E63D4C" w:rsidP="00E63D4C">
      <w:pPr>
        <w:spacing w:line="360" w:lineRule="auto"/>
        <w:jc w:val="both"/>
        <w:rPr>
          <w:rFonts w:ascii="Arial" w:hAnsi="Arial" w:cs="Arial"/>
          <w:bCs/>
          <w:color w:val="000000" w:themeColor="text1"/>
          <w:sz w:val="20"/>
          <w:szCs w:val="20"/>
          <w:lang w:val="en-US"/>
        </w:rPr>
      </w:pPr>
    </w:p>
    <w:p w14:paraId="21F926D4"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Every youngster aged 9 to 11 should have their cholesterol levels evaluated once;</w:t>
      </w:r>
    </w:p>
    <w:p w14:paraId="6E535746"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Due to fluctuations in lipid levels throughout puberty, screening is not advised for children aged 12 to 16.</w:t>
      </w:r>
    </w:p>
    <w:p w14:paraId="0E48047B"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One assessment of lipid levels was conducted for individuals aged 17 to 21.</w:t>
      </w:r>
    </w:p>
    <w:p w14:paraId="7BE09375" w14:textId="1B224FF6" w:rsid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Lipid screening should be done when a kid or teenager acquires one or more risk factors, which is often after the age of two. However, depending on the patient's individual risk level, monitoring should continue until the risk factor is present, with lipid value assessments occurring every one to three years. Individualization is a key factor for correct lipid screening. Indeed, when a single mild risk factor is present, such as smoking exposure without other risk factors or mild obesity, it is permissible to start screening later and less often, while lipid tests should be performed sooner and more often for high risk children such as those with Kawasaki illness and coronary artery aneurysm</w:t>
      </w:r>
      <w:r w:rsidR="003760B1">
        <w:rPr>
          <w:rFonts w:ascii="Arial" w:hAnsi="Arial" w:cs="Arial"/>
          <w:bCs/>
          <w:color w:val="000000" w:themeColor="text1"/>
          <w:sz w:val="20"/>
          <w:szCs w:val="20"/>
          <w:lang w:val="en-US"/>
        </w:rPr>
        <w:t xml:space="preserve"> (Table 2)</w:t>
      </w:r>
      <w:r w:rsidRPr="00E63D4C">
        <w:rPr>
          <w:rFonts w:ascii="Arial" w:hAnsi="Arial" w:cs="Arial"/>
          <w:bCs/>
          <w:color w:val="000000" w:themeColor="text1"/>
          <w:sz w:val="20"/>
          <w:szCs w:val="20"/>
          <w:lang w:val="en-US"/>
        </w:rPr>
        <w:t xml:space="preserve"> [</w:t>
      </w:r>
      <w:hyperlink r:id="rId85"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86" w:history="1">
        <w:r w:rsidRPr="00E63D4C">
          <w:rPr>
            <w:rStyle w:val="Hyperlink"/>
            <w:rFonts w:ascii="Arial" w:hAnsi="Arial" w:cs="Arial"/>
            <w:bCs/>
            <w:sz w:val="20"/>
            <w:szCs w:val="20"/>
            <w:lang w:val="en-US"/>
          </w:rPr>
          <w:t>[46]</w:t>
        </w:r>
      </w:hyperlink>
      <w:r w:rsidRPr="00E63D4C">
        <w:rPr>
          <w:rFonts w:ascii="Arial" w:hAnsi="Arial" w:cs="Arial"/>
          <w:bCs/>
          <w:color w:val="000000" w:themeColor="text1"/>
          <w:sz w:val="20"/>
          <w:szCs w:val="20"/>
          <w:lang w:val="en-US"/>
        </w:rPr>
        <w:t>.</w:t>
      </w:r>
    </w:p>
    <w:p w14:paraId="2CAC500D" w14:textId="1D1BC2E7" w:rsidR="004A3090" w:rsidRPr="003760B1" w:rsidRDefault="003760B1" w:rsidP="00510DC9">
      <w:pPr>
        <w:spacing w:line="360" w:lineRule="auto"/>
        <w:jc w:val="both"/>
        <w:rPr>
          <w:rFonts w:ascii="Arial" w:hAnsi="Arial" w:cs="Arial"/>
          <w:b/>
          <w:color w:val="000000" w:themeColor="text1"/>
          <w:sz w:val="20"/>
          <w:szCs w:val="20"/>
        </w:rPr>
      </w:pPr>
      <w:r w:rsidRPr="003760B1">
        <w:rPr>
          <w:rFonts w:ascii="Arial" w:hAnsi="Arial" w:cs="Arial"/>
          <w:b/>
          <w:color w:val="000000" w:themeColor="text1"/>
          <w:sz w:val="20"/>
          <w:szCs w:val="20"/>
        </w:rPr>
        <w:t xml:space="preserve">Table 2:  </w:t>
      </w:r>
      <w:r w:rsidRPr="003760B1">
        <w:rPr>
          <w:rFonts w:ascii="Arial" w:hAnsi="Arial" w:cs="Arial"/>
          <w:b/>
          <w:color w:val="000000" w:themeColor="text1"/>
          <w:sz w:val="20"/>
          <w:szCs w:val="20"/>
          <w:lang w:val="en-US"/>
        </w:rPr>
        <w:t>Assessment of lipid levels was conducted for individuals aged</w:t>
      </w:r>
      <w:r>
        <w:rPr>
          <w:rFonts w:ascii="Arial" w:hAnsi="Arial" w:cs="Arial"/>
          <w:b/>
          <w:color w:val="000000" w:themeColor="text1"/>
          <w:sz w:val="20"/>
          <w:szCs w:val="20"/>
          <w:lang w:val="en-US"/>
        </w:rPr>
        <w:t xml:space="preserve"> 12 to 16 years</w:t>
      </w:r>
    </w:p>
    <w:tbl>
      <w:tblPr>
        <w:tblStyle w:val="TableGrid"/>
        <w:tblW w:w="0" w:type="auto"/>
        <w:tblLook w:val="04A0" w:firstRow="1" w:lastRow="0" w:firstColumn="1" w:lastColumn="0" w:noHBand="0" w:noVBand="1"/>
      </w:tblPr>
      <w:tblGrid>
        <w:gridCol w:w="1795"/>
        <w:gridCol w:w="1890"/>
        <w:gridCol w:w="5331"/>
      </w:tblGrid>
      <w:tr w:rsidR="00E63D4C" w:rsidRPr="003760B1" w14:paraId="67A29605" w14:textId="77777777" w:rsidTr="0010287B">
        <w:trPr>
          <w:trHeight w:val="611"/>
        </w:trPr>
        <w:tc>
          <w:tcPr>
            <w:tcW w:w="1795" w:type="dxa"/>
          </w:tcPr>
          <w:p w14:paraId="54FE4C80" w14:textId="77777777" w:rsidR="00E63D4C" w:rsidRPr="003760B1" w:rsidRDefault="00E63D4C" w:rsidP="00E63D4C">
            <w:pPr>
              <w:spacing w:after="200" w:line="360" w:lineRule="auto"/>
              <w:jc w:val="both"/>
              <w:rPr>
                <w:rFonts w:ascii="Arial" w:hAnsi="Arial" w:cs="Arial"/>
                <w:b/>
                <w:color w:val="000000" w:themeColor="text1"/>
                <w:sz w:val="20"/>
                <w:szCs w:val="20"/>
                <w:lang w:val="en-US"/>
              </w:rPr>
            </w:pPr>
            <w:r w:rsidRPr="003760B1">
              <w:rPr>
                <w:rFonts w:ascii="Arial" w:hAnsi="Arial" w:cs="Arial"/>
                <w:b/>
                <w:color w:val="000000" w:themeColor="text1"/>
                <w:sz w:val="20"/>
                <w:szCs w:val="20"/>
                <w:lang w:val="en-US"/>
              </w:rPr>
              <w:t xml:space="preserve">     Category</w:t>
            </w:r>
          </w:p>
        </w:tc>
        <w:tc>
          <w:tcPr>
            <w:tcW w:w="1890" w:type="dxa"/>
          </w:tcPr>
          <w:p w14:paraId="3AC99D99" w14:textId="77777777" w:rsidR="00E63D4C" w:rsidRPr="003760B1" w:rsidRDefault="00E63D4C" w:rsidP="00E63D4C">
            <w:pPr>
              <w:spacing w:after="200" w:line="360" w:lineRule="auto"/>
              <w:jc w:val="both"/>
              <w:rPr>
                <w:rFonts w:ascii="Arial" w:hAnsi="Arial" w:cs="Arial"/>
                <w:b/>
                <w:color w:val="000000" w:themeColor="text1"/>
                <w:sz w:val="20"/>
                <w:szCs w:val="20"/>
                <w:lang w:val="en-US"/>
              </w:rPr>
            </w:pPr>
            <w:r w:rsidRPr="003760B1">
              <w:rPr>
                <w:rFonts w:ascii="Arial" w:hAnsi="Arial" w:cs="Arial"/>
                <w:b/>
                <w:color w:val="000000" w:themeColor="text1"/>
                <w:sz w:val="20"/>
                <w:szCs w:val="20"/>
                <w:lang w:val="en-US"/>
              </w:rPr>
              <w:t>Cholesterol Level</w:t>
            </w:r>
          </w:p>
        </w:tc>
        <w:tc>
          <w:tcPr>
            <w:tcW w:w="5331" w:type="dxa"/>
          </w:tcPr>
          <w:p w14:paraId="63AFBAEA" w14:textId="77777777" w:rsidR="00E63D4C" w:rsidRPr="003760B1" w:rsidRDefault="00E63D4C" w:rsidP="00E63D4C">
            <w:pPr>
              <w:spacing w:after="200" w:line="360" w:lineRule="auto"/>
              <w:jc w:val="both"/>
              <w:rPr>
                <w:rFonts w:ascii="Arial" w:hAnsi="Arial" w:cs="Arial"/>
                <w:b/>
                <w:color w:val="000000" w:themeColor="text1"/>
                <w:sz w:val="20"/>
                <w:szCs w:val="20"/>
                <w:lang w:val="en-US"/>
              </w:rPr>
            </w:pPr>
            <w:r w:rsidRPr="003760B1">
              <w:rPr>
                <w:rFonts w:ascii="Arial" w:hAnsi="Arial" w:cs="Arial"/>
                <w:b/>
                <w:color w:val="000000" w:themeColor="text1"/>
                <w:sz w:val="20"/>
                <w:szCs w:val="20"/>
                <w:lang w:val="en-US"/>
              </w:rPr>
              <w:t xml:space="preserve">                                Next Steps</w:t>
            </w:r>
          </w:p>
        </w:tc>
      </w:tr>
      <w:tr w:rsidR="00E63D4C" w:rsidRPr="00E63D4C" w14:paraId="2EF236D8" w14:textId="77777777" w:rsidTr="0010287B">
        <w:trPr>
          <w:trHeight w:val="638"/>
        </w:trPr>
        <w:tc>
          <w:tcPr>
            <w:tcW w:w="1795" w:type="dxa"/>
          </w:tcPr>
          <w:p w14:paraId="6362370C"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lastRenderedPageBreak/>
              <w:t>Acceptable (Total)</w:t>
            </w:r>
          </w:p>
        </w:tc>
        <w:tc>
          <w:tcPr>
            <w:tcW w:w="1890" w:type="dxa"/>
          </w:tcPr>
          <w:p w14:paraId="49E6C384"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 170 mg/dL</w:t>
            </w:r>
          </w:p>
        </w:tc>
        <w:tc>
          <w:tcPr>
            <w:tcW w:w="5331" w:type="dxa"/>
          </w:tcPr>
          <w:p w14:paraId="34E777F8"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Repeat in 5 years; provide diet and education</w:t>
            </w:r>
          </w:p>
        </w:tc>
      </w:tr>
      <w:tr w:rsidR="00E63D4C" w:rsidRPr="00E63D4C" w14:paraId="5CF0FCF7" w14:textId="77777777" w:rsidTr="0010287B">
        <w:trPr>
          <w:trHeight w:val="602"/>
        </w:trPr>
        <w:tc>
          <w:tcPr>
            <w:tcW w:w="1795" w:type="dxa"/>
          </w:tcPr>
          <w:p w14:paraId="1D2EB677"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Borderline (Total)</w:t>
            </w:r>
          </w:p>
        </w:tc>
        <w:tc>
          <w:tcPr>
            <w:tcW w:w="1890" w:type="dxa"/>
          </w:tcPr>
          <w:p w14:paraId="241ABD56"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170–200 mg/dL</w:t>
            </w:r>
          </w:p>
        </w:tc>
        <w:tc>
          <w:tcPr>
            <w:tcW w:w="5331" w:type="dxa"/>
          </w:tcPr>
          <w:p w14:paraId="30DE585F"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Repeat and average; if &lt;170 mg/dL, follow “Acceptable” protocol; if ≥170 mg/dL, proceed to fasting lipoprotein analysis</w:t>
            </w:r>
          </w:p>
        </w:tc>
      </w:tr>
      <w:tr w:rsidR="00E63D4C" w:rsidRPr="00E63D4C" w14:paraId="64640E91" w14:textId="77777777" w:rsidTr="0010287B">
        <w:trPr>
          <w:trHeight w:val="629"/>
        </w:trPr>
        <w:tc>
          <w:tcPr>
            <w:tcW w:w="1795" w:type="dxa"/>
          </w:tcPr>
          <w:p w14:paraId="2425825F"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High (Total)</w:t>
            </w:r>
          </w:p>
        </w:tc>
        <w:tc>
          <w:tcPr>
            <w:tcW w:w="1890" w:type="dxa"/>
          </w:tcPr>
          <w:p w14:paraId="4E074CE7"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&gt; 200 mg/dL</w:t>
            </w:r>
          </w:p>
        </w:tc>
        <w:tc>
          <w:tcPr>
            <w:tcW w:w="5331" w:type="dxa"/>
          </w:tcPr>
          <w:p w14:paraId="091E2452"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Do fasting lipoprotein analysis (</w:t>
            </w:r>
            <w:proofErr w:type="spellStart"/>
            <w:r w:rsidRPr="00E63D4C">
              <w:rPr>
                <w:rFonts w:ascii="Arial" w:hAnsi="Arial" w:cs="Arial"/>
                <w:bCs/>
                <w:color w:val="000000" w:themeColor="text1"/>
                <w:sz w:val="20"/>
                <w:szCs w:val="20"/>
                <w:lang w:val="en-US"/>
              </w:rPr>
              <w:t>TChol</w:t>
            </w:r>
            <w:proofErr w:type="spellEnd"/>
            <w:r w:rsidRPr="00E63D4C">
              <w:rPr>
                <w:rFonts w:ascii="Arial" w:hAnsi="Arial" w:cs="Arial"/>
                <w:bCs/>
                <w:color w:val="000000" w:themeColor="text1"/>
                <w:sz w:val="20"/>
                <w:szCs w:val="20"/>
                <w:lang w:val="en-US"/>
              </w:rPr>
              <w:t>, LDL, HDL, TGs)</w:t>
            </w:r>
          </w:p>
        </w:tc>
      </w:tr>
      <w:tr w:rsidR="00E63D4C" w:rsidRPr="00E63D4C" w14:paraId="14DD59CE" w14:textId="77777777" w:rsidTr="0010287B">
        <w:trPr>
          <w:trHeight w:val="701"/>
        </w:trPr>
        <w:tc>
          <w:tcPr>
            <w:tcW w:w="1795" w:type="dxa"/>
          </w:tcPr>
          <w:p w14:paraId="6D8FB407"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Acceptable (LDL)</w:t>
            </w:r>
          </w:p>
        </w:tc>
        <w:tc>
          <w:tcPr>
            <w:tcW w:w="1890" w:type="dxa"/>
          </w:tcPr>
          <w:p w14:paraId="3CFA6B33"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 110 mg/dL</w:t>
            </w:r>
          </w:p>
        </w:tc>
        <w:tc>
          <w:tcPr>
            <w:tcW w:w="5331" w:type="dxa"/>
          </w:tcPr>
          <w:p w14:paraId="6DEF6AB3"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Repeat lipoprotein analysis within 5 years; provide education on eating patterns and risk factors</w:t>
            </w:r>
          </w:p>
        </w:tc>
      </w:tr>
      <w:tr w:rsidR="00E63D4C" w:rsidRPr="00E63D4C" w14:paraId="1784F261" w14:textId="77777777" w:rsidTr="0010287B">
        <w:trPr>
          <w:trHeight w:val="620"/>
        </w:trPr>
        <w:tc>
          <w:tcPr>
            <w:tcW w:w="1795" w:type="dxa"/>
          </w:tcPr>
          <w:p w14:paraId="0ACAE238"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Borderline (LDL)</w:t>
            </w:r>
          </w:p>
        </w:tc>
        <w:tc>
          <w:tcPr>
            <w:tcW w:w="1890" w:type="dxa"/>
          </w:tcPr>
          <w:p w14:paraId="24554288"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110–130 mg/dL</w:t>
            </w:r>
          </w:p>
        </w:tc>
        <w:tc>
          <w:tcPr>
            <w:tcW w:w="5331" w:type="dxa"/>
          </w:tcPr>
          <w:p w14:paraId="75E61A1E"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Risk factor advice; provide Step-One Diet and other interventions; re-evaluate in 1 year</w:t>
            </w:r>
          </w:p>
        </w:tc>
      </w:tr>
      <w:tr w:rsidR="00E63D4C" w:rsidRPr="00E63D4C" w14:paraId="61CCE832" w14:textId="77777777" w:rsidTr="0010287B">
        <w:trPr>
          <w:trHeight w:val="620"/>
        </w:trPr>
        <w:tc>
          <w:tcPr>
            <w:tcW w:w="1795" w:type="dxa"/>
          </w:tcPr>
          <w:p w14:paraId="625321EB"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High (LDL)</w:t>
            </w:r>
          </w:p>
        </w:tc>
        <w:tc>
          <w:tcPr>
            <w:tcW w:w="1890" w:type="dxa"/>
          </w:tcPr>
          <w:p w14:paraId="2A49146E"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130 mg/dL</w:t>
            </w:r>
          </w:p>
        </w:tc>
        <w:tc>
          <w:tcPr>
            <w:tcW w:w="5331" w:type="dxa"/>
          </w:tcPr>
          <w:p w14:paraId="50A1948E"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Clinical evaluation (history, exam, labs); evaluate for secondary/familial causes; intensive intervention; set LDL goals; Step-One then Step-Two Diet</w:t>
            </w:r>
          </w:p>
        </w:tc>
      </w:tr>
    </w:tbl>
    <w:p w14:paraId="17BF7B94" w14:textId="77777777" w:rsidR="00F4216C" w:rsidRPr="001019C9" w:rsidRDefault="00F4216C" w:rsidP="00510DC9">
      <w:pPr>
        <w:spacing w:line="360" w:lineRule="auto"/>
        <w:jc w:val="both"/>
        <w:rPr>
          <w:rFonts w:ascii="Arial" w:hAnsi="Arial" w:cs="Arial"/>
          <w:bCs/>
          <w:color w:val="000000" w:themeColor="text1"/>
          <w:sz w:val="24"/>
          <w:szCs w:val="24"/>
        </w:rPr>
      </w:pPr>
    </w:p>
    <w:p w14:paraId="41F748A7" w14:textId="77777777" w:rsidR="00B26D08" w:rsidRDefault="00B26D08" w:rsidP="00B26D08">
      <w:pPr>
        <w:spacing w:line="360" w:lineRule="auto"/>
        <w:jc w:val="both"/>
        <w:rPr>
          <w:rFonts w:ascii="Arial" w:hAnsi="Arial" w:cs="Arial"/>
          <w:bCs/>
          <w:color w:val="000000" w:themeColor="text1"/>
          <w:sz w:val="20"/>
          <w:szCs w:val="20"/>
          <w:lang w:val="en-US"/>
        </w:rPr>
      </w:pPr>
      <w:r w:rsidRPr="00B26D08">
        <w:rPr>
          <w:rFonts w:ascii="Arial" w:hAnsi="Arial" w:cs="Arial"/>
          <w:bCs/>
          <w:color w:val="000000" w:themeColor="text1"/>
          <w:sz w:val="20"/>
          <w:szCs w:val="20"/>
          <w:lang w:val="en-US"/>
        </w:rPr>
        <w:t xml:space="preserve">method for screening and management developed by the NCEP Expert Panel. NCEP stands for National Cholesterol Education Program; HDL stands for high density lipoprotein; LDL stands for low density lipoprotein; TG stands for triglycerides; </w:t>
      </w:r>
      <w:proofErr w:type="spellStart"/>
      <w:r w:rsidRPr="00B26D08">
        <w:rPr>
          <w:rFonts w:ascii="Arial" w:hAnsi="Arial" w:cs="Arial"/>
          <w:bCs/>
          <w:color w:val="000000" w:themeColor="text1"/>
          <w:sz w:val="20"/>
          <w:szCs w:val="20"/>
          <w:lang w:val="en-US"/>
        </w:rPr>
        <w:t>TChol</w:t>
      </w:r>
      <w:proofErr w:type="spellEnd"/>
      <w:r w:rsidRPr="00B26D08">
        <w:rPr>
          <w:rFonts w:ascii="Arial" w:hAnsi="Arial" w:cs="Arial"/>
          <w:bCs/>
          <w:color w:val="000000" w:themeColor="text1"/>
          <w:sz w:val="20"/>
          <w:szCs w:val="20"/>
          <w:lang w:val="en-US"/>
        </w:rPr>
        <w:t xml:space="preserve"> for total cholesterol.</w:t>
      </w:r>
    </w:p>
    <w:p w14:paraId="40B352BE" w14:textId="77777777" w:rsidR="003760B1" w:rsidRPr="00B26D08" w:rsidRDefault="003760B1" w:rsidP="00B26D08">
      <w:pPr>
        <w:spacing w:line="360" w:lineRule="auto"/>
        <w:jc w:val="both"/>
        <w:rPr>
          <w:rFonts w:ascii="Arial" w:hAnsi="Arial" w:cs="Arial"/>
          <w:bCs/>
          <w:color w:val="000000" w:themeColor="text1"/>
          <w:sz w:val="20"/>
          <w:szCs w:val="20"/>
          <w:lang w:val="en-US"/>
        </w:rPr>
      </w:pPr>
    </w:p>
    <w:p w14:paraId="7370EB29" w14:textId="73EC3D62"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 xml:space="preserve">8. TREATMENT OF </w:t>
      </w:r>
      <w:r w:rsidR="001950F4">
        <w:rPr>
          <w:rFonts w:ascii="Arial" w:hAnsi="Arial" w:cs="Arial"/>
          <w:b/>
          <w:bCs/>
          <w:color w:val="000000" w:themeColor="text1"/>
          <w:lang w:val="en-US"/>
        </w:rPr>
        <w:t>HYPERLIPIDAEMIA</w:t>
      </w:r>
    </w:p>
    <w:p w14:paraId="571DBF66" w14:textId="2B49BB8D" w:rsid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 xml:space="preserve">Every kid and adolescent should adopt healthy habits, but those with </w:t>
      </w:r>
      <w:proofErr w:type="spellStart"/>
      <w:r w:rsidR="001950F4">
        <w:rPr>
          <w:rFonts w:ascii="Arial" w:hAnsi="Arial" w:cs="Arial"/>
          <w:color w:val="000000" w:themeColor="text1"/>
          <w:sz w:val="20"/>
          <w:szCs w:val="20"/>
          <w:lang w:val="en-US"/>
        </w:rPr>
        <w:t>hyperlipidaemia</w:t>
      </w:r>
      <w:proofErr w:type="spellEnd"/>
      <w:r w:rsidRPr="00B26D08">
        <w:rPr>
          <w:rFonts w:ascii="Arial" w:hAnsi="Arial" w:cs="Arial"/>
          <w:color w:val="000000" w:themeColor="text1"/>
          <w:sz w:val="20"/>
          <w:szCs w:val="20"/>
          <w:lang w:val="en-US"/>
        </w:rPr>
        <w:t xml:space="preserve"> in particular should. Although there are a number of published recommendations and guidelines for treating lipid abnormalities in children, most patients and physicians are not sufficiently aware of them. According to current guidelines, the main treatment for children </w:t>
      </w:r>
      <w:proofErr w:type="spellStart"/>
      <w:r w:rsidR="001950F4">
        <w:rPr>
          <w:rFonts w:ascii="Arial" w:hAnsi="Arial" w:cs="Arial"/>
          <w:color w:val="000000" w:themeColor="text1"/>
          <w:sz w:val="20"/>
          <w:szCs w:val="20"/>
          <w:lang w:val="en-US"/>
        </w:rPr>
        <w:t>hyperlipidaemia</w:t>
      </w:r>
      <w:proofErr w:type="spellEnd"/>
      <w:r w:rsidRPr="00B26D08">
        <w:rPr>
          <w:rFonts w:ascii="Arial" w:hAnsi="Arial" w:cs="Arial"/>
          <w:color w:val="000000" w:themeColor="text1"/>
          <w:sz w:val="20"/>
          <w:szCs w:val="20"/>
          <w:lang w:val="en-US"/>
        </w:rPr>
        <w:t xml:space="preserve"> is a healthy lifestyle, in which parents are extremely important. In fact, parents play with their kids to help them develop the necessary skills in addition to providing a movement example. In particular, dietary changes, consistent exercise, weight loss, and quitting smoking in late adolescence should all be part of therapeutic lifestyle modifications. Therapeutic options for children with </w:t>
      </w:r>
      <w:proofErr w:type="spellStart"/>
      <w:r w:rsidR="001950F4">
        <w:rPr>
          <w:rFonts w:ascii="Arial" w:hAnsi="Arial" w:cs="Arial"/>
          <w:color w:val="000000" w:themeColor="text1"/>
          <w:sz w:val="20"/>
          <w:szCs w:val="20"/>
          <w:lang w:val="en-US"/>
        </w:rPr>
        <w:t>hyperlipidaemia</w:t>
      </w:r>
      <w:proofErr w:type="spellEnd"/>
      <w:r w:rsidRPr="00B26D08">
        <w:rPr>
          <w:rFonts w:ascii="Arial" w:hAnsi="Arial" w:cs="Arial"/>
          <w:color w:val="000000" w:themeColor="text1"/>
          <w:sz w:val="20"/>
          <w:szCs w:val="20"/>
          <w:lang w:val="en-US"/>
        </w:rPr>
        <w:t xml:space="preserve"> have significantly increased since 2011, even if the food and lifestyle recommendations evaluated in the NHLBI guidelines issued in 2011 are generally still regarded as relevant and effective </w:t>
      </w:r>
      <w:hyperlink r:id="rId87" w:history="1">
        <w:r w:rsidRPr="00B26D08">
          <w:rPr>
            <w:rStyle w:val="Hyperlink"/>
            <w:rFonts w:ascii="Arial" w:hAnsi="Arial" w:cs="Arial"/>
            <w:sz w:val="20"/>
            <w:szCs w:val="20"/>
            <w:lang w:val="en-US"/>
          </w:rPr>
          <w:t>[46]</w:t>
        </w:r>
      </w:hyperlink>
      <w:hyperlink r:id="rId88" w:history="1">
        <w:r w:rsidRPr="00B26D08">
          <w:rPr>
            <w:rStyle w:val="Hyperlink"/>
            <w:rFonts w:ascii="Arial" w:hAnsi="Arial" w:cs="Arial"/>
            <w:sz w:val="20"/>
            <w:szCs w:val="20"/>
            <w:lang w:val="en-US"/>
          </w:rPr>
          <w:t>[49]</w:t>
        </w:r>
      </w:hyperlink>
      <w:r w:rsidRPr="00B26D08">
        <w:rPr>
          <w:rFonts w:ascii="Arial" w:hAnsi="Arial" w:cs="Arial"/>
          <w:color w:val="000000" w:themeColor="text1"/>
          <w:sz w:val="20"/>
          <w:szCs w:val="20"/>
          <w:lang w:val="en-US"/>
        </w:rPr>
        <w:t>.</w:t>
      </w:r>
    </w:p>
    <w:p w14:paraId="32CCEFC0" w14:textId="77777777" w:rsidR="003760B1" w:rsidRPr="00B26D08" w:rsidRDefault="003760B1" w:rsidP="00B26D08">
      <w:pPr>
        <w:spacing w:line="360" w:lineRule="auto"/>
        <w:jc w:val="both"/>
        <w:rPr>
          <w:rFonts w:ascii="Arial" w:hAnsi="Arial" w:cs="Arial"/>
          <w:color w:val="000000" w:themeColor="text1"/>
          <w:sz w:val="20"/>
          <w:szCs w:val="20"/>
          <w:lang w:val="en-US"/>
        </w:rPr>
      </w:pPr>
    </w:p>
    <w:p w14:paraId="681475A3" w14:textId="77777777"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8.1 PHYSICAL ACTIVITY</w:t>
      </w:r>
      <w:r>
        <w:rPr>
          <w:rFonts w:ascii="Arial" w:hAnsi="Arial" w:cs="Arial"/>
          <w:b/>
          <w:bCs/>
          <w:color w:val="000000" w:themeColor="text1"/>
          <w:lang w:val="en-US"/>
        </w:rPr>
        <w:t xml:space="preserve"> </w:t>
      </w:r>
    </w:p>
    <w:p w14:paraId="5ED29D1B" w14:textId="77777777" w:rsidR="00B26D08" w:rsidRP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b/>
          <w:bCs/>
          <w:color w:val="000000" w:themeColor="text1"/>
          <w:lang w:val="en-US"/>
        </w:rPr>
        <w:t xml:space="preserve"> </w:t>
      </w:r>
      <w:r w:rsidRPr="00B26D08">
        <w:rPr>
          <w:rFonts w:ascii="Arial" w:hAnsi="Arial" w:cs="Arial"/>
          <w:color w:val="000000" w:themeColor="text1"/>
          <w:sz w:val="20"/>
          <w:szCs w:val="20"/>
          <w:lang w:val="en-US"/>
        </w:rPr>
        <w:t>Sedentary lifestyles raise blood lipid levels, according to recent research.</w:t>
      </w:r>
    </w:p>
    <w:p w14:paraId="50E1FEC2" w14:textId="6FF2F822" w:rsid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lastRenderedPageBreak/>
        <w:t>In fact, watching too much television is linked to higher TG and lower HDL-C, most likely as a result of lower energy use. But among the many known benefits of exercise are improved cardiovascular, mental, behavioral, and musculoskeletal health. In particular, exercise improves blood pressure, lipid profiles, insulin sensitivity, serum glucose levels, and cardiorespiratory fitness. Additionally, exercise increases bone density and balance, which shields adults and children against harm and falls [</w:t>
      </w:r>
      <w:hyperlink r:id="rId89" w:history="1">
        <w:r w:rsidRPr="00B26D08">
          <w:rPr>
            <w:rStyle w:val="Hyperlink"/>
            <w:rFonts w:ascii="Arial" w:hAnsi="Arial" w:cs="Arial"/>
            <w:sz w:val="20"/>
            <w:szCs w:val="20"/>
            <w:lang w:val="en-US"/>
          </w:rPr>
          <w:t>2</w:t>
        </w:r>
      </w:hyperlink>
      <w:r w:rsidRPr="00B26D08">
        <w:rPr>
          <w:rFonts w:ascii="Arial" w:hAnsi="Arial" w:cs="Arial"/>
          <w:color w:val="000000" w:themeColor="text1"/>
          <w:sz w:val="20"/>
          <w:szCs w:val="20"/>
          <w:lang w:val="en-US"/>
        </w:rPr>
        <w:t>]</w:t>
      </w:r>
      <w:hyperlink r:id="rId90" w:history="1">
        <w:r w:rsidRPr="00B26D08">
          <w:rPr>
            <w:rStyle w:val="Hyperlink"/>
            <w:rFonts w:ascii="Arial" w:hAnsi="Arial" w:cs="Arial"/>
            <w:sz w:val="20"/>
            <w:szCs w:val="20"/>
            <w:lang w:val="en-US"/>
          </w:rPr>
          <w:t>[48]</w:t>
        </w:r>
      </w:hyperlink>
      <w:r w:rsidRPr="00B26D08">
        <w:rPr>
          <w:rFonts w:ascii="Arial" w:hAnsi="Arial" w:cs="Arial"/>
          <w:color w:val="000000" w:themeColor="text1"/>
          <w:sz w:val="20"/>
          <w:szCs w:val="20"/>
          <w:lang w:val="en-US"/>
        </w:rPr>
        <w:t xml:space="preserve">. Both healthy individuals and children with </w:t>
      </w:r>
      <w:proofErr w:type="spellStart"/>
      <w:r w:rsidR="001950F4">
        <w:rPr>
          <w:rFonts w:ascii="Arial" w:hAnsi="Arial" w:cs="Arial"/>
          <w:color w:val="000000" w:themeColor="text1"/>
          <w:sz w:val="20"/>
          <w:szCs w:val="20"/>
          <w:lang w:val="en-US"/>
        </w:rPr>
        <w:t>hyperlipidaemia</w:t>
      </w:r>
      <w:proofErr w:type="spellEnd"/>
      <w:r w:rsidRPr="00B26D08">
        <w:rPr>
          <w:rFonts w:ascii="Arial" w:hAnsi="Arial" w:cs="Arial"/>
          <w:color w:val="000000" w:themeColor="text1"/>
          <w:sz w:val="20"/>
          <w:szCs w:val="20"/>
          <w:lang w:val="en-US"/>
        </w:rPr>
        <w:t xml:space="preserve"> or obesity should engage in regular physical activity to raise HDL-C, lower TC, TG, and LDL-C, and—above all—reduce body fat and improve BMI. Recent research has shown a dose-response relationship between increased physical activity duration and improved lipid concentrations (HDL-C and TG values), emphasizing once more the need for all patients aged 6 to 17 to engage in at least 60 minutes of moderate-to-intense physical activity daily and at least three days of bone- and muscle-strengthening activities. In the meanwhile, preschool-aged children between the ages of three and five should engage in physical play at various points during the day, per the 2018 Physical Activity Guidelines Advisory Committee. However, by assessing and documenting gross motor skills and physical activity during checkups, talking about the benefits of exercise for growth and development, and encouraging physical activity for all kids through health care, insurance, schools, and community organizations, pediatricians can advance toward recommended guidelines and encourage physical literacy and exercise in kids </w:t>
      </w:r>
      <w:hyperlink r:id="rId91" w:history="1">
        <w:r w:rsidRPr="00B26D08">
          <w:rPr>
            <w:rStyle w:val="Hyperlink"/>
            <w:rFonts w:ascii="Arial" w:hAnsi="Arial" w:cs="Arial"/>
            <w:sz w:val="20"/>
            <w:szCs w:val="20"/>
            <w:lang w:val="en-US"/>
          </w:rPr>
          <w:t>[26]</w:t>
        </w:r>
      </w:hyperlink>
      <w:hyperlink r:id="rId92" w:history="1">
        <w:r w:rsidRPr="00B26D08">
          <w:rPr>
            <w:rStyle w:val="Hyperlink"/>
            <w:rFonts w:ascii="Arial" w:hAnsi="Arial" w:cs="Arial"/>
            <w:sz w:val="20"/>
            <w:szCs w:val="20"/>
            <w:lang w:val="en-US"/>
          </w:rPr>
          <w:t>[29]</w:t>
        </w:r>
      </w:hyperlink>
      <w:r w:rsidRPr="00B26D08">
        <w:rPr>
          <w:rFonts w:ascii="Arial" w:hAnsi="Arial" w:cs="Arial"/>
          <w:color w:val="000000" w:themeColor="text1"/>
          <w:sz w:val="20"/>
          <w:szCs w:val="20"/>
          <w:lang w:val="en-US"/>
        </w:rPr>
        <w:t>. However, up to 80% of American adults and adolescents are deemed to be insufficiently active, and there is still more work to be done to raise public awareness and ensure that rules are followed. Parents should also encourage their kids to get enough sleep and to spend no more than two hours a day using screens like computers and cell phones. Shorter sleep durations are linked to a higher risk of overweight and obesity in children under the age of 18, according to recent meta-analyses. The American Academy of Sleep Medicine's most recent Consensus Statement states that in order to maintain good health, babies ages 4 to 12 months should sleep 12 to 16 hours every 24 hours, and toddlers ages 1 to 2 years should sleep 11 to 14 hours daily.</w:t>
      </w:r>
      <w:hyperlink r:id="rId93" w:history="1">
        <w:r w:rsidRPr="00B26D08">
          <w:rPr>
            <w:rStyle w:val="Hyperlink"/>
            <w:rFonts w:ascii="Arial" w:hAnsi="Arial" w:cs="Arial"/>
            <w:sz w:val="20"/>
            <w:szCs w:val="20"/>
            <w:lang w:val="en-US"/>
          </w:rPr>
          <w:t>[13]</w:t>
        </w:r>
      </w:hyperlink>
      <w:hyperlink r:id="rId94" w:history="1">
        <w:r w:rsidRPr="00B26D08">
          <w:rPr>
            <w:rStyle w:val="Hyperlink"/>
            <w:rFonts w:ascii="Arial" w:hAnsi="Arial" w:cs="Arial"/>
            <w:sz w:val="20"/>
            <w:szCs w:val="20"/>
            <w:lang w:val="en-US"/>
          </w:rPr>
          <w:t>[41]</w:t>
        </w:r>
      </w:hyperlink>
      <w:r>
        <w:rPr>
          <w:rFonts w:ascii="Arial" w:hAnsi="Arial" w:cs="Arial"/>
          <w:color w:val="000000" w:themeColor="text1"/>
          <w:sz w:val="20"/>
          <w:szCs w:val="20"/>
          <w:lang w:val="en-US"/>
        </w:rPr>
        <w:t>.</w:t>
      </w:r>
    </w:p>
    <w:p w14:paraId="6FDFFF97" w14:textId="77777777" w:rsidR="003760B1" w:rsidRDefault="003760B1" w:rsidP="00B26D08">
      <w:pPr>
        <w:spacing w:line="360" w:lineRule="auto"/>
        <w:jc w:val="both"/>
        <w:rPr>
          <w:rFonts w:ascii="Arial" w:hAnsi="Arial" w:cs="Arial"/>
          <w:color w:val="000000" w:themeColor="text1"/>
          <w:sz w:val="20"/>
          <w:szCs w:val="20"/>
          <w:lang w:val="en-US"/>
        </w:rPr>
      </w:pPr>
    </w:p>
    <w:p w14:paraId="1C8BACBA" w14:textId="555E47B6"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8.2 DIETARY THERAPY</w:t>
      </w:r>
    </w:p>
    <w:p w14:paraId="4BDA6059" w14:textId="4001AA77" w:rsid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Lipid-lowering dietary therapy has been promoted as the cornerstone of management due to its assumed safety</w:t>
      </w:r>
      <w:r w:rsidR="003760B1">
        <w:rPr>
          <w:rFonts w:ascii="Arial" w:hAnsi="Arial" w:cs="Arial"/>
          <w:color w:val="000000" w:themeColor="text1"/>
          <w:sz w:val="20"/>
          <w:szCs w:val="20"/>
          <w:lang w:val="en-US"/>
        </w:rPr>
        <w:t xml:space="preserve"> (Table 3)</w:t>
      </w:r>
      <w:r w:rsidRPr="00B26D08">
        <w:rPr>
          <w:rFonts w:ascii="Arial" w:hAnsi="Arial" w:cs="Arial"/>
          <w:color w:val="000000" w:themeColor="text1"/>
          <w:sz w:val="20"/>
          <w:szCs w:val="20"/>
          <w:lang w:val="en-US"/>
        </w:rPr>
        <w:t>. Although many dietary supplements have also been promoted in various ways, the emphasis has been on a diet low in fat and cholesterol. A comprehensive multi-institution, randomized clinical trial examined the safety of the diet low in fat and cholesterol. 663 kids with mild to moderate hypercholesterolemia who didn't fit the requirements for medication lipid-lowering therapy were enrolled in this experiment. They were randomly assigned to either the usual care group or an intervention that involved extensive nutrition education with the goal of lowering the daily consumption of cholesterol to fewer than 150 mg, saturated fat to less than 8%, and total fat to less than 28% of calorie intake</w:t>
      </w:r>
      <w:hyperlink r:id="rId95" w:history="1">
        <w:r w:rsidRPr="00B26D08">
          <w:rPr>
            <w:rStyle w:val="Hyperlink"/>
            <w:rFonts w:ascii="Arial" w:hAnsi="Arial" w:cs="Arial"/>
            <w:sz w:val="20"/>
            <w:szCs w:val="20"/>
            <w:lang w:val="en-US"/>
          </w:rPr>
          <w:t>[14]</w:t>
        </w:r>
      </w:hyperlink>
      <w:hyperlink r:id="rId96" w:history="1">
        <w:r w:rsidRPr="00B26D08">
          <w:rPr>
            <w:rStyle w:val="Hyperlink"/>
            <w:rFonts w:ascii="Arial" w:hAnsi="Arial" w:cs="Arial"/>
            <w:sz w:val="20"/>
            <w:szCs w:val="20"/>
            <w:lang w:val="en-US"/>
          </w:rPr>
          <w:t>[47]</w:t>
        </w:r>
      </w:hyperlink>
      <w:r w:rsidRPr="00B26D08">
        <w:rPr>
          <w:rFonts w:ascii="Arial" w:hAnsi="Arial" w:cs="Arial"/>
          <w:color w:val="000000" w:themeColor="text1"/>
          <w:sz w:val="20"/>
          <w:szCs w:val="20"/>
          <w:lang w:val="en-US"/>
        </w:rPr>
        <w:t xml:space="preserve">. The LDL level decreased from 131 to 119 mg/dL in the usual care group and from 131 to 115 mg/dL in the diet intervention group over the course of a year. An additional trial demonstrated that the intervention was maintained for up to seven years of follow-up.  Psychologic </w:t>
      </w:r>
      <w:r w:rsidRPr="00B26D08">
        <w:rPr>
          <w:rFonts w:ascii="Arial" w:hAnsi="Arial" w:cs="Arial"/>
          <w:color w:val="000000" w:themeColor="text1"/>
          <w:sz w:val="20"/>
          <w:szCs w:val="20"/>
          <w:lang w:val="en-US"/>
        </w:rPr>
        <w:lastRenderedPageBreak/>
        <w:t>examination, growth and sexual development, and any nutritional safety measures did not reveal any abnormalities. In addition, 1062 infants aged 7 months were randomly assigned to either a control diet or a dietary intervention that intended to reduce the daily intake of cholesterol and the dietary fat composition ratio to less than 200 mg. At age five, males had lower LDL levels (15 mg/dL) than controls, whereas females had lower levels (6 mg/dL) [</w:t>
      </w:r>
      <w:hyperlink r:id="rId97" w:history="1">
        <w:r w:rsidRPr="00B26D08">
          <w:rPr>
            <w:rStyle w:val="Hyperlink"/>
            <w:rFonts w:ascii="Arial" w:hAnsi="Arial" w:cs="Arial"/>
            <w:sz w:val="20"/>
            <w:szCs w:val="20"/>
            <w:lang w:val="en-US"/>
          </w:rPr>
          <w:t>7</w:t>
        </w:r>
      </w:hyperlink>
      <w:r w:rsidRPr="00B26D08">
        <w:rPr>
          <w:rFonts w:ascii="Arial" w:hAnsi="Arial" w:cs="Arial"/>
          <w:color w:val="000000" w:themeColor="text1"/>
          <w:sz w:val="20"/>
          <w:szCs w:val="20"/>
          <w:lang w:val="en-US"/>
        </w:rPr>
        <w:t>]</w:t>
      </w:r>
      <w:hyperlink r:id="rId98" w:history="1">
        <w:r w:rsidRPr="00B26D08">
          <w:rPr>
            <w:rStyle w:val="Hyperlink"/>
            <w:rFonts w:ascii="Arial" w:hAnsi="Arial" w:cs="Arial"/>
            <w:sz w:val="20"/>
            <w:szCs w:val="20"/>
            <w:lang w:val="en-US"/>
          </w:rPr>
          <w:t>[14]</w:t>
        </w:r>
      </w:hyperlink>
      <w:r w:rsidRPr="00B26D08">
        <w:rPr>
          <w:rFonts w:ascii="Arial" w:hAnsi="Arial" w:cs="Arial"/>
          <w:color w:val="000000" w:themeColor="text1"/>
          <w:sz w:val="20"/>
          <w:szCs w:val="20"/>
          <w:lang w:val="en-US"/>
        </w:rPr>
        <w:t>.</w:t>
      </w:r>
    </w:p>
    <w:p w14:paraId="5BF61775" w14:textId="77777777" w:rsidR="004A3090" w:rsidRDefault="004A3090" w:rsidP="00B26D08">
      <w:pPr>
        <w:spacing w:line="360" w:lineRule="auto"/>
        <w:jc w:val="both"/>
        <w:rPr>
          <w:rFonts w:ascii="Arial" w:hAnsi="Arial" w:cs="Arial"/>
          <w:b/>
          <w:bCs/>
          <w:color w:val="000000" w:themeColor="text1"/>
          <w:sz w:val="20"/>
          <w:szCs w:val="20"/>
          <w:lang w:val="en-US"/>
        </w:rPr>
      </w:pPr>
    </w:p>
    <w:p w14:paraId="5373541D" w14:textId="43DAF9F8" w:rsidR="00B26D08" w:rsidRPr="00B26D08" w:rsidRDefault="003760B1" w:rsidP="00B26D08">
      <w:pPr>
        <w:spacing w:line="360" w:lineRule="auto"/>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Table 3: </w:t>
      </w:r>
      <w:r w:rsidR="00B26D08" w:rsidRPr="00B26D08">
        <w:rPr>
          <w:rFonts w:ascii="Arial" w:hAnsi="Arial" w:cs="Arial"/>
          <w:b/>
          <w:bCs/>
          <w:color w:val="000000" w:themeColor="text1"/>
          <w:sz w:val="20"/>
          <w:szCs w:val="20"/>
          <w:lang w:val="en-US"/>
        </w:rPr>
        <w:t xml:space="preserve"> Dietary Therapy</w:t>
      </w:r>
    </w:p>
    <w:tbl>
      <w:tblPr>
        <w:tblStyle w:val="TableGrid1"/>
        <w:tblW w:w="0" w:type="auto"/>
        <w:tblLook w:val="04A0" w:firstRow="1" w:lastRow="0" w:firstColumn="1" w:lastColumn="0" w:noHBand="0" w:noVBand="1"/>
      </w:tblPr>
      <w:tblGrid>
        <w:gridCol w:w="4320"/>
        <w:gridCol w:w="4320"/>
      </w:tblGrid>
      <w:tr w:rsidR="00B26D08" w:rsidRPr="003760B1" w14:paraId="05B11F9D" w14:textId="77777777" w:rsidTr="0010287B">
        <w:tc>
          <w:tcPr>
            <w:tcW w:w="4320" w:type="dxa"/>
          </w:tcPr>
          <w:p w14:paraId="532C05B9" w14:textId="77777777" w:rsidR="00B26D08" w:rsidRPr="003760B1" w:rsidRDefault="00B26D08" w:rsidP="0010287B">
            <w:pPr>
              <w:jc w:val="both"/>
              <w:rPr>
                <w:rFonts w:ascii="Arial" w:hAnsi="Arial" w:cs="Arial"/>
                <w:b/>
                <w:bCs/>
                <w:sz w:val="20"/>
                <w:szCs w:val="20"/>
              </w:rPr>
            </w:pPr>
            <w:r w:rsidRPr="003760B1">
              <w:rPr>
                <w:rFonts w:ascii="Arial" w:hAnsi="Arial" w:cs="Arial"/>
                <w:b/>
                <w:bCs/>
                <w:sz w:val="20"/>
                <w:szCs w:val="20"/>
              </w:rPr>
              <w:t>Condition</w:t>
            </w:r>
          </w:p>
        </w:tc>
        <w:tc>
          <w:tcPr>
            <w:tcW w:w="4320" w:type="dxa"/>
          </w:tcPr>
          <w:p w14:paraId="5AE45C2D" w14:textId="77777777" w:rsidR="00B26D08" w:rsidRPr="003760B1" w:rsidRDefault="00B26D08" w:rsidP="0010287B">
            <w:pPr>
              <w:jc w:val="both"/>
              <w:rPr>
                <w:rFonts w:ascii="Arial" w:hAnsi="Arial" w:cs="Arial"/>
                <w:b/>
                <w:bCs/>
                <w:sz w:val="20"/>
                <w:szCs w:val="20"/>
              </w:rPr>
            </w:pPr>
            <w:r w:rsidRPr="003760B1">
              <w:rPr>
                <w:rFonts w:ascii="Arial" w:hAnsi="Arial" w:cs="Arial"/>
                <w:b/>
                <w:bCs/>
                <w:sz w:val="20"/>
                <w:szCs w:val="20"/>
              </w:rPr>
              <w:t>Recommendations</w:t>
            </w:r>
          </w:p>
        </w:tc>
      </w:tr>
      <w:tr w:rsidR="00B26D08" w:rsidRPr="00B26D08" w14:paraId="28927AD4" w14:textId="77777777" w:rsidTr="0010287B">
        <w:tc>
          <w:tcPr>
            <w:tcW w:w="4320" w:type="dxa"/>
          </w:tcPr>
          <w:p w14:paraId="771687C6" w14:textId="77777777" w:rsidR="00B26D08" w:rsidRPr="00B26D08" w:rsidRDefault="00B26D08" w:rsidP="0010287B">
            <w:pPr>
              <w:jc w:val="both"/>
              <w:rPr>
                <w:rFonts w:ascii="Arial" w:hAnsi="Arial" w:cs="Arial"/>
                <w:sz w:val="20"/>
                <w:szCs w:val="20"/>
              </w:rPr>
            </w:pPr>
            <w:r w:rsidRPr="00B26D08">
              <w:rPr>
                <w:rFonts w:ascii="Arial" w:hAnsi="Arial" w:cs="Arial"/>
                <w:sz w:val="20"/>
                <w:szCs w:val="20"/>
              </w:rPr>
              <w:t>Elevated LDL-cholesterol</w:t>
            </w:r>
          </w:p>
        </w:tc>
        <w:tc>
          <w:tcPr>
            <w:tcW w:w="4320" w:type="dxa"/>
          </w:tcPr>
          <w:p w14:paraId="3663AA8C" w14:textId="77777777" w:rsidR="00B26D08" w:rsidRPr="00B26D08" w:rsidRDefault="00B26D08" w:rsidP="0010287B">
            <w:pPr>
              <w:jc w:val="both"/>
              <w:rPr>
                <w:rFonts w:ascii="Arial" w:hAnsi="Arial" w:cs="Arial"/>
                <w:sz w:val="20"/>
                <w:szCs w:val="20"/>
              </w:rPr>
            </w:pPr>
            <w:r w:rsidRPr="00B26D08">
              <w:rPr>
                <w:rFonts w:ascii="Arial" w:hAnsi="Arial" w:cs="Arial"/>
                <w:sz w:val="20"/>
                <w:szCs w:val="20"/>
              </w:rPr>
              <w:t>• Reduce food consumption with high saturated fat (meats, poultry and organ meats)</w:t>
            </w:r>
            <w:r w:rsidRPr="00B26D08">
              <w:rPr>
                <w:rFonts w:ascii="Arial" w:hAnsi="Arial" w:cs="Arial"/>
                <w:sz w:val="20"/>
                <w:szCs w:val="20"/>
              </w:rPr>
              <w:br/>
              <w:t>• Limit fried foods and products with hydrogenated fat consumption</w:t>
            </w:r>
            <w:r w:rsidRPr="00B26D08">
              <w:rPr>
                <w:rFonts w:ascii="Arial" w:hAnsi="Arial" w:cs="Arial"/>
                <w:sz w:val="20"/>
                <w:szCs w:val="20"/>
              </w:rPr>
              <w:br/>
              <w:t>• Limit egg yolk intake (2–3/week)</w:t>
            </w:r>
            <w:r w:rsidRPr="00B26D08">
              <w:rPr>
                <w:rFonts w:ascii="Arial" w:hAnsi="Arial" w:cs="Arial"/>
                <w:sz w:val="20"/>
                <w:szCs w:val="20"/>
              </w:rPr>
              <w:br/>
              <w:t>• Use vegetable oils (soybean, canola and olive oil) and soft margarines</w:t>
            </w:r>
            <w:r w:rsidRPr="00B26D08">
              <w:rPr>
                <w:rFonts w:ascii="Arial" w:hAnsi="Arial" w:cs="Arial"/>
                <w:sz w:val="20"/>
                <w:szCs w:val="20"/>
              </w:rPr>
              <w:br/>
              <w:t>• Eat more vegetables, fruits and legumes</w:t>
            </w:r>
            <w:r w:rsidRPr="00B26D08">
              <w:rPr>
                <w:rFonts w:ascii="Arial" w:hAnsi="Arial" w:cs="Arial"/>
                <w:sz w:val="20"/>
                <w:szCs w:val="20"/>
              </w:rPr>
              <w:br/>
              <w:t>• Increase intake of high-</w:t>
            </w:r>
            <w:proofErr w:type="spellStart"/>
            <w:r w:rsidRPr="00B26D08">
              <w:rPr>
                <w:rFonts w:ascii="Arial" w:hAnsi="Arial" w:cs="Arial"/>
                <w:sz w:val="20"/>
                <w:szCs w:val="20"/>
              </w:rPr>
              <w:t>fiber</w:t>
            </w:r>
            <w:proofErr w:type="spellEnd"/>
            <w:r w:rsidRPr="00B26D08">
              <w:rPr>
                <w:rFonts w:ascii="Arial" w:hAnsi="Arial" w:cs="Arial"/>
                <w:sz w:val="20"/>
                <w:szCs w:val="20"/>
              </w:rPr>
              <w:t xml:space="preserve"> foods, whole-grains and cereals</w:t>
            </w:r>
            <w:r w:rsidRPr="00B26D08">
              <w:rPr>
                <w:rFonts w:ascii="Arial" w:hAnsi="Arial" w:cs="Arial"/>
                <w:sz w:val="20"/>
                <w:szCs w:val="20"/>
              </w:rPr>
              <w:br/>
              <w:t>• Use low-fat or skim milk, and dairy products</w:t>
            </w:r>
            <w:r w:rsidRPr="00B26D08">
              <w:rPr>
                <w:rFonts w:ascii="Arial" w:hAnsi="Arial" w:cs="Arial"/>
                <w:sz w:val="20"/>
                <w:szCs w:val="20"/>
              </w:rPr>
              <w:br/>
              <w:t>• Include fish at least twice a week</w:t>
            </w:r>
          </w:p>
        </w:tc>
      </w:tr>
      <w:tr w:rsidR="00B26D08" w:rsidRPr="00B26D08" w14:paraId="756A79AA" w14:textId="77777777" w:rsidTr="0010287B">
        <w:tc>
          <w:tcPr>
            <w:tcW w:w="4320" w:type="dxa"/>
          </w:tcPr>
          <w:p w14:paraId="167ED2D0" w14:textId="77777777" w:rsidR="00B26D08" w:rsidRPr="00B26D08" w:rsidRDefault="00B26D08" w:rsidP="0010287B">
            <w:pPr>
              <w:jc w:val="both"/>
              <w:rPr>
                <w:rFonts w:ascii="Arial" w:hAnsi="Arial" w:cs="Arial"/>
                <w:sz w:val="20"/>
                <w:szCs w:val="20"/>
              </w:rPr>
            </w:pPr>
            <w:r w:rsidRPr="00B26D08">
              <w:rPr>
                <w:rFonts w:ascii="Arial" w:hAnsi="Arial" w:cs="Arial"/>
                <w:sz w:val="20"/>
                <w:szCs w:val="20"/>
              </w:rPr>
              <w:t>High triglycerides and low HDL-cholesterol</w:t>
            </w:r>
          </w:p>
        </w:tc>
        <w:tc>
          <w:tcPr>
            <w:tcW w:w="4320" w:type="dxa"/>
          </w:tcPr>
          <w:p w14:paraId="1A6A2718" w14:textId="77777777" w:rsidR="00B26D08" w:rsidRPr="00B26D08" w:rsidRDefault="00B26D08" w:rsidP="0010287B">
            <w:pPr>
              <w:jc w:val="both"/>
              <w:rPr>
                <w:rFonts w:ascii="Arial" w:hAnsi="Arial" w:cs="Arial"/>
                <w:sz w:val="20"/>
                <w:szCs w:val="20"/>
              </w:rPr>
            </w:pPr>
            <w:r w:rsidRPr="00B26D08">
              <w:rPr>
                <w:rFonts w:ascii="Arial" w:hAnsi="Arial" w:cs="Arial"/>
                <w:sz w:val="20"/>
                <w:szCs w:val="20"/>
              </w:rPr>
              <w:t>• Limit refined carbohydrates, including from industrialized products (juice and soft drink)</w:t>
            </w:r>
            <w:r w:rsidRPr="00B26D08">
              <w:rPr>
                <w:rFonts w:ascii="Arial" w:hAnsi="Arial" w:cs="Arial"/>
                <w:sz w:val="20"/>
                <w:szCs w:val="20"/>
              </w:rPr>
              <w:br/>
              <w:t>• Eat more vegetables, fruits and legumes</w:t>
            </w:r>
            <w:r w:rsidRPr="00B26D08">
              <w:rPr>
                <w:rFonts w:ascii="Arial" w:hAnsi="Arial" w:cs="Arial"/>
                <w:sz w:val="20"/>
                <w:szCs w:val="20"/>
              </w:rPr>
              <w:br/>
              <w:t>• Increase intake of high-</w:t>
            </w:r>
            <w:proofErr w:type="spellStart"/>
            <w:r w:rsidRPr="00B26D08">
              <w:rPr>
                <w:rFonts w:ascii="Arial" w:hAnsi="Arial" w:cs="Arial"/>
                <w:sz w:val="20"/>
                <w:szCs w:val="20"/>
              </w:rPr>
              <w:t>fiber</w:t>
            </w:r>
            <w:proofErr w:type="spellEnd"/>
            <w:r w:rsidRPr="00B26D08">
              <w:rPr>
                <w:rFonts w:ascii="Arial" w:hAnsi="Arial" w:cs="Arial"/>
                <w:sz w:val="20"/>
                <w:szCs w:val="20"/>
              </w:rPr>
              <w:t xml:space="preserve"> foods, wholegrain and cereals</w:t>
            </w:r>
            <w:r w:rsidRPr="00B26D08">
              <w:rPr>
                <w:rFonts w:ascii="Arial" w:hAnsi="Arial" w:cs="Arial"/>
                <w:sz w:val="20"/>
                <w:szCs w:val="20"/>
              </w:rPr>
              <w:br/>
              <w:t>• Use vegetable oils (soybean, canola and olive oil)</w:t>
            </w:r>
            <w:r w:rsidRPr="00B26D08">
              <w:rPr>
                <w:rFonts w:ascii="Arial" w:hAnsi="Arial" w:cs="Arial"/>
                <w:sz w:val="20"/>
                <w:szCs w:val="20"/>
              </w:rPr>
              <w:br/>
              <w:t>• Eat fish 2–3/week</w:t>
            </w:r>
          </w:p>
        </w:tc>
      </w:tr>
    </w:tbl>
    <w:p w14:paraId="560EB315" w14:textId="77777777" w:rsidR="00B26D08" w:rsidRPr="00B26D08" w:rsidRDefault="00B26D08" w:rsidP="00B26D08">
      <w:pPr>
        <w:spacing w:line="360" w:lineRule="auto"/>
        <w:jc w:val="both"/>
        <w:rPr>
          <w:rFonts w:ascii="Arial" w:hAnsi="Arial" w:cs="Arial"/>
          <w:color w:val="000000" w:themeColor="text1"/>
          <w:sz w:val="20"/>
          <w:szCs w:val="20"/>
          <w:lang w:val="en-US"/>
        </w:rPr>
      </w:pPr>
    </w:p>
    <w:p w14:paraId="68CA6F10" w14:textId="77777777"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 xml:space="preserve">8.3 NUTRACEUTICALS THERAPY </w:t>
      </w:r>
    </w:p>
    <w:p w14:paraId="39736DA3" w14:textId="6BF40DDB" w:rsidR="00B26D08" w:rsidRP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 xml:space="preserve">When dietary measures, particularly in high-risk instances, are unable to attain target lipid levels, pharmacological therapy for </w:t>
      </w:r>
      <w:proofErr w:type="spellStart"/>
      <w:r w:rsidR="001950F4">
        <w:rPr>
          <w:rFonts w:ascii="Arial" w:hAnsi="Arial" w:cs="Arial"/>
          <w:color w:val="000000" w:themeColor="text1"/>
          <w:sz w:val="20"/>
          <w:szCs w:val="20"/>
          <w:lang w:val="en-US"/>
        </w:rPr>
        <w:t>hyperlipidaemia</w:t>
      </w:r>
      <w:proofErr w:type="spellEnd"/>
      <w:r w:rsidRPr="00B26D08">
        <w:rPr>
          <w:rFonts w:ascii="Arial" w:hAnsi="Arial" w:cs="Arial"/>
          <w:color w:val="000000" w:themeColor="text1"/>
          <w:sz w:val="20"/>
          <w:szCs w:val="20"/>
          <w:lang w:val="en-US"/>
        </w:rPr>
        <w:t xml:space="preserve"> in children is taken into consideration. If a child's LDL cholesterol is still more than 190 mg/dL or above 160 mg/dL with a family history of early cardiovascular disease or other risk factors, the National Cholesterol Education Program (NCEP) advises starting medication therapy. Bile acid-binding resins, statins, niacin, and fibrates are the primary groups of medications that decrease cholesterol. Since bile acid-binding resins, such cholestyramine and colestipol, are not absorbed systemically, they are frequently used as first-line medications for pediatric patients, minimizing systemic side effects. However, the gastrointestinal side effects and poor palatability of these medications frequently make compliance difficult </w:t>
      </w:r>
      <w:hyperlink r:id="rId99" w:history="1">
        <w:r w:rsidRPr="00B26D08">
          <w:rPr>
            <w:rStyle w:val="Hyperlink"/>
            <w:rFonts w:ascii="Arial" w:hAnsi="Arial" w:cs="Arial"/>
            <w:sz w:val="20"/>
            <w:szCs w:val="20"/>
            <w:lang w:val="en-US"/>
          </w:rPr>
          <w:t>[7]</w:t>
        </w:r>
      </w:hyperlink>
      <w:hyperlink r:id="rId100" w:history="1">
        <w:r w:rsidRPr="00B26D08">
          <w:rPr>
            <w:rStyle w:val="Hyperlink"/>
            <w:rFonts w:ascii="Arial" w:hAnsi="Arial" w:cs="Arial"/>
            <w:sz w:val="20"/>
            <w:szCs w:val="20"/>
            <w:lang w:val="en-US"/>
          </w:rPr>
          <w:t>[15]</w:t>
        </w:r>
      </w:hyperlink>
      <w:r w:rsidRPr="00B26D08">
        <w:rPr>
          <w:rFonts w:ascii="Arial" w:hAnsi="Arial" w:cs="Arial"/>
          <w:color w:val="000000" w:themeColor="text1"/>
          <w:sz w:val="20"/>
          <w:szCs w:val="20"/>
          <w:lang w:val="en-US"/>
        </w:rPr>
        <w:t xml:space="preserve">. Statins that block HMG-CoA reductase, like simvastatin, pravastatin, lovastatin, fluvastatin, and atorvastatin, have been shown to significantly lower LDL cholesterol. They also have other advantages, like better endothelial function and a decrease in inflammatory indicators. Although there is currently a lack of long-term data, clinical trials in children have demonstrated their efficacy and overall safety. Because it causes flushing, glucose intolerance, and hepatotoxicity, niacin—which raises HDL while lowering LDL and </w:t>
      </w:r>
      <w:r w:rsidRPr="00B26D08">
        <w:rPr>
          <w:rFonts w:ascii="Arial" w:hAnsi="Arial" w:cs="Arial"/>
          <w:color w:val="000000" w:themeColor="text1"/>
          <w:sz w:val="20"/>
          <w:szCs w:val="20"/>
          <w:lang w:val="en-US"/>
        </w:rPr>
        <w:lastRenderedPageBreak/>
        <w:t xml:space="preserve">triglycerides—is not as widely used </w:t>
      </w:r>
      <w:hyperlink r:id="rId101" w:history="1">
        <w:r w:rsidRPr="00B26D08">
          <w:rPr>
            <w:rStyle w:val="Hyperlink"/>
            <w:rFonts w:ascii="Arial" w:hAnsi="Arial" w:cs="Arial"/>
            <w:sz w:val="20"/>
            <w:szCs w:val="20"/>
            <w:lang w:val="en-US"/>
          </w:rPr>
          <w:t>[7]</w:t>
        </w:r>
      </w:hyperlink>
      <w:hyperlink r:id="rId102" w:history="1">
        <w:r w:rsidRPr="00B26D08">
          <w:rPr>
            <w:rStyle w:val="Hyperlink"/>
            <w:rFonts w:ascii="Arial" w:hAnsi="Arial" w:cs="Arial"/>
            <w:sz w:val="20"/>
            <w:szCs w:val="20"/>
            <w:lang w:val="en-US"/>
          </w:rPr>
          <w:t>[27]</w:t>
        </w:r>
      </w:hyperlink>
      <w:r w:rsidRPr="00B26D08">
        <w:rPr>
          <w:rFonts w:ascii="Arial" w:hAnsi="Arial" w:cs="Arial"/>
          <w:color w:val="000000" w:themeColor="text1"/>
          <w:sz w:val="20"/>
          <w:szCs w:val="20"/>
          <w:lang w:val="en-US"/>
        </w:rPr>
        <w:t>. Although there is little information on the safety and effectiveness of fibrates, like bezafibrate, in children, they mainly enhance HDL levels and decrease triglycerides. Throughout treatment, it is crucial to keep an eye on lipid profiles, muscle enzymes, and liver function tests. According to recent data, children with familial hypercholesterolemia may benefit from lipid-lowering medications, especially statins, which may lower cholesterol while also improving vascular function. Drug therapy, however, needs to be carefully adapted to each patient's risk profile and is only advised following lifestyle changes</w:t>
      </w:r>
      <w:hyperlink r:id="rId103" w:history="1">
        <w:r w:rsidRPr="00B26D08">
          <w:rPr>
            <w:rStyle w:val="Hyperlink"/>
            <w:rFonts w:ascii="Arial" w:hAnsi="Arial" w:cs="Arial"/>
            <w:sz w:val="20"/>
            <w:szCs w:val="20"/>
            <w:lang w:val="en-US"/>
          </w:rPr>
          <w:t>[7]</w:t>
        </w:r>
      </w:hyperlink>
      <w:hyperlink r:id="rId104" w:history="1">
        <w:r w:rsidRPr="00B26D08">
          <w:rPr>
            <w:rStyle w:val="Hyperlink"/>
            <w:rFonts w:ascii="Arial" w:hAnsi="Arial" w:cs="Arial"/>
            <w:sz w:val="20"/>
            <w:szCs w:val="20"/>
            <w:lang w:val="en-US"/>
          </w:rPr>
          <w:t>[15]</w:t>
        </w:r>
      </w:hyperlink>
      <w:hyperlink r:id="rId105" w:history="1">
        <w:r w:rsidRPr="00B26D08">
          <w:rPr>
            <w:rStyle w:val="Hyperlink"/>
            <w:rFonts w:ascii="Arial" w:hAnsi="Arial" w:cs="Arial"/>
            <w:sz w:val="20"/>
            <w:szCs w:val="20"/>
            <w:lang w:val="en-US"/>
          </w:rPr>
          <w:t>[50]</w:t>
        </w:r>
      </w:hyperlink>
      <w:r w:rsidRPr="00B26D08">
        <w:rPr>
          <w:rFonts w:ascii="Arial" w:hAnsi="Arial" w:cs="Arial"/>
          <w:color w:val="000000" w:themeColor="text1"/>
          <w:sz w:val="20"/>
          <w:szCs w:val="20"/>
          <w:lang w:val="en-US"/>
        </w:rPr>
        <w:t>.</w:t>
      </w:r>
    </w:p>
    <w:p w14:paraId="7C1DCF63" w14:textId="77777777" w:rsidR="00FB1244" w:rsidRDefault="00FB1244" w:rsidP="00B26D08">
      <w:pPr>
        <w:spacing w:line="360" w:lineRule="auto"/>
        <w:jc w:val="both"/>
        <w:rPr>
          <w:rFonts w:ascii="Arial" w:hAnsi="Arial" w:cs="Arial"/>
          <w:b/>
          <w:bCs/>
          <w:color w:val="000000" w:themeColor="text1"/>
          <w:lang w:val="en-US"/>
        </w:rPr>
      </w:pPr>
    </w:p>
    <w:p w14:paraId="2170E0AC" w14:textId="74D7211A"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 xml:space="preserve">9. CONCLUSION </w:t>
      </w:r>
    </w:p>
    <w:p w14:paraId="2B90277B" w14:textId="60FE607F" w:rsidR="00B26D08" w:rsidRP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 xml:space="preserve">It has been demonstrated that </w:t>
      </w:r>
      <w:proofErr w:type="spellStart"/>
      <w:r w:rsidR="001950F4">
        <w:rPr>
          <w:rFonts w:ascii="Arial" w:hAnsi="Arial" w:cs="Arial"/>
          <w:color w:val="000000" w:themeColor="text1"/>
          <w:sz w:val="20"/>
          <w:szCs w:val="20"/>
          <w:lang w:val="en-US"/>
        </w:rPr>
        <w:t>hyperlipidaemia</w:t>
      </w:r>
      <w:proofErr w:type="spellEnd"/>
      <w:r w:rsidRPr="00B26D08">
        <w:rPr>
          <w:rFonts w:ascii="Arial" w:hAnsi="Arial" w:cs="Arial"/>
          <w:color w:val="000000" w:themeColor="text1"/>
          <w:sz w:val="20"/>
          <w:szCs w:val="20"/>
          <w:lang w:val="en-US"/>
        </w:rPr>
        <w:t xml:space="preserve"> and the </w:t>
      </w:r>
      <w:proofErr w:type="spellStart"/>
      <w:r w:rsidRPr="00B26D08">
        <w:rPr>
          <w:rFonts w:ascii="Arial" w:hAnsi="Arial" w:cs="Arial"/>
          <w:color w:val="000000" w:themeColor="text1"/>
          <w:sz w:val="20"/>
          <w:szCs w:val="20"/>
          <w:lang w:val="en-US"/>
        </w:rPr>
        <w:t>athero</w:t>
      </w:r>
      <w:proofErr w:type="spellEnd"/>
      <w:r w:rsidRPr="00B26D08">
        <w:rPr>
          <w:rFonts w:ascii="Arial" w:hAnsi="Arial" w:cs="Arial"/>
          <w:color w:val="000000" w:themeColor="text1"/>
          <w:sz w:val="20"/>
          <w:szCs w:val="20"/>
          <w:lang w:val="en-US"/>
        </w:rPr>
        <w:t xml:space="preserve">-sclerotic process in kids and teenagers are related. Considering the prevalence of more weight and related cardiovascular risk factors, there is a compelling need to put in place a program for screening and control. Diets low in fat and cholesterol have had varying degrees of success in treating </w:t>
      </w:r>
      <w:proofErr w:type="spellStart"/>
      <w:r w:rsidR="001950F4">
        <w:rPr>
          <w:rFonts w:ascii="Arial" w:hAnsi="Arial" w:cs="Arial"/>
          <w:color w:val="000000" w:themeColor="text1"/>
          <w:sz w:val="20"/>
          <w:szCs w:val="20"/>
          <w:lang w:val="en-US"/>
        </w:rPr>
        <w:t>hyperlipidae</w:t>
      </w:r>
      <w:bookmarkStart w:id="1" w:name="_GoBack"/>
      <w:bookmarkEnd w:id="1"/>
      <w:r w:rsidR="001950F4">
        <w:rPr>
          <w:rFonts w:ascii="Arial" w:hAnsi="Arial" w:cs="Arial"/>
          <w:color w:val="000000" w:themeColor="text1"/>
          <w:sz w:val="20"/>
          <w:szCs w:val="20"/>
          <w:lang w:val="en-US"/>
        </w:rPr>
        <w:t>mia</w:t>
      </w:r>
      <w:proofErr w:type="spellEnd"/>
      <w:r w:rsidRPr="00B26D08">
        <w:rPr>
          <w:rFonts w:ascii="Arial" w:hAnsi="Arial" w:cs="Arial"/>
          <w:color w:val="000000" w:themeColor="text1"/>
          <w:sz w:val="20"/>
          <w:szCs w:val="20"/>
          <w:lang w:val="en-US"/>
        </w:rPr>
        <w:t xml:space="preserve">. It is probable that the prevention and treatment of overweight and obesity should become the primary emphasis of nutritional management. Clinical trials of lipid-lowering medication therapy in children are indicating efficacy and safety comparable to those seen in adults. Early research indicates that treatment can help children with </w:t>
      </w:r>
      <w:proofErr w:type="spellStart"/>
      <w:r w:rsidR="001950F4">
        <w:rPr>
          <w:rFonts w:ascii="Arial" w:hAnsi="Arial" w:cs="Arial"/>
          <w:color w:val="000000" w:themeColor="text1"/>
          <w:sz w:val="20"/>
          <w:szCs w:val="20"/>
          <w:lang w:val="en-US"/>
        </w:rPr>
        <w:t>hyperlipidaemia</w:t>
      </w:r>
      <w:proofErr w:type="spellEnd"/>
      <w:r w:rsidRPr="00B26D08">
        <w:rPr>
          <w:rFonts w:ascii="Arial" w:hAnsi="Arial" w:cs="Arial"/>
          <w:color w:val="000000" w:themeColor="text1"/>
          <w:sz w:val="20"/>
          <w:szCs w:val="20"/>
          <w:lang w:val="en-US"/>
        </w:rPr>
        <w:t xml:space="preserve"> by improving endothelial function.</w:t>
      </w:r>
    </w:p>
    <w:p w14:paraId="54475134" w14:textId="77777777" w:rsidR="00B26D08" w:rsidRP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 xml:space="preserve"> This could imply a preventive translation or delayed development of adult-onset atherosclerotic cardiovascular disease.</w:t>
      </w:r>
    </w:p>
    <w:p w14:paraId="4FCFB5BE" w14:textId="77777777" w:rsidR="002A203F" w:rsidRPr="001019C9" w:rsidRDefault="002A203F" w:rsidP="00510DC9">
      <w:pPr>
        <w:spacing w:line="360" w:lineRule="auto"/>
        <w:jc w:val="both"/>
        <w:rPr>
          <w:rFonts w:ascii="Arial" w:hAnsi="Arial" w:cs="Arial"/>
          <w:b/>
          <w:color w:val="000000" w:themeColor="text1"/>
          <w:sz w:val="24"/>
          <w:szCs w:val="24"/>
        </w:rPr>
      </w:pPr>
    </w:p>
    <w:p w14:paraId="1724CD04" w14:textId="3997C3FE" w:rsidR="00D2192C" w:rsidRPr="001D08F0" w:rsidRDefault="00D2192C" w:rsidP="00510DC9">
      <w:pPr>
        <w:spacing w:line="360" w:lineRule="auto"/>
        <w:jc w:val="both"/>
        <w:rPr>
          <w:rFonts w:ascii="Arial" w:hAnsi="Arial" w:cs="Arial"/>
          <w:b/>
          <w:color w:val="000000" w:themeColor="text1"/>
        </w:rPr>
      </w:pPr>
      <w:r w:rsidRPr="001D08F0">
        <w:rPr>
          <w:rFonts w:ascii="Arial" w:hAnsi="Arial" w:cs="Arial"/>
          <w:b/>
          <w:color w:val="000000" w:themeColor="text1"/>
        </w:rPr>
        <w:t>REFERENCES</w:t>
      </w:r>
    </w:p>
    <w:p w14:paraId="6687E76D" w14:textId="54FC4FA5"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Chandar</w:t>
      </w:r>
      <w:proofErr w:type="spellEnd"/>
      <w:r w:rsidRPr="00FB1244">
        <w:rPr>
          <w:rFonts w:ascii="Arial" w:hAnsi="Arial" w:cs="Arial"/>
          <w:bCs/>
          <w:color w:val="000000" w:themeColor="text1"/>
          <w:sz w:val="20"/>
          <w:szCs w:val="20"/>
          <w:lang w:val="en-US"/>
        </w:rPr>
        <w:t xml:space="preserve"> V, </w:t>
      </w:r>
      <w:proofErr w:type="spellStart"/>
      <w:r w:rsidRPr="00FB1244">
        <w:rPr>
          <w:rFonts w:ascii="Arial" w:hAnsi="Arial" w:cs="Arial"/>
          <w:bCs/>
          <w:color w:val="000000" w:themeColor="text1"/>
          <w:sz w:val="20"/>
          <w:szCs w:val="20"/>
          <w:lang w:val="en-US"/>
        </w:rPr>
        <w:t>Gidvani</w:t>
      </w:r>
      <w:proofErr w:type="spellEnd"/>
      <w:r w:rsidRPr="00FB1244">
        <w:rPr>
          <w:rFonts w:ascii="Arial" w:hAnsi="Arial" w:cs="Arial"/>
          <w:bCs/>
          <w:color w:val="000000" w:themeColor="text1"/>
          <w:sz w:val="20"/>
          <w:szCs w:val="20"/>
          <w:lang w:val="en-US"/>
        </w:rPr>
        <w:t xml:space="preserve"> CH, Gupta AK, Wilson CG, Sharma YV. LIPID PROFILE IN NORMAL HEALTHY CHILDREN. Med J Armed Forces India. 1994 Apr;50(2):101-104.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2017 Jun 27. PMID: 28769178; PMCID: PMC5529694. DOI: </w:t>
      </w:r>
      <w:hyperlink r:id="rId106" w:tgtFrame="_blank" w:history="1">
        <w:r w:rsidRPr="00FB1244">
          <w:rPr>
            <w:rStyle w:val="Hyperlink"/>
            <w:rFonts w:ascii="Arial" w:hAnsi="Arial" w:cs="Arial"/>
            <w:bCs/>
            <w:sz w:val="20"/>
            <w:szCs w:val="20"/>
            <w:lang w:val="en-US"/>
          </w:rPr>
          <w:t>10.1016/S0377-1237(17)31008-0</w:t>
        </w:r>
      </w:hyperlink>
    </w:p>
    <w:p w14:paraId="7117E1ED" w14:textId="4AF389D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Mainieri F, La Bella S, Chiarelli F. </w:t>
      </w:r>
      <w:proofErr w:type="spellStart"/>
      <w:r w:rsidR="001950F4">
        <w:rPr>
          <w:rFonts w:ascii="Arial" w:hAnsi="Arial" w:cs="Arial"/>
          <w:bCs/>
          <w:color w:val="000000" w:themeColor="text1"/>
          <w:sz w:val="20"/>
          <w:szCs w:val="20"/>
          <w:lang w:val="en-US"/>
        </w:rPr>
        <w:t>Hyperlipidaemia</w:t>
      </w:r>
      <w:proofErr w:type="spellEnd"/>
      <w:r w:rsidRPr="00FB1244">
        <w:rPr>
          <w:rFonts w:ascii="Arial" w:hAnsi="Arial" w:cs="Arial"/>
          <w:bCs/>
          <w:color w:val="000000" w:themeColor="text1"/>
          <w:sz w:val="20"/>
          <w:szCs w:val="20"/>
          <w:lang w:val="en-US"/>
        </w:rPr>
        <w:t xml:space="preserve"> and Cardiovascular Risk in Children and Adolescents. Biomedicines. 2023 Mar 7;11(3):809. PMID: 36979789; PMCID: PMC10045454. DOI: </w:t>
      </w:r>
      <w:hyperlink r:id="rId107" w:tgtFrame="_blank" w:history="1">
        <w:r w:rsidRPr="00FB1244">
          <w:rPr>
            <w:rStyle w:val="Hyperlink"/>
            <w:rFonts w:ascii="Arial" w:hAnsi="Arial" w:cs="Arial"/>
            <w:bCs/>
            <w:sz w:val="20"/>
            <w:szCs w:val="20"/>
            <w:lang w:val="en-US"/>
          </w:rPr>
          <w:t>10.3390/biomedicines11030809</w:t>
        </w:r>
      </w:hyperlink>
    </w:p>
    <w:p w14:paraId="77AF00DD" w14:textId="5E4278B4"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bookmarkStart w:id="2" w:name="_Hlk197689530"/>
      <w:r w:rsidRPr="00FB1244">
        <w:rPr>
          <w:rFonts w:ascii="Arial" w:hAnsi="Arial" w:cs="Arial"/>
          <w:bCs/>
          <w:color w:val="000000" w:themeColor="text1"/>
          <w:sz w:val="20"/>
          <w:szCs w:val="20"/>
          <w:lang w:val="en-US"/>
        </w:rPr>
        <w:t>Murphy, S.L.; Kochanek, K.D.; Xu, J.; Arias, E. Mortality in the United States, 2020.       NCHS Data Brief 2021</w:t>
      </w:r>
      <w:bookmarkEnd w:id="2"/>
    </w:p>
    <w:p w14:paraId="633B8151" w14:textId="12A1A2B4"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Sapunar</w:t>
      </w:r>
      <w:proofErr w:type="spellEnd"/>
      <w:r w:rsidRPr="00FB1244">
        <w:rPr>
          <w:rFonts w:ascii="Arial" w:hAnsi="Arial" w:cs="Arial"/>
          <w:bCs/>
          <w:color w:val="000000" w:themeColor="text1"/>
          <w:sz w:val="20"/>
          <w:szCs w:val="20"/>
          <w:lang w:val="en-US"/>
        </w:rPr>
        <w:t>, J.; Aguilar-</w:t>
      </w:r>
      <w:proofErr w:type="spellStart"/>
      <w:r w:rsidRPr="00FB1244">
        <w:rPr>
          <w:rFonts w:ascii="Arial" w:hAnsi="Arial" w:cs="Arial"/>
          <w:bCs/>
          <w:color w:val="000000" w:themeColor="text1"/>
          <w:sz w:val="20"/>
          <w:szCs w:val="20"/>
          <w:lang w:val="en-US"/>
        </w:rPr>
        <w:t>Farías</w:t>
      </w:r>
      <w:proofErr w:type="spellEnd"/>
      <w:r w:rsidRPr="00FB1244">
        <w:rPr>
          <w:rFonts w:ascii="Arial" w:hAnsi="Arial" w:cs="Arial"/>
          <w:bCs/>
          <w:color w:val="000000" w:themeColor="text1"/>
          <w:sz w:val="20"/>
          <w:szCs w:val="20"/>
          <w:lang w:val="en-US"/>
        </w:rPr>
        <w:t xml:space="preserve">, N.; Navarro, J.; Araneda, G.; </w:t>
      </w:r>
      <w:proofErr w:type="spellStart"/>
      <w:r w:rsidRPr="00FB1244">
        <w:rPr>
          <w:rFonts w:ascii="Arial" w:hAnsi="Arial" w:cs="Arial"/>
          <w:bCs/>
          <w:color w:val="000000" w:themeColor="text1"/>
          <w:sz w:val="20"/>
          <w:szCs w:val="20"/>
          <w:lang w:val="en-US"/>
        </w:rPr>
        <w:t>Chandía</w:t>
      </w:r>
      <w:proofErr w:type="spellEnd"/>
      <w:r w:rsidRPr="00FB1244">
        <w:rPr>
          <w:rFonts w:ascii="Arial" w:hAnsi="Arial" w:cs="Arial"/>
          <w:bCs/>
          <w:color w:val="000000" w:themeColor="text1"/>
          <w:sz w:val="20"/>
          <w:szCs w:val="20"/>
          <w:lang w:val="en-US"/>
        </w:rPr>
        <w:t xml:space="preserve">-Poblete, D.; </w:t>
      </w:r>
      <w:proofErr w:type="spellStart"/>
      <w:r w:rsidRPr="00FB1244">
        <w:rPr>
          <w:rFonts w:ascii="Arial" w:hAnsi="Arial" w:cs="Arial"/>
          <w:bCs/>
          <w:color w:val="000000" w:themeColor="text1"/>
          <w:sz w:val="20"/>
          <w:szCs w:val="20"/>
          <w:lang w:val="en-US"/>
        </w:rPr>
        <w:t>Manríquez</w:t>
      </w:r>
      <w:proofErr w:type="spellEnd"/>
      <w:r w:rsidRPr="00FB1244">
        <w:rPr>
          <w:rFonts w:ascii="Arial" w:hAnsi="Arial" w:cs="Arial"/>
          <w:bCs/>
          <w:color w:val="000000" w:themeColor="text1"/>
          <w:sz w:val="20"/>
          <w:szCs w:val="20"/>
          <w:lang w:val="en-US"/>
        </w:rPr>
        <w:t>, V.; Brito, R.; Cerda, Á. High Prevalence of Dyslipidemia and High Atherogenic Index of Plasma in Children and Adolescents. Rev. Med. Chil. 2018. DOI: </w:t>
      </w:r>
      <w:hyperlink r:id="rId108" w:tgtFrame="_blank" w:history="1">
        <w:r w:rsidRPr="00FB1244">
          <w:rPr>
            <w:rStyle w:val="Hyperlink"/>
            <w:rFonts w:ascii="Arial" w:hAnsi="Arial" w:cs="Arial"/>
            <w:bCs/>
            <w:sz w:val="20"/>
            <w:szCs w:val="20"/>
            <w:lang w:val="en-US"/>
          </w:rPr>
          <w:t>10.4067/S0034-98872018001001112</w:t>
        </w:r>
      </w:hyperlink>
    </w:p>
    <w:p w14:paraId="18BEC905" w14:textId="5C4C69EC"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lastRenderedPageBreak/>
        <w:t xml:space="preserve">Jacobs Jr, D.R.; Woo, J.G.; </w:t>
      </w:r>
      <w:proofErr w:type="spellStart"/>
      <w:r w:rsidRPr="00FB1244">
        <w:rPr>
          <w:rFonts w:ascii="Arial" w:hAnsi="Arial" w:cs="Arial"/>
          <w:bCs/>
          <w:color w:val="000000" w:themeColor="text1"/>
          <w:sz w:val="20"/>
          <w:szCs w:val="20"/>
          <w:lang w:val="en-US"/>
        </w:rPr>
        <w:t>Sinaiko</w:t>
      </w:r>
      <w:proofErr w:type="spellEnd"/>
      <w:r w:rsidRPr="00FB1244">
        <w:rPr>
          <w:rFonts w:ascii="Arial" w:hAnsi="Arial" w:cs="Arial"/>
          <w:bCs/>
          <w:color w:val="000000" w:themeColor="text1"/>
          <w:sz w:val="20"/>
          <w:szCs w:val="20"/>
          <w:lang w:val="en-US"/>
        </w:rPr>
        <w:t xml:space="preserve">, A.R.; Daniels, S.R.; Ikonen, J.; </w:t>
      </w:r>
      <w:proofErr w:type="spellStart"/>
      <w:r w:rsidRPr="00FB1244">
        <w:rPr>
          <w:rFonts w:ascii="Arial" w:hAnsi="Arial" w:cs="Arial"/>
          <w:bCs/>
          <w:color w:val="000000" w:themeColor="text1"/>
          <w:sz w:val="20"/>
          <w:szCs w:val="20"/>
          <w:lang w:val="en-US"/>
        </w:rPr>
        <w:t>Juonala</w:t>
      </w:r>
      <w:proofErr w:type="spellEnd"/>
      <w:r w:rsidRPr="00FB1244">
        <w:rPr>
          <w:rFonts w:ascii="Arial" w:hAnsi="Arial" w:cs="Arial"/>
          <w:bCs/>
          <w:color w:val="000000" w:themeColor="text1"/>
          <w:sz w:val="20"/>
          <w:szCs w:val="20"/>
          <w:lang w:val="en-US"/>
        </w:rPr>
        <w:t xml:space="preserve">, M.; </w:t>
      </w:r>
      <w:proofErr w:type="spellStart"/>
      <w:r w:rsidRPr="00FB1244">
        <w:rPr>
          <w:rFonts w:ascii="Arial" w:hAnsi="Arial" w:cs="Arial"/>
          <w:bCs/>
          <w:color w:val="000000" w:themeColor="text1"/>
          <w:sz w:val="20"/>
          <w:szCs w:val="20"/>
          <w:lang w:val="en-US"/>
        </w:rPr>
        <w:t>Kartiosuo</w:t>
      </w:r>
      <w:proofErr w:type="spellEnd"/>
      <w:r w:rsidRPr="00FB1244">
        <w:rPr>
          <w:rFonts w:ascii="Arial" w:hAnsi="Arial" w:cs="Arial"/>
          <w:bCs/>
          <w:color w:val="000000" w:themeColor="text1"/>
          <w:sz w:val="20"/>
          <w:szCs w:val="20"/>
          <w:lang w:val="en-US"/>
        </w:rPr>
        <w:t xml:space="preserve">, N.; Lehtimäki, T.; Magnussen, C.G.; </w:t>
      </w:r>
      <w:proofErr w:type="spellStart"/>
      <w:r w:rsidRPr="00FB1244">
        <w:rPr>
          <w:rFonts w:ascii="Arial" w:hAnsi="Arial" w:cs="Arial"/>
          <w:bCs/>
          <w:color w:val="000000" w:themeColor="text1"/>
          <w:sz w:val="20"/>
          <w:szCs w:val="20"/>
          <w:lang w:val="en-US"/>
        </w:rPr>
        <w:t>Viikari</w:t>
      </w:r>
      <w:proofErr w:type="spellEnd"/>
      <w:r w:rsidRPr="00FB1244">
        <w:rPr>
          <w:rFonts w:ascii="Arial" w:hAnsi="Arial" w:cs="Arial"/>
          <w:bCs/>
          <w:color w:val="000000" w:themeColor="text1"/>
          <w:sz w:val="20"/>
          <w:szCs w:val="20"/>
          <w:lang w:val="en-US"/>
        </w:rPr>
        <w:t>, J.S.A.; et al. Childhood Cardiovascular Risk Factors and Adult Cardiovascular Events. N. Engl. J. Med. 2022. DOI: </w:t>
      </w:r>
      <w:hyperlink r:id="rId109" w:tgtFrame="_blank" w:history="1">
        <w:r w:rsidRPr="00FB1244">
          <w:rPr>
            <w:rStyle w:val="Hyperlink"/>
            <w:rFonts w:ascii="Arial" w:hAnsi="Arial" w:cs="Arial"/>
            <w:bCs/>
            <w:sz w:val="20"/>
            <w:szCs w:val="20"/>
            <w:lang w:val="en-US"/>
          </w:rPr>
          <w:t>10.1056/NEJMoa2109191</w:t>
        </w:r>
      </w:hyperlink>
    </w:p>
    <w:p w14:paraId="31BE530F" w14:textId="2705EA00"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Kjeldsen, E.W.; Thomassen, J.Q.; Frikke-Schmidt, R. HDL Cholesterol Concentrations and Risk of Atherosclerotic Cardiovascular Disease—Insights from Randomized Clinical Trials and Human Genetics. </w:t>
      </w:r>
      <w:proofErr w:type="spellStart"/>
      <w:r w:rsidRPr="00FB1244">
        <w:rPr>
          <w:rFonts w:ascii="Arial" w:hAnsi="Arial" w:cs="Arial"/>
          <w:bCs/>
          <w:color w:val="000000" w:themeColor="text1"/>
          <w:sz w:val="20"/>
          <w:szCs w:val="20"/>
          <w:lang w:val="en-US"/>
        </w:rPr>
        <w:t>Biochim</w:t>
      </w:r>
      <w:proofErr w:type="spellEnd"/>
      <w:r w:rsidRPr="00FB1244">
        <w:rPr>
          <w:rFonts w:ascii="Arial" w:hAnsi="Arial" w:cs="Arial"/>
          <w:bCs/>
          <w:color w:val="000000" w:themeColor="text1"/>
          <w:sz w:val="20"/>
          <w:szCs w:val="20"/>
          <w:lang w:val="en-US"/>
        </w:rPr>
        <w:t xml:space="preserve">. </w:t>
      </w:r>
      <w:proofErr w:type="spellStart"/>
      <w:r w:rsidRPr="00FB1244">
        <w:rPr>
          <w:rFonts w:ascii="Arial" w:hAnsi="Arial" w:cs="Arial"/>
          <w:bCs/>
          <w:color w:val="000000" w:themeColor="text1"/>
          <w:sz w:val="20"/>
          <w:szCs w:val="20"/>
          <w:lang w:val="en-US"/>
        </w:rPr>
        <w:t>Biophys</w:t>
      </w:r>
      <w:proofErr w:type="spellEnd"/>
      <w:r w:rsidRPr="00FB1244">
        <w:rPr>
          <w:rFonts w:ascii="Arial" w:hAnsi="Arial" w:cs="Arial"/>
          <w:bCs/>
          <w:color w:val="000000" w:themeColor="text1"/>
          <w:sz w:val="20"/>
          <w:szCs w:val="20"/>
          <w:lang w:val="en-US"/>
        </w:rPr>
        <w:t xml:space="preserve">. </w:t>
      </w:r>
      <w:proofErr w:type="spellStart"/>
      <w:r w:rsidRPr="00FB1244">
        <w:rPr>
          <w:rFonts w:ascii="Arial" w:hAnsi="Arial" w:cs="Arial"/>
          <w:bCs/>
          <w:color w:val="000000" w:themeColor="text1"/>
          <w:sz w:val="20"/>
          <w:szCs w:val="20"/>
          <w:lang w:val="en-US"/>
        </w:rPr>
        <w:t>ActaMol</w:t>
      </w:r>
      <w:proofErr w:type="spellEnd"/>
      <w:r w:rsidRPr="00FB1244">
        <w:rPr>
          <w:rFonts w:ascii="Arial" w:hAnsi="Arial" w:cs="Arial"/>
          <w:bCs/>
          <w:color w:val="000000" w:themeColor="text1"/>
          <w:sz w:val="20"/>
          <w:szCs w:val="20"/>
          <w:lang w:val="en-US"/>
        </w:rPr>
        <w:t>. Cell Biol. Lipids 2022, 1867, 159063. DOI: </w:t>
      </w:r>
      <w:hyperlink r:id="rId110" w:tgtFrame="_blank" w:history="1">
        <w:r w:rsidRPr="00FB1244">
          <w:rPr>
            <w:rStyle w:val="Hyperlink"/>
            <w:rFonts w:ascii="Arial" w:hAnsi="Arial" w:cs="Arial"/>
            <w:bCs/>
            <w:sz w:val="20"/>
            <w:szCs w:val="20"/>
            <w:lang w:val="en-US"/>
          </w:rPr>
          <w:t>10.1016/j.bbalip.2021.159063</w:t>
        </w:r>
      </w:hyperlink>
    </w:p>
    <w:p w14:paraId="3AC00BF9" w14:textId="381EC2F6" w:rsidR="00FB1244" w:rsidRPr="00FB1244" w:rsidRDefault="001950F4" w:rsidP="00FB1244">
      <w:pPr>
        <w:numPr>
          <w:ilvl w:val="0"/>
          <w:numId w:val="45"/>
        </w:numPr>
        <w:spacing w:line="360" w:lineRule="auto"/>
        <w:jc w:val="both"/>
        <w:rPr>
          <w:rFonts w:ascii="Arial" w:hAnsi="Arial" w:cs="Arial"/>
          <w:bCs/>
          <w:color w:val="000000" w:themeColor="text1"/>
          <w:sz w:val="20"/>
          <w:szCs w:val="20"/>
          <w:lang w:val="en-US"/>
        </w:rPr>
      </w:pPr>
      <w:proofErr w:type="spellStart"/>
      <w:r>
        <w:rPr>
          <w:rFonts w:ascii="Arial" w:hAnsi="Arial" w:cs="Arial"/>
          <w:bCs/>
          <w:color w:val="000000" w:themeColor="text1"/>
          <w:sz w:val="20"/>
          <w:szCs w:val="20"/>
          <w:lang w:val="en-US"/>
        </w:rPr>
        <w:t>Hyperlipidaemia</w:t>
      </w:r>
      <w:proofErr w:type="spellEnd"/>
      <w:r w:rsidR="00FB1244" w:rsidRPr="00FB1244">
        <w:rPr>
          <w:rFonts w:ascii="Arial" w:hAnsi="Arial" w:cs="Arial"/>
          <w:bCs/>
          <w:color w:val="000000" w:themeColor="text1"/>
          <w:sz w:val="20"/>
          <w:szCs w:val="20"/>
          <w:lang w:val="en-US"/>
        </w:rPr>
        <w:t xml:space="preserve"> in children Brian W. McCrindle* Division of Cardiology, Department of Pediatrics, The Hospital for Sick Children, 555 University Avenue, Toronto, Ontario, Canada M5G 1X8. DOI: </w:t>
      </w:r>
      <w:hyperlink r:id="rId111" w:tgtFrame="_blank" w:history="1">
        <w:r w:rsidR="00FB1244" w:rsidRPr="00FB1244">
          <w:rPr>
            <w:rStyle w:val="Hyperlink"/>
            <w:rFonts w:ascii="Arial" w:hAnsi="Arial" w:cs="Arial"/>
            <w:bCs/>
            <w:sz w:val="20"/>
            <w:szCs w:val="20"/>
            <w:lang w:val="en-US"/>
          </w:rPr>
          <w:t>10.1016/j.thromres.2005.01.006</w:t>
        </w:r>
      </w:hyperlink>
    </w:p>
    <w:p w14:paraId="64825FC2" w14:textId="29FC58B8"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NewmanIII</w:t>
      </w:r>
      <w:proofErr w:type="spellEnd"/>
      <w:r w:rsidRPr="00FB1244">
        <w:rPr>
          <w:rFonts w:ascii="Arial" w:hAnsi="Arial" w:cs="Arial"/>
          <w:bCs/>
          <w:color w:val="000000" w:themeColor="text1"/>
          <w:sz w:val="20"/>
          <w:szCs w:val="20"/>
          <w:lang w:val="en-US"/>
        </w:rPr>
        <w:t xml:space="preserve"> WP, Freedman DS, Voors AW, Gard PD, Srinivasan JL, </w:t>
      </w:r>
      <w:proofErr w:type="spellStart"/>
      <w:r w:rsidRPr="00FB1244">
        <w:rPr>
          <w:rFonts w:ascii="Arial" w:hAnsi="Arial" w:cs="Arial"/>
          <w:bCs/>
          <w:color w:val="000000" w:themeColor="text1"/>
          <w:sz w:val="20"/>
          <w:szCs w:val="20"/>
          <w:lang w:val="en-US"/>
        </w:rPr>
        <w:t>Cresanta</w:t>
      </w:r>
      <w:proofErr w:type="spellEnd"/>
      <w:r w:rsidRPr="00FB1244">
        <w:rPr>
          <w:rFonts w:ascii="Arial" w:hAnsi="Arial" w:cs="Arial"/>
          <w:bCs/>
          <w:color w:val="000000" w:themeColor="text1"/>
          <w:sz w:val="20"/>
          <w:szCs w:val="20"/>
          <w:lang w:val="en-US"/>
        </w:rPr>
        <w:t xml:space="preserve"> JL, et al. Relation of serum lipoprotein levels and systolic blood pressure to early atherosclerosis. The Bogalusa Heart Study. N Engl J Med. DOI: </w:t>
      </w:r>
      <w:hyperlink r:id="rId112" w:tgtFrame="_blank" w:history="1">
        <w:r w:rsidRPr="00FB1244">
          <w:rPr>
            <w:rStyle w:val="Hyperlink"/>
            <w:rFonts w:ascii="Arial" w:hAnsi="Arial" w:cs="Arial"/>
            <w:bCs/>
            <w:sz w:val="20"/>
            <w:szCs w:val="20"/>
            <w:lang w:val="en-US"/>
          </w:rPr>
          <w:t>10.1056/NEJM198601163140302</w:t>
        </w:r>
      </w:hyperlink>
    </w:p>
    <w:p w14:paraId="3F163BB5" w14:textId="550C67B4"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Berenson GS, Srinivasan SR, Bao W, Newman III WP, Tracy WA, Wattigney WA. Association between multiple cardio vascular risk factors and atherosclerosis in children and young adults. The Bogalusa Heart Study. DOI: </w:t>
      </w:r>
      <w:hyperlink r:id="rId113" w:tgtFrame="_blank" w:history="1">
        <w:r w:rsidRPr="00FB1244">
          <w:rPr>
            <w:rStyle w:val="Hyperlink"/>
            <w:rFonts w:ascii="Arial" w:hAnsi="Arial" w:cs="Arial"/>
            <w:bCs/>
            <w:sz w:val="20"/>
            <w:szCs w:val="20"/>
            <w:lang w:val="en-US"/>
          </w:rPr>
          <w:t>10.1056/NEJM199806043382302</w:t>
        </w:r>
      </w:hyperlink>
    </w:p>
    <w:p w14:paraId="1D2B7C0C" w14:textId="0E3F4ECD"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Davis PH, Dawson JD, Riley WA, Lauer RM. Carotid intimal— medial thickness is related to cardiovascular risk factors measured from childhood through middle age: the Musca tine Study. DOI: </w:t>
      </w:r>
      <w:hyperlink r:id="rId114" w:tgtFrame="_blank" w:history="1">
        <w:r w:rsidRPr="00FB1244">
          <w:rPr>
            <w:rStyle w:val="Hyperlink"/>
            <w:rFonts w:ascii="Arial" w:hAnsi="Arial" w:cs="Arial"/>
            <w:bCs/>
            <w:sz w:val="20"/>
            <w:szCs w:val="20"/>
            <w:lang w:val="en-US"/>
          </w:rPr>
          <w:t>10.1161/hc4601.099486</w:t>
        </w:r>
      </w:hyperlink>
    </w:p>
    <w:p w14:paraId="1CDE7833" w14:textId="530067F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Rerksuppaphol</w:t>
      </w:r>
      <w:proofErr w:type="spellEnd"/>
      <w:r w:rsidRPr="00FB1244">
        <w:rPr>
          <w:rFonts w:ascii="Arial" w:hAnsi="Arial" w:cs="Arial"/>
          <w:bCs/>
          <w:color w:val="000000" w:themeColor="text1"/>
          <w:sz w:val="20"/>
          <w:szCs w:val="20"/>
          <w:lang w:val="en-US"/>
        </w:rPr>
        <w:t xml:space="preserve">, S.; </w:t>
      </w:r>
      <w:proofErr w:type="spellStart"/>
      <w:r w:rsidRPr="00FB1244">
        <w:rPr>
          <w:rFonts w:ascii="Arial" w:hAnsi="Arial" w:cs="Arial"/>
          <w:bCs/>
          <w:color w:val="000000" w:themeColor="text1"/>
          <w:sz w:val="20"/>
          <w:szCs w:val="20"/>
          <w:lang w:val="en-US"/>
        </w:rPr>
        <w:t>Rerksuppaphol</w:t>
      </w:r>
      <w:proofErr w:type="spellEnd"/>
      <w:r w:rsidRPr="00FB1244">
        <w:rPr>
          <w:rFonts w:ascii="Arial" w:hAnsi="Arial" w:cs="Arial"/>
          <w:bCs/>
          <w:color w:val="000000" w:themeColor="text1"/>
          <w:sz w:val="20"/>
          <w:szCs w:val="20"/>
          <w:lang w:val="en-US"/>
        </w:rPr>
        <w:t>, L. Prevalence of Dyslipidemia in Thai Schoolchildren. J. Med. Assoc. Thai 2011</w:t>
      </w:r>
    </w:p>
    <w:p w14:paraId="464E088F" w14:textId="5CC07D30"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Gaddi, A.; Cicero, A.F.G.; Odoo, F.O.; Poli, A.A.; Paoletti, R.; Atherosclerosis and Metabolic Diseases Study Group. Practical Guidelines for Familial Combined </w:t>
      </w:r>
      <w:proofErr w:type="spellStart"/>
      <w:r w:rsidR="001950F4">
        <w:rPr>
          <w:rFonts w:ascii="Arial" w:hAnsi="Arial" w:cs="Arial"/>
          <w:bCs/>
          <w:color w:val="000000" w:themeColor="text1"/>
          <w:sz w:val="20"/>
          <w:szCs w:val="20"/>
          <w:lang w:val="en-US"/>
        </w:rPr>
        <w:t>Hyperlipidaemia</w:t>
      </w:r>
      <w:proofErr w:type="spellEnd"/>
      <w:r w:rsidRPr="00FB1244">
        <w:rPr>
          <w:rFonts w:ascii="Arial" w:hAnsi="Arial" w:cs="Arial"/>
          <w:bCs/>
          <w:color w:val="000000" w:themeColor="text1"/>
          <w:sz w:val="20"/>
          <w:szCs w:val="20"/>
          <w:lang w:val="en-US"/>
        </w:rPr>
        <w:t xml:space="preserve"> Diagnosis: An Up-Date. </w:t>
      </w:r>
      <w:proofErr w:type="spellStart"/>
      <w:r w:rsidRPr="00FB1244">
        <w:rPr>
          <w:rFonts w:ascii="Arial" w:hAnsi="Arial" w:cs="Arial"/>
          <w:bCs/>
          <w:color w:val="000000" w:themeColor="text1"/>
          <w:sz w:val="20"/>
          <w:szCs w:val="20"/>
          <w:lang w:val="en-US"/>
        </w:rPr>
        <w:t>Vasc</w:t>
      </w:r>
      <w:proofErr w:type="spellEnd"/>
      <w:r w:rsidRPr="00FB1244">
        <w:rPr>
          <w:rFonts w:ascii="Arial" w:hAnsi="Arial" w:cs="Arial"/>
          <w:bCs/>
          <w:color w:val="000000" w:themeColor="text1"/>
          <w:sz w:val="20"/>
          <w:szCs w:val="20"/>
          <w:lang w:val="en-US"/>
        </w:rPr>
        <w:t xml:space="preserve">. Health Risk. Manag 2007. DOI: </w:t>
      </w:r>
      <w:hyperlink r:id="rId115" w:tgtFrame="_new" w:history="1">
        <w:r w:rsidRPr="00FB1244">
          <w:rPr>
            <w:rStyle w:val="Hyperlink"/>
            <w:rFonts w:ascii="Arial" w:hAnsi="Arial" w:cs="Arial"/>
            <w:bCs/>
            <w:sz w:val="20"/>
            <w:szCs w:val="20"/>
            <w:lang w:val="en-US"/>
          </w:rPr>
          <w:t>10.2174/1567270010704030229</w:t>
        </w:r>
      </w:hyperlink>
      <w:r w:rsidRPr="00FB1244">
        <w:rPr>
          <w:rFonts w:ascii="Arial" w:hAnsi="Arial" w:cs="Arial"/>
          <w:bCs/>
          <w:color w:val="000000" w:themeColor="text1"/>
          <w:sz w:val="20"/>
          <w:szCs w:val="20"/>
          <w:lang w:val="en-US"/>
        </w:rPr>
        <w:t>.</w:t>
      </w:r>
    </w:p>
    <w:p w14:paraId="3AAB37BB" w14:textId="77777777"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Mendelson, M.M.; </w:t>
      </w:r>
      <w:proofErr w:type="spellStart"/>
      <w:r w:rsidRPr="00FB1244">
        <w:rPr>
          <w:rFonts w:ascii="Arial" w:hAnsi="Arial" w:cs="Arial"/>
          <w:bCs/>
          <w:color w:val="000000" w:themeColor="text1"/>
          <w:sz w:val="20"/>
          <w:szCs w:val="20"/>
          <w:lang w:val="en-US"/>
        </w:rPr>
        <w:t>Regh</w:t>
      </w:r>
      <w:proofErr w:type="spellEnd"/>
      <w:r w:rsidRPr="00FB1244">
        <w:rPr>
          <w:rFonts w:ascii="Arial" w:hAnsi="Arial" w:cs="Arial"/>
          <w:bCs/>
          <w:color w:val="000000" w:themeColor="text1"/>
          <w:sz w:val="20"/>
          <w:szCs w:val="20"/>
          <w:lang w:val="en-US"/>
        </w:rPr>
        <w:t xml:space="preserve">, T.; Chan, J.; Baker, A.; Ryan, H.H.; Palumbo, N.; Johnson, P.K.; Griggs, S.; </w:t>
      </w:r>
      <w:proofErr w:type="spellStart"/>
      <w:r w:rsidRPr="00FB1244">
        <w:rPr>
          <w:rFonts w:ascii="Arial" w:hAnsi="Arial" w:cs="Arial"/>
          <w:bCs/>
          <w:color w:val="000000" w:themeColor="text1"/>
          <w:sz w:val="20"/>
          <w:szCs w:val="20"/>
          <w:lang w:val="en-US"/>
        </w:rPr>
        <w:t>Boghani</w:t>
      </w:r>
      <w:proofErr w:type="spellEnd"/>
      <w:r w:rsidRPr="00FB1244">
        <w:rPr>
          <w:rFonts w:ascii="Arial" w:hAnsi="Arial" w:cs="Arial"/>
          <w:bCs/>
          <w:color w:val="000000" w:themeColor="text1"/>
          <w:sz w:val="20"/>
          <w:szCs w:val="20"/>
          <w:lang w:val="en-US"/>
        </w:rPr>
        <w:t xml:space="preserve">, M.; Desai, N.K.; et al. Correlates of Achieving Statin Therapy Goals in Children and Adolescents with Dyslipidemia. J. </w:t>
      </w:r>
      <w:proofErr w:type="spellStart"/>
      <w:r w:rsidRPr="00FB1244">
        <w:rPr>
          <w:rFonts w:ascii="Arial" w:hAnsi="Arial" w:cs="Arial"/>
          <w:bCs/>
          <w:color w:val="000000" w:themeColor="text1"/>
          <w:sz w:val="20"/>
          <w:szCs w:val="20"/>
          <w:lang w:val="en-US"/>
        </w:rPr>
        <w:t>Pediatr</w:t>
      </w:r>
      <w:proofErr w:type="spellEnd"/>
      <w:r w:rsidRPr="00FB1244">
        <w:rPr>
          <w:rFonts w:ascii="Arial" w:hAnsi="Arial" w:cs="Arial"/>
          <w:bCs/>
          <w:color w:val="000000" w:themeColor="text1"/>
          <w:sz w:val="20"/>
          <w:szCs w:val="20"/>
          <w:lang w:val="en-US"/>
        </w:rPr>
        <w:t xml:space="preserve">. </w:t>
      </w:r>
      <w:proofErr w:type="gramStart"/>
      <w:r w:rsidRPr="00FB1244">
        <w:rPr>
          <w:rFonts w:ascii="Arial" w:hAnsi="Arial" w:cs="Arial"/>
          <w:bCs/>
          <w:color w:val="000000" w:themeColor="text1"/>
          <w:sz w:val="20"/>
          <w:szCs w:val="20"/>
          <w:lang w:val="en-US"/>
        </w:rPr>
        <w:t>2016  </w:t>
      </w:r>
      <w:proofErr w:type="spellStart"/>
      <w:r w:rsidRPr="00FB1244">
        <w:rPr>
          <w:rFonts w:ascii="Arial" w:hAnsi="Arial" w:cs="Arial"/>
          <w:bCs/>
          <w:color w:val="000000" w:themeColor="text1"/>
          <w:sz w:val="20"/>
          <w:szCs w:val="20"/>
          <w:lang w:val="en-US"/>
        </w:rPr>
        <w:t>doi</w:t>
      </w:r>
      <w:proofErr w:type="spellEnd"/>
      <w:proofErr w:type="gramEnd"/>
      <w:r w:rsidRPr="00FB1244">
        <w:rPr>
          <w:rFonts w:ascii="Arial" w:hAnsi="Arial" w:cs="Arial"/>
          <w:bCs/>
          <w:color w:val="000000" w:themeColor="text1"/>
          <w:sz w:val="20"/>
          <w:szCs w:val="20"/>
          <w:lang w:val="en-US"/>
        </w:rPr>
        <w:t>: </w:t>
      </w:r>
      <w:hyperlink r:id="rId116" w:tgtFrame="_blank" w:history="1">
        <w:r w:rsidRPr="00FB1244">
          <w:rPr>
            <w:rStyle w:val="Hyperlink"/>
            <w:rFonts w:ascii="Arial" w:hAnsi="Arial" w:cs="Arial"/>
            <w:bCs/>
            <w:sz w:val="20"/>
            <w:szCs w:val="20"/>
            <w:lang w:val="en-US"/>
          </w:rPr>
          <w:t>10.1016/j.jpeds.2016.08.003</w:t>
        </w:r>
      </w:hyperlink>
    </w:p>
    <w:p w14:paraId="5585DC58" w14:textId="77777777" w:rsidR="00FB1244" w:rsidRPr="00FB1244" w:rsidRDefault="00FB1244" w:rsidP="00FB1244">
      <w:pPr>
        <w:spacing w:line="360" w:lineRule="auto"/>
        <w:jc w:val="both"/>
        <w:rPr>
          <w:rFonts w:ascii="Arial" w:hAnsi="Arial" w:cs="Arial"/>
          <w:bCs/>
          <w:color w:val="000000" w:themeColor="text1"/>
          <w:sz w:val="20"/>
          <w:szCs w:val="20"/>
          <w:lang w:val="en-US"/>
        </w:rPr>
      </w:pPr>
    </w:p>
    <w:p w14:paraId="24933F2C" w14:textId="7AA310B0"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Vega GL, Grundy SM. Hypoalphalipoproteinemia (low high-density lipoprotein) as a risk factor for coronary heart disease. </w:t>
      </w:r>
      <w:proofErr w:type="spellStart"/>
      <w:r w:rsidRPr="00FB1244">
        <w:rPr>
          <w:rFonts w:ascii="Arial" w:hAnsi="Arial" w:cs="Arial"/>
          <w:bCs/>
          <w:color w:val="000000" w:themeColor="text1"/>
          <w:sz w:val="20"/>
          <w:szCs w:val="20"/>
          <w:lang w:val="en-US"/>
        </w:rPr>
        <w:t>Curr</w:t>
      </w:r>
      <w:proofErr w:type="spellEnd"/>
      <w:r w:rsidRPr="00FB1244">
        <w:rPr>
          <w:rFonts w:ascii="Arial" w:hAnsi="Arial" w:cs="Arial"/>
          <w:bCs/>
          <w:color w:val="000000" w:themeColor="text1"/>
          <w:sz w:val="20"/>
          <w:szCs w:val="20"/>
          <w:lang w:val="en-US"/>
        </w:rPr>
        <w:t xml:space="preserve"> </w:t>
      </w:r>
      <w:proofErr w:type="spellStart"/>
      <w:r w:rsidRPr="00FB1244">
        <w:rPr>
          <w:rFonts w:ascii="Arial" w:hAnsi="Arial" w:cs="Arial"/>
          <w:bCs/>
          <w:color w:val="000000" w:themeColor="text1"/>
          <w:sz w:val="20"/>
          <w:szCs w:val="20"/>
          <w:lang w:val="en-US"/>
        </w:rPr>
        <w:t>Opin</w:t>
      </w:r>
      <w:proofErr w:type="spellEnd"/>
      <w:r w:rsidRPr="00FB1244">
        <w:rPr>
          <w:rFonts w:ascii="Arial" w:hAnsi="Arial" w:cs="Arial"/>
          <w:bCs/>
          <w:color w:val="000000" w:themeColor="text1"/>
          <w:sz w:val="20"/>
          <w:szCs w:val="20"/>
          <w:lang w:val="en-US"/>
        </w:rPr>
        <w:t xml:space="preserve"> </w:t>
      </w:r>
      <w:proofErr w:type="spellStart"/>
      <w:r w:rsidRPr="00FB1244">
        <w:rPr>
          <w:rFonts w:ascii="Arial" w:hAnsi="Arial" w:cs="Arial"/>
          <w:bCs/>
          <w:color w:val="000000" w:themeColor="text1"/>
          <w:sz w:val="20"/>
          <w:szCs w:val="20"/>
          <w:lang w:val="en-US"/>
        </w:rPr>
        <w:t>Lipidol</w:t>
      </w:r>
      <w:proofErr w:type="spellEnd"/>
      <w:r w:rsidRPr="00FB1244">
        <w:rPr>
          <w:rFonts w:ascii="Arial" w:hAnsi="Arial" w:cs="Arial"/>
          <w:bCs/>
          <w:color w:val="000000" w:themeColor="text1"/>
          <w:sz w:val="20"/>
          <w:szCs w:val="20"/>
          <w:lang w:val="en-US"/>
        </w:rPr>
        <w:t>. DOI: </w:t>
      </w:r>
      <w:hyperlink r:id="rId117" w:tgtFrame="_blank" w:history="1">
        <w:r w:rsidRPr="00FB1244">
          <w:rPr>
            <w:rStyle w:val="Hyperlink"/>
            <w:rFonts w:ascii="Arial" w:hAnsi="Arial" w:cs="Arial"/>
            <w:bCs/>
            <w:sz w:val="20"/>
            <w:szCs w:val="20"/>
            <w:lang w:val="en-US"/>
          </w:rPr>
          <w:t>10.1097/00041433-199608000-00007</w:t>
        </w:r>
      </w:hyperlink>
    </w:p>
    <w:p w14:paraId="3F815296" w14:textId="20CAF2AB"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Cortner JA, Coates PM, Liacouras CA, Jarvik GP. Familial combined </w:t>
      </w:r>
      <w:proofErr w:type="spellStart"/>
      <w:r w:rsidR="001950F4">
        <w:rPr>
          <w:rFonts w:ascii="Arial" w:hAnsi="Arial" w:cs="Arial"/>
          <w:bCs/>
          <w:color w:val="000000" w:themeColor="text1"/>
          <w:sz w:val="20"/>
          <w:szCs w:val="20"/>
          <w:lang w:val="en-US"/>
        </w:rPr>
        <w:t>hyperlipidaemia</w:t>
      </w:r>
      <w:proofErr w:type="spellEnd"/>
      <w:r w:rsidRPr="00FB1244">
        <w:rPr>
          <w:rFonts w:ascii="Arial" w:hAnsi="Arial" w:cs="Arial"/>
          <w:bCs/>
          <w:color w:val="000000" w:themeColor="text1"/>
          <w:sz w:val="20"/>
          <w:szCs w:val="20"/>
          <w:lang w:val="en-US"/>
        </w:rPr>
        <w:t xml:space="preserve"> in children: clinical expression, metabolic defects, and management.  DOI: </w:t>
      </w:r>
      <w:hyperlink r:id="rId118" w:tgtFrame="_blank" w:history="1">
        <w:r w:rsidRPr="00FB1244">
          <w:rPr>
            <w:rStyle w:val="Hyperlink"/>
            <w:rFonts w:ascii="Arial" w:hAnsi="Arial" w:cs="Arial"/>
            <w:bCs/>
            <w:sz w:val="20"/>
            <w:szCs w:val="20"/>
            <w:lang w:val="en-US"/>
          </w:rPr>
          <w:t>10.1016/s0022-3476(05)81686-5</w:t>
        </w:r>
      </w:hyperlink>
    </w:p>
    <w:p w14:paraId="3B70979D" w14:textId="29418B62"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lastRenderedPageBreak/>
        <w:t xml:space="preserve">Oliveira FL, </w:t>
      </w:r>
      <w:proofErr w:type="spellStart"/>
      <w:r w:rsidRPr="00FB1244">
        <w:rPr>
          <w:rFonts w:ascii="Arial" w:hAnsi="Arial" w:cs="Arial"/>
          <w:bCs/>
          <w:color w:val="000000" w:themeColor="text1"/>
          <w:sz w:val="20"/>
          <w:szCs w:val="20"/>
          <w:lang w:val="en-US"/>
        </w:rPr>
        <w:t>Patin</w:t>
      </w:r>
      <w:proofErr w:type="spellEnd"/>
      <w:r w:rsidRPr="00FB1244">
        <w:rPr>
          <w:rFonts w:ascii="Arial" w:hAnsi="Arial" w:cs="Arial"/>
          <w:bCs/>
          <w:color w:val="000000" w:themeColor="text1"/>
          <w:sz w:val="20"/>
          <w:szCs w:val="20"/>
          <w:lang w:val="en-US"/>
        </w:rPr>
        <w:t xml:space="preserve"> RV, </w:t>
      </w:r>
      <w:proofErr w:type="spellStart"/>
      <w:r w:rsidRPr="00FB1244">
        <w:rPr>
          <w:rFonts w:ascii="Arial" w:hAnsi="Arial" w:cs="Arial"/>
          <w:bCs/>
          <w:color w:val="000000" w:themeColor="text1"/>
          <w:sz w:val="20"/>
          <w:szCs w:val="20"/>
          <w:lang w:val="en-US"/>
        </w:rPr>
        <w:t>Escrivão</w:t>
      </w:r>
      <w:proofErr w:type="spellEnd"/>
      <w:r w:rsidRPr="00FB1244">
        <w:rPr>
          <w:rFonts w:ascii="Arial" w:hAnsi="Arial" w:cs="Arial"/>
          <w:bCs/>
          <w:color w:val="000000" w:themeColor="text1"/>
          <w:sz w:val="20"/>
          <w:szCs w:val="20"/>
          <w:lang w:val="en-US"/>
        </w:rPr>
        <w:t xml:space="preserve"> MA. Atherosclerosis prevention and treatment in children and adolescents. Expert Rev Cardiovasc Ther. 2010 Apr;8(4):513-28. </w:t>
      </w:r>
      <w:proofErr w:type="spellStart"/>
      <w:r w:rsidRPr="00FB1244">
        <w:rPr>
          <w:rFonts w:ascii="Arial" w:hAnsi="Arial" w:cs="Arial"/>
          <w:bCs/>
          <w:color w:val="000000" w:themeColor="text1"/>
          <w:sz w:val="20"/>
          <w:szCs w:val="20"/>
          <w:lang w:val="en-US"/>
        </w:rPr>
        <w:t>doi</w:t>
      </w:r>
      <w:proofErr w:type="spellEnd"/>
      <w:r w:rsidRPr="00FB1244">
        <w:rPr>
          <w:rFonts w:ascii="Arial" w:hAnsi="Arial" w:cs="Arial"/>
          <w:bCs/>
          <w:color w:val="000000" w:themeColor="text1"/>
          <w:sz w:val="20"/>
          <w:szCs w:val="20"/>
          <w:lang w:val="en-US"/>
        </w:rPr>
        <w:t>: 10.1586/erc.09.170. PMID: 20397826. DOI: </w:t>
      </w:r>
      <w:hyperlink r:id="rId119" w:tgtFrame="_blank" w:history="1">
        <w:r w:rsidRPr="00FB1244">
          <w:rPr>
            <w:rStyle w:val="Hyperlink"/>
            <w:rFonts w:ascii="Arial" w:hAnsi="Arial" w:cs="Arial"/>
            <w:bCs/>
            <w:sz w:val="20"/>
            <w:szCs w:val="20"/>
            <w:lang w:val="en-US"/>
          </w:rPr>
          <w:t>10.1586/erc.09.170</w:t>
        </w:r>
      </w:hyperlink>
    </w:p>
    <w:p w14:paraId="53611CB5" w14:textId="1621BB38"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Koletzko</w:t>
      </w:r>
      <w:proofErr w:type="spellEnd"/>
      <w:r w:rsidRPr="00FB1244">
        <w:rPr>
          <w:rFonts w:ascii="Arial" w:hAnsi="Arial" w:cs="Arial"/>
          <w:bCs/>
          <w:color w:val="000000" w:themeColor="text1"/>
          <w:sz w:val="20"/>
          <w:szCs w:val="20"/>
          <w:lang w:val="en-US"/>
        </w:rPr>
        <w:t xml:space="preserve"> B. Early nutrition and long-term healthy. In: Pediatric Nutrition in Practice. </w:t>
      </w:r>
      <w:proofErr w:type="spellStart"/>
      <w:r w:rsidRPr="00FB1244">
        <w:rPr>
          <w:rFonts w:ascii="Arial" w:hAnsi="Arial" w:cs="Arial"/>
          <w:bCs/>
          <w:color w:val="000000" w:themeColor="text1"/>
          <w:sz w:val="20"/>
          <w:szCs w:val="20"/>
          <w:lang w:val="en-US"/>
        </w:rPr>
        <w:t>Koletzko</w:t>
      </w:r>
      <w:proofErr w:type="spellEnd"/>
      <w:r w:rsidRPr="00FB1244">
        <w:rPr>
          <w:rFonts w:ascii="Arial" w:hAnsi="Arial" w:cs="Arial"/>
          <w:bCs/>
          <w:color w:val="000000" w:themeColor="text1"/>
          <w:sz w:val="20"/>
          <w:szCs w:val="20"/>
          <w:lang w:val="en-US"/>
        </w:rPr>
        <w:t xml:space="preserve"> B (Ed.). Karger, Basel, Switzerland, (2008). DOI: </w:t>
      </w:r>
      <w:hyperlink r:id="rId120" w:tgtFrame="_new" w:history="1">
        <w:r w:rsidRPr="00FB1244">
          <w:rPr>
            <w:rStyle w:val="Hyperlink"/>
            <w:rFonts w:ascii="Arial" w:hAnsi="Arial" w:cs="Arial"/>
            <w:bCs/>
            <w:sz w:val="20"/>
            <w:szCs w:val="20"/>
            <w:lang w:val="en-US"/>
          </w:rPr>
          <w:t>10.1159/000369235</w:t>
        </w:r>
      </w:hyperlink>
      <w:r w:rsidRPr="00FB1244">
        <w:rPr>
          <w:rFonts w:ascii="Arial" w:hAnsi="Arial" w:cs="Arial"/>
          <w:bCs/>
          <w:color w:val="000000" w:themeColor="text1"/>
          <w:sz w:val="20"/>
          <w:szCs w:val="20"/>
          <w:lang w:val="en-US"/>
        </w:rPr>
        <w:t>.</w:t>
      </w:r>
    </w:p>
    <w:p w14:paraId="760E186E" w14:textId="6281D9DB"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von Schacky C. Omega-3 fatty acids and cardiovascular disease. Curr. </w:t>
      </w:r>
      <w:proofErr w:type="spellStart"/>
      <w:r w:rsidRPr="00FB1244">
        <w:rPr>
          <w:rFonts w:ascii="Arial" w:hAnsi="Arial" w:cs="Arial"/>
          <w:bCs/>
          <w:color w:val="000000" w:themeColor="text1"/>
          <w:sz w:val="20"/>
          <w:szCs w:val="20"/>
          <w:lang w:val="en-US"/>
        </w:rPr>
        <w:t>Opin</w:t>
      </w:r>
      <w:proofErr w:type="spellEnd"/>
      <w:r w:rsidRPr="00FB1244">
        <w:rPr>
          <w:rFonts w:ascii="Arial" w:hAnsi="Arial" w:cs="Arial"/>
          <w:bCs/>
          <w:color w:val="000000" w:themeColor="text1"/>
          <w:sz w:val="20"/>
          <w:szCs w:val="20"/>
          <w:lang w:val="en-US"/>
        </w:rPr>
        <w:t>. </w:t>
      </w:r>
      <w:proofErr w:type="spellStart"/>
      <w:r w:rsidRPr="00FB1244">
        <w:rPr>
          <w:rFonts w:ascii="Arial" w:hAnsi="Arial" w:cs="Arial"/>
          <w:bCs/>
          <w:color w:val="000000" w:themeColor="text1"/>
          <w:sz w:val="20"/>
          <w:szCs w:val="20"/>
          <w:lang w:val="en-US"/>
        </w:rPr>
        <w:t>Nutr</w:t>
      </w:r>
      <w:proofErr w:type="spellEnd"/>
      <w:r w:rsidRPr="00FB1244">
        <w:rPr>
          <w:rFonts w:ascii="Arial" w:hAnsi="Arial" w:cs="Arial"/>
          <w:bCs/>
          <w:color w:val="000000" w:themeColor="text1"/>
          <w:sz w:val="20"/>
          <w:szCs w:val="20"/>
          <w:lang w:val="en-US"/>
        </w:rPr>
        <w:t xml:space="preserve">.  </w:t>
      </w:r>
      <w:proofErr w:type="spellStart"/>
      <w:r w:rsidRPr="00FB1244">
        <w:rPr>
          <w:rFonts w:ascii="Arial" w:hAnsi="Arial" w:cs="Arial"/>
          <w:bCs/>
          <w:color w:val="000000" w:themeColor="text1"/>
          <w:sz w:val="20"/>
          <w:szCs w:val="20"/>
          <w:lang w:val="en-US"/>
        </w:rPr>
        <w:t>Metab</w:t>
      </w:r>
      <w:proofErr w:type="spellEnd"/>
      <w:r w:rsidRPr="00FB1244">
        <w:rPr>
          <w:rFonts w:ascii="Arial" w:hAnsi="Arial" w:cs="Arial"/>
          <w:bCs/>
          <w:color w:val="000000" w:themeColor="text1"/>
          <w:sz w:val="20"/>
          <w:szCs w:val="20"/>
          <w:lang w:val="en-US"/>
        </w:rPr>
        <w:t xml:space="preserve">. Care (2007). DOI: </w:t>
      </w:r>
      <w:hyperlink r:id="rId121" w:tgtFrame="_new" w:history="1">
        <w:r w:rsidRPr="00FB1244">
          <w:rPr>
            <w:rStyle w:val="Hyperlink"/>
            <w:rFonts w:ascii="Arial" w:hAnsi="Arial" w:cs="Arial"/>
            <w:bCs/>
            <w:sz w:val="20"/>
            <w:szCs w:val="20"/>
            <w:lang w:val="en-US"/>
          </w:rPr>
          <w:t>10.1097/MCO.0b013e3280127af0</w:t>
        </w:r>
      </w:hyperlink>
      <w:r w:rsidRPr="00FB1244">
        <w:rPr>
          <w:rFonts w:ascii="Arial" w:hAnsi="Arial" w:cs="Arial"/>
          <w:bCs/>
          <w:color w:val="000000" w:themeColor="text1"/>
          <w:sz w:val="20"/>
          <w:szCs w:val="20"/>
          <w:lang w:val="en-US"/>
        </w:rPr>
        <w:t>.</w:t>
      </w:r>
    </w:p>
    <w:p w14:paraId="5F22AB17" w14:textId="0E75126B"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Iughetti</w:t>
      </w:r>
      <w:proofErr w:type="spellEnd"/>
      <w:r w:rsidRPr="00FB1244">
        <w:rPr>
          <w:rFonts w:ascii="Arial" w:hAnsi="Arial" w:cs="Arial"/>
          <w:bCs/>
          <w:color w:val="000000" w:themeColor="text1"/>
          <w:sz w:val="20"/>
          <w:szCs w:val="20"/>
          <w:lang w:val="en-US"/>
        </w:rPr>
        <w:t xml:space="preserve"> L, </w:t>
      </w:r>
      <w:proofErr w:type="spellStart"/>
      <w:r w:rsidRPr="00FB1244">
        <w:rPr>
          <w:rFonts w:ascii="Arial" w:hAnsi="Arial" w:cs="Arial"/>
          <w:bCs/>
          <w:color w:val="000000" w:themeColor="text1"/>
          <w:sz w:val="20"/>
          <w:szCs w:val="20"/>
          <w:lang w:val="en-US"/>
        </w:rPr>
        <w:t>Predieri</w:t>
      </w:r>
      <w:proofErr w:type="spellEnd"/>
      <w:r w:rsidRPr="00FB1244">
        <w:rPr>
          <w:rFonts w:ascii="Arial" w:hAnsi="Arial" w:cs="Arial"/>
          <w:bCs/>
          <w:color w:val="000000" w:themeColor="text1"/>
          <w:sz w:val="20"/>
          <w:szCs w:val="20"/>
          <w:lang w:val="en-US"/>
        </w:rPr>
        <w:t xml:space="preserve"> B, Bruzzi P, Balli F. Approaches to dyslipidemia treatment in children and adolescents. Expert Rev.  Endocrinol. </w:t>
      </w:r>
      <w:proofErr w:type="spellStart"/>
      <w:r w:rsidRPr="00FB1244">
        <w:rPr>
          <w:rFonts w:ascii="Arial" w:hAnsi="Arial" w:cs="Arial"/>
          <w:bCs/>
          <w:color w:val="000000" w:themeColor="text1"/>
          <w:sz w:val="20"/>
          <w:szCs w:val="20"/>
          <w:lang w:val="en-US"/>
        </w:rPr>
        <w:t>Metab</w:t>
      </w:r>
      <w:proofErr w:type="spellEnd"/>
      <w:r w:rsidRPr="00FB1244">
        <w:rPr>
          <w:rFonts w:ascii="Arial" w:hAnsi="Arial" w:cs="Arial"/>
          <w:bCs/>
          <w:color w:val="000000" w:themeColor="text1"/>
          <w:sz w:val="20"/>
          <w:szCs w:val="20"/>
          <w:lang w:val="en-US"/>
        </w:rPr>
        <w:t>. 3(5), (2008). DOI: </w:t>
      </w:r>
      <w:hyperlink r:id="rId122" w:tgtFrame="_blank" w:history="1">
        <w:r w:rsidRPr="00FB1244">
          <w:rPr>
            <w:rStyle w:val="Hyperlink"/>
            <w:rFonts w:ascii="Arial" w:hAnsi="Arial" w:cs="Arial"/>
            <w:bCs/>
            <w:sz w:val="20"/>
            <w:szCs w:val="20"/>
            <w:lang w:val="en-US"/>
          </w:rPr>
          <w:t>10.1586/17446651.3.5.615</w:t>
        </w:r>
      </w:hyperlink>
    </w:p>
    <w:p w14:paraId="3F345B7E" w14:textId="60D464E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Priya Chandrasekhar. The study on serum lipid profile in children from high-risk families. </w:t>
      </w:r>
      <w:proofErr w:type="spellStart"/>
      <w:r w:rsidRPr="00FB1244">
        <w:rPr>
          <w:rFonts w:ascii="Arial" w:hAnsi="Arial" w:cs="Arial"/>
          <w:bCs/>
          <w:color w:val="000000" w:themeColor="text1"/>
          <w:sz w:val="20"/>
          <w:szCs w:val="20"/>
          <w:lang w:val="en-US"/>
        </w:rPr>
        <w:t>MedPulse</w:t>
      </w:r>
      <w:proofErr w:type="spellEnd"/>
      <w:r w:rsidRPr="00FB1244">
        <w:rPr>
          <w:rFonts w:ascii="Arial" w:hAnsi="Arial" w:cs="Arial"/>
          <w:bCs/>
          <w:color w:val="000000" w:themeColor="text1"/>
          <w:sz w:val="20"/>
          <w:szCs w:val="20"/>
          <w:lang w:val="en-US"/>
        </w:rPr>
        <w:t xml:space="preserve"> International Journal of Pediatrics. May 2020; 14(2): 08–14. DOI: </w:t>
      </w:r>
      <w:hyperlink r:id="rId123" w:history="1">
        <w:r w:rsidRPr="00FB1244">
          <w:rPr>
            <w:rStyle w:val="Hyperlink"/>
            <w:rFonts w:ascii="Arial" w:hAnsi="Arial" w:cs="Arial"/>
            <w:bCs/>
            <w:sz w:val="20"/>
            <w:szCs w:val="20"/>
            <w:lang w:val="en-US"/>
          </w:rPr>
          <w:t>https://doi.org/10.26611/10141422</w:t>
        </w:r>
      </w:hyperlink>
    </w:p>
    <w:p w14:paraId="724BAC26" w14:textId="766996A2"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Farrahi</w:t>
      </w:r>
      <w:proofErr w:type="spellEnd"/>
      <w:r w:rsidRPr="00FB1244">
        <w:rPr>
          <w:rFonts w:ascii="Arial" w:hAnsi="Arial" w:cs="Arial"/>
          <w:bCs/>
          <w:color w:val="000000" w:themeColor="text1"/>
          <w:sz w:val="20"/>
          <w:szCs w:val="20"/>
          <w:lang w:val="en-US"/>
        </w:rPr>
        <w:t xml:space="preserve"> V, Rostami M, </w:t>
      </w:r>
      <w:proofErr w:type="spellStart"/>
      <w:r w:rsidRPr="00FB1244">
        <w:rPr>
          <w:rFonts w:ascii="Arial" w:hAnsi="Arial" w:cs="Arial"/>
          <w:bCs/>
          <w:color w:val="000000" w:themeColor="text1"/>
          <w:sz w:val="20"/>
          <w:szCs w:val="20"/>
          <w:lang w:val="en-US"/>
        </w:rPr>
        <w:t>Dumuid</w:t>
      </w:r>
      <w:proofErr w:type="spellEnd"/>
      <w:r w:rsidRPr="00FB1244">
        <w:rPr>
          <w:rFonts w:ascii="Arial" w:hAnsi="Arial" w:cs="Arial"/>
          <w:bCs/>
          <w:color w:val="000000" w:themeColor="text1"/>
          <w:sz w:val="20"/>
          <w:szCs w:val="20"/>
          <w:lang w:val="en-US"/>
        </w:rPr>
        <w:t xml:space="preserve"> D, </w:t>
      </w:r>
      <w:proofErr w:type="spellStart"/>
      <w:r w:rsidRPr="00FB1244">
        <w:rPr>
          <w:rFonts w:ascii="Arial" w:hAnsi="Arial" w:cs="Arial"/>
          <w:bCs/>
          <w:color w:val="000000" w:themeColor="text1"/>
          <w:sz w:val="20"/>
          <w:szCs w:val="20"/>
          <w:lang w:val="en-US"/>
        </w:rPr>
        <w:t>Chastin</w:t>
      </w:r>
      <w:proofErr w:type="spellEnd"/>
      <w:r w:rsidRPr="00FB1244">
        <w:rPr>
          <w:rFonts w:ascii="Arial" w:hAnsi="Arial" w:cs="Arial"/>
          <w:bCs/>
          <w:color w:val="000000" w:themeColor="text1"/>
          <w:sz w:val="20"/>
          <w:szCs w:val="20"/>
          <w:lang w:val="en-US"/>
        </w:rPr>
        <w:t xml:space="preserve"> SFM, </w:t>
      </w:r>
      <w:proofErr w:type="spellStart"/>
      <w:r w:rsidRPr="00FB1244">
        <w:rPr>
          <w:rFonts w:ascii="Arial" w:hAnsi="Arial" w:cs="Arial"/>
          <w:bCs/>
          <w:color w:val="000000" w:themeColor="text1"/>
          <w:sz w:val="20"/>
          <w:szCs w:val="20"/>
          <w:lang w:val="en-US"/>
        </w:rPr>
        <w:t>Niemelä</w:t>
      </w:r>
      <w:proofErr w:type="spellEnd"/>
      <w:r w:rsidRPr="00FB1244">
        <w:rPr>
          <w:rFonts w:ascii="Arial" w:hAnsi="Arial" w:cs="Arial"/>
          <w:bCs/>
          <w:color w:val="000000" w:themeColor="text1"/>
          <w:sz w:val="20"/>
          <w:szCs w:val="20"/>
          <w:lang w:val="en-US"/>
        </w:rPr>
        <w:t xml:space="preserve"> M, </w:t>
      </w:r>
      <w:proofErr w:type="spellStart"/>
      <w:r w:rsidRPr="00FB1244">
        <w:rPr>
          <w:rFonts w:ascii="Arial" w:hAnsi="Arial" w:cs="Arial"/>
          <w:bCs/>
          <w:color w:val="000000" w:themeColor="text1"/>
          <w:sz w:val="20"/>
          <w:szCs w:val="20"/>
          <w:lang w:val="en-US"/>
        </w:rPr>
        <w:t>Korpelainen</w:t>
      </w:r>
      <w:proofErr w:type="spellEnd"/>
      <w:r w:rsidRPr="00FB1244">
        <w:rPr>
          <w:rFonts w:ascii="Arial" w:hAnsi="Arial" w:cs="Arial"/>
          <w:bCs/>
          <w:color w:val="000000" w:themeColor="text1"/>
          <w:sz w:val="20"/>
          <w:szCs w:val="20"/>
          <w:lang w:val="en-US"/>
        </w:rPr>
        <w:t xml:space="preserve"> R, </w:t>
      </w:r>
      <w:proofErr w:type="spellStart"/>
      <w:r w:rsidRPr="00FB1244">
        <w:rPr>
          <w:rFonts w:ascii="Arial" w:hAnsi="Arial" w:cs="Arial"/>
          <w:bCs/>
          <w:color w:val="000000" w:themeColor="text1"/>
          <w:sz w:val="20"/>
          <w:szCs w:val="20"/>
          <w:lang w:val="en-US"/>
        </w:rPr>
        <w:t>Jämsä</w:t>
      </w:r>
      <w:proofErr w:type="spellEnd"/>
      <w:r w:rsidRPr="00FB1244">
        <w:rPr>
          <w:rFonts w:ascii="Arial" w:hAnsi="Arial" w:cs="Arial"/>
          <w:bCs/>
          <w:color w:val="000000" w:themeColor="text1"/>
          <w:sz w:val="20"/>
          <w:szCs w:val="20"/>
          <w:lang w:val="en-US"/>
        </w:rPr>
        <w:t xml:space="preserve"> T, </w:t>
      </w:r>
      <w:proofErr w:type="spellStart"/>
      <w:r w:rsidRPr="00FB1244">
        <w:rPr>
          <w:rFonts w:ascii="Arial" w:hAnsi="Arial" w:cs="Arial"/>
          <w:bCs/>
          <w:color w:val="000000" w:themeColor="text1"/>
          <w:sz w:val="20"/>
          <w:szCs w:val="20"/>
          <w:lang w:val="en-US"/>
        </w:rPr>
        <w:t>Oussalah</w:t>
      </w:r>
      <w:proofErr w:type="spellEnd"/>
      <w:r w:rsidRPr="00FB1244">
        <w:rPr>
          <w:rFonts w:ascii="Arial" w:hAnsi="Arial" w:cs="Arial"/>
          <w:bCs/>
          <w:color w:val="000000" w:themeColor="text1"/>
          <w:sz w:val="20"/>
          <w:szCs w:val="20"/>
          <w:lang w:val="en-US"/>
        </w:rPr>
        <w:t xml:space="preserve"> M. Joint Profiles of Sedentary Time and Physical Activity in Adults and Their Associations with Cardiometabolic Health. Med Sci Sports </w:t>
      </w:r>
      <w:proofErr w:type="spellStart"/>
      <w:r w:rsidRPr="00FB1244">
        <w:rPr>
          <w:rFonts w:ascii="Arial" w:hAnsi="Arial" w:cs="Arial"/>
          <w:bCs/>
          <w:color w:val="000000" w:themeColor="text1"/>
          <w:sz w:val="20"/>
          <w:szCs w:val="20"/>
          <w:lang w:val="en-US"/>
        </w:rPr>
        <w:t>Exerc</w:t>
      </w:r>
      <w:proofErr w:type="spellEnd"/>
      <w:r w:rsidRPr="00FB1244">
        <w:rPr>
          <w:rFonts w:ascii="Arial" w:hAnsi="Arial" w:cs="Arial"/>
          <w:bCs/>
          <w:color w:val="000000" w:themeColor="text1"/>
          <w:sz w:val="20"/>
          <w:szCs w:val="20"/>
          <w:lang w:val="en-US"/>
        </w:rPr>
        <w:t xml:space="preserve">. 2022 Dec 1;54(12):2118-2128.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2022 Jul 30. PMID: 35881930; PMCID: PMC9671590. DOI: </w:t>
      </w:r>
      <w:hyperlink r:id="rId124" w:tgtFrame="_blank" w:history="1">
        <w:r w:rsidRPr="00FB1244">
          <w:rPr>
            <w:rStyle w:val="Hyperlink"/>
            <w:rFonts w:ascii="Arial" w:hAnsi="Arial" w:cs="Arial"/>
            <w:bCs/>
            <w:sz w:val="20"/>
            <w:szCs w:val="20"/>
            <w:lang w:val="en-US"/>
          </w:rPr>
          <w:t>10.1249/MSS.0000000000003008</w:t>
        </w:r>
      </w:hyperlink>
    </w:p>
    <w:p w14:paraId="242E9122" w14:textId="0AC8ABBE"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Baloch S, </w:t>
      </w:r>
      <w:proofErr w:type="spellStart"/>
      <w:r w:rsidRPr="00FB1244">
        <w:rPr>
          <w:rFonts w:ascii="Arial" w:hAnsi="Arial" w:cs="Arial"/>
          <w:bCs/>
          <w:color w:val="000000" w:themeColor="text1"/>
          <w:sz w:val="20"/>
          <w:szCs w:val="20"/>
          <w:lang w:val="en-US"/>
        </w:rPr>
        <w:t>Devrajani</w:t>
      </w:r>
      <w:proofErr w:type="spellEnd"/>
      <w:r w:rsidRPr="00FB1244">
        <w:rPr>
          <w:rFonts w:ascii="Arial" w:hAnsi="Arial" w:cs="Arial"/>
          <w:bCs/>
          <w:color w:val="000000" w:themeColor="text1"/>
          <w:sz w:val="20"/>
          <w:szCs w:val="20"/>
          <w:lang w:val="en-US"/>
        </w:rPr>
        <w:t xml:space="preserve"> BR, Baloch MA, Pir MA. Lipid profile in children with coronary artery disease in Sindh, Pakistan. World J </w:t>
      </w:r>
      <w:proofErr w:type="spellStart"/>
      <w:r w:rsidRPr="00FB1244">
        <w:rPr>
          <w:rFonts w:ascii="Arial" w:hAnsi="Arial" w:cs="Arial"/>
          <w:bCs/>
          <w:color w:val="000000" w:themeColor="text1"/>
          <w:sz w:val="20"/>
          <w:szCs w:val="20"/>
          <w:lang w:val="en-US"/>
        </w:rPr>
        <w:t>Cardiol</w:t>
      </w:r>
      <w:proofErr w:type="spellEnd"/>
      <w:r w:rsidRPr="00FB1244">
        <w:rPr>
          <w:rFonts w:ascii="Arial" w:hAnsi="Arial" w:cs="Arial"/>
          <w:bCs/>
          <w:color w:val="000000" w:themeColor="text1"/>
          <w:sz w:val="20"/>
          <w:szCs w:val="20"/>
          <w:lang w:val="en-US"/>
        </w:rPr>
        <w:t>. 2014 Jul 26;6(7):671-4. v</w:t>
      </w:r>
      <w:proofErr w:type="gramStart"/>
      <w:r w:rsidRPr="00FB1244">
        <w:rPr>
          <w:rFonts w:ascii="Arial" w:hAnsi="Arial" w:cs="Arial"/>
          <w:bCs/>
          <w:color w:val="000000" w:themeColor="text1"/>
          <w:sz w:val="20"/>
          <w:szCs w:val="20"/>
          <w:lang w:val="en-US"/>
        </w:rPr>
        <w:t>6.i</w:t>
      </w:r>
      <w:proofErr w:type="gramEnd"/>
      <w:r w:rsidRPr="00FB1244">
        <w:rPr>
          <w:rFonts w:ascii="Arial" w:hAnsi="Arial" w:cs="Arial"/>
          <w:bCs/>
          <w:color w:val="000000" w:themeColor="text1"/>
          <w:sz w:val="20"/>
          <w:szCs w:val="20"/>
          <w:lang w:val="en-US"/>
        </w:rPr>
        <w:t>7.671. PMID: 25068027; PMCID: PMC4110615.  </w:t>
      </w:r>
      <w:proofErr w:type="spellStart"/>
      <w:r w:rsidRPr="00FB1244">
        <w:rPr>
          <w:rFonts w:ascii="Arial" w:hAnsi="Arial" w:cs="Arial"/>
          <w:bCs/>
          <w:color w:val="000000" w:themeColor="text1"/>
          <w:sz w:val="20"/>
          <w:szCs w:val="20"/>
          <w:lang w:val="en-US"/>
        </w:rPr>
        <w:t>doi</w:t>
      </w:r>
      <w:proofErr w:type="spellEnd"/>
      <w:r w:rsidRPr="00FB1244">
        <w:rPr>
          <w:rFonts w:ascii="Arial" w:hAnsi="Arial" w:cs="Arial"/>
          <w:bCs/>
          <w:color w:val="000000" w:themeColor="text1"/>
          <w:sz w:val="20"/>
          <w:szCs w:val="20"/>
          <w:lang w:val="en-US"/>
        </w:rPr>
        <w:t>: </w:t>
      </w:r>
      <w:hyperlink r:id="rId125" w:tgtFrame="_blank" w:history="1">
        <w:r w:rsidRPr="00FB1244">
          <w:rPr>
            <w:rStyle w:val="Hyperlink"/>
            <w:rFonts w:ascii="Arial" w:hAnsi="Arial" w:cs="Arial"/>
            <w:bCs/>
            <w:sz w:val="20"/>
            <w:szCs w:val="20"/>
            <w:lang w:val="en-US"/>
          </w:rPr>
          <w:t>10.4330/</w:t>
        </w:r>
        <w:proofErr w:type="gramStart"/>
        <w:r w:rsidRPr="00FB1244">
          <w:rPr>
            <w:rStyle w:val="Hyperlink"/>
            <w:rFonts w:ascii="Arial" w:hAnsi="Arial" w:cs="Arial"/>
            <w:bCs/>
            <w:sz w:val="20"/>
            <w:szCs w:val="20"/>
            <w:lang w:val="en-US"/>
          </w:rPr>
          <w:t>wjc.v</w:t>
        </w:r>
        <w:proofErr w:type="gramEnd"/>
        <w:r w:rsidRPr="00FB1244">
          <w:rPr>
            <w:rStyle w:val="Hyperlink"/>
            <w:rFonts w:ascii="Arial" w:hAnsi="Arial" w:cs="Arial"/>
            <w:bCs/>
            <w:sz w:val="20"/>
            <w:szCs w:val="20"/>
            <w:lang w:val="en-US"/>
          </w:rPr>
          <w:t>6.i7.671</w:t>
        </w:r>
      </w:hyperlink>
    </w:p>
    <w:p w14:paraId="49936030" w14:textId="1C60BB33"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Badiee</w:t>
      </w:r>
      <w:proofErr w:type="spellEnd"/>
      <w:r w:rsidRPr="00FB1244">
        <w:rPr>
          <w:rFonts w:ascii="Arial" w:hAnsi="Arial" w:cs="Arial"/>
          <w:bCs/>
          <w:color w:val="000000" w:themeColor="text1"/>
          <w:sz w:val="20"/>
          <w:szCs w:val="20"/>
          <w:lang w:val="en-US"/>
        </w:rPr>
        <w:t xml:space="preserve">, Z., &amp; </w:t>
      </w:r>
      <w:proofErr w:type="spellStart"/>
      <w:r w:rsidRPr="00FB1244">
        <w:rPr>
          <w:rFonts w:ascii="Arial" w:hAnsi="Arial" w:cs="Arial"/>
          <w:bCs/>
          <w:color w:val="000000" w:themeColor="text1"/>
          <w:sz w:val="20"/>
          <w:szCs w:val="20"/>
          <w:lang w:val="en-US"/>
        </w:rPr>
        <w:t>Kelishadi</w:t>
      </w:r>
      <w:proofErr w:type="spellEnd"/>
      <w:r w:rsidRPr="00FB1244">
        <w:rPr>
          <w:rFonts w:ascii="Arial" w:hAnsi="Arial" w:cs="Arial"/>
          <w:bCs/>
          <w:color w:val="000000" w:themeColor="text1"/>
          <w:sz w:val="20"/>
          <w:szCs w:val="20"/>
          <w:lang w:val="en-US"/>
        </w:rPr>
        <w:t xml:space="preserve">, R. (2008). Cord blood lipid profile in a population of Iranian term newborns. Pediatric Cardiology, 29(3), 574–579. </w:t>
      </w:r>
      <w:hyperlink r:id="rId126" w:history="1">
        <w:r w:rsidRPr="00FB1244">
          <w:rPr>
            <w:rStyle w:val="Hyperlink"/>
            <w:rFonts w:ascii="Arial" w:hAnsi="Arial" w:cs="Arial"/>
            <w:bCs/>
            <w:sz w:val="20"/>
            <w:szCs w:val="20"/>
            <w:lang w:val="en-US"/>
          </w:rPr>
          <w:t>https://doi.org/10.1007/s00246-007-9149-0</w:t>
        </w:r>
      </w:hyperlink>
    </w:p>
    <w:p w14:paraId="1E7DCA1F" w14:textId="2DF5A56E"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Canabrava</w:t>
      </w:r>
      <w:proofErr w:type="spellEnd"/>
      <w:r w:rsidRPr="00FB1244">
        <w:rPr>
          <w:rFonts w:ascii="Arial" w:hAnsi="Arial" w:cs="Arial"/>
          <w:bCs/>
          <w:color w:val="000000" w:themeColor="text1"/>
          <w:sz w:val="20"/>
          <w:szCs w:val="20"/>
          <w:lang w:val="en-US"/>
        </w:rPr>
        <w:t xml:space="preserve">, K. L. R., Amorim, P. R. dos S., Miranda, V. P. N., Priore, S. E., &amp; Franceschini, S. do C. C. (2019). Sedentary behavior and cardiovascular risk in children: A systematic review. </w:t>
      </w:r>
      <w:proofErr w:type="spellStart"/>
      <w:r w:rsidRPr="00FB1244">
        <w:rPr>
          <w:rFonts w:ascii="Arial" w:hAnsi="Arial" w:cs="Arial"/>
          <w:bCs/>
          <w:color w:val="000000" w:themeColor="text1"/>
          <w:sz w:val="20"/>
          <w:szCs w:val="20"/>
          <w:lang w:val="en-US"/>
        </w:rPr>
        <w:t>Revista</w:t>
      </w:r>
      <w:proofErr w:type="spellEnd"/>
      <w:r w:rsidRPr="00FB1244">
        <w:rPr>
          <w:rFonts w:ascii="Arial" w:hAnsi="Arial" w:cs="Arial"/>
          <w:bCs/>
          <w:color w:val="000000" w:themeColor="text1"/>
          <w:sz w:val="20"/>
          <w:szCs w:val="20"/>
          <w:lang w:val="en-US"/>
        </w:rPr>
        <w:t xml:space="preserve"> </w:t>
      </w:r>
      <w:proofErr w:type="spellStart"/>
      <w:r w:rsidRPr="00FB1244">
        <w:rPr>
          <w:rFonts w:ascii="Arial" w:hAnsi="Arial" w:cs="Arial"/>
          <w:bCs/>
          <w:color w:val="000000" w:themeColor="text1"/>
          <w:sz w:val="20"/>
          <w:szCs w:val="20"/>
          <w:lang w:val="en-US"/>
        </w:rPr>
        <w:t>Brasileira</w:t>
      </w:r>
      <w:proofErr w:type="spellEnd"/>
      <w:r w:rsidRPr="00FB1244">
        <w:rPr>
          <w:rFonts w:ascii="Arial" w:hAnsi="Arial" w:cs="Arial"/>
          <w:bCs/>
          <w:color w:val="000000" w:themeColor="text1"/>
          <w:sz w:val="20"/>
          <w:szCs w:val="20"/>
          <w:lang w:val="en-US"/>
        </w:rPr>
        <w:t xml:space="preserve"> de </w:t>
      </w:r>
      <w:proofErr w:type="spellStart"/>
      <w:r w:rsidRPr="00FB1244">
        <w:rPr>
          <w:rFonts w:ascii="Arial" w:hAnsi="Arial" w:cs="Arial"/>
          <w:bCs/>
          <w:color w:val="000000" w:themeColor="text1"/>
          <w:sz w:val="20"/>
          <w:szCs w:val="20"/>
          <w:lang w:val="en-US"/>
        </w:rPr>
        <w:t>Medicina</w:t>
      </w:r>
      <w:proofErr w:type="spellEnd"/>
      <w:r w:rsidRPr="00FB1244">
        <w:rPr>
          <w:rFonts w:ascii="Arial" w:hAnsi="Arial" w:cs="Arial"/>
          <w:bCs/>
          <w:color w:val="000000" w:themeColor="text1"/>
          <w:sz w:val="20"/>
          <w:szCs w:val="20"/>
          <w:lang w:val="en-US"/>
        </w:rPr>
        <w:t xml:space="preserve"> do </w:t>
      </w:r>
      <w:proofErr w:type="spellStart"/>
      <w:r w:rsidRPr="00FB1244">
        <w:rPr>
          <w:rFonts w:ascii="Arial" w:hAnsi="Arial" w:cs="Arial"/>
          <w:bCs/>
          <w:color w:val="000000" w:themeColor="text1"/>
          <w:sz w:val="20"/>
          <w:szCs w:val="20"/>
          <w:lang w:val="en-US"/>
        </w:rPr>
        <w:t>Esporte</w:t>
      </w:r>
      <w:proofErr w:type="spellEnd"/>
      <w:r w:rsidRPr="00FB1244">
        <w:rPr>
          <w:rFonts w:ascii="Arial" w:hAnsi="Arial" w:cs="Arial"/>
          <w:bCs/>
          <w:color w:val="000000" w:themeColor="text1"/>
          <w:sz w:val="20"/>
          <w:szCs w:val="20"/>
          <w:lang w:val="en-US"/>
        </w:rPr>
        <w:t xml:space="preserve">, 25(5), 433–440. </w:t>
      </w:r>
      <w:hyperlink r:id="rId127" w:history="1">
        <w:r w:rsidRPr="00FB1244">
          <w:rPr>
            <w:rStyle w:val="Hyperlink"/>
            <w:rFonts w:ascii="Arial" w:hAnsi="Arial" w:cs="Arial"/>
            <w:bCs/>
            <w:sz w:val="20"/>
            <w:szCs w:val="20"/>
            <w:lang w:val="en-US"/>
          </w:rPr>
          <w:t>https://doi.org/10.1590/1517-869220192505168868</w:t>
        </w:r>
      </w:hyperlink>
    </w:p>
    <w:p w14:paraId="2ACE422F" w14:textId="3A4756EA"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Turer, C. B., Brady, T. M., &amp; de Ferranti, S. D. (2018). Obesity, hypertension, and dyslipidemia in childhood are key modifiable antecedents of adult cardiovascular disease: A call to action. Circulation, 137(12), 1256–1259. </w:t>
      </w:r>
      <w:hyperlink r:id="rId128" w:history="1">
        <w:r w:rsidRPr="00FB1244">
          <w:rPr>
            <w:rStyle w:val="Hyperlink"/>
            <w:rFonts w:ascii="Arial" w:hAnsi="Arial" w:cs="Arial"/>
            <w:bCs/>
            <w:sz w:val="20"/>
            <w:szCs w:val="20"/>
            <w:lang w:val="en-US"/>
          </w:rPr>
          <w:t>https://doi.org/10.1161/CIRCULATIONAHA.118.032531</w:t>
        </w:r>
      </w:hyperlink>
    </w:p>
    <w:p w14:paraId="0407BE8A" w14:textId="558C3B7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Fiorentino, R., &amp; Chiarelli, F. (2021). Treatment of </w:t>
      </w:r>
      <w:proofErr w:type="spellStart"/>
      <w:r w:rsidRPr="00FB1244">
        <w:rPr>
          <w:rFonts w:ascii="Arial" w:hAnsi="Arial" w:cs="Arial"/>
          <w:bCs/>
          <w:color w:val="000000" w:themeColor="text1"/>
          <w:sz w:val="20"/>
          <w:szCs w:val="20"/>
          <w:lang w:val="en-US"/>
        </w:rPr>
        <w:t>Dyslipidaemia</w:t>
      </w:r>
      <w:proofErr w:type="spellEnd"/>
      <w:r w:rsidRPr="00FB1244">
        <w:rPr>
          <w:rFonts w:ascii="Arial" w:hAnsi="Arial" w:cs="Arial"/>
          <w:bCs/>
          <w:color w:val="000000" w:themeColor="text1"/>
          <w:sz w:val="20"/>
          <w:szCs w:val="20"/>
          <w:lang w:val="en-US"/>
        </w:rPr>
        <w:t xml:space="preserve"> in Children. Biomedicines, 9(9), 1078. </w:t>
      </w:r>
      <w:hyperlink r:id="rId129" w:history="1">
        <w:r w:rsidRPr="00FB1244">
          <w:rPr>
            <w:rStyle w:val="Hyperlink"/>
            <w:rFonts w:ascii="Arial" w:hAnsi="Arial" w:cs="Arial"/>
            <w:bCs/>
            <w:sz w:val="20"/>
            <w:szCs w:val="20"/>
            <w:lang w:val="en-US"/>
          </w:rPr>
          <w:t>https://doi.org/10.3390/biomedicines9091078</w:t>
        </w:r>
      </w:hyperlink>
    </w:p>
    <w:p w14:paraId="54294460" w14:textId="50C30024"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Yoon JM. Dyslipidemia in children and adolescents: when and how to diagnose and treat? </w:t>
      </w:r>
      <w:proofErr w:type="spellStart"/>
      <w:r w:rsidRPr="00FB1244">
        <w:rPr>
          <w:rFonts w:ascii="Arial" w:hAnsi="Arial" w:cs="Arial"/>
          <w:bCs/>
          <w:color w:val="000000" w:themeColor="text1"/>
          <w:sz w:val="20"/>
          <w:szCs w:val="20"/>
          <w:lang w:val="en-US"/>
        </w:rPr>
        <w:t>Pediatr</w:t>
      </w:r>
      <w:proofErr w:type="spellEnd"/>
      <w:r w:rsidRPr="00FB1244">
        <w:rPr>
          <w:rFonts w:ascii="Arial" w:hAnsi="Arial" w:cs="Arial"/>
          <w:bCs/>
          <w:color w:val="000000" w:themeColor="text1"/>
          <w:sz w:val="20"/>
          <w:szCs w:val="20"/>
          <w:lang w:val="en-US"/>
        </w:rPr>
        <w:t xml:space="preserve"> Gastroenterol </w:t>
      </w:r>
      <w:proofErr w:type="spellStart"/>
      <w:r w:rsidRPr="00FB1244">
        <w:rPr>
          <w:rFonts w:ascii="Arial" w:hAnsi="Arial" w:cs="Arial"/>
          <w:bCs/>
          <w:color w:val="000000" w:themeColor="text1"/>
          <w:sz w:val="20"/>
          <w:szCs w:val="20"/>
          <w:lang w:val="en-US"/>
        </w:rPr>
        <w:t>Hepatol</w:t>
      </w:r>
      <w:proofErr w:type="spellEnd"/>
      <w:r w:rsidRPr="00FB1244">
        <w:rPr>
          <w:rFonts w:ascii="Arial" w:hAnsi="Arial" w:cs="Arial"/>
          <w:bCs/>
          <w:color w:val="000000" w:themeColor="text1"/>
          <w:sz w:val="20"/>
          <w:szCs w:val="20"/>
          <w:lang w:val="en-US"/>
        </w:rPr>
        <w:t xml:space="preserve"> </w:t>
      </w:r>
      <w:proofErr w:type="spellStart"/>
      <w:r w:rsidRPr="00FB1244">
        <w:rPr>
          <w:rFonts w:ascii="Arial" w:hAnsi="Arial" w:cs="Arial"/>
          <w:bCs/>
          <w:color w:val="000000" w:themeColor="text1"/>
          <w:sz w:val="20"/>
          <w:szCs w:val="20"/>
          <w:lang w:val="en-US"/>
        </w:rPr>
        <w:t>Nutr</w:t>
      </w:r>
      <w:proofErr w:type="spellEnd"/>
      <w:r w:rsidRPr="00FB1244">
        <w:rPr>
          <w:rFonts w:ascii="Arial" w:hAnsi="Arial" w:cs="Arial"/>
          <w:bCs/>
          <w:color w:val="000000" w:themeColor="text1"/>
          <w:sz w:val="20"/>
          <w:szCs w:val="20"/>
          <w:lang w:val="en-US"/>
        </w:rPr>
        <w:t xml:space="preserve">. 2014 Jun;17(2):85-92.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2014 Jun 30. PMID: 25061583; PMCID: PMC4107225.  </w:t>
      </w:r>
      <w:proofErr w:type="spellStart"/>
      <w:r w:rsidRPr="00FB1244">
        <w:rPr>
          <w:rFonts w:ascii="Arial" w:hAnsi="Arial" w:cs="Arial"/>
          <w:bCs/>
          <w:color w:val="000000" w:themeColor="text1"/>
          <w:sz w:val="20"/>
          <w:szCs w:val="20"/>
          <w:lang w:val="en-US"/>
        </w:rPr>
        <w:t>doi</w:t>
      </w:r>
      <w:proofErr w:type="spellEnd"/>
      <w:r w:rsidRPr="00FB1244">
        <w:rPr>
          <w:rFonts w:ascii="Arial" w:hAnsi="Arial" w:cs="Arial"/>
          <w:bCs/>
          <w:color w:val="000000" w:themeColor="text1"/>
          <w:sz w:val="20"/>
          <w:szCs w:val="20"/>
          <w:lang w:val="en-US"/>
        </w:rPr>
        <w:t>: </w:t>
      </w:r>
      <w:hyperlink r:id="rId130" w:tgtFrame="_blank" w:history="1">
        <w:r w:rsidRPr="00FB1244">
          <w:rPr>
            <w:rStyle w:val="Hyperlink"/>
            <w:rFonts w:ascii="Arial" w:hAnsi="Arial" w:cs="Arial"/>
            <w:bCs/>
            <w:sz w:val="20"/>
            <w:szCs w:val="20"/>
            <w:lang w:val="en-US"/>
          </w:rPr>
          <w:t>10.5223/pghn.2014.17.2.85</w:t>
        </w:r>
      </w:hyperlink>
    </w:p>
    <w:p w14:paraId="48EB12FE" w14:textId="4D434A03"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lastRenderedPageBreak/>
        <w:t xml:space="preserve">Raghuveer, G., Daniels, S. R., &amp; de Ferranti, S. D. (2022). Cardiovascular risk assessment and management for pediatricians. Pediatrics, 150(6), e2022057957. </w:t>
      </w:r>
      <w:hyperlink r:id="rId131" w:history="1">
        <w:r w:rsidRPr="00FB1244">
          <w:rPr>
            <w:rStyle w:val="Hyperlink"/>
            <w:rFonts w:ascii="Arial" w:hAnsi="Arial" w:cs="Arial"/>
            <w:bCs/>
            <w:sz w:val="20"/>
            <w:szCs w:val="20"/>
            <w:lang w:val="en-US"/>
          </w:rPr>
          <w:t>https://doi.org/10.1542/peds.2022-057957</w:t>
        </w:r>
      </w:hyperlink>
      <w:r w:rsidRPr="00FB1244">
        <w:rPr>
          <w:rFonts w:ascii="Arial" w:hAnsi="Arial" w:cs="Arial"/>
          <w:bCs/>
          <w:color w:val="000000" w:themeColor="text1"/>
          <w:sz w:val="20"/>
          <w:szCs w:val="20"/>
          <w:lang w:val="en-US"/>
        </w:rPr>
        <w:t>​</w:t>
      </w:r>
    </w:p>
    <w:p w14:paraId="28BBD485" w14:textId="491115E7"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Zheng W, Chen Y, Zhao A, Xue Y, Zheng Y, Mu Z, Wang P, Zhang Y. Associations of sedentary behavior and physical activity with physical measurements and dyslipidemia in school-age children: a cross-sectional study. BMC Public Health. 2016 Nov 24;16(1):1186. PMID: 27881102; PMCID: PMC5122027.  DOI: </w:t>
      </w:r>
      <w:hyperlink r:id="rId132" w:tgtFrame="_blank" w:history="1">
        <w:r w:rsidRPr="00FB1244">
          <w:rPr>
            <w:rStyle w:val="Hyperlink"/>
            <w:rFonts w:ascii="Arial" w:hAnsi="Arial" w:cs="Arial"/>
            <w:bCs/>
            <w:sz w:val="20"/>
            <w:szCs w:val="20"/>
            <w:lang w:val="en-US"/>
          </w:rPr>
          <w:t>10.1186/s12889-016-3826-y</w:t>
        </w:r>
      </w:hyperlink>
    </w:p>
    <w:p w14:paraId="2230DFAD" w14:textId="5BE8D4D8"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Agbaje, A. O. (2024). Associations of sedentary time and physical activity from childhood with lipids: A 13-year mediation and temporal study. The Journal of Clinical Endocrinology &amp; Metabolism, 109(7), e1494–e1505. </w:t>
      </w:r>
      <w:hyperlink r:id="rId133" w:history="1">
        <w:r w:rsidRPr="00FB1244">
          <w:rPr>
            <w:rStyle w:val="Hyperlink"/>
            <w:rFonts w:ascii="Arial" w:hAnsi="Arial" w:cs="Arial"/>
            <w:bCs/>
            <w:sz w:val="20"/>
            <w:szCs w:val="20"/>
            <w:lang w:val="en-US"/>
          </w:rPr>
          <w:t>https://doi.org/10.1210/clinem/dgad688</w:t>
        </w:r>
      </w:hyperlink>
    </w:p>
    <w:p w14:paraId="6C7E5145" w14:textId="159B0220"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Clifton PM, Keogh JB. A systematic review of the effect of dietary saturated and polyunsaturated fat on heart disease. </w:t>
      </w:r>
      <w:proofErr w:type="spellStart"/>
      <w:r w:rsidRPr="00FB1244">
        <w:rPr>
          <w:rFonts w:ascii="Arial" w:hAnsi="Arial" w:cs="Arial"/>
          <w:bCs/>
          <w:color w:val="000000" w:themeColor="text1"/>
          <w:sz w:val="20"/>
          <w:szCs w:val="20"/>
          <w:lang w:val="en-US"/>
        </w:rPr>
        <w:t>NutrMetab</w:t>
      </w:r>
      <w:proofErr w:type="spellEnd"/>
      <w:r w:rsidRPr="00FB1244">
        <w:rPr>
          <w:rFonts w:ascii="Arial" w:hAnsi="Arial" w:cs="Arial"/>
          <w:bCs/>
          <w:color w:val="000000" w:themeColor="text1"/>
          <w:sz w:val="20"/>
          <w:szCs w:val="20"/>
          <w:lang w:val="en-US"/>
        </w:rPr>
        <w:t xml:space="preserve"> Cardiovasc Dis. 2017;27(12):1060–80. DOI: </w:t>
      </w:r>
      <w:hyperlink r:id="rId134" w:tgtFrame="_blank" w:history="1">
        <w:r w:rsidRPr="00FB1244">
          <w:rPr>
            <w:rStyle w:val="Hyperlink"/>
            <w:rFonts w:ascii="Arial" w:hAnsi="Arial" w:cs="Arial"/>
            <w:bCs/>
            <w:sz w:val="20"/>
            <w:szCs w:val="20"/>
            <w:lang w:val="en-US"/>
          </w:rPr>
          <w:t>10.1016/j.numecd.2017.10.010</w:t>
        </w:r>
      </w:hyperlink>
    </w:p>
    <w:p w14:paraId="48066D5E" w14:textId="629198A3"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Velde GT, </w:t>
      </w:r>
      <w:proofErr w:type="spellStart"/>
      <w:r w:rsidRPr="00FB1244">
        <w:rPr>
          <w:rFonts w:ascii="Arial" w:hAnsi="Arial" w:cs="Arial"/>
          <w:bCs/>
          <w:color w:val="000000" w:themeColor="text1"/>
          <w:sz w:val="20"/>
          <w:szCs w:val="20"/>
          <w:lang w:val="en-US"/>
        </w:rPr>
        <w:t>Plasqui</w:t>
      </w:r>
      <w:proofErr w:type="spellEnd"/>
      <w:r w:rsidRPr="00FB1244">
        <w:rPr>
          <w:rFonts w:ascii="Arial" w:hAnsi="Arial" w:cs="Arial"/>
          <w:bCs/>
          <w:color w:val="000000" w:themeColor="text1"/>
          <w:sz w:val="20"/>
          <w:szCs w:val="20"/>
          <w:lang w:val="en-US"/>
        </w:rPr>
        <w:t xml:space="preserve"> G, </w:t>
      </w:r>
      <w:proofErr w:type="spellStart"/>
      <w:r w:rsidRPr="00FB1244">
        <w:rPr>
          <w:rFonts w:ascii="Arial" w:hAnsi="Arial" w:cs="Arial"/>
          <w:bCs/>
          <w:color w:val="000000" w:themeColor="text1"/>
          <w:sz w:val="20"/>
          <w:szCs w:val="20"/>
          <w:lang w:val="en-US"/>
        </w:rPr>
        <w:t>Willeboordse</w:t>
      </w:r>
      <w:proofErr w:type="spellEnd"/>
      <w:r w:rsidRPr="00FB1244">
        <w:rPr>
          <w:rFonts w:ascii="Arial" w:hAnsi="Arial" w:cs="Arial"/>
          <w:bCs/>
          <w:color w:val="000000" w:themeColor="text1"/>
          <w:sz w:val="20"/>
          <w:szCs w:val="20"/>
          <w:lang w:val="en-US"/>
        </w:rPr>
        <w:t xml:space="preserve"> M, </w:t>
      </w:r>
      <w:proofErr w:type="spellStart"/>
      <w:r w:rsidRPr="00FB1244">
        <w:rPr>
          <w:rFonts w:ascii="Arial" w:hAnsi="Arial" w:cs="Arial"/>
          <w:bCs/>
          <w:color w:val="000000" w:themeColor="text1"/>
          <w:sz w:val="20"/>
          <w:szCs w:val="20"/>
          <w:lang w:val="en-US"/>
        </w:rPr>
        <w:t>Winkens</w:t>
      </w:r>
      <w:proofErr w:type="spellEnd"/>
      <w:r w:rsidRPr="00FB1244">
        <w:rPr>
          <w:rFonts w:ascii="Arial" w:hAnsi="Arial" w:cs="Arial"/>
          <w:bCs/>
          <w:color w:val="000000" w:themeColor="text1"/>
          <w:sz w:val="20"/>
          <w:szCs w:val="20"/>
          <w:lang w:val="en-US"/>
        </w:rPr>
        <w:t xml:space="preserve"> B, </w:t>
      </w:r>
      <w:proofErr w:type="spellStart"/>
      <w:r w:rsidRPr="00FB1244">
        <w:rPr>
          <w:rFonts w:ascii="Arial" w:hAnsi="Arial" w:cs="Arial"/>
          <w:bCs/>
          <w:color w:val="000000" w:themeColor="text1"/>
          <w:sz w:val="20"/>
          <w:szCs w:val="20"/>
          <w:lang w:val="en-US"/>
        </w:rPr>
        <w:t>Vreugdenhil</w:t>
      </w:r>
      <w:proofErr w:type="spellEnd"/>
      <w:r w:rsidRPr="00FB1244">
        <w:rPr>
          <w:rFonts w:ascii="Arial" w:hAnsi="Arial" w:cs="Arial"/>
          <w:bCs/>
          <w:color w:val="000000" w:themeColor="text1"/>
          <w:sz w:val="20"/>
          <w:szCs w:val="20"/>
          <w:lang w:val="en-US"/>
        </w:rPr>
        <w:t xml:space="preserve"> A. Associations between physical activity, sedentary time and cardiovascular risk factors among Dutch </w:t>
      </w:r>
      <w:proofErr w:type="spellStart"/>
      <w:proofErr w:type="gramStart"/>
      <w:r w:rsidRPr="00FB1244">
        <w:rPr>
          <w:rFonts w:ascii="Arial" w:hAnsi="Arial" w:cs="Arial"/>
          <w:bCs/>
          <w:color w:val="000000" w:themeColor="text1"/>
          <w:sz w:val="20"/>
          <w:szCs w:val="20"/>
          <w:lang w:val="en-US"/>
        </w:rPr>
        <w:t>children.PLoS</w:t>
      </w:r>
      <w:proofErr w:type="spellEnd"/>
      <w:proofErr w:type="gramEnd"/>
      <w:r w:rsidRPr="00FB1244">
        <w:rPr>
          <w:rFonts w:ascii="Arial" w:hAnsi="Arial" w:cs="Arial"/>
          <w:bCs/>
          <w:color w:val="000000" w:themeColor="text1"/>
          <w:sz w:val="20"/>
          <w:szCs w:val="20"/>
          <w:lang w:val="en-US"/>
        </w:rPr>
        <w:t xml:space="preserve"> One. 2021 Aug 27;16(8): e</w:t>
      </w:r>
      <w:proofErr w:type="gramStart"/>
      <w:r w:rsidRPr="00FB1244">
        <w:rPr>
          <w:rFonts w:ascii="Arial" w:hAnsi="Arial" w:cs="Arial"/>
          <w:bCs/>
          <w:color w:val="000000" w:themeColor="text1"/>
          <w:sz w:val="20"/>
          <w:szCs w:val="20"/>
          <w:lang w:val="en-US"/>
        </w:rPr>
        <w:t>0256448..</w:t>
      </w:r>
      <w:proofErr w:type="gramEnd"/>
      <w:r w:rsidRPr="00FB1244">
        <w:rPr>
          <w:rFonts w:ascii="Arial" w:hAnsi="Arial" w:cs="Arial"/>
          <w:bCs/>
          <w:color w:val="000000" w:themeColor="text1"/>
          <w:sz w:val="20"/>
          <w:szCs w:val="20"/>
          <w:lang w:val="en-US"/>
        </w:rPr>
        <w:t xml:space="preserve"> PMID: 34449807; PMCID: PMC8396731.  </w:t>
      </w:r>
      <w:proofErr w:type="spellStart"/>
      <w:r w:rsidRPr="00FB1244">
        <w:rPr>
          <w:rFonts w:ascii="Arial" w:hAnsi="Arial" w:cs="Arial"/>
          <w:bCs/>
          <w:color w:val="000000" w:themeColor="text1"/>
          <w:sz w:val="20"/>
          <w:szCs w:val="20"/>
          <w:lang w:val="en-US"/>
        </w:rPr>
        <w:t>doi</w:t>
      </w:r>
      <w:proofErr w:type="spellEnd"/>
      <w:r w:rsidRPr="00FB1244">
        <w:rPr>
          <w:rFonts w:ascii="Arial" w:hAnsi="Arial" w:cs="Arial"/>
          <w:bCs/>
          <w:color w:val="000000" w:themeColor="text1"/>
          <w:sz w:val="20"/>
          <w:szCs w:val="20"/>
          <w:lang w:val="en-US"/>
        </w:rPr>
        <w:t>: </w:t>
      </w:r>
      <w:hyperlink r:id="rId135" w:tgtFrame="_blank" w:history="1">
        <w:r w:rsidRPr="00FB1244">
          <w:rPr>
            <w:rStyle w:val="Hyperlink"/>
            <w:rFonts w:ascii="Arial" w:hAnsi="Arial" w:cs="Arial"/>
            <w:bCs/>
            <w:sz w:val="20"/>
            <w:szCs w:val="20"/>
            <w:lang w:val="en-US"/>
          </w:rPr>
          <w:t>10.1371/journal.pone.0256448</w:t>
        </w:r>
      </w:hyperlink>
    </w:p>
    <w:p w14:paraId="0E99B83B" w14:textId="3D10FD68"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Genovesi</w:t>
      </w:r>
      <w:proofErr w:type="spellEnd"/>
      <w:r w:rsidRPr="00FB1244">
        <w:rPr>
          <w:rFonts w:ascii="Arial" w:hAnsi="Arial" w:cs="Arial"/>
          <w:bCs/>
          <w:color w:val="000000" w:themeColor="text1"/>
          <w:sz w:val="20"/>
          <w:szCs w:val="20"/>
          <w:lang w:val="en-US"/>
        </w:rPr>
        <w:t xml:space="preserve"> S, </w:t>
      </w:r>
      <w:proofErr w:type="spellStart"/>
      <w:r w:rsidRPr="00FB1244">
        <w:rPr>
          <w:rFonts w:ascii="Arial" w:hAnsi="Arial" w:cs="Arial"/>
          <w:bCs/>
          <w:color w:val="000000" w:themeColor="text1"/>
          <w:sz w:val="20"/>
          <w:szCs w:val="20"/>
          <w:lang w:val="en-US"/>
        </w:rPr>
        <w:t>Parati</w:t>
      </w:r>
      <w:proofErr w:type="spellEnd"/>
      <w:r w:rsidRPr="00FB1244">
        <w:rPr>
          <w:rFonts w:ascii="Arial" w:hAnsi="Arial" w:cs="Arial"/>
          <w:bCs/>
          <w:color w:val="000000" w:themeColor="text1"/>
          <w:sz w:val="20"/>
          <w:szCs w:val="20"/>
          <w:lang w:val="en-US"/>
        </w:rPr>
        <w:t xml:space="preserve"> G. Cardiovascular Risk in Children: Focus on Pathophysiological Aspects. Int J Mol Sci. 2020 Sep 10;21(18):6612. PMID: 32927656; PMCID: PMC7555342. DOI: </w:t>
      </w:r>
      <w:hyperlink r:id="rId136" w:tgtFrame="_blank" w:history="1">
        <w:r w:rsidRPr="00FB1244">
          <w:rPr>
            <w:rStyle w:val="Hyperlink"/>
            <w:rFonts w:ascii="Arial" w:hAnsi="Arial" w:cs="Arial"/>
            <w:bCs/>
            <w:sz w:val="20"/>
            <w:szCs w:val="20"/>
            <w:lang w:val="en-US"/>
          </w:rPr>
          <w:t>10.3390/ijms21186612</w:t>
        </w:r>
      </w:hyperlink>
    </w:p>
    <w:p w14:paraId="624FDC10" w14:textId="171BE79C"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Candelino</w:t>
      </w:r>
      <w:proofErr w:type="spellEnd"/>
      <w:r w:rsidRPr="00FB1244">
        <w:rPr>
          <w:rFonts w:ascii="Arial" w:hAnsi="Arial" w:cs="Arial"/>
          <w:bCs/>
          <w:color w:val="000000" w:themeColor="text1"/>
          <w:sz w:val="20"/>
          <w:szCs w:val="20"/>
          <w:lang w:val="en-US"/>
        </w:rPr>
        <w:t xml:space="preserve"> M, </w:t>
      </w:r>
      <w:proofErr w:type="spellStart"/>
      <w:r w:rsidRPr="00FB1244">
        <w:rPr>
          <w:rFonts w:ascii="Arial" w:hAnsi="Arial" w:cs="Arial"/>
          <w:bCs/>
          <w:color w:val="000000" w:themeColor="text1"/>
          <w:sz w:val="20"/>
          <w:szCs w:val="20"/>
          <w:lang w:val="en-US"/>
        </w:rPr>
        <w:t>Tagi</w:t>
      </w:r>
      <w:proofErr w:type="spellEnd"/>
      <w:r w:rsidRPr="00FB1244">
        <w:rPr>
          <w:rFonts w:ascii="Arial" w:hAnsi="Arial" w:cs="Arial"/>
          <w:bCs/>
          <w:color w:val="000000" w:themeColor="text1"/>
          <w:sz w:val="20"/>
          <w:szCs w:val="20"/>
          <w:lang w:val="en-US"/>
        </w:rPr>
        <w:t xml:space="preserve"> VM, Chiarelli F. Cardiovascular risk in children: a burden for future generations. Ital J </w:t>
      </w:r>
      <w:proofErr w:type="spellStart"/>
      <w:r w:rsidRPr="00FB1244">
        <w:rPr>
          <w:rFonts w:ascii="Arial" w:hAnsi="Arial" w:cs="Arial"/>
          <w:bCs/>
          <w:color w:val="000000" w:themeColor="text1"/>
          <w:sz w:val="20"/>
          <w:szCs w:val="20"/>
          <w:lang w:val="en-US"/>
        </w:rPr>
        <w:t>Pediatr</w:t>
      </w:r>
      <w:proofErr w:type="spellEnd"/>
      <w:r w:rsidRPr="00FB1244">
        <w:rPr>
          <w:rFonts w:ascii="Arial" w:hAnsi="Arial" w:cs="Arial"/>
          <w:bCs/>
          <w:color w:val="000000" w:themeColor="text1"/>
          <w:sz w:val="20"/>
          <w:szCs w:val="20"/>
          <w:lang w:val="en-US"/>
        </w:rPr>
        <w:t xml:space="preserve">. 2022 Apr 11;48(1):57. PMID: 35410281; PMCID: PMC8996670. DOI: </w:t>
      </w:r>
      <w:hyperlink r:id="rId137" w:tgtFrame="_blank" w:history="1">
        <w:r w:rsidRPr="00FB1244">
          <w:rPr>
            <w:rStyle w:val="Hyperlink"/>
            <w:rFonts w:ascii="Arial" w:hAnsi="Arial" w:cs="Arial"/>
            <w:bCs/>
            <w:sz w:val="20"/>
            <w:szCs w:val="20"/>
            <w:lang w:val="en-US"/>
          </w:rPr>
          <w:t>10.1186/s13052-022-01250-5</w:t>
        </w:r>
      </w:hyperlink>
    </w:p>
    <w:p w14:paraId="2948B0DF" w14:textId="0481F5CE"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Raitakari</w:t>
      </w:r>
      <w:proofErr w:type="spellEnd"/>
      <w:r w:rsidRPr="00FB1244">
        <w:rPr>
          <w:rFonts w:ascii="Arial" w:hAnsi="Arial" w:cs="Arial"/>
          <w:bCs/>
          <w:color w:val="000000" w:themeColor="text1"/>
          <w:sz w:val="20"/>
          <w:szCs w:val="20"/>
          <w:lang w:val="en-US"/>
        </w:rPr>
        <w:t xml:space="preserve"> O, </w:t>
      </w:r>
      <w:proofErr w:type="spellStart"/>
      <w:r w:rsidRPr="00FB1244">
        <w:rPr>
          <w:rFonts w:ascii="Arial" w:hAnsi="Arial" w:cs="Arial"/>
          <w:bCs/>
          <w:color w:val="000000" w:themeColor="text1"/>
          <w:sz w:val="20"/>
          <w:szCs w:val="20"/>
          <w:lang w:val="en-US"/>
        </w:rPr>
        <w:t>Pahkala</w:t>
      </w:r>
      <w:proofErr w:type="spellEnd"/>
      <w:r w:rsidRPr="00FB1244">
        <w:rPr>
          <w:rFonts w:ascii="Arial" w:hAnsi="Arial" w:cs="Arial"/>
          <w:bCs/>
          <w:color w:val="000000" w:themeColor="text1"/>
          <w:sz w:val="20"/>
          <w:szCs w:val="20"/>
          <w:lang w:val="en-US"/>
        </w:rPr>
        <w:t xml:space="preserve"> K, Magnussen CG. Prevention of atherosclerosis from childhood. Nat Rev </w:t>
      </w:r>
      <w:proofErr w:type="spellStart"/>
      <w:r w:rsidRPr="00FB1244">
        <w:rPr>
          <w:rFonts w:ascii="Arial" w:hAnsi="Arial" w:cs="Arial"/>
          <w:bCs/>
          <w:color w:val="000000" w:themeColor="text1"/>
          <w:sz w:val="20"/>
          <w:szCs w:val="20"/>
          <w:lang w:val="en-US"/>
        </w:rPr>
        <w:t>Cardiol</w:t>
      </w:r>
      <w:proofErr w:type="spellEnd"/>
      <w:r w:rsidRPr="00FB1244">
        <w:rPr>
          <w:rFonts w:ascii="Arial" w:hAnsi="Arial" w:cs="Arial"/>
          <w:bCs/>
          <w:color w:val="000000" w:themeColor="text1"/>
          <w:sz w:val="20"/>
          <w:szCs w:val="20"/>
          <w:lang w:val="en-US"/>
        </w:rPr>
        <w:t xml:space="preserve">. 2022 Aug;19(8):543-554.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2022 Jan 5. PMID: 34987194. DOI: </w:t>
      </w:r>
      <w:hyperlink r:id="rId138" w:tgtFrame="_blank" w:history="1">
        <w:r w:rsidRPr="00FB1244">
          <w:rPr>
            <w:rStyle w:val="Hyperlink"/>
            <w:rFonts w:ascii="Arial" w:hAnsi="Arial" w:cs="Arial"/>
            <w:bCs/>
            <w:sz w:val="20"/>
            <w:szCs w:val="20"/>
            <w:lang w:val="en-US"/>
          </w:rPr>
          <w:t>10.1038/s41569-021-00647-9</w:t>
        </w:r>
      </w:hyperlink>
    </w:p>
    <w:p w14:paraId="4C5E6A53" w14:textId="17DDD24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Ho HCH, Maddaloni E, Buzzetti R. Risk factors and predictive biomarkers of early cardiovascular disease in obese youth. Diabetes </w:t>
      </w:r>
      <w:proofErr w:type="spellStart"/>
      <w:r w:rsidRPr="00FB1244">
        <w:rPr>
          <w:rFonts w:ascii="Arial" w:hAnsi="Arial" w:cs="Arial"/>
          <w:bCs/>
          <w:color w:val="000000" w:themeColor="text1"/>
          <w:sz w:val="20"/>
          <w:szCs w:val="20"/>
          <w:lang w:val="en-US"/>
        </w:rPr>
        <w:t>Metab</w:t>
      </w:r>
      <w:proofErr w:type="spellEnd"/>
      <w:r w:rsidRPr="00FB1244">
        <w:rPr>
          <w:rFonts w:ascii="Arial" w:hAnsi="Arial" w:cs="Arial"/>
          <w:bCs/>
          <w:color w:val="000000" w:themeColor="text1"/>
          <w:sz w:val="20"/>
          <w:szCs w:val="20"/>
          <w:lang w:val="en-US"/>
        </w:rPr>
        <w:t xml:space="preserve"> Res Rev. 2019 May;35(4): e3134.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2019 Feb 21. PMID: 30706683. DOI: </w:t>
      </w:r>
      <w:hyperlink r:id="rId139" w:tgtFrame="_blank" w:history="1">
        <w:r w:rsidRPr="00FB1244">
          <w:rPr>
            <w:rStyle w:val="Hyperlink"/>
            <w:rFonts w:ascii="Arial" w:hAnsi="Arial" w:cs="Arial"/>
            <w:bCs/>
            <w:sz w:val="20"/>
            <w:szCs w:val="20"/>
            <w:lang w:val="en-US"/>
          </w:rPr>
          <w:t>10.1002/dmrr.3134</w:t>
        </w:r>
      </w:hyperlink>
    </w:p>
    <w:p w14:paraId="0C5D66D4" w14:textId="7369A785"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Ayer J, </w:t>
      </w:r>
      <w:proofErr w:type="spellStart"/>
      <w:r w:rsidRPr="00FB1244">
        <w:rPr>
          <w:rFonts w:ascii="Arial" w:hAnsi="Arial" w:cs="Arial"/>
          <w:bCs/>
          <w:color w:val="000000" w:themeColor="text1"/>
          <w:sz w:val="20"/>
          <w:szCs w:val="20"/>
          <w:lang w:val="en-US"/>
        </w:rPr>
        <w:t>Charakida</w:t>
      </w:r>
      <w:proofErr w:type="spellEnd"/>
      <w:r w:rsidRPr="00FB1244">
        <w:rPr>
          <w:rFonts w:ascii="Arial" w:hAnsi="Arial" w:cs="Arial"/>
          <w:bCs/>
          <w:color w:val="000000" w:themeColor="text1"/>
          <w:sz w:val="20"/>
          <w:szCs w:val="20"/>
          <w:lang w:val="en-US"/>
        </w:rPr>
        <w:t xml:space="preserve"> M, </w:t>
      </w:r>
      <w:proofErr w:type="spellStart"/>
      <w:r w:rsidRPr="00FB1244">
        <w:rPr>
          <w:rFonts w:ascii="Arial" w:hAnsi="Arial" w:cs="Arial"/>
          <w:bCs/>
          <w:color w:val="000000" w:themeColor="text1"/>
          <w:sz w:val="20"/>
          <w:szCs w:val="20"/>
          <w:lang w:val="en-US"/>
        </w:rPr>
        <w:t>Deanfield</w:t>
      </w:r>
      <w:proofErr w:type="spellEnd"/>
      <w:r w:rsidRPr="00FB1244">
        <w:rPr>
          <w:rFonts w:ascii="Arial" w:hAnsi="Arial" w:cs="Arial"/>
          <w:bCs/>
          <w:color w:val="000000" w:themeColor="text1"/>
          <w:sz w:val="20"/>
          <w:szCs w:val="20"/>
          <w:lang w:val="en-US"/>
        </w:rPr>
        <w:t xml:space="preserve"> JE, </w:t>
      </w:r>
      <w:proofErr w:type="spellStart"/>
      <w:r w:rsidRPr="00FB1244">
        <w:rPr>
          <w:rFonts w:ascii="Arial" w:hAnsi="Arial" w:cs="Arial"/>
          <w:bCs/>
          <w:color w:val="000000" w:themeColor="text1"/>
          <w:sz w:val="20"/>
          <w:szCs w:val="20"/>
          <w:lang w:val="en-US"/>
        </w:rPr>
        <w:t>Celermajer</w:t>
      </w:r>
      <w:proofErr w:type="spellEnd"/>
      <w:r w:rsidRPr="00FB1244">
        <w:rPr>
          <w:rFonts w:ascii="Arial" w:hAnsi="Arial" w:cs="Arial"/>
          <w:bCs/>
          <w:color w:val="000000" w:themeColor="text1"/>
          <w:sz w:val="20"/>
          <w:szCs w:val="20"/>
          <w:lang w:val="en-US"/>
        </w:rPr>
        <w:t xml:space="preserve"> DS. Lifetime risk: childhood obesity and cardiovascular risk. Eur Heart J. 2015 Jun 7;36(22):1371-6.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2015 Mar 24. PMID: 25810456. DOI: </w:t>
      </w:r>
      <w:hyperlink r:id="rId140" w:tgtFrame="_blank" w:history="1">
        <w:r w:rsidRPr="00FB1244">
          <w:rPr>
            <w:rStyle w:val="Hyperlink"/>
            <w:rFonts w:ascii="Arial" w:hAnsi="Arial" w:cs="Arial"/>
            <w:bCs/>
            <w:sz w:val="20"/>
            <w:szCs w:val="20"/>
            <w:lang w:val="en-US"/>
          </w:rPr>
          <w:t>10.1093/</w:t>
        </w:r>
        <w:proofErr w:type="spellStart"/>
        <w:r w:rsidRPr="00FB1244">
          <w:rPr>
            <w:rStyle w:val="Hyperlink"/>
            <w:rFonts w:ascii="Arial" w:hAnsi="Arial" w:cs="Arial"/>
            <w:bCs/>
            <w:sz w:val="20"/>
            <w:szCs w:val="20"/>
            <w:lang w:val="en-US"/>
          </w:rPr>
          <w:t>eurheartj</w:t>
        </w:r>
        <w:proofErr w:type="spellEnd"/>
        <w:r w:rsidRPr="00FB1244">
          <w:rPr>
            <w:rStyle w:val="Hyperlink"/>
            <w:rFonts w:ascii="Arial" w:hAnsi="Arial" w:cs="Arial"/>
            <w:bCs/>
            <w:sz w:val="20"/>
            <w:szCs w:val="20"/>
            <w:lang w:val="en-US"/>
          </w:rPr>
          <w:t>/ehv089</w:t>
        </w:r>
      </w:hyperlink>
    </w:p>
    <w:p w14:paraId="33CDA3B6" w14:textId="121F7029"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Pool LR, Aguayo L, Brzezinski M, Perak AM, Davis MM, Greenland P, Hou L, Marino BS, Van Horn L, </w:t>
      </w:r>
      <w:proofErr w:type="spellStart"/>
      <w:r w:rsidRPr="00FB1244">
        <w:rPr>
          <w:rFonts w:ascii="Arial" w:hAnsi="Arial" w:cs="Arial"/>
          <w:bCs/>
          <w:color w:val="000000" w:themeColor="text1"/>
          <w:sz w:val="20"/>
          <w:szCs w:val="20"/>
          <w:lang w:val="en-US"/>
        </w:rPr>
        <w:t>Wakschlag</w:t>
      </w:r>
      <w:proofErr w:type="spellEnd"/>
      <w:r w:rsidRPr="00FB1244">
        <w:rPr>
          <w:rFonts w:ascii="Arial" w:hAnsi="Arial" w:cs="Arial"/>
          <w:bCs/>
          <w:color w:val="000000" w:themeColor="text1"/>
          <w:sz w:val="20"/>
          <w:szCs w:val="20"/>
          <w:lang w:val="en-US"/>
        </w:rPr>
        <w:t xml:space="preserve"> L, Labarthe D, Lloyd-Jones D, Allen NB. Childhood Risk Factors and </w:t>
      </w:r>
      <w:r w:rsidRPr="00FB1244">
        <w:rPr>
          <w:rFonts w:ascii="Arial" w:hAnsi="Arial" w:cs="Arial"/>
          <w:bCs/>
          <w:color w:val="000000" w:themeColor="text1"/>
          <w:sz w:val="20"/>
          <w:szCs w:val="20"/>
          <w:lang w:val="en-US"/>
        </w:rPr>
        <w:lastRenderedPageBreak/>
        <w:t xml:space="preserve">Adulthood Cardiovascular Disease: A Systematic Review. J </w:t>
      </w:r>
      <w:proofErr w:type="spellStart"/>
      <w:r w:rsidRPr="00FB1244">
        <w:rPr>
          <w:rFonts w:ascii="Arial" w:hAnsi="Arial" w:cs="Arial"/>
          <w:bCs/>
          <w:color w:val="000000" w:themeColor="text1"/>
          <w:sz w:val="20"/>
          <w:szCs w:val="20"/>
          <w:lang w:val="en-US"/>
        </w:rPr>
        <w:t>Pediatr</w:t>
      </w:r>
      <w:proofErr w:type="spellEnd"/>
      <w:r w:rsidRPr="00FB1244">
        <w:rPr>
          <w:rFonts w:ascii="Arial" w:hAnsi="Arial" w:cs="Arial"/>
          <w:bCs/>
          <w:color w:val="000000" w:themeColor="text1"/>
          <w:sz w:val="20"/>
          <w:szCs w:val="20"/>
          <w:lang w:val="en-US"/>
        </w:rPr>
        <w:t xml:space="preserve">. 2021 May; 232:118-126.e23.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2021 Jan 29. PMID: 33516680; PMCID: PMC11583247. DOI: </w:t>
      </w:r>
      <w:hyperlink r:id="rId141" w:tgtFrame="_blank" w:history="1">
        <w:r w:rsidRPr="00FB1244">
          <w:rPr>
            <w:rStyle w:val="Hyperlink"/>
            <w:rFonts w:ascii="Arial" w:hAnsi="Arial" w:cs="Arial"/>
            <w:bCs/>
            <w:sz w:val="20"/>
            <w:szCs w:val="20"/>
            <w:lang w:val="en-US"/>
          </w:rPr>
          <w:t>10.1016/j.jpeds.2021.01.053</w:t>
        </w:r>
      </w:hyperlink>
    </w:p>
    <w:p w14:paraId="78199E3A" w14:textId="0243F4AB"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Ference BA, Bhatt DL, Catapano AL, Packard CJ, Graham I, </w:t>
      </w:r>
      <w:proofErr w:type="spellStart"/>
      <w:r w:rsidRPr="00FB1244">
        <w:rPr>
          <w:rFonts w:ascii="Arial" w:hAnsi="Arial" w:cs="Arial"/>
          <w:bCs/>
          <w:color w:val="000000" w:themeColor="text1"/>
          <w:sz w:val="20"/>
          <w:szCs w:val="20"/>
          <w:lang w:val="en-US"/>
        </w:rPr>
        <w:t>Kaptoge</w:t>
      </w:r>
      <w:proofErr w:type="spellEnd"/>
      <w:r w:rsidRPr="00FB1244">
        <w:rPr>
          <w:rFonts w:ascii="Arial" w:hAnsi="Arial" w:cs="Arial"/>
          <w:bCs/>
          <w:color w:val="000000" w:themeColor="text1"/>
          <w:sz w:val="20"/>
          <w:szCs w:val="20"/>
          <w:lang w:val="en-US"/>
        </w:rPr>
        <w:t xml:space="preserve"> S, </w:t>
      </w:r>
      <w:proofErr w:type="spellStart"/>
      <w:r w:rsidRPr="00FB1244">
        <w:rPr>
          <w:rFonts w:ascii="Arial" w:hAnsi="Arial" w:cs="Arial"/>
          <w:bCs/>
          <w:color w:val="000000" w:themeColor="text1"/>
          <w:sz w:val="20"/>
          <w:szCs w:val="20"/>
          <w:lang w:val="en-US"/>
        </w:rPr>
        <w:t>Ference</w:t>
      </w:r>
      <w:proofErr w:type="spellEnd"/>
      <w:r w:rsidRPr="00FB1244">
        <w:rPr>
          <w:rFonts w:ascii="Arial" w:hAnsi="Arial" w:cs="Arial"/>
          <w:bCs/>
          <w:color w:val="000000" w:themeColor="text1"/>
          <w:sz w:val="20"/>
          <w:szCs w:val="20"/>
          <w:lang w:val="en-US"/>
        </w:rPr>
        <w:t xml:space="preserve"> TB, Guo Q, Laufs U, Ruff CT, Cupido A, </w:t>
      </w:r>
      <w:proofErr w:type="spellStart"/>
      <w:r w:rsidRPr="00FB1244">
        <w:rPr>
          <w:rFonts w:ascii="Arial" w:hAnsi="Arial" w:cs="Arial"/>
          <w:bCs/>
          <w:color w:val="000000" w:themeColor="text1"/>
          <w:sz w:val="20"/>
          <w:szCs w:val="20"/>
          <w:lang w:val="en-US"/>
        </w:rPr>
        <w:t>Hovingh</w:t>
      </w:r>
      <w:proofErr w:type="spellEnd"/>
      <w:r w:rsidRPr="00FB1244">
        <w:rPr>
          <w:rFonts w:ascii="Arial" w:hAnsi="Arial" w:cs="Arial"/>
          <w:bCs/>
          <w:color w:val="000000" w:themeColor="text1"/>
          <w:sz w:val="20"/>
          <w:szCs w:val="20"/>
          <w:lang w:val="en-US"/>
        </w:rPr>
        <w:t xml:space="preserve"> GK, </w:t>
      </w:r>
      <w:proofErr w:type="spellStart"/>
      <w:r w:rsidRPr="00FB1244">
        <w:rPr>
          <w:rFonts w:ascii="Arial" w:hAnsi="Arial" w:cs="Arial"/>
          <w:bCs/>
          <w:color w:val="000000" w:themeColor="text1"/>
          <w:sz w:val="20"/>
          <w:szCs w:val="20"/>
          <w:lang w:val="en-US"/>
        </w:rPr>
        <w:t>Danesh</w:t>
      </w:r>
      <w:proofErr w:type="spellEnd"/>
      <w:r w:rsidRPr="00FB1244">
        <w:rPr>
          <w:rFonts w:ascii="Arial" w:hAnsi="Arial" w:cs="Arial"/>
          <w:bCs/>
          <w:color w:val="000000" w:themeColor="text1"/>
          <w:sz w:val="20"/>
          <w:szCs w:val="20"/>
          <w:lang w:val="en-US"/>
        </w:rPr>
        <w:t xml:space="preserve"> J, Holmes MV, Smith GD, Ray KK, Nicholls SJ, Sabatine MS. Association of Genetic Variants Related to Combined Exposure to Lower Low-Density Lipoproteins and Lower Systolic Blood Pressure with Lifetime Risk of Cardiovascular Disease. JAMA. 2019 Oct 8;322(14):1381-1391. PMID: 31475726; PMCID: PMC6724415. DOI: </w:t>
      </w:r>
      <w:hyperlink r:id="rId142" w:tgtFrame="_blank" w:history="1">
        <w:r w:rsidRPr="00FB1244">
          <w:rPr>
            <w:rStyle w:val="Hyperlink"/>
            <w:rFonts w:ascii="Arial" w:hAnsi="Arial" w:cs="Arial"/>
            <w:bCs/>
            <w:sz w:val="20"/>
            <w:szCs w:val="20"/>
            <w:lang w:val="en-US"/>
          </w:rPr>
          <w:t>10.1001/jama.2019.14120</w:t>
        </w:r>
      </w:hyperlink>
    </w:p>
    <w:p w14:paraId="40F09663" w14:textId="38EE5CB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Juul</w:t>
      </w:r>
      <w:proofErr w:type="spellEnd"/>
      <w:r w:rsidRPr="00FB1244">
        <w:rPr>
          <w:rFonts w:ascii="Arial" w:hAnsi="Arial" w:cs="Arial"/>
          <w:bCs/>
          <w:color w:val="000000" w:themeColor="text1"/>
          <w:sz w:val="20"/>
          <w:szCs w:val="20"/>
          <w:lang w:val="en-US"/>
        </w:rPr>
        <w:t xml:space="preserve"> F, </w:t>
      </w:r>
      <w:proofErr w:type="spellStart"/>
      <w:r w:rsidRPr="00FB1244">
        <w:rPr>
          <w:rFonts w:ascii="Arial" w:hAnsi="Arial" w:cs="Arial"/>
          <w:bCs/>
          <w:color w:val="000000" w:themeColor="text1"/>
          <w:sz w:val="20"/>
          <w:szCs w:val="20"/>
          <w:lang w:val="en-US"/>
        </w:rPr>
        <w:t>Vaidean</w:t>
      </w:r>
      <w:proofErr w:type="spellEnd"/>
      <w:r w:rsidRPr="00FB1244">
        <w:rPr>
          <w:rFonts w:ascii="Arial" w:hAnsi="Arial" w:cs="Arial"/>
          <w:bCs/>
          <w:color w:val="000000" w:themeColor="text1"/>
          <w:sz w:val="20"/>
          <w:szCs w:val="20"/>
          <w:lang w:val="en-US"/>
        </w:rPr>
        <w:t xml:space="preserve"> G, Parekh N. Ultra-processed Foods and Cardiovascular Diseases: Potential Mechanisms of Action. Adv </w:t>
      </w:r>
      <w:proofErr w:type="spellStart"/>
      <w:r w:rsidRPr="00FB1244">
        <w:rPr>
          <w:rFonts w:ascii="Arial" w:hAnsi="Arial" w:cs="Arial"/>
          <w:bCs/>
          <w:color w:val="000000" w:themeColor="text1"/>
          <w:sz w:val="20"/>
          <w:szCs w:val="20"/>
          <w:lang w:val="en-US"/>
        </w:rPr>
        <w:t>Nutr</w:t>
      </w:r>
      <w:proofErr w:type="spellEnd"/>
      <w:r w:rsidRPr="00FB1244">
        <w:rPr>
          <w:rFonts w:ascii="Arial" w:hAnsi="Arial" w:cs="Arial"/>
          <w:bCs/>
          <w:color w:val="000000" w:themeColor="text1"/>
          <w:sz w:val="20"/>
          <w:szCs w:val="20"/>
          <w:lang w:val="en-US"/>
        </w:rPr>
        <w:t>. 2021 Oct 1;12(5):1673-1680. PMID: 33942057; PMCID: PMC8483964. DOI: </w:t>
      </w:r>
      <w:hyperlink r:id="rId143" w:tgtFrame="_blank" w:history="1">
        <w:r w:rsidRPr="00FB1244">
          <w:rPr>
            <w:rStyle w:val="Hyperlink"/>
            <w:rFonts w:ascii="Arial" w:hAnsi="Arial" w:cs="Arial"/>
            <w:bCs/>
            <w:sz w:val="20"/>
            <w:szCs w:val="20"/>
            <w:lang w:val="en-US"/>
          </w:rPr>
          <w:t>10.1093/advances/nmab049</w:t>
        </w:r>
      </w:hyperlink>
    </w:p>
    <w:p w14:paraId="412C8CCB" w14:textId="66EE4E4D"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Kreatsoulas</w:t>
      </w:r>
      <w:proofErr w:type="spellEnd"/>
      <w:r w:rsidRPr="00FB1244">
        <w:rPr>
          <w:rFonts w:ascii="Arial" w:hAnsi="Arial" w:cs="Arial"/>
          <w:bCs/>
          <w:color w:val="000000" w:themeColor="text1"/>
          <w:sz w:val="20"/>
          <w:szCs w:val="20"/>
          <w:lang w:val="en-US"/>
        </w:rPr>
        <w:t xml:space="preserve"> C, </w:t>
      </w:r>
      <w:proofErr w:type="spellStart"/>
      <w:r w:rsidRPr="00FB1244">
        <w:rPr>
          <w:rFonts w:ascii="Arial" w:hAnsi="Arial" w:cs="Arial"/>
          <w:bCs/>
          <w:color w:val="000000" w:themeColor="text1"/>
          <w:sz w:val="20"/>
          <w:szCs w:val="20"/>
          <w:lang w:val="en-US"/>
        </w:rPr>
        <w:t>Fleegler</w:t>
      </w:r>
      <w:proofErr w:type="spellEnd"/>
      <w:r w:rsidRPr="00FB1244">
        <w:rPr>
          <w:rFonts w:ascii="Arial" w:hAnsi="Arial" w:cs="Arial"/>
          <w:bCs/>
          <w:color w:val="000000" w:themeColor="text1"/>
          <w:sz w:val="20"/>
          <w:szCs w:val="20"/>
          <w:lang w:val="en-US"/>
        </w:rPr>
        <w:t xml:space="preserve"> EW, </w:t>
      </w:r>
      <w:proofErr w:type="spellStart"/>
      <w:r w:rsidRPr="00FB1244">
        <w:rPr>
          <w:rFonts w:ascii="Arial" w:hAnsi="Arial" w:cs="Arial"/>
          <w:bCs/>
          <w:color w:val="000000" w:themeColor="text1"/>
          <w:sz w:val="20"/>
          <w:szCs w:val="20"/>
          <w:lang w:val="en-US"/>
        </w:rPr>
        <w:t>Kubzansky</w:t>
      </w:r>
      <w:proofErr w:type="spellEnd"/>
      <w:r w:rsidRPr="00FB1244">
        <w:rPr>
          <w:rFonts w:ascii="Arial" w:hAnsi="Arial" w:cs="Arial"/>
          <w:bCs/>
          <w:color w:val="000000" w:themeColor="text1"/>
          <w:sz w:val="20"/>
          <w:szCs w:val="20"/>
          <w:lang w:val="en-US"/>
        </w:rPr>
        <w:t xml:space="preserve"> LD, </w:t>
      </w:r>
      <w:proofErr w:type="spellStart"/>
      <w:r w:rsidRPr="00FB1244">
        <w:rPr>
          <w:rFonts w:ascii="Arial" w:hAnsi="Arial" w:cs="Arial"/>
          <w:bCs/>
          <w:color w:val="000000" w:themeColor="text1"/>
          <w:sz w:val="20"/>
          <w:szCs w:val="20"/>
          <w:lang w:val="en-US"/>
        </w:rPr>
        <w:t>McGorrian</w:t>
      </w:r>
      <w:proofErr w:type="spellEnd"/>
      <w:r w:rsidRPr="00FB1244">
        <w:rPr>
          <w:rFonts w:ascii="Arial" w:hAnsi="Arial" w:cs="Arial"/>
          <w:bCs/>
          <w:color w:val="000000" w:themeColor="text1"/>
          <w:sz w:val="20"/>
          <w:szCs w:val="20"/>
          <w:lang w:val="en-US"/>
        </w:rPr>
        <w:t xml:space="preserve"> CM, Subramanian SV. Young Adults and Adverse Childhood Events: A Potent Measure of Cardiovascular Risk. Am J Med. 2019 May;132(5):605-613.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2019 Jan 9. PMID: 30639555. DOI: </w:t>
      </w:r>
      <w:hyperlink r:id="rId144" w:tgtFrame="_blank" w:history="1">
        <w:r w:rsidRPr="00FB1244">
          <w:rPr>
            <w:rStyle w:val="Hyperlink"/>
            <w:rFonts w:ascii="Arial" w:hAnsi="Arial" w:cs="Arial"/>
            <w:bCs/>
            <w:sz w:val="20"/>
            <w:szCs w:val="20"/>
            <w:lang w:val="en-US"/>
          </w:rPr>
          <w:t>10.1016/j.amjmed.2018.12.022</w:t>
        </w:r>
      </w:hyperlink>
    </w:p>
    <w:p w14:paraId="56078474" w14:textId="796F1381"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Writing Group Members; </w:t>
      </w:r>
      <w:proofErr w:type="spellStart"/>
      <w:r w:rsidRPr="00FB1244">
        <w:rPr>
          <w:rFonts w:ascii="Arial" w:hAnsi="Arial" w:cs="Arial"/>
          <w:bCs/>
          <w:color w:val="000000" w:themeColor="text1"/>
          <w:sz w:val="20"/>
          <w:szCs w:val="20"/>
          <w:lang w:val="en-US"/>
        </w:rPr>
        <w:t>Mozaffarian</w:t>
      </w:r>
      <w:proofErr w:type="spellEnd"/>
      <w:r w:rsidRPr="00FB1244">
        <w:rPr>
          <w:rFonts w:ascii="Arial" w:hAnsi="Arial" w:cs="Arial"/>
          <w:bCs/>
          <w:color w:val="000000" w:themeColor="text1"/>
          <w:sz w:val="20"/>
          <w:szCs w:val="20"/>
          <w:lang w:val="en-US"/>
        </w:rPr>
        <w:t xml:space="preserve"> D, Benjamin EJ, Go AS, Arnett DK, Blaha MJ, Cushman M, Das SR, de Ferranti S, Després JP, Fullerton HJ, Howard VJ, Huffman MD, Isasi CR, Jiménez MC, Judd SE, </w:t>
      </w:r>
      <w:proofErr w:type="spellStart"/>
      <w:r w:rsidRPr="00FB1244">
        <w:rPr>
          <w:rFonts w:ascii="Arial" w:hAnsi="Arial" w:cs="Arial"/>
          <w:bCs/>
          <w:color w:val="000000" w:themeColor="text1"/>
          <w:sz w:val="20"/>
          <w:szCs w:val="20"/>
          <w:lang w:val="en-US"/>
        </w:rPr>
        <w:t>Kissela</w:t>
      </w:r>
      <w:proofErr w:type="spellEnd"/>
      <w:r w:rsidRPr="00FB1244">
        <w:rPr>
          <w:rFonts w:ascii="Arial" w:hAnsi="Arial" w:cs="Arial"/>
          <w:bCs/>
          <w:color w:val="000000" w:themeColor="text1"/>
          <w:sz w:val="20"/>
          <w:szCs w:val="20"/>
          <w:lang w:val="en-US"/>
        </w:rPr>
        <w:t xml:space="preserve"> BM, Lichtman JH, Lisabeth LD, Liu S, Mackey RH, Magid DJ, McGuire DK, Mohler ER 3rd, Moy CS, </w:t>
      </w:r>
      <w:proofErr w:type="spellStart"/>
      <w:r w:rsidRPr="00FB1244">
        <w:rPr>
          <w:rFonts w:ascii="Arial" w:hAnsi="Arial" w:cs="Arial"/>
          <w:bCs/>
          <w:color w:val="000000" w:themeColor="text1"/>
          <w:sz w:val="20"/>
          <w:szCs w:val="20"/>
          <w:lang w:val="en-US"/>
        </w:rPr>
        <w:t>Muntner</w:t>
      </w:r>
      <w:proofErr w:type="spellEnd"/>
      <w:r w:rsidRPr="00FB1244">
        <w:rPr>
          <w:rFonts w:ascii="Arial" w:hAnsi="Arial" w:cs="Arial"/>
          <w:bCs/>
          <w:color w:val="000000" w:themeColor="text1"/>
          <w:sz w:val="20"/>
          <w:szCs w:val="20"/>
          <w:lang w:val="en-US"/>
        </w:rPr>
        <w:t xml:space="preserve"> P, </w:t>
      </w:r>
      <w:proofErr w:type="spellStart"/>
      <w:r w:rsidRPr="00FB1244">
        <w:rPr>
          <w:rFonts w:ascii="Arial" w:hAnsi="Arial" w:cs="Arial"/>
          <w:bCs/>
          <w:color w:val="000000" w:themeColor="text1"/>
          <w:sz w:val="20"/>
          <w:szCs w:val="20"/>
          <w:lang w:val="en-US"/>
        </w:rPr>
        <w:t>Mussolino</w:t>
      </w:r>
      <w:proofErr w:type="spellEnd"/>
      <w:r w:rsidRPr="00FB1244">
        <w:rPr>
          <w:rFonts w:ascii="Arial" w:hAnsi="Arial" w:cs="Arial"/>
          <w:bCs/>
          <w:color w:val="000000" w:themeColor="text1"/>
          <w:sz w:val="20"/>
          <w:szCs w:val="20"/>
          <w:lang w:val="en-US"/>
        </w:rPr>
        <w:t xml:space="preserve"> ME, Nasir K, </w:t>
      </w:r>
      <w:proofErr w:type="spellStart"/>
      <w:r w:rsidRPr="00FB1244">
        <w:rPr>
          <w:rFonts w:ascii="Arial" w:hAnsi="Arial" w:cs="Arial"/>
          <w:bCs/>
          <w:color w:val="000000" w:themeColor="text1"/>
          <w:sz w:val="20"/>
          <w:szCs w:val="20"/>
          <w:lang w:val="en-US"/>
        </w:rPr>
        <w:t>Neumar</w:t>
      </w:r>
      <w:proofErr w:type="spellEnd"/>
      <w:r w:rsidRPr="00FB1244">
        <w:rPr>
          <w:rFonts w:ascii="Arial" w:hAnsi="Arial" w:cs="Arial"/>
          <w:bCs/>
          <w:color w:val="000000" w:themeColor="text1"/>
          <w:sz w:val="20"/>
          <w:szCs w:val="20"/>
          <w:lang w:val="en-US"/>
        </w:rPr>
        <w:t xml:space="preserve"> RW, Nichol G, Palaniappan L, Pandey DK, Reeves MJ, Rodriguez CJ, Rosamond W, </w:t>
      </w:r>
      <w:proofErr w:type="spellStart"/>
      <w:r w:rsidRPr="00FB1244">
        <w:rPr>
          <w:rFonts w:ascii="Arial" w:hAnsi="Arial" w:cs="Arial"/>
          <w:bCs/>
          <w:color w:val="000000" w:themeColor="text1"/>
          <w:sz w:val="20"/>
          <w:szCs w:val="20"/>
          <w:lang w:val="en-US"/>
        </w:rPr>
        <w:t>Sorlie</w:t>
      </w:r>
      <w:proofErr w:type="spellEnd"/>
      <w:r w:rsidRPr="00FB1244">
        <w:rPr>
          <w:rFonts w:ascii="Arial" w:hAnsi="Arial" w:cs="Arial"/>
          <w:bCs/>
          <w:color w:val="000000" w:themeColor="text1"/>
          <w:sz w:val="20"/>
          <w:szCs w:val="20"/>
          <w:lang w:val="en-US"/>
        </w:rPr>
        <w:t xml:space="preserve"> PD, Stein J, </w:t>
      </w:r>
      <w:proofErr w:type="spellStart"/>
      <w:r w:rsidRPr="00FB1244">
        <w:rPr>
          <w:rFonts w:ascii="Arial" w:hAnsi="Arial" w:cs="Arial"/>
          <w:bCs/>
          <w:color w:val="000000" w:themeColor="text1"/>
          <w:sz w:val="20"/>
          <w:szCs w:val="20"/>
          <w:lang w:val="en-US"/>
        </w:rPr>
        <w:t>Towfighi</w:t>
      </w:r>
      <w:proofErr w:type="spellEnd"/>
      <w:r w:rsidRPr="00FB1244">
        <w:rPr>
          <w:rFonts w:ascii="Arial" w:hAnsi="Arial" w:cs="Arial"/>
          <w:bCs/>
          <w:color w:val="000000" w:themeColor="text1"/>
          <w:sz w:val="20"/>
          <w:szCs w:val="20"/>
          <w:lang w:val="en-US"/>
        </w:rPr>
        <w:t xml:space="preserve"> A, </w:t>
      </w:r>
      <w:proofErr w:type="spellStart"/>
      <w:r w:rsidRPr="00FB1244">
        <w:rPr>
          <w:rFonts w:ascii="Arial" w:hAnsi="Arial" w:cs="Arial"/>
          <w:bCs/>
          <w:color w:val="000000" w:themeColor="text1"/>
          <w:sz w:val="20"/>
          <w:szCs w:val="20"/>
          <w:lang w:val="en-US"/>
        </w:rPr>
        <w:t>Turan</w:t>
      </w:r>
      <w:proofErr w:type="spellEnd"/>
      <w:r w:rsidRPr="00FB1244">
        <w:rPr>
          <w:rFonts w:ascii="Arial" w:hAnsi="Arial" w:cs="Arial"/>
          <w:bCs/>
          <w:color w:val="000000" w:themeColor="text1"/>
          <w:sz w:val="20"/>
          <w:szCs w:val="20"/>
          <w:lang w:val="en-US"/>
        </w:rPr>
        <w:t xml:space="preserve"> TN, Virani SS, Woo D, Yeh RW, Turner MB; American Heart Association Statistics Committee; Stroke Statistics Subcommittee. Heart Disease and Stroke Statistics-2016 Update: A Report from the American Heart Association. Circulation. 2016 Jan 26;133(4): e38-360. </w:t>
      </w:r>
      <w:proofErr w:type="spellStart"/>
      <w:r w:rsidRPr="00FB1244">
        <w:rPr>
          <w:rFonts w:ascii="Arial" w:hAnsi="Arial" w:cs="Arial"/>
          <w:bCs/>
          <w:color w:val="000000" w:themeColor="text1"/>
          <w:sz w:val="20"/>
          <w:szCs w:val="20"/>
          <w:lang w:val="en-US"/>
        </w:rPr>
        <w:t>doi</w:t>
      </w:r>
      <w:proofErr w:type="spellEnd"/>
      <w:r w:rsidRPr="00FB1244">
        <w:rPr>
          <w:rFonts w:ascii="Arial" w:hAnsi="Arial" w:cs="Arial"/>
          <w:bCs/>
          <w:color w:val="000000" w:themeColor="text1"/>
          <w:sz w:val="20"/>
          <w:szCs w:val="20"/>
          <w:lang w:val="en-US"/>
        </w:rPr>
        <w:t xml:space="preserve">: 10.1161/CIR.0000000000000350.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2015 Dec 16. Erratum in: Circulation. 2016 Apr 12;133(15): e599. PMID: 26673558. </w:t>
      </w:r>
      <w:hyperlink r:id="rId145" w:history="1">
        <w:r w:rsidRPr="00FB1244">
          <w:rPr>
            <w:rStyle w:val="Hyperlink"/>
            <w:rFonts w:ascii="Arial" w:hAnsi="Arial" w:cs="Arial"/>
            <w:b/>
            <w:bCs/>
            <w:sz w:val="20"/>
            <w:szCs w:val="20"/>
            <w:lang w:val="en-US"/>
          </w:rPr>
          <w:t>https://doi.org/10.1161/CIR.0000000000000350</w:t>
        </w:r>
      </w:hyperlink>
    </w:p>
    <w:p w14:paraId="53DE410A" w14:textId="025A8DD3"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Duarte Lau F, Giugliano RP. Lipoprotein(a) and its Significance in Cardiovascular Disease: A Review. JAMA </w:t>
      </w:r>
      <w:proofErr w:type="spellStart"/>
      <w:r w:rsidRPr="00FB1244">
        <w:rPr>
          <w:rFonts w:ascii="Arial" w:hAnsi="Arial" w:cs="Arial"/>
          <w:bCs/>
          <w:color w:val="000000" w:themeColor="text1"/>
          <w:sz w:val="20"/>
          <w:szCs w:val="20"/>
          <w:lang w:val="en-US"/>
        </w:rPr>
        <w:t>Cardiol</w:t>
      </w:r>
      <w:proofErr w:type="spellEnd"/>
      <w:r w:rsidRPr="00FB1244">
        <w:rPr>
          <w:rFonts w:ascii="Arial" w:hAnsi="Arial" w:cs="Arial"/>
          <w:bCs/>
          <w:color w:val="000000" w:themeColor="text1"/>
          <w:sz w:val="20"/>
          <w:szCs w:val="20"/>
          <w:lang w:val="en-US"/>
        </w:rPr>
        <w:t xml:space="preserve">. 2022 Jul 1;7(7):760-769. </w:t>
      </w:r>
      <w:proofErr w:type="spellStart"/>
      <w:r w:rsidRPr="00FB1244">
        <w:rPr>
          <w:rFonts w:ascii="Arial" w:hAnsi="Arial" w:cs="Arial"/>
          <w:bCs/>
          <w:color w:val="000000" w:themeColor="text1"/>
          <w:sz w:val="20"/>
          <w:szCs w:val="20"/>
          <w:lang w:val="en-US"/>
        </w:rPr>
        <w:t>doi</w:t>
      </w:r>
      <w:proofErr w:type="spellEnd"/>
      <w:r w:rsidRPr="00FB1244">
        <w:rPr>
          <w:rFonts w:ascii="Arial" w:hAnsi="Arial" w:cs="Arial"/>
          <w:bCs/>
          <w:color w:val="000000" w:themeColor="text1"/>
          <w:sz w:val="20"/>
          <w:szCs w:val="20"/>
          <w:lang w:val="en-US"/>
        </w:rPr>
        <w:t xml:space="preserve">: 10.1001/jamacardio.2022.0987. Erratum in: JAMA </w:t>
      </w:r>
      <w:proofErr w:type="spellStart"/>
      <w:r w:rsidRPr="00FB1244">
        <w:rPr>
          <w:rFonts w:ascii="Arial" w:hAnsi="Arial" w:cs="Arial"/>
          <w:bCs/>
          <w:color w:val="000000" w:themeColor="text1"/>
          <w:sz w:val="20"/>
          <w:szCs w:val="20"/>
          <w:lang w:val="en-US"/>
        </w:rPr>
        <w:t>Cardiol</w:t>
      </w:r>
      <w:proofErr w:type="spellEnd"/>
      <w:r w:rsidRPr="00FB1244">
        <w:rPr>
          <w:rFonts w:ascii="Arial" w:hAnsi="Arial" w:cs="Arial"/>
          <w:bCs/>
          <w:color w:val="000000" w:themeColor="text1"/>
          <w:sz w:val="20"/>
          <w:szCs w:val="20"/>
          <w:lang w:val="en-US"/>
        </w:rPr>
        <w:t>. 2022 Jul 1;7(7):776. PMID: 35583875. DOI: </w:t>
      </w:r>
      <w:hyperlink r:id="rId146" w:tgtFrame="_blank" w:history="1">
        <w:r w:rsidRPr="00FB1244">
          <w:rPr>
            <w:rStyle w:val="Hyperlink"/>
            <w:rFonts w:ascii="Arial" w:hAnsi="Arial" w:cs="Arial"/>
            <w:bCs/>
            <w:sz w:val="20"/>
            <w:szCs w:val="20"/>
            <w:lang w:val="en-US"/>
          </w:rPr>
          <w:t>10.1001/jamacardio.2022.0987</w:t>
        </w:r>
      </w:hyperlink>
    </w:p>
    <w:p w14:paraId="4A9F4084" w14:textId="6AC0FFBC"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Tall AR, Thomas DG, Gonzalez-</w:t>
      </w:r>
      <w:proofErr w:type="spellStart"/>
      <w:r w:rsidRPr="00FB1244">
        <w:rPr>
          <w:rFonts w:ascii="Arial" w:hAnsi="Arial" w:cs="Arial"/>
          <w:bCs/>
          <w:color w:val="000000" w:themeColor="text1"/>
          <w:sz w:val="20"/>
          <w:szCs w:val="20"/>
          <w:lang w:val="en-US"/>
        </w:rPr>
        <w:t>Cabodevilla</w:t>
      </w:r>
      <w:proofErr w:type="spellEnd"/>
      <w:r w:rsidRPr="00FB1244">
        <w:rPr>
          <w:rFonts w:ascii="Arial" w:hAnsi="Arial" w:cs="Arial"/>
          <w:bCs/>
          <w:color w:val="000000" w:themeColor="text1"/>
          <w:sz w:val="20"/>
          <w:szCs w:val="20"/>
          <w:lang w:val="en-US"/>
        </w:rPr>
        <w:t xml:space="preserve"> AG, Goldberg IJ. Addressing </w:t>
      </w:r>
      <w:proofErr w:type="spellStart"/>
      <w:r w:rsidRPr="00FB1244">
        <w:rPr>
          <w:rFonts w:ascii="Arial" w:hAnsi="Arial" w:cs="Arial"/>
          <w:bCs/>
          <w:color w:val="000000" w:themeColor="text1"/>
          <w:sz w:val="20"/>
          <w:szCs w:val="20"/>
          <w:lang w:val="en-US"/>
        </w:rPr>
        <w:t>dyslipidemic</w:t>
      </w:r>
      <w:proofErr w:type="spellEnd"/>
      <w:r w:rsidRPr="00FB1244">
        <w:rPr>
          <w:rFonts w:ascii="Arial" w:hAnsi="Arial" w:cs="Arial"/>
          <w:bCs/>
          <w:color w:val="000000" w:themeColor="text1"/>
          <w:sz w:val="20"/>
          <w:szCs w:val="20"/>
          <w:lang w:val="en-US"/>
        </w:rPr>
        <w:t xml:space="preserve"> risk beyond LDL-cholesterol. J Clin Invest. 2022 Jan 4;132(1): e148559. PMID: 34981790; PMCID: PMC8718149.  DOI: </w:t>
      </w:r>
      <w:hyperlink r:id="rId147" w:tgtFrame="_blank" w:history="1">
        <w:r w:rsidRPr="00FB1244">
          <w:rPr>
            <w:rStyle w:val="Hyperlink"/>
            <w:rFonts w:ascii="Arial" w:hAnsi="Arial" w:cs="Arial"/>
            <w:bCs/>
            <w:sz w:val="20"/>
            <w:szCs w:val="20"/>
            <w:lang w:val="en-US"/>
          </w:rPr>
          <w:t>10.1172/JCI148559</w:t>
        </w:r>
      </w:hyperlink>
    </w:p>
    <w:p w14:paraId="38518D9E" w14:textId="7AA1130C"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bookmarkStart w:id="3" w:name="_Hlk197693733"/>
      <w:r w:rsidRPr="00FB1244">
        <w:rPr>
          <w:rFonts w:ascii="Arial" w:hAnsi="Arial" w:cs="Arial"/>
          <w:bCs/>
          <w:color w:val="000000" w:themeColor="text1"/>
          <w:sz w:val="20"/>
          <w:szCs w:val="20"/>
          <w:lang w:val="en-US"/>
        </w:rPr>
        <w:t xml:space="preserve">King K, Macken A, Blake O, O'Gorman CS. Cholesterol screening and statin use in children: a literature review. </w:t>
      </w:r>
      <w:proofErr w:type="spellStart"/>
      <w:r w:rsidRPr="00FB1244">
        <w:rPr>
          <w:rFonts w:ascii="Arial" w:hAnsi="Arial" w:cs="Arial"/>
          <w:bCs/>
          <w:color w:val="000000" w:themeColor="text1"/>
          <w:sz w:val="20"/>
          <w:szCs w:val="20"/>
          <w:lang w:val="en-US"/>
        </w:rPr>
        <w:t>Ir</w:t>
      </w:r>
      <w:proofErr w:type="spellEnd"/>
      <w:r w:rsidRPr="00FB1244">
        <w:rPr>
          <w:rFonts w:ascii="Arial" w:hAnsi="Arial" w:cs="Arial"/>
          <w:bCs/>
          <w:color w:val="000000" w:themeColor="text1"/>
          <w:sz w:val="20"/>
          <w:szCs w:val="20"/>
          <w:lang w:val="en-US"/>
        </w:rPr>
        <w:t xml:space="preserve"> J Med Sci. 2019 Feb;188(1):179-188. </w:t>
      </w:r>
      <w:proofErr w:type="spellStart"/>
      <w:r w:rsidRPr="00FB1244">
        <w:rPr>
          <w:rFonts w:ascii="Arial" w:hAnsi="Arial" w:cs="Arial"/>
          <w:bCs/>
          <w:color w:val="000000" w:themeColor="text1"/>
          <w:sz w:val="20"/>
          <w:szCs w:val="20"/>
          <w:lang w:val="en-US"/>
        </w:rPr>
        <w:t>doi</w:t>
      </w:r>
      <w:proofErr w:type="spellEnd"/>
      <w:r w:rsidRPr="00FB1244">
        <w:rPr>
          <w:rFonts w:ascii="Arial" w:hAnsi="Arial" w:cs="Arial"/>
          <w:bCs/>
          <w:color w:val="000000" w:themeColor="text1"/>
          <w:sz w:val="20"/>
          <w:szCs w:val="20"/>
          <w:lang w:val="en-US"/>
        </w:rPr>
        <w:t xml:space="preserve">: 10.1007/s11845-018-1835-9. </w:t>
      </w:r>
      <w:proofErr w:type="spellStart"/>
      <w:r w:rsidRPr="00FB1244">
        <w:rPr>
          <w:rFonts w:ascii="Arial" w:hAnsi="Arial" w:cs="Arial"/>
          <w:bCs/>
          <w:color w:val="000000" w:themeColor="text1"/>
          <w:sz w:val="20"/>
          <w:szCs w:val="20"/>
          <w:lang w:val="en-US"/>
        </w:rPr>
        <w:t>Epub</w:t>
      </w:r>
      <w:proofErr w:type="spellEnd"/>
      <w:r w:rsidRPr="00FB1244">
        <w:rPr>
          <w:rFonts w:ascii="Arial" w:hAnsi="Arial" w:cs="Arial"/>
          <w:bCs/>
          <w:color w:val="000000" w:themeColor="text1"/>
          <w:sz w:val="20"/>
          <w:szCs w:val="20"/>
          <w:lang w:val="en-US"/>
        </w:rPr>
        <w:t xml:space="preserve"> 2018 Jun 1. PMID: 29858795.</w:t>
      </w:r>
      <w:bookmarkEnd w:id="3"/>
    </w:p>
    <w:p w14:paraId="6175F1D3" w14:textId="7707A48E"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lastRenderedPageBreak/>
        <w:t>Jebari-Benslaiman</w:t>
      </w:r>
      <w:proofErr w:type="spellEnd"/>
      <w:r w:rsidRPr="00FB1244">
        <w:rPr>
          <w:rFonts w:ascii="Arial" w:hAnsi="Arial" w:cs="Arial"/>
          <w:bCs/>
          <w:color w:val="000000" w:themeColor="text1"/>
          <w:sz w:val="20"/>
          <w:szCs w:val="20"/>
          <w:lang w:val="en-US"/>
        </w:rPr>
        <w:t xml:space="preserve"> S, Galicia-García U, </w:t>
      </w:r>
      <w:proofErr w:type="spellStart"/>
      <w:r w:rsidRPr="00FB1244">
        <w:rPr>
          <w:rFonts w:ascii="Arial" w:hAnsi="Arial" w:cs="Arial"/>
          <w:bCs/>
          <w:color w:val="000000" w:themeColor="text1"/>
          <w:sz w:val="20"/>
          <w:szCs w:val="20"/>
          <w:lang w:val="en-US"/>
        </w:rPr>
        <w:t>Larrea-Sebal</w:t>
      </w:r>
      <w:proofErr w:type="spellEnd"/>
      <w:r w:rsidRPr="00FB1244">
        <w:rPr>
          <w:rFonts w:ascii="Arial" w:hAnsi="Arial" w:cs="Arial"/>
          <w:bCs/>
          <w:color w:val="000000" w:themeColor="text1"/>
          <w:sz w:val="20"/>
          <w:szCs w:val="20"/>
          <w:lang w:val="en-US"/>
        </w:rPr>
        <w:t xml:space="preserve"> A, </w:t>
      </w:r>
      <w:proofErr w:type="spellStart"/>
      <w:r w:rsidRPr="00FB1244">
        <w:rPr>
          <w:rFonts w:ascii="Arial" w:hAnsi="Arial" w:cs="Arial"/>
          <w:bCs/>
          <w:color w:val="000000" w:themeColor="text1"/>
          <w:sz w:val="20"/>
          <w:szCs w:val="20"/>
          <w:lang w:val="en-US"/>
        </w:rPr>
        <w:t>Olaetxea</w:t>
      </w:r>
      <w:proofErr w:type="spellEnd"/>
      <w:r w:rsidRPr="00FB1244">
        <w:rPr>
          <w:rFonts w:ascii="Arial" w:hAnsi="Arial" w:cs="Arial"/>
          <w:bCs/>
          <w:color w:val="000000" w:themeColor="text1"/>
          <w:sz w:val="20"/>
          <w:szCs w:val="20"/>
          <w:lang w:val="en-US"/>
        </w:rPr>
        <w:t xml:space="preserve"> JR, </w:t>
      </w:r>
      <w:proofErr w:type="spellStart"/>
      <w:r w:rsidRPr="00FB1244">
        <w:rPr>
          <w:rFonts w:ascii="Arial" w:hAnsi="Arial" w:cs="Arial"/>
          <w:bCs/>
          <w:color w:val="000000" w:themeColor="text1"/>
          <w:sz w:val="20"/>
          <w:szCs w:val="20"/>
          <w:lang w:val="en-US"/>
        </w:rPr>
        <w:t>Alloza</w:t>
      </w:r>
      <w:proofErr w:type="spellEnd"/>
      <w:r w:rsidRPr="00FB1244">
        <w:rPr>
          <w:rFonts w:ascii="Arial" w:hAnsi="Arial" w:cs="Arial"/>
          <w:bCs/>
          <w:color w:val="000000" w:themeColor="text1"/>
          <w:sz w:val="20"/>
          <w:szCs w:val="20"/>
          <w:lang w:val="en-US"/>
        </w:rPr>
        <w:t xml:space="preserve"> I, </w:t>
      </w:r>
      <w:proofErr w:type="spellStart"/>
      <w:r w:rsidRPr="00FB1244">
        <w:rPr>
          <w:rFonts w:ascii="Arial" w:hAnsi="Arial" w:cs="Arial"/>
          <w:bCs/>
          <w:color w:val="000000" w:themeColor="text1"/>
          <w:sz w:val="20"/>
          <w:szCs w:val="20"/>
          <w:lang w:val="en-US"/>
        </w:rPr>
        <w:t>Vandenbroeck</w:t>
      </w:r>
      <w:proofErr w:type="spellEnd"/>
      <w:r w:rsidRPr="00FB1244">
        <w:rPr>
          <w:rFonts w:ascii="Arial" w:hAnsi="Arial" w:cs="Arial"/>
          <w:bCs/>
          <w:color w:val="000000" w:themeColor="text1"/>
          <w:sz w:val="20"/>
          <w:szCs w:val="20"/>
          <w:lang w:val="en-US"/>
        </w:rPr>
        <w:t xml:space="preserve"> K, Benito-Vicente A, Martín C. Pathophysiology of Atherosclerosis. Int J Mol Sci. 2022 Mar 20;23(6):3346. PMID: 35328769; PMCID: PMC8954705. DOI: </w:t>
      </w:r>
      <w:hyperlink r:id="rId148" w:tgtFrame="_blank" w:history="1">
        <w:r w:rsidRPr="00FB1244">
          <w:rPr>
            <w:rStyle w:val="Hyperlink"/>
            <w:rFonts w:ascii="Arial" w:hAnsi="Arial" w:cs="Arial"/>
            <w:bCs/>
            <w:sz w:val="20"/>
            <w:szCs w:val="20"/>
            <w:lang w:val="en-US"/>
          </w:rPr>
          <w:t>10.3390/ijms23063346</w:t>
        </w:r>
      </w:hyperlink>
    </w:p>
    <w:p w14:paraId="0AEE8B7D" w14:textId="37447825"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DeFilippis AP, Trainor PJ, </w:t>
      </w:r>
      <w:proofErr w:type="spellStart"/>
      <w:r w:rsidRPr="00FB1244">
        <w:rPr>
          <w:rFonts w:ascii="Arial" w:hAnsi="Arial" w:cs="Arial"/>
          <w:bCs/>
          <w:color w:val="000000" w:themeColor="text1"/>
          <w:sz w:val="20"/>
          <w:szCs w:val="20"/>
          <w:lang w:val="en-US"/>
        </w:rPr>
        <w:t>Thanassoulis</w:t>
      </w:r>
      <w:proofErr w:type="spellEnd"/>
      <w:r w:rsidRPr="00FB1244">
        <w:rPr>
          <w:rFonts w:ascii="Arial" w:hAnsi="Arial" w:cs="Arial"/>
          <w:bCs/>
          <w:color w:val="000000" w:themeColor="text1"/>
          <w:sz w:val="20"/>
          <w:szCs w:val="20"/>
          <w:lang w:val="en-US"/>
        </w:rPr>
        <w:t xml:space="preserve"> G, </w:t>
      </w:r>
      <w:proofErr w:type="spellStart"/>
      <w:r w:rsidRPr="00FB1244">
        <w:rPr>
          <w:rFonts w:ascii="Arial" w:hAnsi="Arial" w:cs="Arial"/>
          <w:bCs/>
          <w:color w:val="000000" w:themeColor="text1"/>
          <w:sz w:val="20"/>
          <w:szCs w:val="20"/>
          <w:lang w:val="en-US"/>
        </w:rPr>
        <w:t>Brumback</w:t>
      </w:r>
      <w:proofErr w:type="spellEnd"/>
      <w:r w:rsidRPr="00FB1244">
        <w:rPr>
          <w:rFonts w:ascii="Arial" w:hAnsi="Arial" w:cs="Arial"/>
          <w:bCs/>
          <w:color w:val="000000" w:themeColor="text1"/>
          <w:sz w:val="20"/>
          <w:szCs w:val="20"/>
          <w:lang w:val="en-US"/>
        </w:rPr>
        <w:t xml:space="preserve"> LC, Post WS, Tsai MY, </w:t>
      </w:r>
      <w:proofErr w:type="spellStart"/>
      <w:r w:rsidRPr="00FB1244">
        <w:rPr>
          <w:rFonts w:ascii="Arial" w:hAnsi="Arial" w:cs="Arial"/>
          <w:bCs/>
          <w:color w:val="000000" w:themeColor="text1"/>
          <w:sz w:val="20"/>
          <w:szCs w:val="20"/>
          <w:lang w:val="en-US"/>
        </w:rPr>
        <w:t>Tsimikas</w:t>
      </w:r>
      <w:proofErr w:type="spellEnd"/>
      <w:r w:rsidRPr="00FB1244">
        <w:rPr>
          <w:rFonts w:ascii="Arial" w:hAnsi="Arial" w:cs="Arial"/>
          <w:bCs/>
          <w:color w:val="000000" w:themeColor="text1"/>
          <w:sz w:val="20"/>
          <w:szCs w:val="20"/>
          <w:lang w:val="en-US"/>
        </w:rPr>
        <w:t xml:space="preserve"> S. Atherothrombotic factors and atherosclerotic cardiovascular events: the multi-ethnic study of atherosclerosis. Eur Heart J. 2022 Mar 7;43(10):971-981. PMID: 34508626; PMCID: PMC8899529. DOI: </w:t>
      </w:r>
      <w:hyperlink r:id="rId149" w:tgtFrame="_blank" w:history="1">
        <w:r w:rsidRPr="00FB1244">
          <w:rPr>
            <w:rStyle w:val="Hyperlink"/>
            <w:rFonts w:ascii="Arial" w:hAnsi="Arial" w:cs="Arial"/>
            <w:bCs/>
            <w:sz w:val="20"/>
            <w:szCs w:val="20"/>
            <w:lang w:val="en-US"/>
          </w:rPr>
          <w:t>10.1093/</w:t>
        </w:r>
        <w:proofErr w:type="spellStart"/>
        <w:r w:rsidRPr="00FB1244">
          <w:rPr>
            <w:rStyle w:val="Hyperlink"/>
            <w:rFonts w:ascii="Arial" w:hAnsi="Arial" w:cs="Arial"/>
            <w:bCs/>
            <w:sz w:val="20"/>
            <w:szCs w:val="20"/>
            <w:lang w:val="en-US"/>
          </w:rPr>
          <w:t>eurheartj</w:t>
        </w:r>
        <w:proofErr w:type="spellEnd"/>
        <w:r w:rsidRPr="00FB1244">
          <w:rPr>
            <w:rStyle w:val="Hyperlink"/>
            <w:rFonts w:ascii="Arial" w:hAnsi="Arial" w:cs="Arial"/>
            <w:bCs/>
            <w:sz w:val="20"/>
            <w:szCs w:val="20"/>
            <w:lang w:val="en-US"/>
          </w:rPr>
          <w:t>/ehab600</w:t>
        </w:r>
      </w:hyperlink>
    </w:p>
    <w:p w14:paraId="44E1898F" w14:textId="382645C9"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de Ferranti SD, Steinberger J, Ameduri R, Baker A, Gooding H, Kelly AS, </w:t>
      </w:r>
      <w:proofErr w:type="spellStart"/>
      <w:r w:rsidRPr="00FB1244">
        <w:rPr>
          <w:rFonts w:ascii="Arial" w:hAnsi="Arial" w:cs="Arial"/>
          <w:bCs/>
          <w:color w:val="000000" w:themeColor="text1"/>
          <w:sz w:val="20"/>
          <w:szCs w:val="20"/>
          <w:lang w:val="en-US"/>
        </w:rPr>
        <w:t>Mietus</w:t>
      </w:r>
      <w:proofErr w:type="spellEnd"/>
      <w:r w:rsidRPr="00FB1244">
        <w:rPr>
          <w:rFonts w:ascii="Arial" w:hAnsi="Arial" w:cs="Arial"/>
          <w:bCs/>
          <w:color w:val="000000" w:themeColor="text1"/>
          <w:sz w:val="20"/>
          <w:szCs w:val="20"/>
          <w:lang w:val="en-US"/>
        </w:rPr>
        <w:t xml:space="preserve">-Snyder M, </w:t>
      </w:r>
      <w:proofErr w:type="spellStart"/>
      <w:r w:rsidRPr="00FB1244">
        <w:rPr>
          <w:rFonts w:ascii="Arial" w:hAnsi="Arial" w:cs="Arial"/>
          <w:bCs/>
          <w:color w:val="000000" w:themeColor="text1"/>
          <w:sz w:val="20"/>
          <w:szCs w:val="20"/>
          <w:lang w:val="en-US"/>
        </w:rPr>
        <w:t>Mitsnefes</w:t>
      </w:r>
      <w:proofErr w:type="spellEnd"/>
      <w:r w:rsidRPr="00FB1244">
        <w:rPr>
          <w:rFonts w:ascii="Arial" w:hAnsi="Arial" w:cs="Arial"/>
          <w:bCs/>
          <w:color w:val="000000" w:themeColor="text1"/>
          <w:sz w:val="20"/>
          <w:szCs w:val="20"/>
          <w:lang w:val="en-US"/>
        </w:rPr>
        <w:t xml:space="preserve"> MM, Peterson AL, St-Pierre J, Urbina EM, Zachariah JP, Zaidi AN. Cardiovascular Risk Reduction in High-Risk Pediatric Patients: A Scientific Statement from the American Heart Association. Circulation. 2019 Mar 26;139(13): e603-e634. PMID: 30798614. </w:t>
      </w:r>
      <w:hyperlink r:id="rId150" w:history="1">
        <w:r w:rsidRPr="00FB1244">
          <w:rPr>
            <w:rStyle w:val="Hyperlink"/>
            <w:rFonts w:ascii="Arial" w:hAnsi="Arial" w:cs="Arial"/>
            <w:b/>
            <w:bCs/>
            <w:sz w:val="20"/>
            <w:szCs w:val="20"/>
            <w:lang w:val="en-US"/>
          </w:rPr>
          <w:t>https://doi.org/10.1161/CIR.0000000000000618</w:t>
        </w:r>
      </w:hyperlink>
    </w:p>
    <w:p w14:paraId="5BC70E87" w14:textId="302A141A"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proofErr w:type="spellStart"/>
      <w:r w:rsidRPr="00FB1244">
        <w:rPr>
          <w:rFonts w:ascii="Arial" w:hAnsi="Arial" w:cs="Arial"/>
          <w:bCs/>
          <w:color w:val="000000" w:themeColor="text1"/>
          <w:sz w:val="20"/>
          <w:szCs w:val="20"/>
          <w:lang w:val="en-US"/>
        </w:rPr>
        <w:t>Nuotio</w:t>
      </w:r>
      <w:proofErr w:type="spellEnd"/>
      <w:r w:rsidRPr="00FB1244">
        <w:rPr>
          <w:rFonts w:ascii="Arial" w:hAnsi="Arial" w:cs="Arial"/>
          <w:bCs/>
          <w:color w:val="000000" w:themeColor="text1"/>
          <w:sz w:val="20"/>
          <w:szCs w:val="20"/>
          <w:lang w:val="en-US"/>
        </w:rPr>
        <w:t xml:space="preserve"> J, </w:t>
      </w:r>
      <w:proofErr w:type="spellStart"/>
      <w:r w:rsidRPr="00FB1244">
        <w:rPr>
          <w:rFonts w:ascii="Arial" w:hAnsi="Arial" w:cs="Arial"/>
          <w:bCs/>
          <w:color w:val="000000" w:themeColor="text1"/>
          <w:sz w:val="20"/>
          <w:szCs w:val="20"/>
          <w:lang w:val="en-US"/>
        </w:rPr>
        <w:t>Pitkänen</w:t>
      </w:r>
      <w:proofErr w:type="spellEnd"/>
      <w:r w:rsidRPr="00FB1244">
        <w:rPr>
          <w:rFonts w:ascii="Arial" w:hAnsi="Arial" w:cs="Arial"/>
          <w:bCs/>
          <w:color w:val="000000" w:themeColor="text1"/>
          <w:sz w:val="20"/>
          <w:szCs w:val="20"/>
          <w:lang w:val="en-US"/>
        </w:rPr>
        <w:t xml:space="preserve"> N, Magnussen CG, </w:t>
      </w:r>
      <w:proofErr w:type="spellStart"/>
      <w:r w:rsidRPr="00FB1244">
        <w:rPr>
          <w:rFonts w:ascii="Arial" w:hAnsi="Arial" w:cs="Arial"/>
          <w:bCs/>
          <w:color w:val="000000" w:themeColor="text1"/>
          <w:sz w:val="20"/>
          <w:szCs w:val="20"/>
          <w:lang w:val="en-US"/>
        </w:rPr>
        <w:t>Buscot</w:t>
      </w:r>
      <w:proofErr w:type="spellEnd"/>
      <w:r w:rsidRPr="00FB1244">
        <w:rPr>
          <w:rFonts w:ascii="Arial" w:hAnsi="Arial" w:cs="Arial"/>
          <w:bCs/>
          <w:color w:val="000000" w:themeColor="text1"/>
          <w:sz w:val="20"/>
          <w:szCs w:val="20"/>
          <w:lang w:val="en-US"/>
        </w:rPr>
        <w:t xml:space="preserve"> MJ, </w:t>
      </w:r>
      <w:proofErr w:type="spellStart"/>
      <w:r w:rsidRPr="00FB1244">
        <w:rPr>
          <w:rFonts w:ascii="Arial" w:hAnsi="Arial" w:cs="Arial"/>
          <w:bCs/>
          <w:color w:val="000000" w:themeColor="text1"/>
          <w:sz w:val="20"/>
          <w:szCs w:val="20"/>
          <w:lang w:val="en-US"/>
        </w:rPr>
        <w:t>Venäläinen</w:t>
      </w:r>
      <w:proofErr w:type="spellEnd"/>
      <w:r w:rsidRPr="00FB1244">
        <w:rPr>
          <w:rFonts w:ascii="Arial" w:hAnsi="Arial" w:cs="Arial"/>
          <w:bCs/>
          <w:color w:val="000000" w:themeColor="text1"/>
          <w:sz w:val="20"/>
          <w:szCs w:val="20"/>
          <w:lang w:val="en-US"/>
        </w:rPr>
        <w:t xml:space="preserve"> MS, Elo LL, Jokinen E, </w:t>
      </w:r>
      <w:proofErr w:type="spellStart"/>
      <w:r w:rsidRPr="00FB1244">
        <w:rPr>
          <w:rFonts w:ascii="Arial" w:hAnsi="Arial" w:cs="Arial"/>
          <w:bCs/>
          <w:color w:val="000000" w:themeColor="text1"/>
          <w:sz w:val="20"/>
          <w:szCs w:val="20"/>
          <w:lang w:val="en-US"/>
        </w:rPr>
        <w:t>Laitinen</w:t>
      </w:r>
      <w:proofErr w:type="spellEnd"/>
      <w:r w:rsidRPr="00FB1244">
        <w:rPr>
          <w:rFonts w:ascii="Arial" w:hAnsi="Arial" w:cs="Arial"/>
          <w:bCs/>
          <w:color w:val="000000" w:themeColor="text1"/>
          <w:sz w:val="20"/>
          <w:szCs w:val="20"/>
          <w:lang w:val="en-US"/>
        </w:rPr>
        <w:t xml:space="preserve"> T, </w:t>
      </w:r>
      <w:proofErr w:type="spellStart"/>
      <w:r w:rsidRPr="00FB1244">
        <w:rPr>
          <w:rFonts w:ascii="Arial" w:hAnsi="Arial" w:cs="Arial"/>
          <w:bCs/>
          <w:color w:val="000000" w:themeColor="text1"/>
          <w:sz w:val="20"/>
          <w:szCs w:val="20"/>
          <w:lang w:val="en-US"/>
        </w:rPr>
        <w:t>Taittonen</w:t>
      </w:r>
      <w:proofErr w:type="spellEnd"/>
      <w:r w:rsidRPr="00FB1244">
        <w:rPr>
          <w:rFonts w:ascii="Arial" w:hAnsi="Arial" w:cs="Arial"/>
          <w:bCs/>
          <w:color w:val="000000" w:themeColor="text1"/>
          <w:sz w:val="20"/>
          <w:szCs w:val="20"/>
          <w:lang w:val="en-US"/>
        </w:rPr>
        <w:t xml:space="preserve"> L, </w:t>
      </w:r>
      <w:proofErr w:type="spellStart"/>
      <w:r w:rsidRPr="00FB1244">
        <w:rPr>
          <w:rFonts w:ascii="Arial" w:hAnsi="Arial" w:cs="Arial"/>
          <w:bCs/>
          <w:color w:val="000000" w:themeColor="text1"/>
          <w:sz w:val="20"/>
          <w:szCs w:val="20"/>
          <w:lang w:val="en-US"/>
        </w:rPr>
        <w:t>Hutri-Kähönen</w:t>
      </w:r>
      <w:proofErr w:type="spellEnd"/>
      <w:r w:rsidRPr="00FB1244">
        <w:rPr>
          <w:rFonts w:ascii="Arial" w:hAnsi="Arial" w:cs="Arial"/>
          <w:bCs/>
          <w:color w:val="000000" w:themeColor="text1"/>
          <w:sz w:val="20"/>
          <w:szCs w:val="20"/>
          <w:lang w:val="en-US"/>
        </w:rPr>
        <w:t xml:space="preserve"> N, Lyytikäinen LP, </w:t>
      </w:r>
      <w:proofErr w:type="spellStart"/>
      <w:r w:rsidRPr="00FB1244">
        <w:rPr>
          <w:rFonts w:ascii="Arial" w:hAnsi="Arial" w:cs="Arial"/>
          <w:bCs/>
          <w:color w:val="000000" w:themeColor="text1"/>
          <w:sz w:val="20"/>
          <w:szCs w:val="20"/>
          <w:lang w:val="en-US"/>
        </w:rPr>
        <w:t>Lehtimäki</w:t>
      </w:r>
      <w:proofErr w:type="spellEnd"/>
      <w:r w:rsidRPr="00FB1244">
        <w:rPr>
          <w:rFonts w:ascii="Arial" w:hAnsi="Arial" w:cs="Arial"/>
          <w:bCs/>
          <w:color w:val="000000" w:themeColor="text1"/>
          <w:sz w:val="20"/>
          <w:szCs w:val="20"/>
          <w:lang w:val="en-US"/>
        </w:rPr>
        <w:t xml:space="preserve"> T, </w:t>
      </w:r>
      <w:proofErr w:type="spellStart"/>
      <w:r w:rsidRPr="00FB1244">
        <w:rPr>
          <w:rFonts w:ascii="Arial" w:hAnsi="Arial" w:cs="Arial"/>
          <w:bCs/>
          <w:color w:val="000000" w:themeColor="text1"/>
          <w:sz w:val="20"/>
          <w:szCs w:val="20"/>
          <w:lang w:val="en-US"/>
        </w:rPr>
        <w:t>Viikari</w:t>
      </w:r>
      <w:proofErr w:type="spellEnd"/>
      <w:r w:rsidRPr="00FB1244">
        <w:rPr>
          <w:rFonts w:ascii="Arial" w:hAnsi="Arial" w:cs="Arial"/>
          <w:bCs/>
          <w:color w:val="000000" w:themeColor="text1"/>
          <w:sz w:val="20"/>
          <w:szCs w:val="20"/>
          <w:lang w:val="en-US"/>
        </w:rPr>
        <w:t xml:space="preserve"> JS, </w:t>
      </w:r>
      <w:proofErr w:type="spellStart"/>
      <w:r w:rsidRPr="00FB1244">
        <w:rPr>
          <w:rFonts w:ascii="Arial" w:hAnsi="Arial" w:cs="Arial"/>
          <w:bCs/>
          <w:color w:val="000000" w:themeColor="text1"/>
          <w:sz w:val="20"/>
          <w:szCs w:val="20"/>
          <w:lang w:val="en-US"/>
        </w:rPr>
        <w:t>Juonala</w:t>
      </w:r>
      <w:proofErr w:type="spellEnd"/>
      <w:r w:rsidRPr="00FB1244">
        <w:rPr>
          <w:rFonts w:ascii="Arial" w:hAnsi="Arial" w:cs="Arial"/>
          <w:bCs/>
          <w:color w:val="000000" w:themeColor="text1"/>
          <w:sz w:val="20"/>
          <w:szCs w:val="20"/>
          <w:lang w:val="en-US"/>
        </w:rPr>
        <w:t xml:space="preserve"> M, </w:t>
      </w:r>
      <w:proofErr w:type="spellStart"/>
      <w:r w:rsidRPr="00FB1244">
        <w:rPr>
          <w:rFonts w:ascii="Arial" w:hAnsi="Arial" w:cs="Arial"/>
          <w:bCs/>
          <w:color w:val="000000" w:themeColor="text1"/>
          <w:sz w:val="20"/>
          <w:szCs w:val="20"/>
          <w:lang w:val="en-US"/>
        </w:rPr>
        <w:t>Raitakari</w:t>
      </w:r>
      <w:proofErr w:type="spellEnd"/>
      <w:r w:rsidRPr="00FB1244">
        <w:rPr>
          <w:rFonts w:ascii="Arial" w:hAnsi="Arial" w:cs="Arial"/>
          <w:bCs/>
          <w:color w:val="000000" w:themeColor="text1"/>
          <w:sz w:val="20"/>
          <w:szCs w:val="20"/>
          <w:lang w:val="en-US"/>
        </w:rPr>
        <w:t xml:space="preserve"> OT. Prediction of Adult Dyslipidemia Using Genetic and Childhood Clinical Risk Factors: The Cardiovascular Risk in Young Finns Study. Circ Cardiovasc Genet. 2017 Jun;10(3): e001604. PMID: 28620070.DOI: </w:t>
      </w:r>
      <w:hyperlink r:id="rId151" w:tgtFrame="_new" w:history="1">
        <w:r w:rsidRPr="00FB1244">
          <w:rPr>
            <w:rStyle w:val="Hyperlink"/>
            <w:rFonts w:ascii="Arial" w:hAnsi="Arial" w:cs="Arial"/>
            <w:bCs/>
            <w:sz w:val="20"/>
            <w:szCs w:val="20"/>
            <w:lang w:val="en-US"/>
          </w:rPr>
          <w:t>10.1161/CIRCGENETICS.116.001604</w:t>
        </w:r>
      </w:hyperlink>
      <w:r w:rsidRPr="00FB1244">
        <w:rPr>
          <w:rFonts w:ascii="Arial" w:hAnsi="Arial" w:cs="Arial"/>
          <w:bCs/>
          <w:color w:val="000000" w:themeColor="text1"/>
          <w:sz w:val="20"/>
          <w:szCs w:val="20"/>
          <w:lang w:val="en-US"/>
        </w:rPr>
        <w:t>.</w:t>
      </w:r>
    </w:p>
    <w:p w14:paraId="55E6B6B0" w14:textId="2FFD51FF" w:rsidR="00EA6395" w:rsidRPr="00FB1244" w:rsidRDefault="00FB1244" w:rsidP="00510DC9">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Elkins C, Fruh S, Jones L, Bydalek K. Clinical Practice Recommendations for Pediatric Dyslipidemia. J </w:t>
      </w:r>
      <w:proofErr w:type="spellStart"/>
      <w:r w:rsidRPr="00FB1244">
        <w:rPr>
          <w:rFonts w:ascii="Arial" w:hAnsi="Arial" w:cs="Arial"/>
          <w:bCs/>
          <w:color w:val="000000" w:themeColor="text1"/>
          <w:sz w:val="20"/>
          <w:szCs w:val="20"/>
          <w:lang w:val="en-US"/>
        </w:rPr>
        <w:t>Pediatr</w:t>
      </w:r>
      <w:proofErr w:type="spellEnd"/>
      <w:r w:rsidRPr="00FB1244">
        <w:rPr>
          <w:rFonts w:ascii="Arial" w:hAnsi="Arial" w:cs="Arial"/>
          <w:bCs/>
          <w:color w:val="000000" w:themeColor="text1"/>
          <w:sz w:val="20"/>
          <w:szCs w:val="20"/>
          <w:lang w:val="en-US"/>
        </w:rPr>
        <w:t xml:space="preserve"> Health Care. 2019 Jul-Aug;33(4):494-504. PMID: 31227123.DOI: </w:t>
      </w:r>
      <w:hyperlink r:id="rId152" w:tgtFrame="_new" w:history="1">
        <w:r w:rsidRPr="00FB1244">
          <w:rPr>
            <w:rStyle w:val="Hyperlink"/>
            <w:rFonts w:ascii="Arial" w:hAnsi="Arial" w:cs="Arial"/>
            <w:bCs/>
            <w:sz w:val="20"/>
            <w:szCs w:val="20"/>
            <w:lang w:val="en-US"/>
          </w:rPr>
          <w:t>10.1016/j.pedhc.2019.02.009</w:t>
        </w:r>
      </w:hyperlink>
    </w:p>
    <w:sectPr w:rsidR="00EA6395" w:rsidRPr="00FB1244" w:rsidSect="0018210E">
      <w:headerReference w:type="even" r:id="rId153"/>
      <w:headerReference w:type="default" r:id="rId154"/>
      <w:footerReference w:type="even" r:id="rId155"/>
      <w:footerReference w:type="default" r:id="rId156"/>
      <w:headerReference w:type="first" r:id="rId157"/>
      <w:footerReference w:type="first" r:id="rId15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DAEC" w14:textId="77777777" w:rsidR="0062613A" w:rsidRPr="00375DF1" w:rsidRDefault="0062613A" w:rsidP="00B77F51">
      <w:pPr>
        <w:spacing w:after="0" w:line="240" w:lineRule="auto"/>
      </w:pPr>
      <w:r w:rsidRPr="00375DF1">
        <w:separator/>
      </w:r>
    </w:p>
  </w:endnote>
  <w:endnote w:type="continuationSeparator" w:id="0">
    <w:p w14:paraId="7DB92BB5" w14:textId="77777777" w:rsidR="0062613A" w:rsidRPr="00375DF1" w:rsidRDefault="0062613A" w:rsidP="00B77F51">
      <w:pPr>
        <w:spacing w:after="0" w:line="240" w:lineRule="auto"/>
      </w:pPr>
      <w:r w:rsidRPr="00375D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7568" w14:textId="77777777" w:rsidR="003C33FB" w:rsidRDefault="003C3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850028"/>
      <w:docPartObj>
        <w:docPartGallery w:val="Page Numbers (Bottom of Page)"/>
        <w:docPartUnique/>
      </w:docPartObj>
    </w:sdtPr>
    <w:sdtEndPr>
      <w:rPr>
        <w:rFonts w:ascii="Arial" w:hAnsi="Arial" w:cs="Arial"/>
      </w:rPr>
    </w:sdtEndPr>
    <w:sdtContent>
      <w:p w14:paraId="14C0A20F" w14:textId="5069BD91" w:rsidR="00045B53" w:rsidRPr="001E615D" w:rsidRDefault="00045B53">
        <w:pPr>
          <w:pStyle w:val="Footer"/>
          <w:jc w:val="center"/>
          <w:rPr>
            <w:rFonts w:ascii="Arial" w:hAnsi="Arial" w:cs="Arial"/>
          </w:rPr>
        </w:pPr>
        <w:r w:rsidRPr="001E615D">
          <w:rPr>
            <w:rFonts w:ascii="Arial" w:hAnsi="Arial" w:cs="Arial"/>
          </w:rPr>
          <w:fldChar w:fldCharType="begin"/>
        </w:r>
        <w:r w:rsidRPr="001E615D">
          <w:rPr>
            <w:rFonts w:ascii="Arial" w:hAnsi="Arial" w:cs="Arial"/>
          </w:rPr>
          <w:instrText xml:space="preserve"> PAGE   \* MERGEFORMAT </w:instrText>
        </w:r>
        <w:r w:rsidRPr="001E615D">
          <w:rPr>
            <w:rFonts w:ascii="Arial" w:hAnsi="Arial" w:cs="Arial"/>
          </w:rPr>
          <w:fldChar w:fldCharType="separate"/>
        </w:r>
        <w:r w:rsidR="00D42C17" w:rsidRPr="001E615D">
          <w:rPr>
            <w:rFonts w:ascii="Arial" w:hAnsi="Arial" w:cs="Arial"/>
          </w:rPr>
          <w:t>8</w:t>
        </w:r>
        <w:r w:rsidRPr="001E615D">
          <w:rPr>
            <w:rFonts w:ascii="Arial" w:hAnsi="Arial" w:cs="Arial"/>
          </w:rPr>
          <w:fldChar w:fldCharType="end"/>
        </w:r>
      </w:p>
    </w:sdtContent>
  </w:sdt>
  <w:p w14:paraId="0415072E" w14:textId="77777777" w:rsidR="00045B53" w:rsidRPr="00375DF1" w:rsidRDefault="00045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A853" w14:textId="77777777" w:rsidR="003C33FB" w:rsidRDefault="003C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96357" w14:textId="77777777" w:rsidR="0062613A" w:rsidRPr="00375DF1" w:rsidRDefault="0062613A" w:rsidP="00B77F51">
      <w:pPr>
        <w:spacing w:after="0" w:line="240" w:lineRule="auto"/>
      </w:pPr>
      <w:r w:rsidRPr="00375DF1">
        <w:separator/>
      </w:r>
    </w:p>
  </w:footnote>
  <w:footnote w:type="continuationSeparator" w:id="0">
    <w:p w14:paraId="28DE11D8" w14:textId="77777777" w:rsidR="0062613A" w:rsidRPr="00375DF1" w:rsidRDefault="0062613A" w:rsidP="00B77F51">
      <w:pPr>
        <w:spacing w:after="0" w:line="240" w:lineRule="auto"/>
      </w:pPr>
      <w:r w:rsidRPr="00375D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6DC1" w14:textId="0E5D5071" w:rsidR="003C33FB" w:rsidRDefault="003C33FB">
    <w:pPr>
      <w:pStyle w:val="Header"/>
    </w:pPr>
    <w:r>
      <w:rPr>
        <w:noProof/>
      </w:rPr>
      <w:pict w14:anchorId="1BD9D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47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5A91" w14:textId="07711DFC" w:rsidR="003C33FB" w:rsidRDefault="003C33FB">
    <w:pPr>
      <w:pStyle w:val="Header"/>
    </w:pPr>
    <w:r>
      <w:rPr>
        <w:noProof/>
      </w:rPr>
      <w:pict w14:anchorId="09F7E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47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D466" w14:textId="11DD01DF" w:rsidR="003C33FB" w:rsidRDefault="003C33FB">
    <w:pPr>
      <w:pStyle w:val="Header"/>
    </w:pPr>
    <w:r>
      <w:rPr>
        <w:noProof/>
      </w:rPr>
      <w:pict w14:anchorId="3CFEB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47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5AE"/>
    <w:multiLevelType w:val="multilevel"/>
    <w:tmpl w:val="4252D2F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425FC7"/>
    <w:multiLevelType w:val="hybridMultilevel"/>
    <w:tmpl w:val="4A6EB1D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60CFD"/>
    <w:multiLevelType w:val="hybridMultilevel"/>
    <w:tmpl w:val="8194876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C1B1A37"/>
    <w:multiLevelType w:val="hybridMultilevel"/>
    <w:tmpl w:val="63B8275C"/>
    <w:lvl w:ilvl="0" w:tplc="78B6428C">
      <w:start w:val="1"/>
      <w:numFmt w:val="decimal"/>
      <w:lvlText w:val="%1."/>
      <w:lvlJc w:val="left"/>
      <w:pPr>
        <w:ind w:left="502"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6B26E5"/>
    <w:multiLevelType w:val="hybridMultilevel"/>
    <w:tmpl w:val="AB903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A5398F"/>
    <w:multiLevelType w:val="hybridMultilevel"/>
    <w:tmpl w:val="E5FA5B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0DF7A68"/>
    <w:multiLevelType w:val="multilevel"/>
    <w:tmpl w:val="6992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B4AB7"/>
    <w:multiLevelType w:val="multilevel"/>
    <w:tmpl w:val="4274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10EB2"/>
    <w:multiLevelType w:val="multilevel"/>
    <w:tmpl w:val="00EA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87A39"/>
    <w:multiLevelType w:val="hybridMultilevel"/>
    <w:tmpl w:val="F280BD5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5321B0F"/>
    <w:multiLevelType w:val="multilevel"/>
    <w:tmpl w:val="84E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A4997"/>
    <w:multiLevelType w:val="hybridMultilevel"/>
    <w:tmpl w:val="E034C3F0"/>
    <w:lvl w:ilvl="0" w:tplc="8B3E6FC4">
      <w:start w:val="1"/>
      <w:numFmt w:val="decimal"/>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E3CCC"/>
    <w:multiLevelType w:val="hybridMultilevel"/>
    <w:tmpl w:val="748CB424"/>
    <w:lvl w:ilvl="0" w:tplc="6E1A59C8">
      <w:start w:val="1"/>
      <w:numFmt w:val="decimal"/>
      <w:lvlText w:val="%1."/>
      <w:lvlJc w:val="left"/>
      <w:pPr>
        <w:ind w:left="5038"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167445"/>
    <w:multiLevelType w:val="hybridMultilevel"/>
    <w:tmpl w:val="93F813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4696B93"/>
    <w:multiLevelType w:val="hybridMultilevel"/>
    <w:tmpl w:val="849E2D42"/>
    <w:lvl w:ilvl="0" w:tplc="BE8A4396">
      <w:start w:val="1"/>
      <w:numFmt w:val="bullet"/>
      <w:lvlText w:val="•"/>
      <w:lvlJc w:val="left"/>
      <w:pPr>
        <w:tabs>
          <w:tab w:val="num" w:pos="720"/>
        </w:tabs>
        <w:ind w:left="720" w:hanging="360"/>
      </w:pPr>
      <w:rPr>
        <w:rFonts w:ascii="Times New Roman" w:hAnsi="Times New Roman" w:hint="default"/>
      </w:rPr>
    </w:lvl>
    <w:lvl w:ilvl="1" w:tplc="219A9914" w:tentative="1">
      <w:start w:val="1"/>
      <w:numFmt w:val="bullet"/>
      <w:lvlText w:val="•"/>
      <w:lvlJc w:val="left"/>
      <w:pPr>
        <w:tabs>
          <w:tab w:val="num" w:pos="1440"/>
        </w:tabs>
        <w:ind w:left="1440" w:hanging="360"/>
      </w:pPr>
      <w:rPr>
        <w:rFonts w:ascii="Times New Roman" w:hAnsi="Times New Roman" w:hint="default"/>
      </w:rPr>
    </w:lvl>
    <w:lvl w:ilvl="2" w:tplc="080E4C3C" w:tentative="1">
      <w:start w:val="1"/>
      <w:numFmt w:val="bullet"/>
      <w:lvlText w:val="•"/>
      <w:lvlJc w:val="left"/>
      <w:pPr>
        <w:tabs>
          <w:tab w:val="num" w:pos="2160"/>
        </w:tabs>
        <w:ind w:left="2160" w:hanging="360"/>
      </w:pPr>
      <w:rPr>
        <w:rFonts w:ascii="Times New Roman" w:hAnsi="Times New Roman" w:hint="default"/>
      </w:rPr>
    </w:lvl>
    <w:lvl w:ilvl="3" w:tplc="E752B7F4" w:tentative="1">
      <w:start w:val="1"/>
      <w:numFmt w:val="bullet"/>
      <w:lvlText w:val="•"/>
      <w:lvlJc w:val="left"/>
      <w:pPr>
        <w:tabs>
          <w:tab w:val="num" w:pos="2880"/>
        </w:tabs>
        <w:ind w:left="2880" w:hanging="360"/>
      </w:pPr>
      <w:rPr>
        <w:rFonts w:ascii="Times New Roman" w:hAnsi="Times New Roman" w:hint="default"/>
      </w:rPr>
    </w:lvl>
    <w:lvl w:ilvl="4" w:tplc="79005D24" w:tentative="1">
      <w:start w:val="1"/>
      <w:numFmt w:val="bullet"/>
      <w:lvlText w:val="•"/>
      <w:lvlJc w:val="left"/>
      <w:pPr>
        <w:tabs>
          <w:tab w:val="num" w:pos="3600"/>
        </w:tabs>
        <w:ind w:left="3600" w:hanging="360"/>
      </w:pPr>
      <w:rPr>
        <w:rFonts w:ascii="Times New Roman" w:hAnsi="Times New Roman" w:hint="default"/>
      </w:rPr>
    </w:lvl>
    <w:lvl w:ilvl="5" w:tplc="8C3EC328" w:tentative="1">
      <w:start w:val="1"/>
      <w:numFmt w:val="bullet"/>
      <w:lvlText w:val="•"/>
      <w:lvlJc w:val="left"/>
      <w:pPr>
        <w:tabs>
          <w:tab w:val="num" w:pos="4320"/>
        </w:tabs>
        <w:ind w:left="4320" w:hanging="360"/>
      </w:pPr>
      <w:rPr>
        <w:rFonts w:ascii="Times New Roman" w:hAnsi="Times New Roman" w:hint="default"/>
      </w:rPr>
    </w:lvl>
    <w:lvl w:ilvl="6" w:tplc="64080C8A" w:tentative="1">
      <w:start w:val="1"/>
      <w:numFmt w:val="bullet"/>
      <w:lvlText w:val="•"/>
      <w:lvlJc w:val="left"/>
      <w:pPr>
        <w:tabs>
          <w:tab w:val="num" w:pos="5040"/>
        </w:tabs>
        <w:ind w:left="5040" w:hanging="360"/>
      </w:pPr>
      <w:rPr>
        <w:rFonts w:ascii="Times New Roman" w:hAnsi="Times New Roman" w:hint="default"/>
      </w:rPr>
    </w:lvl>
    <w:lvl w:ilvl="7" w:tplc="74EAB1B8" w:tentative="1">
      <w:start w:val="1"/>
      <w:numFmt w:val="bullet"/>
      <w:lvlText w:val="•"/>
      <w:lvlJc w:val="left"/>
      <w:pPr>
        <w:tabs>
          <w:tab w:val="num" w:pos="5760"/>
        </w:tabs>
        <w:ind w:left="5760" w:hanging="360"/>
      </w:pPr>
      <w:rPr>
        <w:rFonts w:ascii="Times New Roman" w:hAnsi="Times New Roman" w:hint="default"/>
      </w:rPr>
    </w:lvl>
    <w:lvl w:ilvl="8" w:tplc="5A12BA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8C6A82"/>
    <w:multiLevelType w:val="hybridMultilevel"/>
    <w:tmpl w:val="765058A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6F519CE"/>
    <w:multiLevelType w:val="hybridMultilevel"/>
    <w:tmpl w:val="69F2D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924F91"/>
    <w:multiLevelType w:val="hybridMultilevel"/>
    <w:tmpl w:val="BE5A38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8271F"/>
    <w:multiLevelType w:val="multilevel"/>
    <w:tmpl w:val="1134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2608A"/>
    <w:multiLevelType w:val="multilevel"/>
    <w:tmpl w:val="A8D6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73A4E"/>
    <w:multiLevelType w:val="hybridMultilevel"/>
    <w:tmpl w:val="F0EC53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267606"/>
    <w:multiLevelType w:val="hybridMultilevel"/>
    <w:tmpl w:val="DBAAA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03177E"/>
    <w:multiLevelType w:val="hybridMultilevel"/>
    <w:tmpl w:val="E0F6F5DE"/>
    <w:lvl w:ilvl="0" w:tplc="0C267F82">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9434594"/>
    <w:multiLevelType w:val="hybridMultilevel"/>
    <w:tmpl w:val="FED01A4A"/>
    <w:lvl w:ilvl="0" w:tplc="04090001">
      <w:start w:val="1"/>
      <w:numFmt w:val="bullet"/>
      <w:lvlText w:val=""/>
      <w:lvlJc w:val="left"/>
      <w:pPr>
        <w:ind w:left="644" w:hanging="360"/>
      </w:pPr>
      <w:rPr>
        <w:rFonts w:ascii="Symbol" w:hAnsi="Symbol" w:hint="default"/>
        <w:b w:val="0"/>
      </w:rPr>
    </w:lvl>
    <w:lvl w:ilvl="1" w:tplc="04090001">
      <w:start w:val="1"/>
      <w:numFmt w:val="bullet"/>
      <w:lvlText w:val=""/>
      <w:lvlJc w:val="left"/>
      <w:pPr>
        <w:ind w:left="1156" w:hanging="360"/>
      </w:pPr>
      <w:rPr>
        <w:rFonts w:ascii="Symbol" w:hAnsi="Symbol" w:hint="default"/>
      </w:r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4" w15:restartNumberingAfterBreak="0">
    <w:nsid w:val="4EF83F19"/>
    <w:multiLevelType w:val="hybridMultilevel"/>
    <w:tmpl w:val="67B8897C"/>
    <w:lvl w:ilvl="0" w:tplc="CFF233A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437A90"/>
    <w:multiLevelType w:val="multilevel"/>
    <w:tmpl w:val="183AB65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947F32"/>
    <w:multiLevelType w:val="multilevel"/>
    <w:tmpl w:val="D2D0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26A27"/>
    <w:multiLevelType w:val="hybridMultilevel"/>
    <w:tmpl w:val="7292C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F41630"/>
    <w:multiLevelType w:val="multilevel"/>
    <w:tmpl w:val="A3687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E003C"/>
    <w:multiLevelType w:val="multilevel"/>
    <w:tmpl w:val="6D28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65977"/>
    <w:multiLevelType w:val="hybridMultilevel"/>
    <w:tmpl w:val="42B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35F3D"/>
    <w:multiLevelType w:val="hybridMultilevel"/>
    <w:tmpl w:val="E1B0D0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F636C9"/>
    <w:multiLevelType w:val="hybridMultilevel"/>
    <w:tmpl w:val="D63EB04A"/>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25910"/>
    <w:multiLevelType w:val="hybridMultilevel"/>
    <w:tmpl w:val="0E0069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9135994"/>
    <w:multiLevelType w:val="hybridMultilevel"/>
    <w:tmpl w:val="17F692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7308B2"/>
    <w:multiLevelType w:val="multilevel"/>
    <w:tmpl w:val="699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54D55"/>
    <w:multiLevelType w:val="hybridMultilevel"/>
    <w:tmpl w:val="E5D48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1EF"/>
    <w:multiLevelType w:val="hybridMultilevel"/>
    <w:tmpl w:val="D7A0968A"/>
    <w:lvl w:ilvl="0" w:tplc="04090001">
      <w:start w:val="1"/>
      <w:numFmt w:val="bullet"/>
      <w:lvlText w:val=""/>
      <w:lvlJc w:val="left"/>
      <w:pPr>
        <w:ind w:left="644" w:hanging="360"/>
      </w:pPr>
      <w:rPr>
        <w:rFonts w:ascii="Symbol" w:hAnsi="Symbol" w:hint="default"/>
        <w:b w:val="0"/>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8" w15:restartNumberingAfterBreak="0">
    <w:nsid w:val="73303F6D"/>
    <w:multiLevelType w:val="hybridMultilevel"/>
    <w:tmpl w:val="5E323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8515D8"/>
    <w:multiLevelType w:val="hybridMultilevel"/>
    <w:tmpl w:val="92F661AC"/>
    <w:lvl w:ilvl="0" w:tplc="8B3E6F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F43F5"/>
    <w:multiLevelType w:val="hybridMultilevel"/>
    <w:tmpl w:val="09BA5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6"/>
  </w:num>
  <w:num w:numId="9">
    <w:abstractNumId w:val="29"/>
  </w:num>
  <w:num w:numId="10">
    <w:abstractNumId w:val="37"/>
  </w:num>
  <w:num w:numId="11">
    <w:abstractNumId w:val="3"/>
  </w:num>
  <w:num w:numId="12">
    <w:abstractNumId w:val="31"/>
  </w:num>
  <w:num w:numId="13">
    <w:abstractNumId w:val="20"/>
  </w:num>
  <w:num w:numId="14">
    <w:abstractNumId w:val="16"/>
  </w:num>
  <w:num w:numId="15">
    <w:abstractNumId w:val="12"/>
  </w:num>
  <w:num w:numId="16">
    <w:abstractNumId w:val="35"/>
  </w:num>
  <w:num w:numId="17">
    <w:abstractNumId w:val="10"/>
  </w:num>
  <w:num w:numId="18">
    <w:abstractNumId w:val="8"/>
  </w:num>
  <w:num w:numId="19">
    <w:abstractNumId w:val="7"/>
  </w:num>
  <w:num w:numId="20">
    <w:abstractNumId w:val="26"/>
  </w:num>
  <w:num w:numId="21">
    <w:abstractNumId w:val="18"/>
  </w:num>
  <w:num w:numId="22">
    <w:abstractNumId w:val="24"/>
  </w:num>
  <w:num w:numId="23">
    <w:abstractNumId w:val="27"/>
  </w:num>
  <w:num w:numId="24">
    <w:abstractNumId w:val="25"/>
  </w:num>
  <w:num w:numId="25">
    <w:abstractNumId w:val="34"/>
  </w:num>
  <w:num w:numId="26">
    <w:abstractNumId w:val="23"/>
  </w:num>
  <w:num w:numId="27">
    <w:abstractNumId w:val="33"/>
  </w:num>
  <w:num w:numId="28">
    <w:abstractNumId w:val="1"/>
  </w:num>
  <w:num w:numId="29">
    <w:abstractNumId w:val="40"/>
  </w:num>
  <w:num w:numId="30">
    <w:abstractNumId w:val="21"/>
  </w:num>
  <w:num w:numId="31">
    <w:abstractNumId w:val="30"/>
  </w:num>
  <w:num w:numId="32">
    <w:abstractNumId w:val="17"/>
  </w:num>
  <w:num w:numId="33">
    <w:abstractNumId w:val="39"/>
  </w:num>
  <w:num w:numId="34">
    <w:abstractNumId w:val="32"/>
  </w:num>
  <w:num w:numId="35">
    <w:abstractNumId w:val="11"/>
  </w:num>
  <w:num w:numId="36">
    <w:abstractNumId w:val="0"/>
  </w:num>
  <w:num w:numId="37">
    <w:abstractNumId w:val="28"/>
  </w:num>
  <w:num w:numId="38">
    <w:abstractNumId w:val="38"/>
  </w:num>
  <w:num w:numId="39">
    <w:abstractNumId w:val="5"/>
  </w:num>
  <w:num w:numId="40">
    <w:abstractNumId w:val="2"/>
  </w:num>
  <w:num w:numId="41">
    <w:abstractNumId w:val="9"/>
  </w:num>
  <w:num w:numId="42">
    <w:abstractNumId w:val="13"/>
  </w:num>
  <w:num w:numId="43">
    <w:abstractNumId w:val="4"/>
  </w:num>
  <w:num w:numId="44">
    <w:abstractNumId w:val="1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88"/>
    <w:rsid w:val="00005458"/>
    <w:rsid w:val="00006947"/>
    <w:rsid w:val="000076BB"/>
    <w:rsid w:val="000177E8"/>
    <w:rsid w:val="000201EA"/>
    <w:rsid w:val="00020350"/>
    <w:rsid w:val="00020464"/>
    <w:rsid w:val="00022902"/>
    <w:rsid w:val="00023B31"/>
    <w:rsid w:val="000240B4"/>
    <w:rsid w:val="00024D06"/>
    <w:rsid w:val="00031684"/>
    <w:rsid w:val="00032412"/>
    <w:rsid w:val="00035155"/>
    <w:rsid w:val="00036936"/>
    <w:rsid w:val="000429A8"/>
    <w:rsid w:val="00045493"/>
    <w:rsid w:val="00045B22"/>
    <w:rsid w:val="00045B53"/>
    <w:rsid w:val="00045D83"/>
    <w:rsid w:val="00050A3E"/>
    <w:rsid w:val="00051533"/>
    <w:rsid w:val="00053043"/>
    <w:rsid w:val="00053AA8"/>
    <w:rsid w:val="000556BC"/>
    <w:rsid w:val="00055E93"/>
    <w:rsid w:val="00056472"/>
    <w:rsid w:val="000565E9"/>
    <w:rsid w:val="0006778D"/>
    <w:rsid w:val="00067E42"/>
    <w:rsid w:val="00072766"/>
    <w:rsid w:val="0007507F"/>
    <w:rsid w:val="00075FF7"/>
    <w:rsid w:val="00076F95"/>
    <w:rsid w:val="00077859"/>
    <w:rsid w:val="00080935"/>
    <w:rsid w:val="00081229"/>
    <w:rsid w:val="00083BCE"/>
    <w:rsid w:val="00083ED8"/>
    <w:rsid w:val="00084616"/>
    <w:rsid w:val="000859BA"/>
    <w:rsid w:val="000905CC"/>
    <w:rsid w:val="0009179B"/>
    <w:rsid w:val="0009260B"/>
    <w:rsid w:val="0009266B"/>
    <w:rsid w:val="00094861"/>
    <w:rsid w:val="000A24F4"/>
    <w:rsid w:val="000A6046"/>
    <w:rsid w:val="000A6EAC"/>
    <w:rsid w:val="000B0B27"/>
    <w:rsid w:val="000B2677"/>
    <w:rsid w:val="000B5DC5"/>
    <w:rsid w:val="000C3E20"/>
    <w:rsid w:val="000C68ED"/>
    <w:rsid w:val="000C6A7D"/>
    <w:rsid w:val="000D026D"/>
    <w:rsid w:val="000D15C9"/>
    <w:rsid w:val="000D3CFE"/>
    <w:rsid w:val="000D5F5B"/>
    <w:rsid w:val="000D6F74"/>
    <w:rsid w:val="000E161F"/>
    <w:rsid w:val="000E20CF"/>
    <w:rsid w:val="000E223F"/>
    <w:rsid w:val="000E3D2A"/>
    <w:rsid w:val="000E4417"/>
    <w:rsid w:val="000E7C4B"/>
    <w:rsid w:val="000F02A9"/>
    <w:rsid w:val="000F0F3F"/>
    <w:rsid w:val="000F58ED"/>
    <w:rsid w:val="000F6B93"/>
    <w:rsid w:val="001004AF"/>
    <w:rsid w:val="001019C9"/>
    <w:rsid w:val="001022E0"/>
    <w:rsid w:val="001055BA"/>
    <w:rsid w:val="001077BE"/>
    <w:rsid w:val="00110A3D"/>
    <w:rsid w:val="00114A55"/>
    <w:rsid w:val="00120EB6"/>
    <w:rsid w:val="00122449"/>
    <w:rsid w:val="00122453"/>
    <w:rsid w:val="001247BD"/>
    <w:rsid w:val="00124B74"/>
    <w:rsid w:val="00126482"/>
    <w:rsid w:val="001277B5"/>
    <w:rsid w:val="00127C3C"/>
    <w:rsid w:val="00127EA1"/>
    <w:rsid w:val="001328A2"/>
    <w:rsid w:val="00136DD3"/>
    <w:rsid w:val="00141123"/>
    <w:rsid w:val="001457D2"/>
    <w:rsid w:val="00145FFA"/>
    <w:rsid w:val="00146222"/>
    <w:rsid w:val="00150889"/>
    <w:rsid w:val="00150C1A"/>
    <w:rsid w:val="00150D77"/>
    <w:rsid w:val="0015284A"/>
    <w:rsid w:val="00155696"/>
    <w:rsid w:val="0015648E"/>
    <w:rsid w:val="00163A22"/>
    <w:rsid w:val="0016737D"/>
    <w:rsid w:val="001710C8"/>
    <w:rsid w:val="00172885"/>
    <w:rsid w:val="00174963"/>
    <w:rsid w:val="00174E1E"/>
    <w:rsid w:val="001762A5"/>
    <w:rsid w:val="00182037"/>
    <w:rsid w:val="001820D5"/>
    <w:rsid w:val="0018210E"/>
    <w:rsid w:val="001821DD"/>
    <w:rsid w:val="00183D7C"/>
    <w:rsid w:val="00185612"/>
    <w:rsid w:val="00193435"/>
    <w:rsid w:val="00194654"/>
    <w:rsid w:val="001950F4"/>
    <w:rsid w:val="00195259"/>
    <w:rsid w:val="001A1444"/>
    <w:rsid w:val="001A24EA"/>
    <w:rsid w:val="001A3512"/>
    <w:rsid w:val="001A37AB"/>
    <w:rsid w:val="001A4F0D"/>
    <w:rsid w:val="001A588E"/>
    <w:rsid w:val="001B0AEE"/>
    <w:rsid w:val="001B2725"/>
    <w:rsid w:val="001B41E9"/>
    <w:rsid w:val="001B5BCA"/>
    <w:rsid w:val="001B604F"/>
    <w:rsid w:val="001B7060"/>
    <w:rsid w:val="001B72F8"/>
    <w:rsid w:val="001B7B70"/>
    <w:rsid w:val="001C02EC"/>
    <w:rsid w:val="001C2496"/>
    <w:rsid w:val="001C6033"/>
    <w:rsid w:val="001C6890"/>
    <w:rsid w:val="001C6A81"/>
    <w:rsid w:val="001D08F0"/>
    <w:rsid w:val="001E0CBB"/>
    <w:rsid w:val="001E53A1"/>
    <w:rsid w:val="001E5A45"/>
    <w:rsid w:val="001E615D"/>
    <w:rsid w:val="001E6FDC"/>
    <w:rsid w:val="001E7B2D"/>
    <w:rsid w:val="001E7B99"/>
    <w:rsid w:val="001F10B0"/>
    <w:rsid w:val="001F4589"/>
    <w:rsid w:val="001F5A7D"/>
    <w:rsid w:val="0020252E"/>
    <w:rsid w:val="00202BEC"/>
    <w:rsid w:val="002035D7"/>
    <w:rsid w:val="002042E4"/>
    <w:rsid w:val="00204912"/>
    <w:rsid w:val="0020493C"/>
    <w:rsid w:val="002057CF"/>
    <w:rsid w:val="00207CAA"/>
    <w:rsid w:val="002117E1"/>
    <w:rsid w:val="00213AD2"/>
    <w:rsid w:val="00217B4A"/>
    <w:rsid w:val="00220B4A"/>
    <w:rsid w:val="00220FE9"/>
    <w:rsid w:val="00221071"/>
    <w:rsid w:val="002222F4"/>
    <w:rsid w:val="002235FF"/>
    <w:rsid w:val="002243A2"/>
    <w:rsid w:val="00224826"/>
    <w:rsid w:val="002268EF"/>
    <w:rsid w:val="00230A60"/>
    <w:rsid w:val="0024216D"/>
    <w:rsid w:val="002433B0"/>
    <w:rsid w:val="00243F17"/>
    <w:rsid w:val="00244619"/>
    <w:rsid w:val="0024542A"/>
    <w:rsid w:val="00246865"/>
    <w:rsid w:val="002470B9"/>
    <w:rsid w:val="002471A0"/>
    <w:rsid w:val="00247835"/>
    <w:rsid w:val="00252E5A"/>
    <w:rsid w:val="00254E87"/>
    <w:rsid w:val="002562D1"/>
    <w:rsid w:val="00257F5F"/>
    <w:rsid w:val="0026275F"/>
    <w:rsid w:val="00266287"/>
    <w:rsid w:val="002702F2"/>
    <w:rsid w:val="0027078B"/>
    <w:rsid w:val="00270D26"/>
    <w:rsid w:val="00273940"/>
    <w:rsid w:val="00275068"/>
    <w:rsid w:val="0027646F"/>
    <w:rsid w:val="00277D12"/>
    <w:rsid w:val="00280587"/>
    <w:rsid w:val="00280ABD"/>
    <w:rsid w:val="00282E36"/>
    <w:rsid w:val="0028718F"/>
    <w:rsid w:val="002874E5"/>
    <w:rsid w:val="0029039A"/>
    <w:rsid w:val="0029241F"/>
    <w:rsid w:val="00292FDF"/>
    <w:rsid w:val="0029319A"/>
    <w:rsid w:val="00296C64"/>
    <w:rsid w:val="002A1428"/>
    <w:rsid w:val="002A203F"/>
    <w:rsid w:val="002A24EC"/>
    <w:rsid w:val="002A37F2"/>
    <w:rsid w:val="002A7B35"/>
    <w:rsid w:val="002B5777"/>
    <w:rsid w:val="002B5D02"/>
    <w:rsid w:val="002B6710"/>
    <w:rsid w:val="002B7764"/>
    <w:rsid w:val="002C267F"/>
    <w:rsid w:val="002C30DC"/>
    <w:rsid w:val="002C57E0"/>
    <w:rsid w:val="002C71D6"/>
    <w:rsid w:val="002D4D0E"/>
    <w:rsid w:val="002E0CA4"/>
    <w:rsid w:val="002E14D2"/>
    <w:rsid w:val="002E1DF5"/>
    <w:rsid w:val="002E3C13"/>
    <w:rsid w:val="002E7FDA"/>
    <w:rsid w:val="002F1C9F"/>
    <w:rsid w:val="002F3981"/>
    <w:rsid w:val="002F42AB"/>
    <w:rsid w:val="00300740"/>
    <w:rsid w:val="0030415A"/>
    <w:rsid w:val="00305D20"/>
    <w:rsid w:val="00311F08"/>
    <w:rsid w:val="003144CA"/>
    <w:rsid w:val="003146A7"/>
    <w:rsid w:val="003213F9"/>
    <w:rsid w:val="00322787"/>
    <w:rsid w:val="0032521C"/>
    <w:rsid w:val="00327499"/>
    <w:rsid w:val="00327FBF"/>
    <w:rsid w:val="00330A90"/>
    <w:rsid w:val="00335380"/>
    <w:rsid w:val="00341503"/>
    <w:rsid w:val="003427E2"/>
    <w:rsid w:val="00344911"/>
    <w:rsid w:val="003520D6"/>
    <w:rsid w:val="00352ECF"/>
    <w:rsid w:val="00353032"/>
    <w:rsid w:val="003537B3"/>
    <w:rsid w:val="00355BE3"/>
    <w:rsid w:val="0035671F"/>
    <w:rsid w:val="00356970"/>
    <w:rsid w:val="00366329"/>
    <w:rsid w:val="00366769"/>
    <w:rsid w:val="00367FA7"/>
    <w:rsid w:val="00370096"/>
    <w:rsid w:val="0037178C"/>
    <w:rsid w:val="003722D4"/>
    <w:rsid w:val="00372CCE"/>
    <w:rsid w:val="0037381F"/>
    <w:rsid w:val="00375DF1"/>
    <w:rsid w:val="003760B1"/>
    <w:rsid w:val="00377280"/>
    <w:rsid w:val="0038381A"/>
    <w:rsid w:val="00383FA7"/>
    <w:rsid w:val="00395DDD"/>
    <w:rsid w:val="003A04B5"/>
    <w:rsid w:val="003A04BD"/>
    <w:rsid w:val="003A322F"/>
    <w:rsid w:val="003A3C04"/>
    <w:rsid w:val="003B19F0"/>
    <w:rsid w:val="003B1C6B"/>
    <w:rsid w:val="003B23A0"/>
    <w:rsid w:val="003B4AD3"/>
    <w:rsid w:val="003B7358"/>
    <w:rsid w:val="003C33FB"/>
    <w:rsid w:val="003C5B8B"/>
    <w:rsid w:val="003D1A8B"/>
    <w:rsid w:val="003D51EB"/>
    <w:rsid w:val="003D6327"/>
    <w:rsid w:val="003D6DE2"/>
    <w:rsid w:val="003E0D01"/>
    <w:rsid w:val="003E24E7"/>
    <w:rsid w:val="003E39EE"/>
    <w:rsid w:val="003E3C0C"/>
    <w:rsid w:val="003E7E61"/>
    <w:rsid w:val="003F07FD"/>
    <w:rsid w:val="003F0C4F"/>
    <w:rsid w:val="003F1B34"/>
    <w:rsid w:val="003F7D51"/>
    <w:rsid w:val="00400F7A"/>
    <w:rsid w:val="0040347A"/>
    <w:rsid w:val="00404443"/>
    <w:rsid w:val="00406CC3"/>
    <w:rsid w:val="00407037"/>
    <w:rsid w:val="00407708"/>
    <w:rsid w:val="00414BFD"/>
    <w:rsid w:val="004169AE"/>
    <w:rsid w:val="004174CE"/>
    <w:rsid w:val="004224C8"/>
    <w:rsid w:val="0042442F"/>
    <w:rsid w:val="004252C0"/>
    <w:rsid w:val="00425390"/>
    <w:rsid w:val="00425408"/>
    <w:rsid w:val="0042766A"/>
    <w:rsid w:val="00431C13"/>
    <w:rsid w:val="00431C72"/>
    <w:rsid w:val="0043636B"/>
    <w:rsid w:val="00436E19"/>
    <w:rsid w:val="00440485"/>
    <w:rsid w:val="0044056C"/>
    <w:rsid w:val="004417D5"/>
    <w:rsid w:val="00442134"/>
    <w:rsid w:val="00442374"/>
    <w:rsid w:val="00442B50"/>
    <w:rsid w:val="004455DE"/>
    <w:rsid w:val="00445925"/>
    <w:rsid w:val="00455960"/>
    <w:rsid w:val="004563F6"/>
    <w:rsid w:val="0046328B"/>
    <w:rsid w:val="00463E40"/>
    <w:rsid w:val="00464769"/>
    <w:rsid w:val="0046587E"/>
    <w:rsid w:val="00466974"/>
    <w:rsid w:val="004675B2"/>
    <w:rsid w:val="004702D3"/>
    <w:rsid w:val="00472684"/>
    <w:rsid w:val="00473FD5"/>
    <w:rsid w:val="00480AD8"/>
    <w:rsid w:val="0048548E"/>
    <w:rsid w:val="00485CEC"/>
    <w:rsid w:val="004923BA"/>
    <w:rsid w:val="0049326E"/>
    <w:rsid w:val="004944AB"/>
    <w:rsid w:val="004A0D7E"/>
    <w:rsid w:val="004A2584"/>
    <w:rsid w:val="004A2FBA"/>
    <w:rsid w:val="004A3090"/>
    <w:rsid w:val="004A3C26"/>
    <w:rsid w:val="004A66C3"/>
    <w:rsid w:val="004A79C7"/>
    <w:rsid w:val="004B1720"/>
    <w:rsid w:val="004B2BEB"/>
    <w:rsid w:val="004C4858"/>
    <w:rsid w:val="004C55D1"/>
    <w:rsid w:val="004C75F8"/>
    <w:rsid w:val="004D5CF7"/>
    <w:rsid w:val="004D7F05"/>
    <w:rsid w:val="004E260E"/>
    <w:rsid w:val="004E3ED4"/>
    <w:rsid w:val="004E40DD"/>
    <w:rsid w:val="004E4D2E"/>
    <w:rsid w:val="004E61C2"/>
    <w:rsid w:val="004E6DD4"/>
    <w:rsid w:val="004F1D10"/>
    <w:rsid w:val="004F49D8"/>
    <w:rsid w:val="004F5578"/>
    <w:rsid w:val="004F5908"/>
    <w:rsid w:val="004F6CAD"/>
    <w:rsid w:val="004F6DB6"/>
    <w:rsid w:val="005006B3"/>
    <w:rsid w:val="00500821"/>
    <w:rsid w:val="0050495A"/>
    <w:rsid w:val="00505AF4"/>
    <w:rsid w:val="00507957"/>
    <w:rsid w:val="00507E3C"/>
    <w:rsid w:val="00510DC9"/>
    <w:rsid w:val="00511411"/>
    <w:rsid w:val="00511C09"/>
    <w:rsid w:val="005136B8"/>
    <w:rsid w:val="00515F37"/>
    <w:rsid w:val="00516406"/>
    <w:rsid w:val="00517DA4"/>
    <w:rsid w:val="00520CE1"/>
    <w:rsid w:val="00522C08"/>
    <w:rsid w:val="0052422E"/>
    <w:rsid w:val="00524460"/>
    <w:rsid w:val="005253BD"/>
    <w:rsid w:val="00526554"/>
    <w:rsid w:val="00530DD2"/>
    <w:rsid w:val="00531058"/>
    <w:rsid w:val="00532995"/>
    <w:rsid w:val="00533E50"/>
    <w:rsid w:val="00533FFC"/>
    <w:rsid w:val="00536A74"/>
    <w:rsid w:val="005415C3"/>
    <w:rsid w:val="00541887"/>
    <w:rsid w:val="005422A3"/>
    <w:rsid w:val="00543B85"/>
    <w:rsid w:val="00544D62"/>
    <w:rsid w:val="00546E92"/>
    <w:rsid w:val="00547A9A"/>
    <w:rsid w:val="00547E03"/>
    <w:rsid w:val="005509EF"/>
    <w:rsid w:val="00551655"/>
    <w:rsid w:val="0055271D"/>
    <w:rsid w:val="005527B8"/>
    <w:rsid w:val="00553E2D"/>
    <w:rsid w:val="0056031F"/>
    <w:rsid w:val="0056112A"/>
    <w:rsid w:val="00562DA0"/>
    <w:rsid w:val="005635A9"/>
    <w:rsid w:val="00564425"/>
    <w:rsid w:val="00566B11"/>
    <w:rsid w:val="00570D3F"/>
    <w:rsid w:val="00575ED0"/>
    <w:rsid w:val="00576B30"/>
    <w:rsid w:val="00580B00"/>
    <w:rsid w:val="005831A6"/>
    <w:rsid w:val="00583666"/>
    <w:rsid w:val="00585DF4"/>
    <w:rsid w:val="00590C0C"/>
    <w:rsid w:val="00593C2F"/>
    <w:rsid w:val="005A1557"/>
    <w:rsid w:val="005A1AC6"/>
    <w:rsid w:val="005A21E9"/>
    <w:rsid w:val="005A2C50"/>
    <w:rsid w:val="005A3F3A"/>
    <w:rsid w:val="005A4602"/>
    <w:rsid w:val="005B0E59"/>
    <w:rsid w:val="005B1716"/>
    <w:rsid w:val="005B1772"/>
    <w:rsid w:val="005B63B3"/>
    <w:rsid w:val="005B7EB8"/>
    <w:rsid w:val="005B7FB2"/>
    <w:rsid w:val="005C5971"/>
    <w:rsid w:val="005C696B"/>
    <w:rsid w:val="005D191F"/>
    <w:rsid w:val="005D3870"/>
    <w:rsid w:val="005D5C9D"/>
    <w:rsid w:val="005D6C0A"/>
    <w:rsid w:val="005E349E"/>
    <w:rsid w:val="005E52C8"/>
    <w:rsid w:val="005E790F"/>
    <w:rsid w:val="005F0457"/>
    <w:rsid w:val="005F1A49"/>
    <w:rsid w:val="005F407C"/>
    <w:rsid w:val="005F447C"/>
    <w:rsid w:val="005F4BD3"/>
    <w:rsid w:val="005F64A1"/>
    <w:rsid w:val="00601534"/>
    <w:rsid w:val="0060223B"/>
    <w:rsid w:val="00605A56"/>
    <w:rsid w:val="00605F62"/>
    <w:rsid w:val="006063E7"/>
    <w:rsid w:val="00607EB2"/>
    <w:rsid w:val="00610741"/>
    <w:rsid w:val="0061141A"/>
    <w:rsid w:val="00612B95"/>
    <w:rsid w:val="00613D51"/>
    <w:rsid w:val="00614239"/>
    <w:rsid w:val="0061775C"/>
    <w:rsid w:val="0062004A"/>
    <w:rsid w:val="006223F8"/>
    <w:rsid w:val="00623860"/>
    <w:rsid w:val="0062613A"/>
    <w:rsid w:val="006265CC"/>
    <w:rsid w:val="00630E84"/>
    <w:rsid w:val="00633863"/>
    <w:rsid w:val="006338CA"/>
    <w:rsid w:val="006346EB"/>
    <w:rsid w:val="006421B3"/>
    <w:rsid w:val="00642738"/>
    <w:rsid w:val="00642751"/>
    <w:rsid w:val="00642E04"/>
    <w:rsid w:val="00644E55"/>
    <w:rsid w:val="00647B7B"/>
    <w:rsid w:val="00650CC8"/>
    <w:rsid w:val="0065272C"/>
    <w:rsid w:val="0065308A"/>
    <w:rsid w:val="00653819"/>
    <w:rsid w:val="0065676F"/>
    <w:rsid w:val="00657535"/>
    <w:rsid w:val="006578DF"/>
    <w:rsid w:val="00662943"/>
    <w:rsid w:val="0066396A"/>
    <w:rsid w:val="00667060"/>
    <w:rsid w:val="00673C44"/>
    <w:rsid w:val="00673F55"/>
    <w:rsid w:val="00675C71"/>
    <w:rsid w:val="0067615E"/>
    <w:rsid w:val="006775FF"/>
    <w:rsid w:val="0067762F"/>
    <w:rsid w:val="0067785F"/>
    <w:rsid w:val="0068091F"/>
    <w:rsid w:val="00680B2E"/>
    <w:rsid w:val="00682FA2"/>
    <w:rsid w:val="00686248"/>
    <w:rsid w:val="006942E2"/>
    <w:rsid w:val="0069469F"/>
    <w:rsid w:val="00697EB2"/>
    <w:rsid w:val="006A1E34"/>
    <w:rsid w:val="006A4750"/>
    <w:rsid w:val="006A5106"/>
    <w:rsid w:val="006B05A8"/>
    <w:rsid w:val="006B4EB7"/>
    <w:rsid w:val="006B6B6D"/>
    <w:rsid w:val="006B7E5B"/>
    <w:rsid w:val="006C39ED"/>
    <w:rsid w:val="006C4857"/>
    <w:rsid w:val="006C5A7A"/>
    <w:rsid w:val="006C5B66"/>
    <w:rsid w:val="006C67B3"/>
    <w:rsid w:val="006C67F8"/>
    <w:rsid w:val="006C7E66"/>
    <w:rsid w:val="006D24E1"/>
    <w:rsid w:val="006D53C2"/>
    <w:rsid w:val="006D5517"/>
    <w:rsid w:val="006E20D8"/>
    <w:rsid w:val="006E4B8D"/>
    <w:rsid w:val="006E5345"/>
    <w:rsid w:val="006E7973"/>
    <w:rsid w:val="006F0AE2"/>
    <w:rsid w:val="006F1DB3"/>
    <w:rsid w:val="006F2462"/>
    <w:rsid w:val="006F4EB9"/>
    <w:rsid w:val="006F4EC0"/>
    <w:rsid w:val="006F588E"/>
    <w:rsid w:val="006F6178"/>
    <w:rsid w:val="006F6B26"/>
    <w:rsid w:val="00700DBE"/>
    <w:rsid w:val="0070192D"/>
    <w:rsid w:val="0070352A"/>
    <w:rsid w:val="007035AD"/>
    <w:rsid w:val="00703CB8"/>
    <w:rsid w:val="0070572F"/>
    <w:rsid w:val="00712E29"/>
    <w:rsid w:val="00720814"/>
    <w:rsid w:val="0072247E"/>
    <w:rsid w:val="0072455F"/>
    <w:rsid w:val="00724A26"/>
    <w:rsid w:val="0072598A"/>
    <w:rsid w:val="00727270"/>
    <w:rsid w:val="00734F53"/>
    <w:rsid w:val="00735C23"/>
    <w:rsid w:val="00740EED"/>
    <w:rsid w:val="007427EB"/>
    <w:rsid w:val="00744A53"/>
    <w:rsid w:val="00744D2C"/>
    <w:rsid w:val="00746BFE"/>
    <w:rsid w:val="007533C7"/>
    <w:rsid w:val="0075614B"/>
    <w:rsid w:val="00756B21"/>
    <w:rsid w:val="00756C86"/>
    <w:rsid w:val="00757177"/>
    <w:rsid w:val="00760CAE"/>
    <w:rsid w:val="00764685"/>
    <w:rsid w:val="00765704"/>
    <w:rsid w:val="00766420"/>
    <w:rsid w:val="007707F8"/>
    <w:rsid w:val="007712CD"/>
    <w:rsid w:val="00772467"/>
    <w:rsid w:val="007726DD"/>
    <w:rsid w:val="007751A7"/>
    <w:rsid w:val="00776970"/>
    <w:rsid w:val="00776B7A"/>
    <w:rsid w:val="007824E3"/>
    <w:rsid w:val="00785D60"/>
    <w:rsid w:val="007874C5"/>
    <w:rsid w:val="00791563"/>
    <w:rsid w:val="00793FAD"/>
    <w:rsid w:val="00795AD4"/>
    <w:rsid w:val="007A4639"/>
    <w:rsid w:val="007A51F5"/>
    <w:rsid w:val="007A7471"/>
    <w:rsid w:val="007A7944"/>
    <w:rsid w:val="007B3D24"/>
    <w:rsid w:val="007C0DB3"/>
    <w:rsid w:val="007C2318"/>
    <w:rsid w:val="007C3988"/>
    <w:rsid w:val="007C3FCD"/>
    <w:rsid w:val="007C692B"/>
    <w:rsid w:val="007D01A0"/>
    <w:rsid w:val="007D3CF1"/>
    <w:rsid w:val="007D5E0C"/>
    <w:rsid w:val="007E0EBC"/>
    <w:rsid w:val="007E2235"/>
    <w:rsid w:val="007E2680"/>
    <w:rsid w:val="007E3551"/>
    <w:rsid w:val="007E39BC"/>
    <w:rsid w:val="007E6C21"/>
    <w:rsid w:val="007F1395"/>
    <w:rsid w:val="007F2124"/>
    <w:rsid w:val="007F7A64"/>
    <w:rsid w:val="00800732"/>
    <w:rsid w:val="008029D4"/>
    <w:rsid w:val="0080360B"/>
    <w:rsid w:val="00812436"/>
    <w:rsid w:val="00813AA2"/>
    <w:rsid w:val="00814A12"/>
    <w:rsid w:val="00816563"/>
    <w:rsid w:val="00817980"/>
    <w:rsid w:val="00817E78"/>
    <w:rsid w:val="008218E3"/>
    <w:rsid w:val="00823227"/>
    <w:rsid w:val="00825137"/>
    <w:rsid w:val="0082684C"/>
    <w:rsid w:val="00826A9C"/>
    <w:rsid w:val="00830AE0"/>
    <w:rsid w:val="008351E0"/>
    <w:rsid w:val="0083564A"/>
    <w:rsid w:val="008369C2"/>
    <w:rsid w:val="008376A7"/>
    <w:rsid w:val="00840DBB"/>
    <w:rsid w:val="00841737"/>
    <w:rsid w:val="00842B82"/>
    <w:rsid w:val="0084321A"/>
    <w:rsid w:val="008432C9"/>
    <w:rsid w:val="00846049"/>
    <w:rsid w:val="00847189"/>
    <w:rsid w:val="00851FC9"/>
    <w:rsid w:val="00854D65"/>
    <w:rsid w:val="00857E9D"/>
    <w:rsid w:val="008606EF"/>
    <w:rsid w:val="00862527"/>
    <w:rsid w:val="00863011"/>
    <w:rsid w:val="008719BB"/>
    <w:rsid w:val="008727BC"/>
    <w:rsid w:val="0087376E"/>
    <w:rsid w:val="00881A5E"/>
    <w:rsid w:val="0088216B"/>
    <w:rsid w:val="00882505"/>
    <w:rsid w:val="00890133"/>
    <w:rsid w:val="00890165"/>
    <w:rsid w:val="00890BC1"/>
    <w:rsid w:val="00890DED"/>
    <w:rsid w:val="00890E05"/>
    <w:rsid w:val="00891630"/>
    <w:rsid w:val="00896B4B"/>
    <w:rsid w:val="00896CA0"/>
    <w:rsid w:val="00897505"/>
    <w:rsid w:val="008A2772"/>
    <w:rsid w:val="008A3313"/>
    <w:rsid w:val="008A4582"/>
    <w:rsid w:val="008A5B0E"/>
    <w:rsid w:val="008B1EA1"/>
    <w:rsid w:val="008B315D"/>
    <w:rsid w:val="008B5596"/>
    <w:rsid w:val="008C1393"/>
    <w:rsid w:val="008C6692"/>
    <w:rsid w:val="008D1975"/>
    <w:rsid w:val="008D2926"/>
    <w:rsid w:val="008D309A"/>
    <w:rsid w:val="008D79ED"/>
    <w:rsid w:val="008D7A30"/>
    <w:rsid w:val="008E1C72"/>
    <w:rsid w:val="008E3E36"/>
    <w:rsid w:val="008E66A3"/>
    <w:rsid w:val="008E7FE0"/>
    <w:rsid w:val="008F2036"/>
    <w:rsid w:val="008F2DB5"/>
    <w:rsid w:val="008F694B"/>
    <w:rsid w:val="008F6A8F"/>
    <w:rsid w:val="00902DFA"/>
    <w:rsid w:val="009034F7"/>
    <w:rsid w:val="00904703"/>
    <w:rsid w:val="00907813"/>
    <w:rsid w:val="009118BA"/>
    <w:rsid w:val="00911926"/>
    <w:rsid w:val="00914CCE"/>
    <w:rsid w:val="009163F5"/>
    <w:rsid w:val="009171DF"/>
    <w:rsid w:val="00922D15"/>
    <w:rsid w:val="00927C96"/>
    <w:rsid w:val="00930FD4"/>
    <w:rsid w:val="00931C19"/>
    <w:rsid w:val="0093311F"/>
    <w:rsid w:val="00940BE0"/>
    <w:rsid w:val="00943875"/>
    <w:rsid w:val="009447BB"/>
    <w:rsid w:val="00944924"/>
    <w:rsid w:val="00946269"/>
    <w:rsid w:val="00950422"/>
    <w:rsid w:val="00951858"/>
    <w:rsid w:val="009535E5"/>
    <w:rsid w:val="00961A07"/>
    <w:rsid w:val="00964C00"/>
    <w:rsid w:val="00967C47"/>
    <w:rsid w:val="009757F3"/>
    <w:rsid w:val="00975F2C"/>
    <w:rsid w:val="00976447"/>
    <w:rsid w:val="0097726C"/>
    <w:rsid w:val="0098027D"/>
    <w:rsid w:val="009812EB"/>
    <w:rsid w:val="00981B71"/>
    <w:rsid w:val="00982902"/>
    <w:rsid w:val="00983702"/>
    <w:rsid w:val="009902C4"/>
    <w:rsid w:val="00990618"/>
    <w:rsid w:val="00990964"/>
    <w:rsid w:val="00990A99"/>
    <w:rsid w:val="009924D1"/>
    <w:rsid w:val="009A251F"/>
    <w:rsid w:val="009A2799"/>
    <w:rsid w:val="009A34B3"/>
    <w:rsid w:val="009A4303"/>
    <w:rsid w:val="009A50CC"/>
    <w:rsid w:val="009B11D0"/>
    <w:rsid w:val="009B5E94"/>
    <w:rsid w:val="009C0858"/>
    <w:rsid w:val="009C0B8D"/>
    <w:rsid w:val="009C5E94"/>
    <w:rsid w:val="009C63AA"/>
    <w:rsid w:val="009C6D16"/>
    <w:rsid w:val="009C705E"/>
    <w:rsid w:val="009D280F"/>
    <w:rsid w:val="009D2E55"/>
    <w:rsid w:val="009D3445"/>
    <w:rsid w:val="009D3711"/>
    <w:rsid w:val="009D3D04"/>
    <w:rsid w:val="009D5337"/>
    <w:rsid w:val="009D74B0"/>
    <w:rsid w:val="009E6396"/>
    <w:rsid w:val="009E700C"/>
    <w:rsid w:val="009F7952"/>
    <w:rsid w:val="00A01A60"/>
    <w:rsid w:val="00A033EE"/>
    <w:rsid w:val="00A06D27"/>
    <w:rsid w:val="00A13711"/>
    <w:rsid w:val="00A204CC"/>
    <w:rsid w:val="00A22633"/>
    <w:rsid w:val="00A24DED"/>
    <w:rsid w:val="00A3659A"/>
    <w:rsid w:val="00A37278"/>
    <w:rsid w:val="00A37E3F"/>
    <w:rsid w:val="00A421BE"/>
    <w:rsid w:val="00A436CB"/>
    <w:rsid w:val="00A43D30"/>
    <w:rsid w:val="00A4568A"/>
    <w:rsid w:val="00A46EBC"/>
    <w:rsid w:val="00A50401"/>
    <w:rsid w:val="00A51193"/>
    <w:rsid w:val="00A5592C"/>
    <w:rsid w:val="00A55D1C"/>
    <w:rsid w:val="00A6389E"/>
    <w:rsid w:val="00A64114"/>
    <w:rsid w:val="00A64B3A"/>
    <w:rsid w:val="00A66BA7"/>
    <w:rsid w:val="00A71880"/>
    <w:rsid w:val="00A73C10"/>
    <w:rsid w:val="00A74AB5"/>
    <w:rsid w:val="00A76F07"/>
    <w:rsid w:val="00A82034"/>
    <w:rsid w:val="00A8338B"/>
    <w:rsid w:val="00A83988"/>
    <w:rsid w:val="00A87BA3"/>
    <w:rsid w:val="00A91AB3"/>
    <w:rsid w:val="00A93DB1"/>
    <w:rsid w:val="00A95699"/>
    <w:rsid w:val="00AA191D"/>
    <w:rsid w:val="00AA48F3"/>
    <w:rsid w:val="00AA5A45"/>
    <w:rsid w:val="00AA5CA2"/>
    <w:rsid w:val="00AA65D1"/>
    <w:rsid w:val="00AA66E0"/>
    <w:rsid w:val="00AA7846"/>
    <w:rsid w:val="00AB16E7"/>
    <w:rsid w:val="00AB1951"/>
    <w:rsid w:val="00AB2C7A"/>
    <w:rsid w:val="00AB3C54"/>
    <w:rsid w:val="00AB47B4"/>
    <w:rsid w:val="00AB5128"/>
    <w:rsid w:val="00AB785E"/>
    <w:rsid w:val="00AC21FD"/>
    <w:rsid w:val="00AC45B9"/>
    <w:rsid w:val="00AC702F"/>
    <w:rsid w:val="00AC758C"/>
    <w:rsid w:val="00AD0360"/>
    <w:rsid w:val="00AD07C7"/>
    <w:rsid w:val="00AD0EA0"/>
    <w:rsid w:val="00AD594D"/>
    <w:rsid w:val="00AD6A57"/>
    <w:rsid w:val="00AE36B4"/>
    <w:rsid w:val="00AE5C56"/>
    <w:rsid w:val="00AE732A"/>
    <w:rsid w:val="00AE7468"/>
    <w:rsid w:val="00AF2D6F"/>
    <w:rsid w:val="00AF2EEA"/>
    <w:rsid w:val="00AF70D0"/>
    <w:rsid w:val="00B00B42"/>
    <w:rsid w:val="00B02C81"/>
    <w:rsid w:val="00B0331C"/>
    <w:rsid w:val="00B03372"/>
    <w:rsid w:val="00B1229E"/>
    <w:rsid w:val="00B16B76"/>
    <w:rsid w:val="00B21E79"/>
    <w:rsid w:val="00B23112"/>
    <w:rsid w:val="00B25462"/>
    <w:rsid w:val="00B25D31"/>
    <w:rsid w:val="00B26D08"/>
    <w:rsid w:val="00B30162"/>
    <w:rsid w:val="00B3330E"/>
    <w:rsid w:val="00B35BE5"/>
    <w:rsid w:val="00B3660F"/>
    <w:rsid w:val="00B377B1"/>
    <w:rsid w:val="00B37E70"/>
    <w:rsid w:val="00B430E3"/>
    <w:rsid w:val="00B43CE6"/>
    <w:rsid w:val="00B45339"/>
    <w:rsid w:val="00B47102"/>
    <w:rsid w:val="00B52811"/>
    <w:rsid w:val="00B53A9F"/>
    <w:rsid w:val="00B55006"/>
    <w:rsid w:val="00B63D74"/>
    <w:rsid w:val="00B63DC0"/>
    <w:rsid w:val="00B64388"/>
    <w:rsid w:val="00B67F1A"/>
    <w:rsid w:val="00B71A88"/>
    <w:rsid w:val="00B72990"/>
    <w:rsid w:val="00B74B75"/>
    <w:rsid w:val="00B75948"/>
    <w:rsid w:val="00B77F51"/>
    <w:rsid w:val="00B825C0"/>
    <w:rsid w:val="00B8533F"/>
    <w:rsid w:val="00B86ECF"/>
    <w:rsid w:val="00B86F07"/>
    <w:rsid w:val="00B952B6"/>
    <w:rsid w:val="00B95A47"/>
    <w:rsid w:val="00B962A0"/>
    <w:rsid w:val="00B97FA2"/>
    <w:rsid w:val="00BA56E3"/>
    <w:rsid w:val="00BA5B88"/>
    <w:rsid w:val="00BB153E"/>
    <w:rsid w:val="00BB1BF2"/>
    <w:rsid w:val="00BB5B2C"/>
    <w:rsid w:val="00BC2A0F"/>
    <w:rsid w:val="00BC3BB0"/>
    <w:rsid w:val="00BC52E0"/>
    <w:rsid w:val="00BC7F93"/>
    <w:rsid w:val="00BD1793"/>
    <w:rsid w:val="00BD419C"/>
    <w:rsid w:val="00BD4E64"/>
    <w:rsid w:val="00BD56B4"/>
    <w:rsid w:val="00BD771B"/>
    <w:rsid w:val="00BE0007"/>
    <w:rsid w:val="00BE334D"/>
    <w:rsid w:val="00BE37C5"/>
    <w:rsid w:val="00BE3BEE"/>
    <w:rsid w:val="00BE3CC3"/>
    <w:rsid w:val="00BE43AB"/>
    <w:rsid w:val="00BF1546"/>
    <w:rsid w:val="00BF165C"/>
    <w:rsid w:val="00BF1E01"/>
    <w:rsid w:val="00BF278C"/>
    <w:rsid w:val="00BF3AD5"/>
    <w:rsid w:val="00BF4575"/>
    <w:rsid w:val="00BF547D"/>
    <w:rsid w:val="00C056AF"/>
    <w:rsid w:val="00C05D44"/>
    <w:rsid w:val="00C0709A"/>
    <w:rsid w:val="00C12873"/>
    <w:rsid w:val="00C13989"/>
    <w:rsid w:val="00C14053"/>
    <w:rsid w:val="00C14C99"/>
    <w:rsid w:val="00C16821"/>
    <w:rsid w:val="00C20C95"/>
    <w:rsid w:val="00C221FE"/>
    <w:rsid w:val="00C228F8"/>
    <w:rsid w:val="00C22E5C"/>
    <w:rsid w:val="00C3043A"/>
    <w:rsid w:val="00C30E80"/>
    <w:rsid w:val="00C31C12"/>
    <w:rsid w:val="00C3285D"/>
    <w:rsid w:val="00C34D18"/>
    <w:rsid w:val="00C368E5"/>
    <w:rsid w:val="00C37605"/>
    <w:rsid w:val="00C402E4"/>
    <w:rsid w:val="00C416B1"/>
    <w:rsid w:val="00C4180D"/>
    <w:rsid w:val="00C41E03"/>
    <w:rsid w:val="00C42127"/>
    <w:rsid w:val="00C513C3"/>
    <w:rsid w:val="00C54B24"/>
    <w:rsid w:val="00C5602C"/>
    <w:rsid w:val="00C56C72"/>
    <w:rsid w:val="00C572D0"/>
    <w:rsid w:val="00C613CE"/>
    <w:rsid w:val="00C61497"/>
    <w:rsid w:val="00C62D3A"/>
    <w:rsid w:val="00C644CE"/>
    <w:rsid w:val="00C64644"/>
    <w:rsid w:val="00C65090"/>
    <w:rsid w:val="00C650CA"/>
    <w:rsid w:val="00C664EC"/>
    <w:rsid w:val="00C73903"/>
    <w:rsid w:val="00C75B8B"/>
    <w:rsid w:val="00C76A19"/>
    <w:rsid w:val="00C80305"/>
    <w:rsid w:val="00C81CB2"/>
    <w:rsid w:val="00C855F5"/>
    <w:rsid w:val="00C8564F"/>
    <w:rsid w:val="00C85B25"/>
    <w:rsid w:val="00C866CD"/>
    <w:rsid w:val="00C9268C"/>
    <w:rsid w:val="00C9393D"/>
    <w:rsid w:val="00C94014"/>
    <w:rsid w:val="00C94092"/>
    <w:rsid w:val="00C9456E"/>
    <w:rsid w:val="00C94732"/>
    <w:rsid w:val="00C94E00"/>
    <w:rsid w:val="00C96ABB"/>
    <w:rsid w:val="00C97175"/>
    <w:rsid w:val="00CA258B"/>
    <w:rsid w:val="00CA3EAE"/>
    <w:rsid w:val="00CB17C7"/>
    <w:rsid w:val="00CB21D1"/>
    <w:rsid w:val="00CB255B"/>
    <w:rsid w:val="00CB4DBA"/>
    <w:rsid w:val="00CC11DE"/>
    <w:rsid w:val="00CC5B3E"/>
    <w:rsid w:val="00CC73AC"/>
    <w:rsid w:val="00CD0580"/>
    <w:rsid w:val="00CD315B"/>
    <w:rsid w:val="00CD5B52"/>
    <w:rsid w:val="00CD7E0B"/>
    <w:rsid w:val="00CE022C"/>
    <w:rsid w:val="00CE4058"/>
    <w:rsid w:val="00CE53AD"/>
    <w:rsid w:val="00CF079E"/>
    <w:rsid w:val="00CF1C9C"/>
    <w:rsid w:val="00CF322B"/>
    <w:rsid w:val="00CF3E92"/>
    <w:rsid w:val="00D023A0"/>
    <w:rsid w:val="00D032B3"/>
    <w:rsid w:val="00D10377"/>
    <w:rsid w:val="00D1041A"/>
    <w:rsid w:val="00D11336"/>
    <w:rsid w:val="00D11FE2"/>
    <w:rsid w:val="00D14136"/>
    <w:rsid w:val="00D15EB3"/>
    <w:rsid w:val="00D17E18"/>
    <w:rsid w:val="00D17F10"/>
    <w:rsid w:val="00D205BA"/>
    <w:rsid w:val="00D20C69"/>
    <w:rsid w:val="00D2192C"/>
    <w:rsid w:val="00D23D55"/>
    <w:rsid w:val="00D248FA"/>
    <w:rsid w:val="00D26BEF"/>
    <w:rsid w:val="00D31713"/>
    <w:rsid w:val="00D31FF0"/>
    <w:rsid w:val="00D375E4"/>
    <w:rsid w:val="00D42C17"/>
    <w:rsid w:val="00D4325F"/>
    <w:rsid w:val="00D44D5F"/>
    <w:rsid w:val="00D46CFC"/>
    <w:rsid w:val="00D5134E"/>
    <w:rsid w:val="00D51BFE"/>
    <w:rsid w:val="00D5523B"/>
    <w:rsid w:val="00D56FF6"/>
    <w:rsid w:val="00D61382"/>
    <w:rsid w:val="00D62ABC"/>
    <w:rsid w:val="00D66A52"/>
    <w:rsid w:val="00D7165A"/>
    <w:rsid w:val="00D767E3"/>
    <w:rsid w:val="00D77A62"/>
    <w:rsid w:val="00D80DA1"/>
    <w:rsid w:val="00D81AEA"/>
    <w:rsid w:val="00D8303D"/>
    <w:rsid w:val="00D83437"/>
    <w:rsid w:val="00D84EDA"/>
    <w:rsid w:val="00D85B31"/>
    <w:rsid w:val="00D917AA"/>
    <w:rsid w:val="00D926B2"/>
    <w:rsid w:val="00D944D7"/>
    <w:rsid w:val="00D94B51"/>
    <w:rsid w:val="00D95E31"/>
    <w:rsid w:val="00DA110C"/>
    <w:rsid w:val="00DA3433"/>
    <w:rsid w:val="00DA3D9E"/>
    <w:rsid w:val="00DA7151"/>
    <w:rsid w:val="00DA71B1"/>
    <w:rsid w:val="00DB4FE4"/>
    <w:rsid w:val="00DB54E6"/>
    <w:rsid w:val="00DC0D56"/>
    <w:rsid w:val="00DC2D43"/>
    <w:rsid w:val="00DC4B1F"/>
    <w:rsid w:val="00DC4E1D"/>
    <w:rsid w:val="00DC5BCF"/>
    <w:rsid w:val="00DC6DFB"/>
    <w:rsid w:val="00DE38F1"/>
    <w:rsid w:val="00DF6177"/>
    <w:rsid w:val="00E00A37"/>
    <w:rsid w:val="00E01012"/>
    <w:rsid w:val="00E01FA2"/>
    <w:rsid w:val="00E03139"/>
    <w:rsid w:val="00E0439A"/>
    <w:rsid w:val="00E048AC"/>
    <w:rsid w:val="00E0530F"/>
    <w:rsid w:val="00E1263B"/>
    <w:rsid w:val="00E13490"/>
    <w:rsid w:val="00E16936"/>
    <w:rsid w:val="00E16A94"/>
    <w:rsid w:val="00E17A3B"/>
    <w:rsid w:val="00E20A65"/>
    <w:rsid w:val="00E21D2D"/>
    <w:rsid w:val="00E22062"/>
    <w:rsid w:val="00E26077"/>
    <w:rsid w:val="00E26125"/>
    <w:rsid w:val="00E2630B"/>
    <w:rsid w:val="00E3144E"/>
    <w:rsid w:val="00E31CA3"/>
    <w:rsid w:val="00E34AF0"/>
    <w:rsid w:val="00E36A3B"/>
    <w:rsid w:val="00E41EF5"/>
    <w:rsid w:val="00E442B9"/>
    <w:rsid w:val="00E50C04"/>
    <w:rsid w:val="00E51FD1"/>
    <w:rsid w:val="00E53751"/>
    <w:rsid w:val="00E54691"/>
    <w:rsid w:val="00E63D4C"/>
    <w:rsid w:val="00E701A7"/>
    <w:rsid w:val="00E71CC0"/>
    <w:rsid w:val="00E72A73"/>
    <w:rsid w:val="00E7350A"/>
    <w:rsid w:val="00E775DB"/>
    <w:rsid w:val="00E91E31"/>
    <w:rsid w:val="00E952CF"/>
    <w:rsid w:val="00E97907"/>
    <w:rsid w:val="00E97DEC"/>
    <w:rsid w:val="00EA1A81"/>
    <w:rsid w:val="00EA2DED"/>
    <w:rsid w:val="00EA3B18"/>
    <w:rsid w:val="00EA60C5"/>
    <w:rsid w:val="00EA6395"/>
    <w:rsid w:val="00EA6F7B"/>
    <w:rsid w:val="00EA75BB"/>
    <w:rsid w:val="00EB0772"/>
    <w:rsid w:val="00EB235F"/>
    <w:rsid w:val="00EC004A"/>
    <w:rsid w:val="00EC0435"/>
    <w:rsid w:val="00EC066D"/>
    <w:rsid w:val="00EC39D0"/>
    <w:rsid w:val="00EC4377"/>
    <w:rsid w:val="00EC502E"/>
    <w:rsid w:val="00EC66EF"/>
    <w:rsid w:val="00EC736D"/>
    <w:rsid w:val="00ED037D"/>
    <w:rsid w:val="00ED1AB6"/>
    <w:rsid w:val="00ED2EF5"/>
    <w:rsid w:val="00ED3411"/>
    <w:rsid w:val="00ED3DB8"/>
    <w:rsid w:val="00ED4501"/>
    <w:rsid w:val="00ED4867"/>
    <w:rsid w:val="00ED6567"/>
    <w:rsid w:val="00ED67BA"/>
    <w:rsid w:val="00ED70A7"/>
    <w:rsid w:val="00EE3B5E"/>
    <w:rsid w:val="00EE41B3"/>
    <w:rsid w:val="00EE64C7"/>
    <w:rsid w:val="00EE785D"/>
    <w:rsid w:val="00EF06C6"/>
    <w:rsid w:val="00EF07C6"/>
    <w:rsid w:val="00EF1949"/>
    <w:rsid w:val="00EF265B"/>
    <w:rsid w:val="00EF5F98"/>
    <w:rsid w:val="00F0020D"/>
    <w:rsid w:val="00F01662"/>
    <w:rsid w:val="00F034BB"/>
    <w:rsid w:val="00F05AC2"/>
    <w:rsid w:val="00F06215"/>
    <w:rsid w:val="00F07B31"/>
    <w:rsid w:val="00F117F4"/>
    <w:rsid w:val="00F14FEA"/>
    <w:rsid w:val="00F15126"/>
    <w:rsid w:val="00F16F99"/>
    <w:rsid w:val="00F20723"/>
    <w:rsid w:val="00F208ED"/>
    <w:rsid w:val="00F210D3"/>
    <w:rsid w:val="00F23521"/>
    <w:rsid w:val="00F315EA"/>
    <w:rsid w:val="00F32E48"/>
    <w:rsid w:val="00F3366C"/>
    <w:rsid w:val="00F35127"/>
    <w:rsid w:val="00F36254"/>
    <w:rsid w:val="00F37CA0"/>
    <w:rsid w:val="00F37CAB"/>
    <w:rsid w:val="00F4216C"/>
    <w:rsid w:val="00F4237B"/>
    <w:rsid w:val="00F4346A"/>
    <w:rsid w:val="00F43734"/>
    <w:rsid w:val="00F442DD"/>
    <w:rsid w:val="00F44A2B"/>
    <w:rsid w:val="00F51B6E"/>
    <w:rsid w:val="00F51DAE"/>
    <w:rsid w:val="00F5288C"/>
    <w:rsid w:val="00F53111"/>
    <w:rsid w:val="00F53D32"/>
    <w:rsid w:val="00F5553D"/>
    <w:rsid w:val="00F56739"/>
    <w:rsid w:val="00F56D4A"/>
    <w:rsid w:val="00F61F62"/>
    <w:rsid w:val="00F63470"/>
    <w:rsid w:val="00F636B2"/>
    <w:rsid w:val="00F6573F"/>
    <w:rsid w:val="00F72C6B"/>
    <w:rsid w:val="00F73803"/>
    <w:rsid w:val="00F76368"/>
    <w:rsid w:val="00F84A8B"/>
    <w:rsid w:val="00F8685E"/>
    <w:rsid w:val="00F92E8D"/>
    <w:rsid w:val="00F93F42"/>
    <w:rsid w:val="00F945AB"/>
    <w:rsid w:val="00F94EC2"/>
    <w:rsid w:val="00F96553"/>
    <w:rsid w:val="00F968A6"/>
    <w:rsid w:val="00FA0E3B"/>
    <w:rsid w:val="00FA21B4"/>
    <w:rsid w:val="00FA2817"/>
    <w:rsid w:val="00FA4F96"/>
    <w:rsid w:val="00FA68C9"/>
    <w:rsid w:val="00FA7BDD"/>
    <w:rsid w:val="00FB1244"/>
    <w:rsid w:val="00FB128F"/>
    <w:rsid w:val="00FB17A0"/>
    <w:rsid w:val="00FB29B3"/>
    <w:rsid w:val="00FB3573"/>
    <w:rsid w:val="00FB5AD4"/>
    <w:rsid w:val="00FC19C8"/>
    <w:rsid w:val="00FC274F"/>
    <w:rsid w:val="00FC5C35"/>
    <w:rsid w:val="00FC6B18"/>
    <w:rsid w:val="00FC7630"/>
    <w:rsid w:val="00FD0D68"/>
    <w:rsid w:val="00FD38C6"/>
    <w:rsid w:val="00FD3B12"/>
    <w:rsid w:val="00FD55CE"/>
    <w:rsid w:val="00FD5F18"/>
    <w:rsid w:val="00FD620E"/>
    <w:rsid w:val="00FD781E"/>
    <w:rsid w:val="00FE0C06"/>
    <w:rsid w:val="00FE0E0C"/>
    <w:rsid w:val="00FE1148"/>
    <w:rsid w:val="00FE1B2C"/>
    <w:rsid w:val="00FE1CE7"/>
    <w:rsid w:val="00FE2443"/>
    <w:rsid w:val="00FE5216"/>
    <w:rsid w:val="00FE6F05"/>
    <w:rsid w:val="00FE7752"/>
    <w:rsid w:val="00FE780A"/>
    <w:rsid w:val="00FF07F2"/>
    <w:rsid w:val="00FF1C1F"/>
    <w:rsid w:val="00FF340C"/>
    <w:rsid w:val="00FF383C"/>
    <w:rsid w:val="00FF395F"/>
    <w:rsid w:val="00FF541C"/>
    <w:rsid w:val="00FF5B58"/>
    <w:rsid w:val="00FF60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D5B24E"/>
  <w15:docId w15:val="{F4D27477-FECC-4A9B-B753-666C7DA3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A88"/>
    <w:rPr>
      <w:lang w:val="en-IN"/>
    </w:rPr>
  </w:style>
  <w:style w:type="paragraph" w:styleId="Heading1">
    <w:name w:val="heading 1"/>
    <w:basedOn w:val="Normal"/>
    <w:next w:val="Normal"/>
    <w:link w:val="Heading1Char"/>
    <w:uiPriority w:val="9"/>
    <w:qFormat/>
    <w:rsid w:val="005F4B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F0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C3B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C3BB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C3BB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88"/>
    <w:rPr>
      <w:color w:val="0000FF" w:themeColor="hyperlink"/>
      <w:u w:val="single"/>
    </w:rPr>
  </w:style>
  <w:style w:type="paragraph" w:styleId="NormalWeb">
    <w:name w:val="Normal (Web)"/>
    <w:basedOn w:val="Normal"/>
    <w:uiPriority w:val="99"/>
    <w:semiHidden/>
    <w:unhideWhenUsed/>
    <w:rsid w:val="00B71A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A88"/>
    <w:pPr>
      <w:ind w:left="720"/>
      <w:contextualSpacing/>
    </w:pPr>
  </w:style>
  <w:style w:type="character" w:customStyle="1" w:styleId="match">
    <w:name w:val="match"/>
    <w:basedOn w:val="DefaultParagraphFont"/>
    <w:rsid w:val="00B71A88"/>
  </w:style>
  <w:style w:type="character" w:customStyle="1" w:styleId="mixed-citation">
    <w:name w:val="mixed-citation"/>
    <w:basedOn w:val="DefaultParagraphFont"/>
    <w:rsid w:val="00B71A88"/>
  </w:style>
  <w:style w:type="table" w:styleId="TableGrid">
    <w:name w:val="Table Grid"/>
    <w:basedOn w:val="TableNormal"/>
    <w:uiPriority w:val="39"/>
    <w:rsid w:val="00B7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vol-iss-date">
    <w:name w:val="fm-vol-iss-date"/>
    <w:basedOn w:val="DefaultParagraphFont"/>
    <w:rsid w:val="004675B2"/>
  </w:style>
  <w:style w:type="character" w:customStyle="1" w:styleId="doi">
    <w:name w:val="doi"/>
    <w:basedOn w:val="DefaultParagraphFont"/>
    <w:rsid w:val="004675B2"/>
  </w:style>
  <w:style w:type="character" w:customStyle="1" w:styleId="identifier">
    <w:name w:val="identifier"/>
    <w:basedOn w:val="DefaultParagraphFont"/>
    <w:rsid w:val="00F16F99"/>
  </w:style>
  <w:style w:type="character" w:customStyle="1" w:styleId="id-label">
    <w:name w:val="id-label"/>
    <w:basedOn w:val="DefaultParagraphFont"/>
    <w:rsid w:val="00F16F99"/>
  </w:style>
  <w:style w:type="character" w:customStyle="1" w:styleId="anchor-text">
    <w:name w:val="anchor-text"/>
    <w:basedOn w:val="DefaultParagraphFont"/>
    <w:rsid w:val="004563F6"/>
  </w:style>
  <w:style w:type="character" w:customStyle="1" w:styleId="Heading2Char">
    <w:name w:val="Heading 2 Char"/>
    <w:basedOn w:val="DefaultParagraphFont"/>
    <w:link w:val="Heading2"/>
    <w:uiPriority w:val="9"/>
    <w:rsid w:val="006F0AE2"/>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257F5F"/>
    <w:rPr>
      <w:color w:val="808080"/>
    </w:rPr>
  </w:style>
  <w:style w:type="paragraph" w:styleId="BalloonText">
    <w:name w:val="Balloon Text"/>
    <w:basedOn w:val="Normal"/>
    <w:link w:val="BalloonTextChar"/>
    <w:uiPriority w:val="99"/>
    <w:semiHidden/>
    <w:unhideWhenUsed/>
    <w:rsid w:val="0027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6F"/>
    <w:rPr>
      <w:rFonts w:ascii="Tahoma" w:hAnsi="Tahoma" w:cs="Tahoma"/>
      <w:sz w:val="16"/>
      <w:szCs w:val="16"/>
    </w:rPr>
  </w:style>
  <w:style w:type="paragraph" w:styleId="Revision">
    <w:name w:val="Revision"/>
    <w:hidden/>
    <w:uiPriority w:val="99"/>
    <w:semiHidden/>
    <w:rsid w:val="004702D3"/>
    <w:pPr>
      <w:spacing w:after="0" w:line="240" w:lineRule="auto"/>
    </w:pPr>
  </w:style>
  <w:style w:type="character" w:customStyle="1" w:styleId="UnresolvedMention1">
    <w:name w:val="Unresolved Mention1"/>
    <w:basedOn w:val="DefaultParagraphFont"/>
    <w:uiPriority w:val="99"/>
    <w:semiHidden/>
    <w:unhideWhenUsed/>
    <w:rsid w:val="00185612"/>
    <w:rPr>
      <w:color w:val="605E5C"/>
      <w:shd w:val="clear" w:color="auto" w:fill="E1DFDD"/>
    </w:rPr>
  </w:style>
  <w:style w:type="character" w:customStyle="1" w:styleId="mord">
    <w:name w:val="mord"/>
    <w:basedOn w:val="DefaultParagraphFont"/>
    <w:rsid w:val="00D44D5F"/>
  </w:style>
  <w:style w:type="character" w:customStyle="1" w:styleId="vlist-s">
    <w:name w:val="vlist-s"/>
    <w:basedOn w:val="DefaultParagraphFont"/>
    <w:rsid w:val="00D44D5F"/>
  </w:style>
  <w:style w:type="character" w:customStyle="1" w:styleId="mrel">
    <w:name w:val="mrel"/>
    <w:basedOn w:val="DefaultParagraphFont"/>
    <w:rsid w:val="00D44D5F"/>
  </w:style>
  <w:style w:type="character" w:customStyle="1" w:styleId="mbin">
    <w:name w:val="mbin"/>
    <w:basedOn w:val="DefaultParagraphFont"/>
    <w:rsid w:val="00D44D5F"/>
  </w:style>
  <w:style w:type="character" w:customStyle="1" w:styleId="katex-mathml">
    <w:name w:val="katex-mathml"/>
    <w:basedOn w:val="DefaultParagraphFont"/>
    <w:rsid w:val="00D44D5F"/>
  </w:style>
  <w:style w:type="paragraph" w:styleId="Header">
    <w:name w:val="header"/>
    <w:basedOn w:val="Normal"/>
    <w:link w:val="HeaderChar"/>
    <w:uiPriority w:val="99"/>
    <w:unhideWhenUsed/>
    <w:rsid w:val="00B77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51"/>
  </w:style>
  <w:style w:type="paragraph" w:styleId="Footer">
    <w:name w:val="footer"/>
    <w:basedOn w:val="Normal"/>
    <w:link w:val="FooterChar"/>
    <w:uiPriority w:val="99"/>
    <w:unhideWhenUsed/>
    <w:rsid w:val="00B77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51"/>
  </w:style>
  <w:style w:type="character" w:customStyle="1" w:styleId="bold">
    <w:name w:val="bold"/>
    <w:basedOn w:val="DefaultParagraphFont"/>
    <w:rsid w:val="00067E42"/>
  </w:style>
  <w:style w:type="paragraph" w:styleId="NoSpacing">
    <w:name w:val="No Spacing"/>
    <w:uiPriority w:val="99"/>
    <w:qFormat/>
    <w:rsid w:val="001B5BCA"/>
    <w:pPr>
      <w:suppressAutoHyphens/>
      <w:spacing w:after="0" w:line="240" w:lineRule="auto"/>
    </w:pPr>
    <w:rPr>
      <w:rFonts w:ascii="Times New Roman" w:eastAsia="Times New Roman" w:hAnsi="Times New Roman" w:cs="Times New Roman"/>
      <w:sz w:val="24"/>
      <w:szCs w:val="24"/>
      <w:lang w:eastAsia="zh-CN"/>
    </w:rPr>
  </w:style>
  <w:style w:type="character" w:styleId="LineNumber">
    <w:name w:val="line number"/>
    <w:basedOn w:val="DefaultParagraphFont"/>
    <w:uiPriority w:val="99"/>
    <w:semiHidden/>
    <w:unhideWhenUsed/>
    <w:rsid w:val="00507E3C"/>
  </w:style>
  <w:style w:type="character" w:customStyle="1" w:styleId="Heading1Char">
    <w:name w:val="Heading 1 Char"/>
    <w:basedOn w:val="DefaultParagraphFont"/>
    <w:link w:val="Heading1"/>
    <w:uiPriority w:val="9"/>
    <w:rsid w:val="005F4BD3"/>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5F4BD3"/>
  </w:style>
  <w:style w:type="character" w:customStyle="1" w:styleId="button-link-text">
    <w:name w:val="button-link-text"/>
    <w:basedOn w:val="DefaultParagraphFont"/>
    <w:rsid w:val="005F4BD3"/>
  </w:style>
  <w:style w:type="character" w:customStyle="1" w:styleId="react-xocs-alternative-link">
    <w:name w:val="react-xocs-alternative-link"/>
    <w:basedOn w:val="DefaultParagraphFont"/>
    <w:rsid w:val="005F4BD3"/>
  </w:style>
  <w:style w:type="character" w:customStyle="1" w:styleId="given-name">
    <w:name w:val="given-name"/>
    <w:basedOn w:val="DefaultParagraphFont"/>
    <w:rsid w:val="005F4BD3"/>
  </w:style>
  <w:style w:type="character" w:customStyle="1" w:styleId="text">
    <w:name w:val="text"/>
    <w:basedOn w:val="DefaultParagraphFont"/>
    <w:rsid w:val="005F4BD3"/>
  </w:style>
  <w:style w:type="character" w:customStyle="1" w:styleId="author-ref">
    <w:name w:val="author-ref"/>
    <w:basedOn w:val="DefaultParagraphFont"/>
    <w:rsid w:val="005F4BD3"/>
  </w:style>
  <w:style w:type="character" w:customStyle="1" w:styleId="UnresolvedMention2">
    <w:name w:val="Unresolved Mention2"/>
    <w:basedOn w:val="DefaultParagraphFont"/>
    <w:uiPriority w:val="99"/>
    <w:semiHidden/>
    <w:unhideWhenUsed/>
    <w:rsid w:val="00020464"/>
    <w:rPr>
      <w:color w:val="605E5C"/>
      <w:shd w:val="clear" w:color="auto" w:fill="E1DFDD"/>
    </w:rPr>
  </w:style>
  <w:style w:type="character" w:customStyle="1" w:styleId="c-bibliographic-informationvalue">
    <w:name w:val="c-bibliographic-information__value"/>
    <w:basedOn w:val="DefaultParagraphFont"/>
    <w:rsid w:val="00D917AA"/>
  </w:style>
  <w:style w:type="character" w:customStyle="1" w:styleId="Heading3Char">
    <w:name w:val="Heading 3 Char"/>
    <w:basedOn w:val="DefaultParagraphFont"/>
    <w:link w:val="Heading3"/>
    <w:uiPriority w:val="9"/>
    <w:semiHidden/>
    <w:rsid w:val="00BC3BB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BC3BB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C3BB0"/>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C02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2EC"/>
    <w:rPr>
      <w:sz w:val="20"/>
      <w:szCs w:val="20"/>
    </w:rPr>
  </w:style>
  <w:style w:type="character" w:styleId="FootnoteReference">
    <w:name w:val="footnote reference"/>
    <w:basedOn w:val="DefaultParagraphFont"/>
    <w:uiPriority w:val="99"/>
    <w:semiHidden/>
    <w:unhideWhenUsed/>
    <w:rsid w:val="001C02EC"/>
    <w:rPr>
      <w:vertAlign w:val="superscript"/>
    </w:rPr>
  </w:style>
  <w:style w:type="character" w:styleId="UnresolvedMention">
    <w:name w:val="Unresolved Mention"/>
    <w:basedOn w:val="DefaultParagraphFont"/>
    <w:uiPriority w:val="99"/>
    <w:semiHidden/>
    <w:unhideWhenUsed/>
    <w:rsid w:val="00AD6A57"/>
    <w:rPr>
      <w:color w:val="605E5C"/>
      <w:shd w:val="clear" w:color="auto" w:fill="E1DFDD"/>
    </w:rPr>
  </w:style>
  <w:style w:type="character" w:styleId="FollowedHyperlink">
    <w:name w:val="FollowedHyperlink"/>
    <w:basedOn w:val="DefaultParagraphFont"/>
    <w:uiPriority w:val="99"/>
    <w:semiHidden/>
    <w:unhideWhenUsed/>
    <w:rsid w:val="00720814"/>
    <w:rPr>
      <w:color w:val="800080" w:themeColor="followedHyperlink"/>
      <w:u w:val="single"/>
    </w:rPr>
  </w:style>
  <w:style w:type="paragraph" w:customStyle="1" w:styleId="ReferHead">
    <w:name w:val="Refer Head"/>
    <w:basedOn w:val="Normal"/>
    <w:rsid w:val="00053AA8"/>
    <w:pPr>
      <w:keepNext/>
      <w:spacing w:after="240" w:line="240" w:lineRule="auto"/>
    </w:pPr>
    <w:rPr>
      <w:rFonts w:ascii="Helvetica" w:eastAsia="Times New Roman" w:hAnsi="Helvetica" w:cs="Times New Roman"/>
      <w:b/>
      <w:caps/>
      <w:szCs w:val="20"/>
      <w:lang w:val="en-US"/>
    </w:rPr>
  </w:style>
  <w:style w:type="table" w:customStyle="1" w:styleId="TableGrid1">
    <w:name w:val="Table Grid1"/>
    <w:basedOn w:val="TableNormal"/>
    <w:next w:val="TableGrid"/>
    <w:uiPriority w:val="59"/>
    <w:rsid w:val="00B26D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5218">
      <w:bodyDiv w:val="1"/>
      <w:marLeft w:val="0"/>
      <w:marRight w:val="0"/>
      <w:marTop w:val="0"/>
      <w:marBottom w:val="0"/>
      <w:divBdr>
        <w:top w:val="none" w:sz="0" w:space="0" w:color="auto"/>
        <w:left w:val="none" w:sz="0" w:space="0" w:color="auto"/>
        <w:bottom w:val="none" w:sz="0" w:space="0" w:color="auto"/>
        <w:right w:val="none" w:sz="0" w:space="0" w:color="auto"/>
      </w:divBdr>
      <w:divsChild>
        <w:div w:id="1868371682">
          <w:marLeft w:val="0"/>
          <w:marRight w:val="0"/>
          <w:marTop w:val="0"/>
          <w:marBottom w:val="0"/>
          <w:divBdr>
            <w:top w:val="none" w:sz="0" w:space="0" w:color="auto"/>
            <w:left w:val="none" w:sz="0" w:space="0" w:color="auto"/>
            <w:bottom w:val="none" w:sz="0" w:space="0" w:color="auto"/>
            <w:right w:val="none" w:sz="0" w:space="0" w:color="auto"/>
          </w:divBdr>
          <w:divsChild>
            <w:div w:id="502747168">
              <w:marLeft w:val="0"/>
              <w:marRight w:val="0"/>
              <w:marTop w:val="0"/>
              <w:marBottom w:val="0"/>
              <w:divBdr>
                <w:top w:val="none" w:sz="0" w:space="0" w:color="auto"/>
                <w:left w:val="none" w:sz="0" w:space="0" w:color="auto"/>
                <w:bottom w:val="none" w:sz="0" w:space="0" w:color="auto"/>
                <w:right w:val="none" w:sz="0" w:space="0" w:color="auto"/>
              </w:divBdr>
              <w:divsChild>
                <w:div w:id="2058695741">
                  <w:marLeft w:val="0"/>
                  <w:marRight w:val="0"/>
                  <w:marTop w:val="0"/>
                  <w:marBottom w:val="0"/>
                  <w:divBdr>
                    <w:top w:val="none" w:sz="0" w:space="0" w:color="auto"/>
                    <w:left w:val="none" w:sz="0" w:space="0" w:color="auto"/>
                    <w:bottom w:val="none" w:sz="0" w:space="0" w:color="auto"/>
                    <w:right w:val="none" w:sz="0" w:space="0" w:color="auto"/>
                  </w:divBdr>
                  <w:divsChild>
                    <w:div w:id="2121752659">
                      <w:marLeft w:val="0"/>
                      <w:marRight w:val="0"/>
                      <w:marTop w:val="0"/>
                      <w:marBottom w:val="0"/>
                      <w:divBdr>
                        <w:top w:val="none" w:sz="0" w:space="0" w:color="auto"/>
                        <w:left w:val="none" w:sz="0" w:space="0" w:color="auto"/>
                        <w:bottom w:val="none" w:sz="0" w:space="0" w:color="auto"/>
                        <w:right w:val="none" w:sz="0" w:space="0" w:color="auto"/>
                      </w:divBdr>
                      <w:divsChild>
                        <w:div w:id="1751275043">
                          <w:marLeft w:val="0"/>
                          <w:marRight w:val="0"/>
                          <w:marTop w:val="0"/>
                          <w:marBottom w:val="0"/>
                          <w:divBdr>
                            <w:top w:val="none" w:sz="0" w:space="0" w:color="auto"/>
                            <w:left w:val="none" w:sz="0" w:space="0" w:color="auto"/>
                            <w:bottom w:val="none" w:sz="0" w:space="0" w:color="auto"/>
                            <w:right w:val="none" w:sz="0" w:space="0" w:color="auto"/>
                          </w:divBdr>
                          <w:divsChild>
                            <w:div w:id="742988054">
                              <w:marLeft w:val="0"/>
                              <w:marRight w:val="0"/>
                              <w:marTop w:val="0"/>
                              <w:marBottom w:val="0"/>
                              <w:divBdr>
                                <w:top w:val="none" w:sz="0" w:space="0" w:color="auto"/>
                                <w:left w:val="none" w:sz="0" w:space="0" w:color="auto"/>
                                <w:bottom w:val="none" w:sz="0" w:space="0" w:color="auto"/>
                                <w:right w:val="none" w:sz="0" w:space="0" w:color="auto"/>
                              </w:divBdr>
                              <w:divsChild>
                                <w:div w:id="2096582776">
                                  <w:marLeft w:val="0"/>
                                  <w:marRight w:val="0"/>
                                  <w:marTop w:val="0"/>
                                  <w:marBottom w:val="0"/>
                                  <w:divBdr>
                                    <w:top w:val="none" w:sz="0" w:space="0" w:color="auto"/>
                                    <w:left w:val="none" w:sz="0" w:space="0" w:color="auto"/>
                                    <w:bottom w:val="none" w:sz="0" w:space="0" w:color="auto"/>
                                    <w:right w:val="none" w:sz="0" w:space="0" w:color="auto"/>
                                  </w:divBdr>
                                  <w:divsChild>
                                    <w:div w:id="2428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6624">
                          <w:marLeft w:val="0"/>
                          <w:marRight w:val="0"/>
                          <w:marTop w:val="0"/>
                          <w:marBottom w:val="0"/>
                          <w:divBdr>
                            <w:top w:val="none" w:sz="0" w:space="0" w:color="auto"/>
                            <w:left w:val="none" w:sz="0" w:space="0" w:color="auto"/>
                            <w:bottom w:val="none" w:sz="0" w:space="0" w:color="auto"/>
                            <w:right w:val="none" w:sz="0" w:space="0" w:color="auto"/>
                          </w:divBdr>
                          <w:divsChild>
                            <w:div w:id="610666408">
                              <w:marLeft w:val="0"/>
                              <w:marRight w:val="0"/>
                              <w:marTop w:val="0"/>
                              <w:marBottom w:val="0"/>
                              <w:divBdr>
                                <w:top w:val="none" w:sz="0" w:space="0" w:color="auto"/>
                                <w:left w:val="none" w:sz="0" w:space="0" w:color="auto"/>
                                <w:bottom w:val="none" w:sz="0" w:space="0" w:color="auto"/>
                                <w:right w:val="none" w:sz="0" w:space="0" w:color="auto"/>
                              </w:divBdr>
                              <w:divsChild>
                                <w:div w:id="1879118850">
                                  <w:marLeft w:val="0"/>
                                  <w:marRight w:val="0"/>
                                  <w:marTop w:val="0"/>
                                  <w:marBottom w:val="0"/>
                                  <w:divBdr>
                                    <w:top w:val="none" w:sz="0" w:space="0" w:color="auto"/>
                                    <w:left w:val="none" w:sz="0" w:space="0" w:color="auto"/>
                                    <w:bottom w:val="none" w:sz="0" w:space="0" w:color="auto"/>
                                    <w:right w:val="none" w:sz="0" w:space="0" w:color="auto"/>
                                  </w:divBdr>
                                  <w:divsChild>
                                    <w:div w:id="56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843291">
          <w:marLeft w:val="0"/>
          <w:marRight w:val="0"/>
          <w:marTop w:val="0"/>
          <w:marBottom w:val="0"/>
          <w:divBdr>
            <w:top w:val="none" w:sz="0" w:space="0" w:color="auto"/>
            <w:left w:val="none" w:sz="0" w:space="0" w:color="auto"/>
            <w:bottom w:val="none" w:sz="0" w:space="0" w:color="auto"/>
            <w:right w:val="none" w:sz="0" w:space="0" w:color="auto"/>
          </w:divBdr>
          <w:divsChild>
            <w:div w:id="137453488">
              <w:marLeft w:val="0"/>
              <w:marRight w:val="0"/>
              <w:marTop w:val="0"/>
              <w:marBottom w:val="0"/>
              <w:divBdr>
                <w:top w:val="none" w:sz="0" w:space="0" w:color="auto"/>
                <w:left w:val="none" w:sz="0" w:space="0" w:color="auto"/>
                <w:bottom w:val="none" w:sz="0" w:space="0" w:color="auto"/>
                <w:right w:val="none" w:sz="0" w:space="0" w:color="auto"/>
              </w:divBdr>
              <w:divsChild>
                <w:div w:id="1749691312">
                  <w:marLeft w:val="0"/>
                  <w:marRight w:val="0"/>
                  <w:marTop w:val="0"/>
                  <w:marBottom w:val="0"/>
                  <w:divBdr>
                    <w:top w:val="none" w:sz="0" w:space="0" w:color="auto"/>
                    <w:left w:val="none" w:sz="0" w:space="0" w:color="auto"/>
                    <w:bottom w:val="none" w:sz="0" w:space="0" w:color="auto"/>
                    <w:right w:val="none" w:sz="0" w:space="0" w:color="auto"/>
                  </w:divBdr>
                  <w:divsChild>
                    <w:div w:id="1821311652">
                      <w:marLeft w:val="0"/>
                      <w:marRight w:val="0"/>
                      <w:marTop w:val="0"/>
                      <w:marBottom w:val="0"/>
                      <w:divBdr>
                        <w:top w:val="none" w:sz="0" w:space="0" w:color="auto"/>
                        <w:left w:val="none" w:sz="0" w:space="0" w:color="auto"/>
                        <w:bottom w:val="none" w:sz="0" w:space="0" w:color="auto"/>
                        <w:right w:val="none" w:sz="0" w:space="0" w:color="auto"/>
                      </w:divBdr>
                      <w:divsChild>
                        <w:div w:id="1613904723">
                          <w:marLeft w:val="0"/>
                          <w:marRight w:val="0"/>
                          <w:marTop w:val="0"/>
                          <w:marBottom w:val="0"/>
                          <w:divBdr>
                            <w:top w:val="none" w:sz="0" w:space="0" w:color="auto"/>
                            <w:left w:val="none" w:sz="0" w:space="0" w:color="auto"/>
                            <w:bottom w:val="none" w:sz="0" w:space="0" w:color="auto"/>
                            <w:right w:val="none" w:sz="0" w:space="0" w:color="auto"/>
                          </w:divBdr>
                          <w:divsChild>
                            <w:div w:id="699361233">
                              <w:marLeft w:val="0"/>
                              <w:marRight w:val="0"/>
                              <w:marTop w:val="0"/>
                              <w:marBottom w:val="0"/>
                              <w:divBdr>
                                <w:top w:val="none" w:sz="0" w:space="0" w:color="auto"/>
                                <w:left w:val="none" w:sz="0" w:space="0" w:color="auto"/>
                                <w:bottom w:val="none" w:sz="0" w:space="0" w:color="auto"/>
                                <w:right w:val="none" w:sz="0" w:space="0" w:color="auto"/>
                              </w:divBdr>
                              <w:divsChild>
                                <w:div w:id="2101487233">
                                  <w:marLeft w:val="0"/>
                                  <w:marRight w:val="0"/>
                                  <w:marTop w:val="0"/>
                                  <w:marBottom w:val="0"/>
                                  <w:divBdr>
                                    <w:top w:val="none" w:sz="0" w:space="0" w:color="auto"/>
                                    <w:left w:val="none" w:sz="0" w:space="0" w:color="auto"/>
                                    <w:bottom w:val="none" w:sz="0" w:space="0" w:color="auto"/>
                                    <w:right w:val="none" w:sz="0" w:space="0" w:color="auto"/>
                                  </w:divBdr>
                                  <w:divsChild>
                                    <w:div w:id="948049157">
                                      <w:marLeft w:val="0"/>
                                      <w:marRight w:val="0"/>
                                      <w:marTop w:val="0"/>
                                      <w:marBottom w:val="0"/>
                                      <w:divBdr>
                                        <w:top w:val="none" w:sz="0" w:space="0" w:color="auto"/>
                                        <w:left w:val="none" w:sz="0" w:space="0" w:color="auto"/>
                                        <w:bottom w:val="none" w:sz="0" w:space="0" w:color="auto"/>
                                        <w:right w:val="none" w:sz="0" w:space="0" w:color="auto"/>
                                      </w:divBdr>
                                      <w:divsChild>
                                        <w:div w:id="19085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893582">
          <w:marLeft w:val="0"/>
          <w:marRight w:val="0"/>
          <w:marTop w:val="0"/>
          <w:marBottom w:val="0"/>
          <w:divBdr>
            <w:top w:val="none" w:sz="0" w:space="0" w:color="auto"/>
            <w:left w:val="none" w:sz="0" w:space="0" w:color="auto"/>
            <w:bottom w:val="none" w:sz="0" w:space="0" w:color="auto"/>
            <w:right w:val="none" w:sz="0" w:space="0" w:color="auto"/>
          </w:divBdr>
          <w:divsChild>
            <w:div w:id="725102442">
              <w:marLeft w:val="0"/>
              <w:marRight w:val="0"/>
              <w:marTop w:val="0"/>
              <w:marBottom w:val="0"/>
              <w:divBdr>
                <w:top w:val="none" w:sz="0" w:space="0" w:color="auto"/>
                <w:left w:val="none" w:sz="0" w:space="0" w:color="auto"/>
                <w:bottom w:val="none" w:sz="0" w:space="0" w:color="auto"/>
                <w:right w:val="none" w:sz="0" w:space="0" w:color="auto"/>
              </w:divBdr>
              <w:divsChild>
                <w:div w:id="2058553004">
                  <w:marLeft w:val="0"/>
                  <w:marRight w:val="0"/>
                  <w:marTop w:val="0"/>
                  <w:marBottom w:val="0"/>
                  <w:divBdr>
                    <w:top w:val="none" w:sz="0" w:space="0" w:color="auto"/>
                    <w:left w:val="none" w:sz="0" w:space="0" w:color="auto"/>
                    <w:bottom w:val="none" w:sz="0" w:space="0" w:color="auto"/>
                    <w:right w:val="none" w:sz="0" w:space="0" w:color="auto"/>
                  </w:divBdr>
                  <w:divsChild>
                    <w:div w:id="1555659688">
                      <w:marLeft w:val="0"/>
                      <w:marRight w:val="0"/>
                      <w:marTop w:val="0"/>
                      <w:marBottom w:val="0"/>
                      <w:divBdr>
                        <w:top w:val="none" w:sz="0" w:space="0" w:color="auto"/>
                        <w:left w:val="none" w:sz="0" w:space="0" w:color="auto"/>
                        <w:bottom w:val="none" w:sz="0" w:space="0" w:color="auto"/>
                        <w:right w:val="none" w:sz="0" w:space="0" w:color="auto"/>
                      </w:divBdr>
                      <w:divsChild>
                        <w:div w:id="403114">
                          <w:marLeft w:val="0"/>
                          <w:marRight w:val="0"/>
                          <w:marTop w:val="0"/>
                          <w:marBottom w:val="0"/>
                          <w:divBdr>
                            <w:top w:val="none" w:sz="0" w:space="0" w:color="auto"/>
                            <w:left w:val="none" w:sz="0" w:space="0" w:color="auto"/>
                            <w:bottom w:val="none" w:sz="0" w:space="0" w:color="auto"/>
                            <w:right w:val="none" w:sz="0" w:space="0" w:color="auto"/>
                          </w:divBdr>
                          <w:divsChild>
                            <w:div w:id="2045713753">
                              <w:marLeft w:val="0"/>
                              <w:marRight w:val="0"/>
                              <w:marTop w:val="0"/>
                              <w:marBottom w:val="0"/>
                              <w:divBdr>
                                <w:top w:val="none" w:sz="0" w:space="0" w:color="auto"/>
                                <w:left w:val="none" w:sz="0" w:space="0" w:color="auto"/>
                                <w:bottom w:val="none" w:sz="0" w:space="0" w:color="auto"/>
                                <w:right w:val="none" w:sz="0" w:space="0" w:color="auto"/>
                              </w:divBdr>
                              <w:divsChild>
                                <w:div w:id="1813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38330">
                  <w:marLeft w:val="0"/>
                  <w:marRight w:val="0"/>
                  <w:marTop w:val="0"/>
                  <w:marBottom w:val="0"/>
                  <w:divBdr>
                    <w:top w:val="none" w:sz="0" w:space="0" w:color="auto"/>
                    <w:left w:val="none" w:sz="0" w:space="0" w:color="auto"/>
                    <w:bottom w:val="none" w:sz="0" w:space="0" w:color="auto"/>
                    <w:right w:val="none" w:sz="0" w:space="0" w:color="auto"/>
                  </w:divBdr>
                  <w:divsChild>
                    <w:div w:id="1977561604">
                      <w:marLeft w:val="0"/>
                      <w:marRight w:val="0"/>
                      <w:marTop w:val="0"/>
                      <w:marBottom w:val="0"/>
                      <w:divBdr>
                        <w:top w:val="none" w:sz="0" w:space="0" w:color="auto"/>
                        <w:left w:val="none" w:sz="0" w:space="0" w:color="auto"/>
                        <w:bottom w:val="none" w:sz="0" w:space="0" w:color="auto"/>
                        <w:right w:val="none" w:sz="0" w:space="0" w:color="auto"/>
                      </w:divBdr>
                      <w:divsChild>
                        <w:div w:id="882525142">
                          <w:marLeft w:val="0"/>
                          <w:marRight w:val="0"/>
                          <w:marTop w:val="0"/>
                          <w:marBottom w:val="0"/>
                          <w:divBdr>
                            <w:top w:val="none" w:sz="0" w:space="0" w:color="auto"/>
                            <w:left w:val="none" w:sz="0" w:space="0" w:color="auto"/>
                            <w:bottom w:val="none" w:sz="0" w:space="0" w:color="auto"/>
                            <w:right w:val="none" w:sz="0" w:space="0" w:color="auto"/>
                          </w:divBdr>
                          <w:divsChild>
                            <w:div w:id="123692334">
                              <w:marLeft w:val="0"/>
                              <w:marRight w:val="0"/>
                              <w:marTop w:val="0"/>
                              <w:marBottom w:val="0"/>
                              <w:divBdr>
                                <w:top w:val="none" w:sz="0" w:space="0" w:color="auto"/>
                                <w:left w:val="none" w:sz="0" w:space="0" w:color="auto"/>
                                <w:bottom w:val="none" w:sz="0" w:space="0" w:color="auto"/>
                                <w:right w:val="none" w:sz="0" w:space="0" w:color="auto"/>
                              </w:divBdr>
                              <w:divsChild>
                                <w:div w:id="150489563">
                                  <w:marLeft w:val="0"/>
                                  <w:marRight w:val="0"/>
                                  <w:marTop w:val="0"/>
                                  <w:marBottom w:val="0"/>
                                  <w:divBdr>
                                    <w:top w:val="none" w:sz="0" w:space="0" w:color="auto"/>
                                    <w:left w:val="none" w:sz="0" w:space="0" w:color="auto"/>
                                    <w:bottom w:val="none" w:sz="0" w:space="0" w:color="auto"/>
                                    <w:right w:val="none" w:sz="0" w:space="0" w:color="auto"/>
                                  </w:divBdr>
                                  <w:divsChild>
                                    <w:div w:id="1645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38704">
      <w:bodyDiv w:val="1"/>
      <w:marLeft w:val="0"/>
      <w:marRight w:val="0"/>
      <w:marTop w:val="0"/>
      <w:marBottom w:val="0"/>
      <w:divBdr>
        <w:top w:val="none" w:sz="0" w:space="0" w:color="auto"/>
        <w:left w:val="none" w:sz="0" w:space="0" w:color="auto"/>
        <w:bottom w:val="none" w:sz="0" w:space="0" w:color="auto"/>
        <w:right w:val="none" w:sz="0" w:space="0" w:color="auto"/>
      </w:divBdr>
    </w:div>
    <w:div w:id="112293245">
      <w:bodyDiv w:val="1"/>
      <w:marLeft w:val="0"/>
      <w:marRight w:val="0"/>
      <w:marTop w:val="0"/>
      <w:marBottom w:val="0"/>
      <w:divBdr>
        <w:top w:val="none" w:sz="0" w:space="0" w:color="auto"/>
        <w:left w:val="none" w:sz="0" w:space="0" w:color="auto"/>
        <w:bottom w:val="none" w:sz="0" w:space="0" w:color="auto"/>
        <w:right w:val="none" w:sz="0" w:space="0" w:color="auto"/>
      </w:divBdr>
    </w:div>
    <w:div w:id="138693337">
      <w:bodyDiv w:val="1"/>
      <w:marLeft w:val="0"/>
      <w:marRight w:val="0"/>
      <w:marTop w:val="0"/>
      <w:marBottom w:val="0"/>
      <w:divBdr>
        <w:top w:val="none" w:sz="0" w:space="0" w:color="auto"/>
        <w:left w:val="none" w:sz="0" w:space="0" w:color="auto"/>
        <w:bottom w:val="none" w:sz="0" w:space="0" w:color="auto"/>
        <w:right w:val="none" w:sz="0" w:space="0" w:color="auto"/>
      </w:divBdr>
    </w:div>
    <w:div w:id="155269319">
      <w:bodyDiv w:val="1"/>
      <w:marLeft w:val="0"/>
      <w:marRight w:val="0"/>
      <w:marTop w:val="0"/>
      <w:marBottom w:val="0"/>
      <w:divBdr>
        <w:top w:val="none" w:sz="0" w:space="0" w:color="auto"/>
        <w:left w:val="none" w:sz="0" w:space="0" w:color="auto"/>
        <w:bottom w:val="none" w:sz="0" w:space="0" w:color="auto"/>
        <w:right w:val="none" w:sz="0" w:space="0" w:color="auto"/>
      </w:divBdr>
    </w:div>
    <w:div w:id="163672219">
      <w:bodyDiv w:val="1"/>
      <w:marLeft w:val="0"/>
      <w:marRight w:val="0"/>
      <w:marTop w:val="0"/>
      <w:marBottom w:val="0"/>
      <w:divBdr>
        <w:top w:val="none" w:sz="0" w:space="0" w:color="auto"/>
        <w:left w:val="none" w:sz="0" w:space="0" w:color="auto"/>
        <w:bottom w:val="none" w:sz="0" w:space="0" w:color="auto"/>
        <w:right w:val="none" w:sz="0" w:space="0" w:color="auto"/>
      </w:divBdr>
    </w:div>
    <w:div w:id="191260508">
      <w:bodyDiv w:val="1"/>
      <w:marLeft w:val="0"/>
      <w:marRight w:val="0"/>
      <w:marTop w:val="0"/>
      <w:marBottom w:val="0"/>
      <w:divBdr>
        <w:top w:val="none" w:sz="0" w:space="0" w:color="auto"/>
        <w:left w:val="none" w:sz="0" w:space="0" w:color="auto"/>
        <w:bottom w:val="none" w:sz="0" w:space="0" w:color="auto"/>
        <w:right w:val="none" w:sz="0" w:space="0" w:color="auto"/>
      </w:divBdr>
    </w:div>
    <w:div w:id="202060684">
      <w:bodyDiv w:val="1"/>
      <w:marLeft w:val="0"/>
      <w:marRight w:val="0"/>
      <w:marTop w:val="0"/>
      <w:marBottom w:val="0"/>
      <w:divBdr>
        <w:top w:val="none" w:sz="0" w:space="0" w:color="auto"/>
        <w:left w:val="none" w:sz="0" w:space="0" w:color="auto"/>
        <w:bottom w:val="none" w:sz="0" w:space="0" w:color="auto"/>
        <w:right w:val="none" w:sz="0" w:space="0" w:color="auto"/>
      </w:divBdr>
    </w:div>
    <w:div w:id="216863864">
      <w:bodyDiv w:val="1"/>
      <w:marLeft w:val="0"/>
      <w:marRight w:val="0"/>
      <w:marTop w:val="0"/>
      <w:marBottom w:val="0"/>
      <w:divBdr>
        <w:top w:val="none" w:sz="0" w:space="0" w:color="auto"/>
        <w:left w:val="none" w:sz="0" w:space="0" w:color="auto"/>
        <w:bottom w:val="none" w:sz="0" w:space="0" w:color="auto"/>
        <w:right w:val="none" w:sz="0" w:space="0" w:color="auto"/>
      </w:divBdr>
    </w:div>
    <w:div w:id="245309330">
      <w:bodyDiv w:val="1"/>
      <w:marLeft w:val="0"/>
      <w:marRight w:val="0"/>
      <w:marTop w:val="0"/>
      <w:marBottom w:val="0"/>
      <w:divBdr>
        <w:top w:val="none" w:sz="0" w:space="0" w:color="auto"/>
        <w:left w:val="none" w:sz="0" w:space="0" w:color="auto"/>
        <w:bottom w:val="none" w:sz="0" w:space="0" w:color="auto"/>
        <w:right w:val="none" w:sz="0" w:space="0" w:color="auto"/>
      </w:divBdr>
    </w:div>
    <w:div w:id="254679078">
      <w:bodyDiv w:val="1"/>
      <w:marLeft w:val="0"/>
      <w:marRight w:val="0"/>
      <w:marTop w:val="0"/>
      <w:marBottom w:val="0"/>
      <w:divBdr>
        <w:top w:val="none" w:sz="0" w:space="0" w:color="auto"/>
        <w:left w:val="none" w:sz="0" w:space="0" w:color="auto"/>
        <w:bottom w:val="none" w:sz="0" w:space="0" w:color="auto"/>
        <w:right w:val="none" w:sz="0" w:space="0" w:color="auto"/>
      </w:divBdr>
    </w:div>
    <w:div w:id="266305434">
      <w:bodyDiv w:val="1"/>
      <w:marLeft w:val="0"/>
      <w:marRight w:val="0"/>
      <w:marTop w:val="0"/>
      <w:marBottom w:val="0"/>
      <w:divBdr>
        <w:top w:val="none" w:sz="0" w:space="0" w:color="auto"/>
        <w:left w:val="none" w:sz="0" w:space="0" w:color="auto"/>
        <w:bottom w:val="none" w:sz="0" w:space="0" w:color="auto"/>
        <w:right w:val="none" w:sz="0" w:space="0" w:color="auto"/>
      </w:divBdr>
    </w:div>
    <w:div w:id="290675965">
      <w:bodyDiv w:val="1"/>
      <w:marLeft w:val="0"/>
      <w:marRight w:val="0"/>
      <w:marTop w:val="0"/>
      <w:marBottom w:val="0"/>
      <w:divBdr>
        <w:top w:val="none" w:sz="0" w:space="0" w:color="auto"/>
        <w:left w:val="none" w:sz="0" w:space="0" w:color="auto"/>
        <w:bottom w:val="none" w:sz="0" w:space="0" w:color="auto"/>
        <w:right w:val="none" w:sz="0" w:space="0" w:color="auto"/>
      </w:divBdr>
    </w:div>
    <w:div w:id="294415447">
      <w:bodyDiv w:val="1"/>
      <w:marLeft w:val="0"/>
      <w:marRight w:val="0"/>
      <w:marTop w:val="0"/>
      <w:marBottom w:val="0"/>
      <w:divBdr>
        <w:top w:val="none" w:sz="0" w:space="0" w:color="auto"/>
        <w:left w:val="none" w:sz="0" w:space="0" w:color="auto"/>
        <w:bottom w:val="none" w:sz="0" w:space="0" w:color="auto"/>
        <w:right w:val="none" w:sz="0" w:space="0" w:color="auto"/>
      </w:divBdr>
    </w:div>
    <w:div w:id="325131483">
      <w:bodyDiv w:val="1"/>
      <w:marLeft w:val="0"/>
      <w:marRight w:val="0"/>
      <w:marTop w:val="0"/>
      <w:marBottom w:val="0"/>
      <w:divBdr>
        <w:top w:val="none" w:sz="0" w:space="0" w:color="auto"/>
        <w:left w:val="none" w:sz="0" w:space="0" w:color="auto"/>
        <w:bottom w:val="none" w:sz="0" w:space="0" w:color="auto"/>
        <w:right w:val="none" w:sz="0" w:space="0" w:color="auto"/>
      </w:divBdr>
    </w:div>
    <w:div w:id="368458665">
      <w:bodyDiv w:val="1"/>
      <w:marLeft w:val="0"/>
      <w:marRight w:val="0"/>
      <w:marTop w:val="0"/>
      <w:marBottom w:val="0"/>
      <w:divBdr>
        <w:top w:val="none" w:sz="0" w:space="0" w:color="auto"/>
        <w:left w:val="none" w:sz="0" w:space="0" w:color="auto"/>
        <w:bottom w:val="none" w:sz="0" w:space="0" w:color="auto"/>
        <w:right w:val="none" w:sz="0" w:space="0" w:color="auto"/>
      </w:divBdr>
    </w:div>
    <w:div w:id="478617415">
      <w:bodyDiv w:val="1"/>
      <w:marLeft w:val="0"/>
      <w:marRight w:val="0"/>
      <w:marTop w:val="0"/>
      <w:marBottom w:val="0"/>
      <w:divBdr>
        <w:top w:val="none" w:sz="0" w:space="0" w:color="auto"/>
        <w:left w:val="none" w:sz="0" w:space="0" w:color="auto"/>
        <w:bottom w:val="none" w:sz="0" w:space="0" w:color="auto"/>
        <w:right w:val="none" w:sz="0" w:space="0" w:color="auto"/>
      </w:divBdr>
    </w:div>
    <w:div w:id="545029765">
      <w:bodyDiv w:val="1"/>
      <w:marLeft w:val="0"/>
      <w:marRight w:val="0"/>
      <w:marTop w:val="0"/>
      <w:marBottom w:val="0"/>
      <w:divBdr>
        <w:top w:val="none" w:sz="0" w:space="0" w:color="auto"/>
        <w:left w:val="none" w:sz="0" w:space="0" w:color="auto"/>
        <w:bottom w:val="none" w:sz="0" w:space="0" w:color="auto"/>
        <w:right w:val="none" w:sz="0" w:space="0" w:color="auto"/>
      </w:divBdr>
    </w:div>
    <w:div w:id="562369733">
      <w:bodyDiv w:val="1"/>
      <w:marLeft w:val="0"/>
      <w:marRight w:val="0"/>
      <w:marTop w:val="0"/>
      <w:marBottom w:val="0"/>
      <w:divBdr>
        <w:top w:val="none" w:sz="0" w:space="0" w:color="auto"/>
        <w:left w:val="none" w:sz="0" w:space="0" w:color="auto"/>
        <w:bottom w:val="none" w:sz="0" w:space="0" w:color="auto"/>
        <w:right w:val="none" w:sz="0" w:space="0" w:color="auto"/>
      </w:divBdr>
    </w:div>
    <w:div w:id="641008241">
      <w:bodyDiv w:val="1"/>
      <w:marLeft w:val="0"/>
      <w:marRight w:val="0"/>
      <w:marTop w:val="0"/>
      <w:marBottom w:val="0"/>
      <w:divBdr>
        <w:top w:val="none" w:sz="0" w:space="0" w:color="auto"/>
        <w:left w:val="none" w:sz="0" w:space="0" w:color="auto"/>
        <w:bottom w:val="none" w:sz="0" w:space="0" w:color="auto"/>
        <w:right w:val="none" w:sz="0" w:space="0" w:color="auto"/>
      </w:divBdr>
    </w:div>
    <w:div w:id="676812096">
      <w:bodyDiv w:val="1"/>
      <w:marLeft w:val="0"/>
      <w:marRight w:val="0"/>
      <w:marTop w:val="0"/>
      <w:marBottom w:val="0"/>
      <w:divBdr>
        <w:top w:val="none" w:sz="0" w:space="0" w:color="auto"/>
        <w:left w:val="none" w:sz="0" w:space="0" w:color="auto"/>
        <w:bottom w:val="none" w:sz="0" w:space="0" w:color="auto"/>
        <w:right w:val="none" w:sz="0" w:space="0" w:color="auto"/>
      </w:divBdr>
    </w:div>
    <w:div w:id="733359727">
      <w:bodyDiv w:val="1"/>
      <w:marLeft w:val="0"/>
      <w:marRight w:val="0"/>
      <w:marTop w:val="0"/>
      <w:marBottom w:val="0"/>
      <w:divBdr>
        <w:top w:val="none" w:sz="0" w:space="0" w:color="auto"/>
        <w:left w:val="none" w:sz="0" w:space="0" w:color="auto"/>
        <w:bottom w:val="none" w:sz="0" w:space="0" w:color="auto"/>
        <w:right w:val="none" w:sz="0" w:space="0" w:color="auto"/>
      </w:divBdr>
    </w:div>
    <w:div w:id="746540909">
      <w:bodyDiv w:val="1"/>
      <w:marLeft w:val="0"/>
      <w:marRight w:val="0"/>
      <w:marTop w:val="0"/>
      <w:marBottom w:val="0"/>
      <w:divBdr>
        <w:top w:val="none" w:sz="0" w:space="0" w:color="auto"/>
        <w:left w:val="none" w:sz="0" w:space="0" w:color="auto"/>
        <w:bottom w:val="none" w:sz="0" w:space="0" w:color="auto"/>
        <w:right w:val="none" w:sz="0" w:space="0" w:color="auto"/>
      </w:divBdr>
    </w:div>
    <w:div w:id="756707503">
      <w:bodyDiv w:val="1"/>
      <w:marLeft w:val="0"/>
      <w:marRight w:val="0"/>
      <w:marTop w:val="0"/>
      <w:marBottom w:val="0"/>
      <w:divBdr>
        <w:top w:val="none" w:sz="0" w:space="0" w:color="auto"/>
        <w:left w:val="none" w:sz="0" w:space="0" w:color="auto"/>
        <w:bottom w:val="none" w:sz="0" w:space="0" w:color="auto"/>
        <w:right w:val="none" w:sz="0" w:space="0" w:color="auto"/>
      </w:divBdr>
    </w:div>
    <w:div w:id="866413281">
      <w:bodyDiv w:val="1"/>
      <w:marLeft w:val="0"/>
      <w:marRight w:val="0"/>
      <w:marTop w:val="0"/>
      <w:marBottom w:val="0"/>
      <w:divBdr>
        <w:top w:val="none" w:sz="0" w:space="0" w:color="auto"/>
        <w:left w:val="none" w:sz="0" w:space="0" w:color="auto"/>
        <w:bottom w:val="none" w:sz="0" w:space="0" w:color="auto"/>
        <w:right w:val="none" w:sz="0" w:space="0" w:color="auto"/>
      </w:divBdr>
    </w:div>
    <w:div w:id="874999019">
      <w:bodyDiv w:val="1"/>
      <w:marLeft w:val="0"/>
      <w:marRight w:val="0"/>
      <w:marTop w:val="0"/>
      <w:marBottom w:val="0"/>
      <w:divBdr>
        <w:top w:val="none" w:sz="0" w:space="0" w:color="auto"/>
        <w:left w:val="none" w:sz="0" w:space="0" w:color="auto"/>
        <w:bottom w:val="none" w:sz="0" w:space="0" w:color="auto"/>
        <w:right w:val="none" w:sz="0" w:space="0" w:color="auto"/>
      </w:divBdr>
    </w:div>
    <w:div w:id="875854867">
      <w:bodyDiv w:val="1"/>
      <w:marLeft w:val="0"/>
      <w:marRight w:val="0"/>
      <w:marTop w:val="0"/>
      <w:marBottom w:val="0"/>
      <w:divBdr>
        <w:top w:val="none" w:sz="0" w:space="0" w:color="auto"/>
        <w:left w:val="none" w:sz="0" w:space="0" w:color="auto"/>
        <w:bottom w:val="none" w:sz="0" w:space="0" w:color="auto"/>
        <w:right w:val="none" w:sz="0" w:space="0" w:color="auto"/>
      </w:divBdr>
    </w:div>
    <w:div w:id="933129560">
      <w:bodyDiv w:val="1"/>
      <w:marLeft w:val="0"/>
      <w:marRight w:val="0"/>
      <w:marTop w:val="0"/>
      <w:marBottom w:val="0"/>
      <w:divBdr>
        <w:top w:val="none" w:sz="0" w:space="0" w:color="auto"/>
        <w:left w:val="none" w:sz="0" w:space="0" w:color="auto"/>
        <w:bottom w:val="none" w:sz="0" w:space="0" w:color="auto"/>
        <w:right w:val="none" w:sz="0" w:space="0" w:color="auto"/>
      </w:divBdr>
    </w:div>
    <w:div w:id="972519138">
      <w:bodyDiv w:val="1"/>
      <w:marLeft w:val="0"/>
      <w:marRight w:val="0"/>
      <w:marTop w:val="0"/>
      <w:marBottom w:val="0"/>
      <w:divBdr>
        <w:top w:val="none" w:sz="0" w:space="0" w:color="auto"/>
        <w:left w:val="none" w:sz="0" w:space="0" w:color="auto"/>
        <w:bottom w:val="none" w:sz="0" w:space="0" w:color="auto"/>
        <w:right w:val="none" w:sz="0" w:space="0" w:color="auto"/>
      </w:divBdr>
    </w:div>
    <w:div w:id="1035731972">
      <w:bodyDiv w:val="1"/>
      <w:marLeft w:val="0"/>
      <w:marRight w:val="0"/>
      <w:marTop w:val="0"/>
      <w:marBottom w:val="0"/>
      <w:divBdr>
        <w:top w:val="none" w:sz="0" w:space="0" w:color="auto"/>
        <w:left w:val="none" w:sz="0" w:space="0" w:color="auto"/>
        <w:bottom w:val="none" w:sz="0" w:space="0" w:color="auto"/>
        <w:right w:val="none" w:sz="0" w:space="0" w:color="auto"/>
      </w:divBdr>
    </w:div>
    <w:div w:id="1055203322">
      <w:bodyDiv w:val="1"/>
      <w:marLeft w:val="0"/>
      <w:marRight w:val="0"/>
      <w:marTop w:val="0"/>
      <w:marBottom w:val="0"/>
      <w:divBdr>
        <w:top w:val="none" w:sz="0" w:space="0" w:color="auto"/>
        <w:left w:val="none" w:sz="0" w:space="0" w:color="auto"/>
        <w:bottom w:val="none" w:sz="0" w:space="0" w:color="auto"/>
        <w:right w:val="none" w:sz="0" w:space="0" w:color="auto"/>
      </w:divBdr>
    </w:div>
    <w:div w:id="1062174288">
      <w:bodyDiv w:val="1"/>
      <w:marLeft w:val="0"/>
      <w:marRight w:val="0"/>
      <w:marTop w:val="0"/>
      <w:marBottom w:val="0"/>
      <w:divBdr>
        <w:top w:val="none" w:sz="0" w:space="0" w:color="auto"/>
        <w:left w:val="none" w:sz="0" w:space="0" w:color="auto"/>
        <w:bottom w:val="none" w:sz="0" w:space="0" w:color="auto"/>
        <w:right w:val="none" w:sz="0" w:space="0" w:color="auto"/>
      </w:divBdr>
      <w:divsChild>
        <w:div w:id="1093428607">
          <w:marLeft w:val="0"/>
          <w:marRight w:val="0"/>
          <w:marTop w:val="0"/>
          <w:marBottom w:val="0"/>
          <w:divBdr>
            <w:top w:val="none" w:sz="0" w:space="0" w:color="auto"/>
            <w:left w:val="none" w:sz="0" w:space="0" w:color="auto"/>
            <w:bottom w:val="none" w:sz="0" w:space="0" w:color="auto"/>
            <w:right w:val="none" w:sz="0" w:space="0" w:color="auto"/>
          </w:divBdr>
        </w:div>
        <w:div w:id="1606428146">
          <w:marLeft w:val="0"/>
          <w:marRight w:val="0"/>
          <w:marTop w:val="0"/>
          <w:marBottom w:val="0"/>
          <w:divBdr>
            <w:top w:val="none" w:sz="0" w:space="0" w:color="auto"/>
            <w:left w:val="none" w:sz="0" w:space="0" w:color="auto"/>
            <w:bottom w:val="none" w:sz="0" w:space="0" w:color="auto"/>
            <w:right w:val="none" w:sz="0" w:space="0" w:color="auto"/>
          </w:divBdr>
        </w:div>
      </w:divsChild>
    </w:div>
    <w:div w:id="1079986127">
      <w:bodyDiv w:val="1"/>
      <w:marLeft w:val="0"/>
      <w:marRight w:val="0"/>
      <w:marTop w:val="0"/>
      <w:marBottom w:val="0"/>
      <w:divBdr>
        <w:top w:val="none" w:sz="0" w:space="0" w:color="auto"/>
        <w:left w:val="none" w:sz="0" w:space="0" w:color="auto"/>
        <w:bottom w:val="none" w:sz="0" w:space="0" w:color="auto"/>
        <w:right w:val="none" w:sz="0" w:space="0" w:color="auto"/>
      </w:divBdr>
    </w:div>
    <w:div w:id="1127747168">
      <w:bodyDiv w:val="1"/>
      <w:marLeft w:val="0"/>
      <w:marRight w:val="0"/>
      <w:marTop w:val="0"/>
      <w:marBottom w:val="0"/>
      <w:divBdr>
        <w:top w:val="none" w:sz="0" w:space="0" w:color="auto"/>
        <w:left w:val="none" w:sz="0" w:space="0" w:color="auto"/>
        <w:bottom w:val="none" w:sz="0" w:space="0" w:color="auto"/>
        <w:right w:val="none" w:sz="0" w:space="0" w:color="auto"/>
      </w:divBdr>
    </w:div>
    <w:div w:id="1162545271">
      <w:bodyDiv w:val="1"/>
      <w:marLeft w:val="0"/>
      <w:marRight w:val="0"/>
      <w:marTop w:val="0"/>
      <w:marBottom w:val="0"/>
      <w:divBdr>
        <w:top w:val="none" w:sz="0" w:space="0" w:color="auto"/>
        <w:left w:val="none" w:sz="0" w:space="0" w:color="auto"/>
        <w:bottom w:val="none" w:sz="0" w:space="0" w:color="auto"/>
        <w:right w:val="none" w:sz="0" w:space="0" w:color="auto"/>
      </w:divBdr>
    </w:div>
    <w:div w:id="1204751928">
      <w:bodyDiv w:val="1"/>
      <w:marLeft w:val="0"/>
      <w:marRight w:val="0"/>
      <w:marTop w:val="0"/>
      <w:marBottom w:val="0"/>
      <w:divBdr>
        <w:top w:val="none" w:sz="0" w:space="0" w:color="auto"/>
        <w:left w:val="none" w:sz="0" w:space="0" w:color="auto"/>
        <w:bottom w:val="none" w:sz="0" w:space="0" w:color="auto"/>
        <w:right w:val="none" w:sz="0" w:space="0" w:color="auto"/>
      </w:divBdr>
    </w:div>
    <w:div w:id="1216048452">
      <w:bodyDiv w:val="1"/>
      <w:marLeft w:val="0"/>
      <w:marRight w:val="0"/>
      <w:marTop w:val="0"/>
      <w:marBottom w:val="0"/>
      <w:divBdr>
        <w:top w:val="none" w:sz="0" w:space="0" w:color="auto"/>
        <w:left w:val="none" w:sz="0" w:space="0" w:color="auto"/>
        <w:bottom w:val="none" w:sz="0" w:space="0" w:color="auto"/>
        <w:right w:val="none" w:sz="0" w:space="0" w:color="auto"/>
      </w:divBdr>
    </w:div>
    <w:div w:id="1248422053">
      <w:bodyDiv w:val="1"/>
      <w:marLeft w:val="0"/>
      <w:marRight w:val="0"/>
      <w:marTop w:val="0"/>
      <w:marBottom w:val="0"/>
      <w:divBdr>
        <w:top w:val="none" w:sz="0" w:space="0" w:color="auto"/>
        <w:left w:val="none" w:sz="0" w:space="0" w:color="auto"/>
        <w:bottom w:val="none" w:sz="0" w:space="0" w:color="auto"/>
        <w:right w:val="none" w:sz="0" w:space="0" w:color="auto"/>
      </w:divBdr>
    </w:div>
    <w:div w:id="1249848804">
      <w:bodyDiv w:val="1"/>
      <w:marLeft w:val="0"/>
      <w:marRight w:val="0"/>
      <w:marTop w:val="0"/>
      <w:marBottom w:val="0"/>
      <w:divBdr>
        <w:top w:val="none" w:sz="0" w:space="0" w:color="auto"/>
        <w:left w:val="none" w:sz="0" w:space="0" w:color="auto"/>
        <w:bottom w:val="none" w:sz="0" w:space="0" w:color="auto"/>
        <w:right w:val="none" w:sz="0" w:space="0" w:color="auto"/>
      </w:divBdr>
    </w:div>
    <w:div w:id="1257444576">
      <w:bodyDiv w:val="1"/>
      <w:marLeft w:val="0"/>
      <w:marRight w:val="0"/>
      <w:marTop w:val="0"/>
      <w:marBottom w:val="0"/>
      <w:divBdr>
        <w:top w:val="none" w:sz="0" w:space="0" w:color="auto"/>
        <w:left w:val="none" w:sz="0" w:space="0" w:color="auto"/>
        <w:bottom w:val="none" w:sz="0" w:space="0" w:color="auto"/>
        <w:right w:val="none" w:sz="0" w:space="0" w:color="auto"/>
      </w:divBdr>
    </w:div>
    <w:div w:id="1315450318">
      <w:bodyDiv w:val="1"/>
      <w:marLeft w:val="0"/>
      <w:marRight w:val="0"/>
      <w:marTop w:val="0"/>
      <w:marBottom w:val="0"/>
      <w:divBdr>
        <w:top w:val="none" w:sz="0" w:space="0" w:color="auto"/>
        <w:left w:val="none" w:sz="0" w:space="0" w:color="auto"/>
        <w:bottom w:val="none" w:sz="0" w:space="0" w:color="auto"/>
        <w:right w:val="none" w:sz="0" w:space="0" w:color="auto"/>
      </w:divBdr>
    </w:div>
    <w:div w:id="1352491163">
      <w:bodyDiv w:val="1"/>
      <w:marLeft w:val="0"/>
      <w:marRight w:val="0"/>
      <w:marTop w:val="0"/>
      <w:marBottom w:val="0"/>
      <w:divBdr>
        <w:top w:val="none" w:sz="0" w:space="0" w:color="auto"/>
        <w:left w:val="none" w:sz="0" w:space="0" w:color="auto"/>
        <w:bottom w:val="none" w:sz="0" w:space="0" w:color="auto"/>
        <w:right w:val="none" w:sz="0" w:space="0" w:color="auto"/>
      </w:divBdr>
    </w:div>
    <w:div w:id="1402867273">
      <w:bodyDiv w:val="1"/>
      <w:marLeft w:val="0"/>
      <w:marRight w:val="0"/>
      <w:marTop w:val="0"/>
      <w:marBottom w:val="0"/>
      <w:divBdr>
        <w:top w:val="none" w:sz="0" w:space="0" w:color="auto"/>
        <w:left w:val="none" w:sz="0" w:space="0" w:color="auto"/>
        <w:bottom w:val="none" w:sz="0" w:space="0" w:color="auto"/>
        <w:right w:val="none" w:sz="0" w:space="0" w:color="auto"/>
      </w:divBdr>
    </w:div>
    <w:div w:id="1403334979">
      <w:bodyDiv w:val="1"/>
      <w:marLeft w:val="0"/>
      <w:marRight w:val="0"/>
      <w:marTop w:val="0"/>
      <w:marBottom w:val="0"/>
      <w:divBdr>
        <w:top w:val="none" w:sz="0" w:space="0" w:color="auto"/>
        <w:left w:val="none" w:sz="0" w:space="0" w:color="auto"/>
        <w:bottom w:val="none" w:sz="0" w:space="0" w:color="auto"/>
        <w:right w:val="none" w:sz="0" w:space="0" w:color="auto"/>
      </w:divBdr>
      <w:divsChild>
        <w:div w:id="1274052167">
          <w:marLeft w:val="0"/>
          <w:marRight w:val="0"/>
          <w:marTop w:val="0"/>
          <w:marBottom w:val="0"/>
          <w:divBdr>
            <w:top w:val="none" w:sz="0" w:space="0" w:color="auto"/>
            <w:left w:val="none" w:sz="0" w:space="0" w:color="auto"/>
            <w:bottom w:val="none" w:sz="0" w:space="0" w:color="auto"/>
            <w:right w:val="none" w:sz="0" w:space="0" w:color="auto"/>
          </w:divBdr>
          <w:divsChild>
            <w:div w:id="847910252">
              <w:marLeft w:val="0"/>
              <w:marRight w:val="0"/>
              <w:marTop w:val="0"/>
              <w:marBottom w:val="0"/>
              <w:divBdr>
                <w:top w:val="none" w:sz="0" w:space="0" w:color="auto"/>
                <w:left w:val="none" w:sz="0" w:space="0" w:color="auto"/>
                <w:bottom w:val="none" w:sz="0" w:space="0" w:color="auto"/>
                <w:right w:val="none" w:sz="0" w:space="0" w:color="auto"/>
              </w:divBdr>
              <w:divsChild>
                <w:div w:id="1208906488">
                  <w:marLeft w:val="0"/>
                  <w:marRight w:val="0"/>
                  <w:marTop w:val="0"/>
                  <w:marBottom w:val="0"/>
                  <w:divBdr>
                    <w:top w:val="none" w:sz="0" w:space="0" w:color="auto"/>
                    <w:left w:val="none" w:sz="0" w:space="0" w:color="auto"/>
                    <w:bottom w:val="none" w:sz="0" w:space="0" w:color="auto"/>
                    <w:right w:val="none" w:sz="0" w:space="0" w:color="auto"/>
                  </w:divBdr>
                  <w:divsChild>
                    <w:div w:id="1598294992">
                      <w:marLeft w:val="0"/>
                      <w:marRight w:val="0"/>
                      <w:marTop w:val="0"/>
                      <w:marBottom w:val="0"/>
                      <w:divBdr>
                        <w:top w:val="none" w:sz="0" w:space="0" w:color="auto"/>
                        <w:left w:val="none" w:sz="0" w:space="0" w:color="auto"/>
                        <w:bottom w:val="none" w:sz="0" w:space="0" w:color="auto"/>
                        <w:right w:val="none" w:sz="0" w:space="0" w:color="auto"/>
                      </w:divBdr>
                      <w:divsChild>
                        <w:div w:id="2069302410">
                          <w:marLeft w:val="0"/>
                          <w:marRight w:val="0"/>
                          <w:marTop w:val="0"/>
                          <w:marBottom w:val="0"/>
                          <w:divBdr>
                            <w:top w:val="none" w:sz="0" w:space="0" w:color="auto"/>
                            <w:left w:val="none" w:sz="0" w:space="0" w:color="auto"/>
                            <w:bottom w:val="none" w:sz="0" w:space="0" w:color="auto"/>
                            <w:right w:val="none" w:sz="0" w:space="0" w:color="auto"/>
                          </w:divBdr>
                          <w:divsChild>
                            <w:div w:id="1108692724">
                              <w:marLeft w:val="0"/>
                              <w:marRight w:val="0"/>
                              <w:marTop w:val="0"/>
                              <w:marBottom w:val="0"/>
                              <w:divBdr>
                                <w:top w:val="none" w:sz="0" w:space="0" w:color="auto"/>
                                <w:left w:val="none" w:sz="0" w:space="0" w:color="auto"/>
                                <w:bottom w:val="none" w:sz="0" w:space="0" w:color="auto"/>
                                <w:right w:val="none" w:sz="0" w:space="0" w:color="auto"/>
                              </w:divBdr>
                              <w:divsChild>
                                <w:div w:id="13073241">
                                  <w:marLeft w:val="0"/>
                                  <w:marRight w:val="0"/>
                                  <w:marTop w:val="0"/>
                                  <w:marBottom w:val="0"/>
                                  <w:divBdr>
                                    <w:top w:val="none" w:sz="0" w:space="0" w:color="auto"/>
                                    <w:left w:val="none" w:sz="0" w:space="0" w:color="auto"/>
                                    <w:bottom w:val="none" w:sz="0" w:space="0" w:color="auto"/>
                                    <w:right w:val="none" w:sz="0" w:space="0" w:color="auto"/>
                                  </w:divBdr>
                                  <w:divsChild>
                                    <w:div w:id="390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9314">
                          <w:marLeft w:val="0"/>
                          <w:marRight w:val="0"/>
                          <w:marTop w:val="0"/>
                          <w:marBottom w:val="0"/>
                          <w:divBdr>
                            <w:top w:val="none" w:sz="0" w:space="0" w:color="auto"/>
                            <w:left w:val="none" w:sz="0" w:space="0" w:color="auto"/>
                            <w:bottom w:val="none" w:sz="0" w:space="0" w:color="auto"/>
                            <w:right w:val="none" w:sz="0" w:space="0" w:color="auto"/>
                          </w:divBdr>
                          <w:divsChild>
                            <w:div w:id="799493189">
                              <w:marLeft w:val="0"/>
                              <w:marRight w:val="0"/>
                              <w:marTop w:val="0"/>
                              <w:marBottom w:val="0"/>
                              <w:divBdr>
                                <w:top w:val="none" w:sz="0" w:space="0" w:color="auto"/>
                                <w:left w:val="none" w:sz="0" w:space="0" w:color="auto"/>
                                <w:bottom w:val="none" w:sz="0" w:space="0" w:color="auto"/>
                                <w:right w:val="none" w:sz="0" w:space="0" w:color="auto"/>
                              </w:divBdr>
                              <w:divsChild>
                                <w:div w:id="1982732137">
                                  <w:marLeft w:val="0"/>
                                  <w:marRight w:val="0"/>
                                  <w:marTop w:val="0"/>
                                  <w:marBottom w:val="0"/>
                                  <w:divBdr>
                                    <w:top w:val="none" w:sz="0" w:space="0" w:color="auto"/>
                                    <w:left w:val="none" w:sz="0" w:space="0" w:color="auto"/>
                                    <w:bottom w:val="none" w:sz="0" w:space="0" w:color="auto"/>
                                    <w:right w:val="none" w:sz="0" w:space="0" w:color="auto"/>
                                  </w:divBdr>
                                  <w:divsChild>
                                    <w:div w:id="3967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604445">
          <w:marLeft w:val="0"/>
          <w:marRight w:val="0"/>
          <w:marTop w:val="0"/>
          <w:marBottom w:val="0"/>
          <w:divBdr>
            <w:top w:val="none" w:sz="0" w:space="0" w:color="auto"/>
            <w:left w:val="none" w:sz="0" w:space="0" w:color="auto"/>
            <w:bottom w:val="none" w:sz="0" w:space="0" w:color="auto"/>
            <w:right w:val="none" w:sz="0" w:space="0" w:color="auto"/>
          </w:divBdr>
          <w:divsChild>
            <w:div w:id="951479129">
              <w:marLeft w:val="0"/>
              <w:marRight w:val="0"/>
              <w:marTop w:val="0"/>
              <w:marBottom w:val="0"/>
              <w:divBdr>
                <w:top w:val="none" w:sz="0" w:space="0" w:color="auto"/>
                <w:left w:val="none" w:sz="0" w:space="0" w:color="auto"/>
                <w:bottom w:val="none" w:sz="0" w:space="0" w:color="auto"/>
                <w:right w:val="none" w:sz="0" w:space="0" w:color="auto"/>
              </w:divBdr>
              <w:divsChild>
                <w:div w:id="2090148144">
                  <w:marLeft w:val="0"/>
                  <w:marRight w:val="0"/>
                  <w:marTop w:val="0"/>
                  <w:marBottom w:val="0"/>
                  <w:divBdr>
                    <w:top w:val="none" w:sz="0" w:space="0" w:color="auto"/>
                    <w:left w:val="none" w:sz="0" w:space="0" w:color="auto"/>
                    <w:bottom w:val="none" w:sz="0" w:space="0" w:color="auto"/>
                    <w:right w:val="none" w:sz="0" w:space="0" w:color="auto"/>
                  </w:divBdr>
                  <w:divsChild>
                    <w:div w:id="204803206">
                      <w:marLeft w:val="0"/>
                      <w:marRight w:val="0"/>
                      <w:marTop w:val="0"/>
                      <w:marBottom w:val="0"/>
                      <w:divBdr>
                        <w:top w:val="none" w:sz="0" w:space="0" w:color="auto"/>
                        <w:left w:val="none" w:sz="0" w:space="0" w:color="auto"/>
                        <w:bottom w:val="none" w:sz="0" w:space="0" w:color="auto"/>
                        <w:right w:val="none" w:sz="0" w:space="0" w:color="auto"/>
                      </w:divBdr>
                      <w:divsChild>
                        <w:div w:id="1927230631">
                          <w:marLeft w:val="0"/>
                          <w:marRight w:val="0"/>
                          <w:marTop w:val="0"/>
                          <w:marBottom w:val="0"/>
                          <w:divBdr>
                            <w:top w:val="none" w:sz="0" w:space="0" w:color="auto"/>
                            <w:left w:val="none" w:sz="0" w:space="0" w:color="auto"/>
                            <w:bottom w:val="none" w:sz="0" w:space="0" w:color="auto"/>
                            <w:right w:val="none" w:sz="0" w:space="0" w:color="auto"/>
                          </w:divBdr>
                          <w:divsChild>
                            <w:div w:id="1743604144">
                              <w:marLeft w:val="0"/>
                              <w:marRight w:val="0"/>
                              <w:marTop w:val="0"/>
                              <w:marBottom w:val="0"/>
                              <w:divBdr>
                                <w:top w:val="none" w:sz="0" w:space="0" w:color="auto"/>
                                <w:left w:val="none" w:sz="0" w:space="0" w:color="auto"/>
                                <w:bottom w:val="none" w:sz="0" w:space="0" w:color="auto"/>
                                <w:right w:val="none" w:sz="0" w:space="0" w:color="auto"/>
                              </w:divBdr>
                              <w:divsChild>
                                <w:div w:id="593519779">
                                  <w:marLeft w:val="0"/>
                                  <w:marRight w:val="0"/>
                                  <w:marTop w:val="0"/>
                                  <w:marBottom w:val="0"/>
                                  <w:divBdr>
                                    <w:top w:val="none" w:sz="0" w:space="0" w:color="auto"/>
                                    <w:left w:val="none" w:sz="0" w:space="0" w:color="auto"/>
                                    <w:bottom w:val="none" w:sz="0" w:space="0" w:color="auto"/>
                                    <w:right w:val="none" w:sz="0" w:space="0" w:color="auto"/>
                                  </w:divBdr>
                                  <w:divsChild>
                                    <w:div w:id="1835149072">
                                      <w:marLeft w:val="0"/>
                                      <w:marRight w:val="0"/>
                                      <w:marTop w:val="0"/>
                                      <w:marBottom w:val="0"/>
                                      <w:divBdr>
                                        <w:top w:val="none" w:sz="0" w:space="0" w:color="auto"/>
                                        <w:left w:val="none" w:sz="0" w:space="0" w:color="auto"/>
                                        <w:bottom w:val="none" w:sz="0" w:space="0" w:color="auto"/>
                                        <w:right w:val="none" w:sz="0" w:space="0" w:color="auto"/>
                                      </w:divBdr>
                                      <w:divsChild>
                                        <w:div w:id="6114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564303">
          <w:marLeft w:val="0"/>
          <w:marRight w:val="0"/>
          <w:marTop w:val="0"/>
          <w:marBottom w:val="0"/>
          <w:divBdr>
            <w:top w:val="none" w:sz="0" w:space="0" w:color="auto"/>
            <w:left w:val="none" w:sz="0" w:space="0" w:color="auto"/>
            <w:bottom w:val="none" w:sz="0" w:space="0" w:color="auto"/>
            <w:right w:val="none" w:sz="0" w:space="0" w:color="auto"/>
          </w:divBdr>
          <w:divsChild>
            <w:div w:id="948202416">
              <w:marLeft w:val="0"/>
              <w:marRight w:val="0"/>
              <w:marTop w:val="0"/>
              <w:marBottom w:val="0"/>
              <w:divBdr>
                <w:top w:val="none" w:sz="0" w:space="0" w:color="auto"/>
                <w:left w:val="none" w:sz="0" w:space="0" w:color="auto"/>
                <w:bottom w:val="none" w:sz="0" w:space="0" w:color="auto"/>
                <w:right w:val="none" w:sz="0" w:space="0" w:color="auto"/>
              </w:divBdr>
              <w:divsChild>
                <w:div w:id="1993408751">
                  <w:marLeft w:val="0"/>
                  <w:marRight w:val="0"/>
                  <w:marTop w:val="0"/>
                  <w:marBottom w:val="0"/>
                  <w:divBdr>
                    <w:top w:val="none" w:sz="0" w:space="0" w:color="auto"/>
                    <w:left w:val="none" w:sz="0" w:space="0" w:color="auto"/>
                    <w:bottom w:val="none" w:sz="0" w:space="0" w:color="auto"/>
                    <w:right w:val="none" w:sz="0" w:space="0" w:color="auto"/>
                  </w:divBdr>
                  <w:divsChild>
                    <w:div w:id="687217355">
                      <w:marLeft w:val="0"/>
                      <w:marRight w:val="0"/>
                      <w:marTop w:val="0"/>
                      <w:marBottom w:val="0"/>
                      <w:divBdr>
                        <w:top w:val="none" w:sz="0" w:space="0" w:color="auto"/>
                        <w:left w:val="none" w:sz="0" w:space="0" w:color="auto"/>
                        <w:bottom w:val="none" w:sz="0" w:space="0" w:color="auto"/>
                        <w:right w:val="none" w:sz="0" w:space="0" w:color="auto"/>
                      </w:divBdr>
                      <w:divsChild>
                        <w:div w:id="1922518830">
                          <w:marLeft w:val="0"/>
                          <w:marRight w:val="0"/>
                          <w:marTop w:val="0"/>
                          <w:marBottom w:val="0"/>
                          <w:divBdr>
                            <w:top w:val="none" w:sz="0" w:space="0" w:color="auto"/>
                            <w:left w:val="none" w:sz="0" w:space="0" w:color="auto"/>
                            <w:bottom w:val="none" w:sz="0" w:space="0" w:color="auto"/>
                            <w:right w:val="none" w:sz="0" w:space="0" w:color="auto"/>
                          </w:divBdr>
                          <w:divsChild>
                            <w:div w:id="977876131">
                              <w:marLeft w:val="0"/>
                              <w:marRight w:val="0"/>
                              <w:marTop w:val="0"/>
                              <w:marBottom w:val="0"/>
                              <w:divBdr>
                                <w:top w:val="none" w:sz="0" w:space="0" w:color="auto"/>
                                <w:left w:val="none" w:sz="0" w:space="0" w:color="auto"/>
                                <w:bottom w:val="none" w:sz="0" w:space="0" w:color="auto"/>
                                <w:right w:val="none" w:sz="0" w:space="0" w:color="auto"/>
                              </w:divBdr>
                              <w:divsChild>
                                <w:div w:id="16934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615">
                  <w:marLeft w:val="0"/>
                  <w:marRight w:val="0"/>
                  <w:marTop w:val="0"/>
                  <w:marBottom w:val="0"/>
                  <w:divBdr>
                    <w:top w:val="none" w:sz="0" w:space="0" w:color="auto"/>
                    <w:left w:val="none" w:sz="0" w:space="0" w:color="auto"/>
                    <w:bottom w:val="none" w:sz="0" w:space="0" w:color="auto"/>
                    <w:right w:val="none" w:sz="0" w:space="0" w:color="auto"/>
                  </w:divBdr>
                  <w:divsChild>
                    <w:div w:id="185101653">
                      <w:marLeft w:val="0"/>
                      <w:marRight w:val="0"/>
                      <w:marTop w:val="0"/>
                      <w:marBottom w:val="0"/>
                      <w:divBdr>
                        <w:top w:val="none" w:sz="0" w:space="0" w:color="auto"/>
                        <w:left w:val="none" w:sz="0" w:space="0" w:color="auto"/>
                        <w:bottom w:val="none" w:sz="0" w:space="0" w:color="auto"/>
                        <w:right w:val="none" w:sz="0" w:space="0" w:color="auto"/>
                      </w:divBdr>
                      <w:divsChild>
                        <w:div w:id="545534720">
                          <w:marLeft w:val="0"/>
                          <w:marRight w:val="0"/>
                          <w:marTop w:val="0"/>
                          <w:marBottom w:val="0"/>
                          <w:divBdr>
                            <w:top w:val="none" w:sz="0" w:space="0" w:color="auto"/>
                            <w:left w:val="none" w:sz="0" w:space="0" w:color="auto"/>
                            <w:bottom w:val="none" w:sz="0" w:space="0" w:color="auto"/>
                            <w:right w:val="none" w:sz="0" w:space="0" w:color="auto"/>
                          </w:divBdr>
                          <w:divsChild>
                            <w:div w:id="1134131222">
                              <w:marLeft w:val="0"/>
                              <w:marRight w:val="0"/>
                              <w:marTop w:val="0"/>
                              <w:marBottom w:val="0"/>
                              <w:divBdr>
                                <w:top w:val="none" w:sz="0" w:space="0" w:color="auto"/>
                                <w:left w:val="none" w:sz="0" w:space="0" w:color="auto"/>
                                <w:bottom w:val="none" w:sz="0" w:space="0" w:color="auto"/>
                                <w:right w:val="none" w:sz="0" w:space="0" w:color="auto"/>
                              </w:divBdr>
                              <w:divsChild>
                                <w:div w:id="1869491762">
                                  <w:marLeft w:val="0"/>
                                  <w:marRight w:val="0"/>
                                  <w:marTop w:val="0"/>
                                  <w:marBottom w:val="0"/>
                                  <w:divBdr>
                                    <w:top w:val="none" w:sz="0" w:space="0" w:color="auto"/>
                                    <w:left w:val="none" w:sz="0" w:space="0" w:color="auto"/>
                                    <w:bottom w:val="none" w:sz="0" w:space="0" w:color="auto"/>
                                    <w:right w:val="none" w:sz="0" w:space="0" w:color="auto"/>
                                  </w:divBdr>
                                  <w:divsChild>
                                    <w:div w:id="15778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001533">
      <w:bodyDiv w:val="1"/>
      <w:marLeft w:val="0"/>
      <w:marRight w:val="0"/>
      <w:marTop w:val="0"/>
      <w:marBottom w:val="0"/>
      <w:divBdr>
        <w:top w:val="none" w:sz="0" w:space="0" w:color="auto"/>
        <w:left w:val="none" w:sz="0" w:space="0" w:color="auto"/>
        <w:bottom w:val="none" w:sz="0" w:space="0" w:color="auto"/>
        <w:right w:val="none" w:sz="0" w:space="0" w:color="auto"/>
      </w:divBdr>
      <w:divsChild>
        <w:div w:id="1412312263">
          <w:marLeft w:val="547"/>
          <w:marRight w:val="0"/>
          <w:marTop w:val="0"/>
          <w:marBottom w:val="0"/>
          <w:divBdr>
            <w:top w:val="none" w:sz="0" w:space="0" w:color="auto"/>
            <w:left w:val="none" w:sz="0" w:space="0" w:color="auto"/>
            <w:bottom w:val="none" w:sz="0" w:space="0" w:color="auto"/>
            <w:right w:val="none" w:sz="0" w:space="0" w:color="auto"/>
          </w:divBdr>
        </w:div>
      </w:divsChild>
    </w:div>
    <w:div w:id="1512144174">
      <w:bodyDiv w:val="1"/>
      <w:marLeft w:val="0"/>
      <w:marRight w:val="0"/>
      <w:marTop w:val="0"/>
      <w:marBottom w:val="0"/>
      <w:divBdr>
        <w:top w:val="none" w:sz="0" w:space="0" w:color="auto"/>
        <w:left w:val="none" w:sz="0" w:space="0" w:color="auto"/>
        <w:bottom w:val="none" w:sz="0" w:space="0" w:color="auto"/>
        <w:right w:val="none" w:sz="0" w:space="0" w:color="auto"/>
      </w:divBdr>
    </w:div>
    <w:div w:id="1561749797">
      <w:bodyDiv w:val="1"/>
      <w:marLeft w:val="0"/>
      <w:marRight w:val="0"/>
      <w:marTop w:val="0"/>
      <w:marBottom w:val="0"/>
      <w:divBdr>
        <w:top w:val="none" w:sz="0" w:space="0" w:color="auto"/>
        <w:left w:val="none" w:sz="0" w:space="0" w:color="auto"/>
        <w:bottom w:val="none" w:sz="0" w:space="0" w:color="auto"/>
        <w:right w:val="none" w:sz="0" w:space="0" w:color="auto"/>
      </w:divBdr>
    </w:div>
    <w:div w:id="1595476515">
      <w:bodyDiv w:val="1"/>
      <w:marLeft w:val="0"/>
      <w:marRight w:val="0"/>
      <w:marTop w:val="0"/>
      <w:marBottom w:val="0"/>
      <w:divBdr>
        <w:top w:val="none" w:sz="0" w:space="0" w:color="auto"/>
        <w:left w:val="none" w:sz="0" w:space="0" w:color="auto"/>
        <w:bottom w:val="none" w:sz="0" w:space="0" w:color="auto"/>
        <w:right w:val="none" w:sz="0" w:space="0" w:color="auto"/>
      </w:divBdr>
    </w:div>
    <w:div w:id="1595674761">
      <w:bodyDiv w:val="1"/>
      <w:marLeft w:val="0"/>
      <w:marRight w:val="0"/>
      <w:marTop w:val="0"/>
      <w:marBottom w:val="0"/>
      <w:divBdr>
        <w:top w:val="none" w:sz="0" w:space="0" w:color="auto"/>
        <w:left w:val="none" w:sz="0" w:space="0" w:color="auto"/>
        <w:bottom w:val="none" w:sz="0" w:space="0" w:color="auto"/>
        <w:right w:val="none" w:sz="0" w:space="0" w:color="auto"/>
      </w:divBdr>
    </w:div>
    <w:div w:id="1627736044">
      <w:bodyDiv w:val="1"/>
      <w:marLeft w:val="0"/>
      <w:marRight w:val="0"/>
      <w:marTop w:val="0"/>
      <w:marBottom w:val="0"/>
      <w:divBdr>
        <w:top w:val="none" w:sz="0" w:space="0" w:color="auto"/>
        <w:left w:val="none" w:sz="0" w:space="0" w:color="auto"/>
        <w:bottom w:val="none" w:sz="0" w:space="0" w:color="auto"/>
        <w:right w:val="none" w:sz="0" w:space="0" w:color="auto"/>
      </w:divBdr>
    </w:div>
    <w:div w:id="1638684418">
      <w:bodyDiv w:val="1"/>
      <w:marLeft w:val="0"/>
      <w:marRight w:val="0"/>
      <w:marTop w:val="0"/>
      <w:marBottom w:val="0"/>
      <w:divBdr>
        <w:top w:val="none" w:sz="0" w:space="0" w:color="auto"/>
        <w:left w:val="none" w:sz="0" w:space="0" w:color="auto"/>
        <w:bottom w:val="none" w:sz="0" w:space="0" w:color="auto"/>
        <w:right w:val="none" w:sz="0" w:space="0" w:color="auto"/>
      </w:divBdr>
    </w:div>
    <w:div w:id="1667781975">
      <w:bodyDiv w:val="1"/>
      <w:marLeft w:val="0"/>
      <w:marRight w:val="0"/>
      <w:marTop w:val="0"/>
      <w:marBottom w:val="0"/>
      <w:divBdr>
        <w:top w:val="none" w:sz="0" w:space="0" w:color="auto"/>
        <w:left w:val="none" w:sz="0" w:space="0" w:color="auto"/>
        <w:bottom w:val="none" w:sz="0" w:space="0" w:color="auto"/>
        <w:right w:val="none" w:sz="0" w:space="0" w:color="auto"/>
      </w:divBdr>
    </w:div>
    <w:div w:id="1682851111">
      <w:bodyDiv w:val="1"/>
      <w:marLeft w:val="0"/>
      <w:marRight w:val="0"/>
      <w:marTop w:val="0"/>
      <w:marBottom w:val="0"/>
      <w:divBdr>
        <w:top w:val="none" w:sz="0" w:space="0" w:color="auto"/>
        <w:left w:val="none" w:sz="0" w:space="0" w:color="auto"/>
        <w:bottom w:val="none" w:sz="0" w:space="0" w:color="auto"/>
        <w:right w:val="none" w:sz="0" w:space="0" w:color="auto"/>
      </w:divBdr>
    </w:div>
    <w:div w:id="1712921170">
      <w:bodyDiv w:val="1"/>
      <w:marLeft w:val="0"/>
      <w:marRight w:val="0"/>
      <w:marTop w:val="0"/>
      <w:marBottom w:val="0"/>
      <w:divBdr>
        <w:top w:val="none" w:sz="0" w:space="0" w:color="auto"/>
        <w:left w:val="none" w:sz="0" w:space="0" w:color="auto"/>
        <w:bottom w:val="none" w:sz="0" w:space="0" w:color="auto"/>
        <w:right w:val="none" w:sz="0" w:space="0" w:color="auto"/>
      </w:divBdr>
    </w:div>
    <w:div w:id="1740976767">
      <w:bodyDiv w:val="1"/>
      <w:marLeft w:val="0"/>
      <w:marRight w:val="0"/>
      <w:marTop w:val="0"/>
      <w:marBottom w:val="0"/>
      <w:divBdr>
        <w:top w:val="none" w:sz="0" w:space="0" w:color="auto"/>
        <w:left w:val="none" w:sz="0" w:space="0" w:color="auto"/>
        <w:bottom w:val="none" w:sz="0" w:space="0" w:color="auto"/>
        <w:right w:val="none" w:sz="0" w:space="0" w:color="auto"/>
      </w:divBdr>
    </w:div>
    <w:div w:id="1829789866">
      <w:bodyDiv w:val="1"/>
      <w:marLeft w:val="0"/>
      <w:marRight w:val="0"/>
      <w:marTop w:val="0"/>
      <w:marBottom w:val="0"/>
      <w:divBdr>
        <w:top w:val="none" w:sz="0" w:space="0" w:color="auto"/>
        <w:left w:val="none" w:sz="0" w:space="0" w:color="auto"/>
        <w:bottom w:val="none" w:sz="0" w:space="0" w:color="auto"/>
        <w:right w:val="none" w:sz="0" w:space="0" w:color="auto"/>
      </w:divBdr>
    </w:div>
    <w:div w:id="2054114497">
      <w:bodyDiv w:val="1"/>
      <w:marLeft w:val="0"/>
      <w:marRight w:val="0"/>
      <w:marTop w:val="0"/>
      <w:marBottom w:val="0"/>
      <w:divBdr>
        <w:top w:val="none" w:sz="0" w:space="0" w:color="auto"/>
        <w:left w:val="none" w:sz="0" w:space="0" w:color="auto"/>
        <w:bottom w:val="none" w:sz="0" w:space="0" w:color="auto"/>
        <w:right w:val="none" w:sz="0" w:space="0" w:color="auto"/>
      </w:divBdr>
    </w:div>
    <w:div w:id="2057970656">
      <w:bodyDiv w:val="1"/>
      <w:marLeft w:val="0"/>
      <w:marRight w:val="0"/>
      <w:marTop w:val="0"/>
      <w:marBottom w:val="0"/>
      <w:divBdr>
        <w:top w:val="none" w:sz="0" w:space="0" w:color="auto"/>
        <w:left w:val="none" w:sz="0" w:space="0" w:color="auto"/>
        <w:bottom w:val="none" w:sz="0" w:space="0" w:color="auto"/>
        <w:right w:val="none" w:sz="0" w:space="0" w:color="auto"/>
      </w:divBdr>
      <w:divsChild>
        <w:div w:id="1060707924">
          <w:marLeft w:val="0"/>
          <w:marRight w:val="0"/>
          <w:marTop w:val="0"/>
          <w:marBottom w:val="0"/>
          <w:divBdr>
            <w:top w:val="none" w:sz="0" w:space="0" w:color="auto"/>
            <w:left w:val="none" w:sz="0" w:space="0" w:color="auto"/>
            <w:bottom w:val="none" w:sz="0" w:space="0" w:color="auto"/>
            <w:right w:val="none" w:sz="0" w:space="0" w:color="auto"/>
          </w:divBdr>
        </w:div>
      </w:divsChild>
    </w:div>
    <w:div w:id="2064520400">
      <w:bodyDiv w:val="1"/>
      <w:marLeft w:val="0"/>
      <w:marRight w:val="0"/>
      <w:marTop w:val="0"/>
      <w:marBottom w:val="0"/>
      <w:divBdr>
        <w:top w:val="none" w:sz="0" w:space="0" w:color="auto"/>
        <w:left w:val="none" w:sz="0" w:space="0" w:color="auto"/>
        <w:bottom w:val="none" w:sz="0" w:space="0" w:color="auto"/>
        <w:right w:val="none" w:sz="0" w:space="0" w:color="auto"/>
      </w:divBdr>
      <w:divsChild>
        <w:div w:id="1904173012">
          <w:marLeft w:val="0"/>
          <w:marRight w:val="0"/>
          <w:marTop w:val="0"/>
          <w:marBottom w:val="0"/>
          <w:divBdr>
            <w:top w:val="none" w:sz="0" w:space="0" w:color="auto"/>
            <w:left w:val="none" w:sz="0" w:space="0" w:color="auto"/>
            <w:bottom w:val="none" w:sz="0" w:space="0" w:color="auto"/>
            <w:right w:val="none" w:sz="0" w:space="0" w:color="auto"/>
          </w:divBdr>
        </w:div>
      </w:divsChild>
    </w:div>
    <w:div w:id="2113695574">
      <w:bodyDiv w:val="1"/>
      <w:marLeft w:val="0"/>
      <w:marRight w:val="0"/>
      <w:marTop w:val="0"/>
      <w:marBottom w:val="0"/>
      <w:divBdr>
        <w:top w:val="none" w:sz="0" w:space="0" w:color="auto"/>
        <w:left w:val="none" w:sz="0" w:space="0" w:color="auto"/>
        <w:bottom w:val="none" w:sz="0" w:space="0" w:color="auto"/>
        <w:right w:val="none" w:sz="0" w:space="0" w:color="auto"/>
      </w:divBdr>
    </w:div>
    <w:div w:id="21140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97/00041433-199608000-00007" TargetMode="External"/><Relationship Id="rId21" Type="http://schemas.openxmlformats.org/officeDocument/2006/relationships/hyperlink" Target="https://pubmed.ncbi.nlm.nih.gov/25810456/" TargetMode="External"/><Relationship Id="rId42" Type="http://schemas.openxmlformats.org/officeDocument/2006/relationships/hyperlink" Target="https://pubmed.ncbi.nlm.nih.gov/30639555/" TargetMode="External"/><Relationship Id="rId63" Type="http://schemas.openxmlformats.org/officeDocument/2006/relationships/hyperlink" Target="https://pubmed.ncbi.nlm.nih.gov/20397826/" TargetMode="External"/><Relationship Id="rId84" Type="http://schemas.openxmlformats.org/officeDocument/2006/relationships/hyperlink" Target="https://pubmed.ncbi.nlm.nih.gov/38097375/" TargetMode="External"/><Relationship Id="rId138" Type="http://schemas.openxmlformats.org/officeDocument/2006/relationships/hyperlink" Target="https://doi.org/10.1038/s41569-021-00647-9" TargetMode="External"/><Relationship Id="rId159" Type="http://schemas.openxmlformats.org/officeDocument/2006/relationships/fontTable" Target="fontTable.xml"/><Relationship Id="rId107" Type="http://schemas.openxmlformats.org/officeDocument/2006/relationships/hyperlink" Target="https://doi.org/10.3390/biomedicines11030809" TargetMode="External"/><Relationship Id="rId11" Type="http://schemas.openxmlformats.org/officeDocument/2006/relationships/hyperlink" Target="https://pubmed.ncbi.nlm.nih.gov/36979789/" TargetMode="External"/><Relationship Id="rId32" Type="http://schemas.openxmlformats.org/officeDocument/2006/relationships/hyperlink" Target="https://www.scielo.br/j/rbme/a/pXkfbdcwgNyR7sjjQ5BvtxN/?lang=en" TargetMode="External"/><Relationship Id="rId53" Type="http://schemas.openxmlformats.org/officeDocument/2006/relationships/hyperlink" Target="https://pubmed.ncbi.nlm.nih.gov/34981790/" TargetMode="External"/><Relationship Id="rId74" Type="http://schemas.openxmlformats.org/officeDocument/2006/relationships/hyperlink" Target="https://pubmed.ncbi.nlm.nih.gov/20397826/" TargetMode="External"/><Relationship Id="rId128" Type="http://schemas.openxmlformats.org/officeDocument/2006/relationships/hyperlink" Target="https://doi.org/10.1161/CIRCULATIONAHA.118.032531" TargetMode="External"/><Relationship Id="rId149" Type="http://schemas.openxmlformats.org/officeDocument/2006/relationships/hyperlink" Target="https://doi.org/10.1093/eurheartj/ehab600" TargetMode="External"/><Relationship Id="rId5" Type="http://schemas.openxmlformats.org/officeDocument/2006/relationships/webSettings" Target="webSettings.xml"/><Relationship Id="rId95" Type="http://schemas.openxmlformats.org/officeDocument/2006/relationships/hyperlink" Target="https://pubmed.ncbi.nlm.nih.gov/8883496/" TargetMode="External"/><Relationship Id="rId160" Type="http://schemas.openxmlformats.org/officeDocument/2006/relationships/theme" Target="theme/theme1.xml"/><Relationship Id="rId22" Type="http://schemas.openxmlformats.org/officeDocument/2006/relationships/image" Target="media/image1.png"/><Relationship Id="rId43" Type="http://schemas.openxmlformats.org/officeDocument/2006/relationships/hyperlink" Target="https://pubmed.ncbi.nlm.nih.gov/36979789/" TargetMode="External"/><Relationship Id="rId64" Type="http://schemas.openxmlformats.org/officeDocument/2006/relationships/hyperlink" Target="https://pubmed.ncbi.nlm.nih.gov/29174025/" TargetMode="External"/><Relationship Id="rId118" Type="http://schemas.openxmlformats.org/officeDocument/2006/relationships/hyperlink" Target="https://doi.org/10.1016/s0022-3476(05)81686-5" TargetMode="External"/><Relationship Id="rId139" Type="http://schemas.openxmlformats.org/officeDocument/2006/relationships/hyperlink" Target="https://doi.org/10.1002/dmrr.3134" TargetMode="External"/><Relationship Id="rId80" Type="http://schemas.openxmlformats.org/officeDocument/2006/relationships/hyperlink" Target="https://pubmed.ncbi.nlm.nih.gov/36979789/" TargetMode="External"/><Relationship Id="rId85" Type="http://schemas.openxmlformats.org/officeDocument/2006/relationships/hyperlink" Target="https://pubmed.ncbi.nlm.nih.gov/36979789/" TargetMode="External"/><Relationship Id="rId150" Type="http://schemas.openxmlformats.org/officeDocument/2006/relationships/hyperlink" Target="https://doi.org/10.1161/CIR.0000000000000618" TargetMode="External"/><Relationship Id="rId155" Type="http://schemas.openxmlformats.org/officeDocument/2006/relationships/footer" Target="footer1.xml"/><Relationship Id="rId12" Type="http://schemas.openxmlformats.org/officeDocument/2006/relationships/hyperlink" Target="https://pubmed.ncbi.nlm.nih.gov/36979789/" TargetMode="External"/><Relationship Id="rId17" Type="http://schemas.openxmlformats.org/officeDocument/2006/relationships/hyperlink" Target="https://pmc.ncbi.nlm.nih.gov/articles/PMC8996670/" TargetMode="External"/><Relationship Id="rId33" Type="http://schemas.openxmlformats.org/officeDocument/2006/relationships/hyperlink" Target="https://pubmed.ncbi.nlm.nih.gov/33942057/" TargetMode="External"/><Relationship Id="rId38" Type="http://schemas.openxmlformats.org/officeDocument/2006/relationships/hyperlink" Target="https://pubmed.ncbi.nlm.nih.gov/34978528/" TargetMode="External"/><Relationship Id="rId59" Type="http://schemas.openxmlformats.org/officeDocument/2006/relationships/hyperlink" Target="https://ijponline.biomedcentral.com/articles/10.1186/s13052-022-01250-5" TargetMode="External"/><Relationship Id="rId103" Type="http://schemas.openxmlformats.org/officeDocument/2006/relationships/hyperlink" Target="https://pubmed.ncbi.nlm.nih.gov/16709475/" TargetMode="External"/><Relationship Id="rId108" Type="http://schemas.openxmlformats.org/officeDocument/2006/relationships/hyperlink" Target="https://doi.org/10.4067/s0034-98872018001001112" TargetMode="External"/><Relationship Id="rId124" Type="http://schemas.openxmlformats.org/officeDocument/2006/relationships/hyperlink" Target="https://doi.org/10.1249/mss.0000000000003008" TargetMode="External"/><Relationship Id="rId129" Type="http://schemas.openxmlformats.org/officeDocument/2006/relationships/hyperlink" Target="https://doi.org/10.3390/biomedicines9091078" TargetMode="External"/><Relationship Id="rId54" Type="http://schemas.openxmlformats.org/officeDocument/2006/relationships/hyperlink" Target="https://pubmed.ncbi.nlm.nih.gov/16709475/" TargetMode="External"/><Relationship Id="rId70" Type="http://schemas.openxmlformats.org/officeDocument/2006/relationships/hyperlink" Target="https://pubmed.ncbi.nlm.nih.gov/20397826/" TargetMode="External"/><Relationship Id="rId75" Type="http://schemas.openxmlformats.org/officeDocument/2006/relationships/hyperlink" Target="https://pubmed.ncbi.nlm.nih.gov/30290407/" TargetMode="External"/><Relationship Id="rId91" Type="http://schemas.openxmlformats.org/officeDocument/2006/relationships/hyperlink" Target="https://pubmed.ncbi.nlm.nih.gov/34572264/" TargetMode="External"/><Relationship Id="rId96" Type="http://schemas.openxmlformats.org/officeDocument/2006/relationships/hyperlink" Target="https://pubmed.ncbi.nlm.nih.gov/34508626/" TargetMode="External"/><Relationship Id="rId140" Type="http://schemas.openxmlformats.org/officeDocument/2006/relationships/hyperlink" Target="https://doi.org/10.1093/eurheartj/ehv089" TargetMode="External"/><Relationship Id="rId145" Type="http://schemas.openxmlformats.org/officeDocument/2006/relationships/hyperlink" Target="https://doi.org/10.1161/CIR.000000000000035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ubmed.ncbi.nlm.nih.gov/30706683/" TargetMode="External"/><Relationship Id="rId28" Type="http://schemas.openxmlformats.org/officeDocument/2006/relationships/hyperlink" Target="https://pubmed.ncbi.nlm.nih.gov/35373933/" TargetMode="External"/><Relationship Id="rId49" Type="http://schemas.openxmlformats.org/officeDocument/2006/relationships/hyperlink" Target="https://pubmed.ncbi.nlm.nih.gov/36979789/" TargetMode="External"/><Relationship Id="rId114" Type="http://schemas.openxmlformats.org/officeDocument/2006/relationships/hyperlink" Target="https://doi.org/10.1161/hc4601.099486" TargetMode="External"/><Relationship Id="rId119" Type="http://schemas.openxmlformats.org/officeDocument/2006/relationships/hyperlink" Target="https://doi.org/10.1586/erc.09.170" TargetMode="External"/><Relationship Id="rId44" Type="http://schemas.openxmlformats.org/officeDocument/2006/relationships/hyperlink" Target="https://pubmed.ncbi.nlm.nih.gov/35373933/" TargetMode="External"/><Relationship Id="rId60" Type="http://schemas.openxmlformats.org/officeDocument/2006/relationships/hyperlink" Target="https://pubmed.ncbi.nlm.nih.gov/16709475/" TargetMode="External"/><Relationship Id="rId65" Type="http://schemas.openxmlformats.org/officeDocument/2006/relationships/hyperlink" Target="https://pubmed.ncbi.nlm.nih.gov/20397826/" TargetMode="External"/><Relationship Id="rId81" Type="http://schemas.openxmlformats.org/officeDocument/2006/relationships/hyperlink" Target="https://pubmed.ncbi.nlm.nih.gov/21696080/" TargetMode="External"/><Relationship Id="rId86" Type="http://schemas.openxmlformats.org/officeDocument/2006/relationships/hyperlink" Target="https://pubmed.ncbi.nlm.nih.gov/35328769/" TargetMode="External"/><Relationship Id="rId130" Type="http://schemas.openxmlformats.org/officeDocument/2006/relationships/hyperlink" Target="https://doi.org/10.5223/pghn.2014.17.2.85" TargetMode="External"/><Relationship Id="rId135" Type="http://schemas.openxmlformats.org/officeDocument/2006/relationships/hyperlink" Target="https://doi.org/10.1371/journal.pone.0256448" TargetMode="External"/><Relationship Id="rId151" Type="http://schemas.openxmlformats.org/officeDocument/2006/relationships/hyperlink" Target="https://doi.org/10.1161/CIRCGENETICS.116.001604" TargetMode="External"/><Relationship Id="rId156" Type="http://schemas.openxmlformats.org/officeDocument/2006/relationships/footer" Target="footer2.xml"/><Relationship Id="rId13" Type="http://schemas.openxmlformats.org/officeDocument/2006/relationships/hyperlink" Target="https://pubmed.ncbi.nlm.nih.gov/29174025/" TargetMode="External"/><Relationship Id="rId18" Type="http://schemas.openxmlformats.org/officeDocument/2006/relationships/hyperlink" Target="https://pubmed.ncbi.nlm.nih.gov/34978528/" TargetMode="External"/><Relationship Id="rId39" Type="http://schemas.openxmlformats.org/officeDocument/2006/relationships/hyperlink" Target="https://pubmed.ncbi.nlm.nih.gov/36979789/" TargetMode="External"/><Relationship Id="rId109" Type="http://schemas.openxmlformats.org/officeDocument/2006/relationships/hyperlink" Target="https://doi.org/10.1056/nejmoa2109191" TargetMode="External"/><Relationship Id="rId34" Type="http://schemas.openxmlformats.org/officeDocument/2006/relationships/hyperlink" Target="https://pubmed.ncbi.nlm.nih.gov/36979789/" TargetMode="External"/><Relationship Id="rId50" Type="http://schemas.openxmlformats.org/officeDocument/2006/relationships/hyperlink" Target="https://pubmed.ncbi.nlm.nih.gov/30724974/" TargetMode="External"/><Relationship Id="rId55" Type="http://schemas.openxmlformats.org/officeDocument/2006/relationships/hyperlink" Target="https://www.ahajournals.org/doi/10.1161/CIRCULATIONAHA.118.032531" TargetMode="External"/><Relationship Id="rId76" Type="http://schemas.openxmlformats.org/officeDocument/2006/relationships/hyperlink" Target="https://pubmed.ncbi.nlm.nih.gov/36979789/" TargetMode="External"/><Relationship Id="rId97" Type="http://schemas.openxmlformats.org/officeDocument/2006/relationships/hyperlink" Target="https://pubmed.ncbi.nlm.nih.gov/16709475/" TargetMode="External"/><Relationship Id="rId104" Type="http://schemas.openxmlformats.org/officeDocument/2006/relationships/hyperlink" Target="https://pubmed.ncbi.nlm.nih.gov/7859485/" TargetMode="External"/><Relationship Id="rId120" Type="http://schemas.openxmlformats.org/officeDocument/2006/relationships/hyperlink" Target="https://doi.org/10.1159/000369235" TargetMode="External"/><Relationship Id="rId125" Type="http://schemas.openxmlformats.org/officeDocument/2006/relationships/hyperlink" Target="https://doi.org/10.4330/wjc.v6.i7.671" TargetMode="External"/><Relationship Id="rId141" Type="http://schemas.openxmlformats.org/officeDocument/2006/relationships/hyperlink" Target="https://doi.org/10.1016/j.jpeds.2021.01.053" TargetMode="External"/><Relationship Id="rId146" Type="http://schemas.openxmlformats.org/officeDocument/2006/relationships/hyperlink" Target="https://doi.org/10.1001/jamacardio.2022.0987" TargetMode="External"/><Relationship Id="rId7" Type="http://schemas.openxmlformats.org/officeDocument/2006/relationships/endnotes" Target="endnotes.xml"/><Relationship Id="rId71" Type="http://schemas.openxmlformats.org/officeDocument/2006/relationships/hyperlink" Target="https://pubmed.ncbi.nlm.nih.gov/15075702/" TargetMode="External"/><Relationship Id="rId92" Type="http://schemas.openxmlformats.org/officeDocument/2006/relationships/hyperlink" Target="https://pubmed.ncbi.nlm.nih.gov/27881102/" TargetMode="External"/><Relationship Id="rId2" Type="http://schemas.openxmlformats.org/officeDocument/2006/relationships/numbering" Target="numbering.xml"/><Relationship Id="rId29" Type="http://schemas.openxmlformats.org/officeDocument/2006/relationships/hyperlink" Target="https://pubmed.ncbi.nlm.nih.gov/33516680/" TargetMode="External"/><Relationship Id="rId24" Type="http://schemas.openxmlformats.org/officeDocument/2006/relationships/hyperlink" Target="https://pubmed.ncbi.nlm.nih.gov/25810456/" TargetMode="External"/><Relationship Id="rId40" Type="http://schemas.openxmlformats.org/officeDocument/2006/relationships/hyperlink" Target="https://pubmed.ncbi.nlm.nih.gov/30724974/" TargetMode="External"/><Relationship Id="rId45" Type="http://schemas.openxmlformats.org/officeDocument/2006/relationships/hyperlink" Target="https://pubmed.ncbi.nlm.nih.gov/30639555/" TargetMode="External"/><Relationship Id="rId66" Type="http://schemas.openxmlformats.org/officeDocument/2006/relationships/hyperlink" Target="https://repository.poltekkes-kaltim.ac.id/1157/1/Pediatric%20Nutrition%20in%20Practice,%202nd%20Edition.pdf" TargetMode="External"/><Relationship Id="rId87" Type="http://schemas.openxmlformats.org/officeDocument/2006/relationships/hyperlink" Target="https://pubmed.ncbi.nlm.nih.gov/35328769/" TargetMode="External"/><Relationship Id="rId110" Type="http://schemas.openxmlformats.org/officeDocument/2006/relationships/hyperlink" Target="https://doi.org/10.1016/j.bbalip.2021.159063" TargetMode="External"/><Relationship Id="rId115" Type="http://schemas.openxmlformats.org/officeDocument/2006/relationships/hyperlink" Target="https://dx.doi.org/10.2174/1567270010704030229" TargetMode="External"/><Relationship Id="rId131" Type="http://schemas.openxmlformats.org/officeDocument/2006/relationships/hyperlink" Target="https://doi.org/10.1542/peds.2022-057957" TargetMode="External"/><Relationship Id="rId136" Type="http://schemas.openxmlformats.org/officeDocument/2006/relationships/hyperlink" Target="https://doi.org/10.3390/ijms21186612" TargetMode="External"/><Relationship Id="rId157" Type="http://schemas.openxmlformats.org/officeDocument/2006/relationships/header" Target="header3.xml"/><Relationship Id="rId61" Type="http://schemas.openxmlformats.org/officeDocument/2006/relationships/hyperlink" Target="https://pubmed.ncbi.nlm.nih.gov/11733400/" TargetMode="External"/><Relationship Id="rId82" Type="http://schemas.openxmlformats.org/officeDocument/2006/relationships/hyperlink" Target="https://publications.aap.org/pediatrics/article/150/6/e2022057957/189891/Cardiovascular-Risk-Assessment-and-Management-for" TargetMode="External"/><Relationship Id="rId152" Type="http://schemas.openxmlformats.org/officeDocument/2006/relationships/hyperlink" Target="https://doi.org/10.1016/j.pedhc.2019.02.009" TargetMode="External"/><Relationship Id="rId19" Type="http://schemas.openxmlformats.org/officeDocument/2006/relationships/hyperlink" Target="https://pubmed.ncbi.nlm.nih.gov/34987194/" TargetMode="External"/><Relationship Id="rId14" Type="http://schemas.openxmlformats.org/officeDocument/2006/relationships/hyperlink" Target="https://pubmed.ncbi.nlm.nih.gov/36979789/" TargetMode="External"/><Relationship Id="rId30" Type="http://schemas.openxmlformats.org/officeDocument/2006/relationships/hyperlink" Target="https://pubmed.ncbi.nlm.nih.gov/36979789/" TargetMode="External"/><Relationship Id="rId35" Type="http://schemas.openxmlformats.org/officeDocument/2006/relationships/hyperlink" Target="https://pubmed.ncbi.nlm.nih.gov/34978528/" TargetMode="External"/><Relationship Id="rId56" Type="http://schemas.openxmlformats.org/officeDocument/2006/relationships/hyperlink" Target="https://pubmed.ncbi.nlm.nih.gov/35583875/" TargetMode="External"/><Relationship Id="rId77" Type="http://schemas.openxmlformats.org/officeDocument/2006/relationships/hyperlink" Target="https://pubmed.ncbi.nlm.nih.gov/30706683/" TargetMode="External"/><Relationship Id="rId100" Type="http://schemas.openxmlformats.org/officeDocument/2006/relationships/hyperlink" Target="https://pubmed.ncbi.nlm.nih.gov/8345411/" TargetMode="External"/><Relationship Id="rId105" Type="http://schemas.openxmlformats.org/officeDocument/2006/relationships/hyperlink" Target="https://pubmed.ncbi.nlm.nih.gov/31227123/" TargetMode="External"/><Relationship Id="rId126" Type="http://schemas.openxmlformats.org/officeDocument/2006/relationships/hyperlink" Target="https://doi.org/10.1007/s00246-007-9149-0" TargetMode="External"/><Relationship Id="rId147" Type="http://schemas.openxmlformats.org/officeDocument/2006/relationships/hyperlink" Target="https://doi.org/10.1172/jci148559" TargetMode="External"/><Relationship Id="rId8" Type="http://schemas.openxmlformats.org/officeDocument/2006/relationships/hyperlink" Target="https://medpulse.in/Pediatrics/Article/Volume14Issue2/Ped_14_2_2.pdf" TargetMode="External"/><Relationship Id="rId51" Type="http://schemas.openxmlformats.org/officeDocument/2006/relationships/hyperlink" Target="https://pubmed.ncbi.nlm.nih.gov/35583875/" TargetMode="External"/><Relationship Id="rId72" Type="http://schemas.openxmlformats.org/officeDocument/2006/relationships/hyperlink" Target="https://pubmed.ncbi.nlm.nih.gov/33942057/" TargetMode="External"/><Relationship Id="rId93" Type="http://schemas.openxmlformats.org/officeDocument/2006/relationships/hyperlink" Target="https://pubmed.ncbi.nlm.nih.gov/27592099/" TargetMode="External"/><Relationship Id="rId98" Type="http://schemas.openxmlformats.org/officeDocument/2006/relationships/hyperlink" Target="https://pubmed.ncbi.nlm.nih.gov/8883496/" TargetMode="External"/><Relationship Id="rId121" Type="http://schemas.openxmlformats.org/officeDocument/2006/relationships/hyperlink" Target="https://doi.org/10.1097/MCO.0b013e3280127af0" TargetMode="External"/><Relationship Id="rId142" Type="http://schemas.openxmlformats.org/officeDocument/2006/relationships/hyperlink" Target="https://doi.org/10.1001/jama.2019.14120" TargetMode="External"/><Relationship Id="rId3" Type="http://schemas.openxmlformats.org/officeDocument/2006/relationships/styles" Target="styles.xml"/><Relationship Id="rId25" Type="http://schemas.openxmlformats.org/officeDocument/2006/relationships/hyperlink" Target="https://pubmed.ncbi.nlm.nih.gov/36979789/" TargetMode="External"/><Relationship Id="rId46" Type="http://schemas.openxmlformats.org/officeDocument/2006/relationships/hyperlink" Target="https://pubmed.ncbi.nlm.nih.gov/36979789/" TargetMode="External"/><Relationship Id="rId67" Type="http://schemas.openxmlformats.org/officeDocument/2006/relationships/hyperlink" Target="https://pubmed.ncbi.nlm.nih.gov/33516680/" TargetMode="External"/><Relationship Id="rId116" Type="http://schemas.openxmlformats.org/officeDocument/2006/relationships/hyperlink" Target="https://doi.org/10.1016/j.jpeds.2016.08.003" TargetMode="External"/><Relationship Id="rId137" Type="http://schemas.openxmlformats.org/officeDocument/2006/relationships/hyperlink" Target="https://doi.org/10.1186/s13052-022-01250-5" TargetMode="External"/><Relationship Id="rId158" Type="http://schemas.openxmlformats.org/officeDocument/2006/relationships/footer" Target="footer3.xml"/><Relationship Id="rId20" Type="http://schemas.openxmlformats.org/officeDocument/2006/relationships/hyperlink" Target="https://pubmed.ncbi.nlm.nih.gov/34987194/" TargetMode="External"/><Relationship Id="rId41" Type="http://schemas.openxmlformats.org/officeDocument/2006/relationships/hyperlink" Target="https://pubmed.ncbi.nlm.nih.gov/36979789/" TargetMode="External"/><Relationship Id="rId62" Type="http://schemas.openxmlformats.org/officeDocument/2006/relationships/hyperlink" Target="https://pubmed.ncbi.nlm.nih.gov/29858795/" TargetMode="External"/><Relationship Id="rId83" Type="http://schemas.openxmlformats.org/officeDocument/2006/relationships/hyperlink" Target="https://pubmed.ncbi.nlm.nih.gov/18200807/" TargetMode="External"/><Relationship Id="rId88" Type="http://schemas.openxmlformats.org/officeDocument/2006/relationships/hyperlink" Target="https://www.ahajournals.org/doi/full/10.1161/CIRCGENETICS.116.001604" TargetMode="External"/><Relationship Id="rId111" Type="http://schemas.openxmlformats.org/officeDocument/2006/relationships/hyperlink" Target="https://doi.org/10.1016/j.thromres.2005.01.006" TargetMode="External"/><Relationship Id="rId132" Type="http://schemas.openxmlformats.org/officeDocument/2006/relationships/hyperlink" Target="https://doi.org/10.1186/s12889-016-3826-y" TargetMode="External"/><Relationship Id="rId153" Type="http://schemas.openxmlformats.org/officeDocument/2006/relationships/header" Target="header1.xml"/><Relationship Id="rId15" Type="http://schemas.openxmlformats.org/officeDocument/2006/relationships/hyperlink" Target="https://pubmed.ncbi.nlm.nih.gov/32927656/" TargetMode="External"/><Relationship Id="rId36" Type="http://schemas.openxmlformats.org/officeDocument/2006/relationships/hyperlink" Target="https://pubmed.ncbi.nlm.nih.gov/31475726/" TargetMode="External"/><Relationship Id="rId57" Type="http://schemas.openxmlformats.org/officeDocument/2006/relationships/hyperlink" Target="https://pubmed.ncbi.nlm.nih.gov/16709475/" TargetMode="External"/><Relationship Id="rId106" Type="http://schemas.openxmlformats.org/officeDocument/2006/relationships/hyperlink" Target="https://doi.org/10.1016/s0377-1237(17)31008-0" TargetMode="External"/><Relationship Id="rId127" Type="http://schemas.openxmlformats.org/officeDocument/2006/relationships/hyperlink" Target="https://doi.org/10.1590/1517-869220192505168868" TargetMode="External"/><Relationship Id="rId10" Type="http://schemas.openxmlformats.org/officeDocument/2006/relationships/hyperlink" Target="https://pubmed.ncbi.nlm.nih.gov/34449807/" TargetMode="External"/><Relationship Id="rId31" Type="http://schemas.openxmlformats.org/officeDocument/2006/relationships/hyperlink" Target="https://pmc.ncbi.nlm.nih.gov/articles/PMC4110615/" TargetMode="External"/><Relationship Id="rId52" Type="http://schemas.openxmlformats.org/officeDocument/2006/relationships/hyperlink" Target="https://pubmed.ncbi.nlm.nih.gov/36979789/" TargetMode="External"/><Relationship Id="rId73" Type="http://schemas.openxmlformats.org/officeDocument/2006/relationships/hyperlink" Target="https://pubmed.ncbi.nlm.nih.gov/29858795/" TargetMode="External"/><Relationship Id="rId78" Type="http://schemas.openxmlformats.org/officeDocument/2006/relationships/hyperlink" Target="https://pubmed.ncbi.nlm.nih.gov/8345411/" TargetMode="External"/><Relationship Id="rId94" Type="http://schemas.openxmlformats.org/officeDocument/2006/relationships/hyperlink" Target="https://pubmed.ncbi.nlm.nih.gov/30639555/" TargetMode="External"/><Relationship Id="rId99" Type="http://schemas.openxmlformats.org/officeDocument/2006/relationships/hyperlink" Target="https://pubmed.ncbi.nlm.nih.gov/16709475/" TargetMode="External"/><Relationship Id="rId101" Type="http://schemas.openxmlformats.org/officeDocument/2006/relationships/hyperlink" Target="https://pubmed.ncbi.nlm.nih.gov/16709475/" TargetMode="External"/><Relationship Id="rId122" Type="http://schemas.openxmlformats.org/officeDocument/2006/relationships/hyperlink" Target="https://doi.org/10.1586/17446651.3.5.615" TargetMode="External"/><Relationship Id="rId143" Type="http://schemas.openxmlformats.org/officeDocument/2006/relationships/hyperlink" Target="https://doi.org/10.1093/advances/nmab049" TargetMode="External"/><Relationship Id="rId148" Type="http://schemas.openxmlformats.org/officeDocument/2006/relationships/hyperlink" Target="https://doi.org/10.3390/ijms23063346" TargetMode="External"/><Relationship Id="rId4" Type="http://schemas.openxmlformats.org/officeDocument/2006/relationships/settings" Target="settings.xml"/><Relationship Id="rId9" Type="http://schemas.openxmlformats.org/officeDocument/2006/relationships/hyperlink" Target="https://pubmed.ncbi.nlm.nih.gov/28769178/" TargetMode="External"/><Relationship Id="rId26" Type="http://schemas.openxmlformats.org/officeDocument/2006/relationships/hyperlink" Target="https://pmc.ncbi.nlm.nih.gov/articles/PMC9671590/" TargetMode="External"/><Relationship Id="rId47" Type="http://schemas.openxmlformats.org/officeDocument/2006/relationships/hyperlink" Target="https://pubmed.ncbi.nlm.nih.gov/34637926/" TargetMode="External"/><Relationship Id="rId68" Type="http://schemas.openxmlformats.org/officeDocument/2006/relationships/hyperlink" Target="https://pmc.ncbi.nlm.nih.gov/articles/PMC4107225/" TargetMode="External"/><Relationship Id="rId89" Type="http://schemas.openxmlformats.org/officeDocument/2006/relationships/hyperlink" Target="https://pubmed.ncbi.nlm.nih.gov/36979789/" TargetMode="External"/><Relationship Id="rId112" Type="http://schemas.openxmlformats.org/officeDocument/2006/relationships/hyperlink" Target="https://doi.org/10.1056/nejm198601163140302" TargetMode="External"/><Relationship Id="rId133" Type="http://schemas.openxmlformats.org/officeDocument/2006/relationships/hyperlink" Target="https://doi.org/10.1210/clinem/dgad688" TargetMode="External"/><Relationship Id="rId154" Type="http://schemas.openxmlformats.org/officeDocument/2006/relationships/header" Target="header2.xml"/><Relationship Id="rId16" Type="http://schemas.openxmlformats.org/officeDocument/2006/relationships/hyperlink" Target="https://pubmed.ncbi.nlm.nih.gov/29174025/" TargetMode="External"/><Relationship Id="rId37" Type="http://schemas.openxmlformats.org/officeDocument/2006/relationships/hyperlink" Target="https://pubmed.ncbi.nlm.nih.gov/36979789/" TargetMode="External"/><Relationship Id="rId58" Type="http://schemas.openxmlformats.org/officeDocument/2006/relationships/hyperlink" Target="https://pubmed.ncbi.nlm.nih.gov/9614255/" TargetMode="External"/><Relationship Id="rId79" Type="http://schemas.openxmlformats.org/officeDocument/2006/relationships/hyperlink" Target="https://pubmed.ncbi.nlm.nih.gov/33942057/" TargetMode="External"/><Relationship Id="rId102" Type="http://schemas.openxmlformats.org/officeDocument/2006/relationships/hyperlink" Target="https://pubmed.ncbi.nlm.nih.gov/25061583/" TargetMode="External"/><Relationship Id="rId123" Type="http://schemas.openxmlformats.org/officeDocument/2006/relationships/hyperlink" Target="https://doi.org/10.26611/10141422" TargetMode="External"/><Relationship Id="rId144" Type="http://schemas.openxmlformats.org/officeDocument/2006/relationships/hyperlink" Target="https://doi.org/10.1016/j.amjmed.2018.12.022" TargetMode="External"/><Relationship Id="rId90" Type="http://schemas.openxmlformats.org/officeDocument/2006/relationships/hyperlink" Target="https://www.ahajournals.org/doi/10.1161/CIR.0000000000000618" TargetMode="External"/><Relationship Id="rId27" Type="http://schemas.openxmlformats.org/officeDocument/2006/relationships/hyperlink" Target="https://link.springer.com/article/10.1007/s00246-007-9149-0" TargetMode="External"/><Relationship Id="rId48" Type="http://schemas.openxmlformats.org/officeDocument/2006/relationships/hyperlink" Target="https://www.ahajournals.org/doi/10.1161/cir.0000000000000350" TargetMode="External"/><Relationship Id="rId69" Type="http://schemas.openxmlformats.org/officeDocument/2006/relationships/hyperlink" Target="https://medpulse.in/Pediatrics/Article/Volume14Issue2/Ped_14_2_2.pdf" TargetMode="External"/><Relationship Id="rId113" Type="http://schemas.openxmlformats.org/officeDocument/2006/relationships/hyperlink" Target="https://doi.org/10.1056/nejm199806043382302" TargetMode="External"/><Relationship Id="rId134" Type="http://schemas.openxmlformats.org/officeDocument/2006/relationships/hyperlink" Target="https://doi.org/10.1016/j.numecd.2017.10.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40B6-43BE-4E9D-B00F-8A41BDF0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8497</Words>
  <Characters>48436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12</cp:revision>
  <cp:lastPrinted>2025-02-26T18:30:00Z</cp:lastPrinted>
  <dcterms:created xsi:type="dcterms:W3CDTF">2025-06-03T17:31:00Z</dcterms:created>
  <dcterms:modified xsi:type="dcterms:W3CDTF">2025-06-04T10:28:00Z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951de2d6-f86c-4c00-9f4f-94a711c70f91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1529d061-eb7a-3d5a-9d1e-10c137240587</vt:lpwstr>
  </property>
</Properties>
</file>