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C9A93" w14:textId="532CCABB" w:rsidR="00754C9A" w:rsidRDefault="007558B5" w:rsidP="00441B6F">
      <w:pPr>
        <w:pStyle w:val="Title"/>
        <w:spacing w:after="0"/>
        <w:jc w:val="both"/>
        <w:rPr>
          <w:rFonts w:ascii="Arial" w:hAnsi="Arial" w:cs="Arial"/>
        </w:rPr>
      </w:pPr>
      <w:r w:rsidRPr="007558B5">
        <w:rPr>
          <w:rFonts w:ascii="Arial" w:hAnsi="Arial" w:cs="Arial"/>
        </w:rPr>
        <w:t>Case report</w:t>
      </w:r>
    </w:p>
    <w:p w14:paraId="6E01288E" w14:textId="77777777" w:rsidR="007558B5" w:rsidRDefault="007558B5" w:rsidP="00441B6F">
      <w:pPr>
        <w:pStyle w:val="Title"/>
        <w:spacing w:after="0"/>
        <w:jc w:val="both"/>
        <w:rPr>
          <w:rFonts w:ascii="Arial" w:hAnsi="Arial" w:cs="Arial"/>
        </w:rPr>
      </w:pPr>
    </w:p>
    <w:p w14:paraId="1AD4ADA0" w14:textId="77777777" w:rsidR="000C761B" w:rsidRPr="00AD42A3" w:rsidRDefault="000C761B" w:rsidP="000C761B">
      <w:pPr>
        <w:rPr>
          <w:b/>
          <w:bCs/>
          <w:sz w:val="36"/>
          <w:szCs w:val="36"/>
        </w:rPr>
      </w:pPr>
      <w:r w:rsidRPr="00AD42A3">
        <w:rPr>
          <w:b/>
          <w:bCs/>
          <w:sz w:val="36"/>
          <w:szCs w:val="36"/>
        </w:rPr>
        <w:t xml:space="preserve">Rothmund-Thomson Syndrome Type II: A Case Report with Genetic and </w:t>
      </w:r>
      <w:proofErr w:type="spellStart"/>
      <w:r w:rsidRPr="00AD42A3">
        <w:rPr>
          <w:b/>
          <w:bCs/>
          <w:sz w:val="36"/>
          <w:szCs w:val="36"/>
        </w:rPr>
        <w:t>Dermoscopic</w:t>
      </w:r>
      <w:proofErr w:type="spellEnd"/>
      <w:r w:rsidRPr="00AD42A3">
        <w:rPr>
          <w:b/>
          <w:bCs/>
          <w:sz w:val="36"/>
          <w:szCs w:val="36"/>
        </w:rPr>
        <w:t xml:space="preserve"> Insights</w:t>
      </w:r>
    </w:p>
    <w:p w14:paraId="1DF5206D" w14:textId="77777777" w:rsidR="00A258C3" w:rsidRPr="00790ADA" w:rsidRDefault="00A258C3" w:rsidP="00441B6F">
      <w:pPr>
        <w:pStyle w:val="Author"/>
        <w:spacing w:line="240" w:lineRule="auto"/>
        <w:jc w:val="both"/>
        <w:rPr>
          <w:rFonts w:ascii="Arial" w:hAnsi="Arial" w:cs="Arial"/>
          <w:sz w:val="36"/>
        </w:rPr>
      </w:pPr>
    </w:p>
    <w:p w14:paraId="1F139A47" w14:textId="53CD727E" w:rsidR="007558B5" w:rsidRPr="00FB3A86" w:rsidRDefault="007558B5" w:rsidP="007558B5">
      <w:pPr>
        <w:pStyle w:val="Affiliation"/>
        <w:spacing w:after="0" w:line="240" w:lineRule="auto"/>
        <w:jc w:val="both"/>
        <w:rPr>
          <w:rFonts w:ascii="Arial" w:hAnsi="Arial" w:cs="Arial"/>
        </w:rPr>
      </w:pPr>
      <w:r>
        <w:rPr>
          <w:rFonts w:ascii="Arial" w:hAnsi="Arial" w:cs="Arial"/>
        </w:rPr>
        <w:t xml:space="preserve"> </w:t>
      </w:r>
    </w:p>
    <w:p w14:paraId="40E9101C" w14:textId="5FF8D2C8" w:rsidR="002C57D2" w:rsidRPr="00FB3A86" w:rsidRDefault="002C57D2" w:rsidP="000C761B">
      <w:pPr>
        <w:pStyle w:val="Author"/>
        <w:spacing w:line="240" w:lineRule="auto"/>
        <w:rPr>
          <w:rFonts w:ascii="Arial" w:hAnsi="Arial" w:cs="Arial"/>
        </w:rPr>
      </w:pPr>
    </w:p>
    <w:p w14:paraId="481BC695" w14:textId="77777777" w:rsidR="00B01FCD" w:rsidRPr="00FB3A86" w:rsidRDefault="000C761B" w:rsidP="00441B6F">
      <w:pPr>
        <w:pStyle w:val="Copyright"/>
        <w:spacing w:after="0" w:line="240" w:lineRule="auto"/>
        <w:jc w:val="both"/>
        <w:rPr>
          <w:rFonts w:ascii="Arial" w:hAnsi="Arial" w:cs="Arial"/>
        </w:rPr>
        <w:sectPr w:rsidR="00B01FCD" w:rsidRPr="00FB3A86" w:rsidSect="00690E2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F956F1D" wp14:editId="22D4B1E2">
                <wp:extent cx="5303520" cy="635"/>
                <wp:effectExtent l="0" t="12700" r="5080" b="12065"/>
                <wp:docPr id="102359848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4DF49D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6C9E15BF" w14:textId="2F3B3D6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7B5358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9DBB765" w14:textId="77777777" w:rsidTr="001E44FE">
        <w:tc>
          <w:tcPr>
            <w:tcW w:w="9576" w:type="dxa"/>
            <w:shd w:val="clear" w:color="auto" w:fill="F2F2F2"/>
          </w:tcPr>
          <w:p w14:paraId="3C5BD02A" w14:textId="77777777" w:rsidR="000C761B" w:rsidRPr="000C761B" w:rsidRDefault="000C761B" w:rsidP="000C761B">
            <w:pPr>
              <w:rPr>
                <w:rFonts w:ascii="Arial" w:hAnsi="Arial" w:cs="Arial"/>
                <w:b/>
                <w:bCs/>
                <w:sz w:val="22"/>
                <w:szCs w:val="22"/>
              </w:rPr>
            </w:pPr>
            <w:r w:rsidRPr="000C761B">
              <w:rPr>
                <w:rFonts w:ascii="Arial" w:hAnsi="Arial" w:cs="Arial"/>
                <w:b/>
                <w:bCs/>
                <w:sz w:val="22"/>
                <w:szCs w:val="22"/>
              </w:rPr>
              <w:t>Background:</w:t>
            </w:r>
            <w:r w:rsidRPr="000C761B">
              <w:rPr>
                <w:rFonts w:ascii="Arial" w:hAnsi="Arial" w:cs="Arial"/>
                <w:b/>
                <w:bCs/>
                <w:sz w:val="22"/>
                <w:szCs w:val="22"/>
              </w:rPr>
              <w:br/>
              <w:t>Rothmund-Thomson syndrome (RTS) is a rare autosomal recessive genodermatosis characterized by poikiloderma, sparse hair, skeletal anomalies, and an increased risk of malignancies, particularly osteosarcoma and skin cancers. RTS is classified into two types: Type I with an unknown genetic cause and Type II associated with mutations in the RECQL4 gene.</w:t>
            </w:r>
          </w:p>
          <w:p w14:paraId="294DBFF7" w14:textId="77777777" w:rsidR="000C761B" w:rsidRPr="000C761B" w:rsidRDefault="000C761B" w:rsidP="000C761B">
            <w:pPr>
              <w:rPr>
                <w:rFonts w:ascii="Arial" w:hAnsi="Arial" w:cs="Arial"/>
                <w:b/>
                <w:bCs/>
                <w:sz w:val="22"/>
                <w:szCs w:val="22"/>
              </w:rPr>
            </w:pPr>
            <w:r w:rsidRPr="000C761B">
              <w:rPr>
                <w:rFonts w:ascii="Arial" w:hAnsi="Arial" w:cs="Arial"/>
                <w:b/>
                <w:bCs/>
                <w:sz w:val="22"/>
                <w:szCs w:val="22"/>
              </w:rPr>
              <w:t>Case Report:</w:t>
            </w:r>
            <w:r w:rsidRPr="000C761B">
              <w:rPr>
                <w:rFonts w:ascii="Arial" w:hAnsi="Arial" w:cs="Arial"/>
                <w:b/>
                <w:bCs/>
                <w:sz w:val="22"/>
                <w:szCs w:val="22"/>
              </w:rPr>
              <w:br/>
              <w:t xml:space="preserve">We report the case of an 11-year-old male born to first-degree consanguineous parents, who presented with coarse, sparse hair and erythematous facial lesions since infancy, evolving into hypo- and hyperpigmented macules. Clinical examination revealed poikiloderma affecting the hands, buttocks, and feet, with skin atrophy, telangiectasias, eyebrow and eyelash alopecia, plantar hyperkeratosis, thumb hypoplasia, and psychomotor developmental delay. </w:t>
            </w:r>
            <w:proofErr w:type="spellStart"/>
            <w:r w:rsidRPr="000C761B">
              <w:rPr>
                <w:rFonts w:ascii="Arial" w:hAnsi="Arial" w:cs="Arial"/>
                <w:b/>
                <w:bCs/>
                <w:sz w:val="22"/>
                <w:szCs w:val="22"/>
              </w:rPr>
              <w:t>Dermoscopic</w:t>
            </w:r>
            <w:proofErr w:type="spellEnd"/>
            <w:r w:rsidRPr="000C761B">
              <w:rPr>
                <w:rFonts w:ascii="Arial" w:hAnsi="Arial" w:cs="Arial"/>
                <w:b/>
                <w:bCs/>
                <w:sz w:val="22"/>
                <w:szCs w:val="22"/>
              </w:rPr>
              <w:t xml:space="preserve"> evaluation demonstrated heterogeneous pigmentation with fine arborizing telangiectasias, without malign</w:t>
            </w:r>
            <w:bookmarkStart w:id="0" w:name="_GoBack"/>
            <w:bookmarkEnd w:id="0"/>
            <w:r w:rsidRPr="000C761B">
              <w:rPr>
                <w:rFonts w:ascii="Arial" w:hAnsi="Arial" w:cs="Arial"/>
                <w:b/>
                <w:bCs/>
                <w:sz w:val="22"/>
                <w:szCs w:val="22"/>
              </w:rPr>
              <w:t xml:space="preserve">ant features. Genetic analysis identified a pathogenic c.2335_2356del, </w:t>
            </w:r>
            <w:proofErr w:type="gramStart"/>
            <w:r w:rsidRPr="000C761B">
              <w:rPr>
                <w:rFonts w:ascii="Arial" w:hAnsi="Arial" w:cs="Arial"/>
                <w:b/>
                <w:bCs/>
                <w:sz w:val="22"/>
                <w:szCs w:val="22"/>
              </w:rPr>
              <w:t>p.(</w:t>
            </w:r>
            <w:proofErr w:type="gramEnd"/>
            <w:r w:rsidRPr="000C761B">
              <w:rPr>
                <w:rFonts w:ascii="Arial" w:hAnsi="Arial" w:cs="Arial"/>
                <w:b/>
                <w:bCs/>
                <w:sz w:val="22"/>
                <w:szCs w:val="22"/>
              </w:rPr>
              <w:t>Asp779Cysfs*57) mutation in the RECQL4 gene, confirming the diagnosis of RTS Type II.</w:t>
            </w:r>
          </w:p>
          <w:p w14:paraId="26CA1F01" w14:textId="77777777" w:rsidR="000C761B" w:rsidRPr="000C761B" w:rsidRDefault="000C761B" w:rsidP="000C761B">
            <w:pPr>
              <w:rPr>
                <w:rFonts w:ascii="Arial" w:hAnsi="Arial" w:cs="Arial"/>
                <w:b/>
                <w:bCs/>
                <w:sz w:val="22"/>
                <w:szCs w:val="22"/>
              </w:rPr>
            </w:pPr>
            <w:r w:rsidRPr="000C761B">
              <w:rPr>
                <w:rFonts w:ascii="Arial" w:hAnsi="Arial" w:cs="Arial"/>
                <w:b/>
                <w:bCs/>
                <w:sz w:val="22"/>
                <w:szCs w:val="22"/>
              </w:rPr>
              <w:t>Conclusion:</w:t>
            </w:r>
            <w:r w:rsidRPr="000C761B">
              <w:rPr>
                <w:rFonts w:ascii="Arial" w:hAnsi="Arial" w:cs="Arial"/>
                <w:b/>
                <w:bCs/>
                <w:sz w:val="22"/>
                <w:szCs w:val="22"/>
              </w:rPr>
              <w:br/>
              <w:t>This case highlights the importance of considering RTS in pediatric patients presenting with poikiloderma and developmental anomalies, particularly in consanguineous populations. Genetic confirmation is essential for accurate diagnosis, and long-term surveillance is crucial due to the increased risk of malignancies associated with RTS Type II.</w:t>
            </w:r>
          </w:p>
          <w:p w14:paraId="74AE32B1" w14:textId="56C7718B" w:rsidR="00505F06" w:rsidRPr="00BA1B01" w:rsidRDefault="00505F06" w:rsidP="00441B6F">
            <w:pPr>
              <w:pStyle w:val="Body"/>
              <w:spacing w:after="0"/>
              <w:rPr>
                <w:rFonts w:ascii="Arial" w:eastAsia="Calibri" w:hAnsi="Arial" w:cs="Arial"/>
                <w:szCs w:val="22"/>
              </w:rPr>
            </w:pPr>
          </w:p>
        </w:tc>
      </w:tr>
    </w:tbl>
    <w:p w14:paraId="5D178AB6" w14:textId="77777777" w:rsidR="00636EB2" w:rsidRDefault="00636EB2" w:rsidP="00441B6F">
      <w:pPr>
        <w:pStyle w:val="Body"/>
        <w:spacing w:after="0"/>
        <w:rPr>
          <w:rFonts w:ascii="Arial" w:hAnsi="Arial" w:cs="Arial"/>
          <w:i/>
        </w:rPr>
      </w:pPr>
    </w:p>
    <w:p w14:paraId="3DC36E8D" w14:textId="77777777" w:rsidR="000C761B" w:rsidRPr="00C1520C" w:rsidRDefault="00A24E7E" w:rsidP="000C761B">
      <w:pPr>
        <w:rPr>
          <w:rFonts w:ascii="Times New Roman" w:hAnsi="Times New Roman"/>
          <w:sz w:val="24"/>
          <w:szCs w:val="24"/>
        </w:rPr>
      </w:pPr>
      <w:r>
        <w:rPr>
          <w:rFonts w:ascii="Arial" w:hAnsi="Arial" w:cs="Arial"/>
          <w:i/>
        </w:rPr>
        <w:t xml:space="preserve">Keywords: </w:t>
      </w:r>
      <w:r w:rsidR="000C761B" w:rsidRPr="000C761B">
        <w:rPr>
          <w:rFonts w:ascii="Arial" w:hAnsi="Arial" w:cs="Arial"/>
          <w:i/>
          <w:iCs/>
        </w:rPr>
        <w:t xml:space="preserve">Rothmund-Thomson syndrome, RECQL4 mutation, poikiloderma, </w:t>
      </w:r>
      <w:proofErr w:type="spellStart"/>
      <w:r w:rsidR="000C761B" w:rsidRPr="000C761B">
        <w:rPr>
          <w:rFonts w:ascii="Arial" w:hAnsi="Arial" w:cs="Arial"/>
          <w:i/>
          <w:iCs/>
        </w:rPr>
        <w:t>dermoscopy</w:t>
      </w:r>
      <w:proofErr w:type="spellEnd"/>
      <w:r w:rsidR="000C761B" w:rsidRPr="000C761B">
        <w:rPr>
          <w:rFonts w:ascii="Arial" w:hAnsi="Arial" w:cs="Arial"/>
          <w:i/>
          <w:iCs/>
        </w:rPr>
        <w:t xml:space="preserve">, </w:t>
      </w:r>
      <w:proofErr w:type="spellStart"/>
      <w:r w:rsidR="000C761B" w:rsidRPr="000C761B">
        <w:rPr>
          <w:rFonts w:ascii="Arial" w:hAnsi="Arial" w:cs="Arial"/>
          <w:i/>
          <w:iCs/>
        </w:rPr>
        <w:t>genodermatosis</w:t>
      </w:r>
      <w:proofErr w:type="spellEnd"/>
      <w:r w:rsidR="000C761B" w:rsidRPr="000C761B">
        <w:rPr>
          <w:rFonts w:ascii="Arial" w:hAnsi="Arial" w:cs="Arial"/>
          <w:i/>
          <w:iCs/>
        </w:rPr>
        <w:t>, pediatric dermatology</w:t>
      </w:r>
      <w:r w:rsidR="000C761B" w:rsidRPr="00C1520C">
        <w:rPr>
          <w:rFonts w:ascii="Times New Roman" w:hAnsi="Times New Roman"/>
          <w:sz w:val="24"/>
          <w:szCs w:val="24"/>
        </w:rPr>
        <w:t>.</w:t>
      </w:r>
    </w:p>
    <w:p w14:paraId="5D62B2AA" w14:textId="0D74EDB1" w:rsidR="00790ADA" w:rsidRDefault="00790ADA" w:rsidP="000C761B">
      <w:pPr>
        <w:pStyle w:val="Body"/>
        <w:spacing w:after="0"/>
        <w:rPr>
          <w:rFonts w:ascii="Arial" w:hAnsi="Arial" w:cs="Arial"/>
          <w:i/>
        </w:rPr>
      </w:pPr>
    </w:p>
    <w:p w14:paraId="2E6D053E" w14:textId="0F58D6AE" w:rsidR="00505F06" w:rsidRDefault="00505F06" w:rsidP="000C761B">
      <w:pPr>
        <w:pStyle w:val="Body"/>
        <w:spacing w:after="0"/>
        <w:rPr>
          <w:rFonts w:ascii="Arial" w:hAnsi="Arial" w:cs="Arial"/>
          <w:i/>
          <w:sz w:val="18"/>
        </w:rPr>
      </w:pPr>
    </w:p>
    <w:p w14:paraId="14A4686A" w14:textId="77777777" w:rsidR="006A1248" w:rsidRDefault="006A1248" w:rsidP="000C761B">
      <w:pPr>
        <w:pStyle w:val="Body"/>
        <w:spacing w:after="0"/>
        <w:rPr>
          <w:rFonts w:ascii="Arial" w:hAnsi="Arial" w:cs="Arial"/>
          <w:i/>
          <w:sz w:val="18"/>
        </w:rPr>
      </w:pPr>
    </w:p>
    <w:p w14:paraId="4FB307E5" w14:textId="77777777" w:rsidR="006A1248" w:rsidRDefault="006A1248" w:rsidP="000C761B">
      <w:pPr>
        <w:pStyle w:val="Body"/>
        <w:spacing w:after="0"/>
        <w:rPr>
          <w:rFonts w:ascii="Arial" w:hAnsi="Arial" w:cs="Arial"/>
          <w:i/>
          <w:sz w:val="18"/>
        </w:rPr>
      </w:pPr>
    </w:p>
    <w:p w14:paraId="4DEF8B3B" w14:textId="77777777" w:rsidR="006A1248" w:rsidRDefault="006A1248" w:rsidP="000C761B">
      <w:pPr>
        <w:pStyle w:val="Body"/>
        <w:spacing w:after="0"/>
        <w:rPr>
          <w:rFonts w:ascii="Arial" w:hAnsi="Arial" w:cs="Arial"/>
          <w:i/>
          <w:sz w:val="18"/>
        </w:rPr>
      </w:pPr>
    </w:p>
    <w:p w14:paraId="4E2E5322" w14:textId="77777777" w:rsidR="006A1248" w:rsidRPr="004539DB" w:rsidRDefault="006A1248" w:rsidP="000C761B">
      <w:pPr>
        <w:pStyle w:val="Body"/>
        <w:spacing w:after="0"/>
        <w:rPr>
          <w:rFonts w:ascii="Arial" w:hAnsi="Arial" w:cs="Arial"/>
          <w:i/>
          <w:sz w:val="18"/>
        </w:rPr>
      </w:pPr>
    </w:p>
    <w:p w14:paraId="5D0DB73E" w14:textId="77777777" w:rsidR="00505F06" w:rsidRPr="00A24E7E" w:rsidRDefault="00505F06" w:rsidP="00441B6F">
      <w:pPr>
        <w:pStyle w:val="Body"/>
        <w:spacing w:after="0"/>
        <w:rPr>
          <w:rFonts w:ascii="Arial" w:hAnsi="Arial" w:cs="Arial"/>
          <w:i/>
        </w:rPr>
      </w:pPr>
    </w:p>
    <w:p w14:paraId="723BC01A" w14:textId="43BFDBFD"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7945ABF0" w14:textId="77777777" w:rsidR="00790ADA" w:rsidRPr="00FB3A86" w:rsidRDefault="00790ADA" w:rsidP="00441B6F">
      <w:pPr>
        <w:pStyle w:val="AbstHead"/>
        <w:spacing w:after="0"/>
        <w:jc w:val="both"/>
        <w:rPr>
          <w:rFonts w:ascii="Arial" w:hAnsi="Arial" w:cs="Arial"/>
        </w:rPr>
      </w:pPr>
    </w:p>
    <w:p w14:paraId="3D516D7A" w14:textId="77777777" w:rsidR="000C761B" w:rsidRPr="00C1520C" w:rsidRDefault="000C761B" w:rsidP="000C761B">
      <w:pPr>
        <w:rPr>
          <w:rFonts w:ascii="Times New Roman" w:hAnsi="Times New Roman"/>
          <w:sz w:val="24"/>
          <w:szCs w:val="24"/>
        </w:rPr>
      </w:pPr>
      <w:r w:rsidRPr="000C761B">
        <w:rPr>
          <w:rFonts w:ascii="Arial" w:hAnsi="Arial" w:cs="Arial"/>
        </w:rPr>
        <w:t xml:space="preserve">Rothmund-Thomson syndrome (RTS) is a rare autosomal recessive genodermatosis characterized by poikilodermas, sparse hair, skeletal abnormalities, and a higher risk of </w:t>
      </w:r>
      <w:proofErr w:type="spellStart"/>
      <w:r w:rsidRPr="000C761B">
        <w:rPr>
          <w:rFonts w:ascii="Arial" w:hAnsi="Arial" w:cs="Arial"/>
        </w:rPr>
        <w:t>malignanciesnamely</w:t>
      </w:r>
      <w:proofErr w:type="spellEnd"/>
      <w:r w:rsidRPr="000C761B">
        <w:rPr>
          <w:rFonts w:ascii="Arial" w:hAnsi="Arial" w:cs="Arial"/>
        </w:rPr>
        <w:t xml:space="preserve">, osteosarcoma and skin cancers [1,2]. There are basically two types of RTS: Type I with unknown genetic cause and II, associated with mutations in RECQL4 gene [3]. This is a case in point of a Type II RTS in an 11-year-old boy which highlights the clinical features, the diagnostic process, </w:t>
      </w:r>
      <w:proofErr w:type="spellStart"/>
      <w:r w:rsidRPr="000C761B">
        <w:rPr>
          <w:rFonts w:ascii="Arial" w:hAnsi="Arial" w:cs="Arial"/>
        </w:rPr>
        <w:t>dermoscopic</w:t>
      </w:r>
      <w:proofErr w:type="spellEnd"/>
      <w:r w:rsidRPr="000C761B">
        <w:rPr>
          <w:rFonts w:ascii="Arial" w:hAnsi="Arial" w:cs="Arial"/>
        </w:rPr>
        <w:t xml:space="preserve"> findings, genetic confirmation, and a comprehensive discussion of the syndrome</w:t>
      </w:r>
      <w:r w:rsidRPr="00C1520C">
        <w:rPr>
          <w:rFonts w:ascii="Times New Roman" w:hAnsi="Times New Roman"/>
          <w:sz w:val="24"/>
          <w:szCs w:val="24"/>
        </w:rPr>
        <w:t>.</w:t>
      </w:r>
    </w:p>
    <w:p w14:paraId="5DEFC5D9" w14:textId="77777777" w:rsidR="00790ADA" w:rsidRPr="00FB3A86" w:rsidRDefault="00790ADA" w:rsidP="00441B6F">
      <w:pPr>
        <w:pStyle w:val="Body"/>
        <w:spacing w:after="0"/>
        <w:rPr>
          <w:rFonts w:ascii="Arial" w:hAnsi="Arial" w:cs="Arial"/>
        </w:rPr>
      </w:pPr>
    </w:p>
    <w:p w14:paraId="006202E2" w14:textId="76AA5132" w:rsidR="000C761B" w:rsidRPr="000C761B" w:rsidRDefault="00902823" w:rsidP="000C761B">
      <w:pPr>
        <w:rPr>
          <w:rFonts w:ascii="Arial" w:hAnsi="Arial" w:cs="Arial"/>
          <w:b/>
          <w:bCs/>
          <w:sz w:val="22"/>
          <w:szCs w:val="22"/>
        </w:rPr>
      </w:pPr>
      <w:r>
        <w:rPr>
          <w:rFonts w:ascii="Arial" w:hAnsi="Arial" w:cs="Arial"/>
        </w:rPr>
        <w:t xml:space="preserve">2. </w:t>
      </w:r>
      <w:r w:rsidR="000C761B" w:rsidRPr="000C761B">
        <w:rPr>
          <w:rFonts w:ascii="Arial" w:hAnsi="Arial" w:cs="Arial"/>
          <w:b/>
          <w:bCs/>
          <w:sz w:val="22"/>
          <w:szCs w:val="22"/>
        </w:rPr>
        <w:t xml:space="preserve">Case </w:t>
      </w:r>
      <w:r w:rsidR="00495C39">
        <w:rPr>
          <w:rFonts w:ascii="Arial" w:hAnsi="Arial" w:cs="Arial"/>
          <w:b/>
          <w:bCs/>
          <w:sz w:val="22"/>
          <w:szCs w:val="22"/>
        </w:rPr>
        <w:t xml:space="preserve">presentation </w:t>
      </w:r>
    </w:p>
    <w:p w14:paraId="79A9CFBC" w14:textId="77777777" w:rsidR="00790ADA" w:rsidRPr="00FB3A86" w:rsidRDefault="00790ADA" w:rsidP="00441B6F">
      <w:pPr>
        <w:pStyle w:val="AbstHead"/>
        <w:spacing w:after="0"/>
        <w:jc w:val="both"/>
        <w:rPr>
          <w:rFonts w:ascii="Arial" w:hAnsi="Arial" w:cs="Arial"/>
        </w:rPr>
      </w:pPr>
    </w:p>
    <w:p w14:paraId="1BD16F47" w14:textId="77777777" w:rsidR="000C761B" w:rsidRPr="000C761B" w:rsidRDefault="000C761B" w:rsidP="000C761B">
      <w:pPr>
        <w:rPr>
          <w:rFonts w:ascii="Arial" w:hAnsi="Arial" w:cs="Arial"/>
        </w:rPr>
      </w:pPr>
      <w:r w:rsidRPr="000C761B">
        <w:rPr>
          <w:rFonts w:ascii="Arial" w:hAnsi="Arial" w:cs="Arial"/>
        </w:rPr>
        <w:t>An 11-year-old male, born to first-degree consanguinity, came to the dermatology department of CHU Ibn-Sina, Rabat. The condition had first been noticed when he was 3 months old, with abnormal and coarse hair of slight length, along with erythematous lesions on the face, which progressively turned into macules of hypopigmented and hyperpigmented changes (Figure 1).</w:t>
      </w:r>
    </w:p>
    <w:p w14:paraId="4CA6B55C" w14:textId="77777777" w:rsidR="000C761B" w:rsidRPr="000C761B" w:rsidRDefault="000C761B" w:rsidP="000C761B">
      <w:pPr>
        <w:rPr>
          <w:rFonts w:ascii="Arial" w:hAnsi="Arial" w:cs="Arial"/>
        </w:rPr>
      </w:pPr>
      <w:r w:rsidRPr="000C761B">
        <w:rPr>
          <w:rFonts w:ascii="Arial" w:hAnsi="Arial" w:cs="Arial"/>
        </w:rPr>
        <w:t>Clinical examination revealed poikiloderma of the hands, buttocks, and feet, characterized by the skin atrophy, mixed leucodermic and melanodermic background, and telangiectasia on the cheeks and nose. Noticing the expression of eyebrow and eyelashes alopecia, dorsal hand atrophy with changes in pigmentation, plantar hyperkeratosis, and a hypoplastic, adducted thumb. The patient was also psychomotor-delayed.</w:t>
      </w:r>
    </w:p>
    <w:p w14:paraId="32885799" w14:textId="77777777" w:rsidR="000C761B" w:rsidRPr="000C761B" w:rsidRDefault="000C761B" w:rsidP="000C761B">
      <w:pPr>
        <w:rPr>
          <w:rFonts w:ascii="Arial" w:hAnsi="Arial" w:cs="Arial"/>
        </w:rPr>
      </w:pPr>
      <w:proofErr w:type="spellStart"/>
      <w:r w:rsidRPr="000C761B">
        <w:rPr>
          <w:rFonts w:ascii="Arial" w:hAnsi="Arial" w:cs="Arial"/>
        </w:rPr>
        <w:t>Dermoscopy</w:t>
      </w:r>
      <w:proofErr w:type="spellEnd"/>
      <w:r w:rsidRPr="000C761B">
        <w:rPr>
          <w:rFonts w:ascii="Arial" w:hAnsi="Arial" w:cs="Arial"/>
        </w:rPr>
        <w:t xml:space="preserve"> was performed using a polarized </w:t>
      </w:r>
      <w:proofErr w:type="spellStart"/>
      <w:r w:rsidRPr="000C761B">
        <w:rPr>
          <w:rFonts w:ascii="Arial" w:hAnsi="Arial" w:cs="Arial"/>
        </w:rPr>
        <w:t>dermatoscope</w:t>
      </w:r>
      <w:proofErr w:type="spellEnd"/>
      <w:r w:rsidRPr="000C761B">
        <w:rPr>
          <w:rFonts w:ascii="Arial" w:hAnsi="Arial" w:cs="Arial"/>
        </w:rPr>
        <w:t xml:space="preserve">. It showed a patchwork pattern of pigmentation with areas of hypopigmentation and hyperpigmentation studded with fine, largely linear, and arborizing vessels on the malar region. No </w:t>
      </w:r>
      <w:proofErr w:type="spellStart"/>
      <w:r w:rsidRPr="000C761B">
        <w:rPr>
          <w:rFonts w:ascii="Arial" w:hAnsi="Arial" w:cs="Arial"/>
        </w:rPr>
        <w:t>dermoscopic</w:t>
      </w:r>
      <w:proofErr w:type="spellEnd"/>
      <w:r w:rsidRPr="000C761B">
        <w:rPr>
          <w:rFonts w:ascii="Arial" w:hAnsi="Arial" w:cs="Arial"/>
        </w:rPr>
        <w:t xml:space="preserve"> features suggestive of malignancy were noted, such as atypical patterns of vascularization, irregular pigment networks, or blue-whitish veils [4].</w:t>
      </w:r>
    </w:p>
    <w:p w14:paraId="339565DE" w14:textId="77777777" w:rsidR="000C761B" w:rsidRPr="000C761B" w:rsidRDefault="000C761B" w:rsidP="000C761B">
      <w:pPr>
        <w:jc w:val="both"/>
        <w:rPr>
          <w:rFonts w:ascii="Arial" w:hAnsi="Arial" w:cs="Arial"/>
          <w:bCs/>
          <w:iCs/>
        </w:rPr>
      </w:pPr>
      <w:r w:rsidRPr="000C761B">
        <w:rPr>
          <w:rFonts w:ascii="Arial" w:hAnsi="Arial" w:cs="Arial"/>
        </w:rPr>
        <w:t xml:space="preserve">A standard karyotype was unremarkable. In genomic tests, a c.2335_2356del, </w:t>
      </w:r>
      <w:proofErr w:type="gramStart"/>
      <w:r w:rsidRPr="000C761B">
        <w:rPr>
          <w:rFonts w:ascii="Arial" w:hAnsi="Arial" w:cs="Arial"/>
        </w:rPr>
        <w:t>p.(</w:t>
      </w:r>
      <w:proofErr w:type="gramEnd"/>
      <w:r w:rsidRPr="000C761B">
        <w:rPr>
          <w:rFonts w:ascii="Arial" w:hAnsi="Arial" w:cs="Arial"/>
        </w:rPr>
        <w:t>Asp779Cysfs*57) mutation in the RECQL4 gene was identified, cementing RTS Type II diagnosis. Other analyses, including isotonic serum, echocardiography, electrolyte analysis, thyroid profile, and abdominal ultrasound, yielded completely normal results</w:t>
      </w:r>
      <w:r w:rsidRPr="000C761B">
        <w:rPr>
          <w:rFonts w:ascii="Arial" w:hAnsi="Arial" w:cs="Arial"/>
          <w:bCs/>
          <w:iCs/>
        </w:rPr>
        <w:t>.</w:t>
      </w:r>
    </w:p>
    <w:p w14:paraId="0571D4F6" w14:textId="77777777" w:rsidR="000C761B" w:rsidRPr="000C761B" w:rsidRDefault="000C761B" w:rsidP="000C761B">
      <w:pPr>
        <w:rPr>
          <w:rFonts w:ascii="Arial" w:hAnsi="Arial" w:cs="Arial"/>
          <w:b/>
          <w:bCs/>
          <w:iCs/>
        </w:rPr>
      </w:pPr>
    </w:p>
    <w:p w14:paraId="628007EF" w14:textId="77777777" w:rsidR="00A03B96" w:rsidRDefault="00A03B96" w:rsidP="00441B6F">
      <w:pPr>
        <w:pStyle w:val="Body"/>
        <w:spacing w:after="0"/>
        <w:rPr>
          <w:rFonts w:ascii="Arial" w:hAnsi="Arial" w:cs="Arial"/>
        </w:rPr>
      </w:pPr>
    </w:p>
    <w:p w14:paraId="432A7884" w14:textId="77777777" w:rsidR="00790ADA" w:rsidRPr="00FB3A86" w:rsidRDefault="00790ADA" w:rsidP="00441B6F">
      <w:pPr>
        <w:pStyle w:val="Body"/>
        <w:spacing w:after="0"/>
        <w:rPr>
          <w:rFonts w:ascii="Arial" w:hAnsi="Arial" w:cs="Arial"/>
        </w:rPr>
      </w:pPr>
    </w:p>
    <w:p w14:paraId="4F5E4003" w14:textId="0CCA43FC"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6DCA87AE" w14:textId="77777777" w:rsidR="00790ADA" w:rsidRPr="00FB3A86" w:rsidRDefault="00790ADA" w:rsidP="00441B6F">
      <w:pPr>
        <w:pStyle w:val="Head1"/>
        <w:spacing w:after="0"/>
        <w:jc w:val="both"/>
        <w:rPr>
          <w:rFonts w:ascii="Arial" w:hAnsi="Arial" w:cs="Arial"/>
        </w:rPr>
      </w:pPr>
    </w:p>
    <w:p w14:paraId="04BD8E01" w14:textId="77777777" w:rsidR="000C761B" w:rsidRPr="000C761B" w:rsidRDefault="000C761B" w:rsidP="000C761B">
      <w:pPr>
        <w:rPr>
          <w:rFonts w:ascii="Arial" w:hAnsi="Arial" w:cs="Arial"/>
        </w:rPr>
      </w:pPr>
      <w:r w:rsidRPr="000C761B">
        <w:rPr>
          <w:rFonts w:ascii="Arial" w:hAnsi="Arial" w:cs="Arial"/>
        </w:rPr>
        <w:t>Rothmund-Thomson syndrome (RTS) is a genetically heterogeneous disorder with great clinical variability. Type II RTS arises in most genetically confirmed cases due to mutations of RECQL4 [3]. The RECQL4 gene encodes a DNA helicase involved in DNA replication, repair, and stability. A mutation within this gene causes genomic instability, leading to susceptibility to malignancies, particularly osteosarcoma and certain skin cancers [5].</w:t>
      </w:r>
    </w:p>
    <w:p w14:paraId="76FD6AF7" w14:textId="77777777" w:rsidR="000C761B" w:rsidRPr="000C761B" w:rsidRDefault="000C761B" w:rsidP="000C761B">
      <w:pPr>
        <w:rPr>
          <w:rFonts w:ascii="Arial" w:hAnsi="Arial" w:cs="Arial"/>
        </w:rPr>
      </w:pPr>
      <w:r w:rsidRPr="000C761B">
        <w:rPr>
          <w:rFonts w:ascii="Arial" w:hAnsi="Arial" w:cs="Arial"/>
        </w:rPr>
        <w:t>This skin disorder was initially identified by Auguste Rothmund in 1868, followed by a detailed description from British dermatologist Sydney Thomson in 1923. The term "Rothmund-Thomson syndrome" (RTS) was officially introduced by William Taylor in 1957, and it remains the recognized name for the condition. RTS shows a higher prevalence in males, with an observed male-to-female ratio of 2:1 [1,6].</w:t>
      </w:r>
    </w:p>
    <w:p w14:paraId="72FD852E" w14:textId="77777777" w:rsidR="000C761B" w:rsidRPr="000C761B" w:rsidRDefault="000C761B" w:rsidP="000C761B">
      <w:pPr>
        <w:rPr>
          <w:rFonts w:ascii="Arial" w:hAnsi="Arial" w:cs="Arial"/>
        </w:rPr>
      </w:pPr>
    </w:p>
    <w:p w14:paraId="02EB34DE" w14:textId="77777777" w:rsidR="000C761B" w:rsidRPr="000C761B" w:rsidRDefault="000C761B" w:rsidP="000C761B">
      <w:pPr>
        <w:rPr>
          <w:rFonts w:ascii="Arial" w:hAnsi="Arial" w:cs="Arial"/>
        </w:rPr>
      </w:pPr>
      <w:r w:rsidRPr="000C761B">
        <w:rPr>
          <w:rFonts w:ascii="Arial" w:hAnsi="Arial" w:cs="Arial"/>
        </w:rPr>
        <w:t>In general, RTS presents itself in two clinical forms. Type I manifests with poikiloderma-like skin changes, ectodermal dysplasia characteristics, and early infantile cataracts. Type II is recognized with poikiloderma, congenital skeletal abnormalities, predisposition to osteosarcoma, and neoplasms of the skin. RTS follows an autosomal recessive pattern of inheritance combined with genetic heterogeneity: Type II is associated with biallelic mutations (both homozygous and compound heterozygous) in the RECQL4 gene mapping to chromosome 8q24.3 for a helicase whose gene product is useful for DNA replication and repair; as such 65% of people tested have mutations in that gene. On the other hand, the genetic basis of Type I is unknown. RECQL4 mutations render the patient at increased risk for neoplastic development.</w:t>
      </w:r>
    </w:p>
    <w:p w14:paraId="1457E591" w14:textId="77777777" w:rsidR="000C761B" w:rsidRPr="000C761B" w:rsidRDefault="000C761B" w:rsidP="000C761B">
      <w:pPr>
        <w:rPr>
          <w:rFonts w:ascii="Arial" w:hAnsi="Arial" w:cs="Arial"/>
        </w:rPr>
      </w:pPr>
      <w:r w:rsidRPr="000C761B">
        <w:rPr>
          <w:rFonts w:ascii="Arial" w:hAnsi="Arial" w:cs="Arial"/>
        </w:rPr>
        <w:t xml:space="preserve">The clinical onset of RTS is generally in infancy with poikiloderma, which subsequently later involves the extremities and buttocks. Other features are hypoplasia of the scalp hair, eyebrows, and eyelashes, limb and skeletal malformations such as radial ray defects, dental anomalies, and growth retardation [1]. Photosensitivity, affecting about 30% of RTS patients, leads to the formation of blistering skin lesions upon exposure to sunlight. Over the years, warty keratoses could appear in other sun-keeping areas and eventually develop into skin cancers, basal cell carcinoma in the majority of cases. Also, an increase of incidence of melanoma can be seen generally from ages 20 to 30. RTS increases the risk of other neoplasms in addition to the common skin cancers, including hematologic malignancies, gastrointestinal tumors, and osteosarcoma. Our patient contained features that match the classical picture of RTS Type II-including poikiloderma, sparse hair, thumb hypoplasia, and developmental delay [5,7]. </w:t>
      </w:r>
    </w:p>
    <w:p w14:paraId="0B0EB902" w14:textId="77777777" w:rsidR="000C761B" w:rsidRPr="000C761B" w:rsidRDefault="000C761B" w:rsidP="000C761B">
      <w:pPr>
        <w:rPr>
          <w:rFonts w:ascii="Arial" w:hAnsi="Arial" w:cs="Arial"/>
        </w:rPr>
      </w:pPr>
      <w:r w:rsidRPr="000C761B">
        <w:rPr>
          <w:rFonts w:ascii="Arial" w:hAnsi="Arial" w:cs="Arial"/>
        </w:rPr>
        <w:t xml:space="preserve">Individuals with RTS often present with various skeletal abnormalities, including shortened bones, an increased tendency for fractures, metaphyseal growth disturbances, and dysplastic alterations in the phalanges. Additionally, there may be underdevelopment (hypoplasia) of the forearm or thumb bones, as well as partial or complete absence of the patella [8]. When these osseous anomalies are observed together, they can provide important diagnostic clues. The most severe </w:t>
      </w:r>
      <w:r w:rsidRPr="000C761B">
        <w:rPr>
          <w:rFonts w:ascii="Arial" w:hAnsi="Arial" w:cs="Arial"/>
        </w:rPr>
        <w:lastRenderedPageBreak/>
        <w:t>complication is the development of osteosarcoma, which is exclusively linked to patients harboring mutations in the RECQL4 gene [9]. Table 1 describes the main manifestations of RTS and their frequency of presentation.</w:t>
      </w:r>
    </w:p>
    <w:p w14:paraId="4EDC373A" w14:textId="77777777" w:rsidR="000C761B" w:rsidRPr="000C761B" w:rsidRDefault="000C761B" w:rsidP="000C761B">
      <w:pPr>
        <w:rPr>
          <w:rFonts w:ascii="Arial" w:hAnsi="Arial" w:cs="Arial"/>
        </w:rPr>
      </w:pPr>
      <w:proofErr w:type="spellStart"/>
      <w:r w:rsidRPr="000C761B">
        <w:rPr>
          <w:rFonts w:ascii="Arial" w:hAnsi="Arial" w:cs="Arial"/>
        </w:rPr>
        <w:t>Dermoscopy</w:t>
      </w:r>
      <w:proofErr w:type="spellEnd"/>
      <w:r w:rsidRPr="000C761B">
        <w:rPr>
          <w:rFonts w:ascii="Arial" w:hAnsi="Arial" w:cs="Arial"/>
        </w:rPr>
        <w:t xml:space="preserve"> in RTS is not extensively described in the literature, but it can aid in differentiating poikiloderma from other pigmentary disorders. In our case, </w:t>
      </w:r>
      <w:proofErr w:type="spellStart"/>
      <w:r w:rsidRPr="000C761B">
        <w:rPr>
          <w:rFonts w:ascii="Arial" w:hAnsi="Arial" w:cs="Arial"/>
        </w:rPr>
        <w:t>dermoscopy</w:t>
      </w:r>
      <w:proofErr w:type="spellEnd"/>
      <w:r w:rsidRPr="000C761B">
        <w:rPr>
          <w:rFonts w:ascii="Arial" w:hAnsi="Arial" w:cs="Arial"/>
        </w:rPr>
        <w:t xml:space="preserve"> underscored the telangiectatic element of poikiloderma and heterogeneous pigmentation, correlating with chronic cutaneous changes due to atrophies and vascular dilatation [4]. The absence of malignant </w:t>
      </w:r>
      <w:proofErr w:type="spellStart"/>
      <w:r w:rsidRPr="000C761B">
        <w:rPr>
          <w:rFonts w:ascii="Arial" w:hAnsi="Arial" w:cs="Arial"/>
        </w:rPr>
        <w:t>dermoscopic</w:t>
      </w:r>
      <w:proofErr w:type="spellEnd"/>
      <w:r w:rsidRPr="000C761B">
        <w:rPr>
          <w:rFonts w:ascii="Arial" w:hAnsi="Arial" w:cs="Arial"/>
        </w:rPr>
        <w:t xml:space="preserve"> features is reassuring but does not take away from the need for close monitoring.</w:t>
      </w:r>
    </w:p>
    <w:p w14:paraId="713F7A11" w14:textId="77777777" w:rsidR="000C761B" w:rsidRPr="000C761B" w:rsidRDefault="000C761B" w:rsidP="000C761B">
      <w:pPr>
        <w:rPr>
          <w:rFonts w:ascii="Arial" w:hAnsi="Arial" w:cs="Arial"/>
        </w:rPr>
      </w:pPr>
      <w:r w:rsidRPr="000C761B">
        <w:rPr>
          <w:rFonts w:ascii="Arial" w:hAnsi="Arial" w:cs="Arial"/>
        </w:rPr>
        <w:t>The diagnosis of RTS depends on clinical features and combination testing; poikiloderma is typical but, due to its non-specific nature, genetic confirmation should always be undertaken in unusual cases [3]. Other genodermatoses would be differential diagnoses within the group, whereby these would include Bloom syndrome, Cockayne syndrome, and dyskeratosis congenita.</w:t>
      </w:r>
    </w:p>
    <w:p w14:paraId="2B3AE1C0" w14:textId="77777777" w:rsidR="000C761B" w:rsidRPr="000C761B" w:rsidRDefault="000C761B" w:rsidP="000C761B">
      <w:pPr>
        <w:rPr>
          <w:rFonts w:ascii="Arial" w:hAnsi="Arial" w:cs="Arial"/>
        </w:rPr>
      </w:pPr>
      <w:r w:rsidRPr="000C761B">
        <w:rPr>
          <w:rFonts w:ascii="Arial" w:hAnsi="Arial" w:cs="Arial"/>
        </w:rPr>
        <w:t xml:space="preserve">Histopathological examination revealed features consistent with poikiloderma, including hyperkeratosis, epidermal thinning (atrophy), and vacuolar degeneration at the basal layer. Occasional apoptotic keratinocytes were identified within the basal layer. The dermis exhibited numerous telangiectatic blood vessels, scattered </w:t>
      </w:r>
      <w:proofErr w:type="spellStart"/>
      <w:r w:rsidRPr="000C761B">
        <w:rPr>
          <w:rFonts w:ascii="Arial" w:hAnsi="Arial" w:cs="Arial"/>
        </w:rPr>
        <w:t>melanophages</w:t>
      </w:r>
      <w:proofErr w:type="spellEnd"/>
      <w:r w:rsidRPr="000C761B">
        <w:rPr>
          <w:rFonts w:ascii="Arial" w:hAnsi="Arial" w:cs="Arial"/>
        </w:rPr>
        <w:t>, and a variable inflammatory infiltrate predominantly located in the upper dermis [10,11].</w:t>
      </w:r>
    </w:p>
    <w:p w14:paraId="0CF35B18" w14:textId="77777777" w:rsidR="000C761B" w:rsidRPr="000C761B" w:rsidRDefault="000C761B" w:rsidP="000C761B">
      <w:pPr>
        <w:rPr>
          <w:rFonts w:ascii="Arial" w:hAnsi="Arial" w:cs="Arial"/>
        </w:rPr>
      </w:pPr>
    </w:p>
    <w:p w14:paraId="6EFA611C" w14:textId="77777777" w:rsidR="000C761B" w:rsidRPr="000C761B" w:rsidRDefault="000C761B" w:rsidP="000C761B">
      <w:pPr>
        <w:rPr>
          <w:rFonts w:ascii="Arial" w:hAnsi="Arial" w:cs="Arial"/>
        </w:rPr>
      </w:pPr>
      <w:r w:rsidRPr="000C761B">
        <w:rPr>
          <w:rFonts w:ascii="Arial" w:hAnsi="Arial" w:cs="Arial"/>
        </w:rPr>
        <w:t>Type II of RTS presents with a very high rate of cancer, with the most common being osteosarcoma, where this often presents during the teenage years. Other derived cancers also include squamous cell carcinoma and basal cell carcinoma [1,2]. Both of these warrant regular dermatology screenings along with imaging studies, which would seek a likely early detection. The prognosis of RTS largely depends on the development of malignant neoplasms. Despite this risk, there have been documented cases of individuals living beyond 50 years of age, indicating that long-term survival is possible, particularly in the absence of severe cancer-related complications [12].</w:t>
      </w:r>
    </w:p>
    <w:p w14:paraId="166C749F" w14:textId="77777777" w:rsidR="000C761B" w:rsidRPr="000C761B" w:rsidRDefault="000C761B" w:rsidP="000C761B">
      <w:pPr>
        <w:rPr>
          <w:rFonts w:ascii="Arial" w:hAnsi="Arial" w:cs="Arial"/>
        </w:rPr>
      </w:pPr>
      <w:r w:rsidRPr="000C761B">
        <w:rPr>
          <w:rFonts w:ascii="Arial" w:hAnsi="Arial" w:cs="Arial"/>
        </w:rPr>
        <w:t>The management of RTS patients relies on a multidisciplinary approach combined with genetic counseling to facilitate the early detection of syndrome-associated manifestations. This strategy ensures close monitoring to identify any signs of neoplastic development at an early stage [13]. For cutaneous lesions, the primary focus is on avoiding ultraviolet (UV) exposure through rigorous photoprotection measures. Recent evidence suggests that telangiectatic lesions respond well to treatment with pulsed dye laser [14]. In the absence of malignant tumor development, patients typically have a normal life expectancy [15].</w:t>
      </w:r>
    </w:p>
    <w:p w14:paraId="60204C22" w14:textId="77777777" w:rsidR="00790ADA" w:rsidRDefault="00790ADA" w:rsidP="00441B6F">
      <w:pPr>
        <w:pStyle w:val="Body"/>
        <w:spacing w:after="0"/>
        <w:rPr>
          <w:rFonts w:ascii="Arial" w:hAnsi="Arial" w:cs="Arial"/>
        </w:rPr>
      </w:pPr>
    </w:p>
    <w:p w14:paraId="52159C47" w14:textId="15AD6466" w:rsidR="00863BD3" w:rsidRDefault="009500A6" w:rsidP="00441B6F">
      <w:pPr>
        <w:tabs>
          <w:tab w:val="left" w:pos="1080"/>
        </w:tabs>
        <w:jc w:val="both"/>
        <w:rPr>
          <w:rFonts w:ascii="Arial" w:hAnsi="Arial"/>
          <w:b/>
        </w:rPr>
      </w:pPr>
      <w:r>
        <w:rPr>
          <w:rFonts w:ascii="Arial" w:hAnsi="Arial"/>
          <w:b/>
        </w:rPr>
        <w:t>Table 1.</w:t>
      </w:r>
      <w:r w:rsidR="00863BD3" w:rsidRPr="00DC3180">
        <w:rPr>
          <w:rFonts w:ascii="Arial" w:hAnsi="Arial"/>
          <w:b/>
        </w:rPr>
        <w:tab/>
      </w:r>
      <w:r w:rsidR="000C761B">
        <w:rPr>
          <w:rFonts w:ascii="Arial" w:hAnsi="Arial" w:cs="Arial"/>
          <w:b/>
          <w:bCs/>
        </w:rPr>
        <w:t>T</w:t>
      </w:r>
      <w:r w:rsidR="000C761B" w:rsidRPr="000C761B">
        <w:rPr>
          <w:rFonts w:ascii="Arial" w:hAnsi="Arial" w:cs="Arial"/>
          <w:b/>
          <w:bCs/>
        </w:rPr>
        <w:t>he main manifestations of RTS and their frequency of presentation [16].</w:t>
      </w:r>
    </w:p>
    <w:p w14:paraId="22192729" w14:textId="77777777" w:rsidR="00863BD3" w:rsidRPr="00DC3180" w:rsidRDefault="00863BD3" w:rsidP="00441B6F">
      <w:pPr>
        <w:tabs>
          <w:tab w:val="left" w:pos="1080"/>
        </w:tabs>
        <w:jc w:val="both"/>
        <w:rPr>
          <w:rFonts w:ascii="Arial" w:hAnsi="Arial"/>
          <w:b/>
        </w:rPr>
      </w:pPr>
    </w:p>
    <w:tbl>
      <w:tblPr>
        <w:tblStyle w:val="TableNormal1"/>
        <w:tblW w:w="0" w:type="auto"/>
        <w:tblInd w:w="553" w:type="dxa"/>
        <w:tblBorders>
          <w:top w:val="single" w:sz="4" w:space="0" w:color="auto"/>
          <w:bottom w:val="single" w:sz="4" w:space="0" w:color="auto"/>
        </w:tblBorders>
        <w:shd w:val="clear" w:color="auto" w:fill="FFFFFF" w:themeFill="background1"/>
        <w:tblLayout w:type="fixed"/>
        <w:tblLook w:val="01E0" w:firstRow="1" w:lastRow="1" w:firstColumn="1" w:lastColumn="1" w:noHBand="0" w:noVBand="0"/>
      </w:tblPr>
      <w:tblGrid>
        <w:gridCol w:w="3421"/>
        <w:gridCol w:w="1015"/>
      </w:tblGrid>
      <w:tr w:rsidR="006A1248" w14:paraId="747E95D0" w14:textId="77777777" w:rsidTr="006A1248">
        <w:trPr>
          <w:trHeight w:val="332"/>
        </w:trPr>
        <w:tc>
          <w:tcPr>
            <w:tcW w:w="3421" w:type="dxa"/>
            <w:tcBorders>
              <w:top w:val="single" w:sz="4" w:space="0" w:color="auto"/>
              <w:bottom w:val="single" w:sz="4" w:space="0" w:color="auto"/>
            </w:tcBorders>
            <w:shd w:val="clear" w:color="auto" w:fill="FFFFFF" w:themeFill="background1"/>
          </w:tcPr>
          <w:p w14:paraId="6408CD74" w14:textId="77777777" w:rsidR="006A1248" w:rsidRPr="005243D8" w:rsidRDefault="006A1248" w:rsidP="00D96572">
            <w:pPr>
              <w:pStyle w:val="TableParagraph"/>
              <w:rPr>
                <w:b/>
                <w:sz w:val="16"/>
              </w:rPr>
            </w:pPr>
            <w:r w:rsidRPr="005243D8">
              <w:rPr>
                <w:b/>
                <w:w w:val="85"/>
                <w:sz w:val="16"/>
              </w:rPr>
              <w:t>Clinical</w:t>
            </w:r>
            <w:r w:rsidRPr="005243D8">
              <w:rPr>
                <w:b/>
                <w:spacing w:val="9"/>
                <w:sz w:val="16"/>
              </w:rPr>
              <w:t xml:space="preserve"> </w:t>
            </w:r>
            <w:r w:rsidRPr="005243D8">
              <w:rPr>
                <w:b/>
                <w:spacing w:val="-2"/>
                <w:w w:val="95"/>
                <w:sz w:val="16"/>
              </w:rPr>
              <w:t>manifestations</w:t>
            </w:r>
          </w:p>
        </w:tc>
        <w:tc>
          <w:tcPr>
            <w:tcW w:w="1015" w:type="dxa"/>
            <w:tcBorders>
              <w:top w:val="single" w:sz="4" w:space="0" w:color="auto"/>
              <w:bottom w:val="single" w:sz="4" w:space="0" w:color="auto"/>
            </w:tcBorders>
            <w:shd w:val="clear" w:color="auto" w:fill="FFFFFF" w:themeFill="background1"/>
          </w:tcPr>
          <w:p w14:paraId="40BED859" w14:textId="77777777" w:rsidR="006A1248" w:rsidRPr="005243D8" w:rsidRDefault="006A1248" w:rsidP="00D96572">
            <w:pPr>
              <w:pStyle w:val="TableParagraph"/>
              <w:ind w:left="10"/>
              <w:jc w:val="center"/>
              <w:rPr>
                <w:b/>
                <w:sz w:val="16"/>
              </w:rPr>
            </w:pPr>
            <w:r w:rsidRPr="005243D8">
              <w:rPr>
                <w:b/>
                <w:spacing w:val="-2"/>
                <w:w w:val="90"/>
                <w:sz w:val="16"/>
              </w:rPr>
              <w:t>Percentage</w:t>
            </w:r>
          </w:p>
        </w:tc>
      </w:tr>
      <w:tr w:rsidR="006A1248" w14:paraId="129F68C4" w14:textId="77777777" w:rsidTr="006A1248">
        <w:trPr>
          <w:trHeight w:val="1662"/>
        </w:trPr>
        <w:tc>
          <w:tcPr>
            <w:tcW w:w="3421" w:type="dxa"/>
            <w:tcBorders>
              <w:top w:val="single" w:sz="4" w:space="0" w:color="auto"/>
            </w:tcBorders>
            <w:shd w:val="clear" w:color="auto" w:fill="FFFFFF" w:themeFill="background1"/>
          </w:tcPr>
          <w:p w14:paraId="37463158" w14:textId="77777777" w:rsidR="006A1248" w:rsidRDefault="006A1248" w:rsidP="00D96572">
            <w:pPr>
              <w:pStyle w:val="TableParagraph"/>
              <w:spacing w:line="192" w:lineRule="exact"/>
              <w:rPr>
                <w:sz w:val="16"/>
              </w:rPr>
            </w:pPr>
            <w:r>
              <w:rPr>
                <w:color w:val="231F20"/>
                <w:spacing w:val="-4"/>
                <w:sz w:val="16"/>
              </w:rPr>
              <w:t>Skin</w:t>
            </w:r>
          </w:p>
          <w:p w14:paraId="1ADFBC49" w14:textId="77777777" w:rsidR="006A1248" w:rsidRDefault="006A1248" w:rsidP="006A1248">
            <w:pPr>
              <w:pStyle w:val="TableParagraph"/>
              <w:numPr>
                <w:ilvl w:val="0"/>
                <w:numId w:val="31"/>
              </w:numPr>
              <w:tabs>
                <w:tab w:val="left" w:pos="331"/>
                <w:tab w:val="left" w:pos="333"/>
              </w:tabs>
              <w:spacing w:before="1" w:line="235" w:lineRule="auto"/>
              <w:ind w:right="282"/>
              <w:rPr>
                <w:sz w:val="16"/>
              </w:rPr>
            </w:pPr>
            <w:r>
              <w:rPr>
                <w:color w:val="231F20"/>
                <w:spacing w:val="-4"/>
                <w:sz w:val="16"/>
              </w:rPr>
              <w:t>Erythema</w:t>
            </w:r>
            <w:r>
              <w:rPr>
                <w:color w:val="231F20"/>
                <w:spacing w:val="-9"/>
                <w:sz w:val="16"/>
              </w:rPr>
              <w:t xml:space="preserve"> </w:t>
            </w:r>
            <w:r>
              <w:rPr>
                <w:color w:val="231F20"/>
                <w:spacing w:val="-4"/>
                <w:sz w:val="16"/>
              </w:rPr>
              <w:t>and</w:t>
            </w:r>
            <w:r>
              <w:rPr>
                <w:color w:val="231F20"/>
                <w:spacing w:val="-8"/>
                <w:sz w:val="16"/>
              </w:rPr>
              <w:t xml:space="preserve"> </w:t>
            </w:r>
            <w:r>
              <w:rPr>
                <w:color w:val="231F20"/>
                <w:spacing w:val="-4"/>
                <w:sz w:val="16"/>
              </w:rPr>
              <w:t>facial</w:t>
            </w:r>
            <w:r>
              <w:rPr>
                <w:color w:val="231F20"/>
                <w:spacing w:val="-9"/>
                <w:sz w:val="16"/>
              </w:rPr>
              <w:t xml:space="preserve"> </w:t>
            </w:r>
            <w:r>
              <w:rPr>
                <w:color w:val="231F20"/>
                <w:spacing w:val="-4"/>
                <w:sz w:val="16"/>
              </w:rPr>
              <w:t>edema,</w:t>
            </w:r>
            <w:r>
              <w:rPr>
                <w:color w:val="231F20"/>
                <w:spacing w:val="-8"/>
                <w:sz w:val="16"/>
              </w:rPr>
              <w:t xml:space="preserve"> </w:t>
            </w:r>
            <w:r>
              <w:rPr>
                <w:color w:val="231F20"/>
                <w:spacing w:val="-4"/>
                <w:sz w:val="16"/>
              </w:rPr>
              <w:t>in</w:t>
            </w:r>
            <w:r>
              <w:rPr>
                <w:color w:val="231F20"/>
                <w:spacing w:val="-9"/>
                <w:sz w:val="16"/>
              </w:rPr>
              <w:t xml:space="preserve"> </w:t>
            </w:r>
            <w:r>
              <w:rPr>
                <w:color w:val="231F20"/>
                <w:spacing w:val="-4"/>
                <w:sz w:val="16"/>
              </w:rPr>
              <w:t>early</w:t>
            </w:r>
            <w:r>
              <w:rPr>
                <w:color w:val="231F20"/>
                <w:spacing w:val="-8"/>
                <w:sz w:val="16"/>
              </w:rPr>
              <w:t xml:space="preserve"> </w:t>
            </w:r>
            <w:r>
              <w:rPr>
                <w:color w:val="231F20"/>
                <w:spacing w:val="-4"/>
                <w:sz w:val="16"/>
              </w:rPr>
              <w:t xml:space="preserve">ages, </w:t>
            </w:r>
            <w:r>
              <w:rPr>
                <w:color w:val="231F20"/>
                <w:w w:val="90"/>
                <w:sz w:val="16"/>
              </w:rPr>
              <w:t xml:space="preserve">evolving to poikiloderma changes: atrophy, </w:t>
            </w:r>
            <w:r>
              <w:rPr>
                <w:color w:val="231F20"/>
                <w:spacing w:val="-2"/>
                <w:sz w:val="16"/>
              </w:rPr>
              <w:t>telangiectasias, hyperpigmentation, or hypopigmentation</w:t>
            </w:r>
          </w:p>
          <w:p w14:paraId="144702A8" w14:textId="77777777" w:rsidR="006A1248" w:rsidRDefault="006A1248" w:rsidP="006A1248">
            <w:pPr>
              <w:pStyle w:val="TableParagraph"/>
              <w:numPr>
                <w:ilvl w:val="0"/>
                <w:numId w:val="31"/>
              </w:numPr>
              <w:tabs>
                <w:tab w:val="left" w:pos="332"/>
              </w:tabs>
              <w:spacing w:before="0" w:line="191" w:lineRule="exact"/>
              <w:ind w:left="332" w:hanging="99"/>
              <w:rPr>
                <w:sz w:val="16"/>
              </w:rPr>
            </w:pPr>
            <w:r>
              <w:rPr>
                <w:color w:val="231F20"/>
                <w:w w:val="90"/>
                <w:sz w:val="16"/>
              </w:rPr>
              <w:t>Photosensitivity,</w:t>
            </w:r>
            <w:r>
              <w:rPr>
                <w:color w:val="231F20"/>
                <w:spacing w:val="2"/>
                <w:sz w:val="16"/>
              </w:rPr>
              <w:t xml:space="preserve"> </w:t>
            </w:r>
            <w:r>
              <w:rPr>
                <w:color w:val="231F20"/>
                <w:spacing w:val="-2"/>
                <w:sz w:val="16"/>
              </w:rPr>
              <w:t>blistering</w:t>
            </w:r>
          </w:p>
          <w:p w14:paraId="033D9B1C" w14:textId="77777777" w:rsidR="006A1248" w:rsidRDefault="006A1248" w:rsidP="006A1248">
            <w:pPr>
              <w:pStyle w:val="TableParagraph"/>
              <w:numPr>
                <w:ilvl w:val="0"/>
                <w:numId w:val="31"/>
              </w:numPr>
              <w:tabs>
                <w:tab w:val="left" w:pos="332"/>
              </w:tabs>
              <w:spacing w:before="0" w:line="190" w:lineRule="exact"/>
              <w:ind w:left="332" w:hanging="99"/>
              <w:rPr>
                <w:sz w:val="16"/>
              </w:rPr>
            </w:pPr>
            <w:r>
              <w:rPr>
                <w:color w:val="231F20"/>
                <w:w w:val="90"/>
                <w:sz w:val="16"/>
              </w:rPr>
              <w:t>Hyperkeratosis</w:t>
            </w:r>
            <w:r>
              <w:rPr>
                <w:color w:val="231F20"/>
                <w:spacing w:val="-2"/>
                <w:sz w:val="16"/>
              </w:rPr>
              <w:t xml:space="preserve"> </w:t>
            </w:r>
            <w:r>
              <w:rPr>
                <w:color w:val="231F20"/>
                <w:w w:val="90"/>
                <w:sz w:val="16"/>
              </w:rPr>
              <w:t>on</w:t>
            </w:r>
            <w:r>
              <w:rPr>
                <w:color w:val="231F20"/>
                <w:spacing w:val="-1"/>
                <w:sz w:val="16"/>
              </w:rPr>
              <w:t xml:space="preserve"> </w:t>
            </w:r>
            <w:r>
              <w:rPr>
                <w:color w:val="231F20"/>
                <w:w w:val="90"/>
                <w:sz w:val="16"/>
              </w:rPr>
              <w:t>hands,</w:t>
            </w:r>
            <w:r>
              <w:rPr>
                <w:color w:val="231F20"/>
                <w:spacing w:val="-2"/>
                <w:sz w:val="16"/>
              </w:rPr>
              <w:t xml:space="preserve"> </w:t>
            </w:r>
            <w:r>
              <w:rPr>
                <w:color w:val="231F20"/>
                <w:w w:val="90"/>
                <w:sz w:val="16"/>
              </w:rPr>
              <w:t>feet,</w:t>
            </w:r>
            <w:r>
              <w:rPr>
                <w:color w:val="231F20"/>
                <w:spacing w:val="-1"/>
                <w:sz w:val="16"/>
              </w:rPr>
              <w:t xml:space="preserve"> </w:t>
            </w:r>
            <w:r>
              <w:rPr>
                <w:color w:val="231F20"/>
                <w:spacing w:val="-2"/>
                <w:w w:val="90"/>
                <w:sz w:val="16"/>
              </w:rPr>
              <w:t>knees</w:t>
            </w:r>
          </w:p>
          <w:p w14:paraId="6D743DDD" w14:textId="77777777" w:rsidR="006A1248" w:rsidRDefault="006A1248" w:rsidP="006A1248">
            <w:pPr>
              <w:pStyle w:val="TableParagraph"/>
              <w:numPr>
                <w:ilvl w:val="0"/>
                <w:numId w:val="31"/>
              </w:numPr>
              <w:tabs>
                <w:tab w:val="left" w:pos="332"/>
              </w:tabs>
              <w:spacing w:before="0" w:line="192" w:lineRule="exact"/>
              <w:ind w:left="332" w:hanging="99"/>
              <w:rPr>
                <w:sz w:val="16"/>
              </w:rPr>
            </w:pPr>
            <w:r>
              <w:rPr>
                <w:color w:val="231F20"/>
                <w:spacing w:val="-4"/>
                <w:sz w:val="16"/>
              </w:rPr>
              <w:t>Calcinosis</w:t>
            </w:r>
            <w:r>
              <w:rPr>
                <w:color w:val="231F20"/>
                <w:spacing w:val="2"/>
                <w:sz w:val="16"/>
              </w:rPr>
              <w:t xml:space="preserve"> </w:t>
            </w:r>
            <w:r>
              <w:rPr>
                <w:color w:val="231F20"/>
                <w:spacing w:val="-4"/>
                <w:sz w:val="16"/>
              </w:rPr>
              <w:t>cutis,</w:t>
            </w:r>
            <w:r>
              <w:rPr>
                <w:color w:val="231F20"/>
                <w:spacing w:val="2"/>
                <w:sz w:val="16"/>
              </w:rPr>
              <w:t xml:space="preserve"> </w:t>
            </w:r>
            <w:r>
              <w:rPr>
                <w:color w:val="231F20"/>
                <w:spacing w:val="-4"/>
                <w:sz w:val="16"/>
              </w:rPr>
              <w:t>actinic</w:t>
            </w:r>
            <w:r>
              <w:rPr>
                <w:color w:val="231F20"/>
                <w:spacing w:val="2"/>
                <w:sz w:val="16"/>
              </w:rPr>
              <w:t xml:space="preserve"> </w:t>
            </w:r>
            <w:r>
              <w:rPr>
                <w:color w:val="231F20"/>
                <w:spacing w:val="-4"/>
                <w:sz w:val="16"/>
              </w:rPr>
              <w:t>keratosis</w:t>
            </w:r>
          </w:p>
        </w:tc>
        <w:tc>
          <w:tcPr>
            <w:tcW w:w="1015" w:type="dxa"/>
            <w:tcBorders>
              <w:top w:val="single" w:sz="4" w:space="0" w:color="auto"/>
            </w:tcBorders>
            <w:shd w:val="clear" w:color="auto" w:fill="FFFFFF" w:themeFill="background1"/>
          </w:tcPr>
          <w:p w14:paraId="1F762613" w14:textId="77777777" w:rsidR="006A1248" w:rsidRDefault="006A1248" w:rsidP="00D96572">
            <w:pPr>
              <w:pStyle w:val="TableParagraph"/>
              <w:ind w:left="10"/>
              <w:jc w:val="center"/>
              <w:rPr>
                <w:sz w:val="16"/>
              </w:rPr>
            </w:pPr>
            <w:r>
              <w:rPr>
                <w:color w:val="231F20"/>
                <w:spacing w:val="-5"/>
                <w:w w:val="90"/>
                <w:sz w:val="16"/>
              </w:rPr>
              <w:t>90%</w:t>
            </w:r>
          </w:p>
        </w:tc>
      </w:tr>
      <w:tr w:rsidR="006A1248" w14:paraId="7F0BA5BC" w14:textId="77777777" w:rsidTr="006A1248">
        <w:trPr>
          <w:trHeight w:val="712"/>
        </w:trPr>
        <w:tc>
          <w:tcPr>
            <w:tcW w:w="3421" w:type="dxa"/>
            <w:shd w:val="clear" w:color="auto" w:fill="FFFFFF" w:themeFill="background1"/>
          </w:tcPr>
          <w:p w14:paraId="0882F415" w14:textId="77777777" w:rsidR="006A1248" w:rsidRDefault="006A1248" w:rsidP="00D96572">
            <w:pPr>
              <w:pStyle w:val="TableParagraph"/>
              <w:spacing w:line="192" w:lineRule="exact"/>
              <w:rPr>
                <w:sz w:val="16"/>
              </w:rPr>
            </w:pPr>
            <w:r>
              <w:rPr>
                <w:color w:val="231F20"/>
                <w:spacing w:val="-4"/>
                <w:sz w:val="16"/>
              </w:rPr>
              <w:t>Hair</w:t>
            </w:r>
          </w:p>
          <w:p w14:paraId="22DA8B0B" w14:textId="77777777" w:rsidR="006A1248" w:rsidRDefault="006A1248" w:rsidP="00D96572">
            <w:pPr>
              <w:pStyle w:val="TableParagraph"/>
              <w:spacing w:before="1" w:line="235" w:lineRule="auto"/>
              <w:ind w:left="333" w:hanging="101"/>
              <w:rPr>
                <w:sz w:val="16"/>
              </w:rPr>
            </w:pPr>
            <w:r>
              <w:rPr>
                <w:rFonts w:ascii="Times New Roman" w:hAnsi="Times New Roman"/>
                <w:color w:val="231F20"/>
                <w:spacing w:val="-2"/>
                <w:sz w:val="16"/>
              </w:rPr>
              <w:t>–</w:t>
            </w:r>
            <w:r>
              <w:rPr>
                <w:rFonts w:ascii="Times New Roman" w:hAnsi="Times New Roman"/>
                <w:color w:val="231F20"/>
                <w:spacing w:val="-8"/>
                <w:sz w:val="16"/>
              </w:rPr>
              <w:t xml:space="preserve"> </w:t>
            </w:r>
            <w:r>
              <w:rPr>
                <w:color w:val="231F20"/>
                <w:spacing w:val="-2"/>
                <w:sz w:val="16"/>
              </w:rPr>
              <w:t>Fine,</w:t>
            </w:r>
            <w:r>
              <w:rPr>
                <w:color w:val="231F20"/>
                <w:spacing w:val="-11"/>
                <w:sz w:val="16"/>
              </w:rPr>
              <w:t xml:space="preserve"> </w:t>
            </w:r>
            <w:r>
              <w:rPr>
                <w:color w:val="231F20"/>
                <w:spacing w:val="-2"/>
                <w:sz w:val="16"/>
              </w:rPr>
              <w:t>sparse,</w:t>
            </w:r>
            <w:r>
              <w:rPr>
                <w:color w:val="231F20"/>
                <w:spacing w:val="-10"/>
                <w:sz w:val="16"/>
              </w:rPr>
              <w:t xml:space="preserve"> </w:t>
            </w:r>
            <w:r>
              <w:rPr>
                <w:color w:val="231F20"/>
                <w:spacing w:val="-2"/>
                <w:sz w:val="16"/>
              </w:rPr>
              <w:t>progressing</w:t>
            </w:r>
            <w:r>
              <w:rPr>
                <w:color w:val="231F20"/>
                <w:spacing w:val="-11"/>
                <w:sz w:val="16"/>
              </w:rPr>
              <w:t xml:space="preserve"> </w:t>
            </w:r>
            <w:r>
              <w:rPr>
                <w:color w:val="231F20"/>
                <w:spacing w:val="-2"/>
                <w:sz w:val="16"/>
              </w:rPr>
              <w:t>to</w:t>
            </w:r>
            <w:r>
              <w:rPr>
                <w:color w:val="231F20"/>
                <w:spacing w:val="-10"/>
                <w:sz w:val="16"/>
              </w:rPr>
              <w:t xml:space="preserve"> </w:t>
            </w:r>
            <w:r>
              <w:rPr>
                <w:color w:val="231F20"/>
                <w:spacing w:val="-2"/>
                <w:sz w:val="16"/>
              </w:rPr>
              <w:t>partial</w:t>
            </w:r>
            <w:r>
              <w:rPr>
                <w:color w:val="231F20"/>
                <w:spacing w:val="-11"/>
                <w:sz w:val="16"/>
              </w:rPr>
              <w:t xml:space="preserve"> </w:t>
            </w:r>
            <w:r>
              <w:rPr>
                <w:color w:val="231F20"/>
                <w:spacing w:val="-2"/>
                <w:sz w:val="16"/>
              </w:rPr>
              <w:t>or</w:t>
            </w:r>
            <w:r>
              <w:rPr>
                <w:color w:val="231F20"/>
                <w:spacing w:val="-10"/>
                <w:sz w:val="16"/>
              </w:rPr>
              <w:t xml:space="preserve"> </w:t>
            </w:r>
            <w:r>
              <w:rPr>
                <w:color w:val="231F20"/>
                <w:spacing w:val="-2"/>
                <w:sz w:val="16"/>
              </w:rPr>
              <w:t xml:space="preserve">total </w:t>
            </w:r>
            <w:r>
              <w:rPr>
                <w:color w:val="231F20"/>
                <w:spacing w:val="-6"/>
                <w:sz w:val="16"/>
              </w:rPr>
              <w:t>alopecia,</w:t>
            </w:r>
            <w:r>
              <w:rPr>
                <w:color w:val="231F20"/>
                <w:spacing w:val="-8"/>
                <w:sz w:val="16"/>
              </w:rPr>
              <w:t xml:space="preserve"> </w:t>
            </w:r>
            <w:r>
              <w:rPr>
                <w:color w:val="231F20"/>
                <w:spacing w:val="-6"/>
                <w:sz w:val="16"/>
              </w:rPr>
              <w:t>absence</w:t>
            </w:r>
            <w:r>
              <w:rPr>
                <w:color w:val="231F20"/>
                <w:spacing w:val="-8"/>
                <w:sz w:val="16"/>
              </w:rPr>
              <w:t xml:space="preserve"> </w:t>
            </w:r>
            <w:r>
              <w:rPr>
                <w:color w:val="231F20"/>
                <w:spacing w:val="-6"/>
                <w:sz w:val="16"/>
              </w:rPr>
              <w:t>of</w:t>
            </w:r>
            <w:r>
              <w:rPr>
                <w:color w:val="231F20"/>
                <w:spacing w:val="-8"/>
                <w:sz w:val="16"/>
              </w:rPr>
              <w:t xml:space="preserve"> </w:t>
            </w:r>
            <w:r>
              <w:rPr>
                <w:color w:val="231F20"/>
                <w:spacing w:val="-6"/>
                <w:sz w:val="16"/>
              </w:rPr>
              <w:t>eyebrows</w:t>
            </w:r>
            <w:r>
              <w:rPr>
                <w:color w:val="231F20"/>
                <w:spacing w:val="-8"/>
                <w:sz w:val="16"/>
              </w:rPr>
              <w:t xml:space="preserve"> </w:t>
            </w:r>
            <w:r>
              <w:rPr>
                <w:color w:val="231F20"/>
                <w:spacing w:val="-6"/>
                <w:sz w:val="16"/>
              </w:rPr>
              <w:t>and</w:t>
            </w:r>
            <w:r>
              <w:rPr>
                <w:color w:val="231F20"/>
                <w:spacing w:val="-8"/>
                <w:sz w:val="16"/>
              </w:rPr>
              <w:t xml:space="preserve"> </w:t>
            </w:r>
            <w:r>
              <w:rPr>
                <w:color w:val="231F20"/>
                <w:spacing w:val="-6"/>
                <w:sz w:val="16"/>
              </w:rPr>
              <w:t>eyelashes</w:t>
            </w:r>
          </w:p>
        </w:tc>
        <w:tc>
          <w:tcPr>
            <w:tcW w:w="1015" w:type="dxa"/>
            <w:shd w:val="clear" w:color="auto" w:fill="FFFFFF" w:themeFill="background1"/>
          </w:tcPr>
          <w:p w14:paraId="3514EE6D" w14:textId="77777777" w:rsidR="006A1248" w:rsidRDefault="006A1248" w:rsidP="00D96572">
            <w:pPr>
              <w:pStyle w:val="TableParagraph"/>
              <w:ind w:left="10"/>
              <w:jc w:val="center"/>
              <w:rPr>
                <w:sz w:val="16"/>
              </w:rPr>
            </w:pPr>
            <w:r>
              <w:rPr>
                <w:color w:val="231F20"/>
                <w:spacing w:val="-5"/>
                <w:w w:val="90"/>
                <w:sz w:val="16"/>
              </w:rPr>
              <w:t>30%</w:t>
            </w:r>
          </w:p>
        </w:tc>
      </w:tr>
      <w:tr w:rsidR="006A1248" w14:paraId="08ECAC7C" w14:textId="77777777" w:rsidTr="006A1248">
        <w:trPr>
          <w:trHeight w:val="522"/>
        </w:trPr>
        <w:tc>
          <w:tcPr>
            <w:tcW w:w="3421" w:type="dxa"/>
            <w:shd w:val="clear" w:color="auto" w:fill="FFFFFF" w:themeFill="background1"/>
          </w:tcPr>
          <w:p w14:paraId="7CE20AD7" w14:textId="77777777" w:rsidR="006A1248" w:rsidRDefault="006A1248" w:rsidP="00D96572">
            <w:pPr>
              <w:pStyle w:val="TableParagraph"/>
              <w:spacing w:line="192" w:lineRule="exact"/>
              <w:rPr>
                <w:sz w:val="16"/>
              </w:rPr>
            </w:pPr>
            <w:r>
              <w:rPr>
                <w:color w:val="231F20"/>
                <w:spacing w:val="-2"/>
                <w:sz w:val="16"/>
              </w:rPr>
              <w:t>Nails</w:t>
            </w:r>
          </w:p>
          <w:p w14:paraId="06C6C961" w14:textId="77777777" w:rsidR="006A1248" w:rsidRDefault="006A1248" w:rsidP="00D96572">
            <w:pPr>
              <w:pStyle w:val="TableParagraph"/>
              <w:spacing w:before="0" w:line="193" w:lineRule="exact"/>
              <w:ind w:left="233"/>
              <w:rPr>
                <w:sz w:val="16"/>
              </w:rPr>
            </w:pPr>
            <w:r>
              <w:rPr>
                <w:rFonts w:ascii="Times New Roman" w:hAnsi="Times New Roman"/>
                <w:color w:val="231F20"/>
                <w:w w:val="90"/>
                <w:sz w:val="16"/>
              </w:rPr>
              <w:t>–</w:t>
            </w:r>
            <w:r>
              <w:rPr>
                <w:rFonts w:ascii="Times New Roman" w:hAnsi="Times New Roman"/>
                <w:color w:val="231F20"/>
                <w:sz w:val="16"/>
              </w:rPr>
              <w:t xml:space="preserve"> </w:t>
            </w:r>
            <w:r>
              <w:rPr>
                <w:color w:val="231F20"/>
                <w:w w:val="90"/>
                <w:sz w:val="16"/>
              </w:rPr>
              <w:t>Nail</w:t>
            </w:r>
            <w:r>
              <w:rPr>
                <w:color w:val="231F20"/>
                <w:spacing w:val="-5"/>
                <w:w w:val="90"/>
                <w:sz w:val="16"/>
              </w:rPr>
              <w:t xml:space="preserve"> </w:t>
            </w:r>
            <w:r>
              <w:rPr>
                <w:color w:val="231F20"/>
                <w:w w:val="90"/>
                <w:sz w:val="16"/>
              </w:rPr>
              <w:t>dystrophy,</w:t>
            </w:r>
            <w:r>
              <w:rPr>
                <w:color w:val="231F20"/>
                <w:spacing w:val="-5"/>
                <w:w w:val="90"/>
                <w:sz w:val="16"/>
              </w:rPr>
              <w:t xml:space="preserve"> </w:t>
            </w:r>
            <w:r>
              <w:rPr>
                <w:color w:val="231F20"/>
                <w:spacing w:val="-2"/>
                <w:w w:val="90"/>
                <w:sz w:val="16"/>
              </w:rPr>
              <w:t>anonychia</w:t>
            </w:r>
          </w:p>
        </w:tc>
        <w:tc>
          <w:tcPr>
            <w:tcW w:w="1015" w:type="dxa"/>
            <w:shd w:val="clear" w:color="auto" w:fill="FFFFFF" w:themeFill="background1"/>
          </w:tcPr>
          <w:p w14:paraId="132837AD" w14:textId="77777777" w:rsidR="006A1248" w:rsidRDefault="006A1248" w:rsidP="00D96572">
            <w:pPr>
              <w:pStyle w:val="TableParagraph"/>
              <w:ind w:left="10"/>
              <w:jc w:val="center"/>
              <w:rPr>
                <w:sz w:val="16"/>
              </w:rPr>
            </w:pPr>
            <w:r>
              <w:rPr>
                <w:color w:val="231F20"/>
                <w:spacing w:val="-5"/>
                <w:w w:val="90"/>
                <w:sz w:val="16"/>
              </w:rPr>
              <w:t>30%</w:t>
            </w:r>
          </w:p>
        </w:tc>
      </w:tr>
      <w:tr w:rsidR="006A1248" w14:paraId="65BE29F5" w14:textId="77777777" w:rsidTr="006A1248">
        <w:trPr>
          <w:trHeight w:val="522"/>
        </w:trPr>
        <w:tc>
          <w:tcPr>
            <w:tcW w:w="3421" w:type="dxa"/>
            <w:shd w:val="clear" w:color="auto" w:fill="FFFFFF" w:themeFill="background1"/>
          </w:tcPr>
          <w:p w14:paraId="7AA1D335" w14:textId="77777777" w:rsidR="006A1248" w:rsidRDefault="006A1248" w:rsidP="00D96572">
            <w:pPr>
              <w:pStyle w:val="TableParagraph"/>
              <w:spacing w:line="192" w:lineRule="exact"/>
              <w:rPr>
                <w:sz w:val="16"/>
              </w:rPr>
            </w:pPr>
            <w:r>
              <w:rPr>
                <w:color w:val="231F20"/>
                <w:w w:val="90"/>
                <w:sz w:val="16"/>
              </w:rPr>
              <w:t>Dental</w:t>
            </w:r>
            <w:r>
              <w:rPr>
                <w:color w:val="231F20"/>
                <w:spacing w:val="-1"/>
                <w:sz w:val="16"/>
              </w:rPr>
              <w:t xml:space="preserve"> </w:t>
            </w:r>
            <w:r>
              <w:rPr>
                <w:color w:val="231F20"/>
                <w:spacing w:val="-2"/>
                <w:sz w:val="16"/>
              </w:rPr>
              <w:t>disorders</w:t>
            </w:r>
          </w:p>
          <w:p w14:paraId="2D308101" w14:textId="77777777" w:rsidR="006A1248" w:rsidRDefault="006A1248" w:rsidP="00D96572">
            <w:pPr>
              <w:pStyle w:val="TableParagraph"/>
              <w:spacing w:before="0" w:line="193" w:lineRule="exact"/>
              <w:ind w:left="233"/>
              <w:rPr>
                <w:sz w:val="16"/>
              </w:rPr>
            </w:pPr>
            <w:r>
              <w:rPr>
                <w:rFonts w:ascii="Times New Roman" w:hAnsi="Times New Roman"/>
                <w:color w:val="231F20"/>
                <w:w w:val="90"/>
                <w:sz w:val="16"/>
              </w:rPr>
              <w:t>–</w:t>
            </w:r>
            <w:r>
              <w:rPr>
                <w:rFonts w:ascii="Times New Roman" w:hAnsi="Times New Roman"/>
                <w:color w:val="231F20"/>
                <w:spacing w:val="13"/>
                <w:sz w:val="16"/>
              </w:rPr>
              <w:t xml:space="preserve"> </w:t>
            </w:r>
            <w:r>
              <w:rPr>
                <w:color w:val="231F20"/>
                <w:w w:val="90"/>
                <w:sz w:val="16"/>
              </w:rPr>
              <w:t>Caries,</w:t>
            </w:r>
            <w:r>
              <w:rPr>
                <w:color w:val="231F20"/>
                <w:spacing w:val="3"/>
                <w:sz w:val="16"/>
              </w:rPr>
              <w:t xml:space="preserve"> </w:t>
            </w:r>
            <w:r>
              <w:rPr>
                <w:color w:val="231F20"/>
                <w:w w:val="90"/>
                <w:sz w:val="16"/>
              </w:rPr>
              <w:t>microdontia,</w:t>
            </w:r>
            <w:r>
              <w:rPr>
                <w:color w:val="231F20"/>
                <w:spacing w:val="4"/>
                <w:sz w:val="16"/>
              </w:rPr>
              <w:t xml:space="preserve"> </w:t>
            </w:r>
            <w:r>
              <w:rPr>
                <w:color w:val="231F20"/>
                <w:w w:val="90"/>
                <w:sz w:val="16"/>
              </w:rPr>
              <w:t>conical</w:t>
            </w:r>
            <w:r>
              <w:rPr>
                <w:color w:val="231F20"/>
                <w:spacing w:val="3"/>
                <w:sz w:val="16"/>
              </w:rPr>
              <w:t xml:space="preserve"> </w:t>
            </w:r>
            <w:r>
              <w:rPr>
                <w:color w:val="231F20"/>
                <w:spacing w:val="-2"/>
                <w:w w:val="90"/>
                <w:sz w:val="16"/>
              </w:rPr>
              <w:t>teeth</w:t>
            </w:r>
          </w:p>
        </w:tc>
        <w:tc>
          <w:tcPr>
            <w:tcW w:w="1015" w:type="dxa"/>
            <w:shd w:val="clear" w:color="auto" w:fill="FFFFFF" w:themeFill="background1"/>
          </w:tcPr>
          <w:p w14:paraId="38D1DAA8" w14:textId="77777777" w:rsidR="006A1248" w:rsidRDefault="006A1248" w:rsidP="00D96572">
            <w:pPr>
              <w:pStyle w:val="TableParagraph"/>
              <w:ind w:left="10"/>
              <w:jc w:val="center"/>
              <w:rPr>
                <w:sz w:val="16"/>
              </w:rPr>
            </w:pPr>
            <w:r>
              <w:rPr>
                <w:color w:val="231F20"/>
                <w:spacing w:val="-5"/>
                <w:w w:val="90"/>
                <w:sz w:val="16"/>
              </w:rPr>
              <w:t>40%</w:t>
            </w:r>
          </w:p>
        </w:tc>
      </w:tr>
      <w:tr w:rsidR="006A1248" w14:paraId="05DB0B55" w14:textId="77777777" w:rsidTr="006A1248">
        <w:trPr>
          <w:trHeight w:val="902"/>
        </w:trPr>
        <w:tc>
          <w:tcPr>
            <w:tcW w:w="3421" w:type="dxa"/>
            <w:shd w:val="clear" w:color="auto" w:fill="FFFFFF" w:themeFill="background1"/>
          </w:tcPr>
          <w:p w14:paraId="4B5C8E6B" w14:textId="77777777" w:rsidR="006A1248" w:rsidRDefault="006A1248" w:rsidP="00D96572">
            <w:pPr>
              <w:pStyle w:val="TableParagraph"/>
              <w:spacing w:line="192" w:lineRule="exact"/>
              <w:rPr>
                <w:sz w:val="16"/>
              </w:rPr>
            </w:pPr>
            <w:r>
              <w:rPr>
                <w:color w:val="231F20"/>
                <w:spacing w:val="-5"/>
                <w:sz w:val="16"/>
              </w:rPr>
              <w:t>Skeletal</w:t>
            </w:r>
            <w:r>
              <w:rPr>
                <w:color w:val="231F20"/>
                <w:spacing w:val="2"/>
                <w:sz w:val="16"/>
              </w:rPr>
              <w:t xml:space="preserve"> </w:t>
            </w:r>
            <w:r>
              <w:rPr>
                <w:color w:val="231F20"/>
                <w:spacing w:val="-2"/>
                <w:sz w:val="16"/>
              </w:rPr>
              <w:t>alterations</w:t>
            </w:r>
          </w:p>
          <w:p w14:paraId="38D086B9" w14:textId="77777777" w:rsidR="006A1248" w:rsidRDefault="006A1248" w:rsidP="00D96572">
            <w:pPr>
              <w:pStyle w:val="TableParagraph"/>
              <w:spacing w:before="1" w:line="235" w:lineRule="auto"/>
              <w:ind w:left="333" w:hanging="101"/>
              <w:rPr>
                <w:sz w:val="16"/>
              </w:rPr>
            </w:pPr>
            <w:r>
              <w:rPr>
                <w:rFonts w:ascii="Times New Roman" w:hAnsi="Times New Roman"/>
                <w:color w:val="231F20"/>
                <w:sz w:val="16"/>
              </w:rPr>
              <w:t>–</w:t>
            </w:r>
            <w:r>
              <w:rPr>
                <w:rFonts w:ascii="Times New Roman" w:hAnsi="Times New Roman"/>
                <w:color w:val="231F20"/>
                <w:spacing w:val="-10"/>
                <w:sz w:val="16"/>
              </w:rPr>
              <w:t xml:space="preserve"> </w:t>
            </w:r>
            <w:r>
              <w:rPr>
                <w:color w:val="231F20"/>
                <w:sz w:val="16"/>
              </w:rPr>
              <w:t>Saddle</w:t>
            </w:r>
            <w:r>
              <w:rPr>
                <w:color w:val="231F20"/>
                <w:spacing w:val="-13"/>
                <w:sz w:val="16"/>
              </w:rPr>
              <w:t xml:space="preserve"> </w:t>
            </w:r>
            <w:r>
              <w:rPr>
                <w:color w:val="231F20"/>
                <w:sz w:val="16"/>
              </w:rPr>
              <w:t>nose,</w:t>
            </w:r>
            <w:r>
              <w:rPr>
                <w:color w:val="231F20"/>
                <w:spacing w:val="-12"/>
                <w:sz w:val="16"/>
              </w:rPr>
              <w:t xml:space="preserve"> </w:t>
            </w:r>
            <w:r>
              <w:rPr>
                <w:color w:val="231F20"/>
                <w:sz w:val="16"/>
              </w:rPr>
              <w:t>prognathism,</w:t>
            </w:r>
            <w:r>
              <w:rPr>
                <w:color w:val="231F20"/>
                <w:spacing w:val="-13"/>
                <w:sz w:val="16"/>
              </w:rPr>
              <w:t xml:space="preserve"> </w:t>
            </w:r>
            <w:r>
              <w:rPr>
                <w:color w:val="231F20"/>
                <w:sz w:val="16"/>
              </w:rPr>
              <w:t>agenesis</w:t>
            </w:r>
            <w:r>
              <w:rPr>
                <w:color w:val="231F20"/>
                <w:spacing w:val="-12"/>
                <w:sz w:val="16"/>
              </w:rPr>
              <w:t xml:space="preserve"> </w:t>
            </w:r>
            <w:r>
              <w:rPr>
                <w:color w:val="231F20"/>
                <w:sz w:val="16"/>
              </w:rPr>
              <w:t xml:space="preserve">of </w:t>
            </w:r>
            <w:r>
              <w:rPr>
                <w:color w:val="231F20"/>
                <w:w w:val="90"/>
                <w:sz w:val="16"/>
              </w:rPr>
              <w:t xml:space="preserve">carpus and thumb, syndactyly, osteogenesis </w:t>
            </w:r>
            <w:r>
              <w:rPr>
                <w:color w:val="231F20"/>
                <w:sz w:val="16"/>
              </w:rPr>
              <w:t>imperfecta,</w:t>
            </w:r>
            <w:r>
              <w:rPr>
                <w:color w:val="231F20"/>
                <w:spacing w:val="-13"/>
                <w:sz w:val="16"/>
              </w:rPr>
              <w:t xml:space="preserve"> </w:t>
            </w:r>
            <w:r>
              <w:rPr>
                <w:color w:val="231F20"/>
                <w:sz w:val="16"/>
              </w:rPr>
              <w:t>hyperostosis,</w:t>
            </w:r>
            <w:r>
              <w:rPr>
                <w:color w:val="231F20"/>
                <w:spacing w:val="-12"/>
                <w:sz w:val="16"/>
              </w:rPr>
              <w:t xml:space="preserve"> </w:t>
            </w:r>
            <w:r>
              <w:rPr>
                <w:color w:val="231F20"/>
                <w:sz w:val="16"/>
              </w:rPr>
              <w:t>osteoporosis</w:t>
            </w:r>
          </w:p>
        </w:tc>
        <w:tc>
          <w:tcPr>
            <w:tcW w:w="1015" w:type="dxa"/>
            <w:shd w:val="clear" w:color="auto" w:fill="FFFFFF" w:themeFill="background1"/>
          </w:tcPr>
          <w:p w14:paraId="32CD379B" w14:textId="77777777" w:rsidR="006A1248" w:rsidRDefault="006A1248" w:rsidP="00D96572">
            <w:pPr>
              <w:pStyle w:val="TableParagraph"/>
              <w:ind w:left="10"/>
              <w:jc w:val="center"/>
              <w:rPr>
                <w:sz w:val="16"/>
              </w:rPr>
            </w:pPr>
            <w:r>
              <w:rPr>
                <w:color w:val="231F20"/>
                <w:spacing w:val="-5"/>
                <w:w w:val="90"/>
                <w:sz w:val="16"/>
              </w:rPr>
              <w:t>70%</w:t>
            </w:r>
          </w:p>
        </w:tc>
      </w:tr>
      <w:tr w:rsidR="006A1248" w14:paraId="40F90EE7" w14:textId="77777777" w:rsidTr="006A1248">
        <w:trPr>
          <w:trHeight w:val="1092"/>
        </w:trPr>
        <w:tc>
          <w:tcPr>
            <w:tcW w:w="3421" w:type="dxa"/>
            <w:shd w:val="clear" w:color="auto" w:fill="FFFFFF" w:themeFill="background1"/>
          </w:tcPr>
          <w:p w14:paraId="3F4E5D13" w14:textId="77777777" w:rsidR="006A1248" w:rsidRDefault="006A1248" w:rsidP="00D96572">
            <w:pPr>
              <w:pStyle w:val="TableParagraph"/>
              <w:spacing w:line="192" w:lineRule="exact"/>
              <w:rPr>
                <w:sz w:val="16"/>
              </w:rPr>
            </w:pPr>
            <w:r>
              <w:rPr>
                <w:color w:val="231F20"/>
                <w:w w:val="90"/>
                <w:sz w:val="16"/>
              </w:rPr>
              <w:t>Ocular</w:t>
            </w:r>
            <w:r>
              <w:rPr>
                <w:color w:val="231F20"/>
                <w:spacing w:val="8"/>
                <w:sz w:val="16"/>
              </w:rPr>
              <w:t xml:space="preserve"> </w:t>
            </w:r>
            <w:r>
              <w:rPr>
                <w:color w:val="231F20"/>
                <w:spacing w:val="-2"/>
                <w:sz w:val="16"/>
              </w:rPr>
              <w:t>alterations</w:t>
            </w:r>
          </w:p>
          <w:p w14:paraId="3C556749" w14:textId="77777777" w:rsidR="006A1248" w:rsidRDefault="006A1248" w:rsidP="00D96572">
            <w:pPr>
              <w:pStyle w:val="TableParagraph"/>
              <w:spacing w:before="1" w:line="235" w:lineRule="auto"/>
              <w:ind w:left="333" w:hanging="101"/>
              <w:rPr>
                <w:sz w:val="16"/>
              </w:rPr>
            </w:pPr>
            <w:r>
              <w:rPr>
                <w:rFonts w:ascii="Times New Roman" w:hAnsi="Times New Roman"/>
                <w:color w:val="231F20"/>
                <w:sz w:val="16"/>
              </w:rPr>
              <w:t>–</w:t>
            </w:r>
            <w:r>
              <w:rPr>
                <w:rFonts w:ascii="Times New Roman" w:hAnsi="Times New Roman"/>
                <w:color w:val="231F20"/>
                <w:spacing w:val="-10"/>
                <w:sz w:val="16"/>
              </w:rPr>
              <w:t xml:space="preserve"> </w:t>
            </w:r>
            <w:r>
              <w:rPr>
                <w:color w:val="231F20"/>
                <w:sz w:val="16"/>
              </w:rPr>
              <w:t>Cataracts,</w:t>
            </w:r>
            <w:r>
              <w:rPr>
                <w:color w:val="231F20"/>
                <w:spacing w:val="-13"/>
                <w:sz w:val="16"/>
              </w:rPr>
              <w:t xml:space="preserve"> </w:t>
            </w:r>
            <w:r>
              <w:rPr>
                <w:color w:val="231F20"/>
                <w:sz w:val="16"/>
              </w:rPr>
              <w:t>keratoconus,</w:t>
            </w:r>
            <w:r>
              <w:rPr>
                <w:color w:val="231F20"/>
                <w:spacing w:val="-12"/>
                <w:sz w:val="16"/>
              </w:rPr>
              <w:t xml:space="preserve"> </w:t>
            </w:r>
            <w:r>
              <w:rPr>
                <w:color w:val="231F20"/>
                <w:sz w:val="16"/>
              </w:rPr>
              <w:t xml:space="preserve">coloboma, </w:t>
            </w:r>
            <w:r>
              <w:rPr>
                <w:color w:val="231F20"/>
                <w:w w:val="90"/>
                <w:sz w:val="16"/>
              </w:rPr>
              <w:t xml:space="preserve">strabismus, amblyopia, microphthalmia, optic </w:t>
            </w:r>
            <w:r>
              <w:rPr>
                <w:color w:val="231F20"/>
                <w:spacing w:val="-2"/>
                <w:sz w:val="16"/>
              </w:rPr>
              <w:t>nerve</w:t>
            </w:r>
            <w:r>
              <w:rPr>
                <w:color w:val="231F20"/>
                <w:spacing w:val="-11"/>
                <w:sz w:val="16"/>
              </w:rPr>
              <w:t xml:space="preserve"> </w:t>
            </w:r>
            <w:r>
              <w:rPr>
                <w:color w:val="231F20"/>
                <w:spacing w:val="-2"/>
                <w:sz w:val="16"/>
              </w:rPr>
              <w:t>atrophy,</w:t>
            </w:r>
            <w:r>
              <w:rPr>
                <w:color w:val="231F20"/>
                <w:spacing w:val="-10"/>
                <w:sz w:val="16"/>
              </w:rPr>
              <w:t xml:space="preserve"> </w:t>
            </w:r>
            <w:r>
              <w:rPr>
                <w:color w:val="231F20"/>
                <w:spacing w:val="-2"/>
                <w:sz w:val="16"/>
              </w:rPr>
              <w:t>exophthalmos,</w:t>
            </w:r>
            <w:r>
              <w:rPr>
                <w:color w:val="231F20"/>
                <w:spacing w:val="-11"/>
                <w:sz w:val="16"/>
              </w:rPr>
              <w:t xml:space="preserve"> </w:t>
            </w:r>
            <w:r>
              <w:rPr>
                <w:color w:val="231F20"/>
                <w:spacing w:val="-2"/>
                <w:sz w:val="16"/>
              </w:rPr>
              <w:t xml:space="preserve">glaucoma, </w:t>
            </w:r>
            <w:r>
              <w:rPr>
                <w:color w:val="231F20"/>
                <w:sz w:val="16"/>
              </w:rPr>
              <w:t>photophobia,</w:t>
            </w:r>
            <w:r>
              <w:rPr>
                <w:color w:val="231F20"/>
                <w:spacing w:val="-13"/>
                <w:sz w:val="16"/>
              </w:rPr>
              <w:t xml:space="preserve"> </w:t>
            </w:r>
            <w:r>
              <w:rPr>
                <w:color w:val="231F20"/>
                <w:sz w:val="16"/>
              </w:rPr>
              <w:t>hypertelorism</w:t>
            </w:r>
          </w:p>
        </w:tc>
        <w:tc>
          <w:tcPr>
            <w:tcW w:w="1015" w:type="dxa"/>
            <w:shd w:val="clear" w:color="auto" w:fill="FFFFFF" w:themeFill="background1"/>
          </w:tcPr>
          <w:p w14:paraId="33683D01" w14:textId="77777777" w:rsidR="006A1248" w:rsidRDefault="006A1248" w:rsidP="00D96572">
            <w:pPr>
              <w:pStyle w:val="TableParagraph"/>
              <w:ind w:left="10"/>
              <w:jc w:val="center"/>
              <w:rPr>
                <w:sz w:val="16"/>
              </w:rPr>
            </w:pPr>
            <w:r>
              <w:rPr>
                <w:color w:val="231F20"/>
                <w:spacing w:val="-5"/>
                <w:w w:val="90"/>
                <w:sz w:val="16"/>
              </w:rPr>
              <w:t>50%</w:t>
            </w:r>
          </w:p>
        </w:tc>
      </w:tr>
      <w:tr w:rsidR="006A1248" w14:paraId="754B93A1" w14:textId="77777777" w:rsidTr="006A1248">
        <w:trPr>
          <w:trHeight w:val="1282"/>
        </w:trPr>
        <w:tc>
          <w:tcPr>
            <w:tcW w:w="3421" w:type="dxa"/>
            <w:shd w:val="clear" w:color="auto" w:fill="FFFFFF" w:themeFill="background1"/>
          </w:tcPr>
          <w:p w14:paraId="2DBD8EF5" w14:textId="77777777" w:rsidR="006A1248" w:rsidRDefault="006A1248" w:rsidP="00D96572">
            <w:pPr>
              <w:pStyle w:val="TableParagraph"/>
              <w:spacing w:line="192" w:lineRule="exact"/>
              <w:rPr>
                <w:sz w:val="16"/>
              </w:rPr>
            </w:pPr>
            <w:r>
              <w:rPr>
                <w:color w:val="231F20"/>
                <w:spacing w:val="-2"/>
                <w:sz w:val="16"/>
              </w:rPr>
              <w:lastRenderedPageBreak/>
              <w:t>Neoplasms</w:t>
            </w:r>
          </w:p>
          <w:p w14:paraId="5C221B14" w14:textId="77777777" w:rsidR="006A1248" w:rsidRDefault="006A1248" w:rsidP="00D96572">
            <w:pPr>
              <w:pStyle w:val="TableParagraph"/>
              <w:spacing w:before="1" w:line="235" w:lineRule="auto"/>
              <w:ind w:left="333" w:hanging="101"/>
              <w:rPr>
                <w:sz w:val="16"/>
              </w:rPr>
            </w:pPr>
            <w:r>
              <w:rPr>
                <w:rFonts w:ascii="Times New Roman" w:hAnsi="Times New Roman"/>
                <w:color w:val="231F20"/>
                <w:sz w:val="16"/>
              </w:rPr>
              <w:t xml:space="preserve">– </w:t>
            </w:r>
            <w:r>
              <w:rPr>
                <w:color w:val="231F20"/>
                <w:sz w:val="16"/>
              </w:rPr>
              <w:t>Osteosarcomas,</w:t>
            </w:r>
            <w:r>
              <w:rPr>
                <w:color w:val="231F20"/>
                <w:spacing w:val="-10"/>
                <w:sz w:val="16"/>
              </w:rPr>
              <w:t xml:space="preserve"> </w:t>
            </w:r>
            <w:r>
              <w:rPr>
                <w:color w:val="231F20"/>
                <w:sz w:val="16"/>
              </w:rPr>
              <w:t>basal</w:t>
            </w:r>
            <w:r>
              <w:rPr>
                <w:color w:val="231F20"/>
                <w:spacing w:val="-10"/>
                <w:sz w:val="16"/>
              </w:rPr>
              <w:t xml:space="preserve"> </w:t>
            </w:r>
            <w:r>
              <w:rPr>
                <w:color w:val="231F20"/>
                <w:sz w:val="16"/>
              </w:rPr>
              <w:t>cell</w:t>
            </w:r>
            <w:r>
              <w:rPr>
                <w:color w:val="231F20"/>
                <w:spacing w:val="-10"/>
                <w:sz w:val="16"/>
              </w:rPr>
              <w:t xml:space="preserve"> </w:t>
            </w:r>
            <w:r>
              <w:rPr>
                <w:color w:val="231F20"/>
                <w:sz w:val="16"/>
              </w:rPr>
              <w:t>carcinoma, squamous</w:t>
            </w:r>
            <w:r>
              <w:rPr>
                <w:color w:val="231F20"/>
                <w:spacing w:val="-13"/>
                <w:sz w:val="16"/>
              </w:rPr>
              <w:t xml:space="preserve"> </w:t>
            </w:r>
            <w:r>
              <w:rPr>
                <w:color w:val="231F20"/>
                <w:sz w:val="16"/>
              </w:rPr>
              <w:t>cell</w:t>
            </w:r>
            <w:r>
              <w:rPr>
                <w:color w:val="231F20"/>
                <w:spacing w:val="-12"/>
                <w:sz w:val="16"/>
              </w:rPr>
              <w:t xml:space="preserve"> </w:t>
            </w:r>
            <w:r>
              <w:rPr>
                <w:color w:val="231F20"/>
                <w:sz w:val="16"/>
              </w:rPr>
              <w:t>carcinoma,</w:t>
            </w:r>
            <w:r>
              <w:rPr>
                <w:color w:val="231F20"/>
                <w:spacing w:val="-13"/>
                <w:sz w:val="16"/>
              </w:rPr>
              <w:t xml:space="preserve"> </w:t>
            </w:r>
            <w:r>
              <w:rPr>
                <w:color w:val="231F20"/>
                <w:sz w:val="16"/>
              </w:rPr>
              <w:t xml:space="preserve">melanoma, </w:t>
            </w:r>
            <w:r>
              <w:rPr>
                <w:color w:val="231F20"/>
                <w:w w:val="90"/>
                <w:sz w:val="16"/>
              </w:rPr>
              <w:t xml:space="preserve">fibrosarcoma, lymphoma, gastric carcinoma, myelodysplastic syndrome, acute myelocytic </w:t>
            </w:r>
            <w:r>
              <w:rPr>
                <w:color w:val="231F20"/>
                <w:spacing w:val="-2"/>
                <w:sz w:val="16"/>
              </w:rPr>
              <w:t>leukemia.</w:t>
            </w:r>
          </w:p>
        </w:tc>
        <w:tc>
          <w:tcPr>
            <w:tcW w:w="1015" w:type="dxa"/>
            <w:shd w:val="clear" w:color="auto" w:fill="FFFFFF" w:themeFill="background1"/>
          </w:tcPr>
          <w:p w14:paraId="2375B272" w14:textId="77777777" w:rsidR="006A1248" w:rsidRDefault="006A1248" w:rsidP="00D96572">
            <w:pPr>
              <w:pStyle w:val="TableParagraph"/>
              <w:ind w:left="10"/>
              <w:jc w:val="center"/>
              <w:rPr>
                <w:sz w:val="16"/>
              </w:rPr>
            </w:pPr>
            <w:r>
              <w:rPr>
                <w:color w:val="231F20"/>
                <w:w w:val="80"/>
                <w:sz w:val="16"/>
              </w:rPr>
              <w:t>3-</w:t>
            </w:r>
            <w:r>
              <w:rPr>
                <w:color w:val="231F20"/>
                <w:spacing w:val="-5"/>
                <w:w w:val="95"/>
                <w:sz w:val="16"/>
              </w:rPr>
              <w:t>32%</w:t>
            </w:r>
          </w:p>
        </w:tc>
      </w:tr>
      <w:tr w:rsidR="006A1248" w14:paraId="2B7FC4DA" w14:textId="77777777" w:rsidTr="006A1248">
        <w:trPr>
          <w:trHeight w:val="712"/>
        </w:trPr>
        <w:tc>
          <w:tcPr>
            <w:tcW w:w="3421" w:type="dxa"/>
            <w:shd w:val="clear" w:color="auto" w:fill="FFFFFF" w:themeFill="background1"/>
          </w:tcPr>
          <w:p w14:paraId="6F6B8DFB" w14:textId="77777777" w:rsidR="006A1248" w:rsidRDefault="006A1248" w:rsidP="00D96572">
            <w:pPr>
              <w:pStyle w:val="TableParagraph"/>
              <w:spacing w:line="192" w:lineRule="exact"/>
              <w:rPr>
                <w:sz w:val="16"/>
              </w:rPr>
            </w:pPr>
            <w:r>
              <w:rPr>
                <w:color w:val="231F20"/>
                <w:spacing w:val="-2"/>
                <w:sz w:val="16"/>
              </w:rPr>
              <w:t>Others</w:t>
            </w:r>
          </w:p>
          <w:p w14:paraId="0C32D830" w14:textId="77777777" w:rsidR="006A1248" w:rsidRDefault="006A1248" w:rsidP="00D96572">
            <w:pPr>
              <w:pStyle w:val="TableParagraph"/>
              <w:spacing w:before="1" w:line="235" w:lineRule="auto"/>
              <w:ind w:left="333" w:hanging="101"/>
              <w:rPr>
                <w:sz w:val="16"/>
              </w:rPr>
            </w:pPr>
            <w:r>
              <w:rPr>
                <w:rFonts w:ascii="Times New Roman" w:hAnsi="Times New Roman"/>
                <w:color w:val="231F20"/>
                <w:w w:val="90"/>
                <w:sz w:val="16"/>
              </w:rPr>
              <w:t>–</w:t>
            </w:r>
            <w:r>
              <w:rPr>
                <w:rFonts w:ascii="Times New Roman" w:hAnsi="Times New Roman"/>
                <w:color w:val="231F20"/>
                <w:sz w:val="16"/>
              </w:rPr>
              <w:t xml:space="preserve"> </w:t>
            </w:r>
            <w:r>
              <w:rPr>
                <w:color w:val="231F20"/>
                <w:w w:val="90"/>
                <w:sz w:val="16"/>
              </w:rPr>
              <w:t xml:space="preserve">Low birth weight, growth retardation, short </w:t>
            </w:r>
            <w:r>
              <w:rPr>
                <w:color w:val="231F20"/>
                <w:sz w:val="16"/>
              </w:rPr>
              <w:t>stature,</w:t>
            </w:r>
            <w:r>
              <w:rPr>
                <w:color w:val="231F20"/>
                <w:spacing w:val="-1"/>
                <w:sz w:val="16"/>
              </w:rPr>
              <w:t xml:space="preserve"> </w:t>
            </w:r>
            <w:r>
              <w:rPr>
                <w:color w:val="231F20"/>
                <w:sz w:val="16"/>
              </w:rPr>
              <w:t>hypogonadism</w:t>
            </w:r>
          </w:p>
        </w:tc>
        <w:tc>
          <w:tcPr>
            <w:tcW w:w="1015" w:type="dxa"/>
            <w:shd w:val="clear" w:color="auto" w:fill="FFFFFF" w:themeFill="background1"/>
          </w:tcPr>
          <w:p w14:paraId="159C629C" w14:textId="77777777" w:rsidR="006A1248" w:rsidRDefault="006A1248" w:rsidP="00D96572">
            <w:pPr>
              <w:pStyle w:val="TableParagraph"/>
              <w:ind w:left="10"/>
              <w:jc w:val="center"/>
              <w:rPr>
                <w:sz w:val="16"/>
              </w:rPr>
            </w:pPr>
            <w:r>
              <w:rPr>
                <w:color w:val="231F20"/>
                <w:w w:val="80"/>
                <w:sz w:val="16"/>
              </w:rPr>
              <w:t>20-</w:t>
            </w:r>
            <w:r>
              <w:rPr>
                <w:color w:val="231F20"/>
                <w:spacing w:val="-5"/>
                <w:w w:val="90"/>
                <w:sz w:val="16"/>
              </w:rPr>
              <w:t>50%</w:t>
            </w:r>
          </w:p>
        </w:tc>
      </w:tr>
    </w:tbl>
    <w:p w14:paraId="248C2AEC" w14:textId="77777777" w:rsidR="00863BD3" w:rsidRDefault="00863BD3" w:rsidP="00441B6F">
      <w:pPr>
        <w:pStyle w:val="BodyText3"/>
        <w:tabs>
          <w:tab w:val="left" w:pos="1080"/>
        </w:tabs>
        <w:spacing w:after="0"/>
        <w:ind w:left="1080" w:hanging="1080"/>
        <w:jc w:val="both"/>
        <w:rPr>
          <w:rFonts w:ascii="Arial" w:hAnsi="Arial"/>
          <w:b/>
          <w:sz w:val="20"/>
          <w:szCs w:val="20"/>
        </w:rPr>
      </w:pPr>
    </w:p>
    <w:p w14:paraId="7E8020C7" w14:textId="28673232" w:rsidR="00927834" w:rsidRDefault="00927834" w:rsidP="00441B6F">
      <w:pPr>
        <w:autoSpaceDE w:val="0"/>
        <w:autoSpaceDN w:val="0"/>
        <w:adjustRightInd w:val="0"/>
        <w:jc w:val="both"/>
        <w:rPr>
          <w:rFonts w:ascii="Arial" w:hAnsi="Arial" w:cs="Arial"/>
          <w:b/>
          <w:bCs/>
          <w:sz w:val="22"/>
          <w:szCs w:val="22"/>
        </w:rPr>
      </w:pPr>
    </w:p>
    <w:p w14:paraId="0BEF1B14" w14:textId="77777777" w:rsidR="006A1248" w:rsidRDefault="006A1248" w:rsidP="00441B6F">
      <w:pPr>
        <w:autoSpaceDE w:val="0"/>
        <w:autoSpaceDN w:val="0"/>
        <w:adjustRightInd w:val="0"/>
        <w:jc w:val="both"/>
        <w:rPr>
          <w:rFonts w:ascii="Arial" w:hAnsi="Arial" w:cs="Arial"/>
          <w:b/>
          <w:bCs/>
          <w:sz w:val="22"/>
          <w:szCs w:val="22"/>
        </w:rPr>
      </w:pPr>
    </w:p>
    <w:p w14:paraId="7C602A9F" w14:textId="77777777" w:rsidR="006A1248" w:rsidRDefault="006A1248" w:rsidP="00441B6F">
      <w:pPr>
        <w:autoSpaceDE w:val="0"/>
        <w:autoSpaceDN w:val="0"/>
        <w:adjustRightInd w:val="0"/>
        <w:jc w:val="both"/>
        <w:rPr>
          <w:rFonts w:ascii="Arial" w:hAnsi="Arial" w:cs="Arial"/>
          <w:b/>
          <w:bCs/>
          <w:sz w:val="22"/>
          <w:szCs w:val="22"/>
        </w:rPr>
      </w:pPr>
    </w:p>
    <w:p w14:paraId="3C7A2599" w14:textId="77777777" w:rsidR="006A1248" w:rsidRDefault="006A1248" w:rsidP="00441B6F">
      <w:pPr>
        <w:autoSpaceDE w:val="0"/>
        <w:autoSpaceDN w:val="0"/>
        <w:adjustRightInd w:val="0"/>
        <w:jc w:val="both"/>
        <w:rPr>
          <w:rFonts w:ascii="Arial" w:hAnsi="Arial" w:cs="Arial"/>
          <w:b/>
          <w:bCs/>
          <w:sz w:val="22"/>
          <w:szCs w:val="22"/>
        </w:rPr>
      </w:pPr>
    </w:p>
    <w:p w14:paraId="7C8B7DCE" w14:textId="77777777" w:rsidR="006A1248" w:rsidRDefault="006A1248" w:rsidP="00441B6F">
      <w:pPr>
        <w:autoSpaceDE w:val="0"/>
        <w:autoSpaceDN w:val="0"/>
        <w:adjustRightInd w:val="0"/>
        <w:jc w:val="both"/>
        <w:rPr>
          <w:rFonts w:ascii="Arial" w:hAnsi="Arial" w:cs="Arial"/>
          <w:b/>
          <w:bCs/>
          <w:sz w:val="22"/>
          <w:szCs w:val="22"/>
        </w:rPr>
      </w:pPr>
    </w:p>
    <w:p w14:paraId="54DB487C" w14:textId="77777777" w:rsidR="006A1248" w:rsidRDefault="006A1248" w:rsidP="00441B6F">
      <w:pPr>
        <w:autoSpaceDE w:val="0"/>
        <w:autoSpaceDN w:val="0"/>
        <w:adjustRightInd w:val="0"/>
        <w:jc w:val="both"/>
        <w:rPr>
          <w:rFonts w:ascii="Arial" w:hAnsi="Arial" w:cs="Arial"/>
          <w:b/>
          <w:bCs/>
          <w:sz w:val="22"/>
          <w:szCs w:val="22"/>
        </w:rPr>
      </w:pPr>
    </w:p>
    <w:p w14:paraId="1E466DC8" w14:textId="00B400F9" w:rsidR="006A1248" w:rsidRDefault="006A1248" w:rsidP="00441B6F">
      <w:pPr>
        <w:autoSpaceDE w:val="0"/>
        <w:autoSpaceDN w:val="0"/>
        <w:adjustRightInd w:val="0"/>
        <w:jc w:val="both"/>
        <w:rPr>
          <w:rFonts w:ascii="Arial" w:hAnsi="Arial" w:cs="Arial"/>
          <w:b/>
          <w:bCs/>
          <w:sz w:val="22"/>
          <w:szCs w:val="22"/>
        </w:rPr>
      </w:pPr>
      <w:r w:rsidRPr="006A1248">
        <w:rPr>
          <w:rFonts w:ascii="Arial" w:hAnsi="Arial" w:cs="Arial"/>
          <w:b/>
          <w:bCs/>
          <w:noProof/>
          <w:sz w:val="22"/>
          <w:szCs w:val="22"/>
        </w:rPr>
        <w:drawing>
          <wp:inline distT="0" distB="0" distL="0" distR="0" wp14:anchorId="1495F45A" wp14:editId="292CE09F">
            <wp:extent cx="3314700" cy="3543300"/>
            <wp:effectExtent l="0" t="0" r="0" b="0"/>
            <wp:docPr id="1288736153" name="Image 1" descr="Une image contenant personne, peau, lunettes de soleil, Visage humai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736153" name="Image 1" descr="Une image contenant personne, peau, lunettes de soleil, Visage humain&#10;&#10;Le contenu généré par l’IA peut être incorrect."/>
                    <pic:cNvPicPr/>
                  </pic:nvPicPr>
                  <pic:blipFill>
                    <a:blip r:embed="rId14"/>
                    <a:stretch>
                      <a:fillRect/>
                    </a:stretch>
                  </pic:blipFill>
                  <pic:spPr>
                    <a:xfrm>
                      <a:off x="0" y="0"/>
                      <a:ext cx="3314700" cy="3543300"/>
                    </a:xfrm>
                    <a:prstGeom prst="rect">
                      <a:avLst/>
                    </a:prstGeom>
                  </pic:spPr>
                </pic:pic>
              </a:graphicData>
            </a:graphic>
          </wp:inline>
        </w:drawing>
      </w:r>
    </w:p>
    <w:p w14:paraId="2D250FEF" w14:textId="77777777" w:rsidR="006A1248" w:rsidRDefault="006A1248" w:rsidP="00441B6F">
      <w:pPr>
        <w:autoSpaceDE w:val="0"/>
        <w:autoSpaceDN w:val="0"/>
        <w:adjustRightInd w:val="0"/>
        <w:jc w:val="both"/>
        <w:rPr>
          <w:rFonts w:ascii="Arial" w:hAnsi="Arial" w:cs="Arial"/>
          <w:b/>
          <w:bCs/>
          <w:sz w:val="22"/>
          <w:szCs w:val="22"/>
        </w:rPr>
      </w:pPr>
    </w:p>
    <w:p w14:paraId="71B63AE9" w14:textId="77777777" w:rsidR="006A1248" w:rsidRPr="006A1248" w:rsidRDefault="006A1248" w:rsidP="006A1248">
      <w:pPr>
        <w:rPr>
          <w:rFonts w:ascii="Arial" w:hAnsi="Arial" w:cs="Arial"/>
          <w:b/>
          <w:bCs/>
          <w:iCs/>
        </w:rPr>
      </w:pPr>
      <w:r w:rsidRPr="006A1248">
        <w:rPr>
          <w:rFonts w:ascii="Arial" w:hAnsi="Arial" w:cs="Arial"/>
          <w:b/>
          <w:bCs/>
          <w:iCs/>
        </w:rPr>
        <w:t>Fig 1:</w:t>
      </w:r>
      <w:r w:rsidRPr="006A1248">
        <w:rPr>
          <w:rFonts w:ascii="Arial" w:hAnsi="Arial" w:cs="Arial"/>
          <w:b/>
          <w:bCs/>
        </w:rPr>
        <w:br/>
      </w:r>
      <w:r w:rsidRPr="006A1248">
        <w:rPr>
          <w:rStyle w:val="Strong"/>
          <w:rFonts w:ascii="Arial" w:hAnsi="Arial" w:cs="Arial"/>
        </w:rPr>
        <w:t>A.</w:t>
      </w:r>
      <w:r w:rsidRPr="006A1248">
        <w:rPr>
          <w:rFonts w:ascii="Arial" w:hAnsi="Arial" w:cs="Arial"/>
          <w:b/>
          <w:bCs/>
        </w:rPr>
        <w:t xml:space="preserve"> Facial skin atrophy, leukoderma-hyperpigmentation, and telangiectasias involving the cheeks and nose.</w:t>
      </w:r>
      <w:r w:rsidRPr="006A1248">
        <w:rPr>
          <w:rFonts w:ascii="Arial" w:hAnsi="Arial" w:cs="Arial"/>
          <w:b/>
          <w:bCs/>
        </w:rPr>
        <w:br/>
      </w:r>
      <w:r w:rsidRPr="006A1248">
        <w:rPr>
          <w:rStyle w:val="Strong"/>
          <w:rFonts w:ascii="Arial" w:hAnsi="Arial" w:cs="Arial"/>
        </w:rPr>
        <w:t>B.</w:t>
      </w:r>
      <w:r w:rsidRPr="006A1248">
        <w:rPr>
          <w:rFonts w:ascii="Arial" w:hAnsi="Arial" w:cs="Arial"/>
          <w:b/>
          <w:bCs/>
        </w:rPr>
        <w:t xml:space="preserve"> Leukoderma-hyperpigmentation with associated atrophy on the dorsal aspect of both hands.</w:t>
      </w:r>
      <w:r w:rsidRPr="006A1248">
        <w:rPr>
          <w:rFonts w:ascii="Arial" w:hAnsi="Arial" w:cs="Arial"/>
          <w:b/>
          <w:bCs/>
        </w:rPr>
        <w:br/>
      </w:r>
      <w:r w:rsidRPr="006A1248">
        <w:rPr>
          <w:rStyle w:val="Strong"/>
          <w:rFonts w:ascii="Arial" w:hAnsi="Arial" w:cs="Arial"/>
        </w:rPr>
        <w:t>C.</w:t>
      </w:r>
      <w:r w:rsidRPr="006A1248">
        <w:rPr>
          <w:rFonts w:ascii="Arial" w:hAnsi="Arial" w:cs="Arial"/>
          <w:b/>
          <w:bCs/>
        </w:rPr>
        <w:t xml:space="preserve"> Poikiloderma on the buttocks.</w:t>
      </w:r>
      <w:r w:rsidRPr="006A1248">
        <w:rPr>
          <w:rFonts w:ascii="Arial" w:hAnsi="Arial" w:cs="Arial"/>
          <w:b/>
          <w:bCs/>
        </w:rPr>
        <w:br/>
      </w:r>
      <w:r w:rsidRPr="006A1248">
        <w:rPr>
          <w:rStyle w:val="Strong"/>
          <w:rFonts w:ascii="Arial" w:hAnsi="Arial" w:cs="Arial"/>
        </w:rPr>
        <w:t>D.</w:t>
      </w:r>
      <w:r w:rsidRPr="006A1248">
        <w:rPr>
          <w:rFonts w:ascii="Arial" w:hAnsi="Arial" w:cs="Arial"/>
          <w:b/>
          <w:bCs/>
        </w:rPr>
        <w:t xml:space="preserve"> Hypoplastic and adducted thumb.</w:t>
      </w:r>
    </w:p>
    <w:p w14:paraId="639EEF89" w14:textId="77777777" w:rsidR="006A1248" w:rsidRDefault="006A1248" w:rsidP="00441B6F">
      <w:pPr>
        <w:autoSpaceDE w:val="0"/>
        <w:autoSpaceDN w:val="0"/>
        <w:adjustRightInd w:val="0"/>
        <w:jc w:val="both"/>
        <w:rPr>
          <w:rFonts w:ascii="Arial" w:hAnsi="Arial" w:cs="Arial"/>
          <w:b/>
          <w:bCs/>
          <w:sz w:val="22"/>
          <w:szCs w:val="22"/>
        </w:rPr>
      </w:pPr>
    </w:p>
    <w:p w14:paraId="14766277" w14:textId="77777777" w:rsidR="00927834" w:rsidRDefault="00927834" w:rsidP="00441B6F">
      <w:pPr>
        <w:autoSpaceDE w:val="0"/>
        <w:autoSpaceDN w:val="0"/>
        <w:adjustRightInd w:val="0"/>
        <w:jc w:val="both"/>
        <w:rPr>
          <w:rFonts w:ascii="Arial" w:hAnsi="Arial" w:cs="Arial"/>
          <w:b/>
          <w:bCs/>
          <w:szCs w:val="22"/>
        </w:rPr>
      </w:pPr>
    </w:p>
    <w:p w14:paraId="59DF0A75" w14:textId="77777777" w:rsidR="00E053D0" w:rsidRDefault="00E053D0" w:rsidP="00441B6F">
      <w:pPr>
        <w:pStyle w:val="Body"/>
        <w:spacing w:after="0"/>
        <w:rPr>
          <w:rFonts w:ascii="Arial" w:hAnsi="Arial" w:cs="Arial"/>
        </w:rPr>
      </w:pPr>
    </w:p>
    <w:p w14:paraId="5CA0FEB9" w14:textId="77777777" w:rsidR="00790ADA" w:rsidRPr="00FB3A86" w:rsidRDefault="00790ADA" w:rsidP="00441B6F">
      <w:pPr>
        <w:pStyle w:val="Body"/>
        <w:spacing w:after="0"/>
        <w:rPr>
          <w:rFonts w:ascii="Arial" w:hAnsi="Arial" w:cs="Arial"/>
        </w:rPr>
      </w:pPr>
    </w:p>
    <w:p w14:paraId="2758DF5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77CE82C" w14:textId="77777777" w:rsidR="00790ADA" w:rsidRPr="00FB3A86" w:rsidRDefault="00790ADA" w:rsidP="00441B6F">
      <w:pPr>
        <w:pStyle w:val="ConcHead"/>
        <w:spacing w:after="0"/>
        <w:jc w:val="both"/>
        <w:rPr>
          <w:rFonts w:ascii="Arial" w:hAnsi="Arial" w:cs="Arial"/>
        </w:rPr>
      </w:pPr>
    </w:p>
    <w:p w14:paraId="52B5927C" w14:textId="77777777" w:rsidR="006A1248" w:rsidRPr="006A1248" w:rsidRDefault="006A1248" w:rsidP="006A1248">
      <w:pPr>
        <w:rPr>
          <w:rFonts w:ascii="Arial" w:hAnsi="Arial" w:cs="Arial"/>
          <w:sz w:val="22"/>
          <w:szCs w:val="22"/>
        </w:rPr>
      </w:pPr>
      <w:r w:rsidRPr="006A1248">
        <w:rPr>
          <w:rFonts w:ascii="Arial" w:hAnsi="Arial" w:cs="Arial"/>
          <w:sz w:val="22"/>
          <w:szCs w:val="22"/>
        </w:rPr>
        <w:t>This case underscores the importance of considering RTS in children with poikiloderma and developmental anomalies, particularly in consanguineous populations. Genetic testing for RECQL4 mutations is crucial for definitive diagnosis. Long-term surveillance for malignancies remains a cornerstone of RTS management.</w:t>
      </w:r>
    </w:p>
    <w:p w14:paraId="2DE3921D" w14:textId="33461EC2" w:rsidR="00B01FCD" w:rsidRDefault="00B01FCD" w:rsidP="006A1248">
      <w:pPr>
        <w:pStyle w:val="Body"/>
        <w:spacing w:after="0"/>
        <w:rPr>
          <w:rFonts w:ascii="Arial" w:hAnsi="Arial" w:cs="Arial"/>
        </w:rPr>
      </w:pPr>
    </w:p>
    <w:p w14:paraId="0E6929DF" w14:textId="77777777" w:rsidR="00790ADA" w:rsidRPr="00FB3A86" w:rsidRDefault="00790ADA" w:rsidP="00441B6F">
      <w:pPr>
        <w:pStyle w:val="Body"/>
        <w:spacing w:after="0"/>
        <w:rPr>
          <w:rFonts w:ascii="Arial" w:hAnsi="Arial" w:cs="Arial"/>
        </w:rPr>
      </w:pPr>
    </w:p>
    <w:p w14:paraId="58517E60" w14:textId="77777777" w:rsidR="002B685A" w:rsidRDefault="002B685A" w:rsidP="00441B6F">
      <w:pPr>
        <w:pStyle w:val="ReferHead"/>
        <w:spacing w:after="0"/>
        <w:jc w:val="both"/>
        <w:rPr>
          <w:rFonts w:ascii="Arial" w:hAnsi="Arial" w:cs="Arial"/>
          <w:b w:val="0"/>
          <w:caps w:val="0"/>
          <w:sz w:val="20"/>
        </w:rPr>
      </w:pPr>
    </w:p>
    <w:p w14:paraId="496A12F9"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0566BC18" w14:textId="77777777" w:rsidR="002B685A" w:rsidRPr="002B685A" w:rsidRDefault="002B685A" w:rsidP="00441B6F">
      <w:pPr>
        <w:pStyle w:val="ReferHead"/>
        <w:spacing w:after="0"/>
        <w:jc w:val="both"/>
        <w:rPr>
          <w:rFonts w:ascii="Arial" w:hAnsi="Arial" w:cs="Arial"/>
          <w:bCs/>
        </w:rPr>
      </w:pPr>
    </w:p>
    <w:p w14:paraId="43EBA332" w14:textId="0CB41296" w:rsidR="001A29D8" w:rsidRPr="00F469F0" w:rsidRDefault="001A29D8" w:rsidP="00441B6F">
      <w:pPr>
        <w:pStyle w:val="ReferHead"/>
        <w:spacing w:after="0"/>
        <w:jc w:val="both"/>
        <w:rPr>
          <w:rFonts w:ascii="Arial" w:hAnsi="Arial" w:cs="Arial"/>
          <w:b w:val="0"/>
          <w:caps w:val="0"/>
          <w:sz w:val="20"/>
          <w:u w:val="single"/>
        </w:rPr>
      </w:pPr>
      <w:r w:rsidRPr="00F469F0">
        <w:rPr>
          <w:rFonts w:ascii="Arial" w:hAnsi="Arial" w:cs="Arial"/>
          <w:b w:val="0"/>
          <w:caps w:val="0"/>
          <w:sz w:val="20"/>
          <w:u w:val="single"/>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41E08F3A" w14:textId="77777777" w:rsidR="001A29D8" w:rsidRDefault="001A29D8" w:rsidP="00441B6F">
      <w:pPr>
        <w:pStyle w:val="ReferHead"/>
        <w:spacing w:after="0"/>
        <w:jc w:val="both"/>
        <w:rPr>
          <w:rFonts w:ascii="Arial" w:hAnsi="Arial" w:cs="Arial"/>
          <w:b w:val="0"/>
          <w:caps w:val="0"/>
          <w:sz w:val="20"/>
        </w:rPr>
      </w:pPr>
    </w:p>
    <w:p w14:paraId="5EE38AA5" w14:textId="77777777" w:rsidR="005C784C" w:rsidRDefault="005C784C" w:rsidP="00441B6F">
      <w:pPr>
        <w:pStyle w:val="ReferHead"/>
        <w:spacing w:after="0"/>
        <w:jc w:val="both"/>
        <w:rPr>
          <w:rFonts w:ascii="Arial" w:hAnsi="Arial" w:cs="Arial"/>
          <w:b w:val="0"/>
          <w:caps w:val="0"/>
          <w:sz w:val="20"/>
        </w:rPr>
      </w:pPr>
    </w:p>
    <w:p w14:paraId="5A4ACF54"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0300BF3B" w14:textId="77777777" w:rsidR="005C784C" w:rsidRPr="002B685A" w:rsidRDefault="005C784C" w:rsidP="00441B6F">
      <w:pPr>
        <w:pStyle w:val="ReferHead"/>
        <w:spacing w:after="0"/>
        <w:jc w:val="both"/>
        <w:rPr>
          <w:rFonts w:ascii="Arial" w:hAnsi="Arial" w:cs="Arial"/>
          <w:bCs/>
        </w:rPr>
      </w:pPr>
    </w:p>
    <w:p w14:paraId="07DCB062" w14:textId="6E6BCE2C" w:rsidR="0041027F" w:rsidRPr="00F469F0" w:rsidRDefault="001A29D8" w:rsidP="00441B6F">
      <w:pPr>
        <w:pStyle w:val="ReferHead"/>
        <w:spacing w:after="0"/>
        <w:jc w:val="both"/>
        <w:rPr>
          <w:rFonts w:ascii="Arial" w:hAnsi="Arial" w:cs="Arial"/>
          <w:b w:val="0"/>
          <w:caps w:val="0"/>
          <w:sz w:val="20"/>
          <w:u w:val="single"/>
        </w:rPr>
      </w:pPr>
      <w:r w:rsidRPr="00F469F0">
        <w:rPr>
          <w:rFonts w:ascii="Arial" w:hAnsi="Arial" w:cs="Arial"/>
          <w:b w:val="0"/>
          <w:caps w:val="0"/>
          <w:sz w:val="20"/>
          <w:u w:val="single"/>
        </w:rPr>
        <w:t>All authors hereby declare that a</w:t>
      </w:r>
      <w:r w:rsidR="0041027F" w:rsidRPr="00F469F0">
        <w:rPr>
          <w:rFonts w:ascii="Arial" w:hAnsi="Arial" w:cs="Arial"/>
          <w:b w:val="0"/>
          <w:caps w:val="0"/>
          <w:sz w:val="20"/>
          <w:u w:val="single"/>
        </w:rPr>
        <w:t xml:space="preserve">ll </w:t>
      </w:r>
      <w:r w:rsidR="00F469F0" w:rsidRPr="00F469F0">
        <w:rPr>
          <w:rFonts w:ascii="Arial" w:hAnsi="Arial" w:cs="Arial"/>
          <w:b w:val="0"/>
          <w:caps w:val="0"/>
          <w:sz w:val="20"/>
          <w:u w:val="single"/>
        </w:rPr>
        <w:t>experiments</w:t>
      </w:r>
      <w:r w:rsidR="0041027F" w:rsidRPr="00F469F0">
        <w:rPr>
          <w:rFonts w:ascii="Arial" w:hAnsi="Arial" w:cs="Arial"/>
          <w:b w:val="0"/>
          <w:caps w:val="0"/>
          <w:sz w:val="20"/>
          <w:u w:val="single"/>
        </w:rPr>
        <w:t xml:space="preserve"> have been examined</w:t>
      </w:r>
      <w:r w:rsidRPr="00F469F0">
        <w:rPr>
          <w:rFonts w:ascii="Arial" w:hAnsi="Arial" w:cs="Arial"/>
          <w:b w:val="0"/>
          <w:caps w:val="0"/>
          <w:sz w:val="20"/>
          <w:u w:val="single"/>
        </w:rPr>
        <w:t xml:space="preserve"> and approved</w:t>
      </w:r>
      <w:r w:rsidR="0041027F" w:rsidRPr="00F469F0">
        <w:rPr>
          <w:rFonts w:ascii="Arial" w:hAnsi="Arial" w:cs="Arial"/>
          <w:b w:val="0"/>
          <w:caps w:val="0"/>
          <w:sz w:val="20"/>
          <w:u w:val="single"/>
        </w:rPr>
        <w:t xml:space="preserve"> by the appropriate ethics committee and have therefore been performed in accordance with the ethical standards laid down in the 1964 Declaration of Helsinki.</w:t>
      </w:r>
    </w:p>
    <w:p w14:paraId="386761D7" w14:textId="77777777" w:rsidR="00860000" w:rsidRDefault="00860000" w:rsidP="00441B6F">
      <w:pPr>
        <w:pStyle w:val="ReferHead"/>
        <w:spacing w:after="0"/>
        <w:jc w:val="both"/>
        <w:rPr>
          <w:rFonts w:ascii="Arial" w:hAnsi="Arial" w:cs="Arial"/>
        </w:rPr>
      </w:pPr>
    </w:p>
    <w:p w14:paraId="71213E7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366080A" w14:textId="77777777" w:rsidR="00790ADA" w:rsidRPr="00FB3A86" w:rsidRDefault="00790ADA" w:rsidP="00441B6F">
      <w:pPr>
        <w:pStyle w:val="ReferHead"/>
        <w:spacing w:after="0"/>
        <w:jc w:val="both"/>
        <w:rPr>
          <w:rFonts w:ascii="Arial" w:hAnsi="Arial" w:cs="Arial"/>
        </w:rPr>
      </w:pPr>
    </w:p>
    <w:p w14:paraId="02163FCF"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 xml:space="preserve">Wang LL, Levy ML, Lewis RA, </w:t>
      </w:r>
      <w:proofErr w:type="spellStart"/>
      <w:r w:rsidRPr="00094DC8">
        <w:rPr>
          <w:rFonts w:ascii="Times New Roman" w:hAnsi="Times New Roman"/>
          <w:sz w:val="24"/>
          <w:szCs w:val="24"/>
        </w:rPr>
        <w:t>Chintagumpala</w:t>
      </w:r>
      <w:proofErr w:type="spellEnd"/>
      <w:r w:rsidRPr="00094DC8">
        <w:rPr>
          <w:rFonts w:ascii="Times New Roman" w:hAnsi="Times New Roman"/>
          <w:sz w:val="24"/>
          <w:szCs w:val="24"/>
        </w:rPr>
        <w:t xml:space="preserve"> MM, Lev D, Rogers M, Plon SE. Clinical manifestations in a cohort of 41 Rothmund-Thomson syndrome patients. Am J Med Genet A. 2001;102(1):11-17.</w:t>
      </w:r>
    </w:p>
    <w:p w14:paraId="2A9A9D66" w14:textId="77777777" w:rsidR="006A1248" w:rsidRPr="00094DC8" w:rsidRDefault="006A1248" w:rsidP="006A1248">
      <w:pPr>
        <w:numPr>
          <w:ilvl w:val="0"/>
          <w:numId w:val="32"/>
        </w:numPr>
        <w:spacing w:after="160" w:line="259" w:lineRule="auto"/>
        <w:rPr>
          <w:rFonts w:ascii="Times New Roman" w:hAnsi="Times New Roman"/>
          <w:sz w:val="24"/>
          <w:szCs w:val="24"/>
        </w:rPr>
      </w:pPr>
      <w:proofErr w:type="spellStart"/>
      <w:r w:rsidRPr="00094DC8">
        <w:rPr>
          <w:rFonts w:ascii="Times New Roman" w:hAnsi="Times New Roman"/>
          <w:sz w:val="24"/>
          <w:szCs w:val="24"/>
        </w:rPr>
        <w:t>Larizza</w:t>
      </w:r>
      <w:proofErr w:type="spellEnd"/>
      <w:r w:rsidRPr="00094DC8">
        <w:rPr>
          <w:rFonts w:ascii="Times New Roman" w:hAnsi="Times New Roman"/>
          <w:sz w:val="24"/>
          <w:szCs w:val="24"/>
        </w:rPr>
        <w:t xml:space="preserve"> L, </w:t>
      </w:r>
      <w:proofErr w:type="spellStart"/>
      <w:r w:rsidRPr="00094DC8">
        <w:rPr>
          <w:rFonts w:ascii="Times New Roman" w:hAnsi="Times New Roman"/>
          <w:sz w:val="24"/>
          <w:szCs w:val="24"/>
        </w:rPr>
        <w:t>Roversi</w:t>
      </w:r>
      <w:proofErr w:type="spellEnd"/>
      <w:r w:rsidRPr="00094DC8">
        <w:rPr>
          <w:rFonts w:ascii="Times New Roman" w:hAnsi="Times New Roman"/>
          <w:sz w:val="24"/>
          <w:szCs w:val="24"/>
        </w:rPr>
        <w:t xml:space="preserve"> G, Volpi L. Rothmund-Thomson syndrome. </w:t>
      </w:r>
      <w:proofErr w:type="spellStart"/>
      <w:r w:rsidRPr="00094DC8">
        <w:rPr>
          <w:rFonts w:ascii="Times New Roman" w:hAnsi="Times New Roman"/>
          <w:sz w:val="24"/>
          <w:szCs w:val="24"/>
        </w:rPr>
        <w:t>Orphanet</w:t>
      </w:r>
      <w:proofErr w:type="spellEnd"/>
      <w:r w:rsidRPr="00094DC8">
        <w:rPr>
          <w:rFonts w:ascii="Times New Roman" w:hAnsi="Times New Roman"/>
          <w:sz w:val="24"/>
          <w:szCs w:val="24"/>
        </w:rPr>
        <w:t xml:space="preserve"> J Rare Dis. </w:t>
      </w:r>
      <w:proofErr w:type="gramStart"/>
      <w:r w:rsidRPr="00094DC8">
        <w:rPr>
          <w:rFonts w:ascii="Times New Roman" w:hAnsi="Times New Roman"/>
          <w:sz w:val="24"/>
          <w:szCs w:val="24"/>
        </w:rPr>
        <w:t>2010;5:2</w:t>
      </w:r>
      <w:proofErr w:type="gramEnd"/>
      <w:r w:rsidRPr="00094DC8">
        <w:rPr>
          <w:rFonts w:ascii="Times New Roman" w:hAnsi="Times New Roman"/>
          <w:sz w:val="24"/>
          <w:szCs w:val="24"/>
        </w:rPr>
        <w:t>.</w:t>
      </w:r>
    </w:p>
    <w:p w14:paraId="08952A8D"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 xml:space="preserve">Siitonen HA, </w:t>
      </w:r>
      <w:proofErr w:type="spellStart"/>
      <w:r w:rsidRPr="00094DC8">
        <w:rPr>
          <w:rFonts w:ascii="Times New Roman" w:hAnsi="Times New Roman"/>
          <w:sz w:val="24"/>
          <w:szCs w:val="24"/>
        </w:rPr>
        <w:t>Kopra</w:t>
      </w:r>
      <w:proofErr w:type="spellEnd"/>
      <w:r w:rsidRPr="00094DC8">
        <w:rPr>
          <w:rFonts w:ascii="Times New Roman" w:hAnsi="Times New Roman"/>
          <w:sz w:val="24"/>
          <w:szCs w:val="24"/>
        </w:rPr>
        <w:t xml:space="preserve"> O, </w:t>
      </w:r>
      <w:proofErr w:type="spellStart"/>
      <w:r w:rsidRPr="00094DC8">
        <w:rPr>
          <w:rFonts w:ascii="Times New Roman" w:hAnsi="Times New Roman"/>
          <w:sz w:val="24"/>
          <w:szCs w:val="24"/>
        </w:rPr>
        <w:t>Kaariainen</w:t>
      </w:r>
      <w:proofErr w:type="spellEnd"/>
      <w:r w:rsidRPr="00094DC8">
        <w:rPr>
          <w:rFonts w:ascii="Times New Roman" w:hAnsi="Times New Roman"/>
          <w:sz w:val="24"/>
          <w:szCs w:val="24"/>
        </w:rPr>
        <w:t xml:space="preserve"> H, </w:t>
      </w:r>
      <w:proofErr w:type="spellStart"/>
      <w:r w:rsidRPr="00094DC8">
        <w:rPr>
          <w:rFonts w:ascii="Times New Roman" w:hAnsi="Times New Roman"/>
          <w:sz w:val="24"/>
          <w:szCs w:val="24"/>
        </w:rPr>
        <w:t>Haravuori</w:t>
      </w:r>
      <w:proofErr w:type="spellEnd"/>
      <w:r w:rsidRPr="00094DC8">
        <w:rPr>
          <w:rFonts w:ascii="Times New Roman" w:hAnsi="Times New Roman"/>
          <w:sz w:val="24"/>
          <w:szCs w:val="24"/>
        </w:rPr>
        <w:t xml:space="preserve"> H, Winter RM, </w:t>
      </w:r>
      <w:proofErr w:type="spellStart"/>
      <w:r w:rsidRPr="00094DC8">
        <w:rPr>
          <w:rFonts w:ascii="Times New Roman" w:hAnsi="Times New Roman"/>
          <w:sz w:val="24"/>
          <w:szCs w:val="24"/>
        </w:rPr>
        <w:t>Saamanen</w:t>
      </w:r>
      <w:proofErr w:type="spellEnd"/>
      <w:r w:rsidRPr="00094DC8">
        <w:rPr>
          <w:rFonts w:ascii="Times New Roman" w:hAnsi="Times New Roman"/>
          <w:sz w:val="24"/>
          <w:szCs w:val="24"/>
        </w:rPr>
        <w:t xml:space="preserve"> AM, </w:t>
      </w:r>
      <w:proofErr w:type="spellStart"/>
      <w:r w:rsidRPr="00094DC8">
        <w:rPr>
          <w:rFonts w:ascii="Times New Roman" w:hAnsi="Times New Roman"/>
          <w:sz w:val="24"/>
          <w:szCs w:val="24"/>
        </w:rPr>
        <w:t>Kestila</w:t>
      </w:r>
      <w:proofErr w:type="spellEnd"/>
      <w:r w:rsidRPr="00094DC8">
        <w:rPr>
          <w:rFonts w:ascii="Times New Roman" w:hAnsi="Times New Roman"/>
          <w:sz w:val="24"/>
          <w:szCs w:val="24"/>
        </w:rPr>
        <w:t xml:space="preserve"> M, Peltonen L. Molecular defect of RAPADILINO syndrome expands the phenotype spectrum of RECQL4 defects. Hum Mol Genet. 2003;12(21):2837-2844.</w:t>
      </w:r>
    </w:p>
    <w:p w14:paraId="5D8E1B31"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 xml:space="preserve">de Souza TA, Piva MR, Castro LS, Nakano MY. Clinical and genetic aspects of Rothmund-Thomson syndrome: A review. </w:t>
      </w:r>
      <w:proofErr w:type="gramStart"/>
      <w:r w:rsidRPr="00094DC8">
        <w:rPr>
          <w:rFonts w:ascii="Times New Roman" w:hAnsi="Times New Roman"/>
          <w:sz w:val="24"/>
          <w:szCs w:val="24"/>
        </w:rPr>
        <w:t>An</w:t>
      </w:r>
      <w:proofErr w:type="gramEnd"/>
      <w:r w:rsidRPr="00094DC8">
        <w:rPr>
          <w:rFonts w:ascii="Times New Roman" w:hAnsi="Times New Roman"/>
          <w:sz w:val="24"/>
          <w:szCs w:val="24"/>
        </w:rPr>
        <w:t xml:space="preserve"> Bras Dermatol. 2019;94(4):417-425.</w:t>
      </w:r>
    </w:p>
    <w:p w14:paraId="2FB61AF1" w14:textId="77777777" w:rsidR="006A1248" w:rsidRPr="00094DC8" w:rsidRDefault="006A1248" w:rsidP="006A1248">
      <w:pPr>
        <w:numPr>
          <w:ilvl w:val="0"/>
          <w:numId w:val="32"/>
        </w:numPr>
        <w:spacing w:after="160" w:line="259" w:lineRule="auto"/>
        <w:rPr>
          <w:rFonts w:ascii="Times New Roman" w:hAnsi="Times New Roman"/>
          <w:sz w:val="24"/>
          <w:szCs w:val="24"/>
        </w:rPr>
      </w:pPr>
      <w:proofErr w:type="spellStart"/>
      <w:r w:rsidRPr="00094DC8">
        <w:rPr>
          <w:rFonts w:ascii="Times New Roman" w:hAnsi="Times New Roman"/>
          <w:sz w:val="24"/>
          <w:szCs w:val="24"/>
        </w:rPr>
        <w:t>Sangrithi</w:t>
      </w:r>
      <w:proofErr w:type="spellEnd"/>
      <w:r w:rsidRPr="00094DC8">
        <w:rPr>
          <w:rFonts w:ascii="Times New Roman" w:hAnsi="Times New Roman"/>
          <w:sz w:val="24"/>
          <w:szCs w:val="24"/>
        </w:rPr>
        <w:t xml:space="preserve"> MN, Bernal JA, Madine MA, Laskey RA, Carroll J, </w:t>
      </w:r>
      <w:proofErr w:type="spellStart"/>
      <w:r w:rsidRPr="00094DC8">
        <w:rPr>
          <w:rFonts w:ascii="Times New Roman" w:hAnsi="Times New Roman"/>
          <w:sz w:val="24"/>
          <w:szCs w:val="24"/>
        </w:rPr>
        <w:t>Venkitaraman</w:t>
      </w:r>
      <w:proofErr w:type="spellEnd"/>
      <w:r w:rsidRPr="00094DC8">
        <w:rPr>
          <w:rFonts w:ascii="Times New Roman" w:hAnsi="Times New Roman"/>
          <w:sz w:val="24"/>
          <w:szCs w:val="24"/>
        </w:rPr>
        <w:t xml:space="preserve"> AR. Initiation of DNA replication requires the RECQL4 protein mutated in Rothmund-Thomson syndrome. Cell. 2005;121(6):887-898.</w:t>
      </w:r>
    </w:p>
    <w:p w14:paraId="783457DA"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 xml:space="preserve">Silverberg NB, Biro DE, Laude TA. What syndrome is this? </w:t>
      </w:r>
      <w:proofErr w:type="spellStart"/>
      <w:r w:rsidRPr="00094DC8">
        <w:rPr>
          <w:rFonts w:ascii="Times New Roman" w:hAnsi="Times New Roman"/>
          <w:sz w:val="24"/>
          <w:szCs w:val="24"/>
        </w:rPr>
        <w:t>Rothmund</w:t>
      </w:r>
      <w:proofErr w:type="spellEnd"/>
      <w:r w:rsidRPr="00094DC8">
        <w:rPr>
          <w:rFonts w:ascii="Times New Roman" w:hAnsi="Times New Roman"/>
          <w:sz w:val="24"/>
          <w:szCs w:val="24"/>
        </w:rPr>
        <w:t xml:space="preserve">-Thomson syndrome (poikiloderma </w:t>
      </w:r>
      <w:proofErr w:type="spellStart"/>
      <w:r w:rsidRPr="00094DC8">
        <w:rPr>
          <w:rFonts w:ascii="Times New Roman" w:hAnsi="Times New Roman"/>
          <w:sz w:val="24"/>
          <w:szCs w:val="24"/>
        </w:rPr>
        <w:t>congenitale</w:t>
      </w:r>
      <w:proofErr w:type="spellEnd"/>
      <w:r w:rsidRPr="00094DC8">
        <w:rPr>
          <w:rFonts w:ascii="Times New Roman" w:hAnsi="Times New Roman"/>
          <w:sz w:val="24"/>
          <w:szCs w:val="24"/>
        </w:rPr>
        <w:t xml:space="preserve">). </w:t>
      </w:r>
      <w:proofErr w:type="spellStart"/>
      <w:r w:rsidRPr="00094DC8">
        <w:rPr>
          <w:rFonts w:ascii="Times New Roman" w:hAnsi="Times New Roman"/>
          <w:sz w:val="24"/>
          <w:szCs w:val="24"/>
        </w:rPr>
        <w:t>Pediatr</w:t>
      </w:r>
      <w:proofErr w:type="spellEnd"/>
      <w:r w:rsidRPr="00094DC8">
        <w:rPr>
          <w:rFonts w:ascii="Times New Roman" w:hAnsi="Times New Roman"/>
          <w:sz w:val="24"/>
          <w:szCs w:val="24"/>
        </w:rPr>
        <w:t xml:space="preserve"> Dermatol. </w:t>
      </w:r>
      <w:proofErr w:type="gramStart"/>
      <w:r w:rsidRPr="00094DC8">
        <w:rPr>
          <w:rFonts w:ascii="Times New Roman" w:hAnsi="Times New Roman"/>
          <w:sz w:val="24"/>
          <w:szCs w:val="24"/>
        </w:rPr>
        <w:t>1999;16:59</w:t>
      </w:r>
      <w:proofErr w:type="gramEnd"/>
      <w:r w:rsidRPr="00094DC8">
        <w:rPr>
          <w:rFonts w:ascii="Times New Roman" w:hAnsi="Times New Roman"/>
          <w:sz w:val="24"/>
          <w:szCs w:val="24"/>
        </w:rPr>
        <w:t>-61.</w:t>
      </w:r>
    </w:p>
    <w:p w14:paraId="0B1B5144"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 xml:space="preserve">Lu L, Jin W, Wang LL. RECQ DNA helicases and osteosarcoma. Adv Exp Med Biol. </w:t>
      </w:r>
      <w:proofErr w:type="gramStart"/>
      <w:r w:rsidRPr="00094DC8">
        <w:rPr>
          <w:rFonts w:ascii="Times New Roman" w:hAnsi="Times New Roman"/>
          <w:sz w:val="24"/>
          <w:szCs w:val="24"/>
        </w:rPr>
        <w:t>2020;1258:37</w:t>
      </w:r>
      <w:proofErr w:type="gramEnd"/>
      <w:r w:rsidRPr="00094DC8">
        <w:rPr>
          <w:rFonts w:ascii="Times New Roman" w:hAnsi="Times New Roman"/>
          <w:sz w:val="24"/>
          <w:szCs w:val="24"/>
        </w:rPr>
        <w:t xml:space="preserve">-54. </w:t>
      </w:r>
    </w:p>
    <w:p w14:paraId="320955FA"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 xml:space="preserve">Simon T, Kohlhase J, Wilhelm C, Kochanek M, De Carolis B, Berthold F. Multiple malignant diseases in a patient with Rothmund-Thomson syndrome with RECQL4 mutations: case report and literature review. Am J Med Genet A. 2010;152A:1575-9. 11. </w:t>
      </w:r>
    </w:p>
    <w:p w14:paraId="2B341B1C"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 xml:space="preserve">Piquero-Casals J, Okubo AY, Nico MM. Rothmund-Thomson syndrome in three siblings and development of cutaneous squamous cell carcinoma. </w:t>
      </w:r>
      <w:proofErr w:type="spellStart"/>
      <w:r w:rsidRPr="00094DC8">
        <w:rPr>
          <w:rFonts w:ascii="Times New Roman" w:hAnsi="Times New Roman"/>
          <w:sz w:val="24"/>
          <w:szCs w:val="24"/>
        </w:rPr>
        <w:t>Pediatr</w:t>
      </w:r>
      <w:proofErr w:type="spellEnd"/>
      <w:r w:rsidRPr="00094DC8">
        <w:rPr>
          <w:rFonts w:ascii="Times New Roman" w:hAnsi="Times New Roman"/>
          <w:sz w:val="24"/>
          <w:szCs w:val="24"/>
        </w:rPr>
        <w:t xml:space="preserve"> Dermatol. </w:t>
      </w:r>
    </w:p>
    <w:p w14:paraId="0900B8FF"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 xml:space="preserve">Gupta S, De S, Srivastava V, Hussain M, Kumari J, Muniyappa K, et al. RECQL4 and p53 potentiate the activity of polymerase and maintain the integrity of the human mitochondrial genome. Carcinogenesis. </w:t>
      </w:r>
      <w:proofErr w:type="gramStart"/>
      <w:r w:rsidRPr="00094DC8">
        <w:rPr>
          <w:rFonts w:ascii="Times New Roman" w:hAnsi="Times New Roman"/>
          <w:sz w:val="24"/>
          <w:szCs w:val="24"/>
        </w:rPr>
        <w:t>2014;35:34</w:t>
      </w:r>
      <w:proofErr w:type="gramEnd"/>
      <w:r w:rsidRPr="00094DC8">
        <w:rPr>
          <w:rFonts w:ascii="Times New Roman" w:hAnsi="Times New Roman"/>
          <w:sz w:val="24"/>
          <w:szCs w:val="24"/>
        </w:rPr>
        <w:t xml:space="preserve">-45. </w:t>
      </w:r>
    </w:p>
    <w:p w14:paraId="7BC5CE79"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 xml:space="preserve">Green JS, Rickett AB. Rothmund-Thomson syndrome complicated by osteosarcoma. </w:t>
      </w:r>
      <w:proofErr w:type="spellStart"/>
      <w:r w:rsidRPr="00094DC8">
        <w:rPr>
          <w:rFonts w:ascii="Times New Roman" w:hAnsi="Times New Roman"/>
          <w:sz w:val="24"/>
          <w:szCs w:val="24"/>
        </w:rPr>
        <w:t>Pediatr</w:t>
      </w:r>
      <w:proofErr w:type="spellEnd"/>
      <w:r w:rsidRPr="00094DC8">
        <w:rPr>
          <w:rFonts w:ascii="Times New Roman" w:hAnsi="Times New Roman"/>
          <w:sz w:val="24"/>
          <w:szCs w:val="24"/>
        </w:rPr>
        <w:t xml:space="preserve"> </w:t>
      </w:r>
      <w:proofErr w:type="spellStart"/>
      <w:r w:rsidRPr="00094DC8">
        <w:rPr>
          <w:rFonts w:ascii="Times New Roman" w:hAnsi="Times New Roman"/>
          <w:sz w:val="24"/>
          <w:szCs w:val="24"/>
        </w:rPr>
        <w:t>Radiol</w:t>
      </w:r>
      <w:proofErr w:type="spellEnd"/>
      <w:r w:rsidRPr="00094DC8">
        <w:rPr>
          <w:rFonts w:ascii="Times New Roman" w:hAnsi="Times New Roman"/>
          <w:sz w:val="24"/>
          <w:szCs w:val="24"/>
        </w:rPr>
        <w:t xml:space="preserve">. </w:t>
      </w:r>
      <w:proofErr w:type="gramStart"/>
      <w:r w:rsidRPr="00094DC8">
        <w:rPr>
          <w:rFonts w:ascii="Times New Roman" w:hAnsi="Times New Roman"/>
          <w:sz w:val="24"/>
          <w:szCs w:val="24"/>
        </w:rPr>
        <w:t>1998;28:48</w:t>
      </w:r>
      <w:proofErr w:type="gramEnd"/>
      <w:r w:rsidRPr="00094DC8">
        <w:rPr>
          <w:rFonts w:ascii="Times New Roman" w:hAnsi="Times New Roman"/>
          <w:sz w:val="24"/>
          <w:szCs w:val="24"/>
        </w:rPr>
        <w:t>-50.</w:t>
      </w:r>
    </w:p>
    <w:p w14:paraId="6E8EEEDE" w14:textId="77777777" w:rsidR="006A1248" w:rsidRPr="00094DC8" w:rsidRDefault="006A1248" w:rsidP="006A1248">
      <w:pPr>
        <w:numPr>
          <w:ilvl w:val="0"/>
          <w:numId w:val="32"/>
        </w:numPr>
        <w:spacing w:after="160" w:line="259" w:lineRule="auto"/>
        <w:rPr>
          <w:rFonts w:ascii="Times New Roman" w:hAnsi="Times New Roman"/>
          <w:sz w:val="24"/>
          <w:szCs w:val="24"/>
        </w:rPr>
      </w:pPr>
      <w:proofErr w:type="spellStart"/>
      <w:r w:rsidRPr="00094DC8">
        <w:rPr>
          <w:rFonts w:ascii="Times New Roman" w:hAnsi="Times New Roman"/>
          <w:sz w:val="24"/>
          <w:szCs w:val="24"/>
        </w:rPr>
        <w:t>Potozkin</w:t>
      </w:r>
      <w:proofErr w:type="spellEnd"/>
      <w:r w:rsidRPr="00094DC8">
        <w:rPr>
          <w:rFonts w:ascii="Times New Roman" w:hAnsi="Times New Roman"/>
          <w:sz w:val="24"/>
          <w:szCs w:val="24"/>
        </w:rPr>
        <w:t xml:space="preserve"> JR, </w:t>
      </w:r>
      <w:proofErr w:type="spellStart"/>
      <w:r w:rsidRPr="00094DC8">
        <w:rPr>
          <w:rFonts w:ascii="Times New Roman" w:hAnsi="Times New Roman"/>
          <w:sz w:val="24"/>
          <w:szCs w:val="24"/>
        </w:rPr>
        <w:t>Geronemus</w:t>
      </w:r>
      <w:proofErr w:type="spellEnd"/>
      <w:r w:rsidRPr="00094DC8">
        <w:rPr>
          <w:rFonts w:ascii="Times New Roman" w:hAnsi="Times New Roman"/>
          <w:sz w:val="24"/>
          <w:szCs w:val="24"/>
        </w:rPr>
        <w:t xml:space="preserve"> RG. Treatment of the </w:t>
      </w:r>
      <w:proofErr w:type="spellStart"/>
      <w:r w:rsidRPr="00094DC8">
        <w:rPr>
          <w:rFonts w:ascii="Times New Roman" w:hAnsi="Times New Roman"/>
          <w:sz w:val="24"/>
          <w:szCs w:val="24"/>
        </w:rPr>
        <w:t>poikilodermatous</w:t>
      </w:r>
      <w:proofErr w:type="spellEnd"/>
      <w:r w:rsidRPr="00094DC8">
        <w:rPr>
          <w:rFonts w:ascii="Times New Roman" w:hAnsi="Times New Roman"/>
          <w:sz w:val="24"/>
          <w:szCs w:val="24"/>
        </w:rPr>
        <w:t xml:space="preserve"> component of the Rothmund-Thomson syndrome with the flashlamp-pumped pulsed dye laser: a case report. </w:t>
      </w:r>
      <w:proofErr w:type="spellStart"/>
      <w:r w:rsidRPr="00094DC8">
        <w:rPr>
          <w:rFonts w:ascii="Times New Roman" w:hAnsi="Times New Roman"/>
          <w:sz w:val="24"/>
          <w:szCs w:val="24"/>
        </w:rPr>
        <w:t>Pediatr</w:t>
      </w:r>
      <w:proofErr w:type="spellEnd"/>
      <w:r w:rsidRPr="00094DC8">
        <w:rPr>
          <w:rFonts w:ascii="Times New Roman" w:hAnsi="Times New Roman"/>
          <w:sz w:val="24"/>
          <w:szCs w:val="24"/>
        </w:rPr>
        <w:t xml:space="preserve"> Dermatol. </w:t>
      </w:r>
      <w:proofErr w:type="gramStart"/>
      <w:r w:rsidRPr="00094DC8">
        <w:rPr>
          <w:rFonts w:ascii="Times New Roman" w:hAnsi="Times New Roman"/>
          <w:sz w:val="24"/>
          <w:szCs w:val="24"/>
        </w:rPr>
        <w:t>1991;8:162</w:t>
      </w:r>
      <w:proofErr w:type="gramEnd"/>
      <w:r w:rsidRPr="00094DC8">
        <w:rPr>
          <w:rFonts w:ascii="Times New Roman" w:hAnsi="Times New Roman"/>
          <w:sz w:val="24"/>
          <w:szCs w:val="24"/>
        </w:rPr>
        <w:t>-5</w:t>
      </w:r>
    </w:p>
    <w:p w14:paraId="7C6E9EAD" w14:textId="77777777" w:rsidR="006A1248" w:rsidRPr="00094DC8" w:rsidRDefault="006A1248" w:rsidP="006A1248">
      <w:pPr>
        <w:numPr>
          <w:ilvl w:val="0"/>
          <w:numId w:val="32"/>
        </w:numPr>
        <w:spacing w:after="160" w:line="259" w:lineRule="auto"/>
        <w:rPr>
          <w:rFonts w:ascii="Times New Roman" w:hAnsi="Times New Roman"/>
          <w:sz w:val="24"/>
          <w:szCs w:val="24"/>
        </w:rPr>
      </w:pPr>
      <w:proofErr w:type="spellStart"/>
      <w:r w:rsidRPr="00094DC8">
        <w:rPr>
          <w:rFonts w:ascii="Times New Roman" w:hAnsi="Times New Roman"/>
          <w:sz w:val="24"/>
          <w:szCs w:val="24"/>
        </w:rPr>
        <w:lastRenderedPageBreak/>
        <w:t>Ciloglu</w:t>
      </w:r>
      <w:proofErr w:type="spellEnd"/>
      <w:r w:rsidRPr="00094DC8">
        <w:rPr>
          <w:rFonts w:ascii="Times New Roman" w:hAnsi="Times New Roman"/>
          <w:sz w:val="24"/>
          <w:szCs w:val="24"/>
        </w:rPr>
        <w:t xml:space="preserve"> S, Duran A, </w:t>
      </w:r>
      <w:proofErr w:type="spellStart"/>
      <w:r w:rsidRPr="00094DC8">
        <w:rPr>
          <w:rFonts w:ascii="Times New Roman" w:hAnsi="Times New Roman"/>
          <w:sz w:val="24"/>
          <w:szCs w:val="24"/>
        </w:rPr>
        <w:t>Pekcan</w:t>
      </w:r>
      <w:proofErr w:type="spellEnd"/>
      <w:r w:rsidRPr="00094DC8">
        <w:rPr>
          <w:rFonts w:ascii="Times New Roman" w:hAnsi="Times New Roman"/>
          <w:sz w:val="24"/>
          <w:szCs w:val="24"/>
        </w:rPr>
        <w:t xml:space="preserve"> SY, </w:t>
      </w:r>
      <w:proofErr w:type="spellStart"/>
      <w:r w:rsidRPr="00094DC8">
        <w:rPr>
          <w:rFonts w:ascii="Times New Roman" w:hAnsi="Times New Roman"/>
          <w:sz w:val="24"/>
          <w:szCs w:val="24"/>
        </w:rPr>
        <w:t>Buyukdogan</w:t>
      </w:r>
      <w:proofErr w:type="spellEnd"/>
      <w:r w:rsidRPr="00094DC8">
        <w:rPr>
          <w:rFonts w:ascii="Times New Roman" w:hAnsi="Times New Roman"/>
          <w:sz w:val="24"/>
          <w:szCs w:val="24"/>
        </w:rPr>
        <w:t xml:space="preserve"> H. Leg ulcer in a patient with Rothmund-Thomson syndrome. </w:t>
      </w:r>
      <w:proofErr w:type="spellStart"/>
      <w:r w:rsidRPr="00094DC8">
        <w:rPr>
          <w:rFonts w:ascii="Times New Roman" w:hAnsi="Times New Roman"/>
          <w:sz w:val="24"/>
          <w:szCs w:val="24"/>
        </w:rPr>
        <w:t>Springerplus</w:t>
      </w:r>
      <w:proofErr w:type="spellEnd"/>
      <w:r w:rsidRPr="00094DC8">
        <w:rPr>
          <w:rFonts w:ascii="Times New Roman" w:hAnsi="Times New Roman"/>
          <w:sz w:val="24"/>
          <w:szCs w:val="24"/>
        </w:rPr>
        <w:t xml:space="preserve">. </w:t>
      </w:r>
      <w:proofErr w:type="gramStart"/>
      <w:r w:rsidRPr="00094DC8">
        <w:rPr>
          <w:rFonts w:ascii="Times New Roman" w:hAnsi="Times New Roman"/>
          <w:sz w:val="24"/>
          <w:szCs w:val="24"/>
        </w:rPr>
        <w:t>2015;4:572</w:t>
      </w:r>
      <w:proofErr w:type="gramEnd"/>
      <w:r w:rsidRPr="00094DC8">
        <w:rPr>
          <w:rFonts w:ascii="Times New Roman" w:hAnsi="Times New Roman"/>
          <w:sz w:val="24"/>
          <w:szCs w:val="24"/>
        </w:rPr>
        <w:t xml:space="preserve">  </w:t>
      </w:r>
    </w:p>
    <w:p w14:paraId="3ACA3F92"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 xml:space="preserve">Yves </w:t>
      </w:r>
      <w:proofErr w:type="spellStart"/>
      <w:r w:rsidRPr="00094DC8">
        <w:rPr>
          <w:rFonts w:ascii="Times New Roman" w:hAnsi="Times New Roman"/>
          <w:sz w:val="24"/>
          <w:szCs w:val="24"/>
        </w:rPr>
        <w:t>Sznajer</w:t>
      </w:r>
      <w:proofErr w:type="spellEnd"/>
      <w:r w:rsidRPr="00094DC8">
        <w:rPr>
          <w:rFonts w:ascii="Times New Roman" w:hAnsi="Times New Roman"/>
          <w:sz w:val="24"/>
          <w:szCs w:val="24"/>
        </w:rPr>
        <w:t xml:space="preserve"> H, </w:t>
      </w:r>
      <w:proofErr w:type="spellStart"/>
      <w:r w:rsidRPr="00094DC8">
        <w:rPr>
          <w:rFonts w:ascii="Times New Roman" w:hAnsi="Times New Roman"/>
          <w:sz w:val="24"/>
          <w:szCs w:val="24"/>
        </w:rPr>
        <w:t>Siitonen</w:t>
      </w:r>
      <w:proofErr w:type="spellEnd"/>
      <w:r w:rsidRPr="00094DC8">
        <w:rPr>
          <w:rFonts w:ascii="Times New Roman" w:hAnsi="Times New Roman"/>
          <w:sz w:val="24"/>
          <w:szCs w:val="24"/>
        </w:rPr>
        <w:t xml:space="preserve"> A, </w:t>
      </w:r>
      <w:proofErr w:type="spellStart"/>
      <w:r w:rsidRPr="00094DC8">
        <w:rPr>
          <w:rFonts w:ascii="Times New Roman" w:hAnsi="Times New Roman"/>
          <w:sz w:val="24"/>
          <w:szCs w:val="24"/>
        </w:rPr>
        <w:t>Roversi</w:t>
      </w:r>
      <w:proofErr w:type="spellEnd"/>
      <w:r w:rsidRPr="00094DC8">
        <w:rPr>
          <w:rFonts w:ascii="Times New Roman" w:hAnsi="Times New Roman"/>
          <w:sz w:val="24"/>
          <w:szCs w:val="24"/>
        </w:rPr>
        <w:t xml:space="preserve"> G, </w:t>
      </w:r>
      <w:proofErr w:type="spellStart"/>
      <w:r w:rsidRPr="00094DC8">
        <w:rPr>
          <w:rFonts w:ascii="Times New Roman" w:hAnsi="Times New Roman"/>
          <w:sz w:val="24"/>
          <w:szCs w:val="24"/>
        </w:rPr>
        <w:t>Dangoisse</w:t>
      </w:r>
      <w:proofErr w:type="spellEnd"/>
      <w:r w:rsidRPr="00094DC8">
        <w:rPr>
          <w:rFonts w:ascii="Times New Roman" w:hAnsi="Times New Roman"/>
          <w:sz w:val="24"/>
          <w:szCs w:val="24"/>
        </w:rPr>
        <w:t xml:space="preserve"> C, </w:t>
      </w:r>
      <w:proofErr w:type="spellStart"/>
      <w:r w:rsidRPr="00094DC8">
        <w:rPr>
          <w:rFonts w:ascii="Times New Roman" w:hAnsi="Times New Roman"/>
          <w:sz w:val="24"/>
          <w:szCs w:val="24"/>
        </w:rPr>
        <w:t>Scaillon</w:t>
      </w:r>
      <w:proofErr w:type="spellEnd"/>
      <w:r w:rsidRPr="00094DC8">
        <w:rPr>
          <w:rFonts w:ascii="Times New Roman" w:hAnsi="Times New Roman"/>
          <w:sz w:val="24"/>
          <w:szCs w:val="24"/>
        </w:rPr>
        <w:t xml:space="preserve"> M, </w:t>
      </w:r>
      <w:proofErr w:type="spellStart"/>
      <w:r w:rsidRPr="00094DC8">
        <w:rPr>
          <w:rFonts w:ascii="Times New Roman" w:hAnsi="Times New Roman"/>
          <w:sz w:val="24"/>
          <w:szCs w:val="24"/>
        </w:rPr>
        <w:t>Ziereisen</w:t>
      </w:r>
      <w:proofErr w:type="spellEnd"/>
      <w:r w:rsidRPr="00094DC8">
        <w:rPr>
          <w:rFonts w:ascii="Times New Roman" w:hAnsi="Times New Roman"/>
          <w:sz w:val="24"/>
          <w:szCs w:val="24"/>
        </w:rPr>
        <w:t xml:space="preserve"> F, et al. Atypical Rothmund-Thomson syndrome in a patient with compound heterozygous mutations in RECQL4 gene and phenotypic features in RECQL4 syndromes. Eur J </w:t>
      </w:r>
      <w:proofErr w:type="spellStart"/>
      <w:r w:rsidRPr="00094DC8">
        <w:rPr>
          <w:rFonts w:ascii="Times New Roman" w:hAnsi="Times New Roman"/>
          <w:sz w:val="24"/>
          <w:szCs w:val="24"/>
        </w:rPr>
        <w:t>Pediatr</w:t>
      </w:r>
      <w:proofErr w:type="spellEnd"/>
      <w:r w:rsidRPr="00094DC8">
        <w:rPr>
          <w:rFonts w:ascii="Times New Roman" w:hAnsi="Times New Roman"/>
          <w:sz w:val="24"/>
          <w:szCs w:val="24"/>
        </w:rPr>
        <w:t xml:space="preserve">. </w:t>
      </w:r>
      <w:proofErr w:type="gramStart"/>
      <w:r w:rsidRPr="00094DC8">
        <w:rPr>
          <w:rFonts w:ascii="Times New Roman" w:hAnsi="Times New Roman"/>
          <w:sz w:val="24"/>
          <w:szCs w:val="24"/>
        </w:rPr>
        <w:t>2008;167:175</w:t>
      </w:r>
      <w:proofErr w:type="gramEnd"/>
      <w:r w:rsidRPr="00094DC8">
        <w:rPr>
          <w:rFonts w:ascii="Times New Roman" w:hAnsi="Times New Roman"/>
          <w:sz w:val="24"/>
          <w:szCs w:val="24"/>
        </w:rPr>
        <w:t>-81.</w:t>
      </w:r>
    </w:p>
    <w:p w14:paraId="7BF58D17"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 xml:space="preserve">Romero </w:t>
      </w:r>
      <w:proofErr w:type="spellStart"/>
      <w:r w:rsidRPr="00094DC8">
        <w:rPr>
          <w:rFonts w:ascii="Times New Roman" w:hAnsi="Times New Roman"/>
          <w:sz w:val="24"/>
          <w:szCs w:val="24"/>
        </w:rPr>
        <w:t>Flórez</w:t>
      </w:r>
      <w:proofErr w:type="spellEnd"/>
      <w:r w:rsidRPr="00094DC8">
        <w:rPr>
          <w:rFonts w:ascii="Times New Roman" w:hAnsi="Times New Roman"/>
          <w:sz w:val="24"/>
          <w:szCs w:val="24"/>
        </w:rPr>
        <w:t xml:space="preserve"> A. </w:t>
      </w:r>
      <w:proofErr w:type="spellStart"/>
      <w:r w:rsidRPr="00094DC8">
        <w:rPr>
          <w:rFonts w:ascii="Times New Roman" w:hAnsi="Times New Roman"/>
          <w:sz w:val="24"/>
          <w:szCs w:val="24"/>
        </w:rPr>
        <w:t>Síndrome</w:t>
      </w:r>
      <w:proofErr w:type="spellEnd"/>
      <w:r w:rsidRPr="00094DC8">
        <w:rPr>
          <w:rFonts w:ascii="Times New Roman" w:hAnsi="Times New Roman"/>
          <w:sz w:val="24"/>
          <w:szCs w:val="24"/>
        </w:rPr>
        <w:t xml:space="preserve"> de </w:t>
      </w:r>
      <w:proofErr w:type="spellStart"/>
      <w:r w:rsidRPr="00094DC8">
        <w:rPr>
          <w:rFonts w:ascii="Times New Roman" w:hAnsi="Times New Roman"/>
          <w:sz w:val="24"/>
          <w:szCs w:val="24"/>
        </w:rPr>
        <w:t>Rothmund</w:t>
      </w:r>
      <w:proofErr w:type="spellEnd"/>
      <w:r w:rsidRPr="00094DC8">
        <w:rPr>
          <w:rFonts w:ascii="Times New Roman" w:hAnsi="Times New Roman"/>
          <w:sz w:val="24"/>
          <w:szCs w:val="24"/>
        </w:rPr>
        <w:t xml:space="preserve">-Thomson o </w:t>
      </w:r>
      <w:proofErr w:type="spellStart"/>
      <w:r w:rsidRPr="00094DC8">
        <w:rPr>
          <w:rFonts w:ascii="Times New Roman" w:hAnsi="Times New Roman"/>
          <w:sz w:val="24"/>
          <w:szCs w:val="24"/>
        </w:rPr>
        <w:t>poiquilodermia</w:t>
      </w:r>
      <w:proofErr w:type="spellEnd"/>
      <w:r w:rsidRPr="00094DC8">
        <w:rPr>
          <w:rFonts w:ascii="Times New Roman" w:hAnsi="Times New Roman"/>
          <w:sz w:val="24"/>
          <w:szCs w:val="24"/>
        </w:rPr>
        <w:t xml:space="preserve"> </w:t>
      </w:r>
      <w:proofErr w:type="spellStart"/>
      <w:r w:rsidRPr="00094DC8">
        <w:rPr>
          <w:rFonts w:ascii="Times New Roman" w:hAnsi="Times New Roman"/>
          <w:sz w:val="24"/>
          <w:szCs w:val="24"/>
        </w:rPr>
        <w:t>congénita</w:t>
      </w:r>
      <w:proofErr w:type="spellEnd"/>
      <w:r w:rsidRPr="00094DC8">
        <w:rPr>
          <w:rFonts w:ascii="Times New Roman" w:hAnsi="Times New Roman"/>
          <w:sz w:val="24"/>
          <w:szCs w:val="24"/>
        </w:rPr>
        <w:t xml:space="preserve">. Dermatol Rev Mex. </w:t>
      </w:r>
      <w:proofErr w:type="gramStart"/>
      <w:r w:rsidRPr="00094DC8">
        <w:rPr>
          <w:rFonts w:ascii="Times New Roman" w:hAnsi="Times New Roman"/>
          <w:sz w:val="24"/>
          <w:szCs w:val="24"/>
        </w:rPr>
        <w:t>2012;56:354</w:t>
      </w:r>
      <w:proofErr w:type="gramEnd"/>
      <w:r w:rsidRPr="00094DC8">
        <w:rPr>
          <w:rFonts w:ascii="Times New Roman" w:hAnsi="Times New Roman"/>
          <w:sz w:val="24"/>
          <w:szCs w:val="24"/>
        </w:rPr>
        <w:t>-7</w:t>
      </w:r>
    </w:p>
    <w:p w14:paraId="1632AF62" w14:textId="77777777" w:rsidR="006A1248" w:rsidRPr="006A1248" w:rsidRDefault="006A1248" w:rsidP="006A1248">
      <w:pPr>
        <w:pStyle w:val="Title"/>
        <w:numPr>
          <w:ilvl w:val="0"/>
          <w:numId w:val="32"/>
        </w:numPr>
        <w:spacing w:after="80" w:line="232" w:lineRule="auto"/>
        <w:contextualSpacing/>
        <w:jc w:val="left"/>
        <w:rPr>
          <w:rFonts w:ascii="Times New Roman" w:hAnsi="Times New Roman"/>
          <w:b w:val="0"/>
          <w:bCs/>
          <w:iCs/>
          <w:sz w:val="24"/>
          <w:szCs w:val="24"/>
        </w:rPr>
      </w:pPr>
      <w:r w:rsidRPr="006A1248">
        <w:rPr>
          <w:rFonts w:ascii="Times New Roman" w:hAnsi="Times New Roman"/>
          <w:b w:val="0"/>
          <w:bCs/>
          <w:iCs/>
          <w:w w:val="90"/>
          <w:sz w:val="24"/>
          <w:szCs w:val="24"/>
        </w:rPr>
        <w:t>Alicia</w:t>
      </w:r>
      <w:r w:rsidRPr="006A1248">
        <w:rPr>
          <w:rFonts w:ascii="Times New Roman" w:hAnsi="Times New Roman"/>
          <w:b w:val="0"/>
          <w:bCs/>
          <w:iCs/>
          <w:sz w:val="24"/>
          <w:szCs w:val="24"/>
        </w:rPr>
        <w:t xml:space="preserve"> </w:t>
      </w:r>
      <w:r w:rsidRPr="006A1248">
        <w:rPr>
          <w:rFonts w:ascii="Times New Roman" w:hAnsi="Times New Roman"/>
          <w:b w:val="0"/>
          <w:bCs/>
          <w:iCs/>
          <w:w w:val="90"/>
          <w:sz w:val="24"/>
          <w:szCs w:val="24"/>
        </w:rPr>
        <w:t>P.</w:t>
      </w:r>
      <w:r w:rsidRPr="006A1248">
        <w:rPr>
          <w:rFonts w:ascii="Times New Roman" w:hAnsi="Times New Roman"/>
          <w:b w:val="0"/>
          <w:bCs/>
          <w:iCs/>
          <w:spacing w:val="-9"/>
          <w:w w:val="90"/>
          <w:sz w:val="24"/>
          <w:szCs w:val="24"/>
        </w:rPr>
        <w:t xml:space="preserve"> </w:t>
      </w:r>
      <w:r w:rsidRPr="006A1248">
        <w:rPr>
          <w:rFonts w:ascii="Times New Roman" w:hAnsi="Times New Roman"/>
          <w:b w:val="0"/>
          <w:bCs/>
          <w:iCs/>
          <w:w w:val="90"/>
          <w:sz w:val="24"/>
          <w:szCs w:val="24"/>
        </w:rPr>
        <w:t>Sánchez-Padilla,</w:t>
      </w:r>
      <w:r w:rsidRPr="006A1248">
        <w:rPr>
          <w:rFonts w:ascii="Times New Roman" w:hAnsi="Times New Roman"/>
          <w:b w:val="0"/>
          <w:bCs/>
          <w:iCs/>
          <w:spacing w:val="-19"/>
          <w:w w:val="90"/>
          <w:sz w:val="24"/>
          <w:szCs w:val="24"/>
        </w:rPr>
        <w:t xml:space="preserve"> </w:t>
      </w:r>
      <w:r w:rsidRPr="006A1248">
        <w:rPr>
          <w:rFonts w:ascii="Times New Roman" w:hAnsi="Times New Roman"/>
          <w:b w:val="0"/>
          <w:bCs/>
          <w:iCs/>
          <w:w w:val="90"/>
          <w:sz w:val="24"/>
          <w:szCs w:val="24"/>
        </w:rPr>
        <w:t>Adriana</w:t>
      </w:r>
      <w:r w:rsidRPr="006A1248">
        <w:rPr>
          <w:rFonts w:ascii="Times New Roman" w:hAnsi="Times New Roman"/>
          <w:b w:val="0"/>
          <w:bCs/>
          <w:iCs/>
          <w:sz w:val="24"/>
          <w:szCs w:val="24"/>
        </w:rPr>
        <w:t xml:space="preserve"> </w:t>
      </w:r>
      <w:r w:rsidRPr="006A1248">
        <w:rPr>
          <w:rFonts w:ascii="Times New Roman" w:hAnsi="Times New Roman"/>
          <w:b w:val="0"/>
          <w:bCs/>
          <w:iCs/>
          <w:w w:val="90"/>
          <w:sz w:val="24"/>
          <w:szCs w:val="24"/>
        </w:rPr>
        <w:t>M.</w:t>
      </w:r>
      <w:r w:rsidRPr="006A1248">
        <w:rPr>
          <w:rFonts w:ascii="Times New Roman" w:hAnsi="Times New Roman"/>
          <w:b w:val="0"/>
          <w:bCs/>
          <w:iCs/>
          <w:spacing w:val="-19"/>
          <w:w w:val="90"/>
          <w:sz w:val="24"/>
          <w:szCs w:val="24"/>
        </w:rPr>
        <w:t xml:space="preserve"> </w:t>
      </w:r>
      <w:r w:rsidRPr="006A1248">
        <w:rPr>
          <w:rFonts w:ascii="Times New Roman" w:hAnsi="Times New Roman"/>
          <w:b w:val="0"/>
          <w:bCs/>
          <w:iCs/>
          <w:w w:val="90"/>
          <w:sz w:val="24"/>
          <w:szCs w:val="24"/>
        </w:rPr>
        <w:t>Valencia-Herrera,</w:t>
      </w:r>
      <w:r w:rsidRPr="006A1248">
        <w:rPr>
          <w:rFonts w:ascii="Times New Roman" w:hAnsi="Times New Roman"/>
          <w:b w:val="0"/>
          <w:bCs/>
          <w:iCs/>
          <w:spacing w:val="-9"/>
          <w:w w:val="90"/>
          <w:sz w:val="24"/>
          <w:szCs w:val="24"/>
        </w:rPr>
        <w:t xml:space="preserve"> </w:t>
      </w:r>
      <w:r w:rsidRPr="006A1248">
        <w:rPr>
          <w:rFonts w:ascii="Times New Roman" w:hAnsi="Times New Roman"/>
          <w:b w:val="0"/>
          <w:bCs/>
          <w:iCs/>
          <w:w w:val="90"/>
          <w:sz w:val="24"/>
          <w:szCs w:val="24"/>
        </w:rPr>
        <w:t>Mirna</w:t>
      </w:r>
      <w:r w:rsidRPr="006A1248">
        <w:rPr>
          <w:rFonts w:ascii="Times New Roman" w:hAnsi="Times New Roman"/>
          <w:b w:val="0"/>
          <w:bCs/>
          <w:iCs/>
          <w:sz w:val="24"/>
          <w:szCs w:val="24"/>
        </w:rPr>
        <w:t xml:space="preserve"> </w:t>
      </w:r>
      <w:r w:rsidRPr="006A1248">
        <w:rPr>
          <w:rFonts w:ascii="Times New Roman" w:hAnsi="Times New Roman"/>
          <w:b w:val="0"/>
          <w:bCs/>
          <w:iCs/>
          <w:w w:val="90"/>
          <w:sz w:val="24"/>
          <w:szCs w:val="24"/>
        </w:rPr>
        <w:t>E.</w:t>
      </w:r>
      <w:r w:rsidRPr="006A1248">
        <w:rPr>
          <w:rFonts w:ascii="Times New Roman" w:hAnsi="Times New Roman"/>
          <w:b w:val="0"/>
          <w:bCs/>
          <w:iCs/>
          <w:spacing w:val="-29"/>
          <w:w w:val="90"/>
          <w:sz w:val="24"/>
          <w:szCs w:val="24"/>
        </w:rPr>
        <w:t xml:space="preserve"> </w:t>
      </w:r>
      <w:r w:rsidRPr="006A1248">
        <w:rPr>
          <w:rFonts w:ascii="Times New Roman" w:hAnsi="Times New Roman"/>
          <w:b w:val="0"/>
          <w:bCs/>
          <w:iCs/>
          <w:w w:val="90"/>
          <w:sz w:val="24"/>
          <w:szCs w:val="24"/>
        </w:rPr>
        <w:t xml:space="preserve">Toledo-Bahena, </w:t>
      </w:r>
      <w:r w:rsidRPr="006A1248">
        <w:rPr>
          <w:rFonts w:ascii="Times New Roman" w:hAnsi="Times New Roman"/>
          <w:b w:val="0"/>
          <w:bCs/>
          <w:iCs/>
          <w:spacing w:val="-6"/>
          <w:sz w:val="24"/>
          <w:szCs w:val="24"/>
        </w:rPr>
        <w:t>Carlos</w:t>
      </w:r>
      <w:r w:rsidRPr="006A1248">
        <w:rPr>
          <w:rFonts w:ascii="Times New Roman" w:hAnsi="Times New Roman"/>
          <w:b w:val="0"/>
          <w:bCs/>
          <w:iCs/>
          <w:sz w:val="24"/>
          <w:szCs w:val="24"/>
        </w:rPr>
        <w:t xml:space="preserve"> </w:t>
      </w:r>
      <w:r w:rsidRPr="006A1248">
        <w:rPr>
          <w:rFonts w:ascii="Times New Roman" w:hAnsi="Times New Roman"/>
          <w:b w:val="0"/>
          <w:bCs/>
          <w:iCs/>
          <w:spacing w:val="-6"/>
          <w:sz w:val="24"/>
          <w:szCs w:val="24"/>
        </w:rPr>
        <w:t>A.</w:t>
      </w:r>
      <w:r w:rsidRPr="006A1248">
        <w:rPr>
          <w:rFonts w:ascii="Times New Roman" w:hAnsi="Times New Roman"/>
          <w:b w:val="0"/>
          <w:bCs/>
          <w:iCs/>
          <w:spacing w:val="-15"/>
          <w:sz w:val="24"/>
          <w:szCs w:val="24"/>
        </w:rPr>
        <w:t xml:space="preserve"> </w:t>
      </w:r>
      <w:r w:rsidRPr="006A1248">
        <w:rPr>
          <w:rFonts w:ascii="Times New Roman" w:hAnsi="Times New Roman"/>
          <w:b w:val="0"/>
          <w:bCs/>
          <w:iCs/>
          <w:spacing w:val="-6"/>
          <w:sz w:val="24"/>
          <w:szCs w:val="24"/>
        </w:rPr>
        <w:t>Mena-Cedillos,</w:t>
      </w:r>
      <w:r w:rsidRPr="006A1248">
        <w:rPr>
          <w:rFonts w:ascii="Times New Roman" w:hAnsi="Times New Roman"/>
          <w:b w:val="0"/>
          <w:bCs/>
          <w:iCs/>
          <w:spacing w:val="-15"/>
          <w:sz w:val="24"/>
          <w:szCs w:val="24"/>
        </w:rPr>
        <w:t xml:space="preserve"> </w:t>
      </w:r>
      <w:r w:rsidRPr="006A1248">
        <w:rPr>
          <w:rFonts w:ascii="Times New Roman" w:hAnsi="Times New Roman"/>
          <w:b w:val="0"/>
          <w:bCs/>
          <w:iCs/>
          <w:spacing w:val="-6"/>
          <w:sz w:val="24"/>
          <w:szCs w:val="24"/>
        </w:rPr>
        <w:t>and</w:t>
      </w:r>
      <w:r w:rsidRPr="006A1248">
        <w:rPr>
          <w:rFonts w:ascii="Times New Roman" w:hAnsi="Times New Roman"/>
          <w:b w:val="0"/>
          <w:bCs/>
          <w:iCs/>
          <w:spacing w:val="-14"/>
          <w:sz w:val="24"/>
          <w:szCs w:val="24"/>
        </w:rPr>
        <w:t xml:space="preserve"> </w:t>
      </w:r>
      <w:r w:rsidRPr="006A1248">
        <w:rPr>
          <w:rFonts w:ascii="Times New Roman" w:hAnsi="Times New Roman"/>
          <w:b w:val="0"/>
          <w:bCs/>
          <w:iCs/>
          <w:spacing w:val="-6"/>
          <w:sz w:val="24"/>
          <w:szCs w:val="24"/>
        </w:rPr>
        <w:t>Sonia</w:t>
      </w:r>
      <w:r w:rsidRPr="006A1248">
        <w:rPr>
          <w:rFonts w:ascii="Times New Roman" w:hAnsi="Times New Roman"/>
          <w:b w:val="0"/>
          <w:bCs/>
          <w:iCs/>
          <w:sz w:val="24"/>
          <w:szCs w:val="24"/>
        </w:rPr>
        <w:t xml:space="preserve"> </w:t>
      </w:r>
      <w:r w:rsidRPr="006A1248">
        <w:rPr>
          <w:rFonts w:ascii="Times New Roman" w:hAnsi="Times New Roman"/>
          <w:b w:val="0"/>
          <w:bCs/>
          <w:iCs/>
          <w:spacing w:val="-6"/>
          <w:sz w:val="24"/>
          <w:szCs w:val="24"/>
        </w:rPr>
        <w:t>Toussaint-Caire</w:t>
      </w:r>
      <w:r w:rsidRPr="006A1248">
        <w:rPr>
          <w:rFonts w:ascii="Times New Roman" w:hAnsi="Times New Roman"/>
          <w:b w:val="0"/>
          <w:bCs/>
          <w:iCs/>
          <w:sz w:val="24"/>
          <w:szCs w:val="24"/>
        </w:rPr>
        <w:t xml:space="preserve"> </w:t>
      </w:r>
      <w:r w:rsidRPr="006A1248">
        <w:rPr>
          <w:rFonts w:ascii="Times New Roman" w:hAnsi="Times New Roman"/>
          <w:b w:val="0"/>
          <w:bCs/>
          <w:iCs/>
          <w:w w:val="90"/>
          <w:sz w:val="24"/>
          <w:szCs w:val="24"/>
        </w:rPr>
        <w:t xml:space="preserve">Rothmund-Thomson syndrome: a case series from a tertiary </w:t>
      </w:r>
      <w:r w:rsidRPr="006A1248">
        <w:rPr>
          <w:rFonts w:ascii="Times New Roman" w:hAnsi="Times New Roman"/>
          <w:b w:val="0"/>
          <w:bCs/>
          <w:iCs/>
          <w:spacing w:val="-6"/>
          <w:sz w:val="24"/>
          <w:szCs w:val="24"/>
        </w:rPr>
        <w:t>pediatric</w:t>
      </w:r>
      <w:r w:rsidRPr="006A1248">
        <w:rPr>
          <w:rFonts w:ascii="Times New Roman" w:hAnsi="Times New Roman"/>
          <w:b w:val="0"/>
          <w:bCs/>
          <w:iCs/>
          <w:spacing w:val="-17"/>
          <w:sz w:val="24"/>
          <w:szCs w:val="24"/>
        </w:rPr>
        <w:t xml:space="preserve"> </w:t>
      </w:r>
      <w:r w:rsidRPr="006A1248">
        <w:rPr>
          <w:rFonts w:ascii="Times New Roman" w:hAnsi="Times New Roman"/>
          <w:b w:val="0"/>
          <w:bCs/>
          <w:iCs/>
          <w:spacing w:val="-6"/>
          <w:sz w:val="24"/>
          <w:szCs w:val="24"/>
        </w:rPr>
        <w:t>hospital</w:t>
      </w:r>
      <w:r w:rsidRPr="006A1248">
        <w:rPr>
          <w:rFonts w:ascii="Times New Roman" w:hAnsi="Times New Roman"/>
          <w:b w:val="0"/>
          <w:bCs/>
          <w:iCs/>
          <w:spacing w:val="-17"/>
          <w:sz w:val="24"/>
          <w:szCs w:val="24"/>
        </w:rPr>
        <w:t xml:space="preserve"> </w:t>
      </w:r>
      <w:r w:rsidRPr="006A1248">
        <w:rPr>
          <w:rFonts w:ascii="Times New Roman" w:hAnsi="Times New Roman"/>
          <w:b w:val="0"/>
          <w:bCs/>
          <w:iCs/>
          <w:spacing w:val="-6"/>
          <w:sz w:val="24"/>
          <w:szCs w:val="24"/>
        </w:rPr>
        <w:t>in</w:t>
      </w:r>
      <w:r w:rsidRPr="006A1248">
        <w:rPr>
          <w:rFonts w:ascii="Times New Roman" w:hAnsi="Times New Roman"/>
          <w:b w:val="0"/>
          <w:bCs/>
          <w:iCs/>
          <w:spacing w:val="-17"/>
          <w:sz w:val="24"/>
          <w:szCs w:val="24"/>
        </w:rPr>
        <w:t xml:space="preserve"> </w:t>
      </w:r>
      <w:r w:rsidRPr="006A1248">
        <w:rPr>
          <w:rFonts w:ascii="Times New Roman" w:hAnsi="Times New Roman"/>
          <w:b w:val="0"/>
          <w:bCs/>
          <w:iCs/>
          <w:spacing w:val="-6"/>
          <w:sz w:val="24"/>
          <w:szCs w:val="24"/>
        </w:rPr>
        <w:t>Mexico</w:t>
      </w:r>
    </w:p>
    <w:p w14:paraId="317EF807" w14:textId="77777777" w:rsidR="006A1248" w:rsidRPr="00094DC8" w:rsidRDefault="006A1248" w:rsidP="006A1248">
      <w:pPr>
        <w:ind w:left="360"/>
        <w:rPr>
          <w:rFonts w:ascii="Times New Roman" w:hAnsi="Times New Roman"/>
          <w:sz w:val="24"/>
          <w:szCs w:val="24"/>
        </w:rPr>
      </w:pPr>
    </w:p>
    <w:p w14:paraId="6EFDEB93" w14:textId="77777777" w:rsidR="006A1248" w:rsidRPr="00094DC8" w:rsidRDefault="006A1248" w:rsidP="006A1248">
      <w:pPr>
        <w:rPr>
          <w:rFonts w:ascii="Times New Roman" w:hAnsi="Times New Roman"/>
          <w:bCs/>
          <w:iCs/>
          <w:sz w:val="24"/>
          <w:szCs w:val="24"/>
        </w:rPr>
      </w:pPr>
    </w:p>
    <w:p w14:paraId="711CF950" w14:textId="77777777" w:rsidR="00B01FCD" w:rsidRPr="00FB3A86" w:rsidRDefault="00B01FCD" w:rsidP="00441B6F">
      <w:pPr>
        <w:pStyle w:val="Appendix"/>
        <w:spacing w:after="0"/>
        <w:jc w:val="both"/>
        <w:rPr>
          <w:rFonts w:ascii="Arial" w:hAnsi="Arial" w:cs="Arial"/>
          <w:b w:val="0"/>
        </w:rPr>
      </w:pPr>
    </w:p>
    <w:sectPr w:rsidR="00B01FCD" w:rsidRPr="00FB3A86" w:rsidSect="00690E27">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7FA09" w14:textId="77777777" w:rsidR="005B1B51" w:rsidRDefault="005B1B51" w:rsidP="00C37E61">
      <w:r>
        <w:separator/>
      </w:r>
    </w:p>
  </w:endnote>
  <w:endnote w:type="continuationSeparator" w:id="0">
    <w:p w14:paraId="183D63CB" w14:textId="77777777" w:rsidR="005B1B51" w:rsidRDefault="005B1B5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00BA4" w14:textId="77777777" w:rsidR="00862D54" w:rsidRDefault="00862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A38BF" w14:textId="77777777" w:rsidR="00862D54" w:rsidRDefault="00862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B8FD" w14:textId="77777777" w:rsidR="009E048A" w:rsidRDefault="009E048A">
    <w:pPr>
      <w:pStyle w:val="Footer"/>
      <w:rPr>
        <w:rFonts w:ascii="Arial" w:hAnsi="Arial" w:cs="Arial"/>
        <w:sz w:val="16"/>
      </w:rPr>
    </w:pPr>
  </w:p>
  <w:p w14:paraId="464DA44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BA497AE" w14:textId="77777777" w:rsidR="009E048A" w:rsidRDefault="009E048A">
    <w:pPr>
      <w:pStyle w:val="Footer"/>
      <w:rPr>
        <w:rFonts w:ascii="Arial" w:hAnsi="Arial" w:cs="Arial"/>
        <w:sz w:val="16"/>
      </w:rPr>
    </w:pPr>
  </w:p>
  <w:p w14:paraId="645BBE2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A9E8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3B95A" w14:textId="77777777" w:rsidR="005B1B51" w:rsidRDefault="005B1B51" w:rsidP="00C37E61">
      <w:r>
        <w:separator/>
      </w:r>
    </w:p>
  </w:footnote>
  <w:footnote w:type="continuationSeparator" w:id="0">
    <w:p w14:paraId="7EBD8360" w14:textId="77777777" w:rsidR="005B1B51" w:rsidRDefault="005B1B5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F81C6" w14:textId="03A2578E" w:rsidR="00862D54" w:rsidRDefault="00862D54">
    <w:pPr>
      <w:pStyle w:val="Header"/>
    </w:pPr>
    <w:r>
      <w:rPr>
        <w:noProof/>
      </w:rPr>
      <w:pict w14:anchorId="37599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99313"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DDC60" w14:textId="58E04910" w:rsidR="00862D54" w:rsidRDefault="00862D54">
    <w:pPr>
      <w:pStyle w:val="Header"/>
    </w:pPr>
    <w:r>
      <w:rPr>
        <w:noProof/>
      </w:rPr>
      <w:pict w14:anchorId="1F45E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99314"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D26F8" w14:textId="45B87BBF" w:rsidR="00296529" w:rsidRPr="00296529" w:rsidRDefault="00862D54" w:rsidP="00296529">
    <w:pPr>
      <w:ind w:left="2160"/>
      <w:jc w:val="center"/>
      <w:rPr>
        <w:rFonts w:ascii="Times New Roman" w:eastAsia="Calibri" w:hAnsi="Times New Roman"/>
        <w:i/>
        <w:sz w:val="18"/>
        <w:szCs w:val="22"/>
      </w:rPr>
    </w:pPr>
    <w:r>
      <w:rPr>
        <w:noProof/>
      </w:rPr>
      <w:pict w14:anchorId="2A5CD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99312"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20CDCF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2851C7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A2A27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53F321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470FF5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E013AF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39209" w14:textId="4CD5E862" w:rsidR="00862D54" w:rsidRDefault="00862D54">
    <w:pPr>
      <w:pStyle w:val="Header"/>
    </w:pPr>
    <w:r>
      <w:rPr>
        <w:noProof/>
      </w:rPr>
      <w:pict w14:anchorId="795BA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99316"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297FE" w14:textId="40F8E0B9" w:rsidR="00862D54" w:rsidRDefault="00862D54">
    <w:pPr>
      <w:pStyle w:val="Header"/>
    </w:pPr>
    <w:r>
      <w:rPr>
        <w:noProof/>
      </w:rPr>
      <w:pict w14:anchorId="28C5A2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99317"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6041F" w14:textId="37A43F2E" w:rsidR="00862D54" w:rsidRDefault="00862D54">
    <w:pPr>
      <w:pStyle w:val="Header"/>
    </w:pPr>
    <w:r>
      <w:rPr>
        <w:noProof/>
      </w:rPr>
      <w:pict w14:anchorId="0B7236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99315"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F8A7F08"/>
    <w:multiLevelType w:val="multilevel"/>
    <w:tmpl w:val="4BD6C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877731C"/>
    <w:multiLevelType w:val="hybridMultilevel"/>
    <w:tmpl w:val="A84021F0"/>
    <w:lvl w:ilvl="0" w:tplc="609240C2">
      <w:numFmt w:val="bullet"/>
      <w:lvlText w:val="–"/>
      <w:lvlJc w:val="left"/>
      <w:pPr>
        <w:ind w:left="333" w:hanging="101"/>
      </w:pPr>
      <w:rPr>
        <w:rFonts w:ascii="Times New Roman" w:eastAsia="Times New Roman" w:hAnsi="Times New Roman" w:cs="Times New Roman" w:hint="default"/>
        <w:b w:val="0"/>
        <w:bCs w:val="0"/>
        <w:i w:val="0"/>
        <w:iCs w:val="0"/>
        <w:color w:val="231F20"/>
        <w:spacing w:val="0"/>
        <w:w w:val="67"/>
        <w:sz w:val="16"/>
        <w:szCs w:val="16"/>
        <w:lang w:val="en-US" w:eastAsia="en-US" w:bidi="ar-SA"/>
      </w:rPr>
    </w:lvl>
    <w:lvl w:ilvl="1" w:tplc="CB088CD0">
      <w:numFmt w:val="bullet"/>
      <w:lvlText w:val="•"/>
      <w:lvlJc w:val="left"/>
      <w:pPr>
        <w:ind w:left="647" w:hanging="101"/>
      </w:pPr>
      <w:rPr>
        <w:rFonts w:hint="default"/>
        <w:lang w:val="en-US" w:eastAsia="en-US" w:bidi="ar-SA"/>
      </w:rPr>
    </w:lvl>
    <w:lvl w:ilvl="2" w:tplc="83048F9C">
      <w:numFmt w:val="bullet"/>
      <w:lvlText w:val="•"/>
      <w:lvlJc w:val="left"/>
      <w:pPr>
        <w:ind w:left="954" w:hanging="101"/>
      </w:pPr>
      <w:rPr>
        <w:rFonts w:hint="default"/>
        <w:lang w:val="en-US" w:eastAsia="en-US" w:bidi="ar-SA"/>
      </w:rPr>
    </w:lvl>
    <w:lvl w:ilvl="3" w:tplc="BBEE2630">
      <w:numFmt w:val="bullet"/>
      <w:lvlText w:val="•"/>
      <w:lvlJc w:val="left"/>
      <w:pPr>
        <w:ind w:left="1261" w:hanging="101"/>
      </w:pPr>
      <w:rPr>
        <w:rFonts w:hint="default"/>
        <w:lang w:val="en-US" w:eastAsia="en-US" w:bidi="ar-SA"/>
      </w:rPr>
    </w:lvl>
    <w:lvl w:ilvl="4" w:tplc="40FC87D6">
      <w:numFmt w:val="bullet"/>
      <w:lvlText w:val="•"/>
      <w:lvlJc w:val="left"/>
      <w:pPr>
        <w:ind w:left="1568" w:hanging="101"/>
      </w:pPr>
      <w:rPr>
        <w:rFonts w:hint="default"/>
        <w:lang w:val="en-US" w:eastAsia="en-US" w:bidi="ar-SA"/>
      </w:rPr>
    </w:lvl>
    <w:lvl w:ilvl="5" w:tplc="BDEA71FE">
      <w:numFmt w:val="bullet"/>
      <w:lvlText w:val="•"/>
      <w:lvlJc w:val="left"/>
      <w:pPr>
        <w:ind w:left="1875" w:hanging="101"/>
      </w:pPr>
      <w:rPr>
        <w:rFonts w:hint="default"/>
        <w:lang w:val="en-US" w:eastAsia="en-US" w:bidi="ar-SA"/>
      </w:rPr>
    </w:lvl>
    <w:lvl w:ilvl="6" w:tplc="90C2103E">
      <w:numFmt w:val="bullet"/>
      <w:lvlText w:val="•"/>
      <w:lvlJc w:val="left"/>
      <w:pPr>
        <w:ind w:left="2182" w:hanging="101"/>
      </w:pPr>
      <w:rPr>
        <w:rFonts w:hint="default"/>
        <w:lang w:val="en-US" w:eastAsia="en-US" w:bidi="ar-SA"/>
      </w:rPr>
    </w:lvl>
    <w:lvl w:ilvl="7" w:tplc="6F5ECD5A">
      <w:numFmt w:val="bullet"/>
      <w:lvlText w:val="•"/>
      <w:lvlJc w:val="left"/>
      <w:pPr>
        <w:ind w:left="2489" w:hanging="101"/>
      </w:pPr>
      <w:rPr>
        <w:rFonts w:hint="default"/>
        <w:lang w:val="en-US" w:eastAsia="en-US" w:bidi="ar-SA"/>
      </w:rPr>
    </w:lvl>
    <w:lvl w:ilvl="8" w:tplc="84B80ABE">
      <w:numFmt w:val="bullet"/>
      <w:lvlText w:val="•"/>
      <w:lvlJc w:val="left"/>
      <w:pPr>
        <w:ind w:left="2796" w:hanging="101"/>
      </w:pPr>
      <w:rPr>
        <w:rFonts w:hint="default"/>
        <w:lang w:val="en-US" w:eastAsia="en-US" w:bidi="ar-SA"/>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C761B"/>
    <w:rsid w:val="000D689F"/>
    <w:rsid w:val="000E7B7B"/>
    <w:rsid w:val="000E7D62"/>
    <w:rsid w:val="00103357"/>
    <w:rsid w:val="00123C9F"/>
    <w:rsid w:val="00126190"/>
    <w:rsid w:val="00130F17"/>
    <w:rsid w:val="001320BF"/>
    <w:rsid w:val="00163BC4"/>
    <w:rsid w:val="00191062"/>
    <w:rsid w:val="00191EC9"/>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4480"/>
    <w:rsid w:val="00296529"/>
    <w:rsid w:val="002B27FB"/>
    <w:rsid w:val="002B685A"/>
    <w:rsid w:val="002C57D2"/>
    <w:rsid w:val="002E0D56"/>
    <w:rsid w:val="00315186"/>
    <w:rsid w:val="00320FB2"/>
    <w:rsid w:val="0033343E"/>
    <w:rsid w:val="003512C2"/>
    <w:rsid w:val="00371FB6"/>
    <w:rsid w:val="003763C1"/>
    <w:rsid w:val="00376BBE"/>
    <w:rsid w:val="0039224F"/>
    <w:rsid w:val="003A43A4"/>
    <w:rsid w:val="003A7E18"/>
    <w:rsid w:val="003C4C86"/>
    <w:rsid w:val="003C6258"/>
    <w:rsid w:val="003E2904"/>
    <w:rsid w:val="00401927"/>
    <w:rsid w:val="00403501"/>
    <w:rsid w:val="0041027F"/>
    <w:rsid w:val="00412475"/>
    <w:rsid w:val="00423789"/>
    <w:rsid w:val="00440F43"/>
    <w:rsid w:val="00441B6F"/>
    <w:rsid w:val="00446221"/>
    <w:rsid w:val="00450E62"/>
    <w:rsid w:val="004539DB"/>
    <w:rsid w:val="00471A80"/>
    <w:rsid w:val="00495C39"/>
    <w:rsid w:val="004D305E"/>
    <w:rsid w:val="004D4277"/>
    <w:rsid w:val="00502516"/>
    <w:rsid w:val="00505F06"/>
    <w:rsid w:val="00506828"/>
    <w:rsid w:val="0053056E"/>
    <w:rsid w:val="00554FDA"/>
    <w:rsid w:val="005B1B51"/>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0E27"/>
    <w:rsid w:val="006967F7"/>
    <w:rsid w:val="006A1248"/>
    <w:rsid w:val="006A250C"/>
    <w:rsid w:val="006B0FC1"/>
    <w:rsid w:val="006B21D3"/>
    <w:rsid w:val="006B57D0"/>
    <w:rsid w:val="006D30FF"/>
    <w:rsid w:val="006D6940"/>
    <w:rsid w:val="006F11EC"/>
    <w:rsid w:val="0070082C"/>
    <w:rsid w:val="007369E6"/>
    <w:rsid w:val="00746E59"/>
    <w:rsid w:val="00754C9A"/>
    <w:rsid w:val="007558B5"/>
    <w:rsid w:val="0075599A"/>
    <w:rsid w:val="00761D52"/>
    <w:rsid w:val="0077749E"/>
    <w:rsid w:val="00790ADA"/>
    <w:rsid w:val="007D2288"/>
    <w:rsid w:val="007E088F"/>
    <w:rsid w:val="007F7B32"/>
    <w:rsid w:val="00804BC2"/>
    <w:rsid w:val="0081431A"/>
    <w:rsid w:val="0083216F"/>
    <w:rsid w:val="00860000"/>
    <w:rsid w:val="00862D54"/>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068E"/>
    <w:rsid w:val="00A51431"/>
    <w:rsid w:val="00A539AD"/>
    <w:rsid w:val="00A930D1"/>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3C25"/>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F620D2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customStyle="1" w:styleId="TableNormal1">
    <w:name w:val="Table Normal1"/>
    <w:uiPriority w:val="2"/>
    <w:semiHidden/>
    <w:unhideWhenUsed/>
    <w:qFormat/>
    <w:rsid w:val="006A1248"/>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1248"/>
    <w:pPr>
      <w:widowControl w:val="0"/>
      <w:autoSpaceDE w:val="0"/>
      <w:autoSpaceDN w:val="0"/>
      <w:spacing w:before="64"/>
      <w:ind w:left="113"/>
    </w:pPr>
    <w:rPr>
      <w:rFonts w:ascii="Tahoma" w:eastAsia="Tahoma" w:hAnsi="Tahoma" w:cs="Tahoma"/>
      <w:sz w:val="22"/>
      <w:szCs w:val="22"/>
    </w:rPr>
  </w:style>
  <w:style w:type="character" w:styleId="Strong">
    <w:name w:val="Strong"/>
    <w:basedOn w:val="DefaultParagraphFont"/>
    <w:uiPriority w:val="22"/>
    <w:qFormat/>
    <w:rsid w:val="006A1248"/>
    <w:rPr>
      <w:b/>
      <w:bCs/>
    </w:rPr>
  </w:style>
  <w:style w:type="character" w:customStyle="1" w:styleId="TitleChar">
    <w:name w:val="Title Char"/>
    <w:basedOn w:val="DefaultParagraphFont"/>
    <w:link w:val="Title"/>
    <w:uiPriority w:val="10"/>
    <w:rsid w:val="006A1248"/>
    <w:rPr>
      <w:rFonts w:ascii="Helvetica" w:hAnsi="Helvetica"/>
      <w:b/>
      <w:kern w:val="28"/>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21333-1FF5-452E-800F-51473726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6</Pages>
  <Words>2222</Words>
  <Characters>12671</Characters>
  <Application>Microsoft Office Word</Application>
  <DocSecurity>0</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14864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9</cp:revision>
  <cp:lastPrinted>1999-07-06T11:00:00Z</cp:lastPrinted>
  <dcterms:created xsi:type="dcterms:W3CDTF">2025-06-01T19:10:00Z</dcterms:created>
  <dcterms:modified xsi:type="dcterms:W3CDTF">2025-06-03T11:00:00Z</dcterms:modified>
</cp:coreProperties>
</file>