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F7416" w14:textId="6D7D0C0B" w:rsidR="00A36DEB" w:rsidRDefault="00C50FF8" w:rsidP="00C47173">
      <w:pPr>
        <w:spacing w:before="100" w:beforeAutospacing="1" w:after="100" w:afterAutospacing="1"/>
        <w:jc w:val="center"/>
        <w:outlineLvl w:val="1"/>
        <w:rPr>
          <w:rFonts w:ascii="Times New Roman" w:eastAsia="Times New Roman" w:hAnsi="Times New Roman" w:cs="Times New Roman"/>
          <w:b/>
          <w:bCs/>
          <w:sz w:val="36"/>
          <w:szCs w:val="36"/>
          <w:lang w:val="en-US" w:eastAsia="fr-FR"/>
        </w:rPr>
      </w:pPr>
      <w:r w:rsidRPr="00C50FF8">
        <w:rPr>
          <w:rFonts w:ascii="Times New Roman" w:eastAsia="Times New Roman" w:hAnsi="Times New Roman" w:cs="Times New Roman"/>
          <w:b/>
          <w:bCs/>
          <w:sz w:val="36"/>
          <w:szCs w:val="36"/>
          <w:lang w:val="en-US" w:eastAsia="fr-FR"/>
        </w:rPr>
        <w:t>Case report</w:t>
      </w:r>
    </w:p>
    <w:p w14:paraId="11BC92D2" w14:textId="4E61242D" w:rsidR="00946641" w:rsidRDefault="00C47173" w:rsidP="00227F98">
      <w:pPr>
        <w:spacing w:before="100" w:beforeAutospacing="1" w:after="100" w:afterAutospacing="1"/>
        <w:jc w:val="center"/>
        <w:outlineLvl w:val="1"/>
        <w:rPr>
          <w:rFonts w:asciiTheme="minorBidi" w:eastAsia="Times New Roman" w:hAnsiTheme="minorBidi"/>
          <w:b/>
          <w:bCs/>
          <w:sz w:val="36"/>
          <w:szCs w:val="36"/>
          <w:lang w:val="en-US" w:eastAsia="fr-FR"/>
        </w:rPr>
      </w:pPr>
      <w:r w:rsidRPr="00227F98">
        <w:rPr>
          <w:rFonts w:asciiTheme="minorBidi" w:eastAsia="Times New Roman" w:hAnsiTheme="minorBidi"/>
          <w:b/>
          <w:bCs/>
          <w:sz w:val="36"/>
          <w:szCs w:val="36"/>
          <w:lang w:val="en-US" w:eastAsia="fr-FR"/>
        </w:rPr>
        <w:t>Dyggve-Melchior-Clausen Syndrome: A Case Report</w:t>
      </w:r>
    </w:p>
    <w:p w14:paraId="7FB5B6AC" w14:textId="77777777" w:rsidR="00227F98" w:rsidRPr="00D12F08" w:rsidRDefault="00227F98" w:rsidP="00227F98">
      <w:pPr>
        <w:spacing w:before="100" w:beforeAutospacing="1" w:after="100" w:afterAutospacing="1"/>
        <w:jc w:val="center"/>
        <w:outlineLvl w:val="1"/>
        <w:rPr>
          <w:rFonts w:asciiTheme="minorBidi" w:eastAsia="Times New Roman" w:hAnsiTheme="minorBidi"/>
          <w:b/>
          <w:bCs/>
          <w:lang w:val="en-US" w:eastAsia="fr-FR"/>
        </w:rPr>
      </w:pPr>
    </w:p>
    <w:p w14:paraId="1603017E" w14:textId="77777777" w:rsidR="00AF551F" w:rsidRDefault="00AF551F" w:rsidP="00776BE9">
      <w:pPr>
        <w:spacing w:before="100" w:beforeAutospacing="1" w:after="100" w:afterAutospacing="1"/>
        <w:outlineLvl w:val="2"/>
        <w:rPr>
          <w:rFonts w:asciiTheme="minorBidi" w:eastAsia="Times New Roman" w:hAnsiTheme="minorBidi"/>
          <w:b/>
          <w:bCs/>
          <w:sz w:val="22"/>
          <w:szCs w:val="22"/>
          <w:lang w:val="en-US" w:eastAsia="fr-FR"/>
        </w:rPr>
      </w:pPr>
    </w:p>
    <w:p w14:paraId="07DC562B" w14:textId="01618A4B" w:rsidR="00776BE9" w:rsidRPr="00C96276" w:rsidRDefault="00776BE9" w:rsidP="00776BE9">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A</w:t>
      </w:r>
      <w:r w:rsidR="00227F98" w:rsidRPr="00C96276">
        <w:rPr>
          <w:rFonts w:asciiTheme="minorBidi" w:eastAsia="Times New Roman" w:hAnsiTheme="minorBidi"/>
          <w:b/>
          <w:bCs/>
          <w:sz w:val="22"/>
          <w:szCs w:val="22"/>
          <w:lang w:val="en-US" w:eastAsia="fr-FR"/>
        </w:rPr>
        <w:t>BSTRACT</w:t>
      </w:r>
    </w:p>
    <w:p w14:paraId="4750F7B7"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Dyggve-Melchior-Clausen syndrome (DMC) is a rare autosomal recessive skeletal dysplasia caused by mutations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characterized by disproportionate short stature, intellectual disability, and specific radiographic anomalies. It is often misdiagnosed due to clinical similarities with </w:t>
      </w:r>
      <w:proofErr w:type="spellStart"/>
      <w:r w:rsidRPr="00C96276">
        <w:rPr>
          <w:rFonts w:asciiTheme="minorBidi" w:eastAsia="Times New Roman" w:hAnsiTheme="minorBidi"/>
          <w:sz w:val="20"/>
          <w:szCs w:val="20"/>
          <w:lang w:val="en-US" w:eastAsia="fr-FR"/>
        </w:rPr>
        <w:t>Morquio</w:t>
      </w:r>
      <w:proofErr w:type="spellEnd"/>
      <w:r w:rsidRPr="00C96276">
        <w:rPr>
          <w:rFonts w:asciiTheme="minorBidi" w:eastAsia="Times New Roman" w:hAnsiTheme="minorBidi"/>
          <w:sz w:val="20"/>
          <w:szCs w:val="20"/>
          <w:lang w:val="en-US" w:eastAsia="fr-FR"/>
        </w:rPr>
        <w:t xml:space="preserve"> syndrome and other skeletal </w:t>
      </w:r>
      <w:proofErr w:type="spellStart"/>
      <w:r w:rsidRPr="00C96276">
        <w:rPr>
          <w:rFonts w:asciiTheme="minorBidi" w:eastAsia="Times New Roman" w:hAnsiTheme="minorBidi"/>
          <w:sz w:val="20"/>
          <w:szCs w:val="20"/>
          <w:lang w:val="en-US" w:eastAsia="fr-FR"/>
        </w:rPr>
        <w:t>dysplasias</w:t>
      </w:r>
      <w:proofErr w:type="spellEnd"/>
      <w:r w:rsidRPr="00C96276">
        <w:rPr>
          <w:rFonts w:asciiTheme="minorBidi" w:eastAsia="Times New Roman" w:hAnsiTheme="minorBidi"/>
          <w:sz w:val="20"/>
          <w:szCs w:val="20"/>
          <w:lang w:val="en-US" w:eastAsia="fr-FR"/>
        </w:rPr>
        <w:t xml:space="preserve">. This report presents a four-year-old female from a consanguineous union, evaluated for global developmental delay and growth retardation. Clinical findings included coarse facies, thoracic scoliosis, and short extremities. Radiographs revealed characteristic features such as platyspondyly and irregular iliac crests. Genetic analysis identified a homozygous pathogenic variant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confirming the diagnosis. Differential diagnosis with mucopolysaccharidoses and Smith-McCort dysplasia was discussed. The importance of early diagnosis through clinical, radiological, and genetic correlation is emphasized to provide anticipatory care and genetic counseling. Although no curative treatment exists, a multidisciplinary approach can improve quality of life and functional outcomes. This case reinforces the diagnostic value of molecular genetics in rare </w:t>
      </w:r>
      <w:proofErr w:type="spellStart"/>
      <w:r w:rsidRPr="00C96276">
        <w:rPr>
          <w:rFonts w:asciiTheme="minorBidi" w:eastAsia="Times New Roman" w:hAnsiTheme="minorBidi"/>
          <w:sz w:val="20"/>
          <w:szCs w:val="20"/>
          <w:lang w:val="en-US" w:eastAsia="fr-FR"/>
        </w:rPr>
        <w:t>dysplasias</w:t>
      </w:r>
      <w:proofErr w:type="spellEnd"/>
      <w:r w:rsidRPr="00C96276">
        <w:rPr>
          <w:rFonts w:asciiTheme="minorBidi" w:eastAsia="Times New Roman" w:hAnsiTheme="minorBidi"/>
          <w:sz w:val="20"/>
          <w:szCs w:val="20"/>
          <w:lang w:val="en-US" w:eastAsia="fr-FR"/>
        </w:rPr>
        <w:t>.</w:t>
      </w:r>
    </w:p>
    <w:p w14:paraId="4E52CC17" w14:textId="5EC18172" w:rsidR="006C5D7B" w:rsidRPr="0087547D" w:rsidRDefault="006C5D7B" w:rsidP="006C5D7B">
      <w:pPr>
        <w:rPr>
          <w:rFonts w:asciiTheme="minorBidi" w:eastAsia="Times New Roman" w:hAnsiTheme="minorBidi"/>
          <w:sz w:val="20"/>
          <w:szCs w:val="20"/>
          <w:lang w:val="en-US" w:eastAsia="fr-FR"/>
        </w:rPr>
      </w:pPr>
      <w:r w:rsidRPr="006C5D7B">
        <w:rPr>
          <w:rFonts w:asciiTheme="minorBidi" w:eastAsia="Times New Roman" w:hAnsiTheme="minorBidi"/>
          <w:b/>
          <w:bCs/>
          <w:sz w:val="22"/>
          <w:szCs w:val="22"/>
          <w:lang w:val="en-US" w:eastAsia="fr-FR"/>
        </w:rPr>
        <w:t>K</w:t>
      </w:r>
      <w:r>
        <w:rPr>
          <w:rFonts w:asciiTheme="minorBidi" w:eastAsia="Times New Roman" w:hAnsiTheme="minorBidi"/>
          <w:b/>
          <w:bCs/>
          <w:sz w:val="22"/>
          <w:szCs w:val="22"/>
          <w:lang w:val="en-US" w:eastAsia="fr-FR"/>
        </w:rPr>
        <w:t>EYWORDS</w:t>
      </w:r>
      <w:r w:rsidRPr="006C5D7B">
        <w:rPr>
          <w:rFonts w:asciiTheme="minorBidi" w:eastAsia="Times New Roman" w:hAnsiTheme="minorBidi"/>
          <w:b/>
          <w:bCs/>
          <w:sz w:val="20"/>
          <w:szCs w:val="20"/>
          <w:lang w:val="en-US" w:eastAsia="fr-FR"/>
        </w:rPr>
        <w:t>:</w:t>
      </w:r>
      <w:r w:rsidRPr="003E4A51">
        <w:rPr>
          <w:rFonts w:asciiTheme="majorBidi" w:eastAsia="Times New Roman" w:hAnsiTheme="majorBidi" w:cstheme="majorBidi"/>
          <w:lang w:val="en-US" w:eastAsia="fr-FR"/>
        </w:rPr>
        <w:t xml:space="preserve"> </w:t>
      </w:r>
      <w:r w:rsidRPr="0087547D">
        <w:rPr>
          <w:rFonts w:asciiTheme="minorBidi" w:eastAsia="Times New Roman" w:hAnsiTheme="minorBidi"/>
          <w:sz w:val="20"/>
          <w:szCs w:val="20"/>
          <w:lang w:val="en-US" w:eastAsia="fr-FR"/>
        </w:rPr>
        <w:t xml:space="preserve">Dyggve-Melchior-Clausen syndrome, </w:t>
      </w:r>
      <w:proofErr w:type="spellStart"/>
      <w:r w:rsidRPr="0087547D">
        <w:rPr>
          <w:rFonts w:asciiTheme="minorBidi" w:eastAsia="Times New Roman" w:hAnsiTheme="minorBidi"/>
          <w:sz w:val="20"/>
          <w:szCs w:val="20"/>
          <w:lang w:val="en-US" w:eastAsia="fr-FR"/>
        </w:rPr>
        <w:t>spondyloepimetaphyseal</w:t>
      </w:r>
      <w:proofErr w:type="spellEnd"/>
      <w:r w:rsidRPr="0087547D">
        <w:rPr>
          <w:rFonts w:asciiTheme="minorBidi" w:eastAsia="Times New Roman" w:hAnsiTheme="minorBidi"/>
          <w:sz w:val="20"/>
          <w:szCs w:val="20"/>
          <w:lang w:val="en-US" w:eastAsia="fr-FR"/>
        </w:rPr>
        <w:t xml:space="preserve"> dysplasia, skeletal dysplasia, rare genetic disorder</w:t>
      </w:r>
    </w:p>
    <w:p w14:paraId="083C0A64" w14:textId="3C8E1E79" w:rsidR="00776BE9" w:rsidRPr="0087547D" w:rsidRDefault="00776BE9" w:rsidP="00776BE9">
      <w:pPr>
        <w:rPr>
          <w:rFonts w:asciiTheme="minorBidi" w:eastAsia="Times New Roman" w:hAnsiTheme="minorBidi"/>
          <w:sz w:val="20"/>
          <w:szCs w:val="20"/>
          <w:lang w:val="en-US" w:eastAsia="fr-FR"/>
        </w:rPr>
      </w:pPr>
    </w:p>
    <w:p w14:paraId="026748D1" w14:textId="043EDFB5" w:rsidR="00776BE9" w:rsidRPr="00C96276" w:rsidRDefault="00776BE9" w:rsidP="00776BE9">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I</w:t>
      </w:r>
      <w:r w:rsidR="00227F98" w:rsidRPr="00C96276">
        <w:rPr>
          <w:rFonts w:asciiTheme="minorBidi" w:eastAsia="Times New Roman" w:hAnsiTheme="minorBidi"/>
          <w:b/>
          <w:bCs/>
          <w:sz w:val="22"/>
          <w:szCs w:val="22"/>
          <w:lang w:val="en-US" w:eastAsia="fr-FR"/>
        </w:rPr>
        <w:t>NTRODUCTION</w:t>
      </w:r>
    </w:p>
    <w:p w14:paraId="4F612D07"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Dyggve-Melchior-Clausen syndrome (DMC) is a rare, autosomal recessive </w:t>
      </w:r>
      <w:proofErr w:type="spellStart"/>
      <w:r w:rsidRPr="00C96276">
        <w:rPr>
          <w:rFonts w:asciiTheme="minorBidi" w:eastAsia="Times New Roman" w:hAnsiTheme="minorBidi"/>
          <w:sz w:val="20"/>
          <w:szCs w:val="20"/>
          <w:lang w:val="en-US" w:eastAsia="fr-FR"/>
        </w:rPr>
        <w:t>spondyloepimetaphyseal</w:t>
      </w:r>
      <w:proofErr w:type="spellEnd"/>
      <w:r w:rsidRPr="00C96276">
        <w:rPr>
          <w:rFonts w:asciiTheme="minorBidi" w:eastAsia="Times New Roman" w:hAnsiTheme="minorBidi"/>
          <w:sz w:val="20"/>
          <w:szCs w:val="20"/>
          <w:lang w:val="en-US" w:eastAsia="fr-FR"/>
        </w:rPr>
        <w:t xml:space="preserve"> dysplasia first identified in 1962, associated with mutations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located on chromosome 18q21.1 [1]. The syndrome results in impaired endochondral ossification and manifests with disproportionate short stature, intellectual disability, skeletal abnormalities, and distinctive radiological features [2–4]. DMC has a prevalence estimated at less than 1 in 1,000,000 live births, with consanguinity often increasing its occurrence [5]. Affected individuals commonly present with coarse facial features, progressive kyphoscoliosis, joint stiffness, and short limbs [6]. Due to phenotypic overlap with other skeletal disorders, particularly </w:t>
      </w:r>
      <w:proofErr w:type="spellStart"/>
      <w:r w:rsidRPr="00C96276">
        <w:rPr>
          <w:rFonts w:asciiTheme="minorBidi" w:eastAsia="Times New Roman" w:hAnsiTheme="minorBidi"/>
          <w:sz w:val="20"/>
          <w:szCs w:val="20"/>
          <w:lang w:val="en-US" w:eastAsia="fr-FR"/>
        </w:rPr>
        <w:t>Morquio</w:t>
      </w:r>
      <w:proofErr w:type="spellEnd"/>
      <w:r w:rsidRPr="00C96276">
        <w:rPr>
          <w:rFonts w:asciiTheme="minorBidi" w:eastAsia="Times New Roman" w:hAnsiTheme="minorBidi"/>
          <w:sz w:val="20"/>
          <w:szCs w:val="20"/>
          <w:lang w:val="en-US" w:eastAsia="fr-FR"/>
        </w:rPr>
        <w:t xml:space="preserve"> syndrome (mucopolysaccharidosis type IV), early diagnosis can be challenging [7–9]. The hallmark radiological findings such as platyspondyly and lace-like iliac crests assist in narrowing the diagnosis, which can be confirmed through molecular testing [10]. We report a pediatric case of DMC, highlighting diagnostic pitfalls, the utility of genetic sequencing, and the importance of a multidisciplinary approach to management and genetic counseling in affected families.</w:t>
      </w:r>
    </w:p>
    <w:p w14:paraId="5E093ABD" w14:textId="5F9FEC1C" w:rsidR="00776BE9" w:rsidRPr="00C96276" w:rsidRDefault="00776BE9" w:rsidP="00776BE9">
      <w:pPr>
        <w:rPr>
          <w:rFonts w:asciiTheme="minorBidi" w:eastAsia="Times New Roman" w:hAnsiTheme="minorBidi"/>
          <w:sz w:val="20"/>
          <w:szCs w:val="20"/>
          <w:lang w:val="en-US" w:eastAsia="fr-FR"/>
        </w:rPr>
      </w:pPr>
    </w:p>
    <w:p w14:paraId="231F434C" w14:textId="3779B931" w:rsidR="00776BE9" w:rsidRPr="00C96276" w:rsidRDefault="00776BE9" w:rsidP="00776BE9">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C</w:t>
      </w:r>
      <w:r w:rsidR="00227F98" w:rsidRPr="00C96276">
        <w:rPr>
          <w:rFonts w:asciiTheme="minorBidi" w:eastAsia="Times New Roman" w:hAnsiTheme="minorBidi"/>
          <w:b/>
          <w:bCs/>
          <w:sz w:val="22"/>
          <w:szCs w:val="22"/>
          <w:lang w:val="en-US" w:eastAsia="fr-FR"/>
        </w:rPr>
        <w:t>ASE</w:t>
      </w:r>
      <w:r w:rsidRPr="00C96276">
        <w:rPr>
          <w:rFonts w:asciiTheme="minorBidi" w:eastAsia="Times New Roman" w:hAnsiTheme="minorBidi"/>
          <w:b/>
          <w:bCs/>
          <w:sz w:val="22"/>
          <w:szCs w:val="22"/>
          <w:lang w:val="en-US" w:eastAsia="fr-FR"/>
        </w:rPr>
        <w:t xml:space="preserve"> R</w:t>
      </w:r>
      <w:r w:rsidR="00227F98" w:rsidRPr="00C96276">
        <w:rPr>
          <w:rFonts w:asciiTheme="minorBidi" w:eastAsia="Times New Roman" w:hAnsiTheme="minorBidi"/>
          <w:b/>
          <w:bCs/>
          <w:sz w:val="22"/>
          <w:szCs w:val="22"/>
          <w:lang w:val="en-US" w:eastAsia="fr-FR"/>
        </w:rPr>
        <w:t>EPORT</w:t>
      </w:r>
      <w:r w:rsidRPr="00C96276">
        <w:rPr>
          <w:rFonts w:asciiTheme="minorBidi" w:eastAsia="Times New Roman" w:hAnsiTheme="minorBidi"/>
          <w:b/>
          <w:bCs/>
          <w:sz w:val="22"/>
          <w:szCs w:val="22"/>
          <w:lang w:val="en-US" w:eastAsia="fr-FR"/>
        </w:rPr>
        <w:t xml:space="preserve"> </w:t>
      </w:r>
    </w:p>
    <w:p w14:paraId="01657DE6"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A four-year-old girl was referred for evaluation of growth retardation and developmental delay. She was the second child of a first-degree consanguineous marriage, born full term via spontaneous vaginal delivery, with a birth weight of 3 kg. Her perinatal course was unremarkable. The family history was notable for two previous miscarriages.</w:t>
      </w:r>
    </w:p>
    <w:p w14:paraId="21E686B1" w14:textId="5C563BA2" w:rsidR="00F73E18"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On clinical examination, the child exhibited global developmental delay, especially in language and cognition. She had a short stature (height 88 cm; below -3 SD), low weight (12 kg; approximately -2 </w:t>
      </w:r>
      <w:r w:rsidRPr="00C96276">
        <w:rPr>
          <w:rFonts w:asciiTheme="minorBidi" w:eastAsia="Times New Roman" w:hAnsiTheme="minorBidi"/>
          <w:sz w:val="20"/>
          <w:szCs w:val="20"/>
          <w:lang w:val="en-US" w:eastAsia="fr-FR"/>
        </w:rPr>
        <w:lastRenderedPageBreak/>
        <w:t>SD), and microcephaly. Distinct facial dysmorphism included a broad forehead, flat nasal bridge, midface hypoplasia, and coarse features</w:t>
      </w:r>
      <w:r w:rsidR="001B6E1D" w:rsidRPr="00C96276">
        <w:rPr>
          <w:rFonts w:asciiTheme="minorBidi" w:eastAsia="Times New Roman" w:hAnsiTheme="minorBidi"/>
          <w:sz w:val="20"/>
          <w:szCs w:val="20"/>
          <w:lang w:val="en-US" w:eastAsia="fr-FR"/>
        </w:rPr>
        <w:t xml:space="preserve"> (Figure 1)</w:t>
      </w:r>
      <w:r w:rsidRPr="00C96276">
        <w:rPr>
          <w:rFonts w:asciiTheme="minorBidi" w:eastAsia="Times New Roman" w:hAnsiTheme="minorBidi"/>
          <w:sz w:val="20"/>
          <w:szCs w:val="20"/>
          <w:lang w:val="en-US" w:eastAsia="fr-FR"/>
        </w:rPr>
        <w:t xml:space="preserve">. </w:t>
      </w:r>
    </w:p>
    <w:p w14:paraId="145D4880" w14:textId="77777777" w:rsidR="00F73E18" w:rsidRPr="00C96276" w:rsidRDefault="00F73E18" w:rsidP="00776BE9">
      <w:pPr>
        <w:spacing w:before="100" w:beforeAutospacing="1" w:after="100" w:afterAutospacing="1"/>
        <w:rPr>
          <w:rFonts w:asciiTheme="minorBidi" w:eastAsia="Times New Roman" w:hAnsiTheme="minorBidi"/>
          <w:sz w:val="20"/>
          <w:szCs w:val="20"/>
          <w:lang w:val="en-US" w:eastAsia="fr-FR"/>
        </w:rPr>
      </w:pPr>
    </w:p>
    <w:p w14:paraId="481EE4A0" w14:textId="2A72A9CC" w:rsidR="00F73E18" w:rsidRPr="00C96276" w:rsidRDefault="00A60B08" w:rsidP="00F73E18">
      <w:pPr>
        <w:spacing w:before="100" w:beforeAutospacing="1" w:after="100" w:afterAutospacing="1"/>
        <w:jc w:val="center"/>
        <w:rPr>
          <w:rFonts w:asciiTheme="minorBidi" w:eastAsia="Times New Roman" w:hAnsiTheme="minorBidi"/>
          <w:sz w:val="20"/>
          <w:szCs w:val="20"/>
          <w:lang w:val="en-US" w:eastAsia="fr-FR"/>
        </w:rPr>
      </w:pPr>
      <w:r>
        <w:rPr>
          <w:rFonts w:asciiTheme="minorBidi" w:eastAsia="Times New Roman" w:hAnsiTheme="minorBidi"/>
          <w:noProof/>
          <w:sz w:val="20"/>
          <w:szCs w:val="20"/>
          <w:lang w:eastAsia="fr-FR"/>
        </w:rPr>
        <mc:AlternateContent>
          <mc:Choice Requires="wps">
            <w:drawing>
              <wp:anchor distT="0" distB="0" distL="114300" distR="114300" simplePos="0" relativeHeight="251669504" behindDoc="0" locked="0" layoutInCell="1" allowOverlap="1" wp14:anchorId="0BE8CFFA" wp14:editId="6850742F">
                <wp:simplePos x="0" y="0"/>
                <wp:positionH relativeFrom="column">
                  <wp:posOffset>2799369</wp:posOffset>
                </wp:positionH>
                <wp:positionV relativeFrom="paragraph">
                  <wp:posOffset>570519</wp:posOffset>
                </wp:positionV>
                <wp:extent cx="381000" cy="45719"/>
                <wp:effectExtent l="0" t="0" r="19050" b="12065"/>
                <wp:wrapNone/>
                <wp:docPr id="4" name="Rectangle 4"/>
                <wp:cNvGraphicFramePr/>
                <a:graphic xmlns:a="http://schemas.openxmlformats.org/drawingml/2006/main">
                  <a:graphicData uri="http://schemas.microsoft.com/office/word/2010/wordprocessingShape">
                    <wps:wsp>
                      <wps:cNvSpPr/>
                      <wps:spPr>
                        <a:xfrm>
                          <a:off x="0" y="0"/>
                          <a:ext cx="381000" cy="4571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7F4FA" id="Rectangle 4" o:spid="_x0000_s1026" style="position:absolute;margin-left:220.4pt;margin-top:44.9pt;width:30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" fillcolor="white [3212]" strokecolor="#1f3763 [1604]" strokeweight="1pt"/>
            </w:pict>
          </mc:Fallback>
        </mc:AlternateContent>
      </w:r>
      <w:r>
        <w:rPr>
          <w:rFonts w:asciiTheme="minorBidi" w:eastAsia="Times New Roman" w:hAnsiTheme="minorBidi"/>
          <w:noProof/>
          <w:sz w:val="20"/>
          <w:szCs w:val="20"/>
          <w:lang w:eastAsia="fr-FR"/>
        </w:rPr>
        <mc:AlternateContent>
          <mc:Choice Requires="wps">
            <w:drawing>
              <wp:anchor distT="0" distB="0" distL="114300" distR="114300" simplePos="0" relativeHeight="251668480" behindDoc="0" locked="0" layoutInCell="1" allowOverlap="1" wp14:anchorId="610B08F1" wp14:editId="789C0CCB">
                <wp:simplePos x="0" y="0"/>
                <wp:positionH relativeFrom="column">
                  <wp:posOffset>1490114</wp:posOffset>
                </wp:positionH>
                <wp:positionV relativeFrom="paragraph">
                  <wp:posOffset>182591</wp:posOffset>
                </wp:positionV>
                <wp:extent cx="443346" cy="76200"/>
                <wp:effectExtent l="0" t="0" r="13970" b="19050"/>
                <wp:wrapNone/>
                <wp:docPr id="2" name="Rectangle 2"/>
                <wp:cNvGraphicFramePr/>
                <a:graphic xmlns:a="http://schemas.openxmlformats.org/drawingml/2006/main">
                  <a:graphicData uri="http://schemas.microsoft.com/office/word/2010/wordprocessingShape">
                    <wps:wsp>
                      <wps:cNvSpPr/>
                      <wps:spPr>
                        <a:xfrm>
                          <a:off x="0" y="0"/>
                          <a:ext cx="443346" cy="7620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26E9F" id="Rectangle 2" o:spid="_x0000_s1026" style="position:absolute;margin-left:117.35pt;margin-top:14.4pt;width:34.9pt;height: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" fillcolor="white [3212]" strokecolor="black [1600]" strokeweight="1pt"/>
            </w:pict>
          </mc:Fallback>
        </mc:AlternateContent>
      </w:r>
      <w:r w:rsidR="00F73E18" w:rsidRPr="00C96276">
        <w:rPr>
          <w:rFonts w:asciiTheme="minorBidi" w:eastAsia="Times New Roman" w:hAnsiTheme="minorBidi"/>
          <w:sz w:val="20"/>
          <w:szCs w:val="20"/>
          <w:lang w:eastAsia="fr-FR"/>
        </w:rPr>
        <w:fldChar w:fldCharType="begin"/>
      </w:r>
      <w:r w:rsidR="00F73E18" w:rsidRPr="00C96276">
        <w:rPr>
          <w:rFonts w:asciiTheme="minorBidi" w:eastAsia="Times New Roman" w:hAnsiTheme="minorBidi"/>
          <w:sz w:val="20"/>
          <w:szCs w:val="20"/>
          <w:lang w:eastAsia="fr-FR"/>
        </w:rPr>
        <w:instrText xml:space="preserve"> INCLUDEPICTURE "/var/folders/sm/9pvg2ggj4qn1dtbgj2_844gm0000gn/T/com.microsoft.Word/WebArchiveCopyPasteTempFiles/page3image1904912" \* MERGEFORMATINET </w:instrText>
      </w:r>
      <w:r w:rsidR="00F73E18" w:rsidRPr="00C96276">
        <w:rPr>
          <w:rFonts w:asciiTheme="minorBidi" w:eastAsia="Times New Roman" w:hAnsiTheme="minorBidi"/>
          <w:sz w:val="20"/>
          <w:szCs w:val="20"/>
          <w:lang w:eastAsia="fr-FR"/>
        </w:rPr>
        <w:fldChar w:fldCharType="separate"/>
      </w:r>
      <w:r w:rsidR="00F73E18" w:rsidRPr="00C96276">
        <w:rPr>
          <w:rFonts w:asciiTheme="minorBidi" w:eastAsia="Times New Roman" w:hAnsiTheme="minorBidi"/>
          <w:noProof/>
          <w:sz w:val="20"/>
          <w:szCs w:val="20"/>
          <w:lang w:eastAsia="fr-FR"/>
        </w:rPr>
        <w:drawing>
          <wp:inline distT="0" distB="0" distL="0" distR="0" wp14:anchorId="395FEAD3" wp14:editId="2FC07FE3">
            <wp:extent cx="1251679" cy="2195830"/>
            <wp:effectExtent l="0" t="0" r="5715" b="1270"/>
            <wp:docPr id="1" name="Image 1" descr="page3image19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9049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314" r="3524" b="11815"/>
                    <a:stretch/>
                  </pic:blipFill>
                  <pic:spPr bwMode="auto">
                    <a:xfrm>
                      <a:off x="0" y="0"/>
                      <a:ext cx="1292432" cy="2267324"/>
                    </a:xfrm>
                    <a:prstGeom prst="rect">
                      <a:avLst/>
                    </a:prstGeom>
                    <a:noFill/>
                    <a:ln>
                      <a:noFill/>
                    </a:ln>
                    <a:extLst>
                      <a:ext uri="{53640926-AAD7-44D8-BBD7-CCE9431645EC}">
                        <a14:shadowObscured xmlns:a14="http://schemas.microsoft.com/office/drawing/2010/main"/>
                      </a:ext>
                    </a:extLst>
                  </pic:spPr>
                </pic:pic>
              </a:graphicData>
            </a:graphic>
          </wp:inline>
        </w:drawing>
      </w:r>
      <w:r w:rsidR="00F73E18" w:rsidRPr="00C96276">
        <w:rPr>
          <w:rFonts w:asciiTheme="minorBidi" w:eastAsia="Times New Roman" w:hAnsiTheme="minorBidi"/>
          <w:sz w:val="20"/>
          <w:szCs w:val="20"/>
          <w:lang w:eastAsia="fr-FR"/>
        </w:rPr>
        <w:fldChar w:fldCharType="end"/>
      </w:r>
      <w:r w:rsidRPr="00C96276">
        <w:rPr>
          <w:rFonts w:asciiTheme="minorBidi" w:eastAsia="Times New Roman" w:hAnsiTheme="minorBidi"/>
          <w:noProof/>
          <w:sz w:val="20"/>
          <w:szCs w:val="20"/>
          <w:lang w:eastAsia="fr-FR"/>
        </w:rPr>
        <w:drawing>
          <wp:inline distT="0" distB="0" distL="0" distR="0" wp14:anchorId="2C7200CE" wp14:editId="2C95B322">
            <wp:extent cx="1336037" cy="2194643"/>
            <wp:effectExtent l="0" t="0" r="0" b="2540"/>
            <wp:docPr id="3" name="Image 3" descr="page8image207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8image207208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98" t="11833" r="17497" b="23568"/>
                    <a:stretch/>
                  </pic:blipFill>
                  <pic:spPr bwMode="auto">
                    <a:xfrm>
                      <a:off x="0" y="0"/>
                      <a:ext cx="1405929" cy="2309451"/>
                    </a:xfrm>
                    <a:prstGeom prst="rect">
                      <a:avLst/>
                    </a:prstGeom>
                    <a:noFill/>
                    <a:ln>
                      <a:noFill/>
                    </a:ln>
                    <a:extLst>
                      <a:ext uri="{53640926-AAD7-44D8-BBD7-CCE9431645EC}">
                        <a14:shadowObscured xmlns:a14="http://schemas.microsoft.com/office/drawing/2010/main"/>
                      </a:ext>
                    </a:extLst>
                  </pic:spPr>
                </pic:pic>
              </a:graphicData>
            </a:graphic>
          </wp:inline>
        </w:drawing>
      </w:r>
      <w:r w:rsidR="00F73E18" w:rsidRPr="00C96276">
        <w:rPr>
          <w:rFonts w:asciiTheme="minorBidi" w:eastAsia="Times New Roman" w:hAnsiTheme="minorBidi"/>
          <w:sz w:val="20"/>
          <w:szCs w:val="20"/>
          <w:lang w:eastAsia="fr-FR"/>
        </w:rPr>
        <w:fldChar w:fldCharType="begin"/>
      </w:r>
      <w:r w:rsidR="00F73E18" w:rsidRPr="00C96276">
        <w:rPr>
          <w:rFonts w:asciiTheme="minorBidi" w:eastAsia="Times New Roman" w:hAnsiTheme="minorBidi"/>
          <w:sz w:val="20"/>
          <w:szCs w:val="20"/>
          <w:lang w:eastAsia="fr-FR"/>
        </w:rPr>
        <w:instrText xml:space="preserve"> INCLUDEPICTURE "/var/folders/sm/9pvg2ggj4qn1dtbgj2_844gm0000gn/T/com.microsoft.Word/WebArchiveCopyPasteTempFiles/page8image2072080" \* MERGEFORMATINET </w:instrText>
      </w:r>
      <w:r w:rsidR="00F73E18" w:rsidRPr="00C96276">
        <w:rPr>
          <w:rFonts w:asciiTheme="minorBidi" w:eastAsia="Times New Roman" w:hAnsiTheme="minorBidi"/>
          <w:sz w:val="20"/>
          <w:szCs w:val="20"/>
          <w:lang w:eastAsia="fr-FR"/>
        </w:rPr>
        <w:fldChar w:fldCharType="separate"/>
      </w:r>
      <w:r w:rsidR="00F73E18" w:rsidRPr="00C96276">
        <w:rPr>
          <w:rFonts w:asciiTheme="minorBidi" w:eastAsia="Times New Roman" w:hAnsiTheme="minorBidi"/>
          <w:sz w:val="20"/>
          <w:szCs w:val="20"/>
          <w:lang w:eastAsia="fr-FR"/>
        </w:rPr>
        <w:fldChar w:fldCharType="end"/>
      </w:r>
      <w:r w:rsidR="00F73E18" w:rsidRPr="00C96276">
        <w:rPr>
          <w:rFonts w:asciiTheme="minorBidi" w:eastAsia="Times New Roman" w:hAnsiTheme="minorBidi"/>
          <w:sz w:val="20"/>
          <w:szCs w:val="20"/>
          <w:lang w:eastAsia="fr-FR"/>
        </w:rPr>
        <w:fldChar w:fldCharType="begin"/>
      </w:r>
      <w:r w:rsidR="00F73E18" w:rsidRPr="00C96276">
        <w:rPr>
          <w:rFonts w:asciiTheme="minorBidi" w:eastAsia="Times New Roman" w:hAnsiTheme="minorBidi"/>
          <w:sz w:val="20"/>
          <w:szCs w:val="20"/>
          <w:lang w:eastAsia="fr-FR"/>
        </w:rPr>
        <w:instrText xml:space="preserve"> INCLUDEPICTURE "/var/folders/sm/9pvg2ggj4qn1dtbgj2_844gm0000gn/T/com.microsoft.Word/WebArchiveCopyPasteTempFiles/page7image2076448" \* MERGEFORMATINET </w:instrText>
      </w:r>
      <w:r w:rsidR="00F73E18" w:rsidRPr="00C96276">
        <w:rPr>
          <w:rFonts w:asciiTheme="minorBidi" w:eastAsia="Times New Roman" w:hAnsiTheme="minorBidi"/>
          <w:sz w:val="20"/>
          <w:szCs w:val="20"/>
          <w:lang w:eastAsia="fr-FR"/>
        </w:rPr>
        <w:fldChar w:fldCharType="separate"/>
      </w:r>
      <w:r w:rsidR="00F73E18" w:rsidRPr="00C96276">
        <w:rPr>
          <w:rFonts w:asciiTheme="minorBidi" w:eastAsia="Times New Roman" w:hAnsiTheme="minorBidi"/>
          <w:noProof/>
          <w:sz w:val="20"/>
          <w:szCs w:val="20"/>
          <w:lang w:eastAsia="fr-FR"/>
        </w:rPr>
        <w:drawing>
          <wp:inline distT="0" distB="0" distL="0" distR="0" wp14:anchorId="31369A0A" wp14:editId="16C04BB3">
            <wp:extent cx="1326150" cy="2197856"/>
            <wp:effectExtent l="0" t="0" r="0" b="0"/>
            <wp:docPr id="5" name="Image 5" descr="page7image207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image20764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088" cy="2335311"/>
                    </a:xfrm>
                    <a:prstGeom prst="rect">
                      <a:avLst/>
                    </a:prstGeom>
                    <a:noFill/>
                    <a:ln>
                      <a:noFill/>
                    </a:ln>
                  </pic:spPr>
                </pic:pic>
              </a:graphicData>
            </a:graphic>
          </wp:inline>
        </w:drawing>
      </w:r>
      <w:r w:rsidR="00F73E18" w:rsidRPr="00C96276">
        <w:rPr>
          <w:rFonts w:asciiTheme="minorBidi" w:eastAsia="Times New Roman" w:hAnsiTheme="minorBidi"/>
          <w:sz w:val="20"/>
          <w:szCs w:val="20"/>
          <w:lang w:eastAsia="fr-FR"/>
        </w:rPr>
        <w:fldChar w:fldCharType="end"/>
      </w:r>
    </w:p>
    <w:p w14:paraId="12540282" w14:textId="179D27CA" w:rsidR="00F73E18" w:rsidRPr="00C96276" w:rsidRDefault="00F73E18" w:rsidP="00F73E18">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             </w:t>
      </w:r>
      <w:r w:rsidR="001B6E1D" w:rsidRPr="00C96276">
        <w:rPr>
          <w:rFonts w:asciiTheme="minorBidi" w:eastAsia="Times New Roman" w:hAnsiTheme="minorBidi"/>
          <w:sz w:val="20"/>
          <w:szCs w:val="20"/>
          <w:lang w:val="en-US" w:eastAsia="fr-FR"/>
        </w:rPr>
        <w:t xml:space="preserve">                                                             </w:t>
      </w:r>
      <w:r w:rsidRPr="00C96276">
        <w:rPr>
          <w:rFonts w:asciiTheme="minorBidi" w:eastAsia="Times New Roman" w:hAnsiTheme="minorBidi"/>
          <w:sz w:val="20"/>
          <w:szCs w:val="20"/>
          <w:lang w:val="en-US" w:eastAsia="fr-FR"/>
        </w:rPr>
        <w:t xml:space="preserve"> Figure 1</w:t>
      </w:r>
      <w:r w:rsidR="00895829">
        <w:rPr>
          <w:rFonts w:asciiTheme="minorBidi" w:eastAsia="Times New Roman" w:hAnsiTheme="minorBidi"/>
          <w:sz w:val="20"/>
          <w:szCs w:val="20"/>
          <w:lang w:val="en-US" w:eastAsia="fr-FR"/>
        </w:rPr>
        <w:t xml:space="preserve">- </w:t>
      </w:r>
      <w:r w:rsidR="001E27FE" w:rsidRPr="001E27FE">
        <w:rPr>
          <w:rFonts w:asciiTheme="minorBidi" w:eastAsia="Times New Roman" w:hAnsiTheme="minorBidi"/>
          <w:sz w:val="20"/>
          <w:szCs w:val="20"/>
          <w:lang w:val="en-US" w:eastAsia="fr-FR"/>
        </w:rPr>
        <w:t>Distinct facial dysmorphism</w:t>
      </w:r>
    </w:p>
    <w:p w14:paraId="25A5E159" w14:textId="77777777" w:rsidR="00F73E18" w:rsidRPr="00C96276" w:rsidRDefault="00F73E18" w:rsidP="00776BE9">
      <w:pPr>
        <w:spacing w:before="100" w:beforeAutospacing="1" w:after="100" w:afterAutospacing="1"/>
        <w:rPr>
          <w:rFonts w:asciiTheme="minorBidi" w:eastAsia="Times New Roman" w:hAnsiTheme="minorBidi"/>
          <w:sz w:val="20"/>
          <w:szCs w:val="20"/>
          <w:lang w:val="en-US" w:eastAsia="fr-FR"/>
        </w:rPr>
      </w:pPr>
    </w:p>
    <w:p w14:paraId="2D9B9861" w14:textId="6C53C1E5"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Musculoskeletal anomalies included short limbs, wide wrists and ankles, and severe thoracic scoliosis. Neurological examination showed no focal deficits. There was no evidence of hepatosplenomegaly, corneal clouding, or valvular heart defects.</w:t>
      </w:r>
    </w:p>
    <w:p w14:paraId="64425F1B" w14:textId="614784D2" w:rsidR="00F73E18" w:rsidRPr="00C96276" w:rsidRDefault="00F73E18" w:rsidP="00776BE9">
      <w:pPr>
        <w:spacing w:before="100" w:beforeAutospacing="1" w:after="100" w:afterAutospacing="1"/>
        <w:rPr>
          <w:rFonts w:asciiTheme="minorBidi" w:eastAsia="Times New Roman" w:hAnsiTheme="minorBidi"/>
          <w:sz w:val="20"/>
          <w:szCs w:val="20"/>
          <w:lang w:val="en-US" w:eastAsia="fr-FR"/>
        </w:rPr>
      </w:pPr>
    </w:p>
    <w:p w14:paraId="0E479704" w14:textId="77777777" w:rsidR="001A335F" w:rsidRPr="00C96276" w:rsidRDefault="00353730" w:rsidP="001A335F">
      <w:pPr>
        <w:spacing w:before="100" w:beforeAutospacing="1" w:after="100" w:afterAutospacing="1"/>
        <w:jc w:val="center"/>
        <w:rPr>
          <w:rFonts w:asciiTheme="minorBidi" w:eastAsia="Times New Roman" w:hAnsiTheme="minorBidi"/>
          <w:sz w:val="20"/>
          <w:szCs w:val="20"/>
          <w:lang w:eastAsia="fr-FR"/>
        </w:rPr>
      </w:pPr>
      <w:r w:rsidRPr="00C96276">
        <w:rPr>
          <w:rFonts w:asciiTheme="minorBidi" w:eastAsia="Times New Roman" w:hAnsiTheme="minorBidi"/>
          <w:noProof/>
          <w:sz w:val="20"/>
          <w:szCs w:val="20"/>
          <w:lang w:eastAsia="fr-FR"/>
        </w:rPr>
        <mc:AlternateContent>
          <mc:Choice Requires="wps">
            <w:drawing>
              <wp:anchor distT="0" distB="0" distL="114300" distR="114300" simplePos="0" relativeHeight="251667456" behindDoc="0" locked="0" layoutInCell="1" allowOverlap="1" wp14:anchorId="405FE71C" wp14:editId="71EA9A1F">
                <wp:simplePos x="0" y="0"/>
                <wp:positionH relativeFrom="column">
                  <wp:posOffset>4623997</wp:posOffset>
                </wp:positionH>
                <wp:positionV relativeFrom="paragraph">
                  <wp:posOffset>15250</wp:posOffset>
                </wp:positionV>
                <wp:extent cx="352269" cy="89941"/>
                <wp:effectExtent l="0" t="0" r="16510" b="12065"/>
                <wp:wrapNone/>
                <wp:docPr id="12" name="Rectangle 12"/>
                <wp:cNvGraphicFramePr/>
                <a:graphic xmlns:a="http://schemas.openxmlformats.org/drawingml/2006/main">
                  <a:graphicData uri="http://schemas.microsoft.com/office/word/2010/wordprocessingShape">
                    <wps:wsp>
                      <wps:cNvSpPr/>
                      <wps:spPr>
                        <a:xfrm>
                          <a:off x="0" y="0"/>
                          <a:ext cx="352269" cy="89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E6797" id="Rectangle 12" o:spid="_x0000_s1026" style="position:absolute;margin-left:364.1pt;margin-top:1.2pt;width:27.7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" fillcolor="black [3200]" strokecolor="black [1600]" strokeweight="1pt"/>
            </w:pict>
          </mc:Fallback>
        </mc:AlternateContent>
      </w:r>
      <w:r w:rsidRPr="00C96276">
        <w:rPr>
          <w:rFonts w:asciiTheme="minorBidi" w:eastAsia="Times New Roman" w:hAnsiTheme="minorBidi"/>
          <w:noProof/>
          <w:sz w:val="20"/>
          <w:szCs w:val="20"/>
          <w:lang w:eastAsia="fr-FR"/>
        </w:rPr>
        <mc:AlternateContent>
          <mc:Choice Requires="wps">
            <w:drawing>
              <wp:anchor distT="0" distB="0" distL="114300" distR="114300" simplePos="0" relativeHeight="251665408" behindDoc="0" locked="0" layoutInCell="1" allowOverlap="1" wp14:anchorId="108406B1" wp14:editId="6640A271">
                <wp:simplePos x="0" y="0"/>
                <wp:positionH relativeFrom="column">
                  <wp:posOffset>2705100</wp:posOffset>
                </wp:positionH>
                <wp:positionV relativeFrom="paragraph">
                  <wp:posOffset>29835</wp:posOffset>
                </wp:positionV>
                <wp:extent cx="351790" cy="67456"/>
                <wp:effectExtent l="0" t="0" r="16510" b="8890"/>
                <wp:wrapNone/>
                <wp:docPr id="11" name="Rectangle 11"/>
                <wp:cNvGraphicFramePr/>
                <a:graphic xmlns:a="http://schemas.openxmlformats.org/drawingml/2006/main">
                  <a:graphicData uri="http://schemas.microsoft.com/office/word/2010/wordprocessingShape">
                    <wps:wsp>
                      <wps:cNvSpPr/>
                      <wps:spPr>
                        <a:xfrm>
                          <a:off x="0" y="0"/>
                          <a:ext cx="351790" cy="6745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201A4" id="Rectangle 11" o:spid="_x0000_s1026" style="position:absolute;margin-left:213pt;margin-top:2.35pt;width:27.7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" fillcolor="black [3200]" strokecolor="black [1600]" strokeweight="1pt"/>
            </w:pict>
          </mc:Fallback>
        </mc:AlternateContent>
      </w:r>
      <w:r w:rsidR="00F73E18" w:rsidRPr="00C96276">
        <w:rPr>
          <w:rFonts w:asciiTheme="minorBidi" w:eastAsia="Times New Roman" w:hAnsiTheme="minorBidi"/>
          <w:sz w:val="20"/>
          <w:szCs w:val="20"/>
          <w:lang w:eastAsia="fr-FR"/>
        </w:rPr>
        <w:fldChar w:fldCharType="begin"/>
      </w:r>
      <w:r w:rsidR="00F73E18" w:rsidRPr="00C96276">
        <w:rPr>
          <w:rFonts w:asciiTheme="minorBidi" w:eastAsia="Times New Roman" w:hAnsiTheme="minorBidi"/>
          <w:sz w:val="20"/>
          <w:szCs w:val="20"/>
          <w:lang w:val="en-US" w:eastAsia="fr-FR"/>
        </w:rPr>
        <w:instrText xml:space="preserve"> INCLUDEPICTURE "/var/folders/sm/9pvg2ggj4qn1dtbgj2_844gm0000gn/T/com.microsoft.Word/WebArchiveCopyPasteTempFiles/page9image2093664" \* MERGEFORMATINET </w:instrText>
      </w:r>
      <w:r w:rsidR="00F73E18" w:rsidRPr="00C96276">
        <w:rPr>
          <w:rFonts w:asciiTheme="minorBidi" w:eastAsia="Times New Roman" w:hAnsiTheme="minorBidi"/>
          <w:sz w:val="20"/>
          <w:szCs w:val="20"/>
          <w:lang w:eastAsia="fr-FR"/>
        </w:rPr>
        <w:fldChar w:fldCharType="separate"/>
      </w:r>
      <w:r w:rsidR="00F73E18" w:rsidRPr="00C96276">
        <w:rPr>
          <w:rFonts w:asciiTheme="minorBidi" w:eastAsia="Times New Roman" w:hAnsiTheme="minorBidi"/>
          <w:noProof/>
          <w:sz w:val="20"/>
          <w:szCs w:val="20"/>
          <w:lang w:eastAsia="fr-FR"/>
        </w:rPr>
        <w:drawing>
          <wp:inline distT="0" distB="0" distL="0" distR="0" wp14:anchorId="1B1FF543" wp14:editId="3410CCC1">
            <wp:extent cx="2225265" cy="2076138"/>
            <wp:effectExtent l="0" t="0" r="0" b="0"/>
            <wp:docPr id="7" name="Image 7" descr="page9image209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9image209366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4126"/>
                    <a:stretch/>
                  </pic:blipFill>
                  <pic:spPr bwMode="auto">
                    <a:xfrm>
                      <a:off x="0" y="0"/>
                      <a:ext cx="2273602" cy="2121236"/>
                    </a:xfrm>
                    <a:prstGeom prst="rect">
                      <a:avLst/>
                    </a:prstGeom>
                    <a:noFill/>
                    <a:ln>
                      <a:noFill/>
                    </a:ln>
                    <a:extLst>
                      <a:ext uri="{53640926-AAD7-44D8-BBD7-CCE9431645EC}">
                        <a14:shadowObscured xmlns:a14="http://schemas.microsoft.com/office/drawing/2010/main"/>
                      </a:ext>
                    </a:extLst>
                  </pic:spPr>
                </pic:pic>
              </a:graphicData>
            </a:graphic>
          </wp:inline>
        </w:drawing>
      </w:r>
      <w:r w:rsidR="00F73E18" w:rsidRPr="00C96276">
        <w:rPr>
          <w:rFonts w:asciiTheme="minorBidi" w:eastAsia="Times New Roman" w:hAnsiTheme="minorBidi"/>
          <w:sz w:val="20"/>
          <w:szCs w:val="20"/>
          <w:lang w:eastAsia="fr-FR"/>
        </w:rPr>
        <w:fldChar w:fldCharType="end"/>
      </w:r>
      <w:r w:rsidR="00F73E18" w:rsidRPr="00C96276">
        <w:rPr>
          <w:rFonts w:asciiTheme="minorBidi" w:eastAsia="Times New Roman" w:hAnsiTheme="minorBidi"/>
          <w:sz w:val="20"/>
          <w:szCs w:val="20"/>
          <w:lang w:eastAsia="fr-FR"/>
        </w:rPr>
        <w:fldChar w:fldCharType="begin"/>
      </w:r>
      <w:r w:rsidR="00F73E18" w:rsidRPr="00C96276">
        <w:rPr>
          <w:rFonts w:asciiTheme="minorBidi" w:eastAsia="Times New Roman" w:hAnsiTheme="minorBidi"/>
          <w:sz w:val="20"/>
          <w:szCs w:val="20"/>
          <w:lang w:val="en-US" w:eastAsia="fr-FR"/>
        </w:rPr>
        <w:instrText xml:space="preserve"> INCLUDEPICTURE "/var/folders/sm/9pvg2ggj4qn1dtbgj2_844gm0000gn/T/com.microsoft.Word/WebArchiveCopyPasteTempFiles/page10image2052160" \* MERGEFORMATINET </w:instrText>
      </w:r>
      <w:r w:rsidR="00F73E18" w:rsidRPr="00C96276">
        <w:rPr>
          <w:rFonts w:asciiTheme="minorBidi" w:eastAsia="Times New Roman" w:hAnsiTheme="minorBidi"/>
          <w:sz w:val="20"/>
          <w:szCs w:val="20"/>
          <w:lang w:eastAsia="fr-FR"/>
        </w:rPr>
        <w:fldChar w:fldCharType="separate"/>
      </w:r>
      <w:r w:rsidR="00F73E18" w:rsidRPr="00C96276">
        <w:rPr>
          <w:rFonts w:asciiTheme="minorBidi" w:eastAsia="Times New Roman" w:hAnsiTheme="minorBidi"/>
          <w:noProof/>
          <w:sz w:val="20"/>
          <w:szCs w:val="20"/>
          <w:lang w:eastAsia="fr-FR"/>
        </w:rPr>
        <w:drawing>
          <wp:inline distT="0" distB="0" distL="0" distR="0" wp14:anchorId="3BE6A404" wp14:editId="33767D8E">
            <wp:extent cx="1873250" cy="2074499"/>
            <wp:effectExtent l="0" t="0" r="0" b="0"/>
            <wp:docPr id="8" name="Image 8" descr="page10image205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0image20521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690" cy="2123713"/>
                    </a:xfrm>
                    <a:prstGeom prst="rect">
                      <a:avLst/>
                    </a:prstGeom>
                    <a:noFill/>
                    <a:ln>
                      <a:noFill/>
                    </a:ln>
                  </pic:spPr>
                </pic:pic>
              </a:graphicData>
            </a:graphic>
          </wp:inline>
        </w:drawing>
      </w:r>
      <w:r w:rsidR="00F73E18" w:rsidRPr="00C96276">
        <w:rPr>
          <w:rFonts w:asciiTheme="minorBidi" w:eastAsia="Times New Roman" w:hAnsiTheme="minorBidi"/>
          <w:sz w:val="20"/>
          <w:szCs w:val="20"/>
          <w:lang w:eastAsia="fr-FR"/>
        </w:rPr>
        <w:fldChar w:fldCharType="end"/>
      </w:r>
    </w:p>
    <w:p w14:paraId="73F3BF3A" w14:textId="69753633" w:rsidR="00D86F49" w:rsidRPr="00C96276" w:rsidRDefault="00F73E18" w:rsidP="001A335F">
      <w:pPr>
        <w:spacing w:before="100" w:beforeAutospacing="1" w:after="100" w:afterAutospacing="1"/>
        <w:jc w:val="center"/>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 Figure 2:</w:t>
      </w:r>
      <w:r w:rsidR="00D86F49" w:rsidRPr="00C96276">
        <w:rPr>
          <w:rFonts w:asciiTheme="minorBidi" w:hAnsiTheme="minorBidi"/>
          <w:sz w:val="20"/>
          <w:szCs w:val="20"/>
          <w:lang w:val="en-US"/>
        </w:rPr>
        <w:t xml:space="preserve"> </w:t>
      </w:r>
      <w:r w:rsidR="00D86F49" w:rsidRPr="00C96276">
        <w:rPr>
          <w:rFonts w:asciiTheme="minorBidi" w:eastAsia="Times New Roman" w:hAnsiTheme="minorBidi"/>
          <w:sz w:val="20"/>
          <w:szCs w:val="20"/>
          <w:lang w:val="en-US" w:eastAsia="fr-FR"/>
        </w:rPr>
        <w:t>Radiographic features showing platyspondyly and irregular vertebral endplates.</w:t>
      </w:r>
    </w:p>
    <w:p w14:paraId="673BC315" w14:textId="68FC1851" w:rsidR="00F73E18" w:rsidRPr="00C96276" w:rsidRDefault="00F73E18" w:rsidP="00776BE9">
      <w:pPr>
        <w:spacing w:before="100" w:beforeAutospacing="1" w:after="100" w:afterAutospacing="1"/>
        <w:rPr>
          <w:rFonts w:asciiTheme="minorBidi" w:eastAsia="Times New Roman" w:hAnsiTheme="minorBidi"/>
          <w:sz w:val="20"/>
          <w:szCs w:val="20"/>
          <w:lang w:val="en-US" w:eastAsia="fr-FR"/>
        </w:rPr>
      </w:pPr>
    </w:p>
    <w:p w14:paraId="45318114"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Laboratory evaluations, including thyroid function, cortisol, and growth hormone levels, were within normal limits. Urinary glycosaminoglycan (GAG) levels were normal, excluding mucopolysaccharidoses. Cytogenetic analysis revealed a normal </w:t>
      </w:r>
      <w:proofErr w:type="gramStart"/>
      <w:r w:rsidRPr="00C96276">
        <w:rPr>
          <w:rFonts w:asciiTheme="minorBidi" w:eastAsia="Times New Roman" w:hAnsiTheme="minorBidi"/>
          <w:sz w:val="20"/>
          <w:szCs w:val="20"/>
          <w:lang w:val="en-US" w:eastAsia="fr-FR"/>
        </w:rPr>
        <w:t>46,XX</w:t>
      </w:r>
      <w:proofErr w:type="gramEnd"/>
      <w:r w:rsidRPr="00C96276">
        <w:rPr>
          <w:rFonts w:asciiTheme="minorBidi" w:eastAsia="Times New Roman" w:hAnsiTheme="minorBidi"/>
          <w:sz w:val="20"/>
          <w:szCs w:val="20"/>
          <w:lang w:val="en-US" w:eastAsia="fr-FR"/>
        </w:rPr>
        <w:t xml:space="preserve"> karyotype.</w:t>
      </w:r>
    </w:p>
    <w:p w14:paraId="1731B851"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A comprehensive skeletal survey demonstrated platyspondyly with anterior </w:t>
      </w:r>
      <w:proofErr w:type="spellStart"/>
      <w:r w:rsidRPr="00C96276">
        <w:rPr>
          <w:rFonts w:asciiTheme="minorBidi" w:eastAsia="Times New Roman" w:hAnsiTheme="minorBidi"/>
          <w:sz w:val="20"/>
          <w:szCs w:val="20"/>
          <w:lang w:val="en-US" w:eastAsia="fr-FR"/>
        </w:rPr>
        <w:t>beaking</w:t>
      </w:r>
      <w:proofErr w:type="spellEnd"/>
      <w:r w:rsidRPr="00C96276">
        <w:rPr>
          <w:rFonts w:asciiTheme="minorBidi" w:eastAsia="Times New Roman" w:hAnsiTheme="minorBidi"/>
          <w:sz w:val="20"/>
          <w:szCs w:val="20"/>
          <w:lang w:val="en-US" w:eastAsia="fr-FR"/>
        </w:rPr>
        <w:t>, flared iliac wings with lace-like iliac crests, and femoral neck widening—hallmark signs of DMC. Brain MRI revealed mild cortical and subcortical atrophy with slight ventricular enlargement, but no parenchymal lesions.</w:t>
      </w:r>
    </w:p>
    <w:p w14:paraId="6978C7B3"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lastRenderedPageBreak/>
        <w:t xml:space="preserve">Genetic testing via whole-exome sequencing confirmed a homozygous pathogenic variant in exon [number to be inserted] of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establishing the diagnosis of Dyggve-Melchior-Clausen syndrome. The diagnosis was explained to the family, who received genetic counseling. Sanger sequencing and prenatal testing were offered for future pregnancies.</w:t>
      </w:r>
    </w:p>
    <w:p w14:paraId="59921AC8"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The child was enrolled in neurodevelopmental and physical therapy programs. Orthopedic referral was made for monitoring of scoliosis and joint mobility. A multidisciplinary care plan involving pediatrics, orthopedics, neurology, and genetics was initiated.</w:t>
      </w:r>
    </w:p>
    <w:p w14:paraId="551A550E" w14:textId="0C44D6FE" w:rsidR="00776BE9" w:rsidRPr="00C96276" w:rsidRDefault="00776BE9" w:rsidP="00776BE9">
      <w:pPr>
        <w:rPr>
          <w:rFonts w:asciiTheme="minorBidi" w:eastAsia="Times New Roman" w:hAnsiTheme="minorBidi"/>
          <w:sz w:val="20"/>
          <w:szCs w:val="20"/>
          <w:lang w:val="en-US" w:eastAsia="fr-FR"/>
        </w:rPr>
      </w:pPr>
    </w:p>
    <w:p w14:paraId="6E3DD13A" w14:textId="66D8B3B4" w:rsidR="00776BE9" w:rsidRPr="00C96276" w:rsidRDefault="00227F98" w:rsidP="00776BE9">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DISCUSSION</w:t>
      </w:r>
    </w:p>
    <w:p w14:paraId="5490816D"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Dyggve-Melchior-Clausen syndrome (DMC) represents a rare form of </w:t>
      </w:r>
      <w:proofErr w:type="spellStart"/>
      <w:r w:rsidRPr="00C96276">
        <w:rPr>
          <w:rFonts w:asciiTheme="minorBidi" w:eastAsia="Times New Roman" w:hAnsiTheme="minorBidi"/>
          <w:sz w:val="20"/>
          <w:szCs w:val="20"/>
          <w:lang w:val="en-US" w:eastAsia="fr-FR"/>
        </w:rPr>
        <w:t>spondyloepimetaphyseal</w:t>
      </w:r>
      <w:proofErr w:type="spellEnd"/>
      <w:r w:rsidRPr="00C96276">
        <w:rPr>
          <w:rFonts w:asciiTheme="minorBidi" w:eastAsia="Times New Roman" w:hAnsiTheme="minorBidi"/>
          <w:sz w:val="20"/>
          <w:szCs w:val="20"/>
          <w:lang w:val="en-US" w:eastAsia="fr-FR"/>
        </w:rPr>
        <w:t xml:space="preserve"> dysplasia, attributable to biallelic mutations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[1,2]. The encoded protein, </w:t>
      </w:r>
      <w:proofErr w:type="spellStart"/>
      <w:r w:rsidRPr="00C96276">
        <w:rPr>
          <w:rFonts w:asciiTheme="minorBidi" w:eastAsia="Times New Roman" w:hAnsiTheme="minorBidi"/>
          <w:sz w:val="20"/>
          <w:szCs w:val="20"/>
          <w:lang w:val="en-US" w:eastAsia="fr-FR"/>
        </w:rPr>
        <w:t>dymeclin</w:t>
      </w:r>
      <w:proofErr w:type="spellEnd"/>
      <w:r w:rsidRPr="00C96276">
        <w:rPr>
          <w:rFonts w:asciiTheme="minorBidi" w:eastAsia="Times New Roman" w:hAnsiTheme="minorBidi"/>
          <w:sz w:val="20"/>
          <w:szCs w:val="20"/>
          <w:lang w:val="en-US" w:eastAsia="fr-FR"/>
        </w:rPr>
        <w:t xml:space="preserve">, is involved in Golgi apparatus function and plays a pivotal role in skeletal and neuronal development [3]. </w:t>
      </w:r>
      <w:proofErr w:type="spellStart"/>
      <w:r w:rsidRPr="00C96276">
        <w:rPr>
          <w:rFonts w:asciiTheme="minorBidi" w:eastAsia="Times New Roman" w:hAnsiTheme="minorBidi"/>
          <w:sz w:val="20"/>
          <w:szCs w:val="20"/>
          <w:lang w:val="en-US" w:eastAsia="fr-FR"/>
        </w:rPr>
        <w:t>Dymeclin</w:t>
      </w:r>
      <w:proofErr w:type="spellEnd"/>
      <w:r w:rsidRPr="00C96276">
        <w:rPr>
          <w:rFonts w:asciiTheme="minorBidi" w:eastAsia="Times New Roman" w:hAnsiTheme="minorBidi"/>
          <w:sz w:val="20"/>
          <w:szCs w:val="20"/>
          <w:lang w:val="en-US" w:eastAsia="fr-FR"/>
        </w:rPr>
        <w:t xml:space="preserve"> dysfunction disrupts endochondral ossification and intracellular trafficking, explaining the combined skeletal and neurological manifestations of DMC [4].</w:t>
      </w:r>
    </w:p>
    <w:p w14:paraId="46C2070B"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The classic phenotype includes disproportionate short stature, intellectual disability, and dysostosis multiplex with specific features like platyspondyly, flared iliac crests, and metaphyseal irregularities [5,6]. In the present case, these signs, along with normal urinary GAG levels, helped differentiate DMC from </w:t>
      </w:r>
      <w:proofErr w:type="spellStart"/>
      <w:r w:rsidRPr="00C96276">
        <w:rPr>
          <w:rFonts w:asciiTheme="minorBidi" w:eastAsia="Times New Roman" w:hAnsiTheme="minorBidi"/>
          <w:sz w:val="20"/>
          <w:szCs w:val="20"/>
          <w:lang w:val="en-US" w:eastAsia="fr-FR"/>
        </w:rPr>
        <w:t>Morquio</w:t>
      </w:r>
      <w:proofErr w:type="spellEnd"/>
      <w:r w:rsidRPr="00C96276">
        <w:rPr>
          <w:rFonts w:asciiTheme="minorBidi" w:eastAsia="Times New Roman" w:hAnsiTheme="minorBidi"/>
          <w:sz w:val="20"/>
          <w:szCs w:val="20"/>
          <w:lang w:val="en-US" w:eastAsia="fr-FR"/>
        </w:rPr>
        <w:t xml:space="preserve"> syndrome (MPS IV), which is characterized by GAG accumulation, corneal clouding, and cardiac involvement [7–9].</w:t>
      </w:r>
    </w:p>
    <w:p w14:paraId="1C94FFAC"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Smith-McCort dysplasia (SMC), a phenotypic mimic caused by similar mutations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must also be considered. However, unlike DMC, SMC typically lacks intellectual impairment, serving as a key discriminating feature [10,11]. Thus, careful neurological assessment is essential in distinguishing the two.</w:t>
      </w:r>
    </w:p>
    <w:p w14:paraId="1B2138B0"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Radiographic evaluation remains a cornerstone in the diagnostic pathway. The characteristic “lace-like” iliac crest and beaked vertebral bodies provide strong diagnostic clues, as seen in our patient [12,13]. Definitive diagnosis relies on genetic testing, particularly whole-exome sequencing, which identifies pathogenic variants in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enabling appropriate counseling and future family planning [14].</w:t>
      </w:r>
    </w:p>
    <w:p w14:paraId="64886B30"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Currently, treatment for DMC is symptomatic and supportive. Orthopedic intervention may be necessary for severe scoliosis, hip dysplasia, or joint deformities [15,16]. Early physiotherapy and speech/language therapy improve functional outcomes, while educational interventions address cognitive deficits [17]. Multidisciplinary collaboration optimizes care delivery.</w:t>
      </w:r>
    </w:p>
    <w:p w14:paraId="6084F391"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Emerging research into gene therapies and pharmacological chaperones targeting Golgi-related disorders could potentially transform DMC management, although such interventions remain experimental [18–20]. Understanding the broader implications of Golgi dysfunction may yield novel therapeutic approaches for skeletal </w:t>
      </w:r>
      <w:proofErr w:type="spellStart"/>
      <w:r w:rsidRPr="00C96276">
        <w:rPr>
          <w:rFonts w:asciiTheme="minorBidi" w:eastAsia="Times New Roman" w:hAnsiTheme="minorBidi"/>
          <w:sz w:val="20"/>
          <w:szCs w:val="20"/>
          <w:lang w:val="en-US" w:eastAsia="fr-FR"/>
        </w:rPr>
        <w:t>dysplasias</w:t>
      </w:r>
      <w:proofErr w:type="spellEnd"/>
      <w:r w:rsidRPr="00C96276">
        <w:rPr>
          <w:rFonts w:asciiTheme="minorBidi" w:eastAsia="Times New Roman" w:hAnsiTheme="minorBidi"/>
          <w:sz w:val="20"/>
          <w:szCs w:val="20"/>
          <w:lang w:val="en-US" w:eastAsia="fr-FR"/>
        </w:rPr>
        <w:t xml:space="preserve"> and neurodevelopmental syndromes.</w:t>
      </w:r>
    </w:p>
    <w:p w14:paraId="6780E76D"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In conclusion, this case illustrates the importance of clinical suspicion, thorough radiological evaluation, and confirmatory genetic testing in diagnosing DMC. Early multidisciplinary intervention and genetic counseling are essential to improving the prognosis and quality of life for affected individuals and their families.</w:t>
      </w:r>
    </w:p>
    <w:p w14:paraId="573B3410" w14:textId="6B251547" w:rsidR="00776BE9" w:rsidRPr="00C96276" w:rsidRDefault="00776BE9" w:rsidP="00776BE9">
      <w:pPr>
        <w:rPr>
          <w:rFonts w:asciiTheme="minorBidi" w:eastAsia="Times New Roman" w:hAnsiTheme="minorBidi"/>
          <w:sz w:val="20"/>
          <w:szCs w:val="20"/>
          <w:lang w:val="en-US" w:eastAsia="fr-FR"/>
        </w:rPr>
      </w:pPr>
    </w:p>
    <w:p w14:paraId="45394A26" w14:textId="77777777" w:rsidR="00D5514F" w:rsidRDefault="00D5514F" w:rsidP="00D5514F">
      <w:pPr>
        <w:spacing w:before="100" w:beforeAutospacing="1" w:after="100" w:afterAutospacing="1"/>
        <w:outlineLvl w:val="2"/>
        <w:rPr>
          <w:rFonts w:asciiTheme="minorBidi" w:eastAsia="Times New Roman" w:hAnsiTheme="minorBidi"/>
          <w:b/>
          <w:bCs/>
          <w:sz w:val="22"/>
          <w:szCs w:val="22"/>
          <w:lang w:val="en-US" w:eastAsia="fr-FR"/>
        </w:rPr>
      </w:pPr>
    </w:p>
    <w:p w14:paraId="5543521B" w14:textId="12B1ACA7" w:rsidR="00D5514F" w:rsidRDefault="00227F98" w:rsidP="00D5514F">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CONCLUSION</w:t>
      </w:r>
    </w:p>
    <w:p w14:paraId="3162756B" w14:textId="7605BD7D" w:rsidR="00776BE9" w:rsidRPr="00D5514F" w:rsidRDefault="00776BE9" w:rsidP="00D5514F">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sz w:val="20"/>
          <w:szCs w:val="20"/>
          <w:lang w:val="en-US" w:eastAsia="fr-FR"/>
        </w:rPr>
        <w:lastRenderedPageBreak/>
        <w:t xml:space="preserve">Dyggve-Melchior-Clausen syndrome is a rare but clinically recognizable skeletal dysplasia. Diagnosis requires an integrated approach of clinical, radiographic, and genetic evaluations. Differentiation from phenotypically similar disorders such as </w:t>
      </w:r>
      <w:proofErr w:type="spellStart"/>
      <w:r w:rsidRPr="00C96276">
        <w:rPr>
          <w:rFonts w:asciiTheme="minorBidi" w:eastAsia="Times New Roman" w:hAnsiTheme="minorBidi"/>
          <w:sz w:val="20"/>
          <w:szCs w:val="20"/>
          <w:lang w:val="en-US" w:eastAsia="fr-FR"/>
        </w:rPr>
        <w:t>Morquio</w:t>
      </w:r>
      <w:proofErr w:type="spellEnd"/>
      <w:r w:rsidRPr="00C96276">
        <w:rPr>
          <w:rFonts w:asciiTheme="minorBidi" w:eastAsia="Times New Roman" w:hAnsiTheme="minorBidi"/>
          <w:sz w:val="20"/>
          <w:szCs w:val="20"/>
          <w:lang w:val="en-US" w:eastAsia="fr-FR"/>
        </w:rPr>
        <w:t xml:space="preserve"> syndrome and Smith-McCort dysplasia is crucial to avoid mismanagement. Although no curative treatments exist, early supportive interventions and orthopedic management significantly enhance patient outcomes. Genetic counseling is vital for affected families, especially in consanguineous populations. Advances in molecular research may open new therapeutic possibilities in the future. This case underscores the diagnostic value of whole-exome sequencing and the necessity of a multidisciplinary approach in managing rare genetic skeletal disorders.</w:t>
      </w:r>
    </w:p>
    <w:p w14:paraId="293F6523" w14:textId="5ED9F8A7" w:rsidR="00776BE9" w:rsidRPr="00C96276" w:rsidRDefault="00776BE9" w:rsidP="00776BE9">
      <w:pPr>
        <w:rPr>
          <w:rFonts w:asciiTheme="minorBidi" w:eastAsia="Times New Roman" w:hAnsiTheme="minorBidi"/>
          <w:sz w:val="20"/>
          <w:szCs w:val="20"/>
          <w:lang w:val="en-US" w:eastAsia="fr-FR"/>
        </w:rPr>
      </w:pPr>
    </w:p>
    <w:p w14:paraId="1E8FA92C" w14:textId="0869068A" w:rsidR="00402E42" w:rsidRPr="00C96276" w:rsidRDefault="00402E42">
      <w:pPr>
        <w:rPr>
          <w:rFonts w:asciiTheme="minorBidi" w:hAnsiTheme="minorBidi"/>
          <w:sz w:val="20"/>
          <w:szCs w:val="20"/>
          <w:lang w:val="en-US"/>
        </w:rPr>
      </w:pPr>
    </w:p>
    <w:p w14:paraId="17E251D9" w14:textId="144FF6B3" w:rsidR="009A5FD7" w:rsidRPr="00C96276" w:rsidRDefault="00227F98" w:rsidP="009A5FD7">
      <w:pPr>
        <w:pStyle w:val="Heading3"/>
        <w:rPr>
          <w:rFonts w:asciiTheme="minorBidi" w:hAnsiTheme="minorBidi" w:cstheme="minorBidi"/>
          <w:sz w:val="22"/>
          <w:szCs w:val="22"/>
        </w:rPr>
      </w:pPr>
      <w:r w:rsidRPr="00C96276">
        <w:rPr>
          <w:rStyle w:val="Strong"/>
          <w:rFonts w:asciiTheme="minorBidi" w:hAnsiTheme="minorBidi" w:cstheme="minorBidi"/>
          <w:b/>
          <w:bCs/>
          <w:sz w:val="22"/>
          <w:szCs w:val="22"/>
        </w:rPr>
        <w:t>REFERENCES</w:t>
      </w:r>
    </w:p>
    <w:p w14:paraId="606AB8CA"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s-ES"/>
        </w:rPr>
        <w:t xml:space="preserve">El </w:t>
      </w:r>
      <w:proofErr w:type="spellStart"/>
      <w:r w:rsidRPr="00C96276">
        <w:rPr>
          <w:rFonts w:asciiTheme="minorBidi" w:hAnsiTheme="minorBidi"/>
          <w:sz w:val="20"/>
          <w:szCs w:val="20"/>
          <w:lang w:val="es-ES"/>
        </w:rPr>
        <w:t>Ghouzzi</w:t>
      </w:r>
      <w:proofErr w:type="spellEnd"/>
      <w:r w:rsidRPr="00C96276">
        <w:rPr>
          <w:rFonts w:asciiTheme="minorBidi" w:hAnsiTheme="minorBidi"/>
          <w:sz w:val="20"/>
          <w:szCs w:val="20"/>
          <w:lang w:val="es-ES"/>
        </w:rPr>
        <w:t xml:space="preserve"> V, </w:t>
      </w:r>
      <w:proofErr w:type="spellStart"/>
      <w:r w:rsidRPr="00C96276">
        <w:rPr>
          <w:rFonts w:asciiTheme="minorBidi" w:hAnsiTheme="minorBidi"/>
          <w:sz w:val="20"/>
          <w:szCs w:val="20"/>
          <w:lang w:val="es-ES"/>
        </w:rPr>
        <w:t>Dagoneau</w:t>
      </w:r>
      <w:proofErr w:type="spellEnd"/>
      <w:r w:rsidRPr="00C96276">
        <w:rPr>
          <w:rFonts w:asciiTheme="minorBidi" w:hAnsiTheme="minorBidi"/>
          <w:sz w:val="20"/>
          <w:szCs w:val="20"/>
          <w:lang w:val="es-ES"/>
        </w:rPr>
        <w:t xml:space="preserve"> N, </w:t>
      </w:r>
      <w:proofErr w:type="spellStart"/>
      <w:r w:rsidRPr="00C96276">
        <w:rPr>
          <w:rFonts w:asciiTheme="minorBidi" w:hAnsiTheme="minorBidi"/>
          <w:sz w:val="20"/>
          <w:szCs w:val="20"/>
          <w:lang w:val="es-ES"/>
        </w:rPr>
        <w:t>Kinning</w:t>
      </w:r>
      <w:proofErr w:type="spellEnd"/>
      <w:r w:rsidRPr="00C96276">
        <w:rPr>
          <w:rFonts w:asciiTheme="minorBidi" w:hAnsiTheme="minorBidi"/>
          <w:sz w:val="20"/>
          <w:szCs w:val="20"/>
          <w:lang w:val="es-ES"/>
        </w:rPr>
        <w:t xml:space="preserve"> E, et al. </w:t>
      </w:r>
      <w:r w:rsidRPr="00C96276">
        <w:rPr>
          <w:rFonts w:asciiTheme="minorBidi" w:hAnsiTheme="minorBidi"/>
          <w:sz w:val="20"/>
          <w:szCs w:val="20"/>
          <w:lang w:val="en-US"/>
        </w:rPr>
        <w:t xml:space="preserve">Mutations in </w:t>
      </w:r>
      <w:proofErr w:type="spellStart"/>
      <w:r w:rsidRPr="00C96276">
        <w:rPr>
          <w:rFonts w:asciiTheme="minorBidi" w:hAnsiTheme="minorBidi"/>
          <w:sz w:val="20"/>
          <w:szCs w:val="20"/>
          <w:lang w:val="en-US"/>
        </w:rPr>
        <w:t>Dymeclin</w:t>
      </w:r>
      <w:proofErr w:type="spellEnd"/>
      <w:r w:rsidRPr="00C96276">
        <w:rPr>
          <w:rFonts w:asciiTheme="minorBidi" w:hAnsiTheme="minorBidi"/>
          <w:sz w:val="20"/>
          <w:szCs w:val="20"/>
          <w:lang w:val="en-US"/>
        </w:rPr>
        <w:t xml:space="preserve"> are responsible for Dyggve-Melchior-Clausen syndrome. </w:t>
      </w:r>
      <w:r w:rsidRPr="00C96276">
        <w:rPr>
          <w:rStyle w:val="Emphasis"/>
          <w:rFonts w:asciiTheme="minorBidi" w:hAnsiTheme="minorBidi"/>
          <w:sz w:val="20"/>
          <w:szCs w:val="20"/>
        </w:rPr>
        <w:t>Nat Genet</w:t>
      </w:r>
      <w:r w:rsidRPr="00C96276">
        <w:rPr>
          <w:rFonts w:asciiTheme="minorBidi" w:hAnsiTheme="minorBidi"/>
          <w:sz w:val="20"/>
          <w:szCs w:val="20"/>
        </w:rPr>
        <w:t>. 2003;31(2):128–134. doi:10.1038/ng892</w:t>
      </w:r>
    </w:p>
    <w:p w14:paraId="793FF7BE"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Krakow D, </w:t>
      </w:r>
      <w:proofErr w:type="spellStart"/>
      <w:r w:rsidRPr="00C96276">
        <w:rPr>
          <w:rFonts w:asciiTheme="minorBidi" w:hAnsiTheme="minorBidi"/>
          <w:sz w:val="20"/>
          <w:szCs w:val="20"/>
          <w:lang w:val="en-US"/>
        </w:rPr>
        <w:t>Rimoin</w:t>
      </w:r>
      <w:proofErr w:type="spellEnd"/>
      <w:r w:rsidRPr="00C96276">
        <w:rPr>
          <w:rFonts w:asciiTheme="minorBidi" w:hAnsiTheme="minorBidi"/>
          <w:sz w:val="20"/>
          <w:szCs w:val="20"/>
          <w:lang w:val="en-US"/>
        </w:rPr>
        <w:t xml:space="preserve"> DL. The skeletal </w:t>
      </w:r>
      <w:proofErr w:type="spellStart"/>
      <w:r w:rsidRPr="00C96276">
        <w:rPr>
          <w:rFonts w:asciiTheme="minorBidi" w:hAnsiTheme="minorBidi"/>
          <w:sz w:val="20"/>
          <w:szCs w:val="20"/>
          <w:lang w:val="en-US"/>
        </w:rPr>
        <w:t>dysplasias</w:t>
      </w:r>
      <w:proofErr w:type="spellEnd"/>
      <w:r w:rsidRPr="00C96276">
        <w:rPr>
          <w:rFonts w:asciiTheme="minorBidi" w:hAnsiTheme="minorBidi"/>
          <w:sz w:val="20"/>
          <w:szCs w:val="20"/>
          <w:lang w:val="en-US"/>
        </w:rPr>
        <w:t xml:space="preserve">. </w:t>
      </w:r>
      <w:r w:rsidRPr="00C96276">
        <w:rPr>
          <w:rStyle w:val="Emphasis"/>
          <w:rFonts w:asciiTheme="minorBidi" w:hAnsiTheme="minorBidi"/>
          <w:sz w:val="20"/>
          <w:szCs w:val="20"/>
        </w:rPr>
        <w:t>Genet Med</w:t>
      </w:r>
      <w:r w:rsidRPr="00C96276">
        <w:rPr>
          <w:rFonts w:asciiTheme="minorBidi" w:hAnsiTheme="minorBidi"/>
          <w:sz w:val="20"/>
          <w:szCs w:val="20"/>
        </w:rPr>
        <w:t>. 2010;12(6):327–341. doi:10.1097/GIM.0b013e3181daae9c</w:t>
      </w:r>
    </w:p>
    <w:p w14:paraId="2610367A"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D’Angelo G, Polishchuk E, Di Tullio G, et al. Golgi function and dysfunction in human disease. </w:t>
      </w:r>
      <w:proofErr w:type="spellStart"/>
      <w:r w:rsidRPr="00C96276">
        <w:rPr>
          <w:rStyle w:val="Emphasis"/>
          <w:rFonts w:asciiTheme="minorBidi" w:hAnsiTheme="minorBidi"/>
          <w:sz w:val="20"/>
          <w:szCs w:val="20"/>
        </w:rPr>
        <w:t>Cell</w:t>
      </w:r>
      <w:proofErr w:type="spellEnd"/>
      <w:r w:rsidRPr="00C96276">
        <w:rPr>
          <w:rStyle w:val="Emphasis"/>
          <w:rFonts w:asciiTheme="minorBidi" w:hAnsiTheme="minorBidi"/>
          <w:sz w:val="20"/>
          <w:szCs w:val="20"/>
        </w:rPr>
        <w:t xml:space="preserve"> Mol Life </w:t>
      </w:r>
      <w:proofErr w:type="spellStart"/>
      <w:r w:rsidRPr="00C96276">
        <w:rPr>
          <w:rStyle w:val="Emphasis"/>
          <w:rFonts w:asciiTheme="minorBidi" w:hAnsiTheme="minorBidi"/>
          <w:sz w:val="20"/>
          <w:szCs w:val="20"/>
        </w:rPr>
        <w:t>Sci</w:t>
      </w:r>
      <w:proofErr w:type="spellEnd"/>
      <w:r w:rsidRPr="00C96276">
        <w:rPr>
          <w:rFonts w:asciiTheme="minorBidi" w:hAnsiTheme="minorBidi"/>
          <w:sz w:val="20"/>
          <w:szCs w:val="20"/>
        </w:rPr>
        <w:t>. 2017;74(14):2289–2307. doi:10.1007/s00018-017-2471-8</w:t>
      </w:r>
    </w:p>
    <w:p w14:paraId="5706A2F0"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lang w:val="en-US"/>
        </w:rPr>
      </w:pPr>
      <w:r w:rsidRPr="00C96276">
        <w:rPr>
          <w:rFonts w:asciiTheme="minorBidi" w:hAnsiTheme="minorBidi"/>
          <w:sz w:val="20"/>
          <w:szCs w:val="20"/>
          <w:lang w:val="en-US"/>
        </w:rPr>
        <w:t xml:space="preserve">Leroy JG. Genetic disorders of proteoglycan degradation. </w:t>
      </w:r>
      <w:r w:rsidRPr="00C96276">
        <w:rPr>
          <w:rStyle w:val="Emphasis"/>
          <w:rFonts w:asciiTheme="minorBidi" w:hAnsiTheme="minorBidi"/>
          <w:sz w:val="20"/>
          <w:szCs w:val="20"/>
          <w:lang w:val="en-US"/>
        </w:rPr>
        <w:t xml:space="preserve">Birth Defects </w:t>
      </w:r>
      <w:proofErr w:type="spellStart"/>
      <w:r w:rsidRPr="00C96276">
        <w:rPr>
          <w:rStyle w:val="Emphasis"/>
          <w:rFonts w:asciiTheme="minorBidi" w:hAnsiTheme="minorBidi"/>
          <w:sz w:val="20"/>
          <w:szCs w:val="20"/>
          <w:lang w:val="en-US"/>
        </w:rPr>
        <w:t>Orig</w:t>
      </w:r>
      <w:proofErr w:type="spellEnd"/>
      <w:r w:rsidRPr="00C96276">
        <w:rPr>
          <w:rStyle w:val="Emphasis"/>
          <w:rFonts w:asciiTheme="minorBidi" w:hAnsiTheme="minorBidi"/>
          <w:sz w:val="20"/>
          <w:szCs w:val="20"/>
          <w:lang w:val="en-US"/>
        </w:rPr>
        <w:t xml:space="preserve"> Artic Ser</w:t>
      </w:r>
      <w:r w:rsidRPr="00C96276">
        <w:rPr>
          <w:rFonts w:asciiTheme="minorBidi" w:hAnsiTheme="minorBidi"/>
          <w:sz w:val="20"/>
          <w:szCs w:val="20"/>
          <w:lang w:val="en-US"/>
        </w:rPr>
        <w:t>. 1977;13(3B):205–225.</w:t>
      </w:r>
    </w:p>
    <w:p w14:paraId="34A5A901"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proofErr w:type="spellStart"/>
      <w:r w:rsidRPr="00C96276">
        <w:rPr>
          <w:rFonts w:asciiTheme="minorBidi" w:hAnsiTheme="minorBidi"/>
          <w:sz w:val="20"/>
          <w:szCs w:val="20"/>
          <w:lang w:val="en-US"/>
        </w:rPr>
        <w:t>Tüysüz</w:t>
      </w:r>
      <w:proofErr w:type="spellEnd"/>
      <w:r w:rsidRPr="00C96276">
        <w:rPr>
          <w:rFonts w:asciiTheme="minorBidi" w:hAnsiTheme="minorBidi"/>
          <w:sz w:val="20"/>
          <w:szCs w:val="20"/>
          <w:lang w:val="en-US"/>
        </w:rPr>
        <w:t xml:space="preserve"> B, </w:t>
      </w:r>
      <w:proofErr w:type="spellStart"/>
      <w:r w:rsidRPr="00C96276">
        <w:rPr>
          <w:rFonts w:asciiTheme="minorBidi" w:hAnsiTheme="minorBidi"/>
          <w:sz w:val="20"/>
          <w:szCs w:val="20"/>
          <w:lang w:val="en-US"/>
        </w:rPr>
        <w:t>Ungür</w:t>
      </w:r>
      <w:proofErr w:type="spellEnd"/>
      <w:r w:rsidRPr="00C96276">
        <w:rPr>
          <w:rFonts w:asciiTheme="minorBidi" w:hAnsiTheme="minorBidi"/>
          <w:sz w:val="20"/>
          <w:szCs w:val="20"/>
          <w:lang w:val="en-US"/>
        </w:rPr>
        <w:t xml:space="preserve"> S, Bober E. Differential diagnosis of mucopolysaccharidoses: a practical approach for pediatricians. </w:t>
      </w:r>
      <w:r w:rsidRPr="00C96276">
        <w:rPr>
          <w:rStyle w:val="Emphasis"/>
          <w:rFonts w:asciiTheme="minorBidi" w:hAnsiTheme="minorBidi"/>
          <w:sz w:val="20"/>
          <w:szCs w:val="20"/>
        </w:rPr>
        <w:t xml:space="preserve">Turk </w:t>
      </w:r>
      <w:proofErr w:type="spellStart"/>
      <w:r w:rsidRPr="00C96276">
        <w:rPr>
          <w:rStyle w:val="Emphasis"/>
          <w:rFonts w:asciiTheme="minorBidi" w:hAnsiTheme="minorBidi"/>
          <w:sz w:val="20"/>
          <w:szCs w:val="20"/>
        </w:rPr>
        <w:t>Pediatri</w:t>
      </w:r>
      <w:proofErr w:type="spellEnd"/>
      <w:r w:rsidRPr="00C96276">
        <w:rPr>
          <w:rStyle w:val="Emphasis"/>
          <w:rFonts w:asciiTheme="minorBidi" w:hAnsiTheme="minorBidi"/>
          <w:sz w:val="20"/>
          <w:szCs w:val="20"/>
        </w:rPr>
        <w:t xml:space="preserve"> Ars</w:t>
      </w:r>
      <w:r w:rsidRPr="00C96276">
        <w:rPr>
          <w:rFonts w:asciiTheme="minorBidi" w:hAnsiTheme="minorBidi"/>
          <w:sz w:val="20"/>
          <w:szCs w:val="20"/>
        </w:rPr>
        <w:t>. 2017;52(4):219–225. doi:10.5152/TurkPediatriArs.2017.5910</w:t>
      </w:r>
    </w:p>
    <w:p w14:paraId="525160B5"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rPr>
        <w:t>Spranger J, Langer LO Jr, Wiedemann HR. The pseudo-</w:t>
      </w:r>
      <w:proofErr w:type="spellStart"/>
      <w:r w:rsidRPr="00C96276">
        <w:rPr>
          <w:rFonts w:asciiTheme="minorBidi" w:hAnsiTheme="minorBidi"/>
          <w:sz w:val="20"/>
          <w:szCs w:val="20"/>
        </w:rPr>
        <w:t>Morquio</w:t>
      </w:r>
      <w:proofErr w:type="spellEnd"/>
      <w:r w:rsidRPr="00C96276">
        <w:rPr>
          <w:rFonts w:asciiTheme="minorBidi" w:hAnsiTheme="minorBidi"/>
          <w:sz w:val="20"/>
          <w:szCs w:val="20"/>
        </w:rPr>
        <w:t xml:space="preserve"> syndrome (</w:t>
      </w:r>
      <w:proofErr w:type="spellStart"/>
      <w:r w:rsidRPr="00C96276">
        <w:rPr>
          <w:rFonts w:asciiTheme="minorBidi" w:hAnsiTheme="minorBidi"/>
          <w:sz w:val="20"/>
          <w:szCs w:val="20"/>
        </w:rPr>
        <w:t>Dyggve</w:t>
      </w:r>
      <w:proofErr w:type="spellEnd"/>
      <w:r w:rsidRPr="00C96276">
        <w:rPr>
          <w:rFonts w:asciiTheme="minorBidi" w:hAnsiTheme="minorBidi"/>
          <w:sz w:val="20"/>
          <w:szCs w:val="20"/>
        </w:rPr>
        <w:t>-Melchior-</w:t>
      </w:r>
      <w:proofErr w:type="spellStart"/>
      <w:r w:rsidRPr="00C96276">
        <w:rPr>
          <w:rFonts w:asciiTheme="minorBidi" w:hAnsiTheme="minorBidi"/>
          <w:sz w:val="20"/>
          <w:szCs w:val="20"/>
        </w:rPr>
        <w:t>Clausen</w:t>
      </w:r>
      <w:proofErr w:type="spellEnd"/>
      <w:r w:rsidRPr="00C96276">
        <w:rPr>
          <w:rFonts w:asciiTheme="minorBidi" w:hAnsiTheme="minorBidi"/>
          <w:sz w:val="20"/>
          <w:szCs w:val="20"/>
        </w:rPr>
        <w:t xml:space="preserve">). </w:t>
      </w:r>
      <w:proofErr w:type="spellStart"/>
      <w:r w:rsidRPr="00C96276">
        <w:rPr>
          <w:rStyle w:val="Emphasis"/>
          <w:rFonts w:asciiTheme="minorBidi" w:hAnsiTheme="minorBidi"/>
          <w:sz w:val="20"/>
          <w:szCs w:val="20"/>
        </w:rPr>
        <w:t>Radiology</w:t>
      </w:r>
      <w:proofErr w:type="spellEnd"/>
      <w:r w:rsidRPr="00C96276">
        <w:rPr>
          <w:rFonts w:asciiTheme="minorBidi" w:hAnsiTheme="minorBidi"/>
          <w:sz w:val="20"/>
          <w:szCs w:val="20"/>
        </w:rPr>
        <w:t>. 1971;99(1):191–198. doi:10.1148/99.1.191</w:t>
      </w:r>
    </w:p>
    <w:p w14:paraId="16F7D553"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Montaño AM, Tomatsu S, Gottesman GS, et al. Mucopolysaccharidoses. In: Pagon RA, Adam MP, Ardinger HH, et al., editors. </w:t>
      </w:r>
      <w:proofErr w:type="spellStart"/>
      <w:r w:rsidRPr="00C96276">
        <w:rPr>
          <w:rStyle w:val="Emphasis"/>
          <w:rFonts w:asciiTheme="minorBidi" w:hAnsiTheme="minorBidi"/>
          <w:sz w:val="20"/>
          <w:szCs w:val="20"/>
          <w:lang w:val="en-US"/>
        </w:rPr>
        <w:t>GeneReviews</w:t>
      </w:r>
      <w:proofErr w:type="spellEnd"/>
      <w:r w:rsidRPr="00C96276">
        <w:rPr>
          <w:rStyle w:val="Emphasis"/>
          <w:rFonts w:asciiTheme="minorBidi" w:hAnsiTheme="minorBidi"/>
          <w:sz w:val="20"/>
          <w:szCs w:val="20"/>
          <w:lang w:val="en-US"/>
        </w:rPr>
        <w:t>®</w:t>
      </w:r>
      <w:r w:rsidRPr="00C96276">
        <w:rPr>
          <w:rFonts w:asciiTheme="minorBidi" w:hAnsiTheme="minorBidi"/>
          <w:sz w:val="20"/>
          <w:szCs w:val="20"/>
          <w:lang w:val="en-US"/>
        </w:rPr>
        <w:t xml:space="preserve"> [Internet]. </w:t>
      </w:r>
      <w:r w:rsidRPr="00C96276">
        <w:rPr>
          <w:rFonts w:asciiTheme="minorBidi" w:hAnsiTheme="minorBidi"/>
          <w:sz w:val="20"/>
          <w:szCs w:val="20"/>
        </w:rPr>
        <w:t>2007. PMID: 20301441</w:t>
      </w:r>
    </w:p>
    <w:p w14:paraId="3CBF9543"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Ehtesham N, Park K, Jabs EW, et al. Smith-McCort dysplasia and Dyggve-Melchior-Clausen syndrome are allelic disorders. </w:t>
      </w:r>
      <w:r w:rsidRPr="00C96276">
        <w:rPr>
          <w:rStyle w:val="Emphasis"/>
          <w:rFonts w:asciiTheme="minorBidi" w:hAnsiTheme="minorBidi"/>
          <w:sz w:val="20"/>
          <w:szCs w:val="20"/>
        </w:rPr>
        <w:t>Am J Med Genet A</w:t>
      </w:r>
      <w:r w:rsidRPr="00C96276">
        <w:rPr>
          <w:rFonts w:asciiTheme="minorBidi" w:hAnsiTheme="minorBidi"/>
          <w:sz w:val="20"/>
          <w:szCs w:val="20"/>
        </w:rPr>
        <w:t>. 2013;161A(7):1796–802. doi:10.1002/ajmg.a.35980</w:t>
      </w:r>
    </w:p>
    <w:p w14:paraId="1CCE0974"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Southgate L, Machado RD, Snape KM, et al. Dyggve-Melchior-Clausen syndrome caused by compound heterozygous mutations in DYM. </w:t>
      </w:r>
      <w:r w:rsidRPr="00C96276">
        <w:rPr>
          <w:rStyle w:val="Emphasis"/>
          <w:rFonts w:asciiTheme="minorBidi" w:hAnsiTheme="minorBidi"/>
          <w:sz w:val="20"/>
          <w:szCs w:val="20"/>
        </w:rPr>
        <w:t>Clin Genet</w:t>
      </w:r>
      <w:r w:rsidRPr="00C96276">
        <w:rPr>
          <w:rFonts w:asciiTheme="minorBidi" w:hAnsiTheme="minorBidi"/>
          <w:sz w:val="20"/>
          <w:szCs w:val="20"/>
        </w:rPr>
        <w:t>. 2010;78(3):293–296. doi:10.1111/j.1399-0004.2010.01387.x</w:t>
      </w:r>
    </w:p>
    <w:p w14:paraId="274D6003"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Cormier-Daire V. Dysmorphic syndromes with short stature. </w:t>
      </w:r>
      <w:r w:rsidRPr="00C96276">
        <w:rPr>
          <w:rStyle w:val="Emphasis"/>
          <w:rFonts w:asciiTheme="minorBidi" w:hAnsiTheme="minorBidi"/>
          <w:sz w:val="20"/>
          <w:szCs w:val="20"/>
          <w:lang w:val="en-US"/>
        </w:rPr>
        <w:t xml:space="preserve">Best </w:t>
      </w:r>
      <w:proofErr w:type="spellStart"/>
      <w:r w:rsidRPr="00C96276">
        <w:rPr>
          <w:rStyle w:val="Emphasis"/>
          <w:rFonts w:asciiTheme="minorBidi" w:hAnsiTheme="minorBidi"/>
          <w:sz w:val="20"/>
          <w:szCs w:val="20"/>
          <w:lang w:val="en-US"/>
        </w:rPr>
        <w:t>Pract</w:t>
      </w:r>
      <w:proofErr w:type="spellEnd"/>
      <w:r w:rsidRPr="00C96276">
        <w:rPr>
          <w:rStyle w:val="Emphasis"/>
          <w:rFonts w:asciiTheme="minorBidi" w:hAnsiTheme="minorBidi"/>
          <w:sz w:val="20"/>
          <w:szCs w:val="20"/>
          <w:lang w:val="en-US"/>
        </w:rPr>
        <w:t xml:space="preserve"> Res Clin Endocrinol </w:t>
      </w:r>
      <w:proofErr w:type="spellStart"/>
      <w:r w:rsidRPr="00C96276">
        <w:rPr>
          <w:rStyle w:val="Emphasis"/>
          <w:rFonts w:asciiTheme="minorBidi" w:hAnsiTheme="minorBidi"/>
          <w:sz w:val="20"/>
          <w:szCs w:val="20"/>
          <w:lang w:val="en-US"/>
        </w:rPr>
        <w:t>Metab</w:t>
      </w:r>
      <w:proofErr w:type="spellEnd"/>
      <w:r w:rsidRPr="00C96276">
        <w:rPr>
          <w:rFonts w:asciiTheme="minorBidi" w:hAnsiTheme="minorBidi"/>
          <w:sz w:val="20"/>
          <w:szCs w:val="20"/>
          <w:lang w:val="en-US"/>
        </w:rPr>
        <w:t xml:space="preserve">. </w:t>
      </w:r>
      <w:r w:rsidRPr="00C96276">
        <w:rPr>
          <w:rFonts w:asciiTheme="minorBidi" w:hAnsiTheme="minorBidi"/>
          <w:sz w:val="20"/>
          <w:szCs w:val="20"/>
        </w:rPr>
        <w:t>2011;25(1):143–153. doi:10.1016/j.beem.2010.09.003</w:t>
      </w:r>
    </w:p>
    <w:p w14:paraId="5E6927C2"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Unger S, </w:t>
      </w:r>
      <w:proofErr w:type="spellStart"/>
      <w:r w:rsidRPr="00C96276">
        <w:rPr>
          <w:rFonts w:asciiTheme="minorBidi" w:hAnsiTheme="minorBidi"/>
          <w:sz w:val="20"/>
          <w:szCs w:val="20"/>
          <w:lang w:val="en-US"/>
        </w:rPr>
        <w:t>Bonafé</w:t>
      </w:r>
      <w:proofErr w:type="spellEnd"/>
      <w:r w:rsidRPr="00C96276">
        <w:rPr>
          <w:rFonts w:asciiTheme="minorBidi" w:hAnsiTheme="minorBidi"/>
          <w:sz w:val="20"/>
          <w:szCs w:val="20"/>
          <w:lang w:val="en-US"/>
        </w:rPr>
        <w:t xml:space="preserve"> L, </w:t>
      </w:r>
      <w:proofErr w:type="spellStart"/>
      <w:r w:rsidRPr="00C96276">
        <w:rPr>
          <w:rFonts w:asciiTheme="minorBidi" w:hAnsiTheme="minorBidi"/>
          <w:sz w:val="20"/>
          <w:szCs w:val="20"/>
          <w:lang w:val="en-US"/>
        </w:rPr>
        <w:t>Superti-Furga</w:t>
      </w:r>
      <w:proofErr w:type="spellEnd"/>
      <w:r w:rsidRPr="00C96276">
        <w:rPr>
          <w:rFonts w:asciiTheme="minorBidi" w:hAnsiTheme="minorBidi"/>
          <w:sz w:val="20"/>
          <w:szCs w:val="20"/>
          <w:lang w:val="en-US"/>
        </w:rPr>
        <w:t xml:space="preserve"> A. Multiple epiphyseal dysplasia: clinical and radiographic features, differential diagnosis and molecular basis. </w:t>
      </w:r>
      <w:r w:rsidRPr="00C96276">
        <w:rPr>
          <w:rStyle w:val="Emphasis"/>
          <w:rFonts w:asciiTheme="minorBidi" w:hAnsiTheme="minorBidi"/>
          <w:sz w:val="20"/>
          <w:szCs w:val="20"/>
        </w:rPr>
        <w:t xml:space="preserve">Best </w:t>
      </w:r>
      <w:proofErr w:type="spellStart"/>
      <w:r w:rsidRPr="00C96276">
        <w:rPr>
          <w:rStyle w:val="Emphasis"/>
          <w:rFonts w:asciiTheme="minorBidi" w:hAnsiTheme="minorBidi"/>
          <w:sz w:val="20"/>
          <w:szCs w:val="20"/>
        </w:rPr>
        <w:t>Pract</w:t>
      </w:r>
      <w:proofErr w:type="spellEnd"/>
      <w:r w:rsidRPr="00C96276">
        <w:rPr>
          <w:rStyle w:val="Emphasis"/>
          <w:rFonts w:asciiTheme="minorBidi" w:hAnsiTheme="minorBidi"/>
          <w:sz w:val="20"/>
          <w:szCs w:val="20"/>
        </w:rPr>
        <w:t xml:space="preserve"> </w:t>
      </w:r>
      <w:proofErr w:type="spellStart"/>
      <w:r w:rsidRPr="00C96276">
        <w:rPr>
          <w:rStyle w:val="Emphasis"/>
          <w:rFonts w:asciiTheme="minorBidi" w:hAnsiTheme="minorBidi"/>
          <w:sz w:val="20"/>
          <w:szCs w:val="20"/>
        </w:rPr>
        <w:t>Res</w:t>
      </w:r>
      <w:proofErr w:type="spellEnd"/>
      <w:r w:rsidRPr="00C96276">
        <w:rPr>
          <w:rStyle w:val="Emphasis"/>
          <w:rFonts w:asciiTheme="minorBidi" w:hAnsiTheme="minorBidi"/>
          <w:sz w:val="20"/>
          <w:szCs w:val="20"/>
        </w:rPr>
        <w:t xml:space="preserve"> Clin </w:t>
      </w:r>
      <w:proofErr w:type="spellStart"/>
      <w:r w:rsidRPr="00C96276">
        <w:rPr>
          <w:rStyle w:val="Emphasis"/>
          <w:rFonts w:asciiTheme="minorBidi" w:hAnsiTheme="minorBidi"/>
          <w:sz w:val="20"/>
          <w:szCs w:val="20"/>
        </w:rPr>
        <w:t>Rheumatol</w:t>
      </w:r>
      <w:proofErr w:type="spellEnd"/>
      <w:r w:rsidRPr="00C96276">
        <w:rPr>
          <w:rFonts w:asciiTheme="minorBidi" w:hAnsiTheme="minorBidi"/>
          <w:sz w:val="20"/>
          <w:szCs w:val="20"/>
        </w:rPr>
        <w:t>. 2008;22(1):19–32. doi:10.1016/j.berh.2007.11.001</w:t>
      </w:r>
    </w:p>
    <w:p w14:paraId="0327210F"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Hall CM. International nosology and classification of constitutional disorders of bone (2001). </w:t>
      </w:r>
      <w:r w:rsidRPr="00C96276">
        <w:rPr>
          <w:rStyle w:val="Emphasis"/>
          <w:rFonts w:asciiTheme="minorBidi" w:hAnsiTheme="minorBidi"/>
          <w:sz w:val="20"/>
          <w:szCs w:val="20"/>
        </w:rPr>
        <w:t>Am J Med Genet</w:t>
      </w:r>
      <w:r w:rsidRPr="00C96276">
        <w:rPr>
          <w:rFonts w:asciiTheme="minorBidi" w:hAnsiTheme="minorBidi"/>
          <w:sz w:val="20"/>
          <w:szCs w:val="20"/>
        </w:rPr>
        <w:t>. 2002;113(1):65–77. doi:10.1002/ajmg.1075</w:t>
      </w:r>
    </w:p>
    <w:p w14:paraId="0F2BFF4A"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proofErr w:type="spellStart"/>
      <w:r w:rsidRPr="00C96276">
        <w:rPr>
          <w:rFonts w:asciiTheme="minorBidi" w:hAnsiTheme="minorBidi"/>
          <w:sz w:val="20"/>
          <w:szCs w:val="20"/>
        </w:rPr>
        <w:t>Maroteaux</w:t>
      </w:r>
      <w:proofErr w:type="spellEnd"/>
      <w:r w:rsidRPr="00C96276">
        <w:rPr>
          <w:rFonts w:asciiTheme="minorBidi" w:hAnsiTheme="minorBidi"/>
          <w:sz w:val="20"/>
          <w:szCs w:val="20"/>
        </w:rPr>
        <w:t xml:space="preserve"> P, Le </w:t>
      </w:r>
      <w:proofErr w:type="spellStart"/>
      <w:r w:rsidRPr="00C96276">
        <w:rPr>
          <w:rFonts w:asciiTheme="minorBidi" w:hAnsiTheme="minorBidi"/>
          <w:sz w:val="20"/>
          <w:szCs w:val="20"/>
        </w:rPr>
        <w:t>Merrer</w:t>
      </w:r>
      <w:proofErr w:type="spellEnd"/>
      <w:r w:rsidRPr="00C96276">
        <w:rPr>
          <w:rFonts w:asciiTheme="minorBidi" w:hAnsiTheme="minorBidi"/>
          <w:sz w:val="20"/>
          <w:szCs w:val="20"/>
        </w:rPr>
        <w:t xml:space="preserve"> M. The </w:t>
      </w:r>
      <w:proofErr w:type="spellStart"/>
      <w:r w:rsidRPr="00C96276">
        <w:rPr>
          <w:rFonts w:asciiTheme="minorBidi" w:hAnsiTheme="minorBidi"/>
          <w:sz w:val="20"/>
          <w:szCs w:val="20"/>
        </w:rPr>
        <w:t>spectrum</w:t>
      </w:r>
      <w:proofErr w:type="spellEnd"/>
      <w:r w:rsidRPr="00C96276">
        <w:rPr>
          <w:rFonts w:asciiTheme="minorBidi" w:hAnsiTheme="minorBidi"/>
          <w:sz w:val="20"/>
          <w:szCs w:val="20"/>
        </w:rPr>
        <w:t xml:space="preserve"> of </w:t>
      </w:r>
      <w:proofErr w:type="spellStart"/>
      <w:r w:rsidRPr="00C96276">
        <w:rPr>
          <w:rFonts w:asciiTheme="minorBidi" w:hAnsiTheme="minorBidi"/>
          <w:sz w:val="20"/>
          <w:szCs w:val="20"/>
        </w:rPr>
        <w:t>osteochondrodysplasias</w:t>
      </w:r>
      <w:proofErr w:type="spellEnd"/>
      <w:r w:rsidRPr="00C96276">
        <w:rPr>
          <w:rFonts w:asciiTheme="minorBidi" w:hAnsiTheme="minorBidi"/>
          <w:sz w:val="20"/>
          <w:szCs w:val="20"/>
        </w:rPr>
        <w:t xml:space="preserve">. </w:t>
      </w:r>
      <w:r w:rsidRPr="00C96276">
        <w:rPr>
          <w:rStyle w:val="Emphasis"/>
          <w:rFonts w:asciiTheme="minorBidi" w:hAnsiTheme="minorBidi"/>
          <w:sz w:val="20"/>
          <w:szCs w:val="20"/>
        </w:rPr>
        <w:t xml:space="preserve">Best </w:t>
      </w:r>
      <w:proofErr w:type="spellStart"/>
      <w:r w:rsidRPr="00C96276">
        <w:rPr>
          <w:rStyle w:val="Emphasis"/>
          <w:rFonts w:asciiTheme="minorBidi" w:hAnsiTheme="minorBidi"/>
          <w:sz w:val="20"/>
          <w:szCs w:val="20"/>
        </w:rPr>
        <w:t>Pract</w:t>
      </w:r>
      <w:proofErr w:type="spellEnd"/>
      <w:r w:rsidRPr="00C96276">
        <w:rPr>
          <w:rStyle w:val="Emphasis"/>
          <w:rFonts w:asciiTheme="minorBidi" w:hAnsiTheme="minorBidi"/>
          <w:sz w:val="20"/>
          <w:szCs w:val="20"/>
        </w:rPr>
        <w:t xml:space="preserve"> </w:t>
      </w:r>
      <w:proofErr w:type="spellStart"/>
      <w:r w:rsidRPr="00C96276">
        <w:rPr>
          <w:rStyle w:val="Emphasis"/>
          <w:rFonts w:asciiTheme="minorBidi" w:hAnsiTheme="minorBidi"/>
          <w:sz w:val="20"/>
          <w:szCs w:val="20"/>
        </w:rPr>
        <w:t>Res</w:t>
      </w:r>
      <w:proofErr w:type="spellEnd"/>
      <w:r w:rsidRPr="00C96276">
        <w:rPr>
          <w:rStyle w:val="Emphasis"/>
          <w:rFonts w:asciiTheme="minorBidi" w:hAnsiTheme="minorBidi"/>
          <w:sz w:val="20"/>
          <w:szCs w:val="20"/>
        </w:rPr>
        <w:t xml:space="preserve"> Clin </w:t>
      </w:r>
      <w:proofErr w:type="spellStart"/>
      <w:r w:rsidRPr="00C96276">
        <w:rPr>
          <w:rStyle w:val="Emphasis"/>
          <w:rFonts w:asciiTheme="minorBidi" w:hAnsiTheme="minorBidi"/>
          <w:sz w:val="20"/>
          <w:szCs w:val="20"/>
        </w:rPr>
        <w:t>Rheumatol</w:t>
      </w:r>
      <w:proofErr w:type="spellEnd"/>
      <w:r w:rsidRPr="00C96276">
        <w:rPr>
          <w:rFonts w:asciiTheme="minorBidi" w:hAnsiTheme="minorBidi"/>
          <w:sz w:val="20"/>
          <w:szCs w:val="20"/>
        </w:rPr>
        <w:t>. 2008;22(2):355–375. doi:10.1016/j.berh.2007.12.003</w:t>
      </w:r>
    </w:p>
    <w:p w14:paraId="25ED6E43"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Bonafe L, Cormier-Daire V, Hall C, et al. Nosology and classification of genetic skeletal disorders: 2015 revision. </w:t>
      </w:r>
      <w:r w:rsidRPr="00C96276">
        <w:rPr>
          <w:rStyle w:val="Emphasis"/>
          <w:rFonts w:asciiTheme="minorBidi" w:hAnsiTheme="minorBidi"/>
          <w:sz w:val="20"/>
          <w:szCs w:val="20"/>
        </w:rPr>
        <w:t>Am J Med Genet A</w:t>
      </w:r>
      <w:r w:rsidRPr="00C96276">
        <w:rPr>
          <w:rFonts w:asciiTheme="minorBidi" w:hAnsiTheme="minorBidi"/>
          <w:sz w:val="20"/>
          <w:szCs w:val="20"/>
        </w:rPr>
        <w:t>. 2015;167A(12):2869–2892. doi:10.1002/ajmg.a.37365</w:t>
      </w:r>
    </w:p>
    <w:p w14:paraId="20ABC98C"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proofErr w:type="spellStart"/>
      <w:r w:rsidRPr="00C96276">
        <w:rPr>
          <w:rFonts w:asciiTheme="minorBidi" w:hAnsiTheme="minorBidi"/>
          <w:sz w:val="20"/>
          <w:szCs w:val="20"/>
        </w:rPr>
        <w:t>Kaczmarski</w:t>
      </w:r>
      <w:proofErr w:type="spellEnd"/>
      <w:r w:rsidRPr="00C96276">
        <w:rPr>
          <w:rFonts w:asciiTheme="minorBidi" w:hAnsiTheme="minorBidi"/>
          <w:sz w:val="20"/>
          <w:szCs w:val="20"/>
        </w:rPr>
        <w:t xml:space="preserve"> M, </w:t>
      </w:r>
      <w:proofErr w:type="spellStart"/>
      <w:r w:rsidRPr="00C96276">
        <w:rPr>
          <w:rFonts w:asciiTheme="minorBidi" w:hAnsiTheme="minorBidi"/>
          <w:sz w:val="20"/>
          <w:szCs w:val="20"/>
        </w:rPr>
        <w:t>Młynarski</w:t>
      </w:r>
      <w:proofErr w:type="spellEnd"/>
      <w:r w:rsidRPr="00C96276">
        <w:rPr>
          <w:rFonts w:asciiTheme="minorBidi" w:hAnsiTheme="minorBidi"/>
          <w:sz w:val="20"/>
          <w:szCs w:val="20"/>
        </w:rPr>
        <w:t xml:space="preserve"> W, </w:t>
      </w:r>
      <w:proofErr w:type="spellStart"/>
      <w:r w:rsidRPr="00C96276">
        <w:rPr>
          <w:rFonts w:asciiTheme="minorBidi" w:hAnsiTheme="minorBidi"/>
          <w:sz w:val="20"/>
          <w:szCs w:val="20"/>
        </w:rPr>
        <w:t>Niedzielski</w:t>
      </w:r>
      <w:proofErr w:type="spellEnd"/>
      <w:r w:rsidRPr="00C96276">
        <w:rPr>
          <w:rFonts w:asciiTheme="minorBidi" w:hAnsiTheme="minorBidi"/>
          <w:sz w:val="20"/>
          <w:szCs w:val="20"/>
        </w:rPr>
        <w:t xml:space="preserve"> K. </w:t>
      </w:r>
      <w:proofErr w:type="spellStart"/>
      <w:r w:rsidRPr="00C96276">
        <w:rPr>
          <w:rFonts w:asciiTheme="minorBidi" w:hAnsiTheme="minorBidi"/>
          <w:sz w:val="20"/>
          <w:szCs w:val="20"/>
        </w:rPr>
        <w:t>Orthopaedic</w:t>
      </w:r>
      <w:proofErr w:type="spellEnd"/>
      <w:r w:rsidRPr="00C96276">
        <w:rPr>
          <w:rFonts w:asciiTheme="minorBidi" w:hAnsiTheme="minorBidi"/>
          <w:sz w:val="20"/>
          <w:szCs w:val="20"/>
        </w:rPr>
        <w:t xml:space="preserve"> management in </w:t>
      </w:r>
      <w:proofErr w:type="spellStart"/>
      <w:r w:rsidRPr="00C96276">
        <w:rPr>
          <w:rFonts w:asciiTheme="minorBidi" w:hAnsiTheme="minorBidi"/>
          <w:sz w:val="20"/>
          <w:szCs w:val="20"/>
        </w:rPr>
        <w:t>Dyggve</w:t>
      </w:r>
      <w:proofErr w:type="spellEnd"/>
      <w:r w:rsidRPr="00C96276">
        <w:rPr>
          <w:rFonts w:asciiTheme="minorBidi" w:hAnsiTheme="minorBidi"/>
          <w:sz w:val="20"/>
          <w:szCs w:val="20"/>
        </w:rPr>
        <w:t>-Melchior-</w:t>
      </w:r>
      <w:proofErr w:type="spellStart"/>
      <w:r w:rsidRPr="00C96276">
        <w:rPr>
          <w:rFonts w:asciiTheme="minorBidi" w:hAnsiTheme="minorBidi"/>
          <w:sz w:val="20"/>
          <w:szCs w:val="20"/>
        </w:rPr>
        <w:t>Clausen</w:t>
      </w:r>
      <w:proofErr w:type="spellEnd"/>
      <w:r w:rsidRPr="00C96276">
        <w:rPr>
          <w:rFonts w:asciiTheme="minorBidi" w:hAnsiTheme="minorBidi"/>
          <w:sz w:val="20"/>
          <w:szCs w:val="20"/>
        </w:rPr>
        <w:t xml:space="preserve"> syndrome. </w:t>
      </w:r>
      <w:proofErr w:type="spellStart"/>
      <w:r w:rsidRPr="00C96276">
        <w:rPr>
          <w:rStyle w:val="Emphasis"/>
          <w:rFonts w:asciiTheme="minorBidi" w:hAnsiTheme="minorBidi"/>
          <w:sz w:val="20"/>
          <w:szCs w:val="20"/>
        </w:rPr>
        <w:t>Ortop</w:t>
      </w:r>
      <w:proofErr w:type="spellEnd"/>
      <w:r w:rsidRPr="00C96276">
        <w:rPr>
          <w:rStyle w:val="Emphasis"/>
          <w:rFonts w:asciiTheme="minorBidi" w:hAnsiTheme="minorBidi"/>
          <w:sz w:val="20"/>
          <w:szCs w:val="20"/>
        </w:rPr>
        <w:t xml:space="preserve"> </w:t>
      </w:r>
      <w:proofErr w:type="spellStart"/>
      <w:r w:rsidRPr="00C96276">
        <w:rPr>
          <w:rStyle w:val="Emphasis"/>
          <w:rFonts w:asciiTheme="minorBidi" w:hAnsiTheme="minorBidi"/>
          <w:sz w:val="20"/>
          <w:szCs w:val="20"/>
        </w:rPr>
        <w:t>Traumatol</w:t>
      </w:r>
      <w:proofErr w:type="spellEnd"/>
      <w:r w:rsidRPr="00C96276">
        <w:rPr>
          <w:rStyle w:val="Emphasis"/>
          <w:rFonts w:asciiTheme="minorBidi" w:hAnsiTheme="minorBidi"/>
          <w:sz w:val="20"/>
          <w:szCs w:val="20"/>
        </w:rPr>
        <w:t xml:space="preserve"> </w:t>
      </w:r>
      <w:proofErr w:type="spellStart"/>
      <w:r w:rsidRPr="00C96276">
        <w:rPr>
          <w:rStyle w:val="Emphasis"/>
          <w:rFonts w:asciiTheme="minorBidi" w:hAnsiTheme="minorBidi"/>
          <w:sz w:val="20"/>
          <w:szCs w:val="20"/>
        </w:rPr>
        <w:t>Rehabil</w:t>
      </w:r>
      <w:proofErr w:type="spellEnd"/>
      <w:r w:rsidRPr="00C96276">
        <w:rPr>
          <w:rFonts w:asciiTheme="minorBidi" w:hAnsiTheme="minorBidi"/>
          <w:sz w:val="20"/>
          <w:szCs w:val="20"/>
        </w:rPr>
        <w:t>. 2013;15(6):565–571. PMID: 24344989</w:t>
      </w:r>
    </w:p>
    <w:p w14:paraId="795FC517"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proofErr w:type="spellStart"/>
      <w:r w:rsidRPr="00C96276">
        <w:rPr>
          <w:rFonts w:asciiTheme="minorBidi" w:hAnsiTheme="minorBidi"/>
          <w:sz w:val="20"/>
          <w:szCs w:val="20"/>
          <w:lang w:val="en-US"/>
        </w:rPr>
        <w:t>Aglan</w:t>
      </w:r>
      <w:proofErr w:type="spellEnd"/>
      <w:r w:rsidRPr="00C96276">
        <w:rPr>
          <w:rFonts w:asciiTheme="minorBidi" w:hAnsiTheme="minorBidi"/>
          <w:sz w:val="20"/>
          <w:szCs w:val="20"/>
          <w:lang w:val="en-US"/>
        </w:rPr>
        <w:t xml:space="preserve"> MS, </w:t>
      </w:r>
      <w:proofErr w:type="spellStart"/>
      <w:r w:rsidRPr="00C96276">
        <w:rPr>
          <w:rFonts w:asciiTheme="minorBidi" w:hAnsiTheme="minorBidi"/>
          <w:sz w:val="20"/>
          <w:szCs w:val="20"/>
          <w:lang w:val="en-US"/>
        </w:rPr>
        <w:t>Temtamy</w:t>
      </w:r>
      <w:proofErr w:type="spellEnd"/>
      <w:r w:rsidRPr="00C96276">
        <w:rPr>
          <w:rFonts w:asciiTheme="minorBidi" w:hAnsiTheme="minorBidi"/>
          <w:sz w:val="20"/>
          <w:szCs w:val="20"/>
          <w:lang w:val="en-US"/>
        </w:rPr>
        <w:t xml:space="preserve"> SA, El Ruby M, et al. Phenotypic and radiological spectrum of Dyggve-Melchior-Clausen syndrome and Smith-McCort dysplasia in Egyptian patients. </w:t>
      </w:r>
      <w:proofErr w:type="spellStart"/>
      <w:r w:rsidRPr="00C96276">
        <w:rPr>
          <w:rStyle w:val="Emphasis"/>
          <w:rFonts w:asciiTheme="minorBidi" w:hAnsiTheme="minorBidi"/>
          <w:sz w:val="20"/>
          <w:szCs w:val="20"/>
        </w:rPr>
        <w:t>Osteoporos</w:t>
      </w:r>
      <w:proofErr w:type="spellEnd"/>
      <w:r w:rsidRPr="00C96276">
        <w:rPr>
          <w:rStyle w:val="Emphasis"/>
          <w:rFonts w:asciiTheme="minorBidi" w:hAnsiTheme="minorBidi"/>
          <w:sz w:val="20"/>
          <w:szCs w:val="20"/>
        </w:rPr>
        <w:t xml:space="preserve"> Int</w:t>
      </w:r>
      <w:r w:rsidRPr="00C96276">
        <w:rPr>
          <w:rFonts w:asciiTheme="minorBidi" w:hAnsiTheme="minorBidi"/>
          <w:sz w:val="20"/>
          <w:szCs w:val="20"/>
        </w:rPr>
        <w:t>. 2009;20(6):937–948. doi:10.1007/s00198-008-0762-5</w:t>
      </w:r>
    </w:p>
    <w:p w14:paraId="6A18FD43"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proofErr w:type="spellStart"/>
      <w:r w:rsidRPr="00C96276">
        <w:rPr>
          <w:rFonts w:asciiTheme="minorBidi" w:hAnsiTheme="minorBidi"/>
          <w:sz w:val="20"/>
          <w:szCs w:val="20"/>
        </w:rPr>
        <w:t>Lemyre</w:t>
      </w:r>
      <w:proofErr w:type="spellEnd"/>
      <w:r w:rsidRPr="00C96276">
        <w:rPr>
          <w:rFonts w:asciiTheme="minorBidi" w:hAnsiTheme="minorBidi"/>
          <w:sz w:val="20"/>
          <w:szCs w:val="20"/>
        </w:rPr>
        <w:t xml:space="preserve"> E, Rauch F, Huber C, et al. </w:t>
      </w:r>
      <w:r w:rsidRPr="00C96276">
        <w:rPr>
          <w:rFonts w:asciiTheme="minorBidi" w:hAnsiTheme="minorBidi"/>
          <w:sz w:val="20"/>
          <w:szCs w:val="20"/>
          <w:lang w:val="en-US"/>
        </w:rPr>
        <w:t xml:space="preserve">Clinical and radiographic manifestations of Dyggve-Melchior-Clausen syndrome: report of three cases and review of the literature. </w:t>
      </w:r>
      <w:proofErr w:type="spellStart"/>
      <w:r w:rsidRPr="00C96276">
        <w:rPr>
          <w:rStyle w:val="Emphasis"/>
          <w:rFonts w:asciiTheme="minorBidi" w:hAnsiTheme="minorBidi"/>
          <w:sz w:val="20"/>
          <w:szCs w:val="20"/>
        </w:rPr>
        <w:t>Eur</w:t>
      </w:r>
      <w:proofErr w:type="spellEnd"/>
      <w:r w:rsidRPr="00C96276">
        <w:rPr>
          <w:rStyle w:val="Emphasis"/>
          <w:rFonts w:asciiTheme="minorBidi" w:hAnsiTheme="minorBidi"/>
          <w:sz w:val="20"/>
          <w:szCs w:val="20"/>
        </w:rPr>
        <w:t xml:space="preserve"> J </w:t>
      </w:r>
      <w:proofErr w:type="spellStart"/>
      <w:r w:rsidRPr="00C96276">
        <w:rPr>
          <w:rStyle w:val="Emphasis"/>
          <w:rFonts w:asciiTheme="minorBidi" w:hAnsiTheme="minorBidi"/>
          <w:sz w:val="20"/>
          <w:szCs w:val="20"/>
        </w:rPr>
        <w:t>Pediatr</w:t>
      </w:r>
      <w:proofErr w:type="spellEnd"/>
      <w:r w:rsidRPr="00C96276">
        <w:rPr>
          <w:rFonts w:asciiTheme="minorBidi" w:hAnsiTheme="minorBidi"/>
          <w:sz w:val="20"/>
          <w:szCs w:val="20"/>
        </w:rPr>
        <w:t>. 2001;160(11):705–710. doi:10.1007/s004310100813</w:t>
      </w:r>
    </w:p>
    <w:p w14:paraId="5BB8E18F"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proofErr w:type="spellStart"/>
      <w:r w:rsidRPr="00C96276">
        <w:rPr>
          <w:rFonts w:asciiTheme="minorBidi" w:hAnsiTheme="minorBidi"/>
          <w:sz w:val="20"/>
          <w:szCs w:val="20"/>
          <w:lang w:val="es-ES"/>
        </w:rPr>
        <w:t>Sztalryd</w:t>
      </w:r>
      <w:proofErr w:type="spellEnd"/>
      <w:r w:rsidRPr="00C96276">
        <w:rPr>
          <w:rFonts w:asciiTheme="minorBidi" w:hAnsiTheme="minorBidi"/>
          <w:sz w:val="20"/>
          <w:szCs w:val="20"/>
          <w:lang w:val="es-ES"/>
        </w:rPr>
        <w:t xml:space="preserve"> C, El </w:t>
      </w:r>
      <w:proofErr w:type="spellStart"/>
      <w:r w:rsidRPr="00C96276">
        <w:rPr>
          <w:rFonts w:asciiTheme="minorBidi" w:hAnsiTheme="minorBidi"/>
          <w:sz w:val="20"/>
          <w:szCs w:val="20"/>
          <w:lang w:val="es-ES"/>
        </w:rPr>
        <w:t>Ghouzzi</w:t>
      </w:r>
      <w:proofErr w:type="spellEnd"/>
      <w:r w:rsidRPr="00C96276">
        <w:rPr>
          <w:rFonts w:asciiTheme="minorBidi" w:hAnsiTheme="minorBidi"/>
          <w:sz w:val="20"/>
          <w:szCs w:val="20"/>
          <w:lang w:val="es-ES"/>
        </w:rPr>
        <w:t xml:space="preserve"> V, </w:t>
      </w:r>
      <w:proofErr w:type="spellStart"/>
      <w:r w:rsidRPr="00C96276">
        <w:rPr>
          <w:rFonts w:asciiTheme="minorBidi" w:hAnsiTheme="minorBidi"/>
          <w:sz w:val="20"/>
          <w:szCs w:val="20"/>
          <w:lang w:val="es-ES"/>
        </w:rPr>
        <w:t>Munnich</w:t>
      </w:r>
      <w:proofErr w:type="spellEnd"/>
      <w:r w:rsidRPr="00C96276">
        <w:rPr>
          <w:rFonts w:asciiTheme="minorBidi" w:hAnsiTheme="minorBidi"/>
          <w:sz w:val="20"/>
          <w:szCs w:val="20"/>
          <w:lang w:val="es-ES"/>
        </w:rPr>
        <w:t xml:space="preserve"> A, et al. </w:t>
      </w:r>
      <w:r w:rsidRPr="00C96276">
        <w:rPr>
          <w:rFonts w:asciiTheme="minorBidi" w:hAnsiTheme="minorBidi"/>
          <w:sz w:val="20"/>
          <w:szCs w:val="20"/>
          <w:lang w:val="en-US"/>
        </w:rPr>
        <w:t xml:space="preserve">Molecular basis and diagnostic challenges in genetic skeletal </w:t>
      </w:r>
      <w:proofErr w:type="spellStart"/>
      <w:r w:rsidRPr="00C96276">
        <w:rPr>
          <w:rFonts w:asciiTheme="minorBidi" w:hAnsiTheme="minorBidi"/>
          <w:sz w:val="20"/>
          <w:szCs w:val="20"/>
          <w:lang w:val="en-US"/>
        </w:rPr>
        <w:t>dysplasias</w:t>
      </w:r>
      <w:proofErr w:type="spellEnd"/>
      <w:r w:rsidRPr="00C96276">
        <w:rPr>
          <w:rFonts w:asciiTheme="minorBidi" w:hAnsiTheme="minorBidi"/>
          <w:sz w:val="20"/>
          <w:szCs w:val="20"/>
          <w:lang w:val="en-US"/>
        </w:rPr>
        <w:t xml:space="preserve">. </w:t>
      </w:r>
      <w:proofErr w:type="spellStart"/>
      <w:r w:rsidRPr="00C96276">
        <w:rPr>
          <w:rStyle w:val="Emphasis"/>
          <w:rFonts w:asciiTheme="minorBidi" w:hAnsiTheme="minorBidi"/>
          <w:sz w:val="20"/>
          <w:szCs w:val="20"/>
        </w:rPr>
        <w:t>Pediatr</w:t>
      </w:r>
      <w:proofErr w:type="spellEnd"/>
      <w:r w:rsidRPr="00C96276">
        <w:rPr>
          <w:rStyle w:val="Emphasis"/>
          <w:rFonts w:asciiTheme="minorBidi" w:hAnsiTheme="minorBidi"/>
          <w:sz w:val="20"/>
          <w:szCs w:val="20"/>
        </w:rPr>
        <w:t xml:space="preserve"> </w:t>
      </w:r>
      <w:proofErr w:type="spellStart"/>
      <w:r w:rsidRPr="00C96276">
        <w:rPr>
          <w:rStyle w:val="Emphasis"/>
          <w:rFonts w:asciiTheme="minorBidi" w:hAnsiTheme="minorBidi"/>
          <w:sz w:val="20"/>
          <w:szCs w:val="20"/>
        </w:rPr>
        <w:t>Endocrinol</w:t>
      </w:r>
      <w:proofErr w:type="spellEnd"/>
      <w:r w:rsidRPr="00C96276">
        <w:rPr>
          <w:rStyle w:val="Emphasis"/>
          <w:rFonts w:asciiTheme="minorBidi" w:hAnsiTheme="minorBidi"/>
          <w:sz w:val="20"/>
          <w:szCs w:val="20"/>
        </w:rPr>
        <w:t xml:space="preserve"> </w:t>
      </w:r>
      <w:proofErr w:type="spellStart"/>
      <w:r w:rsidRPr="00C96276">
        <w:rPr>
          <w:rStyle w:val="Emphasis"/>
          <w:rFonts w:asciiTheme="minorBidi" w:hAnsiTheme="minorBidi"/>
          <w:sz w:val="20"/>
          <w:szCs w:val="20"/>
        </w:rPr>
        <w:t>Rev</w:t>
      </w:r>
      <w:proofErr w:type="spellEnd"/>
      <w:r w:rsidRPr="00C96276">
        <w:rPr>
          <w:rFonts w:asciiTheme="minorBidi" w:hAnsiTheme="minorBidi"/>
          <w:sz w:val="20"/>
          <w:szCs w:val="20"/>
        </w:rPr>
        <w:t>. 2004;2(2):237–245. PMID: 16444197</w:t>
      </w:r>
    </w:p>
    <w:p w14:paraId="5EB20C34"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t xml:space="preserve">Bui C, Dudding T, Thompson EM. A review of gene therapy clinical trials for inherited skeletal disorders. </w:t>
      </w:r>
      <w:r w:rsidRPr="00C96276">
        <w:rPr>
          <w:rStyle w:val="Emphasis"/>
          <w:rFonts w:asciiTheme="minorBidi" w:hAnsiTheme="minorBidi"/>
          <w:sz w:val="20"/>
          <w:szCs w:val="20"/>
        </w:rPr>
        <w:t xml:space="preserve">Mol Genet </w:t>
      </w:r>
      <w:proofErr w:type="spellStart"/>
      <w:r w:rsidRPr="00C96276">
        <w:rPr>
          <w:rStyle w:val="Emphasis"/>
          <w:rFonts w:asciiTheme="minorBidi" w:hAnsiTheme="minorBidi"/>
          <w:sz w:val="20"/>
          <w:szCs w:val="20"/>
        </w:rPr>
        <w:t>Genomic</w:t>
      </w:r>
      <w:proofErr w:type="spellEnd"/>
      <w:r w:rsidRPr="00C96276">
        <w:rPr>
          <w:rStyle w:val="Emphasis"/>
          <w:rFonts w:asciiTheme="minorBidi" w:hAnsiTheme="minorBidi"/>
          <w:sz w:val="20"/>
          <w:szCs w:val="20"/>
        </w:rPr>
        <w:t xml:space="preserve"> Med</w:t>
      </w:r>
      <w:r w:rsidRPr="00C96276">
        <w:rPr>
          <w:rFonts w:asciiTheme="minorBidi" w:hAnsiTheme="minorBidi"/>
          <w:sz w:val="20"/>
          <w:szCs w:val="20"/>
        </w:rPr>
        <w:t>. 2021;9(2):e1584. doi:10.1002/mgg3.1584</w:t>
      </w:r>
    </w:p>
    <w:p w14:paraId="6F8B1E40" w14:textId="77777777" w:rsidR="009A5FD7" w:rsidRPr="00C96276" w:rsidRDefault="009A5FD7" w:rsidP="009A5FD7">
      <w:pPr>
        <w:numPr>
          <w:ilvl w:val="0"/>
          <w:numId w:val="1"/>
        </w:numPr>
        <w:spacing w:before="100" w:beforeAutospacing="1" w:after="100" w:afterAutospacing="1"/>
        <w:rPr>
          <w:rFonts w:asciiTheme="minorBidi" w:hAnsiTheme="minorBidi"/>
          <w:sz w:val="20"/>
          <w:szCs w:val="20"/>
        </w:rPr>
      </w:pPr>
      <w:r w:rsidRPr="00C96276">
        <w:rPr>
          <w:rFonts w:asciiTheme="minorBidi" w:hAnsiTheme="minorBidi"/>
          <w:sz w:val="20"/>
          <w:szCs w:val="20"/>
          <w:lang w:val="en-US"/>
        </w:rPr>
        <w:lastRenderedPageBreak/>
        <w:t xml:space="preserve">Nilsson O, Baron J. Fundamental limits on longitudinal bone growth: growth plate senescence and epiphyseal fusion. </w:t>
      </w:r>
      <w:r w:rsidRPr="00C96276">
        <w:rPr>
          <w:rStyle w:val="Emphasis"/>
          <w:rFonts w:asciiTheme="minorBidi" w:hAnsiTheme="minorBidi"/>
          <w:sz w:val="20"/>
          <w:szCs w:val="20"/>
        </w:rPr>
        <w:t xml:space="preserve">Trends </w:t>
      </w:r>
      <w:proofErr w:type="spellStart"/>
      <w:r w:rsidRPr="00C96276">
        <w:rPr>
          <w:rStyle w:val="Emphasis"/>
          <w:rFonts w:asciiTheme="minorBidi" w:hAnsiTheme="minorBidi"/>
          <w:sz w:val="20"/>
          <w:szCs w:val="20"/>
        </w:rPr>
        <w:t>Endocrinol</w:t>
      </w:r>
      <w:proofErr w:type="spellEnd"/>
      <w:r w:rsidRPr="00C96276">
        <w:rPr>
          <w:rStyle w:val="Emphasis"/>
          <w:rFonts w:asciiTheme="minorBidi" w:hAnsiTheme="minorBidi"/>
          <w:sz w:val="20"/>
          <w:szCs w:val="20"/>
        </w:rPr>
        <w:t xml:space="preserve"> </w:t>
      </w:r>
      <w:proofErr w:type="spellStart"/>
      <w:r w:rsidRPr="00C96276">
        <w:rPr>
          <w:rStyle w:val="Emphasis"/>
          <w:rFonts w:asciiTheme="minorBidi" w:hAnsiTheme="minorBidi"/>
          <w:sz w:val="20"/>
          <w:szCs w:val="20"/>
        </w:rPr>
        <w:t>Metab</w:t>
      </w:r>
      <w:proofErr w:type="spellEnd"/>
      <w:r w:rsidRPr="00C96276">
        <w:rPr>
          <w:rFonts w:asciiTheme="minorBidi" w:hAnsiTheme="minorBidi"/>
          <w:sz w:val="20"/>
          <w:szCs w:val="20"/>
        </w:rPr>
        <w:t>. 2004;15(8):370–374. doi:10.1016/j.tem.2004.08.002</w:t>
      </w:r>
    </w:p>
    <w:p w14:paraId="402CA39D" w14:textId="77777777" w:rsidR="009A5FD7" w:rsidRPr="00C96276" w:rsidRDefault="009A5FD7">
      <w:pPr>
        <w:rPr>
          <w:rFonts w:asciiTheme="minorBidi" w:hAnsiTheme="minorBidi"/>
          <w:sz w:val="20"/>
          <w:szCs w:val="20"/>
          <w:lang w:val="en-US"/>
        </w:rPr>
      </w:pPr>
    </w:p>
    <w:sectPr w:rsidR="009A5FD7" w:rsidRPr="00C96276">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FD59F" w14:textId="77777777" w:rsidR="00474016" w:rsidRDefault="00474016" w:rsidP="00AF551F">
      <w:r>
        <w:separator/>
      </w:r>
    </w:p>
  </w:endnote>
  <w:endnote w:type="continuationSeparator" w:id="0">
    <w:p w14:paraId="645DDEDA" w14:textId="77777777" w:rsidR="00474016" w:rsidRDefault="00474016" w:rsidP="00AF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689" w14:textId="77777777" w:rsidR="00AF551F" w:rsidRDefault="00AF5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3492" w14:textId="77777777" w:rsidR="00AF551F" w:rsidRDefault="00AF5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99AE" w14:textId="77777777" w:rsidR="00AF551F" w:rsidRDefault="00AF5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5BF33" w14:textId="77777777" w:rsidR="00474016" w:rsidRDefault="00474016" w:rsidP="00AF551F">
      <w:r>
        <w:separator/>
      </w:r>
    </w:p>
  </w:footnote>
  <w:footnote w:type="continuationSeparator" w:id="0">
    <w:p w14:paraId="572B6166" w14:textId="77777777" w:rsidR="00474016" w:rsidRDefault="00474016" w:rsidP="00AF5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F2BF" w14:textId="485CF92A" w:rsidR="00AF551F" w:rsidRDefault="00AF551F">
    <w:pPr>
      <w:pStyle w:val="Header"/>
    </w:pPr>
    <w:r>
      <w:rPr>
        <w:noProof/>
      </w:rPr>
      <w:pict w14:anchorId="349B6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3954"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143E" w14:textId="789099E0" w:rsidR="00AF551F" w:rsidRDefault="00AF551F">
    <w:pPr>
      <w:pStyle w:val="Header"/>
    </w:pPr>
    <w:r>
      <w:rPr>
        <w:noProof/>
      </w:rPr>
      <w:pict w14:anchorId="24EB7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3955"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1ADC" w14:textId="1942EB1E" w:rsidR="00AF551F" w:rsidRDefault="00AF551F">
    <w:pPr>
      <w:pStyle w:val="Header"/>
    </w:pPr>
    <w:r>
      <w:rPr>
        <w:noProof/>
      </w:rPr>
      <w:pict w14:anchorId="5F960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3953"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93DBD"/>
    <w:multiLevelType w:val="multilevel"/>
    <w:tmpl w:val="7584D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0183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BE9"/>
    <w:rsid w:val="00057819"/>
    <w:rsid w:val="001A335F"/>
    <w:rsid w:val="001B6E1D"/>
    <w:rsid w:val="001E27FE"/>
    <w:rsid w:val="00227F98"/>
    <w:rsid w:val="00257D87"/>
    <w:rsid w:val="00280088"/>
    <w:rsid w:val="002C21F4"/>
    <w:rsid w:val="00353730"/>
    <w:rsid w:val="00402E42"/>
    <w:rsid w:val="00474016"/>
    <w:rsid w:val="005928DF"/>
    <w:rsid w:val="005F017A"/>
    <w:rsid w:val="006C5D7B"/>
    <w:rsid w:val="00776BE9"/>
    <w:rsid w:val="0087547D"/>
    <w:rsid w:val="0088593C"/>
    <w:rsid w:val="00895829"/>
    <w:rsid w:val="008F46BA"/>
    <w:rsid w:val="00946641"/>
    <w:rsid w:val="009A5FD7"/>
    <w:rsid w:val="00A36DEB"/>
    <w:rsid w:val="00A60B08"/>
    <w:rsid w:val="00A8120A"/>
    <w:rsid w:val="00AF551F"/>
    <w:rsid w:val="00B15987"/>
    <w:rsid w:val="00C47173"/>
    <w:rsid w:val="00C50FF8"/>
    <w:rsid w:val="00C8594A"/>
    <w:rsid w:val="00C94917"/>
    <w:rsid w:val="00C96276"/>
    <w:rsid w:val="00D12F08"/>
    <w:rsid w:val="00D5514F"/>
    <w:rsid w:val="00D86F49"/>
    <w:rsid w:val="00E65604"/>
    <w:rsid w:val="00EA415F"/>
    <w:rsid w:val="00ED1364"/>
    <w:rsid w:val="00F73E1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A3DD7"/>
  <w15:chartTrackingRefBased/>
  <w15:docId w15:val="{9E16042F-93F0-2E4F-9963-93A28527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76BE9"/>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76BE9"/>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776BE9"/>
    <w:rPr>
      <w:b/>
      <w:bCs/>
    </w:rPr>
  </w:style>
  <w:style w:type="character" w:styleId="Emphasis">
    <w:name w:val="Emphasis"/>
    <w:basedOn w:val="DefaultParagraphFont"/>
    <w:uiPriority w:val="20"/>
    <w:qFormat/>
    <w:rsid w:val="00776BE9"/>
    <w:rPr>
      <w:i/>
      <w:iCs/>
    </w:rPr>
  </w:style>
  <w:style w:type="character" w:styleId="Hyperlink">
    <w:name w:val="Hyperlink"/>
    <w:basedOn w:val="DefaultParagraphFont"/>
    <w:uiPriority w:val="99"/>
    <w:unhideWhenUsed/>
    <w:rsid w:val="00EA415F"/>
    <w:rPr>
      <w:color w:val="0563C1" w:themeColor="hyperlink"/>
      <w:u w:val="single"/>
    </w:rPr>
  </w:style>
  <w:style w:type="character" w:styleId="UnresolvedMention">
    <w:name w:val="Unresolved Mention"/>
    <w:basedOn w:val="DefaultParagraphFont"/>
    <w:uiPriority w:val="99"/>
    <w:semiHidden/>
    <w:unhideWhenUsed/>
    <w:rsid w:val="00EA415F"/>
    <w:rPr>
      <w:color w:val="605E5C"/>
      <w:shd w:val="clear" w:color="auto" w:fill="E1DFDD"/>
    </w:rPr>
  </w:style>
  <w:style w:type="paragraph" w:styleId="Header">
    <w:name w:val="header"/>
    <w:basedOn w:val="Normal"/>
    <w:link w:val="HeaderChar"/>
    <w:uiPriority w:val="99"/>
    <w:unhideWhenUsed/>
    <w:rsid w:val="00AF551F"/>
    <w:pPr>
      <w:tabs>
        <w:tab w:val="center" w:pos="4680"/>
        <w:tab w:val="right" w:pos="9360"/>
      </w:tabs>
    </w:pPr>
  </w:style>
  <w:style w:type="character" w:customStyle="1" w:styleId="HeaderChar">
    <w:name w:val="Header Char"/>
    <w:basedOn w:val="DefaultParagraphFont"/>
    <w:link w:val="Header"/>
    <w:uiPriority w:val="99"/>
    <w:rsid w:val="00AF551F"/>
  </w:style>
  <w:style w:type="paragraph" w:styleId="Footer">
    <w:name w:val="footer"/>
    <w:basedOn w:val="Normal"/>
    <w:link w:val="FooterChar"/>
    <w:uiPriority w:val="99"/>
    <w:unhideWhenUsed/>
    <w:rsid w:val="00AF551F"/>
    <w:pPr>
      <w:tabs>
        <w:tab w:val="center" w:pos="4680"/>
        <w:tab w:val="right" w:pos="9360"/>
      </w:tabs>
    </w:pPr>
  </w:style>
  <w:style w:type="character" w:customStyle="1" w:styleId="FooterChar">
    <w:name w:val="Footer Char"/>
    <w:basedOn w:val="DefaultParagraphFont"/>
    <w:link w:val="Footer"/>
    <w:uiPriority w:val="99"/>
    <w:rsid w:val="00AF5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194228">
      <w:bodyDiv w:val="1"/>
      <w:marLeft w:val="0"/>
      <w:marRight w:val="0"/>
      <w:marTop w:val="0"/>
      <w:marBottom w:val="0"/>
      <w:divBdr>
        <w:top w:val="none" w:sz="0" w:space="0" w:color="auto"/>
        <w:left w:val="none" w:sz="0" w:space="0" w:color="auto"/>
        <w:bottom w:val="none" w:sz="0" w:space="0" w:color="auto"/>
        <w:right w:val="none" w:sz="0" w:space="0" w:color="auto"/>
      </w:divBdr>
    </w:div>
    <w:div w:id="1900092765">
      <w:bodyDiv w:val="1"/>
      <w:marLeft w:val="0"/>
      <w:marRight w:val="0"/>
      <w:marTop w:val="0"/>
      <w:marBottom w:val="0"/>
      <w:divBdr>
        <w:top w:val="none" w:sz="0" w:space="0" w:color="auto"/>
        <w:left w:val="none" w:sz="0" w:space="0" w:color="auto"/>
        <w:bottom w:val="none" w:sz="0" w:space="0" w:color="auto"/>
        <w:right w:val="none" w:sz="0" w:space="0" w:color="auto"/>
      </w:divBdr>
    </w:div>
    <w:div w:id="205699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1897</Words>
  <Characters>10818</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Editor-22</cp:lastModifiedBy>
  <cp:revision>30</cp:revision>
  <dcterms:created xsi:type="dcterms:W3CDTF">2025-04-24T18:21:00Z</dcterms:created>
  <dcterms:modified xsi:type="dcterms:W3CDTF">2025-05-17T10:27:00Z</dcterms:modified>
</cp:coreProperties>
</file>