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97580" w14:textId="020B31AD" w:rsidR="00B43069" w:rsidRDefault="00B43069" w:rsidP="0042526D">
      <w:pPr>
        <w:jc w:val="both"/>
        <w:rPr>
          <w:rFonts w:ascii="Times New Roman" w:hAnsi="Times New Roman" w:cs="Times New Roman"/>
          <w:b/>
          <w:bCs/>
          <w:sz w:val="24"/>
          <w:szCs w:val="24"/>
          <w:lang w:val="en-US"/>
        </w:rPr>
      </w:pPr>
      <w:r w:rsidRPr="00DF08A4">
        <w:rPr>
          <w:rFonts w:ascii="Times New Roman" w:hAnsi="Times New Roman" w:cs="Times New Roman"/>
          <w:b/>
          <w:bCs/>
          <w:sz w:val="24"/>
          <w:szCs w:val="24"/>
          <w:lang w:val="en-US"/>
        </w:rPr>
        <w:t>ENVIRONMENTAL CARCINOGEN</w:t>
      </w:r>
      <w:r w:rsidR="00DF08A4" w:rsidRPr="00DF08A4">
        <w:rPr>
          <w:rFonts w:ascii="Times New Roman" w:hAnsi="Times New Roman" w:cs="Times New Roman"/>
          <w:b/>
          <w:bCs/>
          <w:sz w:val="24"/>
          <w:szCs w:val="24"/>
          <w:lang w:val="en-US"/>
        </w:rPr>
        <w:t>S AND THE FUTURE OF CANCER PREVENTION: LEVERAGING GE</w:t>
      </w:r>
      <w:r w:rsidR="004E3C00">
        <w:rPr>
          <w:rFonts w:ascii="Times New Roman" w:hAnsi="Times New Roman" w:cs="Times New Roman"/>
          <w:b/>
          <w:bCs/>
          <w:sz w:val="24"/>
          <w:szCs w:val="24"/>
          <w:lang w:val="en-US"/>
        </w:rPr>
        <w:t>N</w:t>
      </w:r>
      <w:r w:rsidR="00DF08A4" w:rsidRPr="00DF08A4">
        <w:rPr>
          <w:rFonts w:ascii="Times New Roman" w:hAnsi="Times New Roman" w:cs="Times New Roman"/>
          <w:b/>
          <w:bCs/>
          <w:sz w:val="24"/>
          <w:szCs w:val="24"/>
          <w:lang w:val="en-US"/>
        </w:rPr>
        <w:t>OMIC SURVEILLANCE AND ARTIFICIAL INTELLIGENCE IN PUBLIC HEALTH.</w:t>
      </w:r>
    </w:p>
    <w:p w14:paraId="53918333" w14:textId="77777777" w:rsidR="0042718A" w:rsidRPr="007E69D5" w:rsidRDefault="0042718A" w:rsidP="0042718A">
      <w:pPr>
        <w:rPr>
          <w:rFonts w:ascii="Times New Roman" w:hAnsi="Times New Roman" w:cs="Times New Roman"/>
          <w:sz w:val="24"/>
          <w:szCs w:val="24"/>
        </w:rPr>
      </w:pPr>
    </w:p>
    <w:p w14:paraId="122816FC" w14:textId="77777777" w:rsidR="0042718A" w:rsidRPr="0042718A" w:rsidRDefault="0042718A" w:rsidP="0042526D">
      <w:pPr>
        <w:jc w:val="both"/>
        <w:rPr>
          <w:rFonts w:ascii="Times New Roman" w:hAnsi="Times New Roman" w:cs="Times New Roman"/>
          <w:sz w:val="24"/>
          <w:szCs w:val="24"/>
          <w:lang w:val="en-US"/>
        </w:rPr>
      </w:pPr>
    </w:p>
    <w:p w14:paraId="02E46A50" w14:textId="77777777" w:rsidR="00B43069" w:rsidRDefault="00B43069" w:rsidP="0042526D">
      <w:pPr>
        <w:jc w:val="both"/>
        <w:rPr>
          <w:rFonts w:ascii="Times New Roman" w:hAnsi="Times New Roman" w:cs="Times New Roman"/>
          <w:sz w:val="24"/>
          <w:szCs w:val="24"/>
          <w:lang w:val="en-US"/>
        </w:rPr>
      </w:pPr>
    </w:p>
    <w:p w14:paraId="2750AB34" w14:textId="51FD70FD"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Abstract</w:t>
      </w:r>
    </w:p>
    <w:p w14:paraId="173DD5EB" w14:textId="6349745A" w:rsidR="00524EC6" w:rsidRPr="00DF08A4" w:rsidRDefault="00294915"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Air pollutants, industrial chemical, contaminated water are all sources of environmental carcinogens and have been identified as top contributors to the rise in glo</w:t>
      </w:r>
      <w:bookmarkStart w:id="0" w:name="_GoBack"/>
      <w:bookmarkEnd w:id="0"/>
      <w:r w:rsidRPr="00AB268E">
        <w:rPr>
          <w:rFonts w:ascii="Times New Roman" w:hAnsi="Times New Roman" w:cs="Times New Roman"/>
          <w:sz w:val="24"/>
          <w:szCs w:val="24"/>
          <w:lang w:val="en-US"/>
        </w:rPr>
        <w:t>bal cancer burden. There is an inequality that exists between developed and developing countries when it comes to the risk of exposure to environmental carcinogens. Lack of regulatory oversight, environmental monitoring and health care infrastructures are top contributors to the risk of exposures in developing countries. This review highlights how the integration of genomic surveillance and artificial intelligence has revolutionized the field of cancer prevention, providing the opportunity and tools to detect and mitigate the effects of environmental carcinogens.</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technologies have made it possible to interpret complex data sets such as genomic profiles, environmental exposure records and clinical histories, especially with machine learning and deep learning. This paper carefully analyzed the challenges that exist which includes, data privacy, genetic discrimination, algorithm bias, limited funding and infrastructure gaps in low resource settings and this collectively calls for policy reforms, international cooperation, interdisciplinary collaborations and engagement in community activities. In conclusion, integrating genomic surveillance and</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is a game changer to cancer prevention changing its scope from reactive care to tailored, personalized treatment interventions.</w:t>
      </w:r>
    </w:p>
    <w:p w14:paraId="3A444F12" w14:textId="4F320A2A" w:rsidR="00524EC6" w:rsidRPr="00AB268E" w:rsidRDefault="00DF08A4" w:rsidP="0042526D">
      <w:pPr>
        <w:jc w:val="both"/>
        <w:rPr>
          <w:rFonts w:ascii="Times New Roman" w:hAnsi="Times New Roman" w:cs="Times New Roman"/>
          <w:sz w:val="24"/>
          <w:szCs w:val="24"/>
        </w:rPr>
      </w:pPr>
      <w:r>
        <w:rPr>
          <w:rFonts w:ascii="Times New Roman" w:hAnsi="Times New Roman" w:cs="Times New Roman"/>
          <w:sz w:val="24"/>
          <w:szCs w:val="24"/>
        </w:rPr>
        <w:t>KEYWORDS: Environmental Carcinogen, Genomic Surveillance, Artificial Intelligence, Cancer Prevention.</w:t>
      </w:r>
    </w:p>
    <w:p w14:paraId="14BBD554" w14:textId="37C39452" w:rsidR="00A3461A" w:rsidRPr="00AB268E" w:rsidRDefault="00A3461A" w:rsidP="0042526D">
      <w:pPr>
        <w:jc w:val="both"/>
        <w:rPr>
          <w:rFonts w:ascii="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89"/>
        <w:gridCol w:w="8437"/>
      </w:tblGrid>
      <w:tr w:rsidR="00A3461A" w:rsidRPr="00AB268E" w14:paraId="3AF633FB" w14:textId="77777777" w:rsidTr="00A3461A">
        <w:tc>
          <w:tcPr>
            <w:tcW w:w="660" w:type="dxa"/>
            <w:tcMar>
              <w:top w:w="0" w:type="dxa"/>
              <w:left w:w="240" w:type="dxa"/>
              <w:bottom w:w="0" w:type="dxa"/>
              <w:right w:w="240" w:type="dxa"/>
            </w:tcMar>
            <w:hideMark/>
          </w:tcPr>
          <w:p w14:paraId="04F3AB85" w14:textId="302CE009" w:rsidR="00A3461A" w:rsidRPr="00AB268E" w:rsidRDefault="00A3461A" w:rsidP="0042526D">
            <w:pPr>
              <w:jc w:val="both"/>
              <w:rPr>
                <w:rFonts w:ascii="Times New Roman" w:hAnsi="Times New Roman" w:cs="Times New Roman"/>
                <w:sz w:val="24"/>
                <w:szCs w:val="24"/>
                <w:lang w:val="en-US"/>
              </w:rPr>
            </w:pPr>
          </w:p>
        </w:tc>
        <w:tc>
          <w:tcPr>
            <w:tcW w:w="14250" w:type="dxa"/>
            <w:tcMar>
              <w:top w:w="0" w:type="dxa"/>
              <w:left w:w="0" w:type="dxa"/>
              <w:bottom w:w="0" w:type="dxa"/>
              <w:right w:w="0" w:type="dxa"/>
            </w:tcMar>
            <w:vAlign w:val="center"/>
            <w:hideMark/>
          </w:tcPr>
          <w:p w14:paraId="2BD2398A" w14:textId="09BB71EC" w:rsidR="00A3461A" w:rsidRPr="00AB268E" w:rsidRDefault="00A3461A" w:rsidP="0042526D">
            <w:pPr>
              <w:jc w:val="both"/>
              <w:rPr>
                <w:rFonts w:ascii="Times New Roman" w:hAnsi="Times New Roman" w:cs="Times New Roman"/>
                <w:sz w:val="24"/>
                <w:szCs w:val="24"/>
                <w:lang w:val="en-US"/>
              </w:rPr>
            </w:pPr>
          </w:p>
        </w:tc>
      </w:tr>
    </w:tbl>
    <w:p w14:paraId="0311748F" w14:textId="3EFAE2B8" w:rsidR="00AF2D44" w:rsidRPr="00AB268E" w:rsidRDefault="00AF2D44" w:rsidP="0042526D">
      <w:pPr>
        <w:jc w:val="both"/>
        <w:rPr>
          <w:rFonts w:ascii="Times New Roman" w:hAnsi="Times New Roman" w:cs="Times New Roman"/>
          <w:sz w:val="24"/>
          <w:szCs w:val="24"/>
          <w:lang w:val="en-US"/>
        </w:rPr>
      </w:pPr>
    </w:p>
    <w:p w14:paraId="4FB142BA" w14:textId="16EFCDE3" w:rsidR="00AF2D44" w:rsidRPr="00AB268E" w:rsidRDefault="00AA70F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Introduction</w:t>
      </w:r>
    </w:p>
    <w:p w14:paraId="53804B03" w14:textId="07D2FDBD" w:rsidR="00A53372" w:rsidRPr="00AB268E" w:rsidRDefault="00B17B32"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Cancer is one of the leading causes of death globally with an estimate of 19.3 million cases and 10 million deaths as reported in the year 2020 by the world health </w:t>
      </w:r>
      <w:proofErr w:type="spellStart"/>
      <w:r w:rsidRPr="00AB268E">
        <w:rPr>
          <w:rFonts w:ascii="Times New Roman" w:hAnsi="Times New Roman" w:cs="Times New Roman"/>
          <w:sz w:val="24"/>
          <w:szCs w:val="24"/>
          <w:lang w:val="en-US"/>
        </w:rPr>
        <w:t>organisation</w:t>
      </w:r>
      <w:proofErr w:type="spellEnd"/>
      <w:r w:rsidRPr="00AB268E">
        <w:rPr>
          <w:rFonts w:ascii="Times New Roman" w:hAnsi="Times New Roman" w:cs="Times New Roman"/>
          <w:sz w:val="24"/>
          <w:szCs w:val="24"/>
          <w:lang w:val="en-US"/>
        </w:rPr>
        <w:t xml:space="preserve"> (WHO)</w:t>
      </w:r>
      <w:r w:rsid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w:t>
      </w:r>
      <w:proofErr w:type="gramStart"/>
      <w:r w:rsidRPr="00AB268E">
        <w:rPr>
          <w:rFonts w:ascii="Times New Roman" w:hAnsi="Times New Roman" w:cs="Times New Roman"/>
          <w:sz w:val="24"/>
          <w:szCs w:val="24"/>
          <w:lang w:val="en-US"/>
        </w:rPr>
        <w:t>Deo  et al.</w:t>
      </w:r>
      <w:proofErr w:type="gramEnd"/>
      <w:r w:rsidRPr="00AB268E">
        <w:rPr>
          <w:rFonts w:ascii="Times New Roman" w:hAnsi="Times New Roman" w:cs="Times New Roman"/>
          <w:sz w:val="24"/>
          <w:szCs w:val="24"/>
          <w:lang w:val="en-US"/>
        </w:rPr>
        <w:t xml:space="preserve">, 2022). With the aging population, lifestyle changes and </w:t>
      </w:r>
      <w:proofErr w:type="spellStart"/>
      <w:r w:rsidRPr="00AB268E">
        <w:rPr>
          <w:rFonts w:ascii="Times New Roman" w:hAnsi="Times New Roman" w:cs="Times New Roman"/>
          <w:sz w:val="24"/>
          <w:szCs w:val="24"/>
          <w:lang w:val="en-US"/>
        </w:rPr>
        <w:t>continous</w:t>
      </w:r>
      <w:proofErr w:type="spellEnd"/>
      <w:r w:rsidRPr="00AB268E">
        <w:rPr>
          <w:rFonts w:ascii="Times New Roman" w:hAnsi="Times New Roman" w:cs="Times New Roman"/>
          <w:sz w:val="24"/>
          <w:szCs w:val="24"/>
          <w:lang w:val="en-US"/>
        </w:rPr>
        <w:t xml:space="preserve"> exposure to environmental carcinogens, it has been projected that the burden of this disease will increase significantly in the coming decade (De </w:t>
      </w:r>
      <w:proofErr w:type="spellStart"/>
      <w:r w:rsidRPr="00AB268E">
        <w:rPr>
          <w:rFonts w:ascii="Times New Roman" w:hAnsi="Times New Roman" w:cs="Times New Roman"/>
          <w:sz w:val="24"/>
          <w:szCs w:val="24"/>
          <w:lang w:val="en-US"/>
        </w:rPr>
        <w:t>guzman</w:t>
      </w:r>
      <w:proofErr w:type="spellEnd"/>
      <w:r w:rsidRPr="00AB268E">
        <w:rPr>
          <w:rFonts w:ascii="Times New Roman" w:hAnsi="Times New Roman" w:cs="Times New Roman"/>
          <w:sz w:val="24"/>
          <w:szCs w:val="24"/>
          <w:lang w:val="en-US"/>
        </w:rPr>
        <w:t xml:space="preserve"> &amp; Schiller, 2025) (</w:t>
      </w:r>
      <w:proofErr w:type="spellStart"/>
      <w:r w:rsidRPr="00AB268E">
        <w:rPr>
          <w:rFonts w:ascii="Times New Roman" w:hAnsi="Times New Roman" w:cs="Times New Roman"/>
          <w:sz w:val="24"/>
          <w:szCs w:val="24"/>
          <w:lang w:val="en-US"/>
        </w:rPr>
        <w:t>Mbemi</w:t>
      </w:r>
      <w:proofErr w:type="spellEnd"/>
      <w:r w:rsidRPr="00AB268E">
        <w:rPr>
          <w:rFonts w:ascii="Times New Roman" w:hAnsi="Times New Roman" w:cs="Times New Roman"/>
          <w:sz w:val="24"/>
          <w:szCs w:val="24"/>
          <w:lang w:val="en-US"/>
        </w:rPr>
        <w:t xml:space="preserve"> et al., 2020)</w:t>
      </w:r>
      <w:r w:rsidR="00EA373A"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Lifestyle factors such as smoking, diet and physical inactivity are known to be potential risk factors but environmental exposures to agents like industrial chemicals, heavy metals, radiation and contaminated water or soil play a very huge role in cancer development</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(Iwasaki et al., 2023). Environmental agents have been classified by the International Agency for Research on Cancer (IARC) into different groups, with asbestos, benzene, formaldehyde, arsenic, and fine particulate matter (PM2.5) as group 1 carcinogens because the strong evidence of their carcinogenicity in humans</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 xml:space="preserve">(Blanco et al., 2023). One thing worthy of note is, exposures to </w:t>
      </w:r>
      <w:r w:rsidR="00AF2D44" w:rsidRPr="00AB268E">
        <w:rPr>
          <w:rFonts w:ascii="Times New Roman" w:hAnsi="Times New Roman" w:cs="Times New Roman"/>
          <w:sz w:val="24"/>
          <w:szCs w:val="24"/>
          <w:lang w:val="en-US"/>
        </w:rPr>
        <w:lastRenderedPageBreak/>
        <w:t>carcinogenic materials are unbalanced in the populations: those living in low-income countries are at higher risk of being exposed to high levels of environmental toxins due to bad regulatory frameworks, industrialization without safety equipment and limited access to proper health care. This inequality has led to a form of environmental bias where the weight of environmentally induced cancers affects the most vulnerable. Despite the growth in cancer treatment and identification of risk factors, preventing this disease remains a huge burden</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 xml:space="preserve">(Larsen et al., 2023). Recent cancer prevention strategies only focus on behavioral modification and screening, with little focus on detection and alleviation of environmental hazards. Systems for monitoring environmental carcinogens are </w:t>
      </w:r>
      <w:proofErr w:type="spellStart"/>
      <w:r w:rsidR="00AF2D44" w:rsidRPr="00AB268E">
        <w:rPr>
          <w:rFonts w:ascii="Times New Roman" w:hAnsi="Times New Roman" w:cs="Times New Roman"/>
          <w:sz w:val="24"/>
          <w:szCs w:val="24"/>
          <w:lang w:val="en-US"/>
        </w:rPr>
        <w:t>disorganised</w:t>
      </w:r>
      <w:proofErr w:type="spellEnd"/>
      <w:r w:rsidR="00AF2D44" w:rsidRPr="00AB268E">
        <w:rPr>
          <w:rFonts w:ascii="Times New Roman" w:hAnsi="Times New Roman" w:cs="Times New Roman"/>
          <w:sz w:val="24"/>
          <w:szCs w:val="24"/>
          <w:lang w:val="en-US"/>
        </w:rPr>
        <w:t xml:space="preserve"> or even </w:t>
      </w:r>
      <w:proofErr w:type="spellStart"/>
      <w:r w:rsidR="00AF2D44" w:rsidRPr="00AB268E">
        <w:rPr>
          <w:rFonts w:ascii="Times New Roman" w:hAnsi="Times New Roman" w:cs="Times New Roman"/>
          <w:sz w:val="24"/>
          <w:szCs w:val="24"/>
          <w:lang w:val="en-US"/>
        </w:rPr>
        <w:t>non existent</w:t>
      </w:r>
      <w:proofErr w:type="spellEnd"/>
      <w:r w:rsidR="00AF2D44" w:rsidRPr="00AB268E">
        <w:rPr>
          <w:rFonts w:ascii="Times New Roman" w:hAnsi="Times New Roman" w:cs="Times New Roman"/>
          <w:sz w:val="24"/>
          <w:szCs w:val="24"/>
          <w:lang w:val="en-US"/>
        </w:rPr>
        <w:t xml:space="preserve"> in many regions</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(Klein et al., 2021). Notwithstanding, conventional epidemiological approaches take time to capture new risk trends and do not have the capacity to combine complex data sets that involve genetics, environmental exposures and social determinants of health</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(Zhao et al., 2024). The introduction of genomic surveillance and artificial intelligence (</w:t>
      </w:r>
      <w:r w:rsidR="007D2E63" w:rsidRPr="00AB268E">
        <w:rPr>
          <w:rFonts w:ascii="Times New Roman" w:hAnsi="Times New Roman" w:cs="Times New Roman"/>
          <w:sz w:val="24"/>
          <w:szCs w:val="24"/>
          <w:lang w:val="en-US"/>
        </w:rPr>
        <w:t>AI</w:t>
      </w:r>
      <w:r w:rsidR="00AF2D44" w:rsidRPr="00AB268E">
        <w:rPr>
          <w:rFonts w:ascii="Times New Roman" w:hAnsi="Times New Roman" w:cs="Times New Roman"/>
          <w:sz w:val="24"/>
          <w:szCs w:val="24"/>
          <w:lang w:val="en-US"/>
        </w:rPr>
        <w:t>) has brought about a game changing opportunity to change the course of cancer prevention from a reactive to a predictive, precision-based model. Genomic surveillance enables the identification of molecular signatures and mutations associated with carcinogen exposure long before the commencement of the disease. In the same vein,</w:t>
      </w:r>
      <w:r w:rsidR="00AB268E" w:rsidRPr="00AB268E">
        <w:rPr>
          <w:rFonts w:ascii="Times New Roman" w:hAnsi="Times New Roman" w:cs="Times New Roman"/>
          <w:sz w:val="24"/>
          <w:szCs w:val="24"/>
          <w:lang w:val="en-US"/>
        </w:rPr>
        <w:t xml:space="preserve"> AI</w:t>
      </w:r>
      <w:r w:rsidR="00AF2D44" w:rsidRPr="00AB268E">
        <w:rPr>
          <w:rFonts w:ascii="Times New Roman" w:hAnsi="Times New Roman" w:cs="Times New Roman"/>
          <w:sz w:val="24"/>
          <w:szCs w:val="24"/>
          <w:lang w:val="en-US"/>
        </w:rPr>
        <w:t xml:space="preserve"> technologies can process large environmental, genomic and clinical data to recognize patterns, predict risk trajectories and support public health decision-making at scale</w:t>
      </w:r>
      <w:r w:rsidR="007D2E63"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(O’Connor &amp; McVeigh, 2025a).</w:t>
      </w:r>
      <w:r w:rsidR="00AB268E" w:rsidRPr="00AB268E">
        <w:rPr>
          <w:rFonts w:ascii="Times New Roman" w:hAnsi="Times New Roman" w:cs="Times New Roman"/>
          <w:sz w:val="24"/>
          <w:szCs w:val="24"/>
          <w:lang w:val="en-US"/>
        </w:rPr>
        <w:t xml:space="preserve"> </w:t>
      </w:r>
      <w:r w:rsidR="00823CAD" w:rsidRPr="00AB268E">
        <w:rPr>
          <w:rFonts w:ascii="Times New Roman" w:hAnsi="Times New Roman" w:cs="Times New Roman"/>
          <w:sz w:val="24"/>
          <w:szCs w:val="24"/>
          <w:lang w:val="en-US"/>
        </w:rPr>
        <w:t>The</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00823CAD" w:rsidRPr="00AB268E">
        <w:rPr>
          <w:rFonts w:ascii="Times New Roman" w:hAnsi="Times New Roman" w:cs="Times New Roman"/>
          <w:sz w:val="24"/>
          <w:szCs w:val="24"/>
          <w:lang w:val="en-US"/>
        </w:rPr>
        <w:t>m</w:t>
      </w:r>
      <w:proofErr w:type="spellEnd"/>
      <w:r w:rsidR="00823CAD" w:rsidRPr="00AB268E">
        <w:rPr>
          <w:rFonts w:ascii="Times New Roman" w:hAnsi="Times New Roman" w:cs="Times New Roman"/>
          <w:sz w:val="24"/>
          <w:szCs w:val="24"/>
          <w:lang w:val="en-US"/>
        </w:rPr>
        <w:t xml:space="preserve"> of this paper is to </w:t>
      </w:r>
      <w:r w:rsidR="00823CAD" w:rsidRPr="00AB268E">
        <w:rPr>
          <w:rFonts w:ascii="Times New Roman" w:hAnsi="Times New Roman" w:cs="Times New Roman"/>
          <w:sz w:val="24"/>
          <w:szCs w:val="24"/>
        </w:rPr>
        <w:t>examine the scope and impact of environmental carcinogens on global cancer incidence, explore the role of genomic surveillance in identifying cancer risks linked to environmental exposures and also investigate how</w:t>
      </w:r>
      <w:r w:rsidR="00AB268E" w:rsidRPr="00AB268E">
        <w:rPr>
          <w:rFonts w:ascii="Times New Roman" w:hAnsi="Times New Roman" w:cs="Times New Roman"/>
          <w:sz w:val="24"/>
          <w:szCs w:val="24"/>
        </w:rPr>
        <w:t xml:space="preserve"> AI</w:t>
      </w:r>
      <w:r w:rsidR="00823CAD" w:rsidRPr="00AB268E">
        <w:rPr>
          <w:rFonts w:ascii="Times New Roman" w:hAnsi="Times New Roman" w:cs="Times New Roman"/>
          <w:sz w:val="24"/>
          <w:szCs w:val="24"/>
        </w:rPr>
        <w:t xml:space="preserve"> technologies can enhance public health responses by integrating environmental and genomic data.</w:t>
      </w:r>
    </w:p>
    <w:p w14:paraId="15CB4B46" w14:textId="028814A1" w:rsidR="00AF2D44" w:rsidRPr="00AB268E" w:rsidRDefault="00AA70F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 Environmental Carcinogens</w:t>
      </w:r>
    </w:p>
    <w:p w14:paraId="331372D4" w14:textId="4EDB7F8D" w:rsidR="00AF2D44" w:rsidRPr="00AB268E" w:rsidRDefault="00AA70F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w:t>
      </w:r>
      <w:r w:rsidR="00AF2D44" w:rsidRPr="00AB268E">
        <w:rPr>
          <w:rFonts w:ascii="Times New Roman" w:hAnsi="Times New Roman" w:cs="Times New Roman"/>
          <w:sz w:val="24"/>
          <w:szCs w:val="24"/>
          <w:lang w:val="en-US"/>
        </w:rPr>
        <w:t xml:space="preserve">.1 </w:t>
      </w:r>
      <w:r w:rsidRPr="00AB268E">
        <w:rPr>
          <w:rFonts w:ascii="Times New Roman" w:hAnsi="Times New Roman" w:cs="Times New Roman"/>
          <w:sz w:val="24"/>
          <w:szCs w:val="24"/>
          <w:lang w:val="en-US"/>
        </w:rPr>
        <w:t>Definitions and Classifications of Environmental Carcinogens</w:t>
      </w:r>
    </w:p>
    <w:p w14:paraId="1C87D3C5" w14:textId="39628AF0"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Environmental carcinogens are agents present in the</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water or soil that have the capacity to bring about the development of cancer in humans. They may be naturally occurring or artificial and the hazardous nature depends on different factors such as exposure levels, duration and individual </w:t>
      </w:r>
      <w:r w:rsidR="00AA70F8" w:rsidRPr="00AB268E">
        <w:rPr>
          <w:rFonts w:ascii="Times New Roman" w:hAnsi="Times New Roman" w:cs="Times New Roman"/>
          <w:sz w:val="24"/>
          <w:szCs w:val="24"/>
          <w:lang w:val="en-US"/>
        </w:rPr>
        <w:t>susceptibility (</w:t>
      </w:r>
      <w:r w:rsidRPr="00AB268E">
        <w:rPr>
          <w:rFonts w:ascii="Times New Roman" w:hAnsi="Times New Roman" w:cs="Times New Roman"/>
          <w:sz w:val="24"/>
          <w:szCs w:val="24"/>
          <w:lang w:val="en-US"/>
        </w:rPr>
        <w:t>Wogan et al., 2004)</w:t>
      </w:r>
      <w:r w:rsidR="00AA70F8"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w:t>
      </w:r>
      <w:proofErr w:type="spellStart"/>
      <w:r w:rsidRPr="00AB268E">
        <w:rPr>
          <w:rFonts w:ascii="Times New Roman" w:hAnsi="Times New Roman" w:cs="Times New Roman"/>
          <w:sz w:val="24"/>
          <w:szCs w:val="24"/>
          <w:lang w:val="en-US"/>
        </w:rPr>
        <w:t>Manisalidis</w:t>
      </w:r>
      <w:proofErr w:type="spellEnd"/>
      <w:r w:rsidRPr="00AB268E">
        <w:rPr>
          <w:rFonts w:ascii="Times New Roman" w:hAnsi="Times New Roman" w:cs="Times New Roman"/>
          <w:sz w:val="24"/>
          <w:szCs w:val="24"/>
          <w:lang w:val="en-US"/>
        </w:rPr>
        <w:t xml:space="preserve"> et al., 2020)</w:t>
      </w:r>
      <w:r w:rsidR="00EB7EDE"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Carcinogens have been classified into five groups based on their ability to induce cancer by the international agency for research on cancer (IARC). A specialized agency of the world health organization (</w:t>
      </w:r>
      <w:r w:rsidR="00AA70F8" w:rsidRPr="00AB268E">
        <w:rPr>
          <w:rFonts w:ascii="Times New Roman" w:hAnsi="Times New Roman" w:cs="Times New Roman"/>
          <w:sz w:val="24"/>
          <w:szCs w:val="24"/>
          <w:lang w:val="en-US"/>
        </w:rPr>
        <w:t>WHO</w:t>
      </w:r>
      <w:r w:rsidRPr="00AB268E">
        <w:rPr>
          <w:rFonts w:ascii="Times New Roman" w:hAnsi="Times New Roman" w:cs="Times New Roman"/>
          <w:sz w:val="24"/>
          <w:szCs w:val="24"/>
          <w:lang w:val="en-US"/>
        </w:rPr>
        <w:t>)</w:t>
      </w:r>
    </w:p>
    <w:p w14:paraId="21D3E30B" w14:textId="7BFC88A6"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1: carcinogenic to humans (e.g., asbestos, benzene, formaldehyde, arsenic, ultraviolet radiation, outdoor</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w:t>
      </w:r>
    </w:p>
    <w:p w14:paraId="58B9D27E"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2a: probably carcinogenic to humans (e.g., glyphosate, emissions from high-temperature frying)</w:t>
      </w:r>
    </w:p>
    <w:p w14:paraId="6BCD2022"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2b: possibly carcinogenic to humans (e.g., lead compounds, chloroform)</w:t>
      </w:r>
    </w:p>
    <w:p w14:paraId="3756BBED"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3: not classifiable as to its carcinogenicity to humans</w:t>
      </w:r>
    </w:p>
    <w:p w14:paraId="15744B71"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4: probably not carcinogenic to humans</w:t>
      </w:r>
    </w:p>
    <w:p w14:paraId="00AADB42" w14:textId="4A49AF32"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Group 1 agents are of the highest public health concern due to robust human evidence of carcinogenicity.</w:t>
      </w:r>
    </w:p>
    <w:p w14:paraId="35AA3510" w14:textId="39F6DB28" w:rsidR="00AF2D44" w:rsidRPr="00AB268E" w:rsidRDefault="00AA70F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w:t>
      </w:r>
      <w:r w:rsidR="00AF2D44" w:rsidRPr="00AB268E">
        <w:rPr>
          <w:rFonts w:ascii="Times New Roman" w:hAnsi="Times New Roman" w:cs="Times New Roman"/>
          <w:sz w:val="24"/>
          <w:szCs w:val="24"/>
          <w:lang w:val="en-US"/>
        </w:rPr>
        <w:t>2. Epigenetic Changes from Pollutants</w:t>
      </w:r>
    </w:p>
    <w:p w14:paraId="5DC28898" w14:textId="132AA00F"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lastRenderedPageBreak/>
        <w:t>Environmental pollutants can induce epigenetic alterations, which are heritable changes in gene expression that do not involve alterations in the</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sequence. These include</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methylation, histone modification, and non-coding RNA regulation. Persistent exposure to</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pollutants like PM2.5, diesel exhaust, and heavy metals (e.g., cadmium, arsenic) can dysregulate these epigenetic mechanisms. For example, arsenic exposure has been associated with global</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hypomethylation, which can activate oncogenes, as well as hypermethylation of tumor suppressor gene promoters like p16INK4a, leading to their silencing. Histone modifications, such as altered acetylation and methylation patterns, can also disrupt chromatin structure, promoting a shift in gene expression favoring uncontrolled cell division. Moreover, exposure to environmental toxins can affect the expression of microRNAs (miRNAs), which regulate the translation of mRNAs involved in cell proliferation, apoptosis, and</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repair. Dysregulated miRNA profiles have been identified in populations exposed to high levels of</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 linking environmental exposure to post-transcriptional gene regulation in cancer pathways. These epigenetic changes are reversible but can persist long enough to contribute significantly to cancer initiation and progression.</w:t>
      </w:r>
    </w:p>
    <w:p w14:paraId="0AFF1619" w14:textId="41E13E22" w:rsidR="00AF2D44" w:rsidRPr="00AB268E" w:rsidRDefault="00AA70F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w:t>
      </w:r>
      <w:r w:rsidR="00AF2D44" w:rsidRPr="00AB268E">
        <w:rPr>
          <w:rFonts w:ascii="Times New Roman" w:hAnsi="Times New Roman" w:cs="Times New Roman"/>
          <w:sz w:val="24"/>
          <w:szCs w:val="24"/>
          <w:lang w:val="en-US"/>
        </w:rPr>
        <w:t>.</w:t>
      </w:r>
      <w:r w:rsidRPr="00AB268E">
        <w:rPr>
          <w:rFonts w:ascii="Times New Roman" w:hAnsi="Times New Roman" w:cs="Times New Roman"/>
          <w:sz w:val="24"/>
          <w:szCs w:val="24"/>
          <w:lang w:val="en-US"/>
        </w:rPr>
        <w:t>3</w:t>
      </w:r>
      <w:r w:rsidR="00AF2D44" w:rsidRPr="00AB268E">
        <w:rPr>
          <w:rFonts w:ascii="Times New Roman" w:hAnsi="Times New Roman" w:cs="Times New Roman"/>
          <w:sz w:val="24"/>
          <w:szCs w:val="24"/>
          <w:lang w:val="en-US"/>
        </w:rPr>
        <w:t xml:space="preserve"> Sources of Environmental Carcinogens</w:t>
      </w:r>
    </w:p>
    <w:p w14:paraId="76FF7F9E"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Environmental carcinogens are from different sources and they are often related to industrialization, urbanization and agricultural practices</w:t>
      </w:r>
    </w:p>
    <w:p w14:paraId="42CFB5A0" w14:textId="60265D30"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pollutants particulate matter (PM2.5), nitrogen dioxide (NO₂), and polycyclic aromatic hydrocarbons (PAHS) from vehicular emissions, industrial processes, and biomass burning are known to cause lung and bladder cancers. Ambient</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 is now identified as a group 1 carcinogen by IARC.</w:t>
      </w:r>
    </w:p>
    <w:p w14:paraId="3577A440"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 Arsenic contamination, most especially from groundwater, has been a serious burden in regions like south </w:t>
      </w:r>
      <w:proofErr w:type="spellStart"/>
      <w:r w:rsidRPr="00AB268E">
        <w:rPr>
          <w:rFonts w:ascii="Times New Roman" w:hAnsi="Times New Roman" w:cs="Times New Roman"/>
          <w:sz w:val="24"/>
          <w:szCs w:val="24"/>
          <w:lang w:val="en-US"/>
        </w:rPr>
        <w:t>asia</w:t>
      </w:r>
      <w:proofErr w:type="spellEnd"/>
      <w:r w:rsidRPr="00AB268E">
        <w:rPr>
          <w:rFonts w:ascii="Times New Roman" w:hAnsi="Times New Roman" w:cs="Times New Roman"/>
          <w:sz w:val="24"/>
          <w:szCs w:val="24"/>
          <w:lang w:val="en-US"/>
        </w:rPr>
        <w:t xml:space="preserve"> and </w:t>
      </w:r>
      <w:proofErr w:type="spellStart"/>
      <w:r w:rsidRPr="00AB268E">
        <w:rPr>
          <w:rFonts w:ascii="Times New Roman" w:hAnsi="Times New Roman" w:cs="Times New Roman"/>
          <w:sz w:val="24"/>
          <w:szCs w:val="24"/>
          <w:lang w:val="en-US"/>
        </w:rPr>
        <w:t>sub-saharan</w:t>
      </w:r>
      <w:proofErr w:type="spellEnd"/>
      <w:r w:rsidRPr="00AB268E">
        <w:rPr>
          <w:rFonts w:ascii="Times New Roman" w:hAnsi="Times New Roman" w:cs="Times New Roman"/>
          <w:sz w:val="24"/>
          <w:szCs w:val="24"/>
          <w:lang w:val="en-US"/>
        </w:rPr>
        <w:t xml:space="preserve"> </w:t>
      </w:r>
      <w:proofErr w:type="spellStart"/>
      <w:r w:rsidRPr="00AB268E">
        <w:rPr>
          <w:rFonts w:ascii="Times New Roman" w:hAnsi="Times New Roman" w:cs="Times New Roman"/>
          <w:sz w:val="24"/>
          <w:szCs w:val="24"/>
          <w:lang w:val="en-US"/>
        </w:rPr>
        <w:t>africa</w:t>
      </w:r>
      <w:proofErr w:type="spellEnd"/>
      <w:r w:rsidRPr="00AB268E">
        <w:rPr>
          <w:rFonts w:ascii="Times New Roman" w:hAnsi="Times New Roman" w:cs="Times New Roman"/>
          <w:sz w:val="24"/>
          <w:szCs w:val="24"/>
          <w:lang w:val="en-US"/>
        </w:rPr>
        <w:t>.</w:t>
      </w:r>
    </w:p>
    <w:p w14:paraId="49E4FF05"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Industrial chemicals: continuous exposure to chemicals such as benzene, formaldehyde, and vinyl chloride, frequently used in manufacturing and construction, may cause hematologic malignancies and liver cancers (Poynter et al.,2017).</w:t>
      </w:r>
    </w:p>
    <w:p w14:paraId="71183F80"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Pesticides: some insecticides and herbicides, like organophosphates and glyphosate, have been associated with increased risks of non-</w:t>
      </w:r>
      <w:proofErr w:type="spellStart"/>
      <w:r w:rsidRPr="00AB268E">
        <w:rPr>
          <w:rFonts w:ascii="Times New Roman" w:hAnsi="Times New Roman" w:cs="Times New Roman"/>
          <w:sz w:val="24"/>
          <w:szCs w:val="24"/>
          <w:lang w:val="en-US"/>
        </w:rPr>
        <w:t>hodgkin</w:t>
      </w:r>
      <w:proofErr w:type="spellEnd"/>
      <w:r w:rsidRPr="00AB268E">
        <w:rPr>
          <w:rFonts w:ascii="Times New Roman" w:hAnsi="Times New Roman" w:cs="Times New Roman"/>
          <w:sz w:val="24"/>
          <w:szCs w:val="24"/>
          <w:lang w:val="en-US"/>
        </w:rPr>
        <w:t xml:space="preserve"> lymphoma and other cancers, most especially in populations with high occupational exposure (</w:t>
      </w:r>
      <w:proofErr w:type="spellStart"/>
      <w:r w:rsidRPr="00AB268E">
        <w:rPr>
          <w:rFonts w:ascii="Times New Roman" w:hAnsi="Times New Roman" w:cs="Times New Roman"/>
          <w:sz w:val="24"/>
          <w:szCs w:val="24"/>
          <w:lang w:val="en-US"/>
        </w:rPr>
        <w:t>Roos</w:t>
      </w:r>
      <w:proofErr w:type="spellEnd"/>
      <w:r w:rsidRPr="00AB268E">
        <w:rPr>
          <w:rFonts w:ascii="Times New Roman" w:hAnsi="Times New Roman" w:cs="Times New Roman"/>
          <w:sz w:val="24"/>
          <w:szCs w:val="24"/>
          <w:lang w:val="en-US"/>
        </w:rPr>
        <w:t xml:space="preserve"> et al., 2021).</w:t>
      </w:r>
    </w:p>
    <w:p w14:paraId="4A4905CA"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 Occupational exposures: individuals who work in mining, construction, agriculture, and chemical industries occupationally exposed to carcinogenic materials such as asbestos, silica dust, </w:t>
      </w:r>
      <w:proofErr w:type="spellStart"/>
      <w:r w:rsidRPr="00AB268E">
        <w:rPr>
          <w:rFonts w:ascii="Times New Roman" w:hAnsi="Times New Roman" w:cs="Times New Roman"/>
          <w:sz w:val="24"/>
          <w:szCs w:val="24"/>
          <w:lang w:val="en-US"/>
        </w:rPr>
        <w:t>pahs</w:t>
      </w:r>
      <w:proofErr w:type="spellEnd"/>
      <w:r w:rsidRPr="00AB268E">
        <w:rPr>
          <w:rFonts w:ascii="Times New Roman" w:hAnsi="Times New Roman" w:cs="Times New Roman"/>
          <w:sz w:val="24"/>
          <w:szCs w:val="24"/>
          <w:lang w:val="en-US"/>
        </w:rPr>
        <w:t>, and solvents. This puts them at risk of cancer development. (</w:t>
      </w:r>
      <w:proofErr w:type="spellStart"/>
      <w:r w:rsidRPr="00AB268E">
        <w:rPr>
          <w:rFonts w:ascii="Times New Roman" w:hAnsi="Times New Roman" w:cs="Times New Roman"/>
          <w:sz w:val="24"/>
          <w:szCs w:val="24"/>
          <w:lang w:val="en-US"/>
        </w:rPr>
        <w:t>Manisalidis</w:t>
      </w:r>
      <w:proofErr w:type="spellEnd"/>
      <w:r w:rsidRPr="00AB268E">
        <w:rPr>
          <w:rFonts w:ascii="Times New Roman" w:hAnsi="Times New Roman" w:cs="Times New Roman"/>
          <w:sz w:val="24"/>
          <w:szCs w:val="24"/>
          <w:lang w:val="en-US"/>
        </w:rPr>
        <w:t xml:space="preserve"> et al., 2020)</w:t>
      </w:r>
    </w:p>
    <w:p w14:paraId="6E6FEC9F" w14:textId="1E4648B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2.</w:t>
      </w:r>
      <w:r w:rsidR="00AA70F8"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Global Cancer Trends Due to Environmental Carcinogenesis</w:t>
      </w:r>
    </w:p>
    <w:p w14:paraId="56D59296" w14:textId="204AA823"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Environmental carcinogenesis has contributed in shaping the pattern of global cancer leading to an increase in the cancer burden.  Exposure to environmental carcinogens such as</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pollutants, heavy metals, pesticides and radiation has increased due to industrialization, urbanization and climate change especially in underdeveloped countries</w:t>
      </w:r>
      <w:r w:rsidR="00A61BB6" w:rsidRPr="00AB268E">
        <w:rPr>
          <w:rFonts w:ascii="Times New Roman" w:hAnsi="Times New Roman" w:cs="Times New Roman"/>
          <w:sz w:val="24"/>
          <w:szCs w:val="24"/>
          <w:lang w:val="en-US"/>
        </w:rPr>
        <w:t xml:space="preserve"> </w:t>
      </w:r>
      <w:r w:rsidR="00A61BB6" w:rsidRPr="00AB268E">
        <w:rPr>
          <w:rFonts w:ascii="Times New Roman" w:hAnsi="Times New Roman" w:cs="Times New Roman"/>
          <w:sz w:val="24"/>
          <w:szCs w:val="24"/>
          <w:lang w:val="en-US"/>
        </w:rPr>
        <w:fldChar w:fldCharType="begin"/>
      </w:r>
      <w:r w:rsidR="00A61BB6" w:rsidRPr="00AB268E">
        <w:rPr>
          <w:rFonts w:ascii="Times New Roman" w:hAnsi="Times New Roman" w:cs="Times New Roman"/>
          <w:sz w:val="24"/>
          <w:szCs w:val="24"/>
          <w:lang w:val="en-US"/>
        </w:rPr>
        <w:instrText xml:space="preserve"> ADDIN ZOTERO_ITEM CSL_CITATION {"citationID":"LCldnCfD","properties":{"formattedCitation":"(Ochieng et al., 2015)","plainCitation":"(Ochieng et al., 2015)","noteIndex":0},"citationItems":[{"id":214,"uris":["http://zotero.org/users/17156871/items/GXGS469J"],"itemData":{"id":214,"type":"article-journal","abstract":"The purpose of this review is to stimulate new ideas regarding low-dose environmental mixtures and carcinogens and their potential to promote invasion and metastasis. Whereas a number of chapters in this review are devoted to the role of low-dose environmental mixtures and carcinogens in the promotion of invasion and metastasis in specific tumors such as breast and prostate, the overarching theme is the role of low-dose carcinogens in the progression of cancer stem cells. It is becoming clearer that cancer stem cells in a tumor are the ones that assume invasive properties and colonize distant organs. Therefore, low-dose contaminants that trigger epithelial–mesenchymal transition, for example, in these cells are of particular interest in this review. This we hope will lead to the collaboration between scientists who have dedicated their professional life to the study of carcinogens and those whose interests are exclusively in the arena of tissue invasion and metastasis.","container-title":"Carcinogenesis","DOI":"10.1093/carcin/bgv034","ISSN":"0143-3334","issue":"Suppl 1","journalAbbreviation":"Carcinogenesis","note":"PMID: 26106135\nPMCID: PMC4565611","page":"S128-S159","source":"PubMed Central","title":"The impact of low-dose carcinogens and environmental disruptors on tissue invasion and metastasis","volume":"36","author":[{"family":"Ochieng","given":"Josiah"},{"family":"Nangami","given":"Gladys N."},{"family":"Ogunkua","given":"Olugbemiga"},{"family":"Miousse","given":"Isabelle R."},{"family":"Koturbash","given":"Igor"},{"family":"Odero-Marah","given":"Valerie"},{"family":"McCawley","given":"Lisa"},{"family":"Nangia-Makker","given":"Pratima"},{"family":"Ahmed","given":"Nuzhat"},{"family":"Luqmani","given":"Yunus"},{"family":"Chen","given":"Zhenbang"},{"family":"Papagerakis","given":"Silvana"},{"family":"Wolf","given":"Gregory T."},{"family":"Dong","given":"Chenfang"},{"family":"Zhou","given":"Binhua P."},{"family":"Brown","given":"Dustin G."},{"family":"Colacci","given":"Annamaria"},{"family":"Hamid","given":"Roslida A."},{"family":"Mondello","given":"Chiara"},{"family":"Raju","given":"Jayadev"},{"family":"Ryan","given":"Elizabeth P."},{"family":"Woodrick","given":"Jordan"},{"family":"Scovassi","given":"Ivana"},{"family":"Singh","given":"Neetu"},{"family":"Vaccari","given":"Monica"},{"family":"Roy","given":"Rabindra"},{"family":"Forte","given":"Stefano"},{"family":"Memeo","given":"Lorenzo"},{"family":"Salem","given":"Hosni K."},{"family":"Amedei","given":"Amedeo"},{"family":"Al-Temaimi","given":"Rabeah"},{"family":"Al-Mulla","given":"Fahd"},{"family":"Bisson","given":"William H."},{"family":"Eltom","given":"Sakina E."}],"issued":{"date-parts":[["2015",6]]}}}],"schema":"https://github.com/citation-style-language/schema/raw/master/csl-citation.json"} </w:instrText>
      </w:r>
      <w:r w:rsidR="00A61BB6" w:rsidRPr="00AB268E">
        <w:rPr>
          <w:rFonts w:ascii="Times New Roman" w:hAnsi="Times New Roman" w:cs="Times New Roman"/>
          <w:sz w:val="24"/>
          <w:szCs w:val="24"/>
          <w:lang w:val="en-US"/>
        </w:rPr>
        <w:fldChar w:fldCharType="separate"/>
      </w:r>
      <w:r w:rsidR="00A61BB6" w:rsidRPr="00AB268E">
        <w:rPr>
          <w:rFonts w:ascii="Times New Roman" w:hAnsi="Times New Roman" w:cs="Times New Roman"/>
          <w:sz w:val="24"/>
          <w:szCs w:val="24"/>
        </w:rPr>
        <w:t>(Ochieng et al., 2015)</w:t>
      </w:r>
      <w:r w:rsidR="00A61BB6"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xml:space="preserve">. The world health organization stated that nearly one in five cancer deaths can be linked to environmental and occupational exposures worldwide. Studies have shown that there is an increase in the incidence of environmentally induced cancers in developing regions, where industrial growth is greater than the available regulatory control policies. For instance, </w:t>
      </w:r>
      <w:proofErr w:type="spellStart"/>
      <w:r w:rsidRPr="00AB268E">
        <w:rPr>
          <w:rFonts w:ascii="Times New Roman" w:hAnsi="Times New Roman" w:cs="Times New Roman"/>
          <w:sz w:val="24"/>
          <w:szCs w:val="24"/>
          <w:lang w:val="en-US"/>
        </w:rPr>
        <w:t>sub-</w:t>
      </w:r>
      <w:r w:rsidRPr="00AB268E">
        <w:rPr>
          <w:rFonts w:ascii="Times New Roman" w:hAnsi="Times New Roman" w:cs="Times New Roman"/>
          <w:sz w:val="24"/>
          <w:szCs w:val="24"/>
          <w:lang w:val="en-US"/>
        </w:rPr>
        <w:lastRenderedPageBreak/>
        <w:t>saharan</w:t>
      </w:r>
      <w:proofErr w:type="spellEnd"/>
      <w:r w:rsidRPr="00AB268E">
        <w:rPr>
          <w:rFonts w:ascii="Times New Roman" w:hAnsi="Times New Roman" w:cs="Times New Roman"/>
          <w:sz w:val="24"/>
          <w:szCs w:val="24"/>
          <w:lang w:val="en-US"/>
        </w:rPr>
        <w:t xml:space="preserve"> </w:t>
      </w:r>
      <w:proofErr w:type="spellStart"/>
      <w:r w:rsidRPr="00AB268E">
        <w:rPr>
          <w:rFonts w:ascii="Times New Roman" w:hAnsi="Times New Roman" w:cs="Times New Roman"/>
          <w:sz w:val="24"/>
          <w:szCs w:val="24"/>
          <w:lang w:val="en-US"/>
        </w:rPr>
        <w:t>africa</w:t>
      </w:r>
      <w:proofErr w:type="spellEnd"/>
      <w:r w:rsidRPr="00AB268E">
        <w:rPr>
          <w:rFonts w:ascii="Times New Roman" w:hAnsi="Times New Roman" w:cs="Times New Roman"/>
          <w:sz w:val="24"/>
          <w:szCs w:val="24"/>
          <w:lang w:val="en-US"/>
        </w:rPr>
        <w:t xml:space="preserve"> and south </w:t>
      </w:r>
      <w:proofErr w:type="spellStart"/>
      <w:r w:rsidRPr="00AB268E">
        <w:rPr>
          <w:rFonts w:ascii="Times New Roman" w:hAnsi="Times New Roman" w:cs="Times New Roman"/>
          <w:sz w:val="24"/>
          <w:szCs w:val="24"/>
          <w:lang w:val="en-US"/>
        </w:rPr>
        <w:t>asia</w:t>
      </w:r>
      <w:proofErr w:type="spellEnd"/>
      <w:r w:rsidRPr="00AB268E">
        <w:rPr>
          <w:rFonts w:ascii="Times New Roman" w:hAnsi="Times New Roman" w:cs="Times New Roman"/>
          <w:sz w:val="24"/>
          <w:szCs w:val="24"/>
          <w:lang w:val="en-US"/>
        </w:rPr>
        <w:t xml:space="preserve"> have experienced increased rates of liver and bladder cancers linked with aflatoxin-contaminated food and arsenic-laden drinking water, respectively</w:t>
      </w:r>
      <w:r w:rsidR="00133E61" w:rsidRPr="00AB268E">
        <w:rPr>
          <w:rFonts w:ascii="Times New Roman" w:hAnsi="Times New Roman" w:cs="Times New Roman"/>
          <w:sz w:val="24"/>
          <w:szCs w:val="24"/>
          <w:lang w:val="en-US"/>
        </w:rPr>
        <w:t xml:space="preserve"> </w:t>
      </w:r>
      <w:r w:rsidR="00133E61" w:rsidRPr="00AB268E">
        <w:rPr>
          <w:rFonts w:ascii="Times New Roman" w:hAnsi="Times New Roman" w:cs="Times New Roman"/>
          <w:sz w:val="24"/>
          <w:szCs w:val="24"/>
          <w:lang w:val="en-US"/>
        </w:rPr>
        <w:fldChar w:fldCharType="begin"/>
      </w:r>
      <w:r w:rsidR="00133E61" w:rsidRPr="00AB268E">
        <w:rPr>
          <w:rFonts w:ascii="Times New Roman" w:hAnsi="Times New Roman" w:cs="Times New Roman"/>
          <w:sz w:val="24"/>
          <w:szCs w:val="24"/>
          <w:lang w:val="en-US"/>
        </w:rPr>
        <w:instrText xml:space="preserve"> ADDIN ZOTERO_ITEM CSL_CITATION {"citationID":"6P27RuNu","properties":{"formattedCitation":"(Hashim &amp; Boffetta, 2014)","plainCitation":"(Hashim &amp; Boffetta, 2014)","noteIndex":0},"citationItems":[{"id":217,"uris":["http://zotero.org/users/17156871/items/GHYAHA6X"],"itemData":{"id":217,"type":"article-journal","abstract":"Background\nOver the past few decades, there has been a decline in cancers attributable to environmental and occupational carcinogens of asbestos, arsenic, and indoor and outdoor air pollution in high-income countries. For low- to middle-income countries (LMICs), however, these exposures are likely to increase as industrialization expands and populations grow.\nObjective\nThe aim of this study was to review the evidence on the cancer risks and burdens of selected environmental and occupational exposures in less-developed economies.\nFindings\nA causal association has been established between asbestos exposure and mesothelioma and lung cancer. For arsenic exposure, there is strong evidence of bladder, skin, lung, liver, and kidney cancer effects. Women are at the highest risk for lung cancer due to indoor air pollution exposure; however, the carcinogenic effect on the risk for cancer in children has not been studied in these countries. Cancer risks associated with ambient air pollution remain the least studied in LMICs, although reported exposures are higher than World Health Organization, European, and US standards. Although some associations between lung cancer and ambient air pollutants have been reported, studies in LMICs are weak or subject to exposure misclassification. For pulmonary cancers, tobacco smoking and respiratory diseases have a positive synergistic effect on cancer risks.\nConclusions\nA precise quantification of the burden of human cancer attributable to environmental and occupational exposures in LMICs is uncertain. Although the prevalence of carcinogenic exposures has been reported to be high in many such countries, the effects of the exposures have not been studied due to varying country-specific limitations, some of which include lack of resources and government support.","collection-title":"A Global Perspective on Cancer Burden","container-title":"Annals of Global Health","DOI":"10.1016/j.aogh.2014.10.002","ISSN":"2214-9996","issue":"5","journalAbbreviation":"Annals of Global Health","page":"393-411","source":"ScienceDirect","title":"Occupational and Environmental Exposures and Cancers in Developing Countries","volume":"80","author":[{"family":"Hashim","given":"Dana"},{"family":"Boffetta","given":"Paolo"}],"issued":{"date-parts":[["2014",9,1]]}}}],"schema":"https://github.com/citation-style-language/schema/raw/master/csl-citation.json"} </w:instrText>
      </w:r>
      <w:r w:rsidR="00133E61" w:rsidRPr="00AB268E">
        <w:rPr>
          <w:rFonts w:ascii="Times New Roman" w:hAnsi="Times New Roman" w:cs="Times New Roman"/>
          <w:sz w:val="24"/>
          <w:szCs w:val="24"/>
          <w:lang w:val="en-US"/>
        </w:rPr>
        <w:fldChar w:fldCharType="separate"/>
      </w:r>
      <w:r w:rsidR="00133E61" w:rsidRPr="00AB268E">
        <w:rPr>
          <w:rFonts w:ascii="Times New Roman" w:hAnsi="Times New Roman" w:cs="Times New Roman"/>
          <w:sz w:val="24"/>
          <w:szCs w:val="24"/>
        </w:rPr>
        <w:t>(Hashim &amp; Boffetta, 2014)</w:t>
      </w:r>
      <w:r w:rsidR="00133E61"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Meanwhile, in developed countries there is a decline in the incidence of cancer mortality due to timely detection and environmental regulation. This inequality underscored the interface between environmental injustice and cancer epidemiology. Underprivileged populations face a dual burden: increased exposure to carcinogen and lack of healthcare infrastructure for prevention and treatment. To reduce the effect, global cancer control strategies must integrate environmental monitoring, public health interventions and policies checkmating pollution and occupational hazards</w:t>
      </w:r>
      <w:r w:rsidR="00FB327F" w:rsidRPr="00AB268E">
        <w:rPr>
          <w:rFonts w:ascii="Times New Roman" w:hAnsi="Times New Roman" w:cs="Times New Roman"/>
          <w:sz w:val="24"/>
          <w:szCs w:val="24"/>
          <w:lang w:val="en-US"/>
        </w:rPr>
        <w:fldChar w:fldCharType="begin"/>
      </w:r>
      <w:r w:rsidR="00FB327F" w:rsidRPr="00AB268E">
        <w:rPr>
          <w:rFonts w:ascii="Times New Roman" w:hAnsi="Times New Roman" w:cs="Times New Roman"/>
          <w:sz w:val="24"/>
          <w:szCs w:val="24"/>
          <w:lang w:val="en-US"/>
        </w:rPr>
        <w:instrText xml:space="preserve"> ADDIN ZOTERO_ITEM CSL_CITATION {"citationID":"7vSxpRT4","properties":{"formattedCitation":"(Arnold et al., 2016)","plainCitation":"(Arnold et al., 2016)","noteIndex":0},"citationItems":[{"id":219,"uris":["http://zotero.org/users/17156871/items/5U9DMKNQ"],"itemData":{"id":219,"type":"article-journal","abstract":"PURPOSE: Inequalities in the burden of cancer have been well documented, and a variety of measures exist to analyse disease disparities. While previous studies have focused on inequalities within countries, the aim of the present study was to quantify existing inequalities in cancer incidence and mortality between countries.\nMETHODS: Data on total and site-specific cancer incidence and mortality in 2003-2007 were obtained for 43 countries with medium-to-high levels of human development via Cancer Incidence in Five Continents Vol. X and the WHO Mortality Database. We calculated the concentration index as a summary measure of socioeconomic-related inequality between countries.\nRESULTS: Inequalities in cancer burden differed markedly by site; the concentration index for all sites combined was 0.03 for incidence and 0.02 for mortality, pointing towards a slightly higher burden in countries with higher levels of the human development index (HDI). For both incidence and mortality, this pattern was most pronounced for melanoma. In contrast, the burden of cervical cancer was disproportionally high in countries with lower HDI levels. Prostate, lung and breast cancer contributed most to inequalities in overall cancer incidence in countries with higher HDI levels, while for mortality these were mostly driven by lung cancer in higher HDI countries and stomach cancer in countries with lower HDI levels.\nCONCLUSION: Global inequalities in the burden of cancer remain evident at the beginning of the twenty-first century: with a disproportionate burden of lifestyle-related cancers in countries classified as high HDI, while infection-related cancers continue to predominate in transitioning countries with lower levels of HDI.","container-title":"Cancer causes &amp; control: CCC","DOI":"10.1007/s10552-016-0777-7","ISSN":"1573-7225","issue":"8","journalAbbreviation":"Cancer Causes Control","language":"eng","note":"PMID: 27329211","page":"999-1007","source":"PubMed","title":"Inequalities in cancer incidence and mortality across medium to highly developed countries in the twenty-first century","volume":"27","author":[{"family":"Arnold","given":"Melina"},{"family":"Rentería","given":"Elisenda"},{"family":"Conway","given":"David I."},{"family":"Bray","given":"Freddie"},{"family":"Van Ourti","given":"Tom"},{"family":"Soerjomataram","given":"Isabelle"}],"issued":{"date-parts":[["2016",8]]}}}],"schema":"https://github.com/citation-style-language/schema/raw/master/csl-citation.json"} </w:instrText>
      </w:r>
      <w:r w:rsidR="00FB327F" w:rsidRPr="00AB268E">
        <w:rPr>
          <w:rFonts w:ascii="Times New Roman" w:hAnsi="Times New Roman" w:cs="Times New Roman"/>
          <w:sz w:val="24"/>
          <w:szCs w:val="24"/>
          <w:lang w:val="en-US"/>
        </w:rPr>
        <w:fldChar w:fldCharType="separate"/>
      </w:r>
      <w:r w:rsidR="00FB327F" w:rsidRPr="00AB268E">
        <w:rPr>
          <w:rFonts w:ascii="Times New Roman" w:hAnsi="Times New Roman" w:cs="Times New Roman"/>
          <w:sz w:val="24"/>
          <w:szCs w:val="24"/>
        </w:rPr>
        <w:t>(Arnold et al., 2016)</w:t>
      </w:r>
      <w:r w:rsidR="00FB327F"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Without a strategic initiative, cancers driven by environmental factors will continue to rise and increase the gap in cancer outcomes in vulnerable regions</w:t>
      </w:r>
      <w:r w:rsidR="008343A7" w:rsidRPr="00AB268E">
        <w:rPr>
          <w:rFonts w:ascii="Times New Roman" w:hAnsi="Times New Roman" w:cs="Times New Roman"/>
          <w:sz w:val="24"/>
          <w:szCs w:val="24"/>
          <w:lang w:val="en-US"/>
        </w:rPr>
        <w:t xml:space="preserve"> </w:t>
      </w:r>
      <w:r w:rsidR="008343A7" w:rsidRPr="00AB268E">
        <w:rPr>
          <w:rFonts w:ascii="Times New Roman" w:hAnsi="Times New Roman" w:cs="Times New Roman"/>
          <w:sz w:val="24"/>
          <w:szCs w:val="24"/>
          <w:lang w:val="en-US"/>
        </w:rPr>
        <w:fldChar w:fldCharType="begin"/>
      </w:r>
      <w:r w:rsidR="008343A7" w:rsidRPr="00AB268E">
        <w:rPr>
          <w:rFonts w:ascii="Times New Roman" w:hAnsi="Times New Roman" w:cs="Times New Roman"/>
          <w:sz w:val="24"/>
          <w:szCs w:val="24"/>
          <w:lang w:val="en-US"/>
        </w:rPr>
        <w:instrText xml:space="preserve"> ADDIN ZOTERO_ITEM CSL_CITATION {"citationID":"hXIGXH6s","properties":{"formattedCitation":"(Omotoso et al., 2023)","plainCitation":"(Omotoso et al., 2023)","noteIndex":0},"citationItems":[{"id":222,"uris":["http://zotero.org/users/17156871/items/C4TUUILU"],"itemData":{"id":222,"type":"article-journal","abstract":"Introduction\nCancer is a significant public health challenge globally, with nearly 2000 lives lost daily in Africa alone. Without adequate measures, mortality rates are likely to increase. The major challenge for cancer care in Africa is equity and prioritization, as cancer is not receiving adequate attention from policy-makers and strategic stakeholders in the healthcare space. This neglect is affecting the three primary tiers of cancer care: prevention, diagnosis, and treatment/management. To promote cancer care equity, addressing issues of equity and prioritization is crucial to ensure that everyone has an equal chance at cancer prevention, early detection, and appropriate care and follow-up treatment.\n\nMethodology\nUsing available literature, we provide an overview of the current state of cancer care in Africa and recommendations to close the gap.\n\nResults\nWe highlight several factors that contribute to cancer care inequity in Africa, including inadequate funding for cancer research, poor cancer education or awareness, inadequate screening or diagnostic facilities, lack of a well-organized and effective cancer registry system and access to care, shortage of specialized medical staff, high costs for screening, vaccination, and treatment, lack of technical capacity, poor vaccination response, and/or late presentation of patients for cancer screening. We also provide recommendations to address some of these obstacles to achieving cancer care equity. Our recommendations are divided into national-level initiatives and capacity-based initiatives, including cancer health promotion and awareness by healthcare professionals during every hospital visit, encouraging screening and vaccine uptake, ensuring operational regional and national cancer registries, improving healthcare budgeting for staff, equipment, and facilities, building expertise through specialty training, funding for cancer research, providing insurance coverage for cancer care, and implementing mobile health technology for telemedicine diagnosis.\n\nConclusion\nAddressing challenges to cancer equity holistically would improve the likelihood of longer survival for cancer patients, lower the risk factors for groups that are already at risk, and ensure equitable access to cancer care on the continent. This study identifies the existing stance that African nations have on equity in cancer care, outlines the current constraints, and provides suggestions that could make the biggest difference in attaining equity in cancer care.\n\nSupplementary Information\nThe online version contains supplementary material available at 10.1186/s12939-023-01962-y.","container-title":"International Journal for Equity in Health","DOI":"10.1186/s12939-023-01962-y","ISSN":"1475-9276","journalAbbreviation":"Int J Equity Health","note":"PMID: 37697315\nPMCID: PMC10496173","page":"189","source":"PubMed Central","title":"Addressing cancer care inequities in sub-Saharan Africa: current challenges and proposed solutions","title-short":"Addressing cancer care inequities in sub-Saharan Africa","volume":"22","author":[{"family":"Omotoso","given":"Olabode"},{"family":"Teibo","given":"John Oluwafemi"},{"family":"Atiba","given":"Festus Adebayo"},{"family":"Oladimeji","given":"Tolulope"},{"family":"Paimo","given":"Oluwatomiwa Kehinde"},{"family":"Ataya","given":"Farid S."},{"family":"Batiha","given":"Gaber El-Saber"},{"family":"Alexiou","given":"Athanasios"}],"issued":{"date-parts":[["2023",9,11]]}}}],"schema":"https://github.com/citation-style-language/schema/raw/master/csl-citation.json"} </w:instrText>
      </w:r>
      <w:r w:rsidR="008343A7" w:rsidRPr="00AB268E">
        <w:rPr>
          <w:rFonts w:ascii="Times New Roman" w:hAnsi="Times New Roman" w:cs="Times New Roman"/>
          <w:sz w:val="24"/>
          <w:szCs w:val="24"/>
          <w:lang w:val="en-US"/>
        </w:rPr>
        <w:fldChar w:fldCharType="separate"/>
      </w:r>
      <w:r w:rsidR="008343A7" w:rsidRPr="00AB268E">
        <w:rPr>
          <w:rFonts w:ascii="Times New Roman" w:hAnsi="Times New Roman" w:cs="Times New Roman"/>
          <w:sz w:val="24"/>
          <w:szCs w:val="24"/>
        </w:rPr>
        <w:t>(Omotoso et al., 2023)</w:t>
      </w:r>
      <w:r w:rsidR="008343A7"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5A656406" w14:textId="5F85A2C9"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3</w:t>
      </w:r>
      <w:r w:rsidR="00AA70F8" w:rsidRPr="00AB268E">
        <w:rPr>
          <w:rFonts w:ascii="Times New Roman" w:hAnsi="Times New Roman" w:cs="Times New Roman"/>
          <w:sz w:val="24"/>
          <w:szCs w:val="24"/>
          <w:lang w:val="en-US"/>
        </w:rPr>
        <w:t>.0</w:t>
      </w:r>
      <w:r w:rsidRPr="00AB268E">
        <w:rPr>
          <w:rFonts w:ascii="Times New Roman" w:hAnsi="Times New Roman" w:cs="Times New Roman"/>
          <w:sz w:val="24"/>
          <w:szCs w:val="24"/>
          <w:lang w:val="en-US"/>
        </w:rPr>
        <w:t xml:space="preserve"> Mechanism of carcinogenesis</w:t>
      </w:r>
    </w:p>
    <w:p w14:paraId="7EBB2AB8"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 Genotoxic vs. Non-genotoxic Carcinogens</w:t>
      </w:r>
    </w:p>
    <w:p w14:paraId="13FCE0C5" w14:textId="44BBF394" w:rsidR="00FD0A4D"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Based on the mechanism of carcinogenesis, carcinogens are broadly classified into genotoxic and non-genotoxic. Genotoxic carcinogens influence direct damage to</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which would ultimately lead mutations interfering with normal cell cycle regulation. Benzene, aflatoxins B1 and polycyclic aromatic hydrocarbons (PAHs) bind with</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to form adducts, leading to point mutations, insertions or chromosomal aberrations</w:t>
      </w:r>
      <w:r w:rsidR="00DE74E6" w:rsidRPr="00AB268E">
        <w:rPr>
          <w:rFonts w:ascii="Times New Roman" w:hAnsi="Times New Roman" w:cs="Times New Roman"/>
          <w:sz w:val="24"/>
          <w:szCs w:val="24"/>
          <w:lang w:val="en-US"/>
        </w:rPr>
        <w:t xml:space="preserve"> </w:t>
      </w:r>
      <w:r w:rsidR="00DE74E6" w:rsidRPr="00AB268E">
        <w:rPr>
          <w:rFonts w:ascii="Times New Roman" w:hAnsi="Times New Roman" w:cs="Times New Roman"/>
          <w:sz w:val="24"/>
          <w:szCs w:val="24"/>
          <w:lang w:val="en-US"/>
        </w:rPr>
        <w:fldChar w:fldCharType="begin"/>
      </w:r>
      <w:r w:rsidR="00DE74E6" w:rsidRPr="00AB268E">
        <w:rPr>
          <w:rFonts w:ascii="Times New Roman" w:hAnsi="Times New Roman" w:cs="Times New Roman"/>
          <w:sz w:val="24"/>
          <w:szCs w:val="24"/>
          <w:lang w:val="en-US"/>
        </w:rPr>
        <w:instrText xml:space="preserve"> ADDIN ZOTERO_ITEM CSL_CITATION {"citationID":"yetqnsnG","properties":{"formattedCitation":"(Hartwig et al., 2020)","plainCitation":"(Hartwig et al., 2020)","noteIndex":0},"citationItems":[{"id":225,"uris":["http://zotero.org/users/17156871/items/QITFLTKV"],"itemData":{"id":225,"type":"article-journal","abstract":"The risk assessment of chemical carcinogens is one major task in toxicology. Even though exposure has been mitigated effectively during the last decades, low levels of carcinogenic substances in food and at the workplace are still present and often not completely avoidable. The distinction between genotoxic and non-genotoxic carcinogens has traditionally been regarded as particularly relevant for risk assessment, with the assumption of the existence of no-effect concentrations (threshold levels) in case of the latter group. In contrast, genotoxic carcinogens, their metabolic precursors and DNA reactive metabolites are considered to represent risk factors at all concentrations since even one or a few DNA lesions may in principle result in mutations and, thus, increase tumour risk. Within the current document, an updated risk evaluation for genotoxic carcinogens is proposed, based on mechanistic knowledge regarding the substance (group) under investigation, and taking into account recent improvements in analytical techniques used to quantify DNA lesions and mutations as well as “omics” approaches. Furthermore, wherever possible and appropriate, special attention is given to the integration of background levels of the same or comparable DNA lesions. Within part A, fundamental considerations highlight the terms hazard and risk with respect to DNA reactivity of genotoxic agents, as compared to non-genotoxic agents. Also, current methodologies used in genetic toxicology as well as in dosimetry of exposure are described. Special focus is given on the elucidation of modes of action (MOA) and on the relation between DNA damage and cancer risk. Part B addresses specific examples of genotoxic carcinogens, including those humans are exposed to exogenously and endogenously, such as formaldehyde, acetaldehyde and the corresponding alcohols as well as some alkylating agents, ethylene oxide, and acrylamide, but also examples resulting from exogenous sources like aflatoxin B1, allylalkoxybenzenes, 2-amino-3,8-dimethylimidazo[4,5-f] quinoxaline (MeIQx), benzo[a]pyrene and pyrrolizidine alkaloids. Additionally, special attention is given to some carcinogenic metal compounds, which are considered indirect genotoxins, by accelerating mutagenicity via interactions with the cellular response to DNA damage even at low exposure conditions. Part C finally encompasses conclusions and perspectives, suggesting a refined strategy for the assessment of the carcinogenic risk associated with an exposure to genotoxic compounds and addressing research needs.","container-title":"Archives of Toxicology","DOI":"10.1007/s00204-020-02733-2","ISSN":"0340-5761","issue":"6","journalAbbreviation":"Arch Toxicol","note":"PMID: 32542409\nPMCID: PMC7303094","page":"1787-1877","source":"PubMed Central","title":"Mode of action-based risk assessment of genotoxic carcinogens","volume":"94","author":[{"family":"Hartwig","given":"Andrea"},{"family":"Arand","given":"Michael"},{"family":"Epe","given":"Bernd"},{"family":"Guth","given":"Sabine"},{"family":"Jahnke","given":"Gunnar"},{"family":"Lampen","given":"Alfonso"},{"family":"Martus","given":"Hans-Jörg"},{"family":"Monien","given":"Bernhard"},{"family":"Rietjens","given":"Ivonne M. C. M."},{"family":"Schmitz-Spanke","given":"Simone"},{"family":"Schriever-Schwemmer","given":"Gerlinde"},{"family":"Steinberg","given":"Pablo"},{"family":"Eisenbrand","given":"Gerhard"}],"issued":{"date-parts":[["2020"]]}}}],"schema":"https://github.com/citation-style-language/schema/raw/master/csl-citation.json"} </w:instrText>
      </w:r>
      <w:r w:rsidR="00DE74E6" w:rsidRPr="00AB268E">
        <w:rPr>
          <w:rFonts w:ascii="Times New Roman" w:hAnsi="Times New Roman" w:cs="Times New Roman"/>
          <w:sz w:val="24"/>
          <w:szCs w:val="24"/>
          <w:lang w:val="en-US"/>
        </w:rPr>
        <w:fldChar w:fldCharType="separate"/>
      </w:r>
      <w:r w:rsidR="00DE74E6" w:rsidRPr="00AB268E">
        <w:rPr>
          <w:rFonts w:ascii="Times New Roman" w:hAnsi="Times New Roman" w:cs="Times New Roman"/>
          <w:sz w:val="24"/>
          <w:szCs w:val="24"/>
        </w:rPr>
        <w:t>(Hartwig et al., 2020)</w:t>
      </w:r>
      <w:r w:rsidR="00DE74E6"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xml:space="preserve">. </w:t>
      </w:r>
      <w:r w:rsidR="00163DFD" w:rsidRPr="00AB268E">
        <w:rPr>
          <w:rFonts w:ascii="Times New Roman" w:hAnsi="Times New Roman" w:cs="Times New Roman"/>
          <w:sz w:val="24"/>
          <w:szCs w:val="24"/>
          <w:lang w:val="en-US"/>
        </w:rPr>
        <w:t>Based on the mechanism of carcinogenesis, carcinogens are broadly classified into genotoxic and non-genotoxic. Genotoxic carcinogens influence direct damage to</w:t>
      </w:r>
      <w:r w:rsidR="00AB268E">
        <w:rPr>
          <w:rFonts w:ascii="Times New Roman" w:hAnsi="Times New Roman" w:cs="Times New Roman"/>
          <w:sz w:val="24"/>
          <w:szCs w:val="24"/>
          <w:lang w:val="en-US"/>
        </w:rPr>
        <w:t xml:space="preserve">   DNA</w:t>
      </w:r>
      <w:r w:rsidR="00163DFD" w:rsidRPr="00AB268E">
        <w:rPr>
          <w:rFonts w:ascii="Times New Roman" w:hAnsi="Times New Roman" w:cs="Times New Roman"/>
          <w:sz w:val="24"/>
          <w:szCs w:val="24"/>
          <w:lang w:val="en-US"/>
        </w:rPr>
        <w:t xml:space="preserve">, which would ultimately lead mutations interfering with normal cell cycle regulation </w:t>
      </w:r>
      <w:r w:rsidR="00163DFD" w:rsidRPr="00AB268E">
        <w:rPr>
          <w:rFonts w:ascii="Times New Roman" w:hAnsi="Times New Roman" w:cs="Times New Roman"/>
          <w:sz w:val="24"/>
          <w:szCs w:val="24"/>
          <w:lang w:val="en-US"/>
        </w:rPr>
        <w:fldChar w:fldCharType="begin"/>
      </w:r>
      <w:r w:rsidR="00163DFD" w:rsidRPr="00AB268E">
        <w:rPr>
          <w:rFonts w:ascii="Times New Roman" w:hAnsi="Times New Roman" w:cs="Times New Roman"/>
          <w:sz w:val="24"/>
          <w:szCs w:val="24"/>
          <w:lang w:val="en-US"/>
        </w:rPr>
        <w:instrText xml:space="preserve"> ADDIN ZOTERO_ITEM CSL_CITATION {"citationID":"JXbloWqA","properties":{"formattedCitation":"(Hartwig et al., 2020)","plainCitation":"(Hartwig et al., 2020)","noteIndex":0},"citationItems":[{"id":225,"uris":["http://zotero.org/users/17156871/items/QITFLTKV"],"itemData":{"id":225,"type":"article-journal","abstract":"The risk assessment of chemical carcinogens is one major task in toxicology. Even though exposure has been mitigated effectively during the last decades, low levels of carcinogenic substances in food and at the workplace are still present and often not completely avoidable. The distinction between genotoxic and non-genotoxic carcinogens has traditionally been regarded as particularly relevant for risk assessment, with the assumption of the existence of no-effect concentrations (threshold levels) in case of the latter group. In contrast, genotoxic carcinogens, their metabolic precursors and DNA reactive metabolites are considered to represent risk factors at all concentrations since even one or a few DNA lesions may in principle result in mutations and, thus, increase tumour risk. Within the current document, an updated risk evaluation for genotoxic carcinogens is proposed, based on mechanistic knowledge regarding the substance (group) under investigation, and taking into account recent improvements in analytical techniques used to quantify DNA lesions and mutations as well as “omics” approaches. Furthermore, wherever possible and appropriate, special attention is given to the integration of background levels of the same or comparable DNA lesions. Within part A, fundamental considerations highlight the terms hazard and risk with respect to DNA reactivity of genotoxic agents, as compared to non-genotoxic agents. Also, current methodologies used in genetic toxicology as well as in dosimetry of exposure are described. Special focus is given on the elucidation of modes of action (MOA) and on the relation between DNA damage and cancer risk. Part B addresses specific examples of genotoxic carcinogens, including those humans are exposed to exogenously and endogenously, such as formaldehyde, acetaldehyde and the corresponding alcohols as well as some alkylating agents, ethylene oxide, and acrylamide, but also examples resulting from exogenous sources like aflatoxin B1, allylalkoxybenzenes, 2-amino-3,8-dimethylimidazo[4,5-f] quinoxaline (MeIQx), benzo[a]pyrene and pyrrolizidine alkaloids. Additionally, special attention is given to some carcinogenic metal compounds, which are considered indirect genotoxins, by accelerating mutagenicity via interactions with the cellular response to DNA damage even at low exposure conditions. Part C finally encompasses conclusions and perspectives, suggesting a refined strategy for the assessment of the carcinogenic risk associated with an exposure to genotoxic compounds and addressing research needs.","container-title":"Archives of Toxicology","DOI":"10.1007/s00204-020-02733-2","ISSN":"0340-5761","issue":"6","journalAbbreviation":"Arch Toxicol","note":"PMID: 32542409\nPMCID: PMC7303094","page":"1787-1877","source":"PubMed Central","title":"Mode of action-based risk assessment of genotoxic carcinogens","volume":"94","author":[{"family":"Hartwig","given":"Andrea"},{"family":"Arand","given":"Michael"},{"family":"Epe","given":"Bernd"},{"family":"Guth","given":"Sabine"},{"family":"Jahnke","given":"Gunnar"},{"family":"Lampen","given":"Alfonso"},{"family":"Martus","given":"Hans-Jörg"},{"family":"Monien","given":"Bernhard"},{"family":"Rietjens","given":"Ivonne M. C. M."},{"family":"Schmitz-Spanke","given":"Simone"},{"family":"Schriever-Schwemmer","given":"Gerlinde"},{"family":"Steinberg","given":"Pablo"},{"family":"Eisenbrand","given":"Gerhard"}],"issued":{"date-parts":[["2020"]]}}}],"schema":"https://github.com/citation-style-language/schema/raw/master/csl-citation.json"} </w:instrText>
      </w:r>
      <w:r w:rsidR="00163DFD" w:rsidRPr="00AB268E">
        <w:rPr>
          <w:rFonts w:ascii="Times New Roman" w:hAnsi="Times New Roman" w:cs="Times New Roman"/>
          <w:sz w:val="24"/>
          <w:szCs w:val="24"/>
          <w:lang w:val="en-US"/>
        </w:rPr>
        <w:fldChar w:fldCharType="separate"/>
      </w:r>
      <w:r w:rsidR="00163DFD" w:rsidRPr="00AB268E">
        <w:rPr>
          <w:rFonts w:ascii="Times New Roman" w:hAnsi="Times New Roman" w:cs="Times New Roman"/>
          <w:sz w:val="24"/>
          <w:szCs w:val="24"/>
        </w:rPr>
        <w:t>(Hartwig et al., 2020)</w:t>
      </w:r>
      <w:r w:rsidR="00163DFD" w:rsidRPr="00AB268E">
        <w:rPr>
          <w:rFonts w:ascii="Times New Roman" w:hAnsi="Times New Roman" w:cs="Times New Roman"/>
          <w:sz w:val="24"/>
          <w:szCs w:val="24"/>
          <w:lang w:val="en-US"/>
        </w:rPr>
        <w:fldChar w:fldCharType="end"/>
      </w:r>
      <w:r w:rsidR="00163DFD" w:rsidRPr="00AB268E">
        <w:rPr>
          <w:rFonts w:ascii="Times New Roman" w:hAnsi="Times New Roman" w:cs="Times New Roman"/>
          <w:sz w:val="24"/>
          <w:szCs w:val="24"/>
          <w:lang w:val="en-US"/>
        </w:rPr>
        <w:t>. Benzene, aflatoxins B1 and polycyclic aromatic hydrocarbons (PAHs) bind with</w:t>
      </w:r>
      <w:r w:rsidR="00AB268E">
        <w:rPr>
          <w:rFonts w:ascii="Times New Roman" w:hAnsi="Times New Roman" w:cs="Times New Roman"/>
          <w:sz w:val="24"/>
          <w:szCs w:val="24"/>
          <w:lang w:val="en-US"/>
        </w:rPr>
        <w:t xml:space="preserve">   DNA</w:t>
      </w:r>
      <w:r w:rsidR="00163DFD" w:rsidRPr="00AB268E">
        <w:rPr>
          <w:rFonts w:ascii="Times New Roman" w:hAnsi="Times New Roman" w:cs="Times New Roman"/>
          <w:sz w:val="24"/>
          <w:szCs w:val="24"/>
          <w:lang w:val="en-US"/>
        </w:rPr>
        <w:t xml:space="preserve"> to form adducts, leading to point mutations, insertions or chromosomal </w:t>
      </w:r>
      <w:proofErr w:type="spellStart"/>
      <w:r w:rsidR="00163DFD" w:rsidRPr="00AB268E">
        <w:rPr>
          <w:rFonts w:ascii="Times New Roman" w:hAnsi="Times New Roman" w:cs="Times New Roman"/>
          <w:sz w:val="24"/>
          <w:szCs w:val="24"/>
          <w:lang w:val="en-US"/>
        </w:rPr>
        <w:t>aberrations</w:t>
      </w:r>
      <w:r w:rsidRPr="00AB268E">
        <w:rPr>
          <w:rFonts w:ascii="Times New Roman" w:hAnsi="Times New Roman" w:cs="Times New Roman"/>
          <w:sz w:val="24"/>
          <w:szCs w:val="24"/>
          <w:lang w:val="en-US"/>
        </w:rPr>
        <w:t>Cell</w:t>
      </w:r>
      <w:proofErr w:type="spellEnd"/>
      <w:r w:rsidRPr="00AB268E">
        <w:rPr>
          <w:rFonts w:ascii="Times New Roman" w:hAnsi="Times New Roman" w:cs="Times New Roman"/>
          <w:sz w:val="24"/>
          <w:szCs w:val="24"/>
          <w:lang w:val="en-US"/>
        </w:rPr>
        <w:t xml:space="preserve"> signaling pathways may be altered by these agents and they may also promote epigenetic reprogramming or increase their susceptibility to other genotoxic agents</w:t>
      </w:r>
      <w:r w:rsidR="00BF66A6" w:rsidRPr="00AB268E">
        <w:rPr>
          <w:rFonts w:ascii="Times New Roman" w:hAnsi="Times New Roman" w:cs="Times New Roman"/>
          <w:sz w:val="24"/>
          <w:szCs w:val="24"/>
          <w:lang w:val="en-US"/>
        </w:rPr>
        <w:fldChar w:fldCharType="begin"/>
      </w:r>
      <w:r w:rsidR="00BF66A6" w:rsidRPr="00AB268E">
        <w:rPr>
          <w:rFonts w:ascii="Times New Roman" w:hAnsi="Times New Roman" w:cs="Times New Roman"/>
          <w:sz w:val="24"/>
          <w:szCs w:val="24"/>
          <w:lang w:val="en-US"/>
        </w:rPr>
        <w:instrText xml:space="preserve"> ADDIN ZOTERO_ITEM CSL_CITATION {"citationID":"YwN2Rcp7","properties":{"formattedCitation":"(Chatterjee &amp; Walker, 2017)","plainCitation":"(Chatterjee &amp; Walker, 2017)","noteIndex":0},"citationItems":[{"id":178,"uris":["http://zotero.org/users/17156871/items/Q8DZ7ZXC"],"itemData":{"id":178,"type":"article-journal","abstract":"Living organisms are continuously exposed to a myriad of DNA damaging agents that can impact health and modulate disease-states. However, robust DNA repair and damage-bypass mechanisms faithfully protect the DNA by either removing or tolerating the ...","container-title":"Environmental and molecular mutagenesis","DOI":"10.1002/em.22087","issue":"5","language":"en","note":"PMID: 28485537","page":"235","source":"pmc.ncbi.nlm.nih.gov","title":"Mechanisms of DNA damage, repair and mutagenesis","volume":"58","author":[{"family":"Chatterjee","given":"Nimrat"},{"family":"Walker","given":"Graham C."}],"issued":{"date-parts":[["2017",5,9]]}}}],"schema":"https://github.com/citation-style-language/schema/raw/master/csl-citation.json"} </w:instrText>
      </w:r>
      <w:r w:rsidR="00BF66A6" w:rsidRPr="00AB268E">
        <w:rPr>
          <w:rFonts w:ascii="Times New Roman" w:hAnsi="Times New Roman" w:cs="Times New Roman"/>
          <w:sz w:val="24"/>
          <w:szCs w:val="24"/>
          <w:lang w:val="en-US"/>
        </w:rPr>
        <w:fldChar w:fldCharType="separate"/>
      </w:r>
      <w:r w:rsidR="0030685F" w:rsidRPr="00AB268E">
        <w:rPr>
          <w:rFonts w:ascii="Times New Roman" w:hAnsi="Times New Roman" w:cs="Times New Roman"/>
          <w:sz w:val="24"/>
          <w:szCs w:val="24"/>
        </w:rPr>
        <w:t>(Chatterjee &amp; Walker, 2017)</w:t>
      </w:r>
      <w:r w:rsidR="00BF66A6"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Despite the fact that they do not cause direct damage like the genotoxic agents, they contribute to tumorigenesis by making the tissue microenvironment conducive for malignant transformation</w:t>
      </w:r>
      <w:r w:rsidR="00886F7A" w:rsidRPr="00AB268E">
        <w:rPr>
          <w:rFonts w:ascii="Times New Roman" w:hAnsi="Times New Roman" w:cs="Times New Roman"/>
          <w:sz w:val="24"/>
          <w:szCs w:val="24"/>
          <w:lang w:val="en-US"/>
        </w:rPr>
        <w:fldChar w:fldCharType="begin"/>
      </w:r>
      <w:r w:rsidR="00886F7A" w:rsidRPr="00AB268E">
        <w:rPr>
          <w:rFonts w:ascii="Times New Roman" w:hAnsi="Times New Roman" w:cs="Times New Roman"/>
          <w:sz w:val="24"/>
          <w:szCs w:val="24"/>
          <w:lang w:val="en-US"/>
        </w:rPr>
        <w:instrText xml:space="preserve"> ADDIN ZOTERO_ITEM CSL_CITATION {"citationID":"rIYQJx6P","properties":{"formattedCitation":"(Correia &amp; Bissell, 2012)","plainCitation":"(Correia &amp; Bissell, 2012)","noteIndex":0},"citationItems":[{"id":228,"uris":["http://zotero.org/users/17156871/items/XQ6ILGR6"],"itemData":{"id":228,"type":"article-journal","abstract":"The emergence of clinical drug resistance is still one of the most challenging factors in cancer treatment effectiveness. Until more recently, the assumption has been that random genetic lesions are sufficient to explain the progression of malignancy and escape from chemotherapy. Here we propose an additional perspective, one in which the tumor cells despite the malignant genome could find a microenvironment either within the tumor or as a dormant cell to remain polar and blend into an organized context. Targeting this dynamic interplay could be considered a new avenue to prevent therapeutic resistance, and may even provide a promising effective cancer treatment.","container-title":"Drug resistance updates : reviews and commentaries in antimicrobial and anticancer chemotherapy","DOI":"10.1016/j.drup.2012.01.006","ISSN":"1368-7646","issue":"0","journalAbbreviation":"Drug Resist Updat","note":"PMID: 22335920\nPMCID: PMC3658318","page":"39-49","source":"PubMed Central","title":"The tumor microenvironment is a dominant force in multidrug resistance","volume":"15","author":[{"family":"Correia","given":"Ana Luísa"},{"family":"Bissell","given":"Mina J."}],"issued":{"date-parts":[["2012"]]}}}],"schema":"https://github.com/citation-style-language/schema/raw/master/csl-citation.json"} </w:instrText>
      </w:r>
      <w:r w:rsidR="00886F7A" w:rsidRPr="00AB268E">
        <w:rPr>
          <w:rFonts w:ascii="Times New Roman" w:hAnsi="Times New Roman" w:cs="Times New Roman"/>
          <w:sz w:val="24"/>
          <w:szCs w:val="24"/>
          <w:lang w:val="en-US"/>
        </w:rPr>
        <w:fldChar w:fldCharType="separate"/>
      </w:r>
      <w:r w:rsidR="00886F7A" w:rsidRPr="00AB268E">
        <w:rPr>
          <w:rFonts w:ascii="Times New Roman" w:hAnsi="Times New Roman" w:cs="Times New Roman"/>
          <w:sz w:val="24"/>
          <w:szCs w:val="24"/>
        </w:rPr>
        <w:t>(Correia &amp; Bissell, 2012)</w:t>
      </w:r>
      <w:r w:rsidR="00886F7A" w:rsidRPr="00AB268E">
        <w:rPr>
          <w:rFonts w:ascii="Times New Roman" w:hAnsi="Times New Roman" w:cs="Times New Roman"/>
          <w:sz w:val="24"/>
          <w:szCs w:val="24"/>
          <w:lang w:val="en-US"/>
        </w:rPr>
        <w:fldChar w:fldCharType="end"/>
      </w:r>
      <w:r w:rsidR="008F4C51" w:rsidRPr="00AB268E">
        <w:rPr>
          <w:rFonts w:ascii="Times New Roman" w:hAnsi="Times New Roman" w:cs="Times New Roman"/>
          <w:sz w:val="24"/>
          <w:szCs w:val="24"/>
          <w:lang w:val="en-US"/>
        </w:rPr>
        <w:t>.</w:t>
      </w:r>
      <w:r w:rsidR="00AA70F8" w:rsidRPr="00AB268E">
        <w:rPr>
          <w:rFonts w:ascii="Times New Roman" w:hAnsi="Times New Roman" w:cs="Times New Roman"/>
          <w:sz w:val="24"/>
          <w:szCs w:val="24"/>
          <w:lang w:val="en-US"/>
        </w:rPr>
        <w:t xml:space="preserve"> </w:t>
      </w:r>
      <w:r w:rsidR="00FD0A4D" w:rsidRPr="00AB268E">
        <w:rPr>
          <w:rFonts w:ascii="Times New Roman" w:hAnsi="Times New Roman" w:cs="Times New Roman"/>
          <w:sz w:val="24"/>
          <w:szCs w:val="24"/>
          <w:lang w:val="en-US"/>
        </w:rPr>
        <w:t>F</w:t>
      </w:r>
      <w:r w:rsidR="00AB268E" w:rsidRPr="00AB268E">
        <w:rPr>
          <w:rFonts w:ascii="Times New Roman" w:hAnsi="Times New Roman" w:cs="Times New Roman"/>
          <w:sz w:val="24"/>
          <w:szCs w:val="24"/>
          <w:lang w:val="en-US"/>
        </w:rPr>
        <w:t xml:space="preserve">ig. </w:t>
      </w:r>
      <w:r w:rsidR="0030228F" w:rsidRPr="00AB268E">
        <w:rPr>
          <w:rFonts w:ascii="Times New Roman" w:hAnsi="Times New Roman" w:cs="Times New Roman"/>
          <w:sz w:val="24"/>
          <w:szCs w:val="24"/>
          <w:lang w:val="en-US"/>
        </w:rPr>
        <w:t>1</w:t>
      </w:r>
      <w:r w:rsidR="00FD0A4D" w:rsidRPr="00AB268E">
        <w:rPr>
          <w:rFonts w:ascii="Times New Roman" w:hAnsi="Times New Roman" w:cs="Times New Roman"/>
          <w:sz w:val="24"/>
          <w:szCs w:val="24"/>
          <w:lang w:val="en-US"/>
        </w:rPr>
        <w:t xml:space="preserve"> shows how carcinogens can cause cancer through two main pathways. Genotoxic pathways directly damage</w:t>
      </w:r>
      <w:r w:rsidR="00AB268E">
        <w:rPr>
          <w:rFonts w:ascii="Times New Roman" w:hAnsi="Times New Roman" w:cs="Times New Roman"/>
          <w:sz w:val="24"/>
          <w:szCs w:val="24"/>
          <w:lang w:val="en-US"/>
        </w:rPr>
        <w:t xml:space="preserve">   DNA</w:t>
      </w:r>
      <w:r w:rsidR="00FD0A4D" w:rsidRPr="00AB268E">
        <w:rPr>
          <w:rFonts w:ascii="Times New Roman" w:hAnsi="Times New Roman" w:cs="Times New Roman"/>
          <w:sz w:val="24"/>
          <w:szCs w:val="24"/>
          <w:lang w:val="en-US"/>
        </w:rPr>
        <w:t>, while non-genotoxic pathways disrupt cell signaling, cause inflammation, and suppress the immune system. Both mechanisms lead to genomic instability, uncontrolled cell growth, and cancer development</w:t>
      </w:r>
    </w:p>
    <w:p w14:paraId="35DE5B8A" w14:textId="49376B40" w:rsidR="008F4C51" w:rsidRPr="00AB268E" w:rsidRDefault="008F4C51" w:rsidP="0042526D">
      <w:pPr>
        <w:jc w:val="both"/>
        <w:rPr>
          <w:rFonts w:ascii="Times New Roman" w:hAnsi="Times New Roman" w:cs="Times New Roman"/>
          <w:sz w:val="24"/>
          <w:szCs w:val="24"/>
          <w:lang w:val="en-US"/>
        </w:rPr>
      </w:pPr>
      <w:r w:rsidRPr="00AB268E">
        <w:rPr>
          <w:rFonts w:ascii="Times New Roman" w:hAnsi="Times New Roman" w:cs="Times New Roman"/>
          <w:noProof/>
          <w:sz w:val="24"/>
          <w:szCs w:val="24"/>
          <w:lang w:val="en-US"/>
        </w:rPr>
        <w:lastRenderedPageBreak/>
        <w:drawing>
          <wp:inline distT="0" distB="0" distL="0" distR="0" wp14:anchorId="6E1A58C7" wp14:editId="2DB312BF">
            <wp:extent cx="5731063" cy="3898388"/>
            <wp:effectExtent l="0" t="0" r="3175" b="6985"/>
            <wp:docPr id="8127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8502" name="Picture 81278502"/>
                    <pic:cNvPicPr/>
                  </pic:nvPicPr>
                  <pic:blipFill>
                    <a:blip r:embed="rId7">
                      <a:extLst>
                        <a:ext uri="{28A0092B-C50C-407E-A947-70E740481C1C}">
                          <a14:useLocalDpi xmlns:a14="http://schemas.microsoft.com/office/drawing/2010/main" val="0"/>
                        </a:ext>
                      </a:extLst>
                    </a:blip>
                    <a:stretch>
                      <a:fillRect/>
                    </a:stretch>
                  </pic:blipFill>
                  <pic:spPr>
                    <a:xfrm>
                      <a:off x="0" y="0"/>
                      <a:ext cx="5731510" cy="3898692"/>
                    </a:xfrm>
                    <a:prstGeom prst="rect">
                      <a:avLst/>
                    </a:prstGeom>
                  </pic:spPr>
                </pic:pic>
              </a:graphicData>
            </a:graphic>
          </wp:inline>
        </w:drawing>
      </w:r>
    </w:p>
    <w:p w14:paraId="10134B26" w14:textId="77777777" w:rsidR="008F4C51" w:rsidRPr="00AB268E" w:rsidRDefault="008F4C51" w:rsidP="0042526D">
      <w:pPr>
        <w:jc w:val="both"/>
        <w:rPr>
          <w:rFonts w:ascii="Times New Roman" w:hAnsi="Times New Roman" w:cs="Times New Roman"/>
          <w:sz w:val="24"/>
          <w:szCs w:val="24"/>
          <w:lang w:val="en-US"/>
        </w:rPr>
      </w:pPr>
    </w:p>
    <w:p w14:paraId="622E935A" w14:textId="31CC1760" w:rsidR="001D25DA" w:rsidRPr="00AB268E" w:rsidRDefault="001807AD"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rPr>
        <w:t>Fig</w:t>
      </w:r>
      <w:r w:rsidR="0030228F" w:rsidRPr="00AB268E">
        <w:rPr>
          <w:rFonts w:ascii="Times New Roman" w:hAnsi="Times New Roman" w:cs="Times New Roman"/>
          <w:sz w:val="24"/>
          <w:szCs w:val="24"/>
        </w:rPr>
        <w:t xml:space="preserve"> 1</w:t>
      </w:r>
      <w:r w:rsidRPr="00AB268E">
        <w:rPr>
          <w:rFonts w:ascii="Times New Roman" w:hAnsi="Times New Roman" w:cs="Times New Roman"/>
          <w:sz w:val="24"/>
          <w:szCs w:val="24"/>
        </w:rPr>
        <w:t xml:space="preserve">. Overview of genotoxic and non-genotoxic effects of </w:t>
      </w:r>
      <w:proofErr w:type="gramStart"/>
      <w:r w:rsidRPr="00AB268E">
        <w:rPr>
          <w:rFonts w:ascii="Times New Roman" w:hAnsi="Times New Roman" w:cs="Times New Roman"/>
          <w:sz w:val="24"/>
          <w:szCs w:val="24"/>
        </w:rPr>
        <w:t>carcinogens</w:t>
      </w:r>
      <w:r w:rsidR="00745CC6" w:rsidRPr="00AB268E">
        <w:rPr>
          <w:rFonts w:ascii="Times New Roman" w:hAnsi="Times New Roman" w:cs="Times New Roman"/>
          <w:sz w:val="24"/>
          <w:szCs w:val="24"/>
          <w:lang w:val="en-US"/>
        </w:rPr>
        <w:t>:.</w:t>
      </w:r>
      <w:proofErr w:type="gramEnd"/>
      <w:r w:rsidR="00A02118" w:rsidRPr="00AB268E">
        <w:rPr>
          <w:rFonts w:ascii="Times New Roman" w:hAnsi="Times New Roman" w:cs="Times New Roman"/>
          <w:sz w:val="24"/>
          <w:szCs w:val="24"/>
        </w:rPr>
        <w:t xml:space="preserve"> Carcinogens follow two primary pathways: genotoxic and non-genotoxic. Genotoxic effects include</w:t>
      </w:r>
      <w:r w:rsidR="00AB268E">
        <w:rPr>
          <w:rFonts w:ascii="Times New Roman" w:hAnsi="Times New Roman" w:cs="Times New Roman"/>
          <w:sz w:val="24"/>
          <w:szCs w:val="24"/>
        </w:rPr>
        <w:t xml:space="preserve">   DNA</w:t>
      </w:r>
      <w:r w:rsidR="00A02118" w:rsidRPr="00AB268E">
        <w:rPr>
          <w:rFonts w:ascii="Times New Roman" w:hAnsi="Times New Roman" w:cs="Times New Roman"/>
          <w:sz w:val="24"/>
          <w:szCs w:val="24"/>
        </w:rPr>
        <w:t xml:space="preserve"> adduct formation, chromosome aberrations, and mis-segregation, leading to direct genomic damage. Non-genotoxic effects involve inflammation, oxidative stress, receptor-mediated </w:t>
      </w:r>
      <w:proofErr w:type="spellStart"/>
      <w:r w:rsidR="00A02118" w:rsidRPr="00AB268E">
        <w:rPr>
          <w:rFonts w:ascii="Times New Roman" w:hAnsi="Times New Roman" w:cs="Times New Roman"/>
          <w:sz w:val="24"/>
          <w:szCs w:val="24"/>
        </w:rPr>
        <w:t>signaling</w:t>
      </w:r>
      <w:proofErr w:type="spellEnd"/>
      <w:r w:rsidR="00A02118" w:rsidRPr="00AB268E">
        <w:rPr>
          <w:rFonts w:ascii="Times New Roman" w:hAnsi="Times New Roman" w:cs="Times New Roman"/>
          <w:sz w:val="24"/>
          <w:szCs w:val="24"/>
        </w:rPr>
        <w:t xml:space="preserve">, immunosuppression, and epigenetic silencing. Both mechanisms result in genomic instability, altered cell </w:t>
      </w:r>
      <w:proofErr w:type="spellStart"/>
      <w:r w:rsidR="00A02118" w:rsidRPr="00AB268E">
        <w:rPr>
          <w:rFonts w:ascii="Times New Roman" w:hAnsi="Times New Roman" w:cs="Times New Roman"/>
          <w:sz w:val="24"/>
          <w:szCs w:val="24"/>
        </w:rPr>
        <w:t>signaling</w:t>
      </w:r>
      <w:proofErr w:type="spellEnd"/>
      <w:r w:rsidR="00A02118" w:rsidRPr="00AB268E">
        <w:rPr>
          <w:rFonts w:ascii="Times New Roman" w:hAnsi="Times New Roman" w:cs="Times New Roman"/>
          <w:sz w:val="24"/>
          <w:szCs w:val="24"/>
        </w:rPr>
        <w:t>, resistance to apoptosis, and uncontrolled cell growth—hallmarks of cancer progression.</w:t>
      </w:r>
      <w:r w:rsidR="00A02118" w:rsidRPr="00AB268E">
        <w:rPr>
          <w:rFonts w:ascii="Times New Roman" w:hAnsi="Times New Roman" w:cs="Times New Roman"/>
          <w:sz w:val="24"/>
          <w:szCs w:val="24"/>
          <w:lang w:val="en-US"/>
        </w:rPr>
        <w:t xml:space="preserve"> </w:t>
      </w:r>
      <w:r w:rsidR="00AE6FCC" w:rsidRPr="00AB268E">
        <w:rPr>
          <w:rFonts w:ascii="Times New Roman" w:hAnsi="Times New Roman" w:cs="Times New Roman"/>
          <w:sz w:val="24"/>
          <w:szCs w:val="24"/>
          <w:lang w:val="en-US"/>
        </w:rPr>
        <w:t>(</w:t>
      </w:r>
      <w:proofErr w:type="spellStart"/>
      <w:r w:rsidR="00AE6FCC" w:rsidRPr="00AB268E">
        <w:rPr>
          <w:rFonts w:ascii="Times New Roman" w:hAnsi="Times New Roman" w:cs="Times New Roman"/>
          <w:sz w:val="24"/>
          <w:szCs w:val="24"/>
          <w:lang w:val="en-US"/>
        </w:rPr>
        <w:t>Anetor</w:t>
      </w:r>
      <w:proofErr w:type="spellEnd"/>
      <w:r w:rsidR="00AE6FCC" w:rsidRPr="00AB268E">
        <w:rPr>
          <w:rFonts w:ascii="Times New Roman" w:hAnsi="Times New Roman" w:cs="Times New Roman"/>
          <w:sz w:val="24"/>
          <w:szCs w:val="24"/>
          <w:lang w:val="en-US"/>
        </w:rPr>
        <w:t xml:space="preserve"> et al., 2012)</w:t>
      </w:r>
      <w:r w:rsidR="006D116D" w:rsidRPr="00AB268E">
        <w:rPr>
          <w:rFonts w:ascii="Times New Roman" w:hAnsi="Times New Roman" w:cs="Times New Roman"/>
          <w:sz w:val="24"/>
          <w:szCs w:val="24"/>
          <w:lang w:val="en-US"/>
        </w:rPr>
        <w:t xml:space="preserve"> </w:t>
      </w:r>
      <w:r w:rsidR="00E7196E" w:rsidRPr="00AB268E">
        <w:rPr>
          <w:rFonts w:ascii="Times New Roman" w:hAnsi="Times New Roman" w:cs="Times New Roman"/>
          <w:sz w:val="24"/>
          <w:szCs w:val="24"/>
          <w:lang w:val="en-US"/>
        </w:rPr>
        <w:t>C</w:t>
      </w:r>
      <w:proofErr w:type="spellStart"/>
      <w:r w:rsidR="002E47BF" w:rsidRPr="00AB268E">
        <w:rPr>
          <w:rFonts w:ascii="Times New Roman" w:hAnsi="Times New Roman" w:cs="Times New Roman"/>
          <w:sz w:val="24"/>
          <w:szCs w:val="24"/>
        </w:rPr>
        <w:t>hemical</w:t>
      </w:r>
      <w:proofErr w:type="spellEnd"/>
      <w:r w:rsidR="002E47BF" w:rsidRPr="00AB268E">
        <w:rPr>
          <w:rFonts w:ascii="Times New Roman" w:hAnsi="Times New Roman" w:cs="Times New Roman"/>
          <w:sz w:val="24"/>
          <w:szCs w:val="24"/>
        </w:rPr>
        <w:t xml:space="preserve"> Carcinogenesis: Risk Factors, Early Detection and Biomedical Engineering." </w:t>
      </w:r>
      <w:r w:rsidR="002E47BF" w:rsidRPr="00AB268E">
        <w:rPr>
          <w:rFonts w:ascii="Times New Roman" w:hAnsi="Times New Roman" w:cs="Times New Roman"/>
          <w:i/>
          <w:iCs/>
          <w:sz w:val="24"/>
          <w:szCs w:val="24"/>
        </w:rPr>
        <w:t>Biomedical Science, Engineering and Technology</w:t>
      </w:r>
      <w:r w:rsidR="005F5746" w:rsidRPr="00AB268E">
        <w:rPr>
          <w:rFonts w:ascii="Times New Roman" w:hAnsi="Times New Roman" w:cs="Times New Roman"/>
          <w:sz w:val="24"/>
          <w:szCs w:val="24"/>
        </w:rPr>
        <w:t xml:space="preserve"> 69–90. </w:t>
      </w:r>
      <w:hyperlink r:id="rId8" w:tgtFrame="_new" w:history="1">
        <w:r w:rsidR="005F5746" w:rsidRPr="00AB268E">
          <w:rPr>
            <w:rStyle w:val="Hyperlink"/>
            <w:rFonts w:ascii="Times New Roman" w:hAnsi="Times New Roman" w:cs="Times New Roman"/>
            <w:sz w:val="24"/>
            <w:szCs w:val="24"/>
          </w:rPr>
          <w:t>https://doi.org/10.5772/20209</w:t>
        </w:r>
      </w:hyperlink>
    </w:p>
    <w:p w14:paraId="02914AC0" w14:textId="7BB4CD22"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2.      Oxidative Stress and Inflammation Pathways</w:t>
      </w:r>
    </w:p>
    <w:p w14:paraId="34A2B2C7" w14:textId="184BBCA6" w:rsidR="00EA5E88"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Oxidative stress is a common feature of many environmental carcinogens. It is a condition where reactive oxygen species (</w:t>
      </w:r>
      <w:r w:rsidR="00551AF2" w:rsidRPr="00AB268E">
        <w:rPr>
          <w:rFonts w:ascii="Times New Roman" w:hAnsi="Times New Roman" w:cs="Times New Roman"/>
          <w:sz w:val="24"/>
          <w:szCs w:val="24"/>
          <w:lang w:val="en-US"/>
        </w:rPr>
        <w:t>ROS</w:t>
      </w:r>
      <w:r w:rsidRPr="00AB268E">
        <w:rPr>
          <w:rFonts w:ascii="Times New Roman" w:hAnsi="Times New Roman" w:cs="Times New Roman"/>
          <w:sz w:val="24"/>
          <w:szCs w:val="24"/>
          <w:lang w:val="en-US"/>
        </w:rPr>
        <w:t>) are produced rapidly overpowering the cell’s antioxidant defense.</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damage, lipid peroxidation, and protein oxidation are consequences of chronic oxidative stress, all of which can disrupt cellular functions and encourage carcinogenesis. For example, nucleotide bases and</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strands are damaged by tobacco smoke and</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rborne</w:t>
      </w:r>
      <w:proofErr w:type="spellEnd"/>
      <w:r w:rsidRPr="00AB268E">
        <w:rPr>
          <w:rFonts w:ascii="Times New Roman" w:hAnsi="Times New Roman" w:cs="Times New Roman"/>
          <w:sz w:val="24"/>
          <w:szCs w:val="24"/>
          <w:lang w:val="en-US"/>
        </w:rPr>
        <w:t xml:space="preserve"> particulate matter generates </w:t>
      </w:r>
      <w:proofErr w:type="spellStart"/>
      <w:r w:rsidRPr="00AB268E">
        <w:rPr>
          <w:rFonts w:ascii="Times New Roman" w:hAnsi="Times New Roman" w:cs="Times New Roman"/>
          <w:sz w:val="24"/>
          <w:szCs w:val="24"/>
          <w:lang w:val="en-US"/>
        </w:rPr>
        <w:t>ros</w:t>
      </w:r>
      <w:proofErr w:type="spellEnd"/>
      <w:r w:rsidRPr="00AB268E">
        <w:rPr>
          <w:rFonts w:ascii="Times New Roman" w:hAnsi="Times New Roman" w:cs="Times New Roman"/>
          <w:sz w:val="24"/>
          <w:szCs w:val="24"/>
          <w:lang w:val="en-US"/>
        </w:rPr>
        <w:t>. In the same vein, chronic inflammation, a known driver of cancer is often induced by oxidative stress</w:t>
      </w:r>
      <w:r w:rsidR="00FB5A13" w:rsidRPr="00AB268E">
        <w:rPr>
          <w:rFonts w:ascii="Times New Roman" w:hAnsi="Times New Roman" w:cs="Times New Roman"/>
          <w:sz w:val="24"/>
          <w:szCs w:val="24"/>
          <w:lang w:val="en-US"/>
        </w:rPr>
        <w:fldChar w:fldCharType="begin"/>
      </w:r>
      <w:r w:rsidR="00FB5A13" w:rsidRPr="00AB268E">
        <w:rPr>
          <w:rFonts w:ascii="Times New Roman" w:hAnsi="Times New Roman" w:cs="Times New Roman"/>
          <w:sz w:val="24"/>
          <w:szCs w:val="24"/>
          <w:lang w:val="en-US"/>
        </w:rPr>
        <w:instrText xml:space="preserve"> ADDIN ZOTERO_ITEM CSL_CITATION {"citationID":"OLvhDjSZ","properties":{"formattedCitation":"(Pizzino et al., 2017)","plainCitation":"(Pizzino et al., 2017)","noteIndex":0},"citationItems":[{"id":182,"uris":["http://zotero.org/users/17156871/items/G9TZ3T7E"],"itemData":{"id":182,"type":"article-journal","abstract":"Oxidative stress is a phenomenon caused by an imbalance between production and accumulation of oxygen reactive species (ROS) in cells and tissues and the ability of a biological system to detoxify these reactive products. ROS can play, and in fact ...","container-title":"Oxidative Medicine and Cellular Longevity","DOI":"10.1155/2017/8416763","language":"en","note":"PMID: 28819546","page":"8416763","source":"pmc.ncbi.nlm.nih.gov","title":"Oxidative Stress: Harms and Benefits for Human Health","title-short":"Oxidative Stress","volume":"2017","author":[{"family":"Pizzino","given":"Gabriele"},{"family":"Irrera","given":"Natasha"},{"family":"Cucinotta","given":"Mariapaola"},{"family":"Pallio","given":"Giovanni"},{"family":"Mannino","given":"Federica"},{"family":"Arcoraci","given":"Vincenzo"},{"family":"Squadrito","given":"Francesco"},{"family":"Altavilla","given":"Domenica"},{"family":"Bitto","given":"Alessandra"}],"issued":{"date-parts":[["2017",7,27]]}}}],"schema":"https://github.com/citation-style-language/schema/raw/master/csl-citation.json"} </w:instrText>
      </w:r>
      <w:r w:rsidR="00FB5A13" w:rsidRPr="00AB268E">
        <w:rPr>
          <w:rFonts w:ascii="Times New Roman" w:hAnsi="Times New Roman" w:cs="Times New Roman"/>
          <w:sz w:val="24"/>
          <w:szCs w:val="24"/>
          <w:lang w:val="en-US"/>
        </w:rPr>
        <w:fldChar w:fldCharType="separate"/>
      </w:r>
      <w:r w:rsidR="00FB5A13" w:rsidRPr="00AB268E">
        <w:rPr>
          <w:rFonts w:ascii="Times New Roman" w:hAnsi="Times New Roman" w:cs="Times New Roman"/>
          <w:sz w:val="24"/>
          <w:szCs w:val="24"/>
        </w:rPr>
        <w:t>(Pizzino et al., 2017)</w:t>
      </w:r>
      <w:r w:rsidR="00FB5A13"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xml:space="preserve">. </w:t>
      </w:r>
      <w:r w:rsidR="0018614B" w:rsidRPr="00AB268E">
        <w:rPr>
          <w:rFonts w:ascii="Times New Roman" w:hAnsi="Times New Roman" w:cs="Times New Roman"/>
          <w:sz w:val="24"/>
          <w:szCs w:val="24"/>
          <w:lang w:val="en-US"/>
        </w:rPr>
        <w:t>I</w:t>
      </w:r>
      <w:r w:rsidRPr="00AB268E">
        <w:rPr>
          <w:rFonts w:ascii="Times New Roman" w:hAnsi="Times New Roman" w:cs="Times New Roman"/>
          <w:sz w:val="24"/>
          <w:szCs w:val="24"/>
          <w:lang w:val="en-US"/>
        </w:rPr>
        <w:t xml:space="preserve">nflammatory cytokines such as IL-6, </w:t>
      </w:r>
      <w:r w:rsidR="00551AF2" w:rsidRPr="00AB268E">
        <w:rPr>
          <w:rFonts w:ascii="Times New Roman" w:hAnsi="Times New Roman" w:cs="Times New Roman"/>
          <w:sz w:val="24"/>
          <w:szCs w:val="24"/>
          <w:lang w:val="en-US"/>
        </w:rPr>
        <w:t>TNF</w:t>
      </w:r>
      <w:r w:rsidRPr="00AB268E">
        <w:rPr>
          <w:rFonts w:ascii="Times New Roman" w:hAnsi="Times New Roman" w:cs="Times New Roman"/>
          <w:sz w:val="24"/>
          <w:szCs w:val="24"/>
          <w:lang w:val="en-US"/>
        </w:rPr>
        <w:t xml:space="preserve">-α, and </w:t>
      </w:r>
      <w:r w:rsidR="00551AF2" w:rsidRPr="00AB268E">
        <w:rPr>
          <w:rFonts w:ascii="Times New Roman" w:hAnsi="Times New Roman" w:cs="Times New Roman"/>
          <w:sz w:val="24"/>
          <w:szCs w:val="24"/>
          <w:lang w:val="en-US"/>
        </w:rPr>
        <w:t>NF-</w:t>
      </w:r>
      <w:proofErr w:type="spellStart"/>
      <w:r w:rsidRPr="00AB268E">
        <w:rPr>
          <w:rFonts w:ascii="Times New Roman" w:hAnsi="Times New Roman" w:cs="Times New Roman"/>
          <w:sz w:val="24"/>
          <w:szCs w:val="24"/>
          <w:lang w:val="en-US"/>
        </w:rPr>
        <w:t>κ</w:t>
      </w:r>
      <w:r w:rsidR="00551AF2" w:rsidRPr="00AB268E">
        <w:rPr>
          <w:rFonts w:ascii="Times New Roman" w:hAnsi="Times New Roman" w:cs="Times New Roman"/>
          <w:sz w:val="24"/>
          <w:szCs w:val="24"/>
          <w:lang w:val="en-US"/>
        </w:rPr>
        <w:t>B</w:t>
      </w:r>
      <w:proofErr w:type="spellEnd"/>
      <w:r w:rsidRPr="00AB268E">
        <w:rPr>
          <w:rFonts w:ascii="Times New Roman" w:hAnsi="Times New Roman" w:cs="Times New Roman"/>
          <w:sz w:val="24"/>
          <w:szCs w:val="24"/>
          <w:lang w:val="en-US"/>
        </w:rPr>
        <w:t xml:space="preserve"> are overexpressed in response to tissue damage and </w:t>
      </w:r>
      <w:proofErr w:type="spellStart"/>
      <w:r w:rsidRPr="00AB268E">
        <w:rPr>
          <w:rFonts w:ascii="Times New Roman" w:hAnsi="Times New Roman" w:cs="Times New Roman"/>
          <w:sz w:val="24"/>
          <w:szCs w:val="24"/>
          <w:lang w:val="en-US"/>
        </w:rPr>
        <w:t>ros</w:t>
      </w:r>
      <w:proofErr w:type="spellEnd"/>
      <w:r w:rsidRPr="00AB268E">
        <w:rPr>
          <w:rFonts w:ascii="Times New Roman" w:hAnsi="Times New Roman" w:cs="Times New Roman"/>
          <w:sz w:val="24"/>
          <w:szCs w:val="24"/>
          <w:lang w:val="en-US"/>
        </w:rPr>
        <w:t>, bringing about a pro-tumorigenic environment. These cytokines induce angiogenesis, suppress apoptosis, and promote cell proliferation which are distinguishing features of cancer. Immune cells are recruited as a result of inflammation leading to the release of additional ROS and reactive nitrogen species (RNS), further increasing the cycle of tissue damage and accumulation of mutation</w:t>
      </w:r>
      <w:r w:rsidR="002C4C95" w:rsidRPr="00AB268E">
        <w:rPr>
          <w:rFonts w:ascii="Times New Roman" w:hAnsi="Times New Roman" w:cs="Times New Roman"/>
          <w:sz w:val="24"/>
          <w:szCs w:val="24"/>
          <w:lang w:val="en-US"/>
        </w:rPr>
        <w:t xml:space="preserve"> </w:t>
      </w:r>
      <w:r w:rsidR="002C4C95" w:rsidRPr="00AB268E">
        <w:rPr>
          <w:rFonts w:ascii="Times New Roman" w:hAnsi="Times New Roman" w:cs="Times New Roman"/>
          <w:sz w:val="24"/>
          <w:szCs w:val="24"/>
          <w:lang w:val="en-US"/>
        </w:rPr>
        <w:fldChar w:fldCharType="begin"/>
      </w:r>
      <w:r w:rsidR="002C4C95" w:rsidRPr="00AB268E">
        <w:rPr>
          <w:rFonts w:ascii="Times New Roman" w:hAnsi="Times New Roman" w:cs="Times New Roman"/>
          <w:sz w:val="24"/>
          <w:szCs w:val="24"/>
          <w:lang w:val="en-US"/>
        </w:rPr>
        <w:instrText xml:space="preserve"> ADDIN ZOTERO_ITEM CSL_CITATION {"citationID":"xJMHG0x6","properties":{"formattedCitation":"(Yu et al., 2022)","plainCitation":"(Yu et al., 2022)","noteIndex":0},"citationItems":[{"id":184,"uris":["http://zotero.org/users/17156871/items/LI32ZKQA"],"itemData":{"id":184,"type":"article-journal","abstract":"According to numerous animal studies, adverse environmental stimuli, including physical, chemical, and biological factors, can cause low-grade chronic inflammation and subsequent tumor development. Human epidemiological evidence has confirmed the ...","container-title":"Oxidative Medicine and Cellular Longevity","DOI":"10.1155/2022/2606928","language":"en","note":"PMID: 35799889","page":"2606928","source":"pmc.ncbi.nlm.nih.gov","title":"Reactive Oxygen Species Bridge the Gap between Chronic Inflammation and Tumor Development","volume":"2022","author":[{"family":"Yu","given":"Weihua"},{"family":"Tu","given":"Yongmei"},{"family":"Long","given":"Zi"},{"family":"Liu","given":"Jiangzheng"},{"family":"Kong","given":"Deqin"},{"family":"Peng","given":"Jie"},{"family":"Wu","given":"Hao"},{"family":"Zheng","given":"Gang"},{"family":"Zhao","given":"Jiuzhou"},{"family":"Chen","given":"Yuhao"},{"family":"Liu","given":"Rui"},{"family":"Li","given":"Wenli"},{"family":"Hai","given":"Chunxu"}],"issued":{"date-parts":[["2022",6,28]]}}}],"schema":"https://github.com/citation-style-language/schema/raw/master/csl-citation.json"} </w:instrText>
      </w:r>
      <w:r w:rsidR="002C4C95" w:rsidRPr="00AB268E">
        <w:rPr>
          <w:rFonts w:ascii="Times New Roman" w:hAnsi="Times New Roman" w:cs="Times New Roman"/>
          <w:sz w:val="24"/>
          <w:szCs w:val="24"/>
          <w:lang w:val="en-US"/>
        </w:rPr>
        <w:fldChar w:fldCharType="separate"/>
      </w:r>
      <w:r w:rsidR="002C4C95" w:rsidRPr="00AB268E">
        <w:rPr>
          <w:rFonts w:ascii="Times New Roman" w:hAnsi="Times New Roman" w:cs="Times New Roman"/>
          <w:sz w:val="24"/>
          <w:szCs w:val="24"/>
        </w:rPr>
        <w:t>(Yu et al., 2022)</w:t>
      </w:r>
      <w:r w:rsidR="002C4C95"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r w:rsidR="00E020DE" w:rsidRPr="00AB268E">
        <w:rPr>
          <w:rFonts w:ascii="Times New Roman" w:hAnsi="Times New Roman" w:cs="Times New Roman"/>
          <w:sz w:val="24"/>
          <w:szCs w:val="24"/>
          <w:lang w:val="en-US"/>
        </w:rPr>
        <w:t xml:space="preserve"> </w:t>
      </w:r>
      <w:proofErr w:type="spellStart"/>
      <w:r w:rsidR="00E020DE" w:rsidRPr="00AB268E">
        <w:rPr>
          <w:rFonts w:ascii="Times New Roman" w:hAnsi="Times New Roman" w:cs="Times New Roman"/>
          <w:sz w:val="24"/>
          <w:szCs w:val="24"/>
        </w:rPr>
        <w:t>Oxidatory</w:t>
      </w:r>
      <w:proofErr w:type="spellEnd"/>
      <w:r w:rsidR="00E020DE" w:rsidRPr="00AB268E">
        <w:rPr>
          <w:rFonts w:ascii="Times New Roman" w:hAnsi="Times New Roman" w:cs="Times New Roman"/>
          <w:sz w:val="24"/>
          <w:szCs w:val="24"/>
        </w:rPr>
        <w:t xml:space="preserve"> stress and inflammation create a good </w:t>
      </w:r>
      <w:r w:rsidR="00E020DE" w:rsidRPr="00AB268E">
        <w:rPr>
          <w:rFonts w:ascii="Times New Roman" w:hAnsi="Times New Roman" w:cs="Times New Roman"/>
          <w:sz w:val="24"/>
          <w:szCs w:val="24"/>
        </w:rPr>
        <w:lastRenderedPageBreak/>
        <w:t xml:space="preserve">environment for the development and progression of cancer thereby improving genetic instability, interfering with the cellular repair mechanisms and changing the </w:t>
      </w:r>
      <w:proofErr w:type="spellStart"/>
      <w:r w:rsidR="00E020DE" w:rsidRPr="00AB268E">
        <w:rPr>
          <w:rFonts w:ascii="Times New Roman" w:hAnsi="Times New Roman" w:cs="Times New Roman"/>
          <w:sz w:val="24"/>
          <w:szCs w:val="24"/>
        </w:rPr>
        <w:t>tumor</w:t>
      </w:r>
      <w:proofErr w:type="spellEnd"/>
      <w:r w:rsidR="00E020DE" w:rsidRPr="00AB268E">
        <w:rPr>
          <w:rFonts w:ascii="Times New Roman" w:hAnsi="Times New Roman" w:cs="Times New Roman"/>
          <w:sz w:val="24"/>
          <w:szCs w:val="24"/>
        </w:rPr>
        <w:t xml:space="preserve"> microenvironment (</w:t>
      </w:r>
      <w:r w:rsidR="00B55D7B" w:rsidRPr="00AB268E">
        <w:rPr>
          <w:rFonts w:ascii="Times New Roman" w:hAnsi="Times New Roman" w:cs="Times New Roman"/>
          <w:sz w:val="24"/>
          <w:szCs w:val="24"/>
        </w:rPr>
        <w:t>R</w:t>
      </w:r>
      <w:r w:rsidR="00E020DE" w:rsidRPr="00AB268E">
        <w:rPr>
          <w:rFonts w:ascii="Times New Roman" w:hAnsi="Times New Roman" w:cs="Times New Roman"/>
          <w:sz w:val="24"/>
          <w:szCs w:val="24"/>
        </w:rPr>
        <w:t xml:space="preserve">euter et al., 2010). </w:t>
      </w:r>
    </w:p>
    <w:p w14:paraId="1AED5516" w14:textId="7B70559C"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w:t>
      </w:r>
    </w:p>
    <w:p w14:paraId="2F94AB23" w14:textId="77777777" w:rsidR="001D25DA" w:rsidRPr="00AB268E" w:rsidRDefault="001D25DA" w:rsidP="0042526D">
      <w:pPr>
        <w:jc w:val="both"/>
        <w:rPr>
          <w:rFonts w:ascii="Times New Roman" w:hAnsi="Times New Roman" w:cs="Times New Roman"/>
          <w:sz w:val="24"/>
          <w:szCs w:val="24"/>
          <w:lang w:val="en-US"/>
        </w:rPr>
      </w:pPr>
    </w:p>
    <w:p w14:paraId="0369789E" w14:textId="2C8FD513" w:rsidR="001D25DA" w:rsidRPr="00AB268E" w:rsidRDefault="001D25DA" w:rsidP="0042526D">
      <w:pPr>
        <w:jc w:val="both"/>
        <w:rPr>
          <w:rFonts w:ascii="Times New Roman" w:hAnsi="Times New Roman" w:cs="Times New Roman"/>
          <w:sz w:val="24"/>
          <w:szCs w:val="24"/>
          <w:lang w:val="en-US"/>
        </w:rPr>
      </w:pPr>
      <w:r w:rsidRPr="00AB268E">
        <w:rPr>
          <w:rFonts w:ascii="Times New Roman" w:hAnsi="Times New Roman" w:cs="Times New Roman"/>
          <w:noProof/>
          <w:sz w:val="24"/>
          <w:szCs w:val="24"/>
          <w:lang w:val="en-US"/>
        </w:rPr>
        <w:drawing>
          <wp:inline distT="0" distB="0" distL="0" distR="0" wp14:anchorId="24EE1265" wp14:editId="28C96A2F">
            <wp:extent cx="5731510" cy="3632917"/>
            <wp:effectExtent l="0" t="0" r="2540" b="5715"/>
            <wp:docPr id="263803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03720" name="Picture 263803720"/>
                    <pic:cNvPicPr/>
                  </pic:nvPicPr>
                  <pic:blipFill>
                    <a:blip r:embed="rId9">
                      <a:extLst>
                        <a:ext uri="{28A0092B-C50C-407E-A947-70E740481C1C}">
                          <a14:useLocalDpi xmlns:a14="http://schemas.microsoft.com/office/drawing/2010/main" val="0"/>
                        </a:ext>
                      </a:extLst>
                    </a:blip>
                    <a:stretch>
                      <a:fillRect/>
                    </a:stretch>
                  </pic:blipFill>
                  <pic:spPr>
                    <a:xfrm>
                      <a:off x="0" y="0"/>
                      <a:ext cx="5735090" cy="3635186"/>
                    </a:xfrm>
                    <a:prstGeom prst="rect">
                      <a:avLst/>
                    </a:prstGeom>
                  </pic:spPr>
                </pic:pic>
              </a:graphicData>
            </a:graphic>
          </wp:inline>
        </w:drawing>
      </w:r>
    </w:p>
    <w:p w14:paraId="7009C6AF" w14:textId="77777777" w:rsidR="001D25DA" w:rsidRPr="00AB268E" w:rsidRDefault="001D25DA" w:rsidP="0042526D">
      <w:pPr>
        <w:jc w:val="both"/>
        <w:rPr>
          <w:rFonts w:ascii="Times New Roman" w:hAnsi="Times New Roman" w:cs="Times New Roman"/>
          <w:sz w:val="24"/>
          <w:szCs w:val="24"/>
          <w:lang w:val="en-US"/>
        </w:rPr>
      </w:pPr>
    </w:p>
    <w:p w14:paraId="31C0F430" w14:textId="77777777" w:rsidR="001D25DA" w:rsidRPr="00AB268E" w:rsidRDefault="001D25DA" w:rsidP="0042526D">
      <w:pPr>
        <w:jc w:val="both"/>
        <w:rPr>
          <w:rFonts w:ascii="Times New Roman" w:hAnsi="Times New Roman" w:cs="Times New Roman"/>
          <w:sz w:val="24"/>
          <w:szCs w:val="24"/>
          <w:lang w:val="en-US"/>
        </w:rPr>
      </w:pPr>
    </w:p>
    <w:p w14:paraId="0FA48370" w14:textId="19FD8546" w:rsidR="001D25DA" w:rsidRPr="00AB268E" w:rsidRDefault="00B23A4A"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F</w:t>
      </w:r>
      <w:r w:rsidR="00AA70F8" w:rsidRPr="00AB268E">
        <w:rPr>
          <w:rFonts w:ascii="Times New Roman" w:hAnsi="Times New Roman" w:cs="Times New Roman"/>
          <w:sz w:val="24"/>
          <w:szCs w:val="24"/>
          <w:lang w:val="en-US"/>
        </w:rPr>
        <w:t>ig</w:t>
      </w:r>
      <w:r w:rsidRPr="00AB268E">
        <w:rPr>
          <w:rFonts w:ascii="Times New Roman" w:hAnsi="Times New Roman" w:cs="Times New Roman"/>
          <w:sz w:val="24"/>
          <w:szCs w:val="24"/>
          <w:lang w:val="en-US"/>
        </w:rPr>
        <w:t xml:space="preserve"> </w:t>
      </w:r>
      <w:r w:rsidR="00AA70F8" w:rsidRPr="00AB268E">
        <w:rPr>
          <w:rFonts w:ascii="Times New Roman" w:hAnsi="Times New Roman" w:cs="Times New Roman"/>
          <w:sz w:val="24"/>
          <w:szCs w:val="24"/>
          <w:lang w:val="en-US"/>
        </w:rPr>
        <w:t>2</w:t>
      </w:r>
      <w:r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rPr>
        <w:t>Oxidative Stress–Mediated Inflammatory Pathways in Cancer Progression.</w:t>
      </w:r>
      <w:r w:rsidR="009E4872" w:rsidRPr="00AB268E">
        <w:rPr>
          <w:rFonts w:ascii="Times New Roman" w:hAnsi="Times New Roman" w:cs="Times New Roman"/>
          <w:sz w:val="24"/>
          <w:szCs w:val="24"/>
        </w:rPr>
        <w:t xml:space="preserve"> Oxidative stress activates key transcription factors such as NF-</w:t>
      </w:r>
      <w:proofErr w:type="spellStart"/>
      <w:r w:rsidR="009E4872" w:rsidRPr="00AB268E">
        <w:rPr>
          <w:rFonts w:ascii="Times New Roman" w:hAnsi="Times New Roman" w:cs="Times New Roman"/>
          <w:sz w:val="24"/>
          <w:szCs w:val="24"/>
        </w:rPr>
        <w:t>κB</w:t>
      </w:r>
      <w:proofErr w:type="spellEnd"/>
      <w:r w:rsidR="009E4872" w:rsidRPr="00AB268E">
        <w:rPr>
          <w:rFonts w:ascii="Times New Roman" w:hAnsi="Times New Roman" w:cs="Times New Roman"/>
          <w:sz w:val="24"/>
          <w:szCs w:val="24"/>
        </w:rPr>
        <w:t xml:space="preserve">, AP-1, HIF-1α, Nrf-2, and the NLRP3 inflammasome complex. This activation promotes the release of inflammatory mediators including TNF-α, TGF-β, and various interleukins. These mediators, in turn, generate further oxidative stress and sustain a chronic inflammatory response. The resulting inflammation facilitates cancer progression and metastasis, creating a self-perpetuating cycle between oxidative stress, inflammation, and </w:t>
      </w:r>
      <w:proofErr w:type="spellStart"/>
      <w:r w:rsidR="009E4872" w:rsidRPr="00AB268E">
        <w:rPr>
          <w:rFonts w:ascii="Times New Roman" w:hAnsi="Times New Roman" w:cs="Times New Roman"/>
          <w:sz w:val="24"/>
          <w:szCs w:val="24"/>
        </w:rPr>
        <w:t>tumor</w:t>
      </w:r>
      <w:proofErr w:type="spellEnd"/>
      <w:r w:rsidR="009E4872" w:rsidRPr="00AB268E">
        <w:rPr>
          <w:rFonts w:ascii="Times New Roman" w:hAnsi="Times New Roman" w:cs="Times New Roman"/>
          <w:sz w:val="24"/>
          <w:szCs w:val="24"/>
        </w:rPr>
        <w:t xml:space="preserve"> development</w:t>
      </w:r>
      <w:r w:rsidR="008C0237" w:rsidRPr="00AB268E">
        <w:rPr>
          <w:rFonts w:ascii="Times New Roman" w:hAnsi="Times New Roman" w:cs="Times New Roman"/>
          <w:sz w:val="24"/>
          <w:szCs w:val="24"/>
        </w:rPr>
        <w:t xml:space="preserve"> Vaidya et al., 2020 Oxidative Stress and Inflammation Can Fuel Cancer. In: Maurya, P., Dua, K. (eds) </w:t>
      </w:r>
      <w:r w:rsidR="008C0237" w:rsidRPr="00AB268E">
        <w:rPr>
          <w:rFonts w:ascii="Times New Roman" w:hAnsi="Times New Roman" w:cs="Times New Roman"/>
          <w:i/>
          <w:iCs/>
          <w:sz w:val="24"/>
          <w:szCs w:val="24"/>
        </w:rPr>
        <w:t>Role of Oxidative Stress in Pathophysiology of Diseases. Springer, Singapore.</w:t>
      </w:r>
      <w:r w:rsidR="00AA70F8" w:rsidRPr="00AB268E">
        <w:rPr>
          <w:rFonts w:ascii="Times New Roman" w:hAnsi="Times New Roman" w:cs="Times New Roman"/>
          <w:i/>
          <w:iCs/>
          <w:sz w:val="24"/>
          <w:szCs w:val="24"/>
        </w:rPr>
        <w:t xml:space="preserve"> </w:t>
      </w:r>
      <w:r w:rsidR="008C0237" w:rsidRPr="00AB268E">
        <w:rPr>
          <w:rFonts w:ascii="Times New Roman" w:hAnsi="Times New Roman" w:cs="Times New Roman"/>
          <w:sz w:val="24"/>
          <w:szCs w:val="24"/>
        </w:rPr>
        <w:t>https://doi.org/10.1007/978-981-15-1568-2_14</w:t>
      </w:r>
      <w:r w:rsidR="00AA70F8" w:rsidRPr="00AB268E">
        <w:rPr>
          <w:rFonts w:ascii="Times New Roman" w:hAnsi="Times New Roman" w:cs="Times New Roman"/>
          <w:sz w:val="24"/>
          <w:szCs w:val="24"/>
        </w:rPr>
        <w:t>.</w:t>
      </w:r>
    </w:p>
    <w:p w14:paraId="1DE5DC5A"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4. Disproportionate Impacts on Vulnerable Populations and Low-Resource Regions</w:t>
      </w:r>
    </w:p>
    <w:p w14:paraId="2EFC1F3A" w14:textId="1897752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The unequal distribution of exposures to environmental carcinogen between first world countries and third world countries is a huge burden. The underdeveloped countries are often without regulatory systems, monitoring infrastructures and public awareness mechanisms. In that vein, individuals live near industrial cones, waste sites or contaminated water sources without adequate protection or health monitoring (Hashim &amp; </w:t>
      </w:r>
      <w:proofErr w:type="spellStart"/>
      <w:r w:rsidRPr="00AB268E">
        <w:rPr>
          <w:rFonts w:ascii="Times New Roman" w:hAnsi="Times New Roman" w:cs="Times New Roman"/>
          <w:sz w:val="24"/>
          <w:szCs w:val="24"/>
          <w:lang w:val="en-US"/>
        </w:rPr>
        <w:t>Boffetta</w:t>
      </w:r>
      <w:proofErr w:type="spellEnd"/>
      <w:r w:rsidRPr="00AB268E">
        <w:rPr>
          <w:rFonts w:ascii="Times New Roman" w:hAnsi="Times New Roman" w:cs="Times New Roman"/>
          <w:sz w:val="24"/>
          <w:szCs w:val="24"/>
          <w:lang w:val="en-US"/>
        </w:rPr>
        <w:t xml:space="preserve">, 2014). In rural areas, </w:t>
      </w:r>
      <w:r w:rsidRPr="00AB268E">
        <w:rPr>
          <w:rFonts w:ascii="Times New Roman" w:hAnsi="Times New Roman" w:cs="Times New Roman"/>
          <w:sz w:val="24"/>
          <w:szCs w:val="24"/>
          <w:lang w:val="en-US"/>
        </w:rPr>
        <w:lastRenderedPageBreak/>
        <w:t>exposure to pollutants from indoor cooking with biomass, pesticides or water from uncontrolled sources are inevitable due to lack of enforcement of regulatory policies. Occupational safety standards are not adhered by workers and they are inherently exposed to high levels of carcinogens. These disparities combined with limited access to good health care facilities will eventually lead to late diagnosis, advanced disease at presentation and lower chances of survival</w:t>
      </w:r>
      <w:r w:rsidR="00F078DA"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w:t>
      </w:r>
      <w:proofErr w:type="spellStart"/>
      <w:r w:rsidRPr="00AB268E">
        <w:rPr>
          <w:rFonts w:ascii="Times New Roman" w:hAnsi="Times New Roman" w:cs="Times New Roman"/>
          <w:sz w:val="24"/>
          <w:szCs w:val="24"/>
          <w:lang w:val="en-US"/>
        </w:rPr>
        <w:t>Rumchev</w:t>
      </w:r>
      <w:proofErr w:type="spellEnd"/>
      <w:r w:rsidRPr="00AB268E">
        <w:rPr>
          <w:rFonts w:ascii="Times New Roman" w:hAnsi="Times New Roman" w:cs="Times New Roman"/>
          <w:sz w:val="24"/>
          <w:szCs w:val="24"/>
          <w:lang w:val="en-US"/>
        </w:rPr>
        <w:t xml:space="preserve"> et al., 2007). </w:t>
      </w:r>
    </w:p>
    <w:p w14:paraId="4A7ECA87" w14:textId="1CDB6414"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5</w:t>
      </w:r>
      <w:r w:rsidR="00A3461A" w:rsidRPr="00AB268E">
        <w:rPr>
          <w:rFonts w:ascii="Times New Roman" w:hAnsi="Times New Roman" w:cs="Times New Roman"/>
          <w:sz w:val="24"/>
          <w:szCs w:val="24"/>
          <w:lang w:val="en-US"/>
        </w:rPr>
        <w:t>.</w:t>
      </w:r>
      <w:r w:rsidRPr="00AB268E">
        <w:rPr>
          <w:rFonts w:ascii="Times New Roman" w:hAnsi="Times New Roman" w:cs="Times New Roman"/>
          <w:sz w:val="24"/>
          <w:szCs w:val="24"/>
          <w:lang w:val="en-US"/>
        </w:rPr>
        <w:t xml:space="preserve"> </w:t>
      </w:r>
      <w:r w:rsidR="00A3461A" w:rsidRPr="00AB268E">
        <w:rPr>
          <w:rFonts w:ascii="Times New Roman" w:hAnsi="Times New Roman" w:cs="Times New Roman"/>
          <w:sz w:val="24"/>
          <w:szCs w:val="24"/>
          <w:lang w:val="en-US"/>
        </w:rPr>
        <w:t>Genomic Surveillances in Cancer Prevention</w:t>
      </w:r>
    </w:p>
    <w:p w14:paraId="7D2C67BE"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5.1 Understanding Genomic Surveillance</w:t>
      </w:r>
    </w:p>
    <w:p w14:paraId="2B94E7E6" w14:textId="3D50A6C5"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Genomic surveillance has to do with the step</w:t>
      </w:r>
      <w:r w:rsidR="00F078DA"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 xml:space="preserve">by collection, sequencing, and analysis of genetic data to monitor changes in the genome, detect mutations, and recognize patterns that are in correlation with a certain disease risk or </w:t>
      </w:r>
      <w:r w:rsidR="00F078DA" w:rsidRPr="00AB268E">
        <w:rPr>
          <w:rFonts w:ascii="Times New Roman" w:hAnsi="Times New Roman" w:cs="Times New Roman"/>
          <w:sz w:val="24"/>
          <w:szCs w:val="24"/>
          <w:lang w:val="en-US"/>
        </w:rPr>
        <w:t>progression (</w:t>
      </w:r>
      <w:r w:rsidRPr="00AB268E">
        <w:rPr>
          <w:rFonts w:ascii="Times New Roman" w:hAnsi="Times New Roman" w:cs="Times New Roman"/>
          <w:sz w:val="24"/>
          <w:szCs w:val="24"/>
          <w:lang w:val="en-US"/>
        </w:rPr>
        <w:t xml:space="preserve">Bianconi et al., 2023). In the scope of cancer prevention, genomic surveillance allows for the early detection of somatic </w:t>
      </w:r>
      <w:proofErr w:type="gramStart"/>
      <w:r w:rsidRPr="00AB268E">
        <w:rPr>
          <w:rFonts w:ascii="Times New Roman" w:hAnsi="Times New Roman" w:cs="Times New Roman"/>
          <w:sz w:val="24"/>
          <w:szCs w:val="24"/>
          <w:lang w:val="en-US"/>
        </w:rPr>
        <w:t>mutations,</w:t>
      </w:r>
      <w:r w:rsidR="00AB268E">
        <w:rPr>
          <w:rFonts w:ascii="Times New Roman" w:hAnsi="Times New Roman" w:cs="Times New Roman"/>
          <w:sz w:val="24"/>
          <w:szCs w:val="24"/>
          <w:lang w:val="en-US"/>
        </w:rPr>
        <w:t xml:space="preserve">   </w:t>
      </w:r>
      <w:proofErr w:type="gramEnd"/>
      <w:r w:rsidR="00AB268E">
        <w:rPr>
          <w:rFonts w:ascii="Times New Roman" w:hAnsi="Times New Roman" w:cs="Times New Roman"/>
          <w:sz w:val="24"/>
          <w:szCs w:val="24"/>
          <w:lang w:val="en-US"/>
        </w:rPr>
        <w:t>DNA</w:t>
      </w:r>
      <w:r w:rsidRPr="00AB268E">
        <w:rPr>
          <w:rFonts w:ascii="Times New Roman" w:hAnsi="Times New Roman" w:cs="Times New Roman"/>
          <w:sz w:val="24"/>
          <w:szCs w:val="24"/>
          <w:lang w:val="en-US"/>
        </w:rPr>
        <w:t xml:space="preserve"> damage, and epigenetic alterations that may arise from continuous exposure to environmental carcinogens</w:t>
      </w:r>
      <w:r w:rsidR="00F078DA" w:rsidRPr="00AB268E">
        <w:rPr>
          <w:rFonts w:ascii="Times New Roman" w:hAnsi="Times New Roman" w:cs="Times New Roman"/>
          <w:sz w:val="24"/>
          <w:szCs w:val="24"/>
          <w:lang w:val="en-US"/>
        </w:rPr>
        <w:t xml:space="preserve"> step </w:t>
      </w:r>
      <w:r w:rsidRPr="00AB268E">
        <w:rPr>
          <w:rFonts w:ascii="Times New Roman" w:hAnsi="Times New Roman" w:cs="Times New Roman"/>
          <w:sz w:val="24"/>
          <w:szCs w:val="24"/>
          <w:lang w:val="en-US"/>
        </w:rPr>
        <w:t>(Bianconi et al., 2023). Researchers can trace molecular signatures associated with carcinogen exposure, such as TP53 mutations from aflatoxin exposure or</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adducts formed by polycyclic aromatic hydrocarbons (PAHs) by analyzing</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from the population. Individuals at higher risk of developing cancers are identified by these genomic markers and they serve as early warning signals. This timely approach has the ability to change the face of public health by taking cancer prevention from population-level screening towards personalized, risk-based </w:t>
      </w:r>
      <w:r w:rsidR="00F078DA" w:rsidRPr="00AB268E">
        <w:rPr>
          <w:rFonts w:ascii="Times New Roman" w:hAnsi="Times New Roman" w:cs="Times New Roman"/>
          <w:sz w:val="24"/>
          <w:szCs w:val="24"/>
          <w:lang w:val="en-US"/>
        </w:rPr>
        <w:t>intervention (</w:t>
      </w:r>
      <w:r w:rsidRPr="00AB268E">
        <w:rPr>
          <w:rFonts w:ascii="Times New Roman" w:hAnsi="Times New Roman" w:cs="Times New Roman"/>
          <w:sz w:val="24"/>
          <w:szCs w:val="24"/>
          <w:lang w:val="en-US"/>
        </w:rPr>
        <w:t>Hollstein et al., 2013).</w:t>
      </w:r>
    </w:p>
    <w:p w14:paraId="796E3FB6" w14:textId="77777777" w:rsidR="001E2D2D" w:rsidRPr="00AB268E" w:rsidRDefault="001E2D2D" w:rsidP="0042526D">
      <w:pPr>
        <w:jc w:val="both"/>
        <w:rPr>
          <w:rFonts w:ascii="Times New Roman" w:hAnsi="Times New Roman" w:cs="Times New Roman"/>
          <w:sz w:val="24"/>
          <w:szCs w:val="24"/>
          <w:lang w:val="en-US"/>
        </w:rPr>
      </w:pPr>
    </w:p>
    <w:p w14:paraId="40EBE84B" w14:textId="3EA2445C" w:rsidR="00FD1520" w:rsidRPr="00AB268E" w:rsidRDefault="00FD1520" w:rsidP="0042526D">
      <w:pPr>
        <w:jc w:val="both"/>
        <w:rPr>
          <w:rFonts w:ascii="Times New Roman" w:hAnsi="Times New Roman" w:cs="Times New Roman"/>
          <w:sz w:val="24"/>
          <w:szCs w:val="24"/>
          <w:lang w:val="en-US"/>
        </w:rPr>
      </w:pPr>
      <w:r w:rsidRPr="00AB268E">
        <w:rPr>
          <w:rFonts w:ascii="Times New Roman" w:hAnsi="Times New Roman" w:cs="Times New Roman"/>
          <w:noProof/>
          <w:sz w:val="24"/>
          <w:szCs w:val="24"/>
          <w:lang w:val="en-US"/>
        </w:rPr>
        <w:drawing>
          <wp:inline distT="0" distB="0" distL="0" distR="0" wp14:anchorId="72254952" wp14:editId="2E40556F">
            <wp:extent cx="5731510" cy="3615690"/>
            <wp:effectExtent l="0" t="0" r="2540" b="3810"/>
            <wp:docPr id="1478791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91010" name="Picture 147879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15690"/>
                    </a:xfrm>
                    <a:prstGeom prst="rect">
                      <a:avLst/>
                    </a:prstGeom>
                  </pic:spPr>
                </pic:pic>
              </a:graphicData>
            </a:graphic>
          </wp:inline>
        </w:drawing>
      </w:r>
    </w:p>
    <w:p w14:paraId="3680350E" w14:textId="6A82528F" w:rsidR="00A3461A" w:rsidRPr="00AB268E" w:rsidRDefault="004B4A54" w:rsidP="0042526D">
      <w:pPr>
        <w:jc w:val="both"/>
        <w:rPr>
          <w:rFonts w:ascii="Times New Roman" w:hAnsi="Times New Roman" w:cs="Times New Roman"/>
          <w:sz w:val="24"/>
          <w:szCs w:val="24"/>
        </w:rPr>
      </w:pPr>
      <w:r w:rsidRPr="00AB268E">
        <w:rPr>
          <w:rFonts w:ascii="Times New Roman" w:hAnsi="Times New Roman" w:cs="Times New Roman"/>
          <w:sz w:val="24"/>
          <w:szCs w:val="24"/>
        </w:rPr>
        <w:t xml:space="preserve">Fig </w:t>
      </w:r>
      <w:r w:rsidR="00C152D0">
        <w:rPr>
          <w:rFonts w:ascii="Times New Roman" w:hAnsi="Times New Roman" w:cs="Times New Roman"/>
          <w:sz w:val="24"/>
          <w:szCs w:val="24"/>
        </w:rPr>
        <w:t>3</w:t>
      </w:r>
      <w:r w:rsidR="006634EC" w:rsidRPr="00AB268E">
        <w:rPr>
          <w:rFonts w:ascii="Times New Roman" w:hAnsi="Times New Roman" w:cs="Times New Roman"/>
          <w:sz w:val="24"/>
          <w:szCs w:val="24"/>
        </w:rPr>
        <w:t>:</w:t>
      </w:r>
      <w:r w:rsidR="00311032" w:rsidRPr="00AB268E">
        <w:rPr>
          <w:rFonts w:ascii="Times New Roman" w:hAnsi="Times New Roman" w:cs="Times New Roman"/>
          <w:color w:val="222222"/>
          <w:sz w:val="24"/>
          <w:szCs w:val="24"/>
          <w:shd w:val="clear" w:color="auto" w:fill="FFFFFF"/>
        </w:rPr>
        <w:t xml:space="preserve"> M</w:t>
      </w:r>
      <w:r w:rsidR="00311032" w:rsidRPr="00AB268E">
        <w:rPr>
          <w:rFonts w:ascii="Times New Roman" w:hAnsi="Times New Roman" w:cs="Times New Roman"/>
          <w:sz w:val="24"/>
          <w:szCs w:val="24"/>
        </w:rPr>
        <w:t xml:space="preserve">olecular Surveillance Pipeline. The pipeline outlines the main concept of each process (sample collection, genotyping, clinical and metadata linkage, reporting, and public health response), and illustrates the solutions and roadblocks present at each stage of the pipeline. </w:t>
      </w:r>
      <w:r w:rsidR="00311032" w:rsidRPr="00AB268E">
        <w:rPr>
          <w:rFonts w:ascii="Times New Roman" w:hAnsi="Times New Roman" w:cs="Times New Roman"/>
          <w:sz w:val="24"/>
          <w:szCs w:val="24"/>
        </w:rPr>
        <w:lastRenderedPageBreak/>
        <w:t>Asterisks in the genotyping section are representative of identified mutations in variant X</w:t>
      </w:r>
      <w:r w:rsidR="006634EC" w:rsidRPr="00AB268E">
        <w:rPr>
          <w:rFonts w:ascii="Times New Roman" w:hAnsi="Times New Roman" w:cs="Times New Roman"/>
          <w:sz w:val="24"/>
          <w:szCs w:val="24"/>
        </w:rPr>
        <w:t xml:space="preserve"> </w:t>
      </w:r>
      <w:r w:rsidR="00311032" w:rsidRPr="00AB268E">
        <w:rPr>
          <w:rFonts w:ascii="Times New Roman" w:hAnsi="Times New Roman" w:cs="Times New Roman"/>
          <w:sz w:val="24"/>
          <w:szCs w:val="24"/>
        </w:rPr>
        <w:t>(</w:t>
      </w:r>
      <w:r w:rsidR="00584AE7" w:rsidRPr="00AB268E">
        <w:rPr>
          <w:rFonts w:ascii="Times New Roman" w:hAnsi="Times New Roman" w:cs="Times New Roman"/>
          <w:sz w:val="24"/>
          <w:szCs w:val="24"/>
        </w:rPr>
        <w:t xml:space="preserve">Ling-Hu, et al., </w:t>
      </w:r>
      <w:r w:rsidRPr="00AB268E">
        <w:rPr>
          <w:rFonts w:ascii="Times New Roman" w:hAnsi="Times New Roman" w:cs="Times New Roman"/>
          <w:sz w:val="24"/>
          <w:szCs w:val="24"/>
        </w:rPr>
        <w:t>2022</w:t>
      </w:r>
      <w:r w:rsidR="00311032" w:rsidRPr="00AB268E">
        <w:rPr>
          <w:rFonts w:ascii="Times New Roman" w:hAnsi="Times New Roman" w:cs="Times New Roman"/>
          <w:sz w:val="24"/>
          <w:szCs w:val="24"/>
        </w:rPr>
        <w:t>).</w:t>
      </w:r>
      <w:r w:rsidR="00850978" w:rsidRPr="00AB268E">
        <w:rPr>
          <w:rFonts w:ascii="Times New Roman" w:hAnsi="Times New Roman" w:cs="Times New Roman"/>
          <w:sz w:val="24"/>
          <w:szCs w:val="24"/>
        </w:rPr>
        <w:t xml:space="preserve"> </w:t>
      </w:r>
      <w:r w:rsidR="00584AE7" w:rsidRPr="00AB268E">
        <w:rPr>
          <w:rFonts w:ascii="Times New Roman" w:hAnsi="Times New Roman" w:cs="Times New Roman"/>
          <w:sz w:val="24"/>
          <w:szCs w:val="24"/>
        </w:rPr>
        <w:t>Challenges and Opportunities for Global Genomic Surveillance Strategies in the COVID-19 Era. </w:t>
      </w:r>
      <w:r w:rsidR="00584AE7" w:rsidRPr="00AB268E">
        <w:rPr>
          <w:rFonts w:ascii="Times New Roman" w:hAnsi="Times New Roman" w:cs="Times New Roman"/>
          <w:i/>
          <w:iCs/>
          <w:sz w:val="24"/>
          <w:szCs w:val="24"/>
        </w:rPr>
        <w:t>Viruses</w:t>
      </w:r>
      <w:r w:rsidR="00584AE7" w:rsidRPr="00AB268E">
        <w:rPr>
          <w:rFonts w:ascii="Times New Roman" w:hAnsi="Times New Roman" w:cs="Times New Roman"/>
          <w:sz w:val="24"/>
          <w:szCs w:val="24"/>
        </w:rPr>
        <w:t>, </w:t>
      </w:r>
      <w:r w:rsidR="00584AE7" w:rsidRPr="00AB268E">
        <w:rPr>
          <w:rFonts w:ascii="Times New Roman" w:hAnsi="Times New Roman" w:cs="Times New Roman"/>
          <w:i/>
          <w:iCs/>
          <w:sz w:val="24"/>
          <w:szCs w:val="24"/>
        </w:rPr>
        <w:t>14</w:t>
      </w:r>
      <w:r w:rsidR="00584AE7" w:rsidRPr="00AB268E">
        <w:rPr>
          <w:rFonts w:ascii="Times New Roman" w:hAnsi="Times New Roman" w:cs="Times New Roman"/>
          <w:sz w:val="24"/>
          <w:szCs w:val="24"/>
        </w:rPr>
        <w:t>(11), 2532. https://doi.org/10.3390/v14112532</w:t>
      </w:r>
    </w:p>
    <w:p w14:paraId="0A913069" w14:textId="0E3230A0"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5.2 Genomic Surveillance Tools in Cancer Prevention from Environmental Carcinogens</w:t>
      </w:r>
    </w:p>
    <w:p w14:paraId="7EFAD50D" w14:textId="3977856E"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Tobacco smoke, ultraviolet (UV) radiation, and industrial chemicals are environmental carcinogens that lead to the development of cancer by inducing genetic and epigenetic alterations. Genomic surveillance, the continuous monitoring of these molecular changes, is necessary for timely detection and prevention of cancer. So many technologies are available but a few tools have made an impact in reducing the risk of cancer caused by environmental exposures</w:t>
      </w:r>
      <w:r w:rsidR="00120D7E" w:rsidRPr="00AB268E">
        <w:rPr>
          <w:rFonts w:ascii="Times New Roman" w:hAnsi="Times New Roman" w:cs="Times New Roman"/>
          <w:sz w:val="24"/>
          <w:szCs w:val="24"/>
          <w:lang w:val="en-US"/>
        </w:rPr>
        <w:t xml:space="preserve"> </w:t>
      </w:r>
      <w:r w:rsidR="00120D7E" w:rsidRPr="00AB268E">
        <w:rPr>
          <w:rFonts w:ascii="Times New Roman" w:hAnsi="Times New Roman" w:cs="Times New Roman"/>
          <w:sz w:val="24"/>
          <w:szCs w:val="24"/>
          <w:lang w:val="en-US"/>
        </w:rPr>
        <w:fldChar w:fldCharType="begin"/>
      </w:r>
      <w:r w:rsidR="00120D7E" w:rsidRPr="00AB268E">
        <w:rPr>
          <w:rFonts w:ascii="Times New Roman" w:hAnsi="Times New Roman" w:cs="Times New Roman"/>
          <w:sz w:val="24"/>
          <w:szCs w:val="24"/>
          <w:lang w:val="en-US"/>
        </w:rPr>
        <w:instrText xml:space="preserve"> ADDIN ZOTERO_ITEM CSL_CITATION {"citationID":"wuUwOFCO","properties":{"formattedCitation":"(Shehata et al., 2023)","plainCitation":"(Shehata et al., 2023)","noteIndex":0},"citationItems":[{"id":191,"uris":["http://zotero.org/users/17156871/items/6NAEABWR"],"itemData":{"id":191,"type":"article-journal","abstract":"Lung cancer (LC) is the second-most prevalent tumor worldwide. According to the most recent GLOBOCAN data, over 2.2 million LC cases were reported in 2020, with an estimated new death incident of 1,796,144 lung cancer cases. Genetic, lifestyle, and environmental exposure play an important role as risk factors for LC. E-cigarette, or vaping, products (EVPs) use has been dramatically increasing world-wide. There is growing concern that EVPs consumption may increase the risk of LC because EVPs contain several proven carcinogenic compounds. However, the relationship between EVPs and LC is not well established. E-cigarette contains nicotine derivatives (e.g., nitrosnornicotine, nitrosamine ketone), heavy metals (including organometal compounds), polycyclic aromatic hydrocarbons, and flavorings (aldehydes and complex organics). Several environmental toxicants have been proven to contribute to LC. Proven and plausible environmental carcinogens could be physical (ionizing and non-ionizing radiation), chemicals (such as asbestos, formaldehyde, and dioxins), and heavy metals (such as cobalt, arsenic, cadmium, chromium, and nickel). Air pollution, especially particulate matter (PM) emitted from vehicles and industrial exhausts, is linked with LC. Although extensive environmental exposure prevention policies and smoking reduction strategies have been adopted globally, the dangers remain. Combined, both EVPs and toxic environmental exposures may demonstrate significant synergistic oncogenicity. This review aims to analyze the current publications on the importance of the relationship between EVPs consumption and environmental toxicants in the pathogenesis of LC.","container-title":"Cancers","DOI":"10.3390/cancers15184525","ISSN":"2072-6694","issue":"18","language":"en","license":"http://creativecommons.org/licenses/by/3.0/","note":"number: 18\npublisher: Multidisciplinary Digital Publishing Institute","page":"4525","source":"www.mdpi.com","title":"Vaping, Environmental Toxicants Exposure, and Lung Cancer Risk","volume":"15","author":[{"family":"Shehata","given":"Shaimaa A."},{"family":"Toraih","given":"Eman A."},{"family":"Ismail","given":"Ezzat A."},{"family":"Hagras","given":"Abeer M."},{"family":"Elmorsy","given":"Ekramy"},{"family":"Fawzy","given":"Manal S."}],"issued":{"date-parts":[["2023",1]]}}}],"schema":"https://github.com/citation-style-language/schema/raw/master/csl-citation.json"} </w:instrText>
      </w:r>
      <w:r w:rsidR="00120D7E" w:rsidRPr="00AB268E">
        <w:rPr>
          <w:rFonts w:ascii="Times New Roman" w:hAnsi="Times New Roman" w:cs="Times New Roman"/>
          <w:sz w:val="24"/>
          <w:szCs w:val="24"/>
          <w:lang w:val="en-US"/>
        </w:rPr>
        <w:fldChar w:fldCharType="separate"/>
      </w:r>
      <w:r w:rsidR="00120D7E" w:rsidRPr="00AB268E">
        <w:rPr>
          <w:rFonts w:ascii="Times New Roman" w:hAnsi="Times New Roman" w:cs="Times New Roman"/>
          <w:sz w:val="24"/>
          <w:szCs w:val="24"/>
        </w:rPr>
        <w:t>(Shehata et al., 2023)</w:t>
      </w:r>
      <w:r w:rsidR="00120D7E" w:rsidRPr="00AB268E">
        <w:rPr>
          <w:rFonts w:ascii="Times New Roman" w:hAnsi="Times New Roman" w:cs="Times New Roman"/>
          <w:sz w:val="24"/>
          <w:szCs w:val="24"/>
          <w:lang w:val="en-US"/>
        </w:rPr>
        <w:fldChar w:fldCharType="end"/>
      </w:r>
    </w:p>
    <w:p w14:paraId="77CC5AAA" w14:textId="77777777" w:rsidR="00AF2D44" w:rsidRPr="00AB268E" w:rsidRDefault="00AF2D44" w:rsidP="00AB268E">
      <w:pPr>
        <w:pStyle w:val="ListParagraph"/>
        <w:numPr>
          <w:ilvl w:val="0"/>
          <w:numId w:val="15"/>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Next-Generation Sequencing (NGS): The Cornerstone of Genomic Surveillance</w:t>
      </w:r>
    </w:p>
    <w:p w14:paraId="5AB06286" w14:textId="4CBA7D9C" w:rsidR="00C51570"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Next-Generation Sequencing (NGS) has </w:t>
      </w:r>
      <w:r w:rsidR="00640CBD" w:rsidRPr="00AB268E">
        <w:rPr>
          <w:rFonts w:ascii="Times New Roman" w:hAnsi="Times New Roman" w:cs="Times New Roman"/>
          <w:sz w:val="24"/>
          <w:szCs w:val="24"/>
          <w:lang w:val="en-US"/>
        </w:rPr>
        <w:t>changed the scope of genomic surveillance by ensuring that comprehensive and rapid sequencing of</w:t>
      </w:r>
      <w:r w:rsidR="00AB268E">
        <w:rPr>
          <w:rFonts w:ascii="Times New Roman" w:hAnsi="Times New Roman" w:cs="Times New Roman"/>
          <w:sz w:val="24"/>
          <w:szCs w:val="24"/>
          <w:lang w:val="en-US"/>
        </w:rPr>
        <w:t xml:space="preserve">   DNA</w:t>
      </w:r>
      <w:r w:rsidR="00640CBD" w:rsidRPr="00AB268E">
        <w:rPr>
          <w:rFonts w:ascii="Times New Roman" w:hAnsi="Times New Roman" w:cs="Times New Roman"/>
          <w:sz w:val="24"/>
          <w:szCs w:val="24"/>
          <w:lang w:val="en-US"/>
        </w:rPr>
        <w:t xml:space="preserve"> and </w:t>
      </w:r>
      <w:proofErr w:type="spellStart"/>
      <w:r w:rsidR="00640CBD" w:rsidRPr="00AB268E">
        <w:rPr>
          <w:rFonts w:ascii="Times New Roman" w:hAnsi="Times New Roman" w:cs="Times New Roman"/>
          <w:sz w:val="24"/>
          <w:szCs w:val="24"/>
          <w:lang w:val="en-US"/>
        </w:rPr>
        <w:t>rna</w:t>
      </w:r>
      <w:proofErr w:type="spellEnd"/>
      <w:r w:rsidR="00640CBD" w:rsidRPr="00AB268E">
        <w:rPr>
          <w:rFonts w:ascii="Times New Roman" w:hAnsi="Times New Roman" w:cs="Times New Roman"/>
          <w:sz w:val="24"/>
          <w:szCs w:val="24"/>
          <w:lang w:val="en-US"/>
        </w:rPr>
        <w:t xml:space="preserve"> are do</w:t>
      </w:r>
      <w:r w:rsidRPr="00AB268E">
        <w:rPr>
          <w:rFonts w:ascii="Times New Roman" w:hAnsi="Times New Roman" w:cs="Times New Roman"/>
          <w:sz w:val="24"/>
          <w:szCs w:val="24"/>
          <w:lang w:val="en-US"/>
        </w:rPr>
        <w:t>ne at an unprecedented scale. This technology is necessary for identifying mutations and structural variations induced by environmental carcinogens</w:t>
      </w:r>
      <w:r w:rsidR="002F1081" w:rsidRPr="00AB268E">
        <w:rPr>
          <w:rFonts w:ascii="Times New Roman" w:hAnsi="Times New Roman" w:cs="Times New Roman"/>
          <w:sz w:val="24"/>
          <w:szCs w:val="24"/>
          <w:lang w:val="en-US"/>
        </w:rPr>
        <w:t xml:space="preserve"> </w:t>
      </w:r>
      <w:r w:rsidR="0030119C" w:rsidRPr="00AB268E">
        <w:rPr>
          <w:rFonts w:ascii="Times New Roman" w:hAnsi="Times New Roman" w:cs="Times New Roman"/>
          <w:sz w:val="24"/>
          <w:szCs w:val="24"/>
          <w:lang w:val="en-US"/>
        </w:rPr>
        <w:fldChar w:fldCharType="begin"/>
      </w:r>
      <w:r w:rsidR="00472826" w:rsidRPr="00AB268E">
        <w:rPr>
          <w:rFonts w:ascii="Times New Roman" w:hAnsi="Times New Roman" w:cs="Times New Roman"/>
          <w:sz w:val="24"/>
          <w:szCs w:val="24"/>
          <w:lang w:val="en-US"/>
        </w:rPr>
        <w:instrText xml:space="preserve"> ADDIN ZOTERO_ITEM CSL_CITATION {"citationID":"yN58smtQ","properties":{"formattedCitation":"(Satam et al., 2023a)","plainCitation":"(Satam et al., 2023a)","noteIndex":0},"citationItems":[{"id":193,"uris":["http://zotero.org/users/17156871/items/H6IFHREK"],"itemData":{"id":193,"type":"article-journal","abstract":"Next-generation sequencing (NGS) is a powerful tool used in genomics research. NGS can sequence millions of DNA fragments at once, providing detailed information about the structure of genomes, genetic variations, gene activity, and changes in gene ...","container-title":"Biology","DOI":"10.3390/biology12070997","issue":"7","language":"en","note":"PMID: 37508427","page":"997","source":"pmc.ncbi.nlm.nih.gov","title":"Next-Generation Sequencing Technology: Current Trends and Advancements","title-short":"Next-Generation Sequencing Technology","volume":"12","author":[{"family":"Satam","given":"Heena"},{"family":"Joshi","given":"Kandarp"},{"family":"Mangrolia","given":"Upasana"},{"family":"Waghoo","given":"Sanober"},{"family":"Zaidi","given":"Gulnaz"},{"family":"Rawool","given":"Shravani"},{"family":"Thakare","given":"Ritesh P."},{"family":"Banday","given":"Shahid"},{"family":"Mishra","given":"Alok K."},{"family":"Das","given":"Gautam"},{"family":"Malonia","given":"Sunil K."}],"issued":{"date-parts":[["2023",7,13]]}}}],"schema":"https://github.com/citation-style-language/schema/raw/master/csl-citation.json"} </w:instrText>
      </w:r>
      <w:r w:rsidR="0030119C" w:rsidRPr="00AB268E">
        <w:rPr>
          <w:rFonts w:ascii="Times New Roman" w:hAnsi="Times New Roman" w:cs="Times New Roman"/>
          <w:sz w:val="24"/>
          <w:szCs w:val="24"/>
          <w:lang w:val="en-US"/>
        </w:rPr>
        <w:fldChar w:fldCharType="separate"/>
      </w:r>
      <w:r w:rsidR="00472826" w:rsidRPr="00AB268E">
        <w:rPr>
          <w:rFonts w:ascii="Times New Roman" w:hAnsi="Times New Roman" w:cs="Times New Roman"/>
          <w:sz w:val="24"/>
          <w:szCs w:val="24"/>
        </w:rPr>
        <w:t>(Satam et al., 2023a)</w:t>
      </w:r>
      <w:r w:rsidR="0030119C" w:rsidRPr="00AB268E">
        <w:rPr>
          <w:rFonts w:ascii="Times New Roman" w:hAnsi="Times New Roman" w:cs="Times New Roman"/>
          <w:sz w:val="24"/>
          <w:szCs w:val="24"/>
          <w:lang w:val="en-US"/>
        </w:rPr>
        <w:fldChar w:fldCharType="end"/>
      </w:r>
      <w:r w:rsidR="00000DD7" w:rsidRPr="00AB268E">
        <w:rPr>
          <w:rFonts w:ascii="Times New Roman" w:hAnsi="Times New Roman" w:cs="Times New Roman"/>
          <w:sz w:val="24"/>
          <w:szCs w:val="24"/>
          <w:lang w:val="en-US"/>
        </w:rPr>
        <w:t xml:space="preserve">. </w:t>
      </w:r>
      <w:r w:rsidR="008254B6" w:rsidRPr="00AB268E">
        <w:rPr>
          <w:rFonts w:ascii="Times New Roman" w:hAnsi="Times New Roman" w:cs="Times New Roman"/>
          <w:sz w:val="24"/>
          <w:szCs w:val="24"/>
          <w:lang w:val="en-US"/>
        </w:rPr>
        <w:t>researchers have been able to detect mutational patterns using these methods and also novel mutations and mutational signatures have been discovered by NGS</w:t>
      </w:r>
      <w:r w:rsidR="0042526D" w:rsidRPr="00AB268E">
        <w:rPr>
          <w:rFonts w:ascii="Times New Roman" w:hAnsi="Times New Roman" w:cs="Times New Roman"/>
          <w:sz w:val="24"/>
          <w:szCs w:val="24"/>
          <w:lang w:val="en-US"/>
        </w:rPr>
        <w:t>.</w:t>
      </w:r>
      <w:r w:rsidR="008254B6" w:rsidRPr="00AB268E">
        <w:rPr>
          <w:rFonts w:ascii="Times New Roman" w:hAnsi="Times New Roman" w:cs="Times New Roman"/>
          <w:sz w:val="24"/>
          <w:szCs w:val="24"/>
          <w:lang w:val="en-US"/>
        </w:rPr>
        <w:t xml:space="preserve"> this has improved our understanding on the progression of cancer induced by environmental carcinogens. (Satam et al., 2023b)</w:t>
      </w:r>
    </w:p>
    <w:p w14:paraId="42CF8510" w14:textId="597D09C7" w:rsidR="00AF2D44" w:rsidRPr="00AB268E" w:rsidRDefault="00AF2D44" w:rsidP="00AB268E">
      <w:pPr>
        <w:pStyle w:val="ListParagraph"/>
        <w:numPr>
          <w:ilvl w:val="0"/>
          <w:numId w:val="15"/>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Liquid Biopsy: A Non-Invasive Window into Early Carcinogenesis</w:t>
      </w:r>
    </w:p>
    <w:p w14:paraId="089F428F" w14:textId="5CE09E3A" w:rsidR="006C1736" w:rsidRPr="00AB268E" w:rsidRDefault="006C1736"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Traditional tissue biopsies are helpful but they are quite penetrative and using them for regular surveillance is not feasible. Liquid biopsy which can examine circulating tumor</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(ctDNA) or other tumor-derived nucleic acids in blood is the gold standard for non-invasive genomic surveillance (Cheng et al., 2016). It offers real snapshots of genetic alterations caused by carcinogens before tumors are even detected by capturing fragments of</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shed from damaged or precancerous cells. this is helpful to individuals exposed to high-risk environmental agents, making it easier for frequent monitoring without penetrative procedures. It is also used to track the progression of tumors and residual disease after intervention, supporting early adjustments in prevention and treatment strategies. Its highly sensitive and can detect low-frequency mutations making it an appropriate tool in personalized cancer prevention (Cheng et al., 2016).</w:t>
      </w:r>
    </w:p>
    <w:p w14:paraId="162A7F5D" w14:textId="684DB82B" w:rsidR="00AF2D44" w:rsidRPr="00AB268E" w:rsidRDefault="00AF2D44" w:rsidP="00AB268E">
      <w:pPr>
        <w:pStyle w:val="ListParagraph"/>
        <w:numPr>
          <w:ilvl w:val="0"/>
          <w:numId w:val="15"/>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Mutation Signature Analysis: Linking Mutations to Environmental Causes</w:t>
      </w:r>
    </w:p>
    <w:p w14:paraId="7217F05B" w14:textId="6CA3D8FA" w:rsidR="003A6119" w:rsidRPr="00AB268E" w:rsidRDefault="003D18F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rPr>
        <w:t xml:space="preserve">Mutation signature analysis is very useful for genomic data application. It identifies distinct patterns of mutations caused by specific environmental carcinogens. Environmental agents are known to cause unique mutations and they always leave a unique fingerprint. An example is tobacco smoke that shows predominant </w:t>
      </w:r>
      <w:r w:rsidR="00045653" w:rsidRPr="00AB268E">
        <w:rPr>
          <w:rFonts w:ascii="Times New Roman" w:hAnsi="Times New Roman" w:cs="Times New Roman"/>
          <w:sz w:val="24"/>
          <w:szCs w:val="24"/>
        </w:rPr>
        <w:t xml:space="preserve">C&gt;A </w:t>
      </w:r>
      <w:r w:rsidR="00706269" w:rsidRPr="00AB268E">
        <w:rPr>
          <w:rFonts w:ascii="Times New Roman" w:hAnsi="Times New Roman" w:cs="Times New Roman"/>
          <w:sz w:val="24"/>
          <w:szCs w:val="24"/>
        </w:rPr>
        <w:t xml:space="preserve">transversions and </w:t>
      </w:r>
      <w:r w:rsidRPr="00AB268E">
        <w:rPr>
          <w:rFonts w:ascii="Times New Roman" w:hAnsi="Times New Roman" w:cs="Times New Roman"/>
          <w:sz w:val="24"/>
          <w:szCs w:val="24"/>
        </w:rPr>
        <w:t xml:space="preserve">UV </w:t>
      </w:r>
      <w:r w:rsidR="00706269" w:rsidRPr="00AB268E">
        <w:rPr>
          <w:rFonts w:ascii="Times New Roman" w:hAnsi="Times New Roman" w:cs="Times New Roman"/>
          <w:sz w:val="24"/>
          <w:szCs w:val="24"/>
        </w:rPr>
        <w:t xml:space="preserve">radiations inducing </w:t>
      </w:r>
      <w:r w:rsidR="00045653" w:rsidRPr="00AB268E">
        <w:rPr>
          <w:rFonts w:ascii="Times New Roman" w:hAnsi="Times New Roman" w:cs="Times New Roman"/>
          <w:sz w:val="24"/>
          <w:szCs w:val="24"/>
        </w:rPr>
        <w:t xml:space="preserve">C&gt;T </w:t>
      </w:r>
      <w:r w:rsidR="00706269" w:rsidRPr="00AB268E">
        <w:rPr>
          <w:rFonts w:ascii="Times New Roman" w:hAnsi="Times New Roman" w:cs="Times New Roman"/>
          <w:sz w:val="24"/>
          <w:szCs w:val="24"/>
        </w:rPr>
        <w:t xml:space="preserve">transitions at </w:t>
      </w:r>
      <w:proofErr w:type="spellStart"/>
      <w:r w:rsidR="00706269" w:rsidRPr="00AB268E">
        <w:rPr>
          <w:rFonts w:ascii="Times New Roman" w:hAnsi="Times New Roman" w:cs="Times New Roman"/>
          <w:sz w:val="24"/>
          <w:szCs w:val="24"/>
        </w:rPr>
        <w:t>dipyrimidine</w:t>
      </w:r>
      <w:proofErr w:type="spellEnd"/>
      <w:r w:rsidR="00706269" w:rsidRPr="00AB268E">
        <w:rPr>
          <w:rFonts w:ascii="Times New Roman" w:hAnsi="Times New Roman" w:cs="Times New Roman"/>
          <w:sz w:val="24"/>
          <w:szCs w:val="24"/>
        </w:rPr>
        <w:t xml:space="preserve"> sites. examining these mutation signatures in patient samples using bioinformatic tools can identify the cause of cancer to its specific environmental exposure </w:t>
      </w:r>
      <w:r w:rsidR="00045653" w:rsidRPr="00AB268E">
        <w:rPr>
          <w:rFonts w:ascii="Times New Roman" w:hAnsi="Times New Roman" w:cs="Times New Roman"/>
          <w:sz w:val="24"/>
          <w:szCs w:val="24"/>
        </w:rPr>
        <w:t>(Riva et al., 2020a). </w:t>
      </w:r>
      <w:r w:rsidR="00AF2D44" w:rsidRPr="00AB268E">
        <w:rPr>
          <w:rFonts w:ascii="Times New Roman" w:hAnsi="Times New Roman" w:cs="Times New Roman"/>
          <w:sz w:val="24"/>
          <w:szCs w:val="24"/>
          <w:lang w:val="en-US"/>
        </w:rPr>
        <w:t xml:space="preserve">This information is a game changing outcome in the prevention of cancer. It assists public health policies by detecting widespread carcinogenic sources in the population. It brings about a personalized prevention scheme by integrating individual genetic changes to specific exposure. Therefore, mutation signature analysis closes the </w:t>
      </w:r>
      <w:r w:rsidR="00AF2D44" w:rsidRPr="00AB268E">
        <w:rPr>
          <w:rFonts w:ascii="Times New Roman" w:hAnsi="Times New Roman" w:cs="Times New Roman"/>
          <w:sz w:val="24"/>
          <w:szCs w:val="24"/>
          <w:lang w:val="en-US"/>
        </w:rPr>
        <w:lastRenderedPageBreak/>
        <w:t>gap between environmental epidemiology and molecular biology, ensuring targeted intervention</w:t>
      </w:r>
      <w:r w:rsidR="002C34B7" w:rsidRPr="00AB268E">
        <w:rPr>
          <w:rFonts w:ascii="Times New Roman" w:hAnsi="Times New Roman" w:cs="Times New Roman"/>
          <w:sz w:val="24"/>
          <w:szCs w:val="24"/>
          <w:lang w:val="en-US"/>
        </w:rPr>
        <w:fldChar w:fldCharType="begin"/>
      </w:r>
      <w:r w:rsidR="002C34B7" w:rsidRPr="00AB268E">
        <w:rPr>
          <w:rFonts w:ascii="Times New Roman" w:hAnsi="Times New Roman" w:cs="Times New Roman"/>
          <w:sz w:val="24"/>
          <w:szCs w:val="24"/>
          <w:lang w:val="en-US"/>
        </w:rPr>
        <w:instrText xml:space="preserve"> ADDIN ZOTERO_ITEM CSL_CITATION {"citationID":"LF3hF2hB","properties":{"formattedCitation":"(Riva et al., 2020b)","plainCitation":"(Riva et al., 2020b)","noteIndex":0},"citationItems":[{"id":212,"uris":["http://zotero.org/users/17156871/items/LP8SFUZP"],"itemData":{"id":212,"type":"article-journal","abstract":"Epidemiological studies have identified many environmental agents that appear to significantly increase cancer risk in human populations. By analyzing tumor genomes from mice chronically exposed to 1 of 20 known or suspected human carcinogens, we reveal that most agents do not generate distinct mutational signatures or increase mutation burden, with most mutations, including driver mutations, resulting from tissue-specific endogenous processes. We identify signatures resulting from exposure to cobalt and vinylidene chloride and link distinct human signatures (SBS19 and SBS42) with 1,2,3-trichloropropane, a haloalkane and pollutant of drinking water, and find these and other signatures in human tumor genomes. We define the cross-species genomic landscape of tumors induced by an important compendium of agents with relevance to human health.","container-title":"Nature Genetics","DOI":"10.1038/s41588-020-0692-4","ISSN":"1546-1718","issue":"11","journalAbbreviation":"Nat Genet","language":"eng","note":"PMID: 32989322\nPMCID: PMC7610456","page":"1189-1197","source":"PubMed","title":"The mutational signature profile of known and suspected human carcinogens in mice","volume":"52","author":[{"family":"Riva","given":"Laura"},{"family":"Pandiri","given":"Arun R."},{"family":"Li","given":"Yun Rose"},{"family":"Droop","given":"Alastair"},{"family":"Hewinson","given":"James"},{"family":"Quail","given":"Michael A."},{"family":"Iyer","given":"Vivek"},{"family":"Shepherd","given":"Rebecca"},{"family":"Herbert","given":"Ronald A."},{"family":"Campbell","given":"Peter J."},{"family":"Sills","given":"Robert C."},{"family":"Alexandrov","given":"Ludmil B."},{"family":"Balmain","given":"Allan"},{"family":"Adams","given":"David J."}],"issued":{"date-parts":[["2020",11]]}}}],"schema":"https://github.com/citation-style-language/schema/raw/master/csl-citation.json"} </w:instrText>
      </w:r>
      <w:r w:rsidR="002C34B7" w:rsidRPr="00AB268E">
        <w:rPr>
          <w:rFonts w:ascii="Times New Roman" w:hAnsi="Times New Roman" w:cs="Times New Roman"/>
          <w:sz w:val="24"/>
          <w:szCs w:val="24"/>
          <w:lang w:val="en-US"/>
        </w:rPr>
        <w:fldChar w:fldCharType="separate"/>
      </w:r>
      <w:r w:rsidR="002C34B7" w:rsidRPr="00AB268E">
        <w:rPr>
          <w:rFonts w:ascii="Times New Roman" w:hAnsi="Times New Roman" w:cs="Times New Roman"/>
          <w:sz w:val="24"/>
          <w:szCs w:val="24"/>
        </w:rPr>
        <w:t>(Riva et al., 2020b)</w:t>
      </w:r>
      <w:r w:rsidR="002C34B7" w:rsidRPr="00AB268E">
        <w:rPr>
          <w:rFonts w:ascii="Times New Roman" w:hAnsi="Times New Roman" w:cs="Times New Roman"/>
          <w:sz w:val="24"/>
          <w:szCs w:val="24"/>
          <w:lang w:val="en-US"/>
        </w:rPr>
        <w:fldChar w:fldCharType="end"/>
      </w:r>
      <w:r w:rsidR="00AF2D44" w:rsidRPr="00AB268E">
        <w:rPr>
          <w:rFonts w:ascii="Times New Roman" w:hAnsi="Times New Roman" w:cs="Times New Roman"/>
          <w:sz w:val="24"/>
          <w:szCs w:val="24"/>
          <w:lang w:val="en-US"/>
        </w:rPr>
        <w:t xml:space="preserve">.  </w:t>
      </w:r>
    </w:p>
    <w:p w14:paraId="7764CA74" w14:textId="4B7C13FF" w:rsidR="00AF2D44" w:rsidRPr="00AB268E" w:rsidRDefault="00AF2D44" w:rsidP="00AB268E">
      <w:pPr>
        <w:pStyle w:val="ListParagraph"/>
        <w:numPr>
          <w:ilvl w:val="0"/>
          <w:numId w:val="15"/>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Epigenetic Profiling: Understanding the Hidden Impact of Carcinogens</w:t>
      </w:r>
    </w:p>
    <w:p w14:paraId="70B7C2C4" w14:textId="427652EB"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Genetic mutations occur as a result of carcinogen exposure but then epigenetic changes play a crucial role in carcinogenesis by altering gene expression without changing the</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sequence.</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methylation changes caused by carcinogens are detected using tools like bisulfite providing early signs of altered cellular function preceding cancer development</w:t>
      </w:r>
      <w:r w:rsidR="0079270B" w:rsidRPr="00AB268E">
        <w:rPr>
          <w:rFonts w:ascii="Times New Roman" w:hAnsi="Times New Roman" w:cs="Times New Roman"/>
          <w:sz w:val="24"/>
          <w:szCs w:val="24"/>
          <w:lang w:val="en-US"/>
        </w:rPr>
        <w:t xml:space="preserve"> </w:t>
      </w:r>
      <w:r w:rsidR="00280145" w:rsidRPr="00AB268E">
        <w:rPr>
          <w:rFonts w:ascii="Times New Roman" w:hAnsi="Times New Roman" w:cs="Times New Roman"/>
          <w:sz w:val="24"/>
          <w:szCs w:val="24"/>
          <w:lang w:val="en-US"/>
        </w:rPr>
        <w:fldChar w:fldCharType="begin"/>
      </w:r>
      <w:r w:rsidR="00280145" w:rsidRPr="00AB268E">
        <w:rPr>
          <w:rFonts w:ascii="Times New Roman" w:hAnsi="Times New Roman" w:cs="Times New Roman"/>
          <w:sz w:val="24"/>
          <w:szCs w:val="24"/>
          <w:lang w:val="en-US"/>
        </w:rPr>
        <w:instrText xml:space="preserve"> ADDIN ZOTERO_ITEM CSL_CITATION {"citationID":"XD5IS0lj","properties":{"formattedCitation":"(Mani\\uc0\\u263{} et al., 2022)","plainCitation":"(Manić et al., 2022)","noteIndex":0},"citationItems":[{"id":205,"uris":["http://zotero.org/users/17156871/items/U79DXEH9"],"itemData":{"id":205,"type":"article-journal","abstract":"Many metals exhibit genotoxic and/or carcinogenic effects. These toxic metals can be found ubiquitously – in drinking water, food, air, general use products, in everyday and occupational settings. Exposure to such carcinogenic metals can result in serious health disorders, including cancer. Arsenic, cadmium, chromium, nickel, and their compounds have already been recognized as carcinogens by the International Agency for Research on Cancer. This review summarizes a wide range of epigenetic mechanisms contributing to carcinogenesis induced by these metals, primarily including, but not limited to, DNA methylation, miRNA regulation, and histone posttranslational modifications. The mechanisms are described and discussed both from a metal-centric and a mechanism-centric standpoint. The review takes a broad perspective, putting the mechanisms in the context of real-life exposure, and aims to assist in guiding future research, particularly with respect to the assessment and control of exposure to carcinogenic metals and novel therapy development., ga1, •Toxic metals can induce epigenetic mechanisms contributing to carcinogenesis.•The epigenetic mechanisms induced by Cd, As, Ni, and Cr are summarized.•The epigenetic mechanisms are put in the context of real-life exposure.","container-title":"Toxicology Reports","DOI":"10.1016/j.toxrep.2022.03.037","ISSN":"2214-7500","journalAbbreviation":"Toxicol Rep","note":"PMID: 36561948\nPMCID: PMC9764177","page":"778-787","source":"PubMed Central","title":"Epigenetic mechanisms in metal carcinogenesis","volume":"9","author":[{"family":"Manić","given":"Luka"},{"family":"Wallace","given":"David"},{"family":"Onganer","given":"Pinar Uysal"},{"family":"Taalab","given":"Yasmeen M."},{"family":"Farooqi","given":"Ammad Ahmad"},{"family":"Antonijević","given":"Biljana"},{"family":"Buha Djordjevic","given":"Aleksandra"}],"issued":{"date-parts":[["2022",4,4]]}}}],"schema":"https://github.com/citation-style-language/schema/raw/master/csl-citation.json"} </w:instrText>
      </w:r>
      <w:r w:rsidR="00280145" w:rsidRPr="00AB268E">
        <w:rPr>
          <w:rFonts w:ascii="Times New Roman" w:hAnsi="Times New Roman" w:cs="Times New Roman"/>
          <w:sz w:val="24"/>
          <w:szCs w:val="24"/>
          <w:lang w:val="en-US"/>
        </w:rPr>
        <w:fldChar w:fldCharType="separate"/>
      </w:r>
      <w:r w:rsidR="00280145" w:rsidRPr="00AB268E">
        <w:rPr>
          <w:rFonts w:ascii="Times New Roman" w:hAnsi="Times New Roman" w:cs="Times New Roman"/>
          <w:kern w:val="0"/>
          <w:sz w:val="24"/>
          <w:szCs w:val="24"/>
        </w:rPr>
        <w:t>(Manić et al., 2022)</w:t>
      </w:r>
      <w:r w:rsidR="00280145"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Since epigenetic modifications can be changed, their recognition using genomic surveillance provides potential for preventive therapies that restore normal gene regulation. Genetic analysis is enhanced by Epigenetic profiling by adding another dimension to cancer risk assessment, making it an important part of comprehensive genomic surveillance</w:t>
      </w:r>
      <w:r w:rsidR="00DE409D" w:rsidRPr="00AB268E">
        <w:rPr>
          <w:rFonts w:ascii="Times New Roman" w:hAnsi="Times New Roman" w:cs="Times New Roman"/>
          <w:sz w:val="24"/>
          <w:szCs w:val="24"/>
          <w:lang w:val="en-US"/>
        </w:rPr>
        <w:t xml:space="preserve"> </w:t>
      </w:r>
      <w:r w:rsidR="00DE409D" w:rsidRPr="00AB268E">
        <w:rPr>
          <w:rFonts w:ascii="Times New Roman" w:hAnsi="Times New Roman" w:cs="Times New Roman"/>
          <w:sz w:val="24"/>
          <w:szCs w:val="24"/>
          <w:lang w:val="en-US"/>
        </w:rPr>
        <w:fldChar w:fldCharType="begin"/>
      </w:r>
      <w:r w:rsidR="00DE409D" w:rsidRPr="00AB268E">
        <w:rPr>
          <w:rFonts w:ascii="Times New Roman" w:hAnsi="Times New Roman" w:cs="Times New Roman"/>
          <w:sz w:val="24"/>
          <w:szCs w:val="24"/>
          <w:lang w:val="en-US"/>
        </w:rPr>
        <w:instrText xml:space="preserve"> ADDIN ZOTERO_ITEM CSL_CITATION {"citationID":"I3CKtjmp","properties":{"formattedCitation":"(Baylin &amp; Jones, 2016)","plainCitation":"(Baylin &amp; Jones, 2016)","noteIndex":0},"citationItems":[{"id":207,"uris":["http://zotero.org/users/17156871/items/9BQCCR9B"],"itemData":{"id":207,"type":"article-journal","abstract":"Epigenetic changes are present in all human cancers and are now known to cooperate with genetic alterations to drive the cancer phenotype. These changes involve DNA methylation, histone modifiers and readers, chromatin remodelers, microRNAs, and other components of chromatin. Cancer genetics and epigenetics are inextricably linked in generating the malignant phenotype; epigenetic changes can cause mutations in genes, and, conversely, mutations are frequently observed in genes that modify the epigenome. Epigenetic therapies, in which the goal is to reverse these changes, are now one standard of care for a preleukemic disorder and form of lymphoma. The application of epigenetic therapies in the treatment of solid tumors is also emerging as a viable therapeutic route., Epigenetic changes (e.g., DNA hypomethylation) are present in all human cancers and help to drive tumorigenesis. Drugs that reverse such changes are emerging as effective cancer therapies.","container-title":"Cold Spring Harbor Perspectives in Biology","DOI":"10.1101/cshperspect.a019505","ISSN":"1943-0264","issue":"9","journalAbbreviation":"Cold Spring Harb Perspect Biol","note":"PMID: 27194046\nPMCID: PMC5008069","page":"a019505","source":"PubMed Central","title":"Epigenetic Determinants of Cancer","volume":"8","author":[{"family":"Baylin","given":"Stephen B."},{"family":"Jones","given":"Peter A."}],"issued":{"date-parts":[["2016",9]]}}}],"schema":"https://github.com/citation-style-language/schema/raw/master/csl-citation.json"} </w:instrText>
      </w:r>
      <w:r w:rsidR="00DE409D" w:rsidRPr="00AB268E">
        <w:rPr>
          <w:rFonts w:ascii="Times New Roman" w:hAnsi="Times New Roman" w:cs="Times New Roman"/>
          <w:sz w:val="24"/>
          <w:szCs w:val="24"/>
          <w:lang w:val="en-US"/>
        </w:rPr>
        <w:fldChar w:fldCharType="separate"/>
      </w:r>
      <w:r w:rsidR="00DE409D" w:rsidRPr="00AB268E">
        <w:rPr>
          <w:rFonts w:ascii="Times New Roman" w:hAnsi="Times New Roman" w:cs="Times New Roman"/>
          <w:sz w:val="24"/>
          <w:szCs w:val="24"/>
        </w:rPr>
        <w:t>(Baylin &amp; Jones, 2016)</w:t>
      </w:r>
      <w:r w:rsidR="00DE409D"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54B7D881" w14:textId="1FD0764B"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6. Opportunities and Limitations in Low-Resource Settings</w:t>
      </w:r>
    </w:p>
    <w:p w14:paraId="26FDF0B7" w14:textId="1CA65D7A"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In Spite of its prospects, the far-reaching integration of genomic surveillance in cancer prevention shows notable challenges, especially in underdeveloped countries. limitations in infrastructures such lack of sequencing facilities, biobanks, and data analytics capabilities, impede its fusion in routine public health practice</w:t>
      </w:r>
      <w:r w:rsidR="00654F70"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 xml:space="preserve">(Ochola, 2025). Ethical concerns like data privacy, informed consent, and potential misuse of genetic information exist. Community engagement and public trust should be built, especially when working with populations historically marginalized or exploited in research. Notwithstanding, sequencing technologies and mobile health platforms are now more accessible providing new opportunities for decentralized genomic data </w:t>
      </w:r>
      <w:r w:rsidR="003F4551" w:rsidRPr="00AB268E">
        <w:rPr>
          <w:rFonts w:ascii="Times New Roman" w:hAnsi="Times New Roman" w:cs="Times New Roman"/>
          <w:sz w:val="24"/>
          <w:szCs w:val="24"/>
          <w:lang w:val="en-US"/>
        </w:rPr>
        <w:t>collection (</w:t>
      </w:r>
      <w:r w:rsidRPr="00AB268E">
        <w:rPr>
          <w:rFonts w:ascii="Times New Roman" w:hAnsi="Times New Roman" w:cs="Times New Roman"/>
          <w:sz w:val="24"/>
          <w:szCs w:val="24"/>
          <w:lang w:val="en-US"/>
        </w:rPr>
        <w:t>Lee et al., 2025). With the right investment, underdeveloped countries can move from using traditional models to integrating genomic surveillance with digital health records, mobile diagnostics, and</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-powered analysis, creating a better and equitable cancer prevention </w:t>
      </w:r>
      <w:r w:rsidR="003F4551" w:rsidRPr="00AB268E">
        <w:rPr>
          <w:rFonts w:ascii="Times New Roman" w:hAnsi="Times New Roman" w:cs="Times New Roman"/>
          <w:sz w:val="24"/>
          <w:szCs w:val="24"/>
          <w:lang w:val="en-US"/>
        </w:rPr>
        <w:t>infrastructure (</w:t>
      </w:r>
      <w:r w:rsidRPr="00AB268E">
        <w:rPr>
          <w:rFonts w:ascii="Times New Roman" w:hAnsi="Times New Roman" w:cs="Times New Roman"/>
          <w:sz w:val="24"/>
          <w:szCs w:val="24"/>
          <w:lang w:val="en-US"/>
        </w:rPr>
        <w:t>Yeung et al., 2023).</w:t>
      </w:r>
    </w:p>
    <w:p w14:paraId="77086216" w14:textId="3DD8C40D"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7.   </w:t>
      </w:r>
      <w:r w:rsidRPr="00AB268E">
        <w:rPr>
          <w:rFonts w:ascii="Times New Roman" w:hAnsi="Times New Roman" w:cs="Times New Roman"/>
          <w:sz w:val="24"/>
          <w:szCs w:val="24"/>
          <w:lang w:val="en-US"/>
        </w:rPr>
        <w:tab/>
      </w:r>
      <w:r w:rsidR="00A3461A" w:rsidRPr="00AB268E">
        <w:rPr>
          <w:rFonts w:ascii="Times New Roman" w:hAnsi="Times New Roman" w:cs="Times New Roman"/>
          <w:sz w:val="24"/>
          <w:szCs w:val="24"/>
          <w:lang w:val="en-US"/>
        </w:rPr>
        <w:t>Artificial Intelligence in Cancer Genomics</w:t>
      </w:r>
    </w:p>
    <w:p w14:paraId="17A7DC62" w14:textId="6A424D16" w:rsidR="00AF2D44" w:rsidRPr="00AB268E" w:rsidRDefault="00A3461A"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7.1 Role of Artificial Intelligence in Cancer Genomics</w:t>
      </w:r>
    </w:p>
    <w:p w14:paraId="1DBE4EC8" w14:textId="52B8985C" w:rsidR="00AF2D44" w:rsidRPr="00AB268E" w:rsidRDefault="00E34C1F"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rPr>
        <w:t>Artificial intelligence has transformed the terrain of public health genomics by the analysis of large and</w:t>
      </w:r>
      <w:r w:rsidR="00596AB7" w:rsidRPr="00596AB7">
        <w:rPr>
          <w:rFonts w:ascii="Times New Roman" w:hAnsi="Times New Roman" w:cs="Times New Roman"/>
          <w:sz w:val="24"/>
          <w:szCs w:val="24"/>
          <w:lang w:val="en-US"/>
        </w:rPr>
        <w:t> complex datasets within a short time with high accuracy. When used in cancer prevention, it can be linked to genomic, environmental and clinical data to detect patterns, project disease risk and bring about targeted solutions (Bajwa et al., 2021).</w:t>
      </w:r>
      <w:r w:rsidR="00AB268E" w:rsidRPr="00AB268E">
        <w:rPr>
          <w:rFonts w:ascii="Times New Roman" w:hAnsi="Times New Roman" w:cs="Times New Roman"/>
          <w:sz w:val="24"/>
          <w:szCs w:val="24"/>
          <w:lang w:val="en-US"/>
        </w:rPr>
        <w:t xml:space="preserve"> AI</w:t>
      </w:r>
      <w:r w:rsidR="00596AB7" w:rsidRPr="00596AB7">
        <w:rPr>
          <w:rFonts w:ascii="Times New Roman" w:hAnsi="Times New Roman" w:cs="Times New Roman"/>
          <w:sz w:val="24"/>
          <w:szCs w:val="24"/>
          <w:lang w:val="en-US"/>
        </w:rPr>
        <w:t xml:space="preserve"> </w:t>
      </w:r>
      <w:r w:rsidR="001C4BA1" w:rsidRPr="00AB268E">
        <w:rPr>
          <w:rFonts w:ascii="Times New Roman" w:hAnsi="Times New Roman" w:cs="Times New Roman"/>
          <w:sz w:val="24"/>
          <w:szCs w:val="24"/>
          <w:lang w:val="en-US"/>
        </w:rPr>
        <w:t xml:space="preserve">models like machine learning and deep learning models, have been developed to detect subtle genomic mutations and epigenetic changes that are related to environmental exposures long before they become symptomatic. </w:t>
      </w:r>
      <w:proofErr w:type="spellStart"/>
      <w:r w:rsidR="001C4BA1" w:rsidRPr="00AB268E">
        <w:rPr>
          <w:rFonts w:ascii="Times New Roman" w:hAnsi="Times New Roman" w:cs="Times New Roman"/>
          <w:sz w:val="24"/>
          <w:szCs w:val="24"/>
          <w:lang w:val="en-US"/>
        </w:rPr>
        <w:t>thay</w:t>
      </w:r>
      <w:proofErr w:type="spellEnd"/>
      <w:r w:rsidR="001C4BA1" w:rsidRPr="00AB268E">
        <w:rPr>
          <w:rFonts w:ascii="Times New Roman" w:hAnsi="Times New Roman" w:cs="Times New Roman"/>
          <w:sz w:val="24"/>
          <w:szCs w:val="24"/>
          <w:lang w:val="en-US"/>
        </w:rPr>
        <w:t xml:space="preserve"> can stratify populations into risk levels,</w:t>
      </w:r>
      <w:r w:rsidR="00AB268E" w:rsidRPr="00AB268E">
        <w:rPr>
          <w:rFonts w:ascii="Times New Roman" w:hAnsi="Times New Roman" w:cs="Times New Roman"/>
          <w:sz w:val="24"/>
          <w:szCs w:val="24"/>
          <w:lang w:val="en-US"/>
        </w:rPr>
        <w:t xml:space="preserve"> </w:t>
      </w:r>
      <w:proofErr w:type="spellStart"/>
      <w:proofErr w:type="gramStart"/>
      <w:r w:rsidR="00AB268E" w:rsidRPr="00AB268E">
        <w:rPr>
          <w:rFonts w:ascii="Times New Roman" w:hAnsi="Times New Roman" w:cs="Times New Roman"/>
          <w:sz w:val="24"/>
          <w:szCs w:val="24"/>
          <w:lang w:val="en-US"/>
        </w:rPr>
        <w:t>AI</w:t>
      </w:r>
      <w:r w:rsidR="001C4BA1" w:rsidRPr="00AB268E">
        <w:rPr>
          <w:rFonts w:ascii="Times New Roman" w:hAnsi="Times New Roman" w:cs="Times New Roman"/>
          <w:sz w:val="24"/>
          <w:szCs w:val="24"/>
          <w:lang w:val="en-US"/>
        </w:rPr>
        <w:t>ding</w:t>
      </w:r>
      <w:proofErr w:type="spellEnd"/>
      <w:proofErr w:type="gramEnd"/>
      <w:r w:rsidR="001C4BA1" w:rsidRPr="00AB268E">
        <w:rPr>
          <w:rFonts w:ascii="Times New Roman" w:hAnsi="Times New Roman" w:cs="Times New Roman"/>
          <w:sz w:val="24"/>
          <w:szCs w:val="24"/>
          <w:lang w:val="en-US"/>
        </w:rPr>
        <w:t xml:space="preserve"> in timely </w:t>
      </w:r>
      <w:r w:rsidR="005D173B" w:rsidRPr="00AB268E">
        <w:rPr>
          <w:rFonts w:ascii="Times New Roman" w:hAnsi="Times New Roman" w:cs="Times New Roman"/>
          <w:sz w:val="24"/>
          <w:szCs w:val="24"/>
          <w:lang w:val="en-US"/>
        </w:rPr>
        <w:t xml:space="preserve">detection of individuals who take advantage of the screening or preventative care </w:t>
      </w:r>
      <w:r w:rsidR="00596AB7" w:rsidRPr="00596AB7">
        <w:rPr>
          <w:rFonts w:ascii="Times New Roman" w:hAnsi="Times New Roman" w:cs="Times New Roman"/>
          <w:sz w:val="24"/>
          <w:szCs w:val="24"/>
          <w:lang w:val="en-US"/>
        </w:rPr>
        <w:t>(</w:t>
      </w:r>
      <w:proofErr w:type="spellStart"/>
      <w:r w:rsidR="00596AB7" w:rsidRPr="00596AB7">
        <w:rPr>
          <w:rFonts w:ascii="Times New Roman" w:hAnsi="Times New Roman" w:cs="Times New Roman"/>
          <w:sz w:val="24"/>
          <w:szCs w:val="24"/>
          <w:lang w:val="en-US"/>
        </w:rPr>
        <w:t>Jamialahmadi</w:t>
      </w:r>
      <w:proofErr w:type="spellEnd"/>
      <w:r w:rsidR="00596AB7" w:rsidRPr="00596AB7">
        <w:rPr>
          <w:rFonts w:ascii="Times New Roman" w:hAnsi="Times New Roman" w:cs="Times New Roman"/>
          <w:sz w:val="24"/>
          <w:szCs w:val="24"/>
          <w:lang w:val="en-US"/>
        </w:rPr>
        <w:t xml:space="preserve"> et al., 2024). An example is the IBM </w:t>
      </w:r>
      <w:proofErr w:type="spellStart"/>
      <w:r w:rsidR="00596AB7" w:rsidRPr="00596AB7">
        <w:rPr>
          <w:rFonts w:ascii="Times New Roman" w:hAnsi="Times New Roman" w:cs="Times New Roman"/>
          <w:sz w:val="24"/>
          <w:szCs w:val="24"/>
          <w:lang w:val="en-US"/>
        </w:rPr>
        <w:t>watson</w:t>
      </w:r>
      <w:proofErr w:type="spellEnd"/>
      <w:r w:rsidR="00596AB7" w:rsidRPr="00596AB7">
        <w:rPr>
          <w:rFonts w:ascii="Times New Roman" w:hAnsi="Times New Roman" w:cs="Times New Roman"/>
          <w:sz w:val="24"/>
          <w:szCs w:val="24"/>
          <w:lang w:val="en-US"/>
        </w:rPr>
        <w:t xml:space="preserve"> genomics project, it is used in oncology settings to compare </w:t>
      </w:r>
      <w:r w:rsidR="001C4BA1" w:rsidRPr="00AB268E">
        <w:rPr>
          <w:rFonts w:ascii="Times New Roman" w:hAnsi="Times New Roman" w:cs="Times New Roman"/>
          <w:sz w:val="24"/>
          <w:szCs w:val="24"/>
          <w:lang w:val="en-US"/>
        </w:rPr>
        <w:t>patients’</w:t>
      </w:r>
      <w:r w:rsidR="00596AB7" w:rsidRPr="00596AB7">
        <w:rPr>
          <w:rFonts w:ascii="Times New Roman" w:hAnsi="Times New Roman" w:cs="Times New Roman"/>
          <w:sz w:val="24"/>
          <w:szCs w:val="24"/>
          <w:lang w:val="en-US"/>
        </w:rPr>
        <w:t xml:space="preserve"> genomic profiles with potential cancer therapies and determine carcinogenic exposures based on mutational patterns (Zhou et al., 2019). In </w:t>
      </w:r>
      <w:r w:rsidR="005D173B" w:rsidRPr="00AB268E">
        <w:rPr>
          <w:rFonts w:ascii="Times New Roman" w:hAnsi="Times New Roman" w:cs="Times New Roman"/>
          <w:sz w:val="24"/>
          <w:szCs w:val="24"/>
          <w:lang w:val="en-US"/>
        </w:rPr>
        <w:t>china,</w:t>
      </w:r>
      <w:r w:rsidR="00AB268E" w:rsidRPr="00AB268E">
        <w:rPr>
          <w:rFonts w:ascii="Times New Roman" w:hAnsi="Times New Roman" w:cs="Times New Roman"/>
          <w:sz w:val="24"/>
          <w:szCs w:val="24"/>
          <w:lang w:val="en-US"/>
        </w:rPr>
        <w:t xml:space="preserve"> AI</w:t>
      </w:r>
      <w:r w:rsidR="001C4BA1" w:rsidRPr="00AB268E">
        <w:rPr>
          <w:rFonts w:ascii="Times New Roman" w:hAnsi="Times New Roman" w:cs="Times New Roman"/>
          <w:sz w:val="24"/>
          <w:szCs w:val="24"/>
          <w:lang w:val="en-US"/>
        </w:rPr>
        <w:t xml:space="preserve"> </w:t>
      </w:r>
      <w:r w:rsidR="00596AB7" w:rsidRPr="00596AB7">
        <w:rPr>
          <w:rFonts w:ascii="Times New Roman" w:hAnsi="Times New Roman" w:cs="Times New Roman"/>
          <w:sz w:val="24"/>
          <w:szCs w:val="24"/>
          <w:lang w:val="en-US"/>
        </w:rPr>
        <w:t>-based genomic surveillance as used during a public health program to examine the effects of</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00596AB7" w:rsidRPr="00596AB7">
        <w:rPr>
          <w:rFonts w:ascii="Times New Roman" w:hAnsi="Times New Roman" w:cs="Times New Roman"/>
          <w:sz w:val="24"/>
          <w:szCs w:val="24"/>
          <w:lang w:val="en-US"/>
        </w:rPr>
        <w:t>r</w:t>
      </w:r>
      <w:proofErr w:type="spellEnd"/>
      <w:r w:rsidR="00596AB7" w:rsidRPr="00596AB7">
        <w:rPr>
          <w:rFonts w:ascii="Times New Roman" w:hAnsi="Times New Roman" w:cs="Times New Roman"/>
          <w:sz w:val="24"/>
          <w:szCs w:val="24"/>
          <w:lang w:val="en-US"/>
        </w:rPr>
        <w:t xml:space="preserve"> pollution on the risk of lung cancer. They made use of satellite data on</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00596AB7" w:rsidRPr="00596AB7">
        <w:rPr>
          <w:rFonts w:ascii="Times New Roman" w:hAnsi="Times New Roman" w:cs="Times New Roman"/>
          <w:sz w:val="24"/>
          <w:szCs w:val="24"/>
          <w:lang w:val="en-US"/>
        </w:rPr>
        <w:t>r</w:t>
      </w:r>
      <w:proofErr w:type="spellEnd"/>
      <w:r w:rsidR="00596AB7" w:rsidRPr="00596AB7">
        <w:rPr>
          <w:rFonts w:ascii="Times New Roman" w:hAnsi="Times New Roman" w:cs="Times New Roman"/>
          <w:sz w:val="24"/>
          <w:szCs w:val="24"/>
          <w:lang w:val="en-US"/>
        </w:rPr>
        <w:t xml:space="preserve"> quality, genetic sequencing from exposed populations and cancer incidence registries to identify mutation hotspots induced by PM2.5 </w:t>
      </w:r>
      <w:r w:rsidR="005D173B" w:rsidRPr="00AB268E">
        <w:rPr>
          <w:rFonts w:ascii="Times New Roman" w:hAnsi="Times New Roman" w:cs="Times New Roman"/>
          <w:sz w:val="24"/>
          <w:szCs w:val="24"/>
          <w:lang w:val="en-US"/>
        </w:rPr>
        <w:t>exposure (</w:t>
      </w:r>
      <w:r w:rsidR="00596AB7" w:rsidRPr="00596AB7">
        <w:rPr>
          <w:rFonts w:ascii="Times New Roman" w:hAnsi="Times New Roman" w:cs="Times New Roman"/>
          <w:sz w:val="24"/>
          <w:szCs w:val="24"/>
          <w:lang w:val="en-US"/>
        </w:rPr>
        <w:t xml:space="preserve">Xing et al., 2019). Pilot studies were carried out in </w:t>
      </w:r>
      <w:proofErr w:type="spellStart"/>
      <w:r w:rsidR="00596AB7" w:rsidRPr="00596AB7">
        <w:rPr>
          <w:rFonts w:ascii="Times New Roman" w:hAnsi="Times New Roman" w:cs="Times New Roman"/>
          <w:sz w:val="24"/>
          <w:szCs w:val="24"/>
          <w:lang w:val="en-US"/>
        </w:rPr>
        <w:t>sub-saharan</w:t>
      </w:r>
      <w:proofErr w:type="spellEnd"/>
      <w:r w:rsidR="00596AB7" w:rsidRPr="00596AB7">
        <w:rPr>
          <w:rFonts w:ascii="Times New Roman" w:hAnsi="Times New Roman" w:cs="Times New Roman"/>
          <w:sz w:val="24"/>
          <w:szCs w:val="24"/>
          <w:lang w:val="en-US"/>
        </w:rPr>
        <w:t xml:space="preserve"> Africa to examine genetic susceptibility to aflatoxin-induced liver cancer.</w:t>
      </w:r>
      <w:r w:rsidR="00AB268E" w:rsidRPr="00AB268E">
        <w:rPr>
          <w:rFonts w:ascii="Times New Roman" w:hAnsi="Times New Roman" w:cs="Times New Roman"/>
          <w:sz w:val="24"/>
          <w:szCs w:val="24"/>
          <w:lang w:val="en-US"/>
        </w:rPr>
        <w:t xml:space="preserve"> AI</w:t>
      </w:r>
      <w:r w:rsidR="00596AB7" w:rsidRPr="00596AB7">
        <w:rPr>
          <w:rFonts w:ascii="Times New Roman" w:hAnsi="Times New Roman" w:cs="Times New Roman"/>
          <w:sz w:val="24"/>
          <w:szCs w:val="24"/>
          <w:lang w:val="en-US"/>
        </w:rPr>
        <w:t xml:space="preserve"> has enhanced genomic analysis, real time risk modeling, automated biomarker recovery and the improvement of </w:t>
      </w:r>
      <w:r w:rsidR="00596AB7" w:rsidRPr="00596AB7">
        <w:rPr>
          <w:rFonts w:ascii="Times New Roman" w:hAnsi="Times New Roman" w:cs="Times New Roman"/>
          <w:sz w:val="24"/>
          <w:szCs w:val="24"/>
          <w:lang w:val="en-US"/>
        </w:rPr>
        <w:lastRenderedPageBreak/>
        <w:t xml:space="preserve">precluded health delivery. Its integration with genomic surveillance tools has changed the course of cancer </w:t>
      </w:r>
      <w:r w:rsidR="005D173B" w:rsidRPr="00AB268E">
        <w:rPr>
          <w:rFonts w:ascii="Times New Roman" w:hAnsi="Times New Roman" w:cs="Times New Roman"/>
          <w:sz w:val="24"/>
          <w:szCs w:val="24"/>
          <w:lang w:val="en-US"/>
        </w:rPr>
        <w:t>prevention (</w:t>
      </w:r>
      <w:proofErr w:type="spellStart"/>
      <w:r w:rsidR="00596AB7" w:rsidRPr="00596AB7">
        <w:rPr>
          <w:rFonts w:ascii="Times New Roman" w:hAnsi="Times New Roman" w:cs="Times New Roman"/>
          <w:sz w:val="24"/>
          <w:szCs w:val="24"/>
          <w:lang w:val="en-US"/>
        </w:rPr>
        <w:t>Amaeshi</w:t>
      </w:r>
      <w:proofErr w:type="spellEnd"/>
      <w:r w:rsidR="00596AB7" w:rsidRPr="00596AB7">
        <w:rPr>
          <w:rFonts w:ascii="Times New Roman" w:hAnsi="Times New Roman" w:cs="Times New Roman"/>
          <w:sz w:val="24"/>
          <w:szCs w:val="24"/>
          <w:lang w:val="en-US"/>
        </w:rPr>
        <w:t xml:space="preserve"> et al., 2025).</w:t>
      </w:r>
      <w:r w:rsidR="00AB268E"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Merging</w:t>
      </w:r>
      <w:r w:rsidR="00AB268E"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artificial intelligence (</w:t>
      </w:r>
      <w:r w:rsidR="00551AF2" w:rsidRPr="00AB268E">
        <w:rPr>
          <w:rFonts w:ascii="Times New Roman" w:hAnsi="Times New Roman" w:cs="Times New Roman"/>
          <w:sz w:val="24"/>
          <w:szCs w:val="24"/>
          <w:lang w:val="en-US"/>
        </w:rPr>
        <w:t>AI</w:t>
      </w:r>
      <w:r w:rsidR="00AF2D44" w:rsidRPr="00AB268E">
        <w:rPr>
          <w:rFonts w:ascii="Times New Roman" w:hAnsi="Times New Roman" w:cs="Times New Roman"/>
          <w:sz w:val="24"/>
          <w:szCs w:val="24"/>
          <w:lang w:val="en-US"/>
        </w:rPr>
        <w:t>), genomic surveillance, and environmental monitoring is a game changer in cancer prevention, ensuring the early detection of carcinogenic exposures and personalized interventions. This integrative framework connects continuous environmental data with molecular insights from genomic analysis, using</w:t>
      </w:r>
      <w:r w:rsidR="00AB268E" w:rsidRPr="00AB268E">
        <w:rPr>
          <w:rFonts w:ascii="Times New Roman" w:hAnsi="Times New Roman" w:cs="Times New Roman"/>
          <w:sz w:val="24"/>
          <w:szCs w:val="24"/>
          <w:lang w:val="en-US"/>
        </w:rPr>
        <w:t xml:space="preserve"> AI</w:t>
      </w:r>
      <w:r w:rsidR="00AF2D44" w:rsidRPr="00AB268E">
        <w:rPr>
          <w:rFonts w:ascii="Times New Roman" w:hAnsi="Times New Roman" w:cs="Times New Roman"/>
          <w:sz w:val="24"/>
          <w:szCs w:val="24"/>
          <w:lang w:val="en-US"/>
        </w:rPr>
        <w:t xml:space="preserve"> to produce complex information and guide timely public health </w:t>
      </w:r>
      <w:r w:rsidR="003A6119" w:rsidRPr="00AB268E">
        <w:rPr>
          <w:rFonts w:ascii="Times New Roman" w:hAnsi="Times New Roman" w:cs="Times New Roman"/>
          <w:sz w:val="24"/>
          <w:szCs w:val="24"/>
          <w:lang w:val="en-US"/>
        </w:rPr>
        <w:t>actions (</w:t>
      </w:r>
      <w:r w:rsidR="00AF2D44" w:rsidRPr="00AB268E">
        <w:rPr>
          <w:rFonts w:ascii="Times New Roman" w:hAnsi="Times New Roman" w:cs="Times New Roman"/>
          <w:sz w:val="24"/>
          <w:szCs w:val="24"/>
          <w:lang w:val="en-US"/>
        </w:rPr>
        <w:t>Chapla et al., 2024). In genomic surveillance</w:t>
      </w:r>
      <w:r w:rsidR="00AB268E">
        <w:rPr>
          <w:rFonts w:ascii="Times New Roman" w:hAnsi="Times New Roman" w:cs="Times New Roman"/>
          <w:sz w:val="24"/>
          <w:szCs w:val="24"/>
          <w:lang w:val="en-US"/>
        </w:rPr>
        <w:t xml:space="preserve">   DNA</w:t>
      </w:r>
      <w:r w:rsidR="00AF2D44" w:rsidRPr="00AB268E">
        <w:rPr>
          <w:rFonts w:ascii="Times New Roman" w:hAnsi="Times New Roman" w:cs="Times New Roman"/>
          <w:sz w:val="24"/>
          <w:szCs w:val="24"/>
          <w:lang w:val="en-US"/>
        </w:rPr>
        <w:t xml:space="preserve"> samples from exposed populations are analyzed to detect genetic mutations associated with cancer. By integrating this data with</w:t>
      </w:r>
      <w:r w:rsidR="00AB268E" w:rsidRPr="00AB268E">
        <w:rPr>
          <w:rFonts w:ascii="Times New Roman" w:hAnsi="Times New Roman" w:cs="Times New Roman"/>
          <w:sz w:val="24"/>
          <w:szCs w:val="24"/>
          <w:lang w:val="en-US"/>
        </w:rPr>
        <w:t xml:space="preserve"> AI</w:t>
      </w:r>
      <w:r w:rsidR="00AF2D44" w:rsidRPr="00AB268E">
        <w:rPr>
          <w:rFonts w:ascii="Times New Roman" w:hAnsi="Times New Roman" w:cs="Times New Roman"/>
          <w:sz w:val="24"/>
          <w:szCs w:val="24"/>
          <w:lang w:val="en-US"/>
        </w:rPr>
        <w:t xml:space="preserve">-powered analytics, gene-environment interactions can be recognized together with population specific cancer risk that may go unnoticed.  By combining data from different sources like remote sensing, health records, genomic banks, Algorithms can recognize cancer risk patterns and project the trajectory of disease. This method allows the early detection, risk stratification and targeted interventions which will ultimately lead to a reduction in environmentally induced </w:t>
      </w:r>
      <w:r w:rsidR="00A40BBE" w:rsidRPr="00AB268E">
        <w:rPr>
          <w:rFonts w:ascii="Times New Roman" w:hAnsi="Times New Roman" w:cs="Times New Roman"/>
          <w:sz w:val="24"/>
          <w:szCs w:val="24"/>
          <w:lang w:val="en-US"/>
        </w:rPr>
        <w:t>cancers (</w:t>
      </w:r>
      <w:r w:rsidR="00AF2D44" w:rsidRPr="00AB268E">
        <w:rPr>
          <w:rFonts w:ascii="Times New Roman" w:hAnsi="Times New Roman" w:cs="Times New Roman"/>
          <w:sz w:val="24"/>
          <w:szCs w:val="24"/>
          <w:lang w:val="en-US"/>
        </w:rPr>
        <w:t>O’Connor &amp; McVeigh, 2025b).</w:t>
      </w:r>
    </w:p>
    <w:p w14:paraId="28E10475"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noProof/>
          <w:sz w:val="24"/>
          <w:szCs w:val="24"/>
          <w:lang w:val="en-US"/>
        </w:rPr>
        <w:drawing>
          <wp:inline distT="0" distB="0" distL="0" distR="0" wp14:anchorId="51F332FA" wp14:editId="79F78778">
            <wp:extent cx="4914900" cy="2085975"/>
            <wp:effectExtent l="0" t="0" r="0" b="9525"/>
            <wp:docPr id="294200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2085975"/>
                    </a:xfrm>
                    <a:prstGeom prst="rect">
                      <a:avLst/>
                    </a:prstGeom>
                    <a:noFill/>
                    <a:ln>
                      <a:noFill/>
                    </a:ln>
                  </pic:spPr>
                </pic:pic>
              </a:graphicData>
            </a:graphic>
          </wp:inline>
        </w:drawing>
      </w:r>
    </w:p>
    <w:p w14:paraId="28F7262E" w14:textId="0F3F829E" w:rsidR="00AF2D44" w:rsidRPr="00AB268E" w:rsidRDefault="00734028"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FIG 4: </w:t>
      </w:r>
      <w:r w:rsidR="0068140A" w:rsidRPr="00AB268E">
        <w:rPr>
          <w:rFonts w:ascii="Times New Roman" w:hAnsi="Times New Roman" w:cs="Times New Roman"/>
          <w:sz w:val="24"/>
          <w:szCs w:val="24"/>
          <w:lang w:val="en-US"/>
        </w:rPr>
        <w:t>Clinical applications of</w:t>
      </w:r>
      <w:r w:rsidR="00AB268E" w:rsidRPr="00AB268E">
        <w:rPr>
          <w:rFonts w:ascii="Times New Roman" w:hAnsi="Times New Roman" w:cs="Times New Roman"/>
          <w:sz w:val="24"/>
          <w:szCs w:val="24"/>
          <w:lang w:val="en-US"/>
        </w:rPr>
        <w:t xml:space="preserve"> AI</w:t>
      </w:r>
      <w:r w:rsidR="0068140A" w:rsidRPr="00AB268E">
        <w:rPr>
          <w:rFonts w:ascii="Times New Roman" w:hAnsi="Times New Roman" w:cs="Times New Roman"/>
          <w:sz w:val="24"/>
          <w:szCs w:val="24"/>
          <w:lang w:val="en-US"/>
        </w:rPr>
        <w:t xml:space="preserve"> in early cancer diagnosis. Abbreviations: GP: general practitioner, NLP: natural language processing, EHR: electronic healthcare record, ML: machine learning, DL: deep learning, NGS: next-generation sequencin</w:t>
      </w:r>
      <w:r w:rsidR="00DB4162" w:rsidRPr="00AB268E">
        <w:rPr>
          <w:rFonts w:ascii="Times New Roman" w:hAnsi="Times New Roman" w:cs="Times New Roman"/>
          <w:sz w:val="24"/>
          <w:szCs w:val="24"/>
          <w:lang w:val="en-US"/>
        </w:rPr>
        <w:t>g Hunter et al., 2022. The Role of Artificial Intelligence in Early Cancer Diagnosis</w:t>
      </w:r>
      <w:r w:rsidR="00DB4162" w:rsidRPr="00AB268E">
        <w:rPr>
          <w:rFonts w:ascii="Times New Roman" w:hAnsi="Times New Roman" w:cs="Times New Roman"/>
          <w:i/>
          <w:iCs/>
          <w:sz w:val="24"/>
          <w:szCs w:val="24"/>
          <w:lang w:val="en-US"/>
        </w:rPr>
        <w:t>. Cancers</w:t>
      </w:r>
      <w:r w:rsidR="00DB4162" w:rsidRPr="00AB268E">
        <w:rPr>
          <w:rFonts w:ascii="Times New Roman" w:hAnsi="Times New Roman" w:cs="Times New Roman"/>
          <w:sz w:val="24"/>
          <w:szCs w:val="24"/>
          <w:lang w:val="en-US"/>
        </w:rPr>
        <w:t>. 14. 10.3390/cancers14061524.</w:t>
      </w:r>
      <w:r w:rsidR="00AF2D44" w:rsidRPr="00AB268E">
        <w:rPr>
          <w:rFonts w:ascii="Times New Roman" w:hAnsi="Times New Roman" w:cs="Times New Roman"/>
          <w:sz w:val="24"/>
          <w:szCs w:val="24"/>
          <w:lang w:val="en-US"/>
        </w:rPr>
        <w:t> </w:t>
      </w:r>
    </w:p>
    <w:p w14:paraId="2C808C8D" w14:textId="38BE4690"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7.2 Application </w:t>
      </w:r>
      <w:r w:rsidR="003A6119" w:rsidRPr="00AB268E">
        <w:rPr>
          <w:rFonts w:ascii="Times New Roman" w:hAnsi="Times New Roman" w:cs="Times New Roman"/>
          <w:sz w:val="24"/>
          <w:szCs w:val="24"/>
          <w:lang w:val="en-US"/>
        </w:rPr>
        <w:t>of</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in Cancer Prevention</w:t>
      </w:r>
    </w:p>
    <w:p w14:paraId="5A9CCEE5" w14:textId="76C7228A" w:rsidR="00AF2D44" w:rsidRPr="00AB268E" w:rsidRDefault="00AF2D44" w:rsidP="00AB268E">
      <w:pPr>
        <w:pStyle w:val="ListParagraph"/>
        <w:numPr>
          <w:ilvl w:val="0"/>
          <w:numId w:val="13"/>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AI for Predictive Risk Modeling</w:t>
      </w:r>
    </w:p>
    <w:p w14:paraId="3DF3C8D0" w14:textId="535368E9"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Predictive risk assessment is one of the powerful applications of</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Large volumes of genomic data, lifestyle factors, environmental exposures and social determinants can be analyzed by</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algorithms to predict the probability of developing cancer. Polygenic risk scores can be used by machine learning models together with environmental data to determine individuals who are at risk of developing cancers such as lung, bladder and even liver cancer</w:t>
      </w:r>
      <w:r w:rsidR="00935037" w:rsidRPr="00AB268E">
        <w:rPr>
          <w:rFonts w:ascii="Times New Roman" w:hAnsi="Times New Roman" w:cs="Times New Roman"/>
          <w:sz w:val="24"/>
          <w:szCs w:val="24"/>
          <w:lang w:val="en-US"/>
        </w:rPr>
        <w:t xml:space="preserve"> </w:t>
      </w:r>
      <w:r w:rsidR="00935037" w:rsidRPr="00AB268E">
        <w:rPr>
          <w:rFonts w:ascii="Times New Roman" w:hAnsi="Times New Roman" w:cs="Times New Roman"/>
          <w:sz w:val="24"/>
          <w:szCs w:val="24"/>
          <w:lang w:val="en-US"/>
        </w:rPr>
        <w:fldChar w:fldCharType="begin"/>
      </w:r>
      <w:r w:rsidR="00935037" w:rsidRPr="00AB268E">
        <w:rPr>
          <w:rFonts w:ascii="Times New Roman" w:hAnsi="Times New Roman" w:cs="Times New Roman"/>
          <w:sz w:val="24"/>
          <w:szCs w:val="24"/>
          <w:lang w:val="en-US"/>
        </w:rPr>
        <w:instrText xml:space="preserve"> ADDIN ZOTERO_ITEM CSL_CITATION {"citationID":"2lAGCvhm","properties":{"formattedCitation":"(Khanna et al., 2023)","plainCitation":"(Khanna et al., 2023)","noteIndex":0},"citationItems":[{"id":230,"uris":["http://zotero.org/users/17156871/items/6W6XXANJ"],"itemData":{"id":230,"type":"article-journal","abstract":"Cardiovascular disease (CVD) related mortality and morbidity heavily strain society. The relationship between external risk factors and our genetics have not been well established. It is widely acknowledged that environmental influence and individual behaviours play a significant role in CVD vulnerability, leading to the development of polygenic risk scores (PRS). We employed the PRISMA search method to locate pertinent research and literature to extensively review artificial intelligence (AI)-based PRS models for CVD risk prediction. Furthermore, we analyzed and compared conventional vs. AI-based solutions for PRS. We summarized the recent advances in our understanding of the use of AI-based PRS for risk prediction of CVD. Our study proposes three hypotheses: i) Multiple genetic variations and risk factors can be incorporated into AI-based PRS to improve the accuracy of CVD risk predicting. ii) AI-based PRS for CVD circumvents the drawbacks of conventional PRS calculators by incorporating a larger variety of genetic and non-genetic components, allowing for more precise and individualised risk estimations. iii) Using AI approaches, it is possible to significantly reduce the dimensionality of huge genomic datasets, resulting in more accurate and effective disease risk prediction models. Our study highlighted that the AI-PRS model outperformed traditional PRS calculators in predicting CVD risk. Furthermore, using AI-based methods to calculate PRS may increase the precision of risk predictions for CVD and have significant ramifications for individualized prevention and treatment plans.","container-title":"Journal of Korean Medical Science","DOI":"10.3346/jkms.2023.38.e395","ISSN":"1011-8934","issue":"46","journalAbbreviation":"J Korean Med Sci","note":"PMID: 38013648\nPMCID: PMC10681845","page":"e395","source":"PubMed Central","title":"Polygenic Risk Score for Cardiovascular Diseases in Artificial Intelligence Paradigm: A Review","title-short":"Polygenic Risk Score for Cardiovascular Diseases in Artificial Intelligence Paradigm","volume":"38","author":[{"family":"Khanna","given":"Narendra N"},{"family":"Singh","given":"Manasvi"},{"family":"Maindarkar","given":"Mahesh"},{"family":"Kumar","given":"Ashish"},{"family":"Johri","given":"Amer M."},{"family":"Mentella","given":"Laura"},{"family":"Laird","given":"John R"},{"family":"Paraskevas","given":"Kosmas I."},{"family":"Ruzsa","given":"Zoltan"},{"family":"Singh","given":"Narpinder"},{"family":"Kalra","given":"Mannudeep K."},{"family":"Fernandes","given":"Jose Fernandes E."},{"family":"Chaturvedi","given":"Seemant"},{"family":"Nicolaides","given":"Andrew"},{"family":"Rathore","given":"Vijay"},{"family":"Singh","given":"Inder"},{"family":"Teji","given":"Jagjit S."},{"family":"Al-Maini","given":"Mostafa"},{"family":"Isenovic","given":"Esma R."},{"family":"Viswanathan","given":"Vijay"},{"family":"Khanna","given":"Puneet"},{"family":"Fouda","given":"Mostafa M."},{"family":"Saba","given":"Luca"},{"family":"Suri","given":"Jasjit S."}],"issued":{"date-parts":[["2023",11,17]]}}}],"schema":"https://github.com/citation-style-language/schema/raw/master/csl-citation.json"} </w:instrText>
      </w:r>
      <w:r w:rsidR="00935037" w:rsidRPr="00AB268E">
        <w:rPr>
          <w:rFonts w:ascii="Times New Roman" w:hAnsi="Times New Roman" w:cs="Times New Roman"/>
          <w:sz w:val="24"/>
          <w:szCs w:val="24"/>
          <w:lang w:val="en-US"/>
        </w:rPr>
        <w:fldChar w:fldCharType="separate"/>
      </w:r>
      <w:r w:rsidR="00935037" w:rsidRPr="00AB268E">
        <w:rPr>
          <w:rFonts w:ascii="Times New Roman" w:hAnsi="Times New Roman" w:cs="Times New Roman"/>
          <w:sz w:val="24"/>
          <w:szCs w:val="24"/>
        </w:rPr>
        <w:t>(Khanna et al., 2023)</w:t>
      </w:r>
      <w:r w:rsidR="00935037"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has been used in breast cancer prevention to link BRCA mutation status, reproductive history and hormone exposure to project future risk and suggest personalized screening schedules. These models enhance the accuracy of risk stratification ensuring that timely and more personalized interventions are carried out</w:t>
      </w:r>
      <w:r w:rsidR="000372AB" w:rsidRPr="00AB268E">
        <w:rPr>
          <w:rFonts w:ascii="Times New Roman" w:hAnsi="Times New Roman" w:cs="Times New Roman"/>
          <w:sz w:val="24"/>
          <w:szCs w:val="24"/>
          <w:lang w:val="en-US"/>
        </w:rPr>
        <w:fldChar w:fldCharType="begin"/>
      </w:r>
      <w:r w:rsidR="000372AB" w:rsidRPr="00AB268E">
        <w:rPr>
          <w:rFonts w:ascii="Times New Roman" w:hAnsi="Times New Roman" w:cs="Times New Roman"/>
          <w:sz w:val="24"/>
          <w:szCs w:val="24"/>
          <w:lang w:val="en-US"/>
        </w:rPr>
        <w:instrText xml:space="preserve"> ADDIN ZOTERO_ITEM CSL_CITATION {"citationID":"g3xwMzil","properties":{"formattedCitation":"(Ahn et al., 2023)","plainCitation":"(Ahn et al., 2023)","noteIndex":0},"citationItems":[{"id":233,"uris":["http://zotero.org/users/17156871/items/6MWRAGDD"],"itemData":{"id":233,"type":"article-journal","abstract":"Breast cancer is a significant cause of cancer-related mortality in women worldwide. Early and precise diagnosis is crucial, and clinical outcomes can be markedly enhanced. The rise of artificial intelligence (AI) has ushered in a new era, notably in image analysis, paving the way for major advancements in breast cancer diagnosis and individualized treatment regimens. In the diagnostic workflow for patients with breast cancer, the role of AI encompasses screening, diagnosis, staging, biomarker evaluation, prognostication, and therapeutic response prediction. Although its potential is immense, its complete integration into clinical practice is challenging. Particularly, these challenges include the imperatives for extensive clinical validation, model generalizability, navigating the “black-box” conundrum, and pragmatic considerations of embedding AI into everyday clinical environments. In this review, we comprehensively explored the diverse applications of AI in breast cancer care, underlining its transformative promise and existing impediments. In radiology, we specifically address AI in mammography, tomosynthesis, risk prediction models, and supplementary imaging methods, including magnetic resonance imaging and ultrasound. In pathology, our focus is on AI applications for pathologic diagnosis, evaluation of biomarkers, and predictions related to genetic alterations, treatment response, and prognosis in the context of breast cancer diagnosis and treatment. Our discussion underscores the transformative potential of AI in breast cancer management and emphasizes the importance of focused research to realize the full spectrum of benefits of AI in patient care.","container-title":"Journal of Breast Cancer","DOI":"10.4048/jbc.2023.26.e45","ISSN":"1738-6756","issue":"5","journalAbbreviation":"J Breast Cancer","note":"PMID: 37926067\nPMCID: PMC10625863","page":"405-435","source":"PubMed Central","title":"Artificial Intelligence in Breast Cancer Diagnosis and Personalized Medicine","volume":"26","author":[{"family":"Ahn","given":"Jong Seok"},{"family":"Shin","given":"Sangwon"},{"family":"Yang","given":"Su-A"},{"family":"Park","given":"Eun Kyung"},{"family":"Kim","given":"Ki Hwan"},{"family":"Cho","given":"Soo Ick"},{"family":"Ock","given":"Chan-Young"},{"family":"Kim","given":"Seokhwi"}],"issued":{"date-parts":[["2023",10,17]]}}}],"schema":"https://github.com/citation-style-language/schema/raw/master/csl-citation.json"} </w:instrText>
      </w:r>
      <w:r w:rsidR="000372AB" w:rsidRPr="00AB268E">
        <w:rPr>
          <w:rFonts w:ascii="Times New Roman" w:hAnsi="Times New Roman" w:cs="Times New Roman"/>
          <w:sz w:val="24"/>
          <w:szCs w:val="24"/>
          <w:lang w:val="en-US"/>
        </w:rPr>
        <w:fldChar w:fldCharType="separate"/>
      </w:r>
      <w:r w:rsidR="000372AB" w:rsidRPr="00AB268E">
        <w:rPr>
          <w:rFonts w:ascii="Times New Roman" w:hAnsi="Times New Roman" w:cs="Times New Roman"/>
          <w:sz w:val="24"/>
          <w:szCs w:val="24"/>
        </w:rPr>
        <w:t>(Ahn et al., 2023)</w:t>
      </w:r>
      <w:r w:rsidR="000372AB" w:rsidRPr="00AB268E">
        <w:rPr>
          <w:rFonts w:ascii="Times New Roman" w:hAnsi="Times New Roman" w:cs="Times New Roman"/>
          <w:sz w:val="24"/>
          <w:szCs w:val="24"/>
          <w:lang w:val="en-US"/>
        </w:rPr>
        <w:fldChar w:fldCharType="end"/>
      </w:r>
      <w:r w:rsidR="000372AB" w:rsidRPr="00AB268E">
        <w:rPr>
          <w:rFonts w:ascii="Times New Roman" w:hAnsi="Times New Roman" w:cs="Times New Roman"/>
          <w:sz w:val="24"/>
          <w:szCs w:val="24"/>
          <w:lang w:val="en-US"/>
        </w:rPr>
        <w:t xml:space="preserve"> </w:t>
      </w:r>
    </w:p>
    <w:p w14:paraId="4C6B9F8A" w14:textId="67E42928" w:rsidR="00AF2D44" w:rsidRPr="00AB268E" w:rsidRDefault="00AF2D44" w:rsidP="00AB268E">
      <w:pPr>
        <w:pStyle w:val="ListParagraph"/>
        <w:numPr>
          <w:ilvl w:val="0"/>
          <w:numId w:val="13"/>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Early Detection through Biomarker and Imaging Analysis</w:t>
      </w:r>
    </w:p>
    <w:p w14:paraId="57D45204" w14:textId="0EBB015F"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lastRenderedPageBreak/>
        <w:t xml:space="preserve">AI is necessary for early detection which is an important element in cancer prevention.  In the detection of tumors and precancerous lesions that may be missed by human interpretation, deep learning algorithms can be used in mammograms, CT scans and MRIs. Early detection of biomarkers is improved by the use of </w:t>
      </w:r>
      <w:proofErr w:type="spellStart"/>
      <w:r w:rsidRPr="00AB268E">
        <w:rPr>
          <w:rFonts w:ascii="Times New Roman" w:hAnsi="Times New Roman" w:cs="Times New Roman"/>
          <w:sz w:val="24"/>
          <w:szCs w:val="24"/>
          <w:lang w:val="en-US"/>
        </w:rPr>
        <w:t>radigenomic</w:t>
      </w:r>
      <w:proofErr w:type="spellEnd"/>
      <w:r w:rsidRPr="00AB268E">
        <w:rPr>
          <w:rFonts w:ascii="Times New Roman" w:hAnsi="Times New Roman" w:cs="Times New Roman"/>
          <w:sz w:val="24"/>
          <w:szCs w:val="24"/>
          <w:lang w:val="en-US"/>
        </w:rPr>
        <w:t xml:space="preserve"> models by integrating imaging findings with underlying genetic mutations</w:t>
      </w:r>
      <w:r w:rsidR="00D33405" w:rsidRPr="00AB268E">
        <w:rPr>
          <w:rFonts w:ascii="Times New Roman" w:hAnsi="Times New Roman" w:cs="Times New Roman"/>
          <w:sz w:val="24"/>
          <w:szCs w:val="24"/>
          <w:lang w:val="en-US"/>
        </w:rPr>
        <w:fldChar w:fldCharType="begin"/>
      </w:r>
      <w:r w:rsidR="00D33405" w:rsidRPr="00AB268E">
        <w:rPr>
          <w:rFonts w:ascii="Times New Roman" w:hAnsi="Times New Roman" w:cs="Times New Roman"/>
          <w:sz w:val="24"/>
          <w:szCs w:val="24"/>
          <w:lang w:val="en-US"/>
        </w:rPr>
        <w:instrText xml:space="preserve"> ADDIN ZOTERO_ITEM CSL_CITATION {"citationID":"RIXosHuO","properties":{"formattedCitation":"(Bi et al., 2019)","plainCitation":"(Bi et al., 2019)","noteIndex":0},"citationItems":[{"id":236,"uris":["http://zotero.org/users/17156871/items/3C5ALMJ6"],"itemData":{"id":236,"type":"article-journal","abstract":"Judgement,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care.","container-title":"Ca","DOI":"10.3322/caac.21552","ISSN":"0007-9235","issue":"2","journalAbbreviation":"CA Cancer J Clin","note":"PMID: 30720861\nPMCID: PMC6403009","page":"127-157","source":"PubMed Central","title":"Artificial intelligence in cancer imaging: Clinical challenges and applications","title-short":"Artificial intelligence in cancer imaging","volume":"69","author":[{"family":"Bi","given":"Wenya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L."}],"issued":{"date-parts":[["2019"]]}}}],"schema":"https://github.com/citation-style-language/schema/raw/master/csl-citation.json"} </w:instrText>
      </w:r>
      <w:r w:rsidR="00D33405" w:rsidRPr="00AB268E">
        <w:rPr>
          <w:rFonts w:ascii="Times New Roman" w:hAnsi="Times New Roman" w:cs="Times New Roman"/>
          <w:sz w:val="24"/>
          <w:szCs w:val="24"/>
          <w:lang w:val="en-US"/>
        </w:rPr>
        <w:fldChar w:fldCharType="separate"/>
      </w:r>
      <w:r w:rsidR="00D33405" w:rsidRPr="00AB268E">
        <w:rPr>
          <w:rFonts w:ascii="Times New Roman" w:hAnsi="Times New Roman" w:cs="Times New Roman"/>
          <w:sz w:val="24"/>
          <w:szCs w:val="24"/>
        </w:rPr>
        <w:t>(Bi et al., 2019)</w:t>
      </w:r>
      <w:r w:rsidR="00D33405"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Furthermore,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plays an important role in examining biomolecular data from minimally invasive samples.</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can detect circulating tumor</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 (ctDNA), epigenetic changes, and abnormal protein expressions in blood through liquid biopsy analysis. These biomarkers are often present during asymptomatic, allowing for early and potentially life-saving intervention</w:t>
      </w:r>
      <w:r w:rsidR="00A92B58" w:rsidRPr="00AB268E">
        <w:rPr>
          <w:rFonts w:ascii="Times New Roman" w:hAnsi="Times New Roman" w:cs="Times New Roman"/>
          <w:sz w:val="24"/>
          <w:szCs w:val="24"/>
          <w:lang w:val="en-US"/>
        </w:rPr>
        <w:t xml:space="preserve"> </w:t>
      </w:r>
      <w:r w:rsidR="00A92B58" w:rsidRPr="00AB268E">
        <w:rPr>
          <w:rFonts w:ascii="Times New Roman" w:hAnsi="Times New Roman" w:cs="Times New Roman"/>
          <w:sz w:val="24"/>
          <w:szCs w:val="24"/>
          <w:lang w:val="en-US"/>
        </w:rPr>
        <w:fldChar w:fldCharType="begin"/>
      </w:r>
      <w:r w:rsidR="00A92B58" w:rsidRPr="00AB268E">
        <w:rPr>
          <w:rFonts w:ascii="Times New Roman" w:hAnsi="Times New Roman" w:cs="Times New Roman"/>
          <w:sz w:val="24"/>
          <w:szCs w:val="24"/>
          <w:lang w:val="en-US"/>
        </w:rPr>
        <w:instrText xml:space="preserve"> ADDIN ZOTERO_ITEM CSL_CITATION {"citationID":"y1fEB09d","properties":{"formattedCitation":"(Ginghina et al., 2022)","plainCitation":"(Ginghina et al., 2022)","noteIndex":0},"citationItems":[{"id":239,"uris":["http://zotero.org/users/17156871/items/AJYKGDZF"],"itemData":{"id":239,"type":"article-journal","abstract":"Colorectal cancer (CRC) is the second most frequently diagnosed type of cancer and a major worldwide public health concern. Despite the global efforts in the development of modern therapeutic strategies, CRC prognosis is strongly correlated with the stage of the disease at diagnosis. Early detection of CRC has a huge impact in decreasing mortality while pre-lesion detection significantly reduces the incidence of the pathology. Even though the management of CRC patients is based on robust diagnostic methods such as serum tumor markers analysis, colonoscopy, histopathological analysis of tumor tissue, and imaging methods (computer tomography or magnetic resonance), these strategies still have many limitations and do not fully satisfy clinical needs due to their lack of sensitivity and/or specificity. Therefore, improvements of the current practice would substantially impact the management of CRC patients. In this view, liquid biopsy is a promising approach that could help clinicians screen for disease, stratify patients to the best treatment, and monitor treatment response and resistance mechanisms in the tumor in a regular and minimally invasive manner. Liquid biopsies allow the detection and analysis of different tumor-derived circulating markers such as cell-free nucleic acids (cfNA), circulating tumor cells (CTCs), and extracellular vesicles (EVs) in the bloodstream. The major advantage of this approach is its ability to trace and monitor the molecular profile of the patient’s tumor and to predict personalized treatment in real-time. On the other hand, the prospective use of artificial intelligence (AI) in medicine holds great promise in oncology, for the diagnosis, treatment, and prognosis prediction of disease. AI has two main branches in the medical field: (i) a virtual branch that includes medical imaging, clinical assisted diagnosis, and treatment, as well as drug research, and (ii) a physical branch that includes surgical robots. This review summarizes findings relevant to liquid biopsy and AI in CRC for better management and stratification of CRC patients.","container-title":"Frontiers in Oncology","DOI":"10.3389/fonc.2022.856575","ISSN":"2234-943X","journalAbbreviation":"Front Oncol","note":"PMID: 35356214\nPMCID: PMC8959149","page":"856575","source":"PubMed Central","title":"Liquid Biopsy and Artificial Intelligence as Tools to Detect Signatures of Colorectal Malignancies: A Modern Approach in Patient’s Stratification","title-short":"Liquid Biopsy and Artificial Intelligence as Tools to Detect Signatures of Colorectal Malignancies","volume":"12","author":[{"family":"Ginghina","given":"Octav"},{"family":"Hudita","given":"Ariana"},{"family":"Zamfir","given":"Marius"},{"family":"Spanu","given":"Andrada"},{"family":"Mardare","given":"Mara"},{"family":"Bondoc","given":"Irina"},{"family":"Buburuzan","given":"Laura"},{"family":"Georgescu","given":"Sergiu Emil"},{"family":"Costache","given":"Marieta"},{"family":"Negrei","given":"Carolina"},{"family":"Nitipir","given":"Cornelia"},{"family":"Galateanu","given":"Bianca"}],"issued":{"date-parts":[["2022",3,8]]}}}],"schema":"https://github.com/citation-style-language/schema/raw/master/csl-citation.json"} </w:instrText>
      </w:r>
      <w:r w:rsidR="00A92B58" w:rsidRPr="00AB268E">
        <w:rPr>
          <w:rFonts w:ascii="Times New Roman" w:hAnsi="Times New Roman" w:cs="Times New Roman"/>
          <w:sz w:val="24"/>
          <w:szCs w:val="24"/>
          <w:lang w:val="en-US"/>
        </w:rPr>
        <w:fldChar w:fldCharType="separate"/>
      </w:r>
      <w:r w:rsidR="00A92B58" w:rsidRPr="00AB268E">
        <w:rPr>
          <w:rFonts w:ascii="Times New Roman" w:hAnsi="Times New Roman" w:cs="Times New Roman"/>
          <w:sz w:val="24"/>
          <w:szCs w:val="24"/>
        </w:rPr>
        <w:t>(Ginghina et al., 2022)</w:t>
      </w:r>
      <w:r w:rsidR="00A92B58"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075B37FA" w14:textId="19A25C63" w:rsidR="00AF2D44" w:rsidRPr="00AB268E" w:rsidRDefault="00AF2D44" w:rsidP="00AB268E">
      <w:pPr>
        <w:pStyle w:val="ListParagraph"/>
        <w:numPr>
          <w:ilvl w:val="0"/>
          <w:numId w:val="13"/>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Environmental and Population-Level Surveillance</w:t>
      </w:r>
    </w:p>
    <w:p w14:paraId="1525AD87" w14:textId="43FF6B8D"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The integration of environmental and genomic data to detect cancer hotspots and vulnerable populations is being made possible by</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Large datasets from environmental monitoring systems to hospital records can be scanned using natural language processing (NLP) tools to identify areas where cancer is prevalent</w:t>
      </w:r>
      <w:r w:rsidR="00EA128E" w:rsidRPr="00AB268E">
        <w:rPr>
          <w:rFonts w:ascii="Times New Roman" w:hAnsi="Times New Roman" w:cs="Times New Roman"/>
          <w:sz w:val="24"/>
          <w:szCs w:val="24"/>
          <w:lang w:val="en-US"/>
        </w:rPr>
        <w:fldChar w:fldCharType="begin"/>
      </w:r>
      <w:r w:rsidR="00EA128E" w:rsidRPr="00AB268E">
        <w:rPr>
          <w:rFonts w:ascii="Times New Roman" w:hAnsi="Times New Roman" w:cs="Times New Roman"/>
          <w:sz w:val="24"/>
          <w:szCs w:val="24"/>
          <w:lang w:val="en-US"/>
        </w:rPr>
        <w:instrText xml:space="preserve"> ADDIN ZOTERO_ITEM CSL_CITATION {"citationID":"oCLrgVhm","properties":{"formattedCitation":"(Maleki Varnosfaderani &amp; Forouzanfar, 2024)","plainCitation":"(Maleki Varnosfaderani &amp; Forouzanfar, 2024)","noteIndex":0},"citationItems":[{"id":241,"uris":["http://zotero.org/users/17156871/items/KXT82ZZQ"],"itemData":{"id":241,"type":"article-journal","abstract":"As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EA128E" w:rsidRPr="00AB268E">
        <w:rPr>
          <w:rFonts w:ascii="Times New Roman" w:hAnsi="Times New Roman" w:cs="Times New Roman"/>
          <w:sz w:val="24"/>
          <w:szCs w:val="24"/>
          <w:lang w:val="en-US"/>
        </w:rPr>
        <w:fldChar w:fldCharType="separate"/>
      </w:r>
      <w:r w:rsidR="00EA128E" w:rsidRPr="00AB268E">
        <w:rPr>
          <w:rFonts w:ascii="Times New Roman" w:hAnsi="Times New Roman" w:cs="Times New Roman"/>
          <w:sz w:val="24"/>
          <w:szCs w:val="24"/>
        </w:rPr>
        <w:t>(Maleki Varnosfaderani &amp; Forouzanfar, 2024)</w:t>
      </w:r>
      <w:r w:rsidR="00EA128E"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For instance,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has been used to lay out lung cancer trends in polluted urban areas by examining satellite</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quality data together with local cancer registries. This is most valuable in developing countries, where traditional surveillance systems may be weak or disjointed</w:t>
      </w:r>
      <w:r w:rsidR="008278C3" w:rsidRPr="00AB268E">
        <w:rPr>
          <w:rFonts w:ascii="Times New Roman" w:hAnsi="Times New Roman" w:cs="Times New Roman"/>
          <w:sz w:val="24"/>
          <w:szCs w:val="24"/>
          <w:lang w:val="en-US"/>
        </w:rPr>
        <w:t xml:space="preserve"> </w:t>
      </w:r>
      <w:r w:rsidR="008278C3" w:rsidRPr="00AB268E">
        <w:rPr>
          <w:rFonts w:ascii="Times New Roman" w:hAnsi="Times New Roman" w:cs="Times New Roman"/>
          <w:sz w:val="24"/>
          <w:szCs w:val="24"/>
          <w:lang w:val="en-US"/>
        </w:rPr>
        <w:fldChar w:fldCharType="begin"/>
      </w:r>
      <w:r w:rsidR="008278C3" w:rsidRPr="00AB268E">
        <w:rPr>
          <w:rFonts w:ascii="Times New Roman" w:hAnsi="Times New Roman" w:cs="Times New Roman"/>
          <w:sz w:val="24"/>
          <w:szCs w:val="24"/>
          <w:lang w:val="en-US"/>
        </w:rPr>
        <w:instrText xml:space="preserve"> ADDIN ZOTERO_ITEM CSL_CITATION {"citationID":"x9XpYeKO","properties":{"formattedCitation":"(Lei, 2024)","plainCitation":"(Lei, 2024)","noteIndex":0},"citationItems":[{"id":244,"uris":["http://zotero.org/users/17156871/items/LYEVL45G"],"itemData":{"id":244,"type":"article-journal","abstract":"The advent of artificial intelligence in healthcare is transforming medical research and clinical practice, with significant advancements in the areas of oncology. This commentary explores the pivotal role artificial intelligence plays in lung ...","container-title":"Cancer Control : Journal of the Moffitt Cancer Center","DOI":"10.1177/10732748241297373","language":"en","note":"PMID: 39460384","page":"10732748241297373","source":"pmc.ncbi.nlm.nih.gov","title":"The Application of Artificial Intelligence in Lung Cancer Research","volume":"31","author":[{"family":"Lei","given":"Fang"}],"issued":{"date-parts":[["2024",10,25]]}}}],"schema":"https://github.com/citation-style-language/schema/raw/master/csl-citation.json"} </w:instrText>
      </w:r>
      <w:r w:rsidR="008278C3" w:rsidRPr="00AB268E">
        <w:rPr>
          <w:rFonts w:ascii="Times New Roman" w:hAnsi="Times New Roman" w:cs="Times New Roman"/>
          <w:sz w:val="24"/>
          <w:szCs w:val="24"/>
          <w:lang w:val="en-US"/>
        </w:rPr>
        <w:fldChar w:fldCharType="separate"/>
      </w:r>
      <w:r w:rsidR="008278C3" w:rsidRPr="00AB268E">
        <w:rPr>
          <w:rFonts w:ascii="Times New Roman" w:hAnsi="Times New Roman" w:cs="Times New Roman"/>
          <w:sz w:val="24"/>
          <w:szCs w:val="24"/>
        </w:rPr>
        <w:t>(Lei, 2024)</w:t>
      </w:r>
      <w:r w:rsidR="008278C3"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617EC7AB" w14:textId="155EC211" w:rsidR="00AF2D44" w:rsidRPr="00AB268E" w:rsidRDefault="00AF2D44" w:rsidP="00AB268E">
      <w:pPr>
        <w:pStyle w:val="ListParagraph"/>
        <w:numPr>
          <w:ilvl w:val="0"/>
          <w:numId w:val="13"/>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AI for Public Education and Behavioral Interventions</w:t>
      </w:r>
    </w:p>
    <w:p w14:paraId="4D743915" w14:textId="43301532"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AI is changing the course of health communication beyond diagnostics and surveillance. Personalized cancer prevention counsel based on an individual’s health profile and exposure history can be accessed using</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powered apps and chatbots. Health literacy is promoted by these tools because complex genomic and environmental risks are translated into understandable messages</w:t>
      </w:r>
      <w:r w:rsidR="00900EB9" w:rsidRPr="00AB268E">
        <w:rPr>
          <w:rFonts w:ascii="Times New Roman" w:hAnsi="Times New Roman" w:cs="Times New Roman"/>
          <w:sz w:val="24"/>
          <w:szCs w:val="24"/>
          <w:lang w:val="en-US"/>
        </w:rPr>
        <w:fldChar w:fldCharType="begin"/>
      </w:r>
      <w:r w:rsidR="00900EB9" w:rsidRPr="00AB268E">
        <w:rPr>
          <w:rFonts w:ascii="Times New Roman" w:hAnsi="Times New Roman" w:cs="Times New Roman"/>
          <w:sz w:val="24"/>
          <w:szCs w:val="24"/>
          <w:lang w:val="en-US"/>
        </w:rPr>
        <w:instrText xml:space="preserve"> ADDIN ZOTERO_ITEM CSL_CITATION {"citationID":"R0UKLg9R","properties":{"formattedCitation":"(Goumas et al., 2024)","plainCitation":"(Goumas et al., 2024)","noteIndex":0},"citationItems":[{"id":246,"uris":["http://zotero.org/users/17156871/items/CVRLB2X9"],"itemData":{"id":246,"type":"article-journal","abstract":"The emergence of digitalization and artificial intelligence has had a profound impact on society, especially in the field of medicine. Digital health is now a reality, with an increasing number of people using chatbots for prognostic or diagnostic purposes, therapeutic planning, and monitoring, as well as for nutritional and mental health support. Initially designed for various purposes, chatbots have demonstrated significant advantages in the medical field, as indicated by multiple sources. However, there are conflicting views in the current literature, with some sources highlighting their drawbacks and limitations, particularly in their use in oncology. This state-of-the-art review article seeks to present both the benefits and the drawbacks of chatbots in the context of medicine and cancer, while also addressing the challenges in their implementation, offering expert insights on the subject.","container-title":"Journal of Personalized Medicine","DOI":"10.3390/jpm14080877","ISSN":"2075-4426","issue":"8","journalAbbreviation":"J Pers Med","note":"PMID: 39202068\nPMCID: PMC11355580","page":"877","source":"PubMed Central","title":"Chatbots in Cancer Applications, Advantages and Disadvantages: All that Glitters Is Not Gold","title-short":"Chatbots in Cancer Applications, Advantages and Disadvantages","volume":"14","author":[{"family":"Goumas","given":"Georgios"},{"family":"Dardavesis","given":"Theodoros I."},{"family":"Syrigos","given":"Konstantinos"},{"family":"Syrigos","given":"Nikolaos"},{"family":"Simou","given":"Effie"}],"issued":{"date-parts":[["2024",8,19]]}}}],"schema":"https://github.com/citation-style-language/schema/raw/master/csl-citation.json"} </w:instrText>
      </w:r>
      <w:r w:rsidR="00900EB9" w:rsidRPr="00AB268E">
        <w:rPr>
          <w:rFonts w:ascii="Times New Roman" w:hAnsi="Times New Roman" w:cs="Times New Roman"/>
          <w:sz w:val="24"/>
          <w:szCs w:val="24"/>
          <w:lang w:val="en-US"/>
        </w:rPr>
        <w:fldChar w:fldCharType="separate"/>
      </w:r>
      <w:r w:rsidR="00900EB9" w:rsidRPr="00AB268E">
        <w:rPr>
          <w:rFonts w:ascii="Times New Roman" w:hAnsi="Times New Roman" w:cs="Times New Roman"/>
          <w:sz w:val="24"/>
          <w:szCs w:val="24"/>
        </w:rPr>
        <w:t>(Goumas et al., 2024)</w:t>
      </w:r>
      <w:r w:rsidR="00900EB9"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737D6404" w14:textId="355CC64C"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8. Challenges and ethical considerations </w:t>
      </w:r>
    </w:p>
    <w:p w14:paraId="4D95F47D" w14:textId="0BC03118" w:rsidR="00AF2D44" w:rsidRPr="00AB268E" w:rsidRDefault="00AF2D44" w:rsidP="00AB268E">
      <w:pPr>
        <w:pStyle w:val="ListParagraph"/>
        <w:numPr>
          <w:ilvl w:val="0"/>
          <w:numId w:val="12"/>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Data privacy and genetic discrimination: genomic data is highly sensitive and should be confidential. When data is not protected, the software may be hacked and patients may be at risk of genetic discrimination in employment, insurance or the society</w:t>
      </w:r>
      <w:r w:rsidR="003A611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(Arshad et al., 2021).</w:t>
      </w:r>
    </w:p>
    <w:p w14:paraId="51A7FCC2" w14:textId="38912D30" w:rsidR="00AF2D44" w:rsidRPr="00AB268E" w:rsidRDefault="00AF2D44" w:rsidP="00AB268E">
      <w:pPr>
        <w:pStyle w:val="ListParagraph"/>
        <w:numPr>
          <w:ilvl w:val="0"/>
          <w:numId w:val="12"/>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Bias in</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algorithms and genomic datasets: many</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are trained on highly developed datasets and this may lead to inaccurate predictions for underrepresented populations. This may worsen the health of the individual</w:t>
      </w:r>
      <w:r w:rsidR="003A611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(Norori et al., 2021).</w:t>
      </w:r>
    </w:p>
    <w:p w14:paraId="493CDB01" w14:textId="12E9AF7D" w:rsidR="00A3461A" w:rsidRPr="00AB268E" w:rsidRDefault="00AF2D44" w:rsidP="00AB268E">
      <w:pPr>
        <w:pStyle w:val="ListParagraph"/>
        <w:numPr>
          <w:ilvl w:val="0"/>
          <w:numId w:val="12"/>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Infrastructure, capacity, and funding gaps in low- and middle-income countries (LMICS): the implementation of</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-driven surveillance undeveloped countries is a huge problem due to challenges in funding, thereby limiting their ability to participate in new development</w:t>
      </w:r>
      <w:r w:rsidR="003A611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(Khan et al., 2024).</w:t>
      </w:r>
    </w:p>
    <w:p w14:paraId="586C2BAD" w14:textId="13E28D60" w:rsidR="00AF2D44" w:rsidRPr="00AB268E" w:rsidRDefault="00AF2D44" w:rsidP="00AB268E">
      <w:pPr>
        <w:pStyle w:val="ListParagraph"/>
        <w:numPr>
          <w:ilvl w:val="0"/>
          <w:numId w:val="12"/>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Need for regulatory oversight and public trust: clear regulations should be established to ensure the ethical use of</w:t>
      </w:r>
      <w:r w:rsidR="00AB268E" w:rsidRPr="00AB268E">
        <w:rPr>
          <w:rFonts w:ascii="Times New Roman" w:hAnsi="Times New Roman" w:cs="Times New Roman"/>
          <w:sz w:val="24"/>
          <w:szCs w:val="24"/>
          <w:lang w:val="en-US"/>
        </w:rPr>
        <w:t xml:space="preserve"> AI</w:t>
      </w:r>
      <w:r w:rsidR="00BE6D49" w:rsidRPr="00AB268E">
        <w:rPr>
          <w:rFonts w:ascii="Times New Roman" w:hAnsi="Times New Roman" w:cs="Times New Roman"/>
          <w:sz w:val="24"/>
          <w:szCs w:val="24"/>
          <w:lang w:val="en-US"/>
        </w:rPr>
        <w:t>.</w:t>
      </w:r>
      <w:r w:rsidRPr="00AB268E">
        <w:rPr>
          <w:rFonts w:ascii="Times New Roman" w:hAnsi="Times New Roman" w:cs="Times New Roman"/>
          <w:sz w:val="24"/>
          <w:szCs w:val="24"/>
          <w:lang w:val="en-US"/>
        </w:rPr>
        <w:t xml:space="preserve"> </w:t>
      </w:r>
      <w:r w:rsidR="00BE6D49" w:rsidRPr="00AB268E">
        <w:rPr>
          <w:rFonts w:ascii="Times New Roman" w:hAnsi="Times New Roman" w:cs="Times New Roman"/>
          <w:sz w:val="24"/>
          <w:szCs w:val="24"/>
          <w:lang w:val="en-US"/>
        </w:rPr>
        <w:t>P</w:t>
      </w:r>
      <w:r w:rsidR="003A6119" w:rsidRPr="00AB268E">
        <w:rPr>
          <w:rFonts w:ascii="Times New Roman" w:hAnsi="Times New Roman" w:cs="Times New Roman"/>
          <w:sz w:val="24"/>
          <w:szCs w:val="24"/>
          <w:lang w:val="en-US"/>
        </w:rPr>
        <w:t>ublic</w:t>
      </w:r>
      <w:r w:rsidRPr="00AB268E">
        <w:rPr>
          <w:rFonts w:ascii="Times New Roman" w:hAnsi="Times New Roman" w:cs="Times New Roman"/>
          <w:sz w:val="24"/>
          <w:szCs w:val="24"/>
          <w:lang w:val="en-US"/>
        </w:rPr>
        <w:t xml:space="preserve"> trust can be developed through transparency, informed consent and the participation of the community</w:t>
      </w:r>
      <w:r w:rsidR="00BE6D4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(Rossi &amp; Lenzini, 2020).</w:t>
      </w:r>
    </w:p>
    <w:p w14:paraId="48D45E45"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9.  Policy and implementation strategies</w:t>
      </w:r>
    </w:p>
    <w:p w14:paraId="4C6F4C65" w14:textId="46D4B8D6" w:rsidR="00415353" w:rsidRPr="00AB268E" w:rsidRDefault="00415353" w:rsidP="00AB268E">
      <w:pPr>
        <w:pStyle w:val="ListParagraph"/>
        <w:numPr>
          <w:ilvl w:val="0"/>
          <w:numId w:val="10"/>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Building capacity in public health institutions: Building effective</w:t>
      </w:r>
      <w:r w:rsidR="00AB268E" w:rsidRPr="00AB268E">
        <w:rPr>
          <w:rFonts w:ascii="Times New Roman" w:hAnsi="Times New Roman" w:cs="Times New Roman"/>
          <w:sz w:val="24"/>
          <w:szCs w:val="24"/>
          <w:lang w:val="en-US"/>
        </w:rPr>
        <w:t xml:space="preserve"> AI</w:t>
      </w:r>
      <w:r w:rsidR="00F80B4A"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 xml:space="preserve">-enabled genomic surveillance for cancer prevention requires comprehensive policy frameworks and collaborative efforts across sectors. developing public health infrastructure is crucial to </w:t>
      </w:r>
      <w:r w:rsidRPr="00AB268E">
        <w:rPr>
          <w:rFonts w:ascii="Times New Roman" w:hAnsi="Times New Roman" w:cs="Times New Roman"/>
          <w:sz w:val="24"/>
          <w:szCs w:val="24"/>
          <w:lang w:val="en-US"/>
        </w:rPr>
        <w:lastRenderedPageBreak/>
        <w:t>genomic and</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surveillance. This can be made possible by </w:t>
      </w:r>
      <w:proofErr w:type="spellStart"/>
      <w:r w:rsidRPr="00AB268E">
        <w:rPr>
          <w:rFonts w:ascii="Times New Roman" w:hAnsi="Times New Roman" w:cs="Times New Roman"/>
          <w:sz w:val="24"/>
          <w:szCs w:val="24"/>
          <w:lang w:val="en-US"/>
        </w:rPr>
        <w:t>investmenting</w:t>
      </w:r>
      <w:proofErr w:type="spellEnd"/>
      <w:r w:rsidRPr="00AB268E">
        <w:rPr>
          <w:rFonts w:ascii="Times New Roman" w:hAnsi="Times New Roman" w:cs="Times New Roman"/>
          <w:sz w:val="24"/>
          <w:szCs w:val="24"/>
          <w:lang w:val="en-US"/>
        </w:rPr>
        <w:t xml:space="preserve"> in labs, professionals, data analytics, expertise and training researchers to make use of these technologies efficiently (Akingbola et al., 2024). </w:t>
      </w:r>
    </w:p>
    <w:p w14:paraId="64D299E1" w14:textId="06053126" w:rsidR="00415353" w:rsidRPr="00AB268E" w:rsidRDefault="00415353" w:rsidP="00AB268E">
      <w:pPr>
        <w:pStyle w:val="ListParagraph"/>
        <w:numPr>
          <w:ilvl w:val="0"/>
          <w:numId w:val="10"/>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International cooperation and data-sharing frameworks: in genomic surveillance, global collaboration and data-sharing</w:t>
      </w:r>
      <w:r w:rsidR="00F80B4A"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frameworks are needed. International agreements from organizations like the Global alliance for genomics and health will ensure proper data sharing and promote transparency, equity and individual rights (Knoppers, 2014). </w:t>
      </w:r>
    </w:p>
    <w:p w14:paraId="7E6628BF" w14:textId="48E552C3" w:rsidR="00415353" w:rsidRPr="00AB268E" w:rsidRDefault="00415353" w:rsidP="00AB268E">
      <w:pPr>
        <w:pStyle w:val="ListParagraph"/>
        <w:numPr>
          <w:ilvl w:val="0"/>
          <w:numId w:val="10"/>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Community engagement and public education: engaging in community activities and public education is necessary to build public trust and encourage individuals to participate in genomic surveillance. This can be made possible through awareness and culturally sensitive communication (Haga et al., 2013). </w:t>
      </w:r>
    </w:p>
    <w:p w14:paraId="12C25927" w14:textId="6E2622BA" w:rsidR="00AF2D44" w:rsidRPr="00AB268E" w:rsidRDefault="00415353" w:rsidP="00AB268E">
      <w:pPr>
        <w:pStyle w:val="ListParagraph"/>
        <w:numPr>
          <w:ilvl w:val="0"/>
          <w:numId w:val="10"/>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Role of interdisciplinary partnerships: Collaboration across different disciplines. Genomics, environmental science, informatics and public health collaboration will build innovative solutions, better data integration and equitable interventions (Javaid et al., 2024) </w:t>
      </w:r>
      <w:r w:rsidR="00AF2D44" w:rsidRPr="00AB268E">
        <w:rPr>
          <w:rFonts w:ascii="Times New Roman" w:hAnsi="Times New Roman" w:cs="Times New Roman"/>
          <w:sz w:val="24"/>
          <w:szCs w:val="24"/>
          <w:lang w:val="en-US"/>
        </w:rPr>
        <w:t> </w:t>
      </w:r>
    </w:p>
    <w:p w14:paraId="44E2F0E7"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10.. Future directions and research needs</w:t>
      </w:r>
    </w:p>
    <w:p w14:paraId="5140AF8C" w14:textId="70FA4355" w:rsidR="00AF2D44" w:rsidRPr="00AB268E" w:rsidRDefault="00AB268E" w:rsidP="00AB268E">
      <w:pPr>
        <w:pStyle w:val="ListParagraph"/>
        <w:numPr>
          <w:ilvl w:val="0"/>
          <w:numId w:val="11"/>
        </w:num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E</w:t>
      </w:r>
      <w:r w:rsidR="00AF2D44" w:rsidRPr="00AB268E">
        <w:rPr>
          <w:rFonts w:ascii="Times New Roman" w:hAnsi="Times New Roman" w:cs="Times New Roman"/>
          <w:sz w:val="24"/>
          <w:szCs w:val="24"/>
          <w:lang w:val="en-US"/>
        </w:rPr>
        <w:t>xposomics</w:t>
      </w:r>
      <w:proofErr w:type="spellEnd"/>
      <w:r w:rsidR="00AF2D44" w:rsidRPr="00AB268E">
        <w:rPr>
          <w:rFonts w:ascii="Times New Roman" w:hAnsi="Times New Roman" w:cs="Times New Roman"/>
          <w:sz w:val="24"/>
          <w:szCs w:val="24"/>
          <w:lang w:val="en-US"/>
        </w:rPr>
        <w:t xml:space="preserve"> and</w:t>
      </w:r>
      <w:r w:rsidRPr="00AB268E">
        <w:rPr>
          <w:rFonts w:ascii="Times New Roman" w:hAnsi="Times New Roman" w:cs="Times New Roman"/>
          <w:sz w:val="24"/>
          <w:szCs w:val="24"/>
          <w:lang w:val="en-US"/>
        </w:rPr>
        <w:t xml:space="preserve"> AI</w:t>
      </w:r>
      <w:r w:rsidR="00AF2D44" w:rsidRPr="00AB268E">
        <w:rPr>
          <w:rFonts w:ascii="Times New Roman" w:hAnsi="Times New Roman" w:cs="Times New Roman"/>
          <w:sz w:val="24"/>
          <w:szCs w:val="24"/>
          <w:lang w:val="en-US"/>
        </w:rPr>
        <w:t xml:space="preserve">-driven </w:t>
      </w:r>
      <w:proofErr w:type="spellStart"/>
      <w:r w:rsidR="00AF2D44" w:rsidRPr="00AB268E">
        <w:rPr>
          <w:rFonts w:ascii="Times New Roman" w:hAnsi="Times New Roman" w:cs="Times New Roman"/>
          <w:sz w:val="24"/>
          <w:szCs w:val="24"/>
          <w:lang w:val="en-US"/>
        </w:rPr>
        <w:t>toxicogenomics</w:t>
      </w:r>
      <w:proofErr w:type="spellEnd"/>
      <w:r w:rsidR="00AF2D44" w:rsidRPr="00AB268E">
        <w:rPr>
          <w:rFonts w:ascii="Times New Roman" w:hAnsi="Times New Roman" w:cs="Times New Roman"/>
          <w:sz w:val="24"/>
          <w:szCs w:val="24"/>
          <w:lang w:val="en-US"/>
        </w:rPr>
        <w:t xml:space="preserve">: </w:t>
      </w:r>
      <w:proofErr w:type="spellStart"/>
      <w:r w:rsidR="00AF2D44" w:rsidRPr="00AB268E">
        <w:rPr>
          <w:rFonts w:ascii="Times New Roman" w:hAnsi="Times New Roman" w:cs="Times New Roman"/>
          <w:sz w:val="24"/>
          <w:szCs w:val="24"/>
          <w:lang w:val="en-US"/>
        </w:rPr>
        <w:t>Exposomics</w:t>
      </w:r>
      <w:proofErr w:type="spellEnd"/>
      <w:r w:rsidR="00AF2D44" w:rsidRPr="00AB268E">
        <w:rPr>
          <w:rFonts w:ascii="Times New Roman" w:hAnsi="Times New Roman" w:cs="Times New Roman"/>
          <w:sz w:val="24"/>
          <w:szCs w:val="24"/>
          <w:lang w:val="en-US"/>
        </w:rPr>
        <w:t xml:space="preserve"> which is the study of environmental exposures and their impact on health can revolutionize cancer prevention. Researchers can analyze complex data to determine gene-environment driven by cancer, allowing predictive models to identify high risk individuals with the use of</w:t>
      </w:r>
      <w:r w:rsidRPr="00AB268E">
        <w:rPr>
          <w:rFonts w:ascii="Times New Roman" w:hAnsi="Times New Roman" w:cs="Times New Roman"/>
          <w:sz w:val="24"/>
          <w:szCs w:val="24"/>
          <w:lang w:val="en-US"/>
        </w:rPr>
        <w:t xml:space="preserve"> AI</w:t>
      </w:r>
      <w:r w:rsidR="00AF2D44" w:rsidRPr="00AB268E">
        <w:rPr>
          <w:rFonts w:ascii="Times New Roman" w:hAnsi="Times New Roman" w:cs="Times New Roman"/>
          <w:sz w:val="24"/>
          <w:szCs w:val="24"/>
          <w:lang w:val="en-US"/>
        </w:rPr>
        <w:t>-driven toxic o genomics</w:t>
      </w:r>
      <w:r w:rsidR="00BE6D49" w:rsidRPr="00AB268E">
        <w:rPr>
          <w:rFonts w:ascii="Times New Roman" w:hAnsi="Times New Roman" w:cs="Times New Roman"/>
          <w:sz w:val="24"/>
          <w:szCs w:val="24"/>
          <w:lang w:val="en-US"/>
        </w:rPr>
        <w:t xml:space="preserve"> </w:t>
      </w:r>
      <w:r w:rsidR="00AF2D44" w:rsidRPr="00AB268E">
        <w:rPr>
          <w:rFonts w:ascii="Times New Roman" w:hAnsi="Times New Roman" w:cs="Times New Roman"/>
          <w:sz w:val="24"/>
          <w:szCs w:val="24"/>
          <w:lang w:val="en-US"/>
        </w:rPr>
        <w:t xml:space="preserve">(Petit &amp; </w:t>
      </w:r>
      <w:proofErr w:type="spellStart"/>
      <w:r w:rsidR="00AF2D44" w:rsidRPr="00AB268E">
        <w:rPr>
          <w:rFonts w:ascii="Times New Roman" w:hAnsi="Times New Roman" w:cs="Times New Roman"/>
          <w:sz w:val="24"/>
          <w:szCs w:val="24"/>
          <w:lang w:val="en-US"/>
        </w:rPr>
        <w:t>Vuillerme</w:t>
      </w:r>
      <w:proofErr w:type="spellEnd"/>
      <w:r w:rsidR="00AF2D44" w:rsidRPr="00AB268E">
        <w:rPr>
          <w:rFonts w:ascii="Times New Roman" w:hAnsi="Times New Roman" w:cs="Times New Roman"/>
          <w:sz w:val="24"/>
          <w:szCs w:val="24"/>
          <w:lang w:val="en-US"/>
        </w:rPr>
        <w:t>, 2025).</w:t>
      </w:r>
    </w:p>
    <w:p w14:paraId="399B81B3" w14:textId="0A143F18"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Longitudinal studies for gene-environment-cancer pathways: Longitudinal studies are necessary for understanding the relationship between genetic predispositions, environmental exposures and cancer development with time. By tracing the progression of individuals from childhood to adulthood, researchers can detect biomarkers of cancer risk and understand how environmental factors influence gene expression and tumor progression</w:t>
      </w:r>
      <w:r w:rsidR="00BE6D4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(Motsinger-Reif et al., 2024).</w:t>
      </w:r>
    </w:p>
    <w:p w14:paraId="1DCB82D3" w14:textId="39C682E1"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Evaluating outcomes and cost-effectiveness in real-world settings: Examining the effectiveness of</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-enabled genomic surveillance in real life is necessary for its adoption. Economic evaluation will assist in determining the value of these </w:t>
      </w:r>
      <w:proofErr w:type="spellStart"/>
      <w:r w:rsidRPr="00AB268E">
        <w:rPr>
          <w:rFonts w:ascii="Times New Roman" w:hAnsi="Times New Roman" w:cs="Times New Roman"/>
          <w:sz w:val="24"/>
          <w:szCs w:val="24"/>
          <w:lang w:val="en-US"/>
        </w:rPr>
        <w:t>technolo</w:t>
      </w:r>
      <w:proofErr w:type="spellEnd"/>
      <w:r w:rsidRPr="00AB268E">
        <w:rPr>
          <w:rFonts w:ascii="Times New Roman" w:hAnsi="Times New Roman" w:cs="Times New Roman"/>
          <w:sz w:val="24"/>
          <w:szCs w:val="24"/>
          <w:lang w:val="en-US"/>
        </w:rPr>
        <w:t xml:space="preserve"> in mitigating the incidence of cancer and improving health outcomes</w:t>
      </w:r>
      <w:r w:rsidR="00BE6D4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(Khanna et al., 2022). </w:t>
      </w:r>
    </w:p>
    <w:p w14:paraId="2366A77B" w14:textId="49F74624"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Federated learning: federated learning models are trained across multiple decentralized institutions without data sharing. This is very important in genomics because privacy concerns, data sensitivity and ethical regulations are not in support of centralized data pooling. Hospitals, research centers and countries can now train different</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on diverse genomic and clinical data sets while keeping their existing data secure</w:t>
      </w:r>
      <w:r w:rsidR="00613B05" w:rsidRPr="00AB268E">
        <w:rPr>
          <w:rFonts w:ascii="Times New Roman" w:hAnsi="Times New Roman" w:cs="Times New Roman"/>
          <w:sz w:val="24"/>
          <w:szCs w:val="24"/>
          <w:lang w:val="en-US"/>
        </w:rPr>
        <w:fldChar w:fldCharType="begin"/>
      </w:r>
      <w:r w:rsidR="00613B05" w:rsidRPr="00AB268E">
        <w:rPr>
          <w:rFonts w:ascii="Times New Roman" w:hAnsi="Times New Roman" w:cs="Times New Roman"/>
          <w:sz w:val="24"/>
          <w:szCs w:val="24"/>
          <w:lang w:val="en-US"/>
        </w:rPr>
        <w:instrText xml:space="preserve"> ADDIN ZOTERO_ITEM CSL_CITATION {"citationID":"MZnDtXR5","properties":{"formattedCitation":"(Zwiers et al., 2024)","plainCitation":"(Zwiers et al., 2024)","noteIndex":0},"citationItems":[{"id":248,"uris":["http://zotero.org/users/17156871/items/RINANRXY"],"itemData":{"id":248,"type":"article-journal","abstract":"Background\nThe use of real-world data has become increasingly popular, also in the field of infectious disease (ID), particularly since the COVID-19 pandemic emerged. While much useful data for research is being collected, these data are generally stored across different sources. Privacy concerns limit the possibility to store the data centrally, thereby also limiting the possibility of fully leveraging the potential power of combined data. Federated learning (FL) has been suggested to overcome privacy issues by making it possible to perform research on data from various sources without those data leaving local servers. In this review, we discuss existing applications of FL in ID research, as well as the most relevant opportunities and challenges of this method.\n\nMethods\nReferences for this review were identified through searches of MEDLINE/PubMed, Google Scholar, Embase and Scopus until July 2023. We searched for studies using FL in different applications related to ID.\n\nResults\nThirty references were included and divided into four sub-topics: disease screening, prediction of clinical outcomes, infection epidemiology, and vaccine research. Most research was related to COVID-19. In all studies, FL achieved good accuracy when predicting diseases and outcomes, also in comparison to non-federated methods. However, most studies did not make use of real-world federated data, but rather showed the potential of FL by using data that was manually partitioned.\n\nConclusions\nFL is a promising methodology which allows using data from several sources, potentially generating stronger and more generalisable results. However, further exploration of FL application possibilities in ID research is needed.\n\nSupplementary Information\nThe online version contains supplementary material available at 10.1186/s12879-024-10230-5.","container-title":"BMC Infectious Diseases","DOI":"10.1186/s12879-024-10230-5","ISSN":"1471-2334","journalAbbreviation":"BMC Infect Dis","note":"PMID: 39573994\nPMCID: PMC11580691","page":"1327","source":"PubMed Central","title":"Federated learning as a smart tool for research on infectious diseases","volume":"24","author":[{"family":"Zwiers","given":"Laura C."},{"family":"Grobbee","given":"Diederick E."},{"family":"Uijl","given":"Alicia"},{"family":"Ong","given":"David S. Y."}],"issued":{"date-parts":[["2024",11,21]]}}}],"schema":"https://github.com/citation-style-language/schema/raw/master/csl-citation.json"} </w:instrText>
      </w:r>
      <w:r w:rsidR="00613B05" w:rsidRPr="00AB268E">
        <w:rPr>
          <w:rFonts w:ascii="Times New Roman" w:hAnsi="Times New Roman" w:cs="Times New Roman"/>
          <w:sz w:val="24"/>
          <w:szCs w:val="24"/>
          <w:lang w:val="en-US"/>
        </w:rPr>
        <w:fldChar w:fldCharType="separate"/>
      </w:r>
      <w:r w:rsidR="00613B05" w:rsidRPr="00AB268E">
        <w:rPr>
          <w:rFonts w:ascii="Times New Roman" w:hAnsi="Times New Roman" w:cs="Times New Roman"/>
          <w:sz w:val="24"/>
          <w:szCs w:val="24"/>
        </w:rPr>
        <w:t>(Zwiers et al., 2024)</w:t>
      </w:r>
      <w:r w:rsidR="00613B05"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This enables better model generalizability across populations, most especially marginalized groups and calls for cooperation in cancer research without compromising on individuals’ confidentiality and data sovereignty.</w:t>
      </w:r>
    </w:p>
    <w:p w14:paraId="3433D075" w14:textId="6659E0BE"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Explainable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w:t>
      </w:r>
      <w:proofErr w:type="spellStart"/>
      <w:r w:rsidRPr="00AB268E">
        <w:rPr>
          <w:rFonts w:ascii="Times New Roman" w:hAnsi="Times New Roman" w:cs="Times New Roman"/>
          <w:sz w:val="24"/>
          <w:szCs w:val="24"/>
          <w:lang w:val="en-US"/>
        </w:rPr>
        <w:t>xai</w:t>
      </w:r>
      <w:proofErr w:type="spellEnd"/>
      <w:r w:rsidRPr="00AB268E">
        <w:rPr>
          <w:rFonts w:ascii="Times New Roman" w:hAnsi="Times New Roman" w:cs="Times New Roman"/>
          <w:sz w:val="24"/>
          <w:szCs w:val="24"/>
          <w:lang w:val="en-US"/>
        </w:rPr>
        <w:t>): making</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transparent and trustworthy</w:t>
      </w:r>
    </w:p>
    <w:p w14:paraId="69610E52" w14:textId="0E2EA5F3"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The black box nature of many algorithms remains one of the biggest challenges in</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for cancer genomics.</w:t>
      </w:r>
      <w:r w:rsidR="00BE6D49" w:rsidRPr="00AB268E">
        <w:rPr>
          <w:rFonts w:ascii="Times New Roman" w:hAnsi="Times New Roman" w:cs="Times New Roman"/>
          <w:sz w:val="24"/>
          <w:szCs w:val="24"/>
          <w:lang w:val="en-US"/>
        </w:rPr>
        <w:t xml:space="preserve"> </w:t>
      </w:r>
      <w:r w:rsidRPr="00AB268E">
        <w:rPr>
          <w:rFonts w:ascii="Times New Roman" w:hAnsi="Times New Roman" w:cs="Times New Roman"/>
          <w:sz w:val="24"/>
          <w:szCs w:val="24"/>
          <w:lang w:val="en-US"/>
        </w:rPr>
        <w:t>Explainable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w:t>
      </w:r>
      <w:proofErr w:type="spellStart"/>
      <w:r w:rsidRPr="00AB268E">
        <w:rPr>
          <w:rFonts w:ascii="Times New Roman" w:hAnsi="Times New Roman" w:cs="Times New Roman"/>
          <w:sz w:val="24"/>
          <w:szCs w:val="24"/>
          <w:lang w:val="en-US"/>
        </w:rPr>
        <w:t>xai</w:t>
      </w:r>
      <w:proofErr w:type="spellEnd"/>
      <w:r w:rsidRPr="00AB268E">
        <w:rPr>
          <w:rFonts w:ascii="Times New Roman" w:hAnsi="Times New Roman" w:cs="Times New Roman"/>
          <w:sz w:val="24"/>
          <w:szCs w:val="24"/>
          <w:lang w:val="en-US"/>
        </w:rPr>
        <w:t>) intends to clarify this by making</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decisions more transparent, interpretable, and understandable to clinicians, researchers, and patients</w:t>
      </w:r>
      <w:r w:rsidR="0061241E" w:rsidRPr="00AB268E">
        <w:rPr>
          <w:rFonts w:ascii="Times New Roman" w:hAnsi="Times New Roman" w:cs="Times New Roman"/>
          <w:sz w:val="24"/>
          <w:szCs w:val="24"/>
          <w:lang w:val="en-US"/>
        </w:rPr>
        <w:fldChar w:fldCharType="begin"/>
      </w:r>
      <w:r w:rsidR="0061241E" w:rsidRPr="00AB268E">
        <w:rPr>
          <w:rFonts w:ascii="Times New Roman" w:hAnsi="Times New Roman" w:cs="Times New Roman"/>
          <w:sz w:val="24"/>
          <w:szCs w:val="24"/>
          <w:lang w:val="en-US"/>
        </w:rPr>
        <w:instrText xml:space="preserve"> ADDIN ZOTERO_ITEM CSL_CITATION {"citationID":"hLR8oNVI","properties":{"formattedCitation":"(S Band et al., 2023)","plainCitation":"(S Band et al., 2023)","noteIndex":0},"citationItems":[{"id":259,"uris":["http://zotero.org/users/17156871/items/VGPN6STH"],"itemData":{"id":259,"type":"article-journal","abstract":"This paper investigates the applications of explainable AI (XAI) in healthcare, which aims to provide transparency, fairness, accuracy, generality, and comprehensibility to the results obtained from AI and ML algorithms in decision-making systems. The black box nature of AI and ML systems has remained a challenge in healthcare, and interpretable AI and ML techniques can potentially address this issue. Here we critically review previous studies related to the interpretability of ML and AI methods in medical systems. Descriptions of various types of XAI methods such as layer-wise relevance propagation (LRP), Uniform Manifold Approximation and Projection (UMAP), Local Interpretable Model-agnostic Explanations (LIME), SHapley Additive exPlanations (SHAP), ANCHOR, contextual importance and utility (CIU), Training calibration-based explainers (TraCE), Gradient-weighted Class Activation Mapping (Grad-CAM), t-distributed Stochastic Neighbor Embedding (t-SNE), NeuroXAI, Explainable Cumulative Fuzzy Class Membership Criterion (X-CFCMC) along with the diseases which can be explained through these methods are provided throughout the paper. The paper also discusses how AI and ML technologies can transform healthcare services. The usability and reliability of the presented methods are summarized, including studies on the usability and reliability of XGBoost for mediastinal cysts and tumors, a 3D brain tumor segmentation network, and the TraCE method for medical image analysis. Overall, this paper aims to contribute to the growing field of XAI in healthcare and provide insights for researchers, practitioners, and decision-makers in the healthcare industry. Finally, we discuss the performance of XAI methods applied in medical health care systems. It is also needed to mention that a brief implemented method is provided in the methodology section.","container-title":"Informatics in Medicine Unlocked","DOI":"10.1016/j.imu.2023.101286","ISSN":"2352-9148","journalAbbreviation":"Informatics in Medicine Unlocked","page":"101286","source":"ScienceDirect","title":"Application of explainable artificial intelligence in medical health: A systematic review of interpretability methods","title-short":"Application of explainable artificial intelligence in medical health","volume":"40","author":[{"family":"S Band","given":"Shahab"},{"family":"Yarahmadi","given":"Atefeh"},{"family":"Hsu","given":"Chung-Chian"},{"family":"Biyari","given":"Meghdad"},{"family":"Sookhak","given":"Mehdi"},{"family":"Ameri","given":"Rasoul"},{"family":"Dehzangi","given":"Iman"},{"family":"Chronopoulos","given":"Anthony Theodore"},{"family":"Liang","given":"Huey-Wen"}],"issued":{"date-parts":[["2023",1,1]]}}}],"schema":"https://github.com/citation-style-language/schema/raw/master/csl-citation.json"} </w:instrText>
      </w:r>
      <w:r w:rsidR="0061241E" w:rsidRPr="00AB268E">
        <w:rPr>
          <w:rFonts w:ascii="Times New Roman" w:hAnsi="Times New Roman" w:cs="Times New Roman"/>
          <w:sz w:val="24"/>
          <w:szCs w:val="24"/>
          <w:lang w:val="en-US"/>
        </w:rPr>
        <w:fldChar w:fldCharType="separate"/>
      </w:r>
      <w:r w:rsidR="0061241E" w:rsidRPr="00AB268E">
        <w:rPr>
          <w:rFonts w:ascii="Times New Roman" w:hAnsi="Times New Roman" w:cs="Times New Roman"/>
          <w:sz w:val="24"/>
          <w:szCs w:val="24"/>
        </w:rPr>
        <w:t>(S Band et al., 2023)</w:t>
      </w:r>
      <w:r w:rsidR="0061241E"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xml:space="preserve">. In the context of genomics, </w:t>
      </w:r>
      <w:proofErr w:type="spellStart"/>
      <w:r w:rsidRPr="00AB268E">
        <w:rPr>
          <w:rFonts w:ascii="Times New Roman" w:hAnsi="Times New Roman" w:cs="Times New Roman"/>
          <w:sz w:val="24"/>
          <w:szCs w:val="24"/>
          <w:lang w:val="en-US"/>
        </w:rPr>
        <w:t>x</w:t>
      </w:r>
      <w:r w:rsidR="00AB268E" w:rsidRPr="00AB268E">
        <w:rPr>
          <w:rFonts w:ascii="Times New Roman" w:hAnsi="Times New Roman" w:cs="Times New Roman"/>
          <w:sz w:val="24"/>
          <w:szCs w:val="24"/>
          <w:lang w:val="en-US"/>
        </w:rPr>
        <w:t>ai</w:t>
      </w:r>
      <w:proofErr w:type="spellEnd"/>
      <w:r w:rsidRPr="00AB268E">
        <w:rPr>
          <w:rFonts w:ascii="Times New Roman" w:hAnsi="Times New Roman" w:cs="Times New Roman"/>
          <w:sz w:val="24"/>
          <w:szCs w:val="24"/>
          <w:lang w:val="en-US"/>
        </w:rPr>
        <w:t xml:space="preserve"> can underscore which </w:t>
      </w:r>
      <w:r w:rsidRPr="00AB268E">
        <w:rPr>
          <w:rFonts w:ascii="Times New Roman" w:hAnsi="Times New Roman" w:cs="Times New Roman"/>
          <w:sz w:val="24"/>
          <w:szCs w:val="24"/>
          <w:lang w:val="en-US"/>
        </w:rPr>
        <w:lastRenderedPageBreak/>
        <w:t>genetic variants or environmental factors are more contributing to a specific cancer risk or treatment guidelines. This not only enhance clinical trust in</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systems but also facilitates regulatory validation and informed decision-making</w:t>
      </w:r>
      <w:r w:rsidR="008A5214" w:rsidRPr="00AB268E">
        <w:rPr>
          <w:rFonts w:ascii="Times New Roman" w:hAnsi="Times New Roman" w:cs="Times New Roman"/>
          <w:sz w:val="24"/>
          <w:szCs w:val="24"/>
          <w:lang w:val="en-US"/>
        </w:rPr>
        <w:fldChar w:fldCharType="begin"/>
      </w:r>
      <w:r w:rsidR="008A5214" w:rsidRPr="00AB268E">
        <w:rPr>
          <w:rFonts w:ascii="Times New Roman" w:hAnsi="Times New Roman" w:cs="Times New Roman"/>
          <w:sz w:val="24"/>
          <w:szCs w:val="24"/>
          <w:lang w:val="en-US"/>
        </w:rPr>
        <w:instrText xml:space="preserve"> ADDIN ZOTERO_ITEM CSL_CITATION {"citationID":"hoAL6PhZ","properties":{"formattedCitation":"(Shifa et al., 2025)","plainCitation":"(Shifa et al., 2025)","noteIndex":0},"citationItems":[{"id":261,"uris":["http://zotero.org/users/17156871/items/4MZFTU22"],"itemData":{"id":261,"type":"article-journal","abstract":"Explainable AI (XAI) methods are gaining prominence in medical imaging, addressing the critical need for transparency and trust in AI-driven diagnostic tools. Mammography, as the cornerstone of early breast cancer detection, holds immense potential for improving outcomes when integrated with AI solutions. However, widespread adoption of AI in clinical settings depends on explainability, which enhances clinicians' confidence in these tools. By exploring various XAI techniques and evaluating their strengths and weaknesses, researchers can significantly advance precision medicine. This review synthesizes existing research on XAI in medical imaging, focusing on mammography, a domain often overlooked in XAI studies. It provides a comparative analysis of XAI techniques employed in mammography, assessing their diagnostic efficacy and identifying research gaps, such as the lack of specialized evaluation frameworks. Additionally, the review examines evaluation methods for XAI in medical imaging and proposes modifications tailored to mammography diagnostics. Insights from XAI advancements in other fields are also explored for their potential to enhance interpretability and clinical relevance in breast cancer detection. The study concludes by highlighting critical research gaps and proposing directions for developing reliable, effective AI models that integrate XAI to transform breast cancer diagnostics.","container-title":"Clinical Imaging","DOI":"10.1016/j.clinimag.2025.110492","ISSN":"0899-7071","journalAbbreviation":"Clinical Imaging","page":"110492","source":"ScienceDirect","title":"A review of explainable AI techniques and their evaluation in mammography for breast cancer screening","volume":"123","author":[{"family":"Shifa","given":"Noora"},{"family":"Saleh","given":"Moutaz"},{"family":"Akbari","given":"Younes"},{"family":"Al Maadeed","given":"Sumaya"}],"issued":{"date-parts":[["2025",7,1]]}}}],"schema":"https://github.com/citation-style-language/schema/raw/master/csl-citation.json"} </w:instrText>
      </w:r>
      <w:r w:rsidR="008A5214" w:rsidRPr="00AB268E">
        <w:rPr>
          <w:rFonts w:ascii="Times New Roman" w:hAnsi="Times New Roman" w:cs="Times New Roman"/>
          <w:sz w:val="24"/>
          <w:szCs w:val="24"/>
          <w:lang w:val="en-US"/>
        </w:rPr>
        <w:fldChar w:fldCharType="separate"/>
      </w:r>
      <w:r w:rsidR="008A5214" w:rsidRPr="00AB268E">
        <w:rPr>
          <w:rFonts w:ascii="Times New Roman" w:hAnsi="Times New Roman" w:cs="Times New Roman"/>
          <w:sz w:val="24"/>
          <w:szCs w:val="24"/>
        </w:rPr>
        <w:t>(Shifa et al., 2025)</w:t>
      </w:r>
      <w:r w:rsidR="008A5214"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4B6F5068" w14:textId="33538073"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·Multi-omics integration: toward a holistic view of cancer:  the integration of multi-omics data, including proteomics (protein expression), metabolomics (metabolic changes), epigenomics (DNA methylation), and transcriptomics (</w:t>
      </w:r>
      <w:proofErr w:type="spellStart"/>
      <w:r w:rsidRPr="00AB268E">
        <w:rPr>
          <w:rFonts w:ascii="Times New Roman" w:hAnsi="Times New Roman" w:cs="Times New Roman"/>
          <w:sz w:val="24"/>
          <w:szCs w:val="24"/>
          <w:lang w:val="en-US"/>
        </w:rPr>
        <w:t>rna</w:t>
      </w:r>
      <w:proofErr w:type="spellEnd"/>
      <w:r w:rsidRPr="00AB268E">
        <w:rPr>
          <w:rFonts w:ascii="Times New Roman" w:hAnsi="Times New Roman" w:cs="Times New Roman"/>
          <w:sz w:val="24"/>
          <w:szCs w:val="24"/>
          <w:lang w:val="en-US"/>
        </w:rPr>
        <w:t xml:space="preserve"> expression) into cancer genomics is the future of</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w:t>
      </w:r>
      <w:r w:rsidR="000C6E88" w:rsidRPr="00AB268E">
        <w:rPr>
          <w:rFonts w:ascii="Times New Roman" w:hAnsi="Times New Roman" w:cs="Times New Roman"/>
          <w:sz w:val="24"/>
          <w:szCs w:val="24"/>
          <w:lang w:val="en-US"/>
        </w:rPr>
        <w:t xml:space="preserve"> </w:t>
      </w:r>
      <w:r w:rsidR="000C5AC8" w:rsidRPr="00AB268E">
        <w:rPr>
          <w:rFonts w:ascii="Times New Roman" w:hAnsi="Times New Roman" w:cs="Times New Roman"/>
          <w:sz w:val="24"/>
          <w:szCs w:val="24"/>
          <w:lang w:val="en-US"/>
        </w:rPr>
        <w:fldChar w:fldCharType="begin"/>
      </w:r>
      <w:r w:rsidR="000C5AC8" w:rsidRPr="00AB268E">
        <w:rPr>
          <w:rFonts w:ascii="Times New Roman" w:hAnsi="Times New Roman" w:cs="Times New Roman"/>
          <w:sz w:val="24"/>
          <w:szCs w:val="24"/>
          <w:lang w:val="en-US"/>
        </w:rPr>
        <w:instrText xml:space="preserve"> ADDIN ZOTERO_ITEM CSL_CITATION {"citationID":"JL4qcLae","properties":{"formattedCitation":"(Subramanian et al., 2020)","plainCitation":"(Subramanian et al., 2020)","noteIndex":0},"citationItems":[{"id":263,"uris":["http://zotero.org/users/17156871/items/Q6Q4WQGJ"],"itemData":{"id":263,"type":"article-journal","abstract":"To study complex biological processes holistically, it is imperative to take an integrative approach that combines multi-omics data to highlight the interrelationships of the involved biomolecules and their functions. With the advent of high-throughput techniques and availability of multi-omics data generated from a large set of samples, several promising tools and methods have been developed for data integration and interpretation. In this review, we collected the tools and methods that adopt integrative approach to analyze multiple omics data and summarized their ability to address applications such as disease subtyping, biomarker prediction, and deriving insights into the data. We provide the methodology, use-cases, and limitations of these tools; brief account of multi-omics data repositories and visualization portals; and challenges associated with multi-omics data integration.","container-title":"Bioinformatics and Biology Insights","DOI":"10.1177/1177932219899051","ISSN":"1177-9322","journalAbbreviation":"Bioinform Biol Insights","note":"PMID: 32076369\nPMCID: PMC7003173","page":"1177932219899051","source":"PubMed Central","title":"Multi-omics Data Integration, Interpretation, and Its Application","volume":"14","author":[{"family":"Subramanian","given":"Indhupriya"},{"family":"Verma","given":"Srikant"},{"family":"Kumar","given":"Shiva"},{"family":"Jere","given":"Abhay"},{"family":"Anamika","given":"Krishanpal"}],"issued":{"date-parts":[["2020",1,31]]}}}],"schema":"https://github.com/citation-style-language/schema/raw/master/csl-citation.json"} </w:instrText>
      </w:r>
      <w:r w:rsidR="000C5AC8" w:rsidRPr="00AB268E">
        <w:rPr>
          <w:rFonts w:ascii="Times New Roman" w:hAnsi="Times New Roman" w:cs="Times New Roman"/>
          <w:sz w:val="24"/>
          <w:szCs w:val="24"/>
          <w:lang w:val="en-US"/>
        </w:rPr>
        <w:fldChar w:fldCharType="separate"/>
      </w:r>
      <w:r w:rsidR="000C5AC8" w:rsidRPr="00AB268E">
        <w:rPr>
          <w:rFonts w:ascii="Times New Roman" w:hAnsi="Times New Roman" w:cs="Times New Roman"/>
          <w:sz w:val="24"/>
          <w:szCs w:val="24"/>
        </w:rPr>
        <w:t>(Subramanian et al., 2020)</w:t>
      </w:r>
      <w:r w:rsidR="000C5AC8"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Cancer is a complex disease, and integration of these layers provides a more complete biological picture.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proficient enough in evaluating these complex, multidimensional datasets will provide profound understanding into tumor biology, response to environmental carcinogens, and disease progression. It will help reveal new therapeutic targets or biomarkers that were missed during genomic evaluation</w:t>
      </w:r>
      <w:r w:rsidR="00FA7801" w:rsidRPr="00AB268E">
        <w:rPr>
          <w:rFonts w:ascii="Times New Roman" w:hAnsi="Times New Roman" w:cs="Times New Roman"/>
          <w:sz w:val="24"/>
          <w:szCs w:val="24"/>
          <w:lang w:val="en-US"/>
        </w:rPr>
        <w:fldChar w:fldCharType="begin"/>
      </w:r>
      <w:r w:rsidR="00FA7801" w:rsidRPr="00AB268E">
        <w:rPr>
          <w:rFonts w:ascii="Times New Roman" w:hAnsi="Times New Roman" w:cs="Times New Roman"/>
          <w:sz w:val="24"/>
          <w:szCs w:val="24"/>
          <w:lang w:val="en-US"/>
        </w:rPr>
        <w:instrText xml:space="preserve"> ADDIN ZOTERO_ITEM CSL_CITATION {"citationID":"t0xF8acC","properties":{"formattedCitation":"(Alum, 2025)","plainCitation":"(Alum, 2025)","noteIndex":0},"citationItems":[{"id":266,"uris":["http://zotero.org/users/17156871/items/YSMPKJQE"],"itemData":{"id":266,"type":"article-journal","abstract":"Cancer remains a significant health issue, resulting in around 10 million deaths per year, particularly in developing nations. Demographic changes, socio-economic variables, and lifestyle choices are responsible for the rise in cancer cases. Despite the potential to mitigate the adverse effects of cancer by early detection and the implementation of cancer prevention methods, several nations have limited screening facilities. In oncology, the use of artificial intelligence (AI) represents a transformative advancement in cancer diagnosis, prognosis, and treatment. The use of AI in biomarker discovery improves precision medicine by uncovering biomarker signatures that are essential for early detection and treatment of diseases within vast and diverse datasets. Deep learning and machine learning diagnostics are two examples of AI technologies that are changing the way biomarkers are made by finding patterns in large datasets and making new technologies that make it possible to deliver accurate and effective therapies. Existing gaps include data quality, algorithmic transparency, and ethical concerns around privacy, among others. The advancement of biomarker discovery methodologies with AI seeks to transform cancer by improving patient survival rates through enhanced early diagnosis and targeted therapy. This commentary aims to clarify how AI is improving the identification of novel biomarkers for optimal early diagnosis, focused treatment, and improved clinical outcomes, while also addressing certain obstacles and ethical issues related to the application of artificial intelligence in oncology. Data from reputable scientific databases such as PubMed, Scopus, and ScienceDirect were utilized., \nAI, deep learning and machine learning models in particular, is revolutionizing biomarker discovery by identifying complex, non-intuitive patterns from vast multiple technologies that explain biological information at molecular levels, enhancing the precision of cancer screening and prognosis.AI biomarkers give information about the patient’s reaction to a treatment especially in immunotherapy, help in the cancer therapy and in predicting the progression of a disease and response to treatment.Nevertheless, biomarker discovery utilizing AI model has some issues, such as, a need for large and high quality data, understanding of the model, privacy, and ensuring diversity to avoid exacerbating health disparities. By addressing these issues, AI's potential in biomarker discovery and enhanced cancer prognosis could revolutionize oncology, enhancing patient outcomes and survival rates, despite these challenges.","container-title":"Discover Oncology","DOI":"10.1007/s12672-025-02064-7","ISSN":"2730-6011","journalAbbreviation":"Discov Oncol","note":"PMID: 40082367\nPMCID: PMC11906928","page":"313","source":"PubMed Central","title":"AI-driven biomarker discovery: enhancing precision in cancer diagnosis and prognosis","title-short":"AI-driven biomarker discovery","volume":"16","author":[{"family":"Alum","given":"Esther Ugo"}],"issued":{"date-parts":[["2025",3,13]]}}}],"schema":"https://github.com/citation-style-language/schema/raw/master/csl-citation.json"} </w:instrText>
      </w:r>
      <w:r w:rsidR="00FA7801" w:rsidRPr="00AB268E">
        <w:rPr>
          <w:rFonts w:ascii="Times New Roman" w:hAnsi="Times New Roman" w:cs="Times New Roman"/>
          <w:sz w:val="24"/>
          <w:szCs w:val="24"/>
          <w:lang w:val="en-US"/>
        </w:rPr>
        <w:fldChar w:fldCharType="separate"/>
      </w:r>
      <w:r w:rsidR="00FA7801" w:rsidRPr="00AB268E">
        <w:rPr>
          <w:rFonts w:ascii="Times New Roman" w:hAnsi="Times New Roman" w:cs="Times New Roman"/>
          <w:sz w:val="24"/>
          <w:szCs w:val="24"/>
        </w:rPr>
        <w:t>(Alum, 2025)</w:t>
      </w:r>
      <w:r w:rsidR="00FA7801"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w:t>
      </w:r>
    </w:p>
    <w:p w14:paraId="086C7FD9" w14:textId="16D4CCE6" w:rsidR="00AF2D44" w:rsidRPr="00AB268E"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w:t>
      </w:r>
      <w:r w:rsidR="00BE6D49"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-driven clinical decision support systems (CDSS):</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-powered clinical decision support systems (CDSS) are set to transform cancer care by assisting clinicians in understanding genomic results in real-time and making informed treatment decisions. Targeted therapies are recommended based on an individual's mutational needs</w:t>
      </w:r>
      <w:r w:rsidR="00B84AC7" w:rsidRPr="00AB268E">
        <w:rPr>
          <w:rFonts w:ascii="Times New Roman" w:hAnsi="Times New Roman" w:cs="Times New Roman"/>
          <w:sz w:val="24"/>
          <w:szCs w:val="24"/>
          <w:lang w:val="en-US"/>
        </w:rPr>
        <w:fldChar w:fldCharType="begin"/>
      </w:r>
      <w:r w:rsidR="00B84AC7" w:rsidRPr="00AB268E">
        <w:rPr>
          <w:rFonts w:ascii="Times New Roman" w:hAnsi="Times New Roman" w:cs="Times New Roman"/>
          <w:sz w:val="24"/>
          <w:szCs w:val="24"/>
          <w:lang w:val="en-US"/>
        </w:rPr>
        <w:instrText xml:space="preserve"> ADDIN ZOTERO_ITEM CSL_CITATION {"citationID":"YIuryf9j","properties":{"formattedCitation":"(Elhaddad &amp; Hamam, 2024)","plainCitation":"(Elhaddad &amp; Hamam, 2024)","noteIndex":0},"citationItems":[{"id":268,"uris":["http://zotero.org/users/17156871/items/USLKFK3F"],"itemData":{"id":268,"type":"article-journal","abstract":"Clinical Decision Support Systems (CDSS) are essential tools in contemporary healthcare, enhancing clinicians' decisions and patient outcomes. The integration of artificial intelligence (AI) is now revolutionizing CDSS even further. This review delves into AI technologies transforming CDSS, their applications in healthcare decision-making, associated challenges, and the potential trajectory toward fully realizing AI-CDSS's potential. The review begins by laying the groundwork with a definition of CDSS and its function within the healthcare field. It then highlights the increasingly significant role that AI is playing in enhancing CDSS effectiveness and efficiency, underlining its evolving prominence in shaping healthcare practices. It examines the integration of AI technologies into CDSS, including machine learning algorithms like neural networks and decision trees, natural language processing, and deep learning. It also addresses the challenges associated with AI integration, such as interpretability and bias. We then shift to AI applications within CDSS, with real-life examples of AI-driven diagnostics, personalized treatment recommendations, risk prediction, early intervention, and AI-assisted clinical documentation. The review emphasizes user-centered design in AI-CDSS integration, addressing usability, trust, workflow, and ethical and legal considerations. It acknowledges prevailing obstacles and suggests strategies for successful AI-CDSS adoption, highlighting the need for workflow alignment and interdisciplinary collaboration. The review concludes by summarizing key findings, underscoring AI's transformative potential in CDSS, and advocating for continued research and innovation. It emphasizes the need for collaborative efforts to realize a future where AI-powered CDSS optimizes healthcare delivery and improves patient outcomes.","container-title":"Cureus","DOI":"10.7759/cureus.57728","ISSN":"2168-8184","issue":"4","journalAbbreviation":"Cureus","language":"eng","note":"PMID: 38711724\nPMCID: PMC11073764","page":"e57728","source":"PubMed","title":"AI-Driven Clinical Decision Support Systems: An Ongoing Pursuit of Potential","title-short":"AI-Driven Clinical Decision Support Systems","volume":"16","author":[{"family":"Elhaddad","given":"Malek"},{"family":"Hamam","given":"Sara"}],"issued":{"date-parts":[["2024",4]]}}}],"schema":"https://github.com/citation-style-language/schema/raw/master/csl-citation.json"} </w:instrText>
      </w:r>
      <w:r w:rsidR="00B84AC7" w:rsidRPr="00AB268E">
        <w:rPr>
          <w:rFonts w:ascii="Times New Roman" w:hAnsi="Times New Roman" w:cs="Times New Roman"/>
          <w:sz w:val="24"/>
          <w:szCs w:val="24"/>
          <w:lang w:val="en-US"/>
        </w:rPr>
        <w:fldChar w:fldCharType="separate"/>
      </w:r>
      <w:r w:rsidR="00B84AC7" w:rsidRPr="00AB268E">
        <w:rPr>
          <w:rFonts w:ascii="Times New Roman" w:hAnsi="Times New Roman" w:cs="Times New Roman"/>
          <w:sz w:val="24"/>
          <w:szCs w:val="24"/>
        </w:rPr>
        <w:t>(Elhaddad &amp; Hamam, 2024)</w:t>
      </w:r>
      <w:r w:rsidR="00B84AC7"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For example, immunotherapies for patients with a particular mismatch gene deficiency could be recommended by CDSS which is powered by</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As</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are becoming more powerful and compatible with electronic health records (EHRs), CDSS will play an important role in precision oncology</w:t>
      </w:r>
      <w:r w:rsidR="003331D6" w:rsidRPr="00AB268E">
        <w:rPr>
          <w:rFonts w:ascii="Times New Roman" w:hAnsi="Times New Roman" w:cs="Times New Roman"/>
          <w:sz w:val="24"/>
          <w:szCs w:val="24"/>
          <w:lang w:val="en-US"/>
        </w:rPr>
        <w:t xml:space="preserve"> </w:t>
      </w:r>
      <w:r w:rsidR="003331D6" w:rsidRPr="00AB268E">
        <w:rPr>
          <w:rFonts w:ascii="Times New Roman" w:hAnsi="Times New Roman" w:cs="Times New Roman"/>
          <w:sz w:val="24"/>
          <w:szCs w:val="24"/>
          <w:lang w:val="en-US"/>
        </w:rPr>
        <w:fldChar w:fldCharType="begin"/>
      </w:r>
      <w:r w:rsidR="003331D6" w:rsidRPr="00AB268E">
        <w:rPr>
          <w:rFonts w:ascii="Times New Roman" w:hAnsi="Times New Roman" w:cs="Times New Roman"/>
          <w:sz w:val="24"/>
          <w:szCs w:val="24"/>
          <w:lang w:val="en-US"/>
        </w:rPr>
        <w:instrText xml:space="preserve"> ADDIN ZOTERO_ITEM CSL_CITATION {"citationID":"5cIdbIVA","properties":{"formattedCitation":"(Karuppan Perumal et al., 2025)","plainCitation":"(Karuppan Perumal et al., 2025)","noteIndex":0},"citationItems":[{"id":271,"uris":["http://zotero.org/users/17156871/items/E9RWGF79"],"itemData":{"id":271,"type":"article-journal","abstract":"Oral cancer (OC) is a significant global health burden, with life-saving improvements in survival and outcomes being dependent on early diagnosis and precise treatment planning. However, diagnosis and treatment planning are predicated on the synthesis of complicated information derived from clinical assessment, imaging, histopathology and patient histories. Artificial intelligence-based clinical decision support systems (AI-CDSS) provides a viable solution that can be implemented via advanced methodologies for data analysis, and synthesis for better diagnostic and prognostic evaluation. This review presents AI-CDSS as a promising solution through advanced methodologies for comprehensive data analysis. In addition, it examines current implementations of AI-CDSS that facilitate early OC detection, precise staging, and personalized treatment planning by processing multimodal patient information through machine learning, computer vision, and natural language processing. These systems effectively interpret clinical results, identify critical disease patterns (including clinical stage, site, tumor dimensions, histopathologic grading, and molecular profiles), and construct comprehensive patient profiles. This comprehensive AI-CDSS approach allows for early cancer detection, a reduction in diagnostic delays and improved intervention outcomes. Moreover, the AI-CDSS also optimizes treatment plans on the basis of unique patient parameters, tumor stages and risk factors, providing personalized therapy.","container-title":"Frontiers in Oral Health","DOI":"10.3389/froh.2025.1592428","ISSN":"2673-4842","journalAbbreviation":"Front Oral Health","note":"PMID: 40356851\nPMCID: PMC12066789","page":"1592428","source":"PubMed Central","title":"Artificial intelligence-driven clinical decision support systems for early detection and precision therapy in oral cancer: a mini review","title-short":"Artificial intelligence-driven clinical decision support systems for early detection and precision therapy in oral cancer","volume":"6","author":[{"family":"Karuppan Perumal","given":"Manoj Kumar"},{"family":"Rajan Renuka","given":"Remya"},{"family":"Kumar Subbiah","given":"Suresh"},{"family":"Manickam Natarajan","given":"Prabhu"}],"issued":{"date-parts":[["2025",4,28]]}}}],"schema":"https://github.com/citation-style-language/schema/raw/master/csl-citation.json"} </w:instrText>
      </w:r>
      <w:r w:rsidR="003331D6" w:rsidRPr="00AB268E">
        <w:rPr>
          <w:rFonts w:ascii="Times New Roman" w:hAnsi="Times New Roman" w:cs="Times New Roman"/>
          <w:sz w:val="24"/>
          <w:szCs w:val="24"/>
          <w:lang w:val="en-US"/>
        </w:rPr>
        <w:fldChar w:fldCharType="separate"/>
      </w:r>
      <w:r w:rsidR="003331D6" w:rsidRPr="00AB268E">
        <w:rPr>
          <w:rFonts w:ascii="Times New Roman" w:hAnsi="Times New Roman" w:cs="Times New Roman"/>
          <w:sz w:val="24"/>
          <w:szCs w:val="24"/>
        </w:rPr>
        <w:t>(Karuppan Perumal et al., 2025)</w:t>
      </w:r>
      <w:r w:rsidR="003331D6"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71F1E250" w14:textId="183385CC" w:rsidR="00AF2D44" w:rsidRDefault="00AF2D44" w:rsidP="00AB268E">
      <w:pPr>
        <w:pStyle w:val="ListParagraph"/>
        <w:numPr>
          <w:ilvl w:val="0"/>
          <w:numId w:val="11"/>
        </w:num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Ethical frameworks for responsible</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in genomics: strong ethical frameworks are necessary to guide the development and use of cancer genomics as aa becomes more integrated in it.</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applications in genomics will continue to strengthen existing health inequalities especially among marginalized populations if these frameworks are not put into place</w:t>
      </w:r>
      <w:r w:rsidR="00900AE1" w:rsidRPr="00AB268E">
        <w:rPr>
          <w:rFonts w:ascii="Times New Roman" w:hAnsi="Times New Roman" w:cs="Times New Roman"/>
          <w:sz w:val="24"/>
          <w:szCs w:val="24"/>
          <w:lang w:val="en-US"/>
        </w:rPr>
        <w:fldChar w:fldCharType="begin"/>
      </w:r>
      <w:r w:rsidR="00900AE1" w:rsidRPr="00AB268E">
        <w:rPr>
          <w:rFonts w:ascii="Times New Roman" w:hAnsi="Times New Roman" w:cs="Times New Roman"/>
          <w:sz w:val="24"/>
          <w:szCs w:val="24"/>
          <w:lang w:val="en-US"/>
        </w:rPr>
        <w:instrText xml:space="preserve"> ADDIN ZOTERO_ITEM CSL_CITATION {"citationID":"xyPt2nBC","properties":{"formattedCitation":"(Abujaber &amp; Nashwan, 2024)","plainCitation":"(Abujaber &amp; Nashwan, 2024)","noteIndex":0},"citationItems":[{"id":274,"uris":["http://zotero.org/users/17156871/items/7I6JP4IJ"],"itemData":{"id":274,"type":"article-journal","abstract":"The integration of Artificial Intelligence (AI) into healthcare research promises unprecedented advancements in medical diagnostics, treatment personalization, and patient care management. However, these innovations also bring forth significant ethical challenges that must be addressed to maintain public trust, ensure patient safety, and uphold data integrity. This article sets out to introduce a detailed framework designed to steer governance and offer a systematic method for assuring that AI applications in healthcare research are developed and executed with integrity and adherence to medical research ethics.","container-title":"World Journal of Methodology","DOI":"10.5662/wjm.v14.i3.94071","ISSN":"2222-0682","issue":"3","journalAbbreviation":"World J Methodol","note":"PMID: 39310239\nPMCID: PMC11230076","page":"94071","source":"PubMed Central","title":"Ethical framework for artificial intelligence in healthcare research: A path to integrity","title-short":"Ethical framework for artificial intelligence in healthcare research","volume":"14","author":[{"family":"Abujaber","given":"Ahmad A"},{"family":"Nashwan","given":"Abdulqadir J"}],"issued":{"date-parts":[["2024",9,20]]}}}],"schema":"https://github.com/citation-style-language/schema/raw/master/csl-citation.json"} </w:instrText>
      </w:r>
      <w:r w:rsidR="00900AE1" w:rsidRPr="00AB268E">
        <w:rPr>
          <w:rFonts w:ascii="Times New Roman" w:hAnsi="Times New Roman" w:cs="Times New Roman"/>
          <w:sz w:val="24"/>
          <w:szCs w:val="24"/>
          <w:lang w:val="en-US"/>
        </w:rPr>
        <w:fldChar w:fldCharType="separate"/>
      </w:r>
      <w:r w:rsidR="00900AE1" w:rsidRPr="00AB268E">
        <w:rPr>
          <w:rFonts w:ascii="Times New Roman" w:hAnsi="Times New Roman" w:cs="Times New Roman"/>
          <w:sz w:val="24"/>
          <w:szCs w:val="24"/>
        </w:rPr>
        <w:t>(Abujaber &amp; Nashwan, 2024)</w:t>
      </w:r>
      <w:r w:rsidR="00900AE1"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 These frameworks are necessary to hinder</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models from expanding the disparity especially in areas that underrepresented communities.  Participation in community activities, regulatory oversight, and compliance to principles such as the fair (findable, accessible, interoperable, reusable) and fate (fairness, accountability, transparency, explainability) guidelines will be necessary in facilitating equitable, human-centered</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in cancer prevention and care</w:t>
      </w:r>
      <w:r w:rsidR="00C61BA4" w:rsidRPr="00AB268E">
        <w:rPr>
          <w:rFonts w:ascii="Times New Roman" w:hAnsi="Times New Roman" w:cs="Times New Roman"/>
          <w:sz w:val="24"/>
          <w:szCs w:val="24"/>
          <w:lang w:val="en-US"/>
        </w:rPr>
        <w:t xml:space="preserve"> </w:t>
      </w:r>
      <w:r w:rsidR="00C61BA4" w:rsidRPr="00AB268E">
        <w:rPr>
          <w:rFonts w:ascii="Times New Roman" w:hAnsi="Times New Roman" w:cs="Times New Roman"/>
          <w:sz w:val="24"/>
          <w:szCs w:val="24"/>
          <w:lang w:val="en-US"/>
        </w:rPr>
        <w:fldChar w:fldCharType="begin"/>
      </w:r>
      <w:r w:rsidR="00C61BA4" w:rsidRPr="00AB268E">
        <w:rPr>
          <w:rFonts w:ascii="Times New Roman" w:hAnsi="Times New Roman" w:cs="Times New Roman"/>
          <w:sz w:val="24"/>
          <w:szCs w:val="24"/>
          <w:lang w:val="en-US"/>
        </w:rPr>
        <w:instrText xml:space="preserve"> ADDIN ZOTERO_ITEM CSL_CITATION {"citationID":"52p9gWmY","properties":{"formattedCitation":"(Singhal et al., 2024)","plainCitation":"(Singhal et al., 2024)","noteIndex":0},"citationItems":[{"id":276,"uris":["http://zotero.org/users/17156871/items/F5XWPICW"],"itemData":{"id":276,"type":"article-journal","abstract":"Background\nThe use of social media for disseminating health care information has become increasingly prevalent, making the expanding role of artificial intelligence (AI) and machine learning in this process both significant and inevitable. This development raises numerous ethical concerns. This study explored the ethical use of AI and machine learning in the context of health care information on social media platforms (SMPs). It critically examined these technologies from the perspectives of fairness, accountability, transparency, and ethics (FATE), emphasizing computational and methodological approaches that ensure their responsible application.\n\nObjective\nThis study aims to identify, compare, and synthesize existing solutions that address the components of FATE in AI applications in health care on SMPs. Through an in-depth exploration of computational methods, approaches, and evaluation metrics used in various initiatives, we sought to elucidate the current state of the art and identify existing gaps. Furthermore, we assessed the strength of the evidence supporting each identified solution and discussed the implications of our findings for future research and practice. In doing so, we made a unique contribution to the field by highlighting areas that require further exploration and innovation.\n\nMethods\nOur research methodology involved a comprehensive literature search across PubMed, Web of Science, and Google Scholar. We used strategic searches through specific filters to identify relevant research papers published since 2012 focusing on the intersection and union of different literature sets. The inclusion criteria were centered on studies that primarily addressed FATE in health care discussions on SMPs; those presenting empirical results; and those covering definitions, computational methods, approaches, and evaluation metrics.\n\nResults\nOur findings present a nuanced breakdown of the FATE principles, aligning them where applicable with the American Medical Informatics Association ethical guidelines. By dividing these principles into dedicated sections, we detailed specific computational methods and conceptual approaches tailored to enforcing FATE in AI-driven health care on SMPs. This segmentation facilitated a deeper understanding of the intricate relationship among the FATE principles and highlighted the practical challenges encountered in their application. It underscored the pioneering contributions of our study to the discourse on ethical AI in health care on SMPs, emphasizing the complex interplay and the limitations faced in implementing these principles effectively.\n\nConclusions\nDespite the existence of diverse approaches and metrics to address FATE issues in AI for health care on SMPs, challenges persist. The application of these approaches often intersects with additional ethical considerations, occasionally leading to conflicts. Our review highlights the lack of a unified, comprehensive solution for fully and effectively integrating FATE principles in this domain. This gap necessitates careful consideration of the ethical trade-offs involved in deploying existing methods and underscores the need for ongoing research.","container-title":"JMIR Medical Informatics","DOI":"10.2196/50048","ISSN":"2291-9694","journalAbbreviation":"JMIR Med Inform","note":"PMID: 38568737\nPMCID: PMC11024755","page":"e50048","source":"PubMed Central","title":"Toward Fairness, Accountability, Transparency, and Ethics in AI for Social Media and Health Care: Scoping Review","title-short":"Toward Fairness, Accountability, Transparency, and Ethics in AI for Social Media and Health Care","volume":"12","author":[{"family":"Singhal","given":"Aditya"},{"family":"Neveditsin","given":"Nikita"},{"family":"Tanveer","given":"Hasnaat"},{"family":"Mago","given":"Vijay"}],"issued":{"date-parts":[["2024",4,3]]}}}],"schema":"https://github.com/citation-style-language/schema/raw/master/csl-citation.json"} </w:instrText>
      </w:r>
      <w:r w:rsidR="00C61BA4" w:rsidRPr="00AB268E">
        <w:rPr>
          <w:rFonts w:ascii="Times New Roman" w:hAnsi="Times New Roman" w:cs="Times New Roman"/>
          <w:sz w:val="24"/>
          <w:szCs w:val="24"/>
          <w:lang w:val="en-US"/>
        </w:rPr>
        <w:fldChar w:fldCharType="separate"/>
      </w:r>
      <w:r w:rsidR="00C61BA4" w:rsidRPr="00AB268E">
        <w:rPr>
          <w:rFonts w:ascii="Times New Roman" w:hAnsi="Times New Roman" w:cs="Times New Roman"/>
          <w:sz w:val="24"/>
          <w:szCs w:val="24"/>
        </w:rPr>
        <w:t>(Singhal et al., 2024)</w:t>
      </w:r>
      <w:r w:rsidR="00C61BA4" w:rsidRPr="00AB268E">
        <w:rPr>
          <w:rFonts w:ascii="Times New Roman" w:hAnsi="Times New Roman" w:cs="Times New Roman"/>
          <w:sz w:val="24"/>
          <w:szCs w:val="24"/>
          <w:lang w:val="en-US"/>
        </w:rPr>
        <w:fldChar w:fldCharType="end"/>
      </w:r>
      <w:r w:rsidRPr="00AB268E">
        <w:rPr>
          <w:rFonts w:ascii="Times New Roman" w:hAnsi="Times New Roman" w:cs="Times New Roman"/>
          <w:sz w:val="24"/>
          <w:szCs w:val="24"/>
          <w:lang w:val="en-US"/>
        </w:rPr>
        <w:t>.</w:t>
      </w:r>
    </w:p>
    <w:p w14:paraId="2B59032F" w14:textId="77777777" w:rsidR="00AB268E" w:rsidRPr="00AB268E" w:rsidRDefault="00AB268E" w:rsidP="00AB268E">
      <w:pPr>
        <w:pStyle w:val="ListParagraph"/>
        <w:jc w:val="both"/>
        <w:rPr>
          <w:rFonts w:ascii="Times New Roman" w:hAnsi="Times New Roman" w:cs="Times New Roman"/>
          <w:sz w:val="24"/>
          <w:szCs w:val="24"/>
          <w:lang w:val="en-US"/>
        </w:rPr>
      </w:pPr>
    </w:p>
    <w:p w14:paraId="6783FE9C" w14:textId="77777777"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11. Conclusion</w:t>
      </w:r>
    </w:p>
    <w:p w14:paraId="4DCBA813" w14:textId="0EF2855E" w:rsidR="00AF2D44" w:rsidRPr="00AB268E" w:rsidRDefault="00AF2D44" w:rsidP="00AB268E">
      <w:pPr>
        <w:pStyle w:val="ListParagraph"/>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In conclusion, the fusion of artificial intelligence (</w:t>
      </w:r>
      <w:r w:rsidR="00302DD6"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 and genomic surveillance into cancer prevention represents a transformative approach to public health by taking the focus from reactive treatment to proactive health management. The integration of advanced data analytics with molecular insights will enable the identification of environmental carcinogens and genetic susceptibilities, promoting early detection and personalized treatments.</w:t>
      </w:r>
    </w:p>
    <w:p w14:paraId="729035F7" w14:textId="2D04D88B" w:rsidR="00C06778" w:rsidRDefault="00C06778" w:rsidP="0042526D">
      <w:pPr>
        <w:jc w:val="both"/>
        <w:rPr>
          <w:rFonts w:ascii="Times New Roman" w:hAnsi="Times New Roman" w:cs="Times New Roman"/>
          <w:sz w:val="24"/>
          <w:szCs w:val="24"/>
          <w:lang w:val="en-US"/>
        </w:rPr>
      </w:pPr>
    </w:p>
    <w:p w14:paraId="2DF41E18" w14:textId="09335125" w:rsidR="00C06778" w:rsidRDefault="00C06778" w:rsidP="0042526D">
      <w:pPr>
        <w:jc w:val="both"/>
        <w:rPr>
          <w:rFonts w:ascii="Times New Roman" w:hAnsi="Times New Roman" w:cs="Times New Roman"/>
          <w:sz w:val="24"/>
          <w:szCs w:val="24"/>
          <w:lang w:val="en-US"/>
        </w:rPr>
      </w:pPr>
    </w:p>
    <w:p w14:paraId="10BCA46D" w14:textId="2FFCB4FA" w:rsidR="00C06778" w:rsidRDefault="00C06778" w:rsidP="0042526D">
      <w:pPr>
        <w:jc w:val="both"/>
        <w:rPr>
          <w:rFonts w:ascii="Times New Roman" w:hAnsi="Times New Roman" w:cs="Times New Roman"/>
          <w:sz w:val="24"/>
          <w:szCs w:val="24"/>
          <w:lang w:val="en-US"/>
        </w:rPr>
      </w:pPr>
    </w:p>
    <w:p w14:paraId="0CB7AA53" w14:textId="77777777" w:rsidR="00C06778" w:rsidRPr="00AB268E" w:rsidRDefault="00C06778" w:rsidP="0042526D">
      <w:pPr>
        <w:jc w:val="both"/>
        <w:rPr>
          <w:rFonts w:ascii="Times New Roman" w:hAnsi="Times New Roman" w:cs="Times New Roman"/>
          <w:sz w:val="24"/>
          <w:szCs w:val="24"/>
          <w:lang w:val="en-US"/>
        </w:rPr>
      </w:pPr>
    </w:p>
    <w:p w14:paraId="7174DD92" w14:textId="21814DA6"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lastRenderedPageBreak/>
        <w:t>REFRENCES</w:t>
      </w:r>
    </w:p>
    <w:p w14:paraId="439DC337" w14:textId="77777777" w:rsidR="00856962" w:rsidRPr="00AB268E" w:rsidRDefault="000F3575"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lang w:val="en-US"/>
        </w:rPr>
        <w:fldChar w:fldCharType="begin"/>
      </w:r>
      <w:r w:rsidR="00856962" w:rsidRPr="00AB268E">
        <w:rPr>
          <w:rFonts w:ascii="Times New Roman" w:hAnsi="Times New Roman" w:cs="Times New Roman"/>
          <w:sz w:val="24"/>
          <w:szCs w:val="24"/>
          <w:lang w:val="en-US"/>
        </w:rPr>
        <w:instrText xml:space="preserve"> ADDIN ZOTERO_BIBL {"uncited":[],"omitted":[],"custom":[]} CSL_BIBLIOGRAPHY </w:instrText>
      </w:r>
      <w:r w:rsidRPr="00AB268E">
        <w:rPr>
          <w:rFonts w:ascii="Times New Roman" w:hAnsi="Times New Roman" w:cs="Times New Roman"/>
          <w:sz w:val="24"/>
          <w:szCs w:val="24"/>
          <w:lang w:val="en-US"/>
        </w:rPr>
        <w:fldChar w:fldCharType="separate"/>
      </w:r>
      <w:r w:rsidR="00856962" w:rsidRPr="00AB268E">
        <w:rPr>
          <w:rFonts w:ascii="Times New Roman" w:hAnsi="Times New Roman" w:cs="Times New Roman"/>
          <w:sz w:val="24"/>
          <w:szCs w:val="24"/>
        </w:rPr>
        <w:t xml:space="preserve">Abujaber, A. A., &amp; Nashwan, A. J. (2024). Ethical framework for artificial intelligence in healthcare research: A path to integrity. </w:t>
      </w:r>
      <w:r w:rsidR="00856962" w:rsidRPr="00AB268E">
        <w:rPr>
          <w:rFonts w:ascii="Times New Roman" w:hAnsi="Times New Roman" w:cs="Times New Roman"/>
          <w:i/>
          <w:iCs/>
          <w:sz w:val="24"/>
          <w:szCs w:val="24"/>
        </w:rPr>
        <w:t>World Journal of Methodology</w:t>
      </w:r>
      <w:r w:rsidR="00856962" w:rsidRPr="00AB268E">
        <w:rPr>
          <w:rFonts w:ascii="Times New Roman" w:hAnsi="Times New Roman" w:cs="Times New Roman"/>
          <w:sz w:val="24"/>
          <w:szCs w:val="24"/>
        </w:rPr>
        <w:t xml:space="preserve">, </w:t>
      </w:r>
      <w:r w:rsidR="00856962" w:rsidRPr="00AB268E">
        <w:rPr>
          <w:rFonts w:ascii="Times New Roman" w:hAnsi="Times New Roman" w:cs="Times New Roman"/>
          <w:i/>
          <w:iCs/>
          <w:sz w:val="24"/>
          <w:szCs w:val="24"/>
        </w:rPr>
        <w:t>14</w:t>
      </w:r>
      <w:r w:rsidR="00856962" w:rsidRPr="00AB268E">
        <w:rPr>
          <w:rFonts w:ascii="Times New Roman" w:hAnsi="Times New Roman" w:cs="Times New Roman"/>
          <w:sz w:val="24"/>
          <w:szCs w:val="24"/>
        </w:rPr>
        <w:t>(3), 94071. https://doi.org/10.5662/wjm.v14.i3.94071</w:t>
      </w:r>
    </w:p>
    <w:p w14:paraId="1656F7E4"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Ahn, J. S., Shin, S., Yang, S.-A., Park, E. K., Kim, K. H., Cho, S. I., Ock, C.-Y., &amp; Kim, S. (2023). Artificial Intelligence in Breast Cancer Diagnosis and Personalized Medicine. </w:t>
      </w:r>
      <w:r w:rsidRPr="00AB268E">
        <w:rPr>
          <w:rFonts w:ascii="Times New Roman" w:hAnsi="Times New Roman" w:cs="Times New Roman"/>
          <w:i/>
          <w:iCs/>
          <w:sz w:val="24"/>
          <w:szCs w:val="24"/>
        </w:rPr>
        <w:t>Journal of Breast Cancer</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26</w:t>
      </w:r>
      <w:r w:rsidRPr="00AB268E">
        <w:rPr>
          <w:rFonts w:ascii="Times New Roman" w:hAnsi="Times New Roman" w:cs="Times New Roman"/>
          <w:sz w:val="24"/>
          <w:szCs w:val="24"/>
        </w:rPr>
        <w:t>(5), 405–435. https://doi.org/10.4048/jbc.2023.26.e45</w:t>
      </w:r>
    </w:p>
    <w:p w14:paraId="21709051"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Ali, M., Wani, S. U. D., Dey, T., &amp; Mehdi, S. (2024). Artificial intelligence in the treatment of cancer: Changing patterns, constraints, and prospects. </w:t>
      </w:r>
      <w:r w:rsidRPr="00AB268E">
        <w:rPr>
          <w:rFonts w:ascii="Times New Roman" w:hAnsi="Times New Roman" w:cs="Times New Roman"/>
          <w:i/>
          <w:iCs/>
          <w:sz w:val="24"/>
          <w:szCs w:val="24"/>
        </w:rPr>
        <w:t>Health and Technology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14</w:t>
      </w:r>
      <w:r w:rsidRPr="00AB268E">
        <w:rPr>
          <w:rFonts w:ascii="Times New Roman" w:hAnsi="Times New Roman" w:cs="Times New Roman"/>
          <w:sz w:val="24"/>
          <w:szCs w:val="24"/>
        </w:rPr>
        <w:t>(3), 417–432. https://doi.org/10.1007/s12553-024-00825-y</w:t>
      </w:r>
    </w:p>
    <w:p w14:paraId="765D2686" w14:textId="1D8B8DF3"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Alum, E. U. (2025).</w:t>
      </w:r>
      <w:r w:rsidR="00AB268E" w:rsidRPr="00AB268E">
        <w:rPr>
          <w:rFonts w:ascii="Times New Roman" w:hAnsi="Times New Roman" w:cs="Times New Roman"/>
          <w:sz w:val="24"/>
          <w:szCs w:val="24"/>
        </w:rPr>
        <w:t xml:space="preserve"> AI</w:t>
      </w:r>
      <w:r w:rsidRPr="00AB268E">
        <w:rPr>
          <w:rFonts w:ascii="Times New Roman" w:hAnsi="Times New Roman" w:cs="Times New Roman"/>
          <w:sz w:val="24"/>
          <w:szCs w:val="24"/>
        </w:rPr>
        <w:t xml:space="preserve">-driven biomarker discovery: Enhancing precision in cancer diagnosis and prognosis. </w:t>
      </w:r>
      <w:r w:rsidRPr="00AB268E">
        <w:rPr>
          <w:rFonts w:ascii="Times New Roman" w:hAnsi="Times New Roman" w:cs="Times New Roman"/>
          <w:i/>
          <w:iCs/>
          <w:sz w:val="24"/>
          <w:szCs w:val="24"/>
        </w:rPr>
        <w:t>Discover Oncology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16</w:t>
      </w:r>
      <w:r w:rsidRPr="00AB268E">
        <w:rPr>
          <w:rFonts w:ascii="Times New Roman" w:hAnsi="Times New Roman" w:cs="Times New Roman"/>
          <w:sz w:val="24"/>
          <w:szCs w:val="24"/>
        </w:rPr>
        <w:t>, 313. https://doi.org/10.1007/s12672-025-02064-7</w:t>
      </w:r>
    </w:p>
    <w:p w14:paraId="6E9BDE3C"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Arnold, M., Rentería, E., Conway, D. I., Bray, F., Van Ourti, T., &amp; Soerjomataram, I. (2016). Inequalities in cancer incidence and mortality across medium to highly developed countries in the twenty-first century. </w:t>
      </w:r>
      <w:r w:rsidRPr="00AB268E">
        <w:rPr>
          <w:rFonts w:ascii="Times New Roman" w:hAnsi="Times New Roman" w:cs="Times New Roman"/>
          <w:i/>
          <w:iCs/>
          <w:sz w:val="24"/>
          <w:szCs w:val="24"/>
        </w:rPr>
        <w:t>Cancer Causes &amp; Control: CCC</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27</w:t>
      </w:r>
      <w:r w:rsidRPr="00AB268E">
        <w:rPr>
          <w:rFonts w:ascii="Times New Roman" w:hAnsi="Times New Roman" w:cs="Times New Roman"/>
          <w:sz w:val="24"/>
          <w:szCs w:val="24"/>
        </w:rPr>
        <w:t>(8), 999–1007. https://doi.org/10.1007/s10552-016-0777-7</w:t>
      </w:r>
    </w:p>
    <w:p w14:paraId="6CA991DD"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Baylin, S. B., &amp; Jones, P. A. (2016). Epigenetic Determinants of Cancer. </w:t>
      </w:r>
      <w:r w:rsidRPr="00AB268E">
        <w:rPr>
          <w:rFonts w:ascii="Times New Roman" w:hAnsi="Times New Roman" w:cs="Times New Roman"/>
          <w:i/>
          <w:iCs/>
          <w:sz w:val="24"/>
          <w:szCs w:val="24"/>
        </w:rPr>
        <w:t>Cold Spring Harbor Perspectives in Biology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8</w:t>
      </w:r>
      <w:r w:rsidRPr="00AB268E">
        <w:rPr>
          <w:rFonts w:ascii="Times New Roman" w:hAnsi="Times New Roman" w:cs="Times New Roman"/>
          <w:sz w:val="24"/>
          <w:szCs w:val="24"/>
        </w:rPr>
        <w:t>(9), a019505. https://doi.org/10.1101/cshperspect.a019505</w:t>
      </w:r>
    </w:p>
    <w:p w14:paraId="404DC50B"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Bi, W. L., Hosny, A., Schabath, M. B., Giger, M. L., Birkbak, N. J., Mehrtash, A., Allison, T., Arnaout, O., Abbosh, C., Dunn, I. F., Mak, R. H., Tamimi, R. M., Tempany, C. M., Swanton, C., Hoffmann, U., Schwartz, L. H., Gillies, R. J., Huang, R. Y., &amp; Aerts, H. J. W. L. (2019). Artificial intelligence in cancer imaging: Clinical challenges and applications. </w:t>
      </w:r>
      <w:r w:rsidRPr="00AB268E">
        <w:rPr>
          <w:rFonts w:ascii="Times New Roman" w:hAnsi="Times New Roman" w:cs="Times New Roman"/>
          <w:i/>
          <w:iCs/>
          <w:sz w:val="24"/>
          <w:szCs w:val="24"/>
        </w:rPr>
        <w:t>Ca</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69</w:t>
      </w:r>
      <w:r w:rsidRPr="00AB268E">
        <w:rPr>
          <w:rFonts w:ascii="Times New Roman" w:hAnsi="Times New Roman" w:cs="Times New Roman"/>
          <w:sz w:val="24"/>
          <w:szCs w:val="24"/>
        </w:rPr>
        <w:t>(2), 127–157. https://doi.org/10.3322/caac.21552</w:t>
      </w:r>
    </w:p>
    <w:p w14:paraId="028D1748" w14:textId="5550BD33"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Chatterjee, N., &amp; Walker, G. C. (2017). Mechanisms of</w:t>
      </w:r>
      <w:r w:rsidR="00AB268E">
        <w:rPr>
          <w:rFonts w:ascii="Times New Roman" w:hAnsi="Times New Roman" w:cs="Times New Roman"/>
          <w:sz w:val="24"/>
          <w:szCs w:val="24"/>
        </w:rPr>
        <w:t xml:space="preserve">   DNA</w:t>
      </w:r>
      <w:r w:rsidRPr="00AB268E">
        <w:rPr>
          <w:rFonts w:ascii="Times New Roman" w:hAnsi="Times New Roman" w:cs="Times New Roman"/>
          <w:sz w:val="24"/>
          <w:szCs w:val="24"/>
        </w:rPr>
        <w:t xml:space="preserve"> damage, repair and mutagenesis. </w:t>
      </w:r>
      <w:r w:rsidRPr="00AB268E">
        <w:rPr>
          <w:rFonts w:ascii="Times New Roman" w:hAnsi="Times New Roman" w:cs="Times New Roman"/>
          <w:i/>
          <w:iCs/>
          <w:sz w:val="24"/>
          <w:szCs w:val="24"/>
        </w:rPr>
        <w:t>Environmental and Molecular Mutagenesis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58</w:t>
      </w:r>
      <w:r w:rsidRPr="00AB268E">
        <w:rPr>
          <w:rFonts w:ascii="Times New Roman" w:hAnsi="Times New Roman" w:cs="Times New Roman"/>
          <w:sz w:val="24"/>
          <w:szCs w:val="24"/>
        </w:rPr>
        <w:t>(5), 235. https://doi.org/10.1002/em.22087</w:t>
      </w:r>
    </w:p>
    <w:p w14:paraId="79C2E84A" w14:textId="179B4DE9"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Cheng, F., Su, L., &amp; Qian, C. (2016). Circulating tumor</w:t>
      </w:r>
      <w:r w:rsidR="00AB268E">
        <w:rPr>
          <w:rFonts w:ascii="Times New Roman" w:hAnsi="Times New Roman" w:cs="Times New Roman"/>
          <w:sz w:val="24"/>
          <w:szCs w:val="24"/>
        </w:rPr>
        <w:t xml:space="preserve">   DNA</w:t>
      </w:r>
      <w:r w:rsidRPr="00AB268E">
        <w:rPr>
          <w:rFonts w:ascii="Times New Roman" w:hAnsi="Times New Roman" w:cs="Times New Roman"/>
          <w:sz w:val="24"/>
          <w:szCs w:val="24"/>
        </w:rPr>
        <w:t xml:space="preserve">: A promising biomarker in the liquid biopsy of cancer. </w:t>
      </w:r>
      <w:r w:rsidRPr="00AB268E">
        <w:rPr>
          <w:rFonts w:ascii="Times New Roman" w:hAnsi="Times New Roman" w:cs="Times New Roman"/>
          <w:i/>
          <w:iCs/>
          <w:sz w:val="24"/>
          <w:szCs w:val="24"/>
        </w:rPr>
        <w:t>Oncotarget</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7</w:t>
      </w:r>
      <w:r w:rsidRPr="00AB268E">
        <w:rPr>
          <w:rFonts w:ascii="Times New Roman" w:hAnsi="Times New Roman" w:cs="Times New Roman"/>
          <w:sz w:val="24"/>
          <w:szCs w:val="24"/>
        </w:rPr>
        <w:t>(30), 48832–48841. https://doi.org/10.18632/oncotarget.9453</w:t>
      </w:r>
    </w:p>
    <w:p w14:paraId="4556557F"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Correia, A. L., &amp; Bissell, M. J. (2012). The tumor microenvironment is a dominant force in multidrug resistance. </w:t>
      </w:r>
      <w:r w:rsidRPr="00AB268E">
        <w:rPr>
          <w:rFonts w:ascii="Times New Roman" w:hAnsi="Times New Roman" w:cs="Times New Roman"/>
          <w:i/>
          <w:iCs/>
          <w:sz w:val="24"/>
          <w:szCs w:val="24"/>
        </w:rPr>
        <w:t>Drug Resistance Updates : Reviews and Commentaries in Antimicrobial and Anticancer Chemotherapy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15</w:t>
      </w:r>
      <w:r w:rsidRPr="00AB268E">
        <w:rPr>
          <w:rFonts w:ascii="Times New Roman" w:hAnsi="Times New Roman" w:cs="Times New Roman"/>
          <w:sz w:val="24"/>
          <w:szCs w:val="24"/>
        </w:rPr>
        <w:t>(0), 39–49. https://doi.org/10.1016/j.drup.2012.01.006</w:t>
      </w:r>
    </w:p>
    <w:p w14:paraId="1C1AC839" w14:textId="3683730C"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Elhaddad, M., &amp; Hamam, S. (2024).</w:t>
      </w:r>
      <w:r w:rsidR="00AB268E" w:rsidRPr="00AB268E">
        <w:rPr>
          <w:rFonts w:ascii="Times New Roman" w:hAnsi="Times New Roman" w:cs="Times New Roman"/>
          <w:sz w:val="24"/>
          <w:szCs w:val="24"/>
        </w:rPr>
        <w:t xml:space="preserve"> AI</w:t>
      </w:r>
      <w:r w:rsidRPr="00AB268E">
        <w:rPr>
          <w:rFonts w:ascii="Times New Roman" w:hAnsi="Times New Roman" w:cs="Times New Roman"/>
          <w:sz w:val="24"/>
          <w:szCs w:val="24"/>
        </w:rPr>
        <w:t xml:space="preserve">-Driven Clinical Decision Support Systems: An Ongoing Pursuit of Potential. </w:t>
      </w:r>
      <w:r w:rsidRPr="00AB268E">
        <w:rPr>
          <w:rFonts w:ascii="Times New Roman" w:hAnsi="Times New Roman" w:cs="Times New Roman"/>
          <w:i/>
          <w:iCs/>
          <w:sz w:val="24"/>
          <w:szCs w:val="24"/>
        </w:rPr>
        <w:t>Cureus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16</w:t>
      </w:r>
      <w:r w:rsidRPr="00AB268E">
        <w:rPr>
          <w:rFonts w:ascii="Times New Roman" w:hAnsi="Times New Roman" w:cs="Times New Roman"/>
          <w:sz w:val="24"/>
          <w:szCs w:val="24"/>
        </w:rPr>
        <w:t>(4), e57728. https://doi.org/10.7759/cureus.57728</w:t>
      </w:r>
    </w:p>
    <w:p w14:paraId="4A7FF970"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Ginghina, O., Hudita, A., Zamfir, M., Spanu, A., Mardare, M., Bondoc, I., Buburuzan, L., Georgescu, S. E., Costache, M., Negrei, C., Nitipir, C., &amp; Galateanu, B. (2022). Liquid Biopsy and Artificial Intelligence as Tools to Detect Signatures of Colorectal Malignancies: A Modern Approach in Patient’s Stratification. </w:t>
      </w:r>
      <w:r w:rsidRPr="00AB268E">
        <w:rPr>
          <w:rFonts w:ascii="Times New Roman" w:hAnsi="Times New Roman" w:cs="Times New Roman"/>
          <w:i/>
          <w:iCs/>
          <w:sz w:val="24"/>
          <w:szCs w:val="24"/>
        </w:rPr>
        <w:t>Frontiers in Oncology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12</w:t>
      </w:r>
      <w:r w:rsidRPr="00AB268E">
        <w:rPr>
          <w:rFonts w:ascii="Times New Roman" w:hAnsi="Times New Roman" w:cs="Times New Roman"/>
          <w:sz w:val="24"/>
          <w:szCs w:val="24"/>
        </w:rPr>
        <w:t>, 856575. https://doi.org/10.3389/fonc.2022.856575</w:t>
      </w:r>
    </w:p>
    <w:p w14:paraId="2A912983"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lastRenderedPageBreak/>
        <w:t xml:space="preserve">Goumas, G., Dardavesis, T. I., Syrigos, K., Syrigos, N., &amp; Simou, E. (2024). Chatbots in Cancer Applications, Advantages and Disadvantages: All that Glitters Is Not Gold. </w:t>
      </w:r>
      <w:r w:rsidRPr="00AB268E">
        <w:rPr>
          <w:rFonts w:ascii="Times New Roman" w:hAnsi="Times New Roman" w:cs="Times New Roman"/>
          <w:i/>
          <w:iCs/>
          <w:sz w:val="24"/>
          <w:szCs w:val="24"/>
        </w:rPr>
        <w:t>Journal of Personalized Medicine</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14</w:t>
      </w:r>
      <w:r w:rsidRPr="00AB268E">
        <w:rPr>
          <w:rFonts w:ascii="Times New Roman" w:hAnsi="Times New Roman" w:cs="Times New Roman"/>
          <w:sz w:val="24"/>
          <w:szCs w:val="24"/>
        </w:rPr>
        <w:t>(8), 877. https://doi.org/10.3390/jpm14080877</w:t>
      </w:r>
    </w:p>
    <w:p w14:paraId="1DF248AE"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Hartwig, A., Arand, M., Epe, B., Guth, S., Jahnke, G., Lampen, A., Martus, H.-J., Monien, B., Rietjens, I. M. C. M., Schmitz-Spanke, S., Schriever-Schwemmer, G., Steinberg, P., &amp; Eisenbrand, G. (2020). Mode of action-based risk assessment of genotoxic carcinogens. </w:t>
      </w:r>
      <w:r w:rsidRPr="00AB268E">
        <w:rPr>
          <w:rFonts w:ascii="Times New Roman" w:hAnsi="Times New Roman" w:cs="Times New Roman"/>
          <w:i/>
          <w:iCs/>
          <w:sz w:val="24"/>
          <w:szCs w:val="24"/>
        </w:rPr>
        <w:t>Archives of Toxicology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94</w:t>
      </w:r>
      <w:r w:rsidRPr="00AB268E">
        <w:rPr>
          <w:rFonts w:ascii="Times New Roman" w:hAnsi="Times New Roman" w:cs="Times New Roman"/>
          <w:sz w:val="24"/>
          <w:szCs w:val="24"/>
        </w:rPr>
        <w:t>(6), 1787–1877. https://doi.org/10.1007/s00204-020-02733-2</w:t>
      </w:r>
    </w:p>
    <w:p w14:paraId="72DAF6A0"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Hashim, D., &amp; Boffetta, P. (2014). Occupational and Environmental Exposures and Cancers in Developing Countries. </w:t>
      </w:r>
      <w:r w:rsidRPr="00AB268E">
        <w:rPr>
          <w:rFonts w:ascii="Times New Roman" w:hAnsi="Times New Roman" w:cs="Times New Roman"/>
          <w:i/>
          <w:iCs/>
          <w:sz w:val="24"/>
          <w:szCs w:val="24"/>
        </w:rPr>
        <w:t>Annals of Global Health</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80</w:t>
      </w:r>
      <w:r w:rsidRPr="00AB268E">
        <w:rPr>
          <w:rFonts w:ascii="Times New Roman" w:hAnsi="Times New Roman" w:cs="Times New Roman"/>
          <w:sz w:val="24"/>
          <w:szCs w:val="24"/>
        </w:rPr>
        <w:t>(5), 393–411. https://doi.org/10.1016/j.aogh.2014.10.002</w:t>
      </w:r>
    </w:p>
    <w:p w14:paraId="553459E6"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Karuppan Perumal, M. K., Rajan Renuka, R., Kumar Subbiah, S., &amp; Manickam Natarajan, P. (2025). Artificial intelligence-driven clinical decision support systems for early detection and precision therapy in oral cancer: A mini review. </w:t>
      </w:r>
      <w:r w:rsidRPr="00AB268E">
        <w:rPr>
          <w:rFonts w:ascii="Times New Roman" w:hAnsi="Times New Roman" w:cs="Times New Roman"/>
          <w:i/>
          <w:iCs/>
          <w:sz w:val="24"/>
          <w:szCs w:val="24"/>
        </w:rPr>
        <w:t>Frontiers in Oral Health</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6</w:t>
      </w:r>
      <w:r w:rsidRPr="00AB268E">
        <w:rPr>
          <w:rFonts w:ascii="Times New Roman" w:hAnsi="Times New Roman" w:cs="Times New Roman"/>
          <w:sz w:val="24"/>
          <w:szCs w:val="24"/>
        </w:rPr>
        <w:t>, 1592428. https://doi.org/10.3389/froh.2025.1592428</w:t>
      </w:r>
    </w:p>
    <w:p w14:paraId="5469BD78"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Khanna, N. N., Singh, M., Maindarkar, M., Kumar, A., Johri, A. M., Mentella, L., Laird, J. R., Paraskevas, K. I., Ruzsa, Z., Singh, N., Kalra, M. K., Fernandes, J. F. E., Chaturvedi, S., Nicolaides, A., Rathore, V., Singh, I., Teji, J. S., Al-Maini, M., Isenovic, E. R., … Suri, J. S. (2023). Polygenic Risk Score for Cardiovascular Diseases in Artificial Intelligence Paradigm: A Review. </w:t>
      </w:r>
      <w:r w:rsidRPr="00AB268E">
        <w:rPr>
          <w:rFonts w:ascii="Times New Roman" w:hAnsi="Times New Roman" w:cs="Times New Roman"/>
          <w:i/>
          <w:iCs/>
          <w:sz w:val="24"/>
          <w:szCs w:val="24"/>
        </w:rPr>
        <w:t>Journal of Korean Medical Science</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38</w:t>
      </w:r>
      <w:r w:rsidRPr="00AB268E">
        <w:rPr>
          <w:rFonts w:ascii="Times New Roman" w:hAnsi="Times New Roman" w:cs="Times New Roman"/>
          <w:sz w:val="24"/>
          <w:szCs w:val="24"/>
        </w:rPr>
        <w:t>(46), e395. https://doi.org/10.3346/jkms.2023.38.e395</w:t>
      </w:r>
    </w:p>
    <w:p w14:paraId="77969A87"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Lei, F. (2024). The Application of Artificial Intelligence in Lung Cancer Research. </w:t>
      </w:r>
      <w:r w:rsidRPr="00AB268E">
        <w:rPr>
          <w:rFonts w:ascii="Times New Roman" w:hAnsi="Times New Roman" w:cs="Times New Roman"/>
          <w:i/>
          <w:iCs/>
          <w:sz w:val="24"/>
          <w:szCs w:val="24"/>
        </w:rPr>
        <w:t>Cancer Control : Journal of the Moffitt Cancer Center</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31</w:t>
      </w:r>
      <w:r w:rsidRPr="00AB268E">
        <w:rPr>
          <w:rFonts w:ascii="Times New Roman" w:hAnsi="Times New Roman" w:cs="Times New Roman"/>
          <w:sz w:val="24"/>
          <w:szCs w:val="24"/>
        </w:rPr>
        <w:t>, 10732748241297373. https://doi.org/10.1177/10732748241297373</w:t>
      </w:r>
    </w:p>
    <w:p w14:paraId="67B3297F" w14:textId="4304653E"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Maleki Varnosfaderani, S., &amp; Forouzanfar, M. (2024). The Role of</w:t>
      </w:r>
      <w:r w:rsidR="00AB268E" w:rsidRPr="00AB268E">
        <w:rPr>
          <w:rFonts w:ascii="Times New Roman" w:hAnsi="Times New Roman" w:cs="Times New Roman"/>
          <w:sz w:val="24"/>
          <w:szCs w:val="24"/>
        </w:rPr>
        <w:t xml:space="preserve"> AI</w:t>
      </w:r>
      <w:r w:rsidRPr="00AB268E">
        <w:rPr>
          <w:rFonts w:ascii="Times New Roman" w:hAnsi="Times New Roman" w:cs="Times New Roman"/>
          <w:sz w:val="24"/>
          <w:szCs w:val="24"/>
        </w:rPr>
        <w:t xml:space="preserve"> in Hospitals and Clinics: Transforming Healthcare in the 21st Century. </w:t>
      </w:r>
      <w:r w:rsidRPr="00AB268E">
        <w:rPr>
          <w:rFonts w:ascii="Times New Roman" w:hAnsi="Times New Roman" w:cs="Times New Roman"/>
          <w:i/>
          <w:iCs/>
          <w:sz w:val="24"/>
          <w:szCs w:val="24"/>
        </w:rPr>
        <w:t>Bioengineering</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11</w:t>
      </w:r>
      <w:r w:rsidRPr="00AB268E">
        <w:rPr>
          <w:rFonts w:ascii="Times New Roman" w:hAnsi="Times New Roman" w:cs="Times New Roman"/>
          <w:sz w:val="24"/>
          <w:szCs w:val="24"/>
        </w:rPr>
        <w:t>(4), 337. https://doi.org/10.3390/bioengineering11040337</w:t>
      </w:r>
    </w:p>
    <w:p w14:paraId="5F4BE219"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Manić, L., Wallace, D., Onganer, P. U., Taalab, Y. M., Farooqi, A. A., Antonijević, B., &amp; Buha Djordjevic, A. (2022). Epigenetic mechanisms in metal carcinogenesis. </w:t>
      </w:r>
      <w:r w:rsidRPr="00AB268E">
        <w:rPr>
          <w:rFonts w:ascii="Times New Roman" w:hAnsi="Times New Roman" w:cs="Times New Roman"/>
          <w:i/>
          <w:iCs/>
          <w:sz w:val="24"/>
          <w:szCs w:val="24"/>
        </w:rPr>
        <w:t>Toxicology Reports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9</w:t>
      </w:r>
      <w:r w:rsidRPr="00AB268E">
        <w:rPr>
          <w:rFonts w:ascii="Times New Roman" w:hAnsi="Times New Roman" w:cs="Times New Roman"/>
          <w:sz w:val="24"/>
          <w:szCs w:val="24"/>
        </w:rPr>
        <w:t>, 778–787. https://doi.org/10.1016/j.toxrep.2022.03.037</w:t>
      </w:r>
    </w:p>
    <w:p w14:paraId="7D2DC7AC"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Ochieng, J., Nangami, G. N., Ogunkua, O., Miousse, I. R., Koturbash, I., Odero-Marah, V., McCawley, L., Nangia-Makker, P., Ahmed, N., Luqmani, Y., Chen, Z., Papagerakis, S., Wolf, G. T., Dong, C., Zhou, B. P., Brown, D. G., Colacci, A., Hamid, R. A., Mondello, C., … Eltom, S. E. (2015). The impact of low-dose carcinogens and environmental disruptors on tissue invasion and metastasis. </w:t>
      </w:r>
      <w:r w:rsidRPr="00AB268E">
        <w:rPr>
          <w:rFonts w:ascii="Times New Roman" w:hAnsi="Times New Roman" w:cs="Times New Roman"/>
          <w:i/>
          <w:iCs/>
          <w:sz w:val="24"/>
          <w:szCs w:val="24"/>
        </w:rPr>
        <w:t>Carcinogenesis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36</w:t>
      </w:r>
      <w:r w:rsidRPr="00AB268E">
        <w:rPr>
          <w:rFonts w:ascii="Times New Roman" w:hAnsi="Times New Roman" w:cs="Times New Roman"/>
          <w:sz w:val="24"/>
          <w:szCs w:val="24"/>
        </w:rPr>
        <w:t>(Suppl 1), S128–S159. https://doi.org/10.1093/carcin/bgv034</w:t>
      </w:r>
    </w:p>
    <w:p w14:paraId="60521595"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Omotoso, O., Teibo, J. O., Atiba, F. A., Oladimeji, T., Paimo, O. K., Ataya, F. S., Batiha, G. E.-S., &amp; Alexiou, A. (2023). Addressing cancer care inequities in sub-Saharan Africa: Current challenges and proposed solutions. </w:t>
      </w:r>
      <w:r w:rsidRPr="00AB268E">
        <w:rPr>
          <w:rFonts w:ascii="Times New Roman" w:hAnsi="Times New Roman" w:cs="Times New Roman"/>
          <w:i/>
          <w:iCs/>
          <w:sz w:val="24"/>
          <w:szCs w:val="24"/>
        </w:rPr>
        <w:t>International Journal for Equity in Health</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22</w:t>
      </w:r>
      <w:r w:rsidRPr="00AB268E">
        <w:rPr>
          <w:rFonts w:ascii="Times New Roman" w:hAnsi="Times New Roman" w:cs="Times New Roman"/>
          <w:sz w:val="24"/>
          <w:szCs w:val="24"/>
        </w:rPr>
        <w:t>, 189. https://doi.org/10.1186/s12939-023-01962-y</w:t>
      </w:r>
    </w:p>
    <w:p w14:paraId="4812D7F6"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Pizzino, G., Irrera, N., Cucinotta, M., Pallio, G., Mannino, F., Arcoraci, V., Squadrito, F., Altavilla, D., &amp; Bitto, A. (2017). Oxidative Stress: Harms and Benefits for Human Health. </w:t>
      </w:r>
      <w:r w:rsidRPr="00AB268E">
        <w:rPr>
          <w:rFonts w:ascii="Times New Roman" w:hAnsi="Times New Roman" w:cs="Times New Roman"/>
          <w:i/>
          <w:iCs/>
          <w:sz w:val="24"/>
          <w:szCs w:val="24"/>
        </w:rPr>
        <w:lastRenderedPageBreak/>
        <w:t>Oxidative Medicine and Cellular Longevity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2017</w:t>
      </w:r>
      <w:r w:rsidRPr="00AB268E">
        <w:rPr>
          <w:rFonts w:ascii="Times New Roman" w:hAnsi="Times New Roman" w:cs="Times New Roman"/>
          <w:sz w:val="24"/>
          <w:szCs w:val="24"/>
        </w:rPr>
        <w:t>, 8416763. https://doi.org/10.1155/2017/8416763</w:t>
      </w:r>
    </w:p>
    <w:p w14:paraId="15F3C240"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Reuter, S., Gupta, S. C., Chaturvedi, M. M., &amp; Aggarwal, B. B. (2010). Oxidative stress, inflammation, and cancer: How are they linked? </w:t>
      </w:r>
      <w:r w:rsidRPr="00AB268E">
        <w:rPr>
          <w:rFonts w:ascii="Times New Roman" w:hAnsi="Times New Roman" w:cs="Times New Roman"/>
          <w:i/>
          <w:iCs/>
          <w:sz w:val="24"/>
          <w:szCs w:val="24"/>
        </w:rPr>
        <w:t>Free Radical Biology &amp; Medicine</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49</w:t>
      </w:r>
      <w:r w:rsidRPr="00AB268E">
        <w:rPr>
          <w:rFonts w:ascii="Times New Roman" w:hAnsi="Times New Roman" w:cs="Times New Roman"/>
          <w:sz w:val="24"/>
          <w:szCs w:val="24"/>
        </w:rPr>
        <w:t>(11), 1603. https://doi.org/10.1016/j.freeradbiomed.2010.09.006</w:t>
      </w:r>
    </w:p>
    <w:p w14:paraId="436FC879"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Riva, L., Pandiri, A. R., Li, Y. R., Droop, A., Hewinson, J., Quail, M. A., Iyer, V., Shepherd, R., Herbert, R. A., Campbell, P. J., Sills, R. C., Alexandrov, L. B., Balmain, A., &amp; Adams, D. J. (2020a). The mutational signature profile of known and suspected human carcinogens in mice. </w:t>
      </w:r>
      <w:r w:rsidRPr="00AB268E">
        <w:rPr>
          <w:rFonts w:ascii="Times New Roman" w:hAnsi="Times New Roman" w:cs="Times New Roman"/>
          <w:i/>
          <w:iCs/>
          <w:sz w:val="24"/>
          <w:szCs w:val="24"/>
        </w:rPr>
        <w:t>Nature Genetics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52</w:t>
      </w:r>
      <w:r w:rsidRPr="00AB268E">
        <w:rPr>
          <w:rFonts w:ascii="Times New Roman" w:hAnsi="Times New Roman" w:cs="Times New Roman"/>
          <w:sz w:val="24"/>
          <w:szCs w:val="24"/>
        </w:rPr>
        <w:t>(11), 1189–1197. https://doi.org/10.1038/s41588-020-0692-4</w:t>
      </w:r>
    </w:p>
    <w:p w14:paraId="326A9EC7"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Riva, L., Pandiri, A. R., Li, Y. R., Droop, A., Hewinson, J., Quail, M. A., Iyer, V., Shepherd, R., Herbert, R. A., Campbell, P. J., Sills, R. C., Alexandrov, L. B., Balmain, A., &amp; Adams, D. J. (2020b). The mutational signature profile of known and suspected human carcinogens in mice. </w:t>
      </w:r>
      <w:r w:rsidRPr="00AB268E">
        <w:rPr>
          <w:rFonts w:ascii="Times New Roman" w:hAnsi="Times New Roman" w:cs="Times New Roman"/>
          <w:i/>
          <w:iCs/>
          <w:sz w:val="24"/>
          <w:szCs w:val="24"/>
        </w:rPr>
        <w:t>Nature Genetics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52</w:t>
      </w:r>
      <w:r w:rsidRPr="00AB268E">
        <w:rPr>
          <w:rFonts w:ascii="Times New Roman" w:hAnsi="Times New Roman" w:cs="Times New Roman"/>
          <w:sz w:val="24"/>
          <w:szCs w:val="24"/>
        </w:rPr>
        <w:t>(11), 1189–1197. https://doi.org/10.1038/s41588-020-0692-4</w:t>
      </w:r>
    </w:p>
    <w:p w14:paraId="3F5A0372"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S Band, S., Yarahmadi, A., Hsu, C.-C., Biyari, M., Sookhak, M., Ameri, R., Dehzangi, I., Chronopoulos, A. T., &amp; Liang, H.-W. (2023). Application of explainable artificial intelligence in medical health: A systematic review of interpretability methods. </w:t>
      </w:r>
      <w:r w:rsidRPr="00AB268E">
        <w:rPr>
          <w:rFonts w:ascii="Times New Roman" w:hAnsi="Times New Roman" w:cs="Times New Roman"/>
          <w:i/>
          <w:iCs/>
          <w:sz w:val="24"/>
          <w:szCs w:val="24"/>
        </w:rPr>
        <w:t>Informatics in Medicine Unlocked</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40</w:t>
      </w:r>
      <w:r w:rsidRPr="00AB268E">
        <w:rPr>
          <w:rFonts w:ascii="Times New Roman" w:hAnsi="Times New Roman" w:cs="Times New Roman"/>
          <w:sz w:val="24"/>
          <w:szCs w:val="24"/>
        </w:rPr>
        <w:t>, 101286. https://doi.org/10.1016/j.imu.2023.101286</w:t>
      </w:r>
    </w:p>
    <w:p w14:paraId="7B430D5E"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Satam, H., Joshi, K., Mangrolia, U., Waghoo, S., Zaidi, G., Rawool, S., Thakare, R. P., Banday, S., Mishra, A. K., Das, G., &amp; Malonia, S. K. (2023a). Next-Generation Sequencing Technology: Current Trends and Advancements. </w:t>
      </w:r>
      <w:r w:rsidRPr="00AB268E">
        <w:rPr>
          <w:rFonts w:ascii="Times New Roman" w:hAnsi="Times New Roman" w:cs="Times New Roman"/>
          <w:i/>
          <w:iCs/>
          <w:sz w:val="24"/>
          <w:szCs w:val="24"/>
        </w:rPr>
        <w:t>Biology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12</w:t>
      </w:r>
      <w:r w:rsidRPr="00AB268E">
        <w:rPr>
          <w:rFonts w:ascii="Times New Roman" w:hAnsi="Times New Roman" w:cs="Times New Roman"/>
          <w:sz w:val="24"/>
          <w:szCs w:val="24"/>
        </w:rPr>
        <w:t>(7), 997. https://doi.org/10.3390/biology12070997</w:t>
      </w:r>
    </w:p>
    <w:p w14:paraId="5664D100"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Satam, H., Joshi, K., Mangrolia, U., Waghoo, S., Zaidi, G., Rawool, S., Thakare, R. P., Banday, S., Mishra, A. K., Das, G., &amp; Malonia, S. K. (2023b). Next-Generation Sequencing Technology: Current Trends and Advancements. </w:t>
      </w:r>
      <w:r w:rsidRPr="00AB268E">
        <w:rPr>
          <w:rFonts w:ascii="Times New Roman" w:hAnsi="Times New Roman" w:cs="Times New Roman"/>
          <w:i/>
          <w:iCs/>
          <w:sz w:val="24"/>
          <w:szCs w:val="24"/>
        </w:rPr>
        <w:t>Biology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12</w:t>
      </w:r>
      <w:r w:rsidRPr="00AB268E">
        <w:rPr>
          <w:rFonts w:ascii="Times New Roman" w:hAnsi="Times New Roman" w:cs="Times New Roman"/>
          <w:sz w:val="24"/>
          <w:szCs w:val="24"/>
        </w:rPr>
        <w:t>(7), 997. https://doi.org/10.3390/biology12070997</w:t>
      </w:r>
    </w:p>
    <w:p w14:paraId="74B2BE98"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Shehata, S. A., Toraih, E. A., Ismail, E. A., Hagras, A. M., Elmorsy, E., &amp; Fawzy, M. S. (2023). Vaping, Environmental Toxicants Exposure, and Lung Cancer Risk. </w:t>
      </w:r>
      <w:r w:rsidRPr="00AB268E">
        <w:rPr>
          <w:rFonts w:ascii="Times New Roman" w:hAnsi="Times New Roman" w:cs="Times New Roman"/>
          <w:i/>
          <w:iCs/>
          <w:sz w:val="24"/>
          <w:szCs w:val="24"/>
        </w:rPr>
        <w:t>Cancers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15</w:t>
      </w:r>
      <w:r w:rsidRPr="00AB268E">
        <w:rPr>
          <w:rFonts w:ascii="Times New Roman" w:hAnsi="Times New Roman" w:cs="Times New Roman"/>
          <w:sz w:val="24"/>
          <w:szCs w:val="24"/>
        </w:rPr>
        <w:t>(18), Article 18. https://doi.org/10.3390/cancers15184525</w:t>
      </w:r>
    </w:p>
    <w:p w14:paraId="0846C602" w14:textId="71E43514"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Shifa, N., Saleh, M., Akbari, Y., &amp; Al Maadeed, S. (2025). A review of explainable</w:t>
      </w:r>
      <w:r w:rsidR="00AB268E" w:rsidRPr="00AB268E">
        <w:rPr>
          <w:rFonts w:ascii="Times New Roman" w:hAnsi="Times New Roman" w:cs="Times New Roman"/>
          <w:sz w:val="24"/>
          <w:szCs w:val="24"/>
        </w:rPr>
        <w:t xml:space="preserve"> AI</w:t>
      </w:r>
      <w:r w:rsidRPr="00AB268E">
        <w:rPr>
          <w:rFonts w:ascii="Times New Roman" w:hAnsi="Times New Roman" w:cs="Times New Roman"/>
          <w:sz w:val="24"/>
          <w:szCs w:val="24"/>
        </w:rPr>
        <w:t xml:space="preserve"> techniques and their evaluation in mammography for breast cancer screening. </w:t>
      </w:r>
      <w:r w:rsidRPr="00AB268E">
        <w:rPr>
          <w:rFonts w:ascii="Times New Roman" w:hAnsi="Times New Roman" w:cs="Times New Roman"/>
          <w:i/>
          <w:iCs/>
          <w:sz w:val="24"/>
          <w:szCs w:val="24"/>
        </w:rPr>
        <w:t>Clinical Imaging</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123</w:t>
      </w:r>
      <w:r w:rsidRPr="00AB268E">
        <w:rPr>
          <w:rFonts w:ascii="Times New Roman" w:hAnsi="Times New Roman" w:cs="Times New Roman"/>
          <w:sz w:val="24"/>
          <w:szCs w:val="24"/>
        </w:rPr>
        <w:t>, 110492. https://doi.org/10.1016/j.clinimag.2025.110492</w:t>
      </w:r>
    </w:p>
    <w:p w14:paraId="1E26E6B6" w14:textId="3EF7F14B"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Singhal, A., Neveditsin, N., Tanveer, H., &amp; Mago, V. (2024). Toward Fairness, Accountability, Transparency, and Ethics in</w:t>
      </w:r>
      <w:r w:rsidR="00AB268E" w:rsidRPr="00AB268E">
        <w:rPr>
          <w:rFonts w:ascii="Times New Roman" w:hAnsi="Times New Roman" w:cs="Times New Roman"/>
          <w:sz w:val="24"/>
          <w:szCs w:val="24"/>
        </w:rPr>
        <w:t xml:space="preserve"> AI</w:t>
      </w:r>
      <w:r w:rsidRPr="00AB268E">
        <w:rPr>
          <w:rFonts w:ascii="Times New Roman" w:hAnsi="Times New Roman" w:cs="Times New Roman"/>
          <w:sz w:val="24"/>
          <w:szCs w:val="24"/>
        </w:rPr>
        <w:t xml:space="preserve"> for Social Media and Health Care: Scoping Review. </w:t>
      </w:r>
      <w:r w:rsidRPr="00AB268E">
        <w:rPr>
          <w:rFonts w:ascii="Times New Roman" w:hAnsi="Times New Roman" w:cs="Times New Roman"/>
          <w:i/>
          <w:iCs/>
          <w:sz w:val="24"/>
          <w:szCs w:val="24"/>
        </w:rPr>
        <w:t>JMIR Medical Informatics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12</w:t>
      </w:r>
      <w:r w:rsidRPr="00AB268E">
        <w:rPr>
          <w:rFonts w:ascii="Times New Roman" w:hAnsi="Times New Roman" w:cs="Times New Roman"/>
          <w:sz w:val="24"/>
          <w:szCs w:val="24"/>
        </w:rPr>
        <w:t>, e50048. https://doi.org/10.2196/50048</w:t>
      </w:r>
    </w:p>
    <w:p w14:paraId="556D9F7E"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Subramanian, I., Verma, S., Kumar, S., Jere, A., &amp; Anamika, K. (2020). Multi-omics Data Integration, Interpretation, and Its Application. </w:t>
      </w:r>
      <w:r w:rsidRPr="00AB268E">
        <w:rPr>
          <w:rFonts w:ascii="Times New Roman" w:hAnsi="Times New Roman" w:cs="Times New Roman"/>
          <w:i/>
          <w:iCs/>
          <w:sz w:val="24"/>
          <w:szCs w:val="24"/>
        </w:rPr>
        <w:t>Bioinformatics and Biology Insights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14</w:t>
      </w:r>
      <w:r w:rsidRPr="00AB268E">
        <w:rPr>
          <w:rFonts w:ascii="Times New Roman" w:hAnsi="Times New Roman" w:cs="Times New Roman"/>
          <w:sz w:val="24"/>
          <w:szCs w:val="24"/>
        </w:rPr>
        <w:t>, 1177932219899051. https://doi.org/10.1177/1177932219899051</w:t>
      </w:r>
    </w:p>
    <w:p w14:paraId="698C9AA2"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t xml:space="preserve">Yu, W., Tu, Y., Long, Z., Liu, J., Kong, D., Peng, J., Wu, H., Zheng, G., Zhao, J., Chen, Y., Liu, R., Li, W., &amp; Hai, C. (2022). Reactive Oxygen Species Bridge the Gap between Chronic Inflammation and Tumor Development. </w:t>
      </w:r>
      <w:r w:rsidRPr="00AB268E">
        <w:rPr>
          <w:rFonts w:ascii="Times New Roman" w:hAnsi="Times New Roman" w:cs="Times New Roman"/>
          <w:i/>
          <w:iCs/>
          <w:sz w:val="24"/>
          <w:szCs w:val="24"/>
        </w:rPr>
        <w:t>Oxidative Medicine and Cellular Longevity</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2022</w:t>
      </w:r>
      <w:r w:rsidRPr="00AB268E">
        <w:rPr>
          <w:rFonts w:ascii="Times New Roman" w:hAnsi="Times New Roman" w:cs="Times New Roman"/>
          <w:sz w:val="24"/>
          <w:szCs w:val="24"/>
        </w:rPr>
        <w:t>, 2606928. https://doi.org/10.1155/2022/2606928</w:t>
      </w:r>
    </w:p>
    <w:p w14:paraId="52152E57" w14:textId="77777777" w:rsidR="00856962" w:rsidRPr="00AB268E" w:rsidRDefault="00856962" w:rsidP="0042526D">
      <w:pPr>
        <w:pStyle w:val="Bibliography"/>
        <w:jc w:val="both"/>
        <w:rPr>
          <w:rFonts w:ascii="Times New Roman" w:hAnsi="Times New Roman" w:cs="Times New Roman"/>
          <w:sz w:val="24"/>
          <w:szCs w:val="24"/>
        </w:rPr>
      </w:pPr>
      <w:r w:rsidRPr="00AB268E">
        <w:rPr>
          <w:rFonts w:ascii="Times New Roman" w:hAnsi="Times New Roman" w:cs="Times New Roman"/>
          <w:sz w:val="24"/>
          <w:szCs w:val="24"/>
        </w:rPr>
        <w:lastRenderedPageBreak/>
        <w:t xml:space="preserve">Zwiers, L. C., Grobbee, D. E., Uijl, A., &amp; Ong, D. S. Y. (2024). Federated learning as a smart tool for research on infectious diseases. </w:t>
      </w:r>
      <w:r w:rsidRPr="00AB268E">
        <w:rPr>
          <w:rFonts w:ascii="Times New Roman" w:hAnsi="Times New Roman" w:cs="Times New Roman"/>
          <w:i/>
          <w:iCs/>
          <w:sz w:val="24"/>
          <w:szCs w:val="24"/>
        </w:rPr>
        <w:t>BMC Infectious Diseases</w:t>
      </w:r>
      <w:r w:rsidRPr="00AB268E">
        <w:rPr>
          <w:rFonts w:ascii="Times New Roman" w:hAnsi="Times New Roman" w:cs="Times New Roman"/>
          <w:sz w:val="24"/>
          <w:szCs w:val="24"/>
        </w:rPr>
        <w:t xml:space="preserve">, </w:t>
      </w:r>
      <w:r w:rsidRPr="00AB268E">
        <w:rPr>
          <w:rFonts w:ascii="Times New Roman" w:hAnsi="Times New Roman" w:cs="Times New Roman"/>
          <w:i/>
          <w:iCs/>
          <w:sz w:val="24"/>
          <w:szCs w:val="24"/>
        </w:rPr>
        <w:t>24</w:t>
      </w:r>
      <w:r w:rsidRPr="00AB268E">
        <w:rPr>
          <w:rFonts w:ascii="Times New Roman" w:hAnsi="Times New Roman" w:cs="Times New Roman"/>
          <w:sz w:val="24"/>
          <w:szCs w:val="24"/>
        </w:rPr>
        <w:t>, 1327. https://doi.org/10.1186/s12879-024-10230-5</w:t>
      </w:r>
    </w:p>
    <w:p w14:paraId="40ACFB99" w14:textId="31BA8881" w:rsidR="000F3575" w:rsidRPr="00AB268E" w:rsidRDefault="000F3575"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fldChar w:fldCharType="end"/>
      </w:r>
    </w:p>
    <w:p w14:paraId="2B652479"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Akingbola, A., </w:t>
      </w:r>
      <w:proofErr w:type="spellStart"/>
      <w:r w:rsidRPr="00AB268E">
        <w:rPr>
          <w:rFonts w:ascii="Times New Roman" w:hAnsi="Times New Roman" w:cs="Times New Roman"/>
          <w:sz w:val="24"/>
          <w:szCs w:val="24"/>
          <w:lang w:val="en-US"/>
        </w:rPr>
        <w:t>Adegbesan</w:t>
      </w:r>
      <w:proofErr w:type="spellEnd"/>
      <w:r w:rsidRPr="00AB268E">
        <w:rPr>
          <w:rFonts w:ascii="Times New Roman" w:hAnsi="Times New Roman" w:cs="Times New Roman"/>
          <w:sz w:val="24"/>
          <w:szCs w:val="24"/>
          <w:lang w:val="en-US"/>
        </w:rPr>
        <w:t xml:space="preserve">, A., Ojo, O., </w:t>
      </w:r>
      <w:proofErr w:type="spellStart"/>
      <w:r w:rsidRPr="00AB268E">
        <w:rPr>
          <w:rFonts w:ascii="Times New Roman" w:hAnsi="Times New Roman" w:cs="Times New Roman"/>
          <w:sz w:val="24"/>
          <w:szCs w:val="24"/>
          <w:lang w:val="en-US"/>
        </w:rPr>
        <w:t>Otumara</w:t>
      </w:r>
      <w:proofErr w:type="spellEnd"/>
      <w:r w:rsidRPr="00AB268E">
        <w:rPr>
          <w:rFonts w:ascii="Times New Roman" w:hAnsi="Times New Roman" w:cs="Times New Roman"/>
          <w:sz w:val="24"/>
          <w:szCs w:val="24"/>
          <w:lang w:val="en-US"/>
        </w:rPr>
        <w:t xml:space="preserve">, J. U., &amp; Alao, U. H. (2024). Artificial Intelligence </w:t>
      </w:r>
      <w:proofErr w:type="gramStart"/>
      <w:r w:rsidRPr="00AB268E">
        <w:rPr>
          <w:rFonts w:ascii="Times New Roman" w:hAnsi="Times New Roman" w:cs="Times New Roman"/>
          <w:sz w:val="24"/>
          <w:szCs w:val="24"/>
          <w:lang w:val="en-US"/>
        </w:rPr>
        <w:t>And</w:t>
      </w:r>
      <w:proofErr w:type="gramEnd"/>
      <w:r w:rsidRPr="00AB268E">
        <w:rPr>
          <w:rFonts w:ascii="Times New Roman" w:hAnsi="Times New Roman" w:cs="Times New Roman"/>
          <w:sz w:val="24"/>
          <w:szCs w:val="24"/>
          <w:lang w:val="en-US"/>
        </w:rPr>
        <w:t xml:space="preserve"> Cancer Care in Africa. </w:t>
      </w:r>
      <w:r w:rsidRPr="00AB268E">
        <w:rPr>
          <w:rFonts w:ascii="Times New Roman" w:hAnsi="Times New Roman" w:cs="Times New Roman"/>
          <w:i/>
          <w:iCs/>
          <w:sz w:val="24"/>
          <w:szCs w:val="24"/>
          <w:lang w:val="en-US"/>
        </w:rPr>
        <w:t>Journal of Medicine, Surgery, and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w:t>
      </w:r>
      <w:r w:rsidRPr="00AB268E">
        <w:rPr>
          <w:rFonts w:ascii="Times New Roman" w:hAnsi="Times New Roman" w:cs="Times New Roman"/>
          <w:sz w:val="24"/>
          <w:szCs w:val="24"/>
          <w:lang w:val="en-US"/>
        </w:rPr>
        <w:t>, 100132. https://doi.org/10.1016/j.glmedi.2024.100132</w:t>
      </w:r>
    </w:p>
    <w:p w14:paraId="6235084D" w14:textId="77777777"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Amaeshi</w:t>
      </w:r>
      <w:proofErr w:type="spellEnd"/>
      <w:r w:rsidRPr="00AB268E">
        <w:rPr>
          <w:rFonts w:ascii="Times New Roman" w:hAnsi="Times New Roman" w:cs="Times New Roman"/>
          <w:sz w:val="24"/>
          <w:szCs w:val="24"/>
          <w:lang w:val="en-US"/>
        </w:rPr>
        <w:t xml:space="preserve">, L. C., </w:t>
      </w:r>
      <w:proofErr w:type="spellStart"/>
      <w:r w:rsidRPr="00AB268E">
        <w:rPr>
          <w:rFonts w:ascii="Times New Roman" w:hAnsi="Times New Roman" w:cs="Times New Roman"/>
          <w:sz w:val="24"/>
          <w:szCs w:val="24"/>
          <w:lang w:val="en-US"/>
        </w:rPr>
        <w:t>Okunade</w:t>
      </w:r>
      <w:proofErr w:type="spellEnd"/>
      <w:r w:rsidRPr="00AB268E">
        <w:rPr>
          <w:rFonts w:ascii="Times New Roman" w:hAnsi="Times New Roman" w:cs="Times New Roman"/>
          <w:sz w:val="24"/>
          <w:szCs w:val="24"/>
          <w:lang w:val="en-US"/>
        </w:rPr>
        <w:t xml:space="preserve">, K. S., &amp; </w:t>
      </w:r>
      <w:proofErr w:type="spellStart"/>
      <w:r w:rsidRPr="00AB268E">
        <w:rPr>
          <w:rFonts w:ascii="Times New Roman" w:hAnsi="Times New Roman" w:cs="Times New Roman"/>
          <w:sz w:val="24"/>
          <w:szCs w:val="24"/>
          <w:lang w:val="en-US"/>
        </w:rPr>
        <w:t>Anorlu</w:t>
      </w:r>
      <w:proofErr w:type="spellEnd"/>
      <w:r w:rsidRPr="00AB268E">
        <w:rPr>
          <w:rFonts w:ascii="Times New Roman" w:hAnsi="Times New Roman" w:cs="Times New Roman"/>
          <w:sz w:val="24"/>
          <w:szCs w:val="24"/>
          <w:lang w:val="en-US"/>
        </w:rPr>
        <w:t xml:space="preserve">, R. I. (2025). Current landscape of cancer genomics research in sub-Saharan Africa—A review of literature. </w:t>
      </w:r>
      <w:r w:rsidRPr="00AB268E">
        <w:rPr>
          <w:rFonts w:ascii="Times New Roman" w:hAnsi="Times New Roman" w:cs="Times New Roman"/>
          <w:i/>
          <w:iCs/>
          <w:sz w:val="24"/>
          <w:szCs w:val="24"/>
          <w:lang w:val="en-US"/>
        </w:rPr>
        <w:t>Frontiers in Oncology</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15</w:t>
      </w:r>
      <w:r w:rsidRPr="00AB268E">
        <w:rPr>
          <w:rFonts w:ascii="Times New Roman" w:hAnsi="Times New Roman" w:cs="Times New Roman"/>
          <w:sz w:val="24"/>
          <w:szCs w:val="24"/>
          <w:lang w:val="en-US"/>
        </w:rPr>
        <w:t>, 1512005. https://doi.org/10.3389/fonc.2025.1512005</w:t>
      </w:r>
    </w:p>
    <w:p w14:paraId="278C63B7" w14:textId="30105824"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Arshad, S., Arshad, J., Khan, M. M., &amp; Parkinson, S. (2021). Analysis of security and privacy challenges for</w:t>
      </w:r>
      <w:r w:rsidR="00AB268E">
        <w:rPr>
          <w:rFonts w:ascii="Times New Roman" w:hAnsi="Times New Roman" w:cs="Times New Roman"/>
          <w:sz w:val="24"/>
          <w:szCs w:val="24"/>
          <w:lang w:val="en-US"/>
        </w:rPr>
        <w:t xml:space="preserve">   DNA</w:t>
      </w:r>
      <w:r w:rsidRPr="00AB268E">
        <w:rPr>
          <w:rFonts w:ascii="Times New Roman" w:hAnsi="Times New Roman" w:cs="Times New Roman"/>
          <w:sz w:val="24"/>
          <w:szCs w:val="24"/>
          <w:lang w:val="en-US"/>
        </w:rPr>
        <w:t xml:space="preserve">-genomics applications and databases. </w:t>
      </w:r>
      <w:r w:rsidRPr="00AB268E">
        <w:rPr>
          <w:rFonts w:ascii="Times New Roman" w:hAnsi="Times New Roman" w:cs="Times New Roman"/>
          <w:i/>
          <w:iCs/>
          <w:sz w:val="24"/>
          <w:szCs w:val="24"/>
          <w:lang w:val="en-US"/>
        </w:rPr>
        <w:t>Journal of Biomedical Informatics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119</w:t>
      </w:r>
      <w:r w:rsidRPr="00AB268E">
        <w:rPr>
          <w:rFonts w:ascii="Times New Roman" w:hAnsi="Times New Roman" w:cs="Times New Roman"/>
          <w:sz w:val="24"/>
          <w:szCs w:val="24"/>
          <w:lang w:val="en-US"/>
        </w:rPr>
        <w:t>, 103815. https://doi.org/10.1016/j.jbi.2021.103815</w:t>
      </w:r>
    </w:p>
    <w:p w14:paraId="4FDA32FB"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Bajwa, J., Munir, U., Nori, A., &amp; Williams, B. (2021). Artificial intelligence in healthcare: Transforming the practice of medicine. </w:t>
      </w:r>
      <w:r w:rsidRPr="00AB268E">
        <w:rPr>
          <w:rFonts w:ascii="Times New Roman" w:hAnsi="Times New Roman" w:cs="Times New Roman"/>
          <w:i/>
          <w:iCs/>
          <w:sz w:val="24"/>
          <w:szCs w:val="24"/>
          <w:lang w:val="en-US"/>
        </w:rPr>
        <w:t>Future Healthcare Journal</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8</w:t>
      </w:r>
      <w:r w:rsidRPr="00AB268E">
        <w:rPr>
          <w:rFonts w:ascii="Times New Roman" w:hAnsi="Times New Roman" w:cs="Times New Roman"/>
          <w:sz w:val="24"/>
          <w:szCs w:val="24"/>
          <w:lang w:val="en-US"/>
        </w:rPr>
        <w:t>(2), e188–e194. https://doi.org/10.7861/fhj.2021-0095</w:t>
      </w:r>
    </w:p>
    <w:p w14:paraId="00E29650"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Bianconi, I., Aschbacher, R., &amp; Pagani, E. (2023). Current Uses and Future Perspectives of Genomic Technologies in Clinical Microbiology. </w:t>
      </w:r>
      <w:r w:rsidRPr="00AB268E">
        <w:rPr>
          <w:rFonts w:ascii="Times New Roman" w:hAnsi="Times New Roman" w:cs="Times New Roman"/>
          <w:i/>
          <w:iCs/>
          <w:sz w:val="24"/>
          <w:szCs w:val="24"/>
          <w:lang w:val="en-US"/>
        </w:rPr>
        <w:t>Antibiotics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12</w:t>
      </w:r>
      <w:r w:rsidRPr="00AB268E">
        <w:rPr>
          <w:rFonts w:ascii="Times New Roman" w:hAnsi="Times New Roman" w:cs="Times New Roman"/>
          <w:sz w:val="24"/>
          <w:szCs w:val="24"/>
          <w:lang w:val="en-US"/>
        </w:rPr>
        <w:t>(11), 1580. https://doi.org/10.3390/antibiotics12111580</w:t>
      </w:r>
    </w:p>
    <w:p w14:paraId="0FAD2759"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Blanco, E., </w:t>
      </w:r>
      <w:proofErr w:type="spellStart"/>
      <w:r w:rsidRPr="00AB268E">
        <w:rPr>
          <w:rFonts w:ascii="Times New Roman" w:hAnsi="Times New Roman" w:cs="Times New Roman"/>
          <w:sz w:val="24"/>
          <w:szCs w:val="24"/>
          <w:lang w:val="en-US"/>
        </w:rPr>
        <w:t>Algranti</w:t>
      </w:r>
      <w:proofErr w:type="spellEnd"/>
      <w:r w:rsidRPr="00AB268E">
        <w:rPr>
          <w:rFonts w:ascii="Times New Roman" w:hAnsi="Times New Roman" w:cs="Times New Roman"/>
          <w:sz w:val="24"/>
          <w:szCs w:val="24"/>
          <w:lang w:val="en-US"/>
        </w:rPr>
        <w:t xml:space="preserve">, E., Cifuentes, L. A., López-Carrillo, L., Mora, A. M., Rodríguez-Guzmán, J., Rodríguez-Villamizar, L. A., Veiga, L. H. S., Canelo-Aybar, C., Nieto-Gutierrez, W., Feliu, A., Espina, C., &amp; </w:t>
      </w:r>
      <w:proofErr w:type="spellStart"/>
      <w:r w:rsidRPr="00AB268E">
        <w:rPr>
          <w:rFonts w:ascii="Times New Roman" w:hAnsi="Times New Roman" w:cs="Times New Roman"/>
          <w:sz w:val="24"/>
          <w:szCs w:val="24"/>
          <w:lang w:val="en-US"/>
        </w:rPr>
        <w:t>Ferreccio</w:t>
      </w:r>
      <w:proofErr w:type="spellEnd"/>
      <w:r w:rsidRPr="00AB268E">
        <w:rPr>
          <w:rFonts w:ascii="Times New Roman" w:hAnsi="Times New Roman" w:cs="Times New Roman"/>
          <w:sz w:val="24"/>
          <w:szCs w:val="24"/>
          <w:lang w:val="en-US"/>
        </w:rPr>
        <w:t xml:space="preserve">, C. (2023). Latin America and the Caribbean Code Against cancer 1st edition: Environment, occupation, and cancer. </w:t>
      </w:r>
      <w:r w:rsidRPr="00AB268E">
        <w:rPr>
          <w:rFonts w:ascii="Times New Roman" w:hAnsi="Times New Roman" w:cs="Times New Roman"/>
          <w:i/>
          <w:iCs/>
          <w:sz w:val="24"/>
          <w:szCs w:val="24"/>
          <w:lang w:val="en-US"/>
        </w:rPr>
        <w:t>Cancer Epidemiology</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86</w:t>
      </w:r>
      <w:r w:rsidRPr="00AB268E">
        <w:rPr>
          <w:rFonts w:ascii="Times New Roman" w:hAnsi="Times New Roman" w:cs="Times New Roman"/>
          <w:sz w:val="24"/>
          <w:szCs w:val="24"/>
          <w:lang w:val="en-US"/>
        </w:rPr>
        <w:t>, 102381. https://doi.org/10.1016/j.canep.2023.102381</w:t>
      </w:r>
    </w:p>
    <w:p w14:paraId="00CB423A"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Chapla, D., </w:t>
      </w:r>
      <w:proofErr w:type="spellStart"/>
      <w:r w:rsidRPr="00AB268E">
        <w:rPr>
          <w:rFonts w:ascii="Times New Roman" w:hAnsi="Times New Roman" w:cs="Times New Roman"/>
          <w:sz w:val="24"/>
          <w:szCs w:val="24"/>
          <w:lang w:val="en-US"/>
        </w:rPr>
        <w:t>Chorya</w:t>
      </w:r>
      <w:proofErr w:type="spellEnd"/>
      <w:r w:rsidRPr="00AB268E">
        <w:rPr>
          <w:rFonts w:ascii="Times New Roman" w:hAnsi="Times New Roman" w:cs="Times New Roman"/>
          <w:sz w:val="24"/>
          <w:szCs w:val="24"/>
          <w:lang w:val="en-US"/>
        </w:rPr>
        <w:t xml:space="preserve">, H. P., Ishfaq, L., Khan, A., VR, S., &amp; Garg, S. (n.d.). An Artificial Intelligence (ai)-Integrated Approach to Enhance Early Detection and Personalized Treatment Strategies in Lung Cancer Among Smokers: A Literature Review. </w:t>
      </w:r>
      <w:r w:rsidRPr="00AB268E">
        <w:rPr>
          <w:rFonts w:ascii="Times New Roman" w:hAnsi="Times New Roman" w:cs="Times New Roman"/>
          <w:i/>
          <w:iCs/>
          <w:sz w:val="24"/>
          <w:szCs w:val="24"/>
          <w:lang w:val="en-US"/>
        </w:rPr>
        <w:t>Cureus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16</w:t>
      </w:r>
      <w:r w:rsidRPr="00AB268E">
        <w:rPr>
          <w:rFonts w:ascii="Times New Roman" w:hAnsi="Times New Roman" w:cs="Times New Roman"/>
          <w:sz w:val="24"/>
          <w:szCs w:val="24"/>
          <w:lang w:val="en-US"/>
        </w:rPr>
        <w:t>(8), e66688. https://doi.org/10.7759/cureus.66688</w:t>
      </w:r>
    </w:p>
    <w:p w14:paraId="10B84F3A"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w:t>
      </w:r>
    </w:p>
    <w:p w14:paraId="09C41CFC"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Deo, S. V. S., Sharma, J., &amp; Kumar, S. (2022). GLOBOCAN 2020 Report on Global Cancer Burden: Challenges and Opportunities for Surgical Oncologists. </w:t>
      </w:r>
      <w:r w:rsidRPr="00AB268E">
        <w:rPr>
          <w:rFonts w:ascii="Times New Roman" w:hAnsi="Times New Roman" w:cs="Times New Roman"/>
          <w:i/>
          <w:iCs/>
          <w:sz w:val="24"/>
          <w:szCs w:val="24"/>
          <w:lang w:val="en-US"/>
        </w:rPr>
        <w:t>Annals of Surgical Oncology</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29</w:t>
      </w:r>
      <w:r w:rsidRPr="00AB268E">
        <w:rPr>
          <w:rFonts w:ascii="Times New Roman" w:hAnsi="Times New Roman" w:cs="Times New Roman"/>
          <w:sz w:val="24"/>
          <w:szCs w:val="24"/>
          <w:lang w:val="en-US"/>
        </w:rPr>
        <w:t>(11), 6497–6500. https://doi.org/10.1245/s10434-022-12151-6</w:t>
      </w:r>
    </w:p>
    <w:p w14:paraId="439899A8"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Haga, S. B., </w:t>
      </w:r>
      <w:proofErr w:type="spellStart"/>
      <w:r w:rsidRPr="00AB268E">
        <w:rPr>
          <w:rFonts w:ascii="Times New Roman" w:hAnsi="Times New Roman" w:cs="Times New Roman"/>
          <w:sz w:val="24"/>
          <w:szCs w:val="24"/>
          <w:lang w:val="en-US"/>
        </w:rPr>
        <w:t>Rosanbalm</w:t>
      </w:r>
      <w:proofErr w:type="spellEnd"/>
      <w:r w:rsidRPr="00AB268E">
        <w:rPr>
          <w:rFonts w:ascii="Times New Roman" w:hAnsi="Times New Roman" w:cs="Times New Roman"/>
          <w:sz w:val="24"/>
          <w:szCs w:val="24"/>
          <w:lang w:val="en-US"/>
        </w:rPr>
        <w:t xml:space="preserve">, K. D., Boles, L., Tindall, G. M., Livingston, T. M., &amp; O’Daniel, J. M. (2013). Promoting Public Awareness and Engagement in Genome Sciences. </w:t>
      </w:r>
      <w:r w:rsidRPr="00AB268E">
        <w:rPr>
          <w:rFonts w:ascii="Times New Roman" w:hAnsi="Times New Roman" w:cs="Times New Roman"/>
          <w:i/>
          <w:iCs/>
          <w:sz w:val="24"/>
          <w:szCs w:val="24"/>
          <w:lang w:val="en-US"/>
        </w:rPr>
        <w:t>Journal of Genetic Counseling</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22</w:t>
      </w:r>
      <w:r w:rsidRPr="00AB268E">
        <w:rPr>
          <w:rFonts w:ascii="Times New Roman" w:hAnsi="Times New Roman" w:cs="Times New Roman"/>
          <w:sz w:val="24"/>
          <w:szCs w:val="24"/>
          <w:lang w:val="en-US"/>
        </w:rPr>
        <w:t>(4), 508–516. https://doi.org/10.1007/s10897-013-9577-3</w:t>
      </w:r>
    </w:p>
    <w:p w14:paraId="504B9F04"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Hashim, D., &amp; </w:t>
      </w:r>
      <w:proofErr w:type="spellStart"/>
      <w:r w:rsidRPr="00AB268E">
        <w:rPr>
          <w:rFonts w:ascii="Times New Roman" w:hAnsi="Times New Roman" w:cs="Times New Roman"/>
          <w:sz w:val="24"/>
          <w:szCs w:val="24"/>
          <w:lang w:val="en-US"/>
        </w:rPr>
        <w:t>Boffetta</w:t>
      </w:r>
      <w:proofErr w:type="spellEnd"/>
      <w:r w:rsidRPr="00AB268E">
        <w:rPr>
          <w:rFonts w:ascii="Times New Roman" w:hAnsi="Times New Roman" w:cs="Times New Roman"/>
          <w:sz w:val="24"/>
          <w:szCs w:val="24"/>
          <w:lang w:val="en-US"/>
        </w:rPr>
        <w:t xml:space="preserve">, P. (2014). Occupational and environmental exposures and cancers in developing countries. </w:t>
      </w:r>
      <w:r w:rsidRPr="00AB268E">
        <w:rPr>
          <w:rFonts w:ascii="Times New Roman" w:hAnsi="Times New Roman" w:cs="Times New Roman"/>
          <w:i/>
          <w:iCs/>
          <w:sz w:val="24"/>
          <w:szCs w:val="24"/>
          <w:lang w:val="en-US"/>
        </w:rPr>
        <w:t>Annals of Global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80</w:t>
      </w:r>
      <w:r w:rsidRPr="00AB268E">
        <w:rPr>
          <w:rFonts w:ascii="Times New Roman" w:hAnsi="Times New Roman" w:cs="Times New Roman"/>
          <w:sz w:val="24"/>
          <w:szCs w:val="24"/>
          <w:lang w:val="en-US"/>
        </w:rPr>
        <w:t>(5), 393–411. https://doi.org/10.1016/j.aogh.2014.10.002</w:t>
      </w:r>
    </w:p>
    <w:p w14:paraId="00204642"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lastRenderedPageBreak/>
        <w:t xml:space="preserve">Hollstein, M., Moriya, M., Grollman, A., &amp; Olivier, M. (2013). Analysis of TP53 mutation spectra reveals the fingerprint of the potent environmental carcinogen, aristolochic acid. </w:t>
      </w:r>
      <w:r w:rsidRPr="00AB268E">
        <w:rPr>
          <w:rFonts w:ascii="Times New Roman" w:hAnsi="Times New Roman" w:cs="Times New Roman"/>
          <w:i/>
          <w:iCs/>
          <w:sz w:val="24"/>
          <w:szCs w:val="24"/>
          <w:lang w:val="en-US"/>
        </w:rPr>
        <w:t>Mutation Research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753</w:t>
      </w:r>
      <w:r w:rsidRPr="00AB268E">
        <w:rPr>
          <w:rFonts w:ascii="Times New Roman" w:hAnsi="Times New Roman" w:cs="Times New Roman"/>
          <w:sz w:val="24"/>
          <w:szCs w:val="24"/>
          <w:lang w:val="en-US"/>
        </w:rPr>
        <w:t>(1), 41–49. https://doi.org/10.1016/j.mrrev.2013.02.003</w:t>
      </w:r>
    </w:p>
    <w:p w14:paraId="7133F15E"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Hunter, B., Hindocha, S., &amp; Lee, R. W. (2022). The Role of Artificial Intelligence in Early Cancer Diagnosis. </w:t>
      </w:r>
      <w:r w:rsidRPr="00AB268E">
        <w:rPr>
          <w:rFonts w:ascii="Times New Roman" w:hAnsi="Times New Roman" w:cs="Times New Roman"/>
          <w:i/>
          <w:iCs/>
          <w:sz w:val="24"/>
          <w:szCs w:val="24"/>
          <w:lang w:val="en-US"/>
        </w:rPr>
        <w:t>Cancers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14</w:t>
      </w:r>
      <w:r w:rsidRPr="00AB268E">
        <w:rPr>
          <w:rFonts w:ascii="Times New Roman" w:hAnsi="Times New Roman" w:cs="Times New Roman"/>
          <w:sz w:val="24"/>
          <w:szCs w:val="24"/>
          <w:lang w:val="en-US"/>
        </w:rPr>
        <w:t>(6), Article 6. https://doi.org/10.3390/cancers14061524</w:t>
      </w:r>
    </w:p>
    <w:p w14:paraId="70BFA778"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Iwasaki, M., Itoh, H., Sawada, N., &amp; </w:t>
      </w:r>
      <w:proofErr w:type="spellStart"/>
      <w:r w:rsidRPr="00AB268E">
        <w:rPr>
          <w:rFonts w:ascii="Times New Roman" w:hAnsi="Times New Roman" w:cs="Times New Roman"/>
          <w:sz w:val="24"/>
          <w:szCs w:val="24"/>
          <w:lang w:val="en-US"/>
        </w:rPr>
        <w:t>Tsugane</w:t>
      </w:r>
      <w:proofErr w:type="spellEnd"/>
      <w:r w:rsidRPr="00AB268E">
        <w:rPr>
          <w:rFonts w:ascii="Times New Roman" w:hAnsi="Times New Roman" w:cs="Times New Roman"/>
          <w:sz w:val="24"/>
          <w:szCs w:val="24"/>
          <w:lang w:val="en-US"/>
        </w:rPr>
        <w:t xml:space="preserve">, S. (2023). Exposure to environmental chemicals and cancer risk: Epidemiological evidence from Japanese studies. </w:t>
      </w:r>
      <w:r w:rsidRPr="00AB268E">
        <w:rPr>
          <w:rFonts w:ascii="Times New Roman" w:hAnsi="Times New Roman" w:cs="Times New Roman"/>
          <w:i/>
          <w:iCs/>
          <w:sz w:val="24"/>
          <w:szCs w:val="24"/>
          <w:lang w:val="en-US"/>
        </w:rPr>
        <w:t>Genes and Environment</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45</w:t>
      </w:r>
      <w:r w:rsidRPr="00AB268E">
        <w:rPr>
          <w:rFonts w:ascii="Times New Roman" w:hAnsi="Times New Roman" w:cs="Times New Roman"/>
          <w:sz w:val="24"/>
          <w:szCs w:val="24"/>
          <w:lang w:val="en-US"/>
        </w:rPr>
        <w:t>, 10. https://doi.org/10.1186/s41021-023-00268-3</w:t>
      </w:r>
    </w:p>
    <w:p w14:paraId="0388ACA5" w14:textId="77777777"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Jamialahmadi</w:t>
      </w:r>
      <w:proofErr w:type="spellEnd"/>
      <w:r w:rsidRPr="00AB268E">
        <w:rPr>
          <w:rFonts w:ascii="Times New Roman" w:hAnsi="Times New Roman" w:cs="Times New Roman"/>
          <w:sz w:val="24"/>
          <w:szCs w:val="24"/>
          <w:lang w:val="en-US"/>
        </w:rPr>
        <w:t>, H., Khalili-Tanha, G., Nazari, E., &amp; Rezaei-</w:t>
      </w:r>
      <w:proofErr w:type="spellStart"/>
      <w:r w:rsidRPr="00AB268E">
        <w:rPr>
          <w:rFonts w:ascii="Times New Roman" w:hAnsi="Times New Roman" w:cs="Times New Roman"/>
          <w:sz w:val="24"/>
          <w:szCs w:val="24"/>
          <w:lang w:val="en-US"/>
        </w:rPr>
        <w:t>Tavirani</w:t>
      </w:r>
      <w:proofErr w:type="spellEnd"/>
      <w:r w:rsidRPr="00AB268E">
        <w:rPr>
          <w:rFonts w:ascii="Times New Roman" w:hAnsi="Times New Roman" w:cs="Times New Roman"/>
          <w:sz w:val="24"/>
          <w:szCs w:val="24"/>
          <w:lang w:val="en-US"/>
        </w:rPr>
        <w:t xml:space="preserve">, M. (2024). Artificial intelligence and bioinformatics: A journey from traditional techniques to smart approaches. </w:t>
      </w:r>
      <w:r w:rsidRPr="00AB268E">
        <w:rPr>
          <w:rFonts w:ascii="Times New Roman" w:hAnsi="Times New Roman" w:cs="Times New Roman"/>
          <w:i/>
          <w:iCs/>
          <w:sz w:val="24"/>
          <w:szCs w:val="24"/>
          <w:lang w:val="en-US"/>
        </w:rPr>
        <w:t xml:space="preserve">Gastroenterology and Hepatology </w:t>
      </w:r>
      <w:proofErr w:type="gramStart"/>
      <w:r w:rsidRPr="00AB268E">
        <w:rPr>
          <w:rFonts w:ascii="Times New Roman" w:hAnsi="Times New Roman" w:cs="Times New Roman"/>
          <w:i/>
          <w:iCs/>
          <w:sz w:val="24"/>
          <w:szCs w:val="24"/>
          <w:lang w:val="en-US"/>
        </w:rPr>
        <w:t>From</w:t>
      </w:r>
      <w:proofErr w:type="gramEnd"/>
      <w:r w:rsidRPr="00AB268E">
        <w:rPr>
          <w:rFonts w:ascii="Times New Roman" w:hAnsi="Times New Roman" w:cs="Times New Roman"/>
          <w:i/>
          <w:iCs/>
          <w:sz w:val="24"/>
          <w:szCs w:val="24"/>
          <w:lang w:val="en-US"/>
        </w:rPr>
        <w:t xml:space="preserve"> Bed to Bench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17</w:t>
      </w:r>
      <w:r w:rsidRPr="00AB268E">
        <w:rPr>
          <w:rFonts w:ascii="Times New Roman" w:hAnsi="Times New Roman" w:cs="Times New Roman"/>
          <w:sz w:val="24"/>
          <w:szCs w:val="24"/>
          <w:lang w:val="en-US"/>
        </w:rPr>
        <w:t>(3), 241–252. https://doi.org/10.22037/ghfbb.v17i3.2977</w:t>
      </w:r>
    </w:p>
    <w:p w14:paraId="2D53E7C5"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Javaid, M., Haleem, A., &amp; Singh, R. P. (2024). Health informatics to enhance the healthcare industry’s culture: An extensive analysis of its features, contributions, applications and limitations. </w:t>
      </w:r>
      <w:r w:rsidRPr="00AB268E">
        <w:rPr>
          <w:rFonts w:ascii="Times New Roman" w:hAnsi="Times New Roman" w:cs="Times New Roman"/>
          <w:i/>
          <w:iCs/>
          <w:sz w:val="24"/>
          <w:szCs w:val="24"/>
          <w:lang w:val="en-US"/>
        </w:rPr>
        <w:t>Informatics and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w:t>
      </w:r>
      <w:r w:rsidRPr="00AB268E">
        <w:rPr>
          <w:rFonts w:ascii="Times New Roman" w:hAnsi="Times New Roman" w:cs="Times New Roman"/>
          <w:sz w:val="24"/>
          <w:szCs w:val="24"/>
          <w:lang w:val="en-US"/>
        </w:rPr>
        <w:t>(2), 123–148. https://doi.org/10.1016/j.infoh.2024.05.001</w:t>
      </w:r>
    </w:p>
    <w:p w14:paraId="06EF4264"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Khan, M. S., Umer, H., &amp; </w:t>
      </w:r>
      <w:proofErr w:type="spellStart"/>
      <w:r w:rsidRPr="00AB268E">
        <w:rPr>
          <w:rFonts w:ascii="Times New Roman" w:hAnsi="Times New Roman" w:cs="Times New Roman"/>
          <w:sz w:val="24"/>
          <w:szCs w:val="24"/>
          <w:lang w:val="en-US"/>
        </w:rPr>
        <w:t>Faruqe</w:t>
      </w:r>
      <w:proofErr w:type="spellEnd"/>
      <w:r w:rsidRPr="00AB268E">
        <w:rPr>
          <w:rFonts w:ascii="Times New Roman" w:hAnsi="Times New Roman" w:cs="Times New Roman"/>
          <w:sz w:val="24"/>
          <w:szCs w:val="24"/>
          <w:lang w:val="en-US"/>
        </w:rPr>
        <w:t xml:space="preserve">, F. (2024). Artificial intelligence for low income countries. </w:t>
      </w:r>
      <w:r w:rsidRPr="00AB268E">
        <w:rPr>
          <w:rFonts w:ascii="Times New Roman" w:hAnsi="Times New Roman" w:cs="Times New Roman"/>
          <w:i/>
          <w:iCs/>
          <w:sz w:val="24"/>
          <w:szCs w:val="24"/>
          <w:lang w:val="en-US"/>
        </w:rPr>
        <w:t>Humanities and Social Sciences Communications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11</w:t>
      </w:r>
      <w:r w:rsidRPr="00AB268E">
        <w:rPr>
          <w:rFonts w:ascii="Times New Roman" w:hAnsi="Times New Roman" w:cs="Times New Roman"/>
          <w:sz w:val="24"/>
          <w:szCs w:val="24"/>
          <w:lang w:val="en-US"/>
        </w:rPr>
        <w:t>(1), 1–13. https://doi.org/10.1057/s41599-024-03947-w</w:t>
      </w:r>
    </w:p>
    <w:p w14:paraId="23D2B74B"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Khanna, N. N., </w:t>
      </w:r>
      <w:proofErr w:type="spellStart"/>
      <w:r w:rsidRPr="00AB268E">
        <w:rPr>
          <w:rFonts w:ascii="Times New Roman" w:hAnsi="Times New Roman" w:cs="Times New Roman"/>
          <w:sz w:val="24"/>
          <w:szCs w:val="24"/>
          <w:lang w:val="en-US"/>
        </w:rPr>
        <w:t>Maindarkar</w:t>
      </w:r>
      <w:proofErr w:type="spellEnd"/>
      <w:r w:rsidRPr="00AB268E">
        <w:rPr>
          <w:rFonts w:ascii="Times New Roman" w:hAnsi="Times New Roman" w:cs="Times New Roman"/>
          <w:sz w:val="24"/>
          <w:szCs w:val="24"/>
          <w:lang w:val="en-US"/>
        </w:rPr>
        <w:t xml:space="preserve">, M. A., Viswanathan, V., Fernandes, J. F. E., Paul, S., </w:t>
      </w:r>
      <w:proofErr w:type="spellStart"/>
      <w:r w:rsidRPr="00AB268E">
        <w:rPr>
          <w:rFonts w:ascii="Times New Roman" w:hAnsi="Times New Roman" w:cs="Times New Roman"/>
          <w:sz w:val="24"/>
          <w:szCs w:val="24"/>
          <w:lang w:val="en-US"/>
        </w:rPr>
        <w:t>Bhagawati</w:t>
      </w:r>
      <w:proofErr w:type="spellEnd"/>
      <w:r w:rsidRPr="00AB268E">
        <w:rPr>
          <w:rFonts w:ascii="Times New Roman" w:hAnsi="Times New Roman" w:cs="Times New Roman"/>
          <w:sz w:val="24"/>
          <w:szCs w:val="24"/>
          <w:lang w:val="en-US"/>
        </w:rPr>
        <w:t xml:space="preserve">, M., Ahluwalia, P., Ruzsa, Z., Sharma, A., Kolluri, R., Singh, I. M., Laird, J. R., Fatemi, M., </w:t>
      </w:r>
      <w:proofErr w:type="spellStart"/>
      <w:r w:rsidRPr="00AB268E">
        <w:rPr>
          <w:rFonts w:ascii="Times New Roman" w:hAnsi="Times New Roman" w:cs="Times New Roman"/>
          <w:sz w:val="24"/>
          <w:szCs w:val="24"/>
          <w:lang w:val="en-US"/>
        </w:rPr>
        <w:t>Alizad</w:t>
      </w:r>
      <w:proofErr w:type="spellEnd"/>
      <w:r w:rsidRPr="00AB268E">
        <w:rPr>
          <w:rFonts w:ascii="Times New Roman" w:hAnsi="Times New Roman" w:cs="Times New Roman"/>
          <w:sz w:val="24"/>
          <w:szCs w:val="24"/>
          <w:lang w:val="en-US"/>
        </w:rPr>
        <w:t xml:space="preserve">, A., Saba, L., Agarwal, V., Sharma, A., Teji, J. S., Al-Maini, M., … Suri, J. S. (2022). Economics of Artificial Intelligence in Healthcare: Diagnosis vs. Treatment. </w:t>
      </w:r>
      <w:r w:rsidRPr="00AB268E">
        <w:rPr>
          <w:rFonts w:ascii="Times New Roman" w:hAnsi="Times New Roman" w:cs="Times New Roman"/>
          <w:i/>
          <w:iCs/>
          <w:sz w:val="24"/>
          <w:szCs w:val="24"/>
          <w:lang w:val="en-US"/>
        </w:rPr>
        <w:t>Healthcare</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10</w:t>
      </w:r>
      <w:r w:rsidRPr="00AB268E">
        <w:rPr>
          <w:rFonts w:ascii="Times New Roman" w:hAnsi="Times New Roman" w:cs="Times New Roman"/>
          <w:sz w:val="24"/>
          <w:szCs w:val="24"/>
          <w:lang w:val="en-US"/>
        </w:rPr>
        <w:t>(12), 2493. https://doi.org/10.3390/healthcare10122493</w:t>
      </w:r>
    </w:p>
    <w:p w14:paraId="65CE7E3A"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Klein, W. M. P., O’Connell, M. E., Bloch, M. H., Czajkowski, S. M., Green, P. A., Han, P. K. J., Moser, R. P., Nebeling, L. C., &amp; Vanderpool, R. C. (2021). Behavioral Research in Cancer Prevention and Control: Emerging Challenges and Opportunities. </w:t>
      </w:r>
      <w:r w:rsidRPr="00AB268E">
        <w:rPr>
          <w:rFonts w:ascii="Times New Roman" w:hAnsi="Times New Roman" w:cs="Times New Roman"/>
          <w:i/>
          <w:iCs/>
          <w:sz w:val="24"/>
          <w:szCs w:val="24"/>
          <w:lang w:val="en-US"/>
        </w:rPr>
        <w:t>JNCI Journal of the National Cancer Institute</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114</w:t>
      </w:r>
      <w:r w:rsidRPr="00AB268E">
        <w:rPr>
          <w:rFonts w:ascii="Times New Roman" w:hAnsi="Times New Roman" w:cs="Times New Roman"/>
          <w:sz w:val="24"/>
          <w:szCs w:val="24"/>
          <w:lang w:val="en-US"/>
        </w:rPr>
        <w:t>(2), 179–186. https://doi.org/10.1093/jnci/djab139</w:t>
      </w:r>
    </w:p>
    <w:p w14:paraId="3DCD69F0"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Knoppers, B. M. (2014). Framework for responsible sharing of genomic and health-related data. </w:t>
      </w:r>
      <w:r w:rsidRPr="00AB268E">
        <w:rPr>
          <w:rFonts w:ascii="Times New Roman" w:hAnsi="Times New Roman" w:cs="Times New Roman"/>
          <w:i/>
          <w:iCs/>
          <w:sz w:val="24"/>
          <w:szCs w:val="24"/>
          <w:lang w:val="en-US"/>
        </w:rPr>
        <w:t>The HUGO Journal</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8</w:t>
      </w:r>
      <w:r w:rsidRPr="00AB268E">
        <w:rPr>
          <w:rFonts w:ascii="Times New Roman" w:hAnsi="Times New Roman" w:cs="Times New Roman"/>
          <w:sz w:val="24"/>
          <w:szCs w:val="24"/>
          <w:lang w:val="en-US"/>
        </w:rPr>
        <w:t>(1), 3. https://doi.org/10.1186/s11568-014-0003-1</w:t>
      </w:r>
    </w:p>
    <w:p w14:paraId="0C65E120"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Larsen, K., Rydz, E., &amp; Peters, C. E. (2023). Inequalities in Environmental Cancer Risk and Carcinogen Exposures: A Scoping Review. </w:t>
      </w:r>
      <w:r w:rsidRPr="00AB268E">
        <w:rPr>
          <w:rFonts w:ascii="Times New Roman" w:hAnsi="Times New Roman" w:cs="Times New Roman"/>
          <w:i/>
          <w:iCs/>
          <w:sz w:val="24"/>
          <w:szCs w:val="24"/>
          <w:lang w:val="en-US"/>
        </w:rPr>
        <w:t>International Journal of Environmental Research and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20</w:t>
      </w:r>
      <w:r w:rsidRPr="00AB268E">
        <w:rPr>
          <w:rFonts w:ascii="Times New Roman" w:hAnsi="Times New Roman" w:cs="Times New Roman"/>
          <w:sz w:val="24"/>
          <w:szCs w:val="24"/>
          <w:lang w:val="en-US"/>
        </w:rPr>
        <w:t>(9), 5718. https://doi.org/10.3390/ijerph20095718</w:t>
      </w:r>
    </w:p>
    <w:p w14:paraId="3B7A404C"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Lee, Y. S., Garrido, N. L. B., Lord, G., Maggio, Z. A., &amp; </w:t>
      </w:r>
      <w:proofErr w:type="spellStart"/>
      <w:r w:rsidRPr="00AB268E">
        <w:rPr>
          <w:rFonts w:ascii="Times New Roman" w:hAnsi="Times New Roman" w:cs="Times New Roman"/>
          <w:sz w:val="24"/>
          <w:szCs w:val="24"/>
          <w:lang w:val="en-US"/>
        </w:rPr>
        <w:t>Khomtchouk</w:t>
      </w:r>
      <w:proofErr w:type="spellEnd"/>
      <w:r w:rsidRPr="00AB268E">
        <w:rPr>
          <w:rFonts w:ascii="Times New Roman" w:hAnsi="Times New Roman" w:cs="Times New Roman"/>
          <w:sz w:val="24"/>
          <w:szCs w:val="24"/>
          <w:lang w:val="en-US"/>
        </w:rPr>
        <w:t xml:space="preserve">, B. B. (2025). Ethical considerations for biobanks serving underrepresented populations. </w:t>
      </w:r>
      <w:r w:rsidRPr="00AB268E">
        <w:rPr>
          <w:rFonts w:ascii="Times New Roman" w:hAnsi="Times New Roman" w:cs="Times New Roman"/>
          <w:i/>
          <w:iCs/>
          <w:sz w:val="24"/>
          <w:szCs w:val="24"/>
          <w:lang w:val="en-US"/>
        </w:rPr>
        <w:t>Bioethics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39</w:t>
      </w:r>
      <w:r w:rsidRPr="00AB268E">
        <w:rPr>
          <w:rFonts w:ascii="Times New Roman" w:hAnsi="Times New Roman" w:cs="Times New Roman"/>
          <w:sz w:val="24"/>
          <w:szCs w:val="24"/>
          <w:lang w:val="en-US"/>
        </w:rPr>
        <w:t>(3), 240–249. https://doi.org/10.1111/bioe.13381</w:t>
      </w:r>
    </w:p>
    <w:p w14:paraId="5C017BE0" w14:textId="53048F77"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Manisalidis</w:t>
      </w:r>
      <w:proofErr w:type="spellEnd"/>
      <w:r w:rsidRPr="00AB268E">
        <w:rPr>
          <w:rFonts w:ascii="Times New Roman" w:hAnsi="Times New Roman" w:cs="Times New Roman"/>
          <w:sz w:val="24"/>
          <w:szCs w:val="24"/>
          <w:lang w:val="en-US"/>
        </w:rPr>
        <w:t xml:space="preserve">, I., Stavropoulou, E., Stavropoulos, A., &amp; </w:t>
      </w:r>
      <w:proofErr w:type="spellStart"/>
      <w:r w:rsidRPr="00AB268E">
        <w:rPr>
          <w:rFonts w:ascii="Times New Roman" w:hAnsi="Times New Roman" w:cs="Times New Roman"/>
          <w:sz w:val="24"/>
          <w:szCs w:val="24"/>
          <w:lang w:val="en-US"/>
        </w:rPr>
        <w:t>Bezirtzoglou</w:t>
      </w:r>
      <w:proofErr w:type="spellEnd"/>
      <w:r w:rsidRPr="00AB268E">
        <w:rPr>
          <w:rFonts w:ascii="Times New Roman" w:hAnsi="Times New Roman" w:cs="Times New Roman"/>
          <w:sz w:val="24"/>
          <w:szCs w:val="24"/>
          <w:lang w:val="en-US"/>
        </w:rPr>
        <w:t>, E. (2020). Environmental and Health Impacts of</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 A Review. </w:t>
      </w:r>
      <w:r w:rsidRPr="00AB268E">
        <w:rPr>
          <w:rFonts w:ascii="Times New Roman" w:hAnsi="Times New Roman" w:cs="Times New Roman"/>
          <w:i/>
          <w:iCs/>
          <w:sz w:val="24"/>
          <w:szCs w:val="24"/>
          <w:lang w:val="en-US"/>
        </w:rPr>
        <w:t>Frontiers in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8</w:t>
      </w:r>
      <w:r w:rsidRPr="00AB268E">
        <w:rPr>
          <w:rFonts w:ascii="Times New Roman" w:hAnsi="Times New Roman" w:cs="Times New Roman"/>
          <w:sz w:val="24"/>
          <w:szCs w:val="24"/>
          <w:lang w:val="en-US"/>
        </w:rPr>
        <w:t>, 14. https://doi.org/10.3389/fpubh.2020.00014</w:t>
      </w:r>
    </w:p>
    <w:p w14:paraId="3FFA192A" w14:textId="77777777"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lastRenderedPageBreak/>
        <w:t>Mbemi</w:t>
      </w:r>
      <w:proofErr w:type="spellEnd"/>
      <w:r w:rsidRPr="00AB268E">
        <w:rPr>
          <w:rFonts w:ascii="Times New Roman" w:hAnsi="Times New Roman" w:cs="Times New Roman"/>
          <w:sz w:val="24"/>
          <w:szCs w:val="24"/>
          <w:lang w:val="en-US"/>
        </w:rPr>
        <w:t xml:space="preserve">, A., Khanna, S., Njiki, S., </w:t>
      </w:r>
      <w:proofErr w:type="spellStart"/>
      <w:r w:rsidRPr="00AB268E">
        <w:rPr>
          <w:rFonts w:ascii="Times New Roman" w:hAnsi="Times New Roman" w:cs="Times New Roman"/>
          <w:sz w:val="24"/>
          <w:szCs w:val="24"/>
          <w:lang w:val="en-US"/>
        </w:rPr>
        <w:t>Yedjou</w:t>
      </w:r>
      <w:proofErr w:type="spellEnd"/>
      <w:r w:rsidRPr="00AB268E">
        <w:rPr>
          <w:rFonts w:ascii="Times New Roman" w:hAnsi="Times New Roman" w:cs="Times New Roman"/>
          <w:sz w:val="24"/>
          <w:szCs w:val="24"/>
          <w:lang w:val="en-US"/>
        </w:rPr>
        <w:t xml:space="preserve">, C. G., &amp; </w:t>
      </w:r>
      <w:proofErr w:type="spellStart"/>
      <w:r w:rsidRPr="00AB268E">
        <w:rPr>
          <w:rFonts w:ascii="Times New Roman" w:hAnsi="Times New Roman" w:cs="Times New Roman"/>
          <w:sz w:val="24"/>
          <w:szCs w:val="24"/>
          <w:lang w:val="en-US"/>
        </w:rPr>
        <w:t>Tchounwou</w:t>
      </w:r>
      <w:proofErr w:type="spellEnd"/>
      <w:r w:rsidRPr="00AB268E">
        <w:rPr>
          <w:rFonts w:ascii="Times New Roman" w:hAnsi="Times New Roman" w:cs="Times New Roman"/>
          <w:sz w:val="24"/>
          <w:szCs w:val="24"/>
          <w:lang w:val="en-US"/>
        </w:rPr>
        <w:t xml:space="preserve">, P. B. (2020). Impact of Gene–Environment Interactions on Cancer Development. </w:t>
      </w:r>
      <w:r w:rsidRPr="00AB268E">
        <w:rPr>
          <w:rFonts w:ascii="Times New Roman" w:hAnsi="Times New Roman" w:cs="Times New Roman"/>
          <w:i/>
          <w:iCs/>
          <w:sz w:val="24"/>
          <w:szCs w:val="24"/>
          <w:lang w:val="en-US"/>
        </w:rPr>
        <w:t>International Journal of Environmental Research and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17</w:t>
      </w:r>
      <w:r w:rsidRPr="00AB268E">
        <w:rPr>
          <w:rFonts w:ascii="Times New Roman" w:hAnsi="Times New Roman" w:cs="Times New Roman"/>
          <w:sz w:val="24"/>
          <w:szCs w:val="24"/>
          <w:lang w:val="en-US"/>
        </w:rPr>
        <w:t>(21), 8089. https://doi.org/10.3390/ijerph17218089</w:t>
      </w:r>
    </w:p>
    <w:p w14:paraId="78A44376"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Motsinger-Reif, A. A., Reif, D. M., Akhtari, F. S., House, J. S., Campbell, C. R., Messier, K. P., Fargo, D. C., Bowen, T. A., </w:t>
      </w:r>
      <w:proofErr w:type="spellStart"/>
      <w:r w:rsidRPr="00AB268E">
        <w:rPr>
          <w:rFonts w:ascii="Times New Roman" w:hAnsi="Times New Roman" w:cs="Times New Roman"/>
          <w:sz w:val="24"/>
          <w:szCs w:val="24"/>
          <w:lang w:val="en-US"/>
        </w:rPr>
        <w:t>Nadadur</w:t>
      </w:r>
      <w:proofErr w:type="spellEnd"/>
      <w:r w:rsidRPr="00AB268E">
        <w:rPr>
          <w:rFonts w:ascii="Times New Roman" w:hAnsi="Times New Roman" w:cs="Times New Roman"/>
          <w:sz w:val="24"/>
          <w:szCs w:val="24"/>
          <w:lang w:val="en-US"/>
        </w:rPr>
        <w:t xml:space="preserve">, S. S., Schmitt, C. P., Pettibone, K. G., Balshaw, D. M., Lawler, C. P., Newton, S. A., Collman, G. W., Miller, A. K., Merrick, B. A., Cui, Y., </w:t>
      </w:r>
      <w:proofErr w:type="spellStart"/>
      <w:r w:rsidRPr="00AB268E">
        <w:rPr>
          <w:rFonts w:ascii="Times New Roman" w:hAnsi="Times New Roman" w:cs="Times New Roman"/>
          <w:sz w:val="24"/>
          <w:szCs w:val="24"/>
          <w:lang w:val="en-US"/>
        </w:rPr>
        <w:t>Anchang</w:t>
      </w:r>
      <w:proofErr w:type="spellEnd"/>
      <w:r w:rsidRPr="00AB268E">
        <w:rPr>
          <w:rFonts w:ascii="Times New Roman" w:hAnsi="Times New Roman" w:cs="Times New Roman"/>
          <w:sz w:val="24"/>
          <w:szCs w:val="24"/>
          <w:lang w:val="en-US"/>
        </w:rPr>
        <w:t xml:space="preserve">, B., … Woychik, R. (2024). Gene-environment interactions within a precision environmental health framework. </w:t>
      </w:r>
      <w:r w:rsidRPr="00AB268E">
        <w:rPr>
          <w:rFonts w:ascii="Times New Roman" w:hAnsi="Times New Roman" w:cs="Times New Roman"/>
          <w:i/>
          <w:iCs/>
          <w:sz w:val="24"/>
          <w:szCs w:val="24"/>
          <w:lang w:val="en-US"/>
        </w:rPr>
        <w:t>Cell Genomics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4</w:t>
      </w:r>
      <w:r w:rsidRPr="00AB268E">
        <w:rPr>
          <w:rFonts w:ascii="Times New Roman" w:hAnsi="Times New Roman" w:cs="Times New Roman"/>
          <w:sz w:val="24"/>
          <w:szCs w:val="24"/>
          <w:lang w:val="en-US"/>
        </w:rPr>
        <w:t>(7), 100591. https://doi.org/10.1016/j.xgen.2024.100591</w:t>
      </w:r>
    </w:p>
    <w:p w14:paraId="50BCF296" w14:textId="4144F37A"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Norori, N., Hu, Q., </w:t>
      </w:r>
      <w:proofErr w:type="spellStart"/>
      <w:r w:rsidRPr="00AB268E">
        <w:rPr>
          <w:rFonts w:ascii="Times New Roman" w:hAnsi="Times New Roman" w:cs="Times New Roman"/>
          <w:sz w:val="24"/>
          <w:szCs w:val="24"/>
          <w:lang w:val="en-US"/>
        </w:rPr>
        <w:t>Aellen</w:t>
      </w:r>
      <w:proofErr w:type="spellEnd"/>
      <w:r w:rsidRPr="00AB268E">
        <w:rPr>
          <w:rFonts w:ascii="Times New Roman" w:hAnsi="Times New Roman" w:cs="Times New Roman"/>
          <w:sz w:val="24"/>
          <w:szCs w:val="24"/>
          <w:lang w:val="en-US"/>
        </w:rPr>
        <w:t xml:space="preserve">, F. M., Faraci, F. D., &amp; </w:t>
      </w:r>
      <w:proofErr w:type="spellStart"/>
      <w:r w:rsidRPr="00AB268E">
        <w:rPr>
          <w:rFonts w:ascii="Times New Roman" w:hAnsi="Times New Roman" w:cs="Times New Roman"/>
          <w:sz w:val="24"/>
          <w:szCs w:val="24"/>
          <w:lang w:val="en-US"/>
        </w:rPr>
        <w:t>Tzovara</w:t>
      </w:r>
      <w:proofErr w:type="spellEnd"/>
      <w:r w:rsidRPr="00AB268E">
        <w:rPr>
          <w:rFonts w:ascii="Times New Roman" w:hAnsi="Times New Roman" w:cs="Times New Roman"/>
          <w:sz w:val="24"/>
          <w:szCs w:val="24"/>
          <w:lang w:val="en-US"/>
        </w:rPr>
        <w:t>, A. (2021). Addressing bias in big data and</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for health care: A call for open science. </w:t>
      </w:r>
      <w:r w:rsidRPr="00AB268E">
        <w:rPr>
          <w:rFonts w:ascii="Times New Roman" w:hAnsi="Times New Roman" w:cs="Times New Roman"/>
          <w:i/>
          <w:iCs/>
          <w:sz w:val="24"/>
          <w:szCs w:val="24"/>
          <w:lang w:val="en-US"/>
        </w:rPr>
        <w:t>Patterns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2</w:t>
      </w:r>
      <w:r w:rsidRPr="00AB268E">
        <w:rPr>
          <w:rFonts w:ascii="Times New Roman" w:hAnsi="Times New Roman" w:cs="Times New Roman"/>
          <w:sz w:val="24"/>
          <w:szCs w:val="24"/>
          <w:lang w:val="en-US"/>
        </w:rPr>
        <w:t>(10), 100347. https://doi.org/10.1016/j.patter.2021.100347</w:t>
      </w:r>
    </w:p>
    <w:p w14:paraId="7BB353E8"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Ochola, R. (2025). The Case for Genomic Surveillance in Africa. </w:t>
      </w:r>
      <w:r w:rsidRPr="00AB268E">
        <w:rPr>
          <w:rFonts w:ascii="Times New Roman" w:hAnsi="Times New Roman" w:cs="Times New Roman"/>
          <w:i/>
          <w:iCs/>
          <w:sz w:val="24"/>
          <w:szCs w:val="24"/>
          <w:lang w:val="en-US"/>
        </w:rPr>
        <w:t>Tropical Medicine and Infectious Disease</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10</w:t>
      </w:r>
      <w:r w:rsidRPr="00AB268E">
        <w:rPr>
          <w:rFonts w:ascii="Times New Roman" w:hAnsi="Times New Roman" w:cs="Times New Roman"/>
          <w:sz w:val="24"/>
          <w:szCs w:val="24"/>
          <w:lang w:val="en-US"/>
        </w:rPr>
        <w:t>(5), Article 5. https://doi.org/10.3390/tropicalmed10050129</w:t>
      </w:r>
    </w:p>
    <w:p w14:paraId="29A6EF4E"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O’Connor, O., &amp; McVeigh, T. P. (2025a). Increasing use of artificial intelligence in genomic medicine for cancer care- the promise and potential pitfalls. </w:t>
      </w:r>
      <w:r w:rsidRPr="00AB268E">
        <w:rPr>
          <w:rFonts w:ascii="Times New Roman" w:hAnsi="Times New Roman" w:cs="Times New Roman"/>
          <w:i/>
          <w:iCs/>
          <w:sz w:val="24"/>
          <w:szCs w:val="24"/>
          <w:lang w:val="en-US"/>
        </w:rPr>
        <w:t>BJC Reports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w:t>
      </w:r>
      <w:r w:rsidRPr="00AB268E">
        <w:rPr>
          <w:rFonts w:ascii="Times New Roman" w:hAnsi="Times New Roman" w:cs="Times New Roman"/>
          <w:sz w:val="24"/>
          <w:szCs w:val="24"/>
          <w:lang w:val="en-US"/>
        </w:rPr>
        <w:t>, 20. https://doi.org/10.1038/s44276-025-00135-4</w:t>
      </w:r>
    </w:p>
    <w:p w14:paraId="04375F47"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O’Connor, O., &amp; McVeigh, T. P. (2025b). Increasing use of artificial intelligence in genomic medicine for cancer care- the promise and potential pitfalls. </w:t>
      </w:r>
      <w:r w:rsidRPr="00AB268E">
        <w:rPr>
          <w:rFonts w:ascii="Times New Roman" w:hAnsi="Times New Roman" w:cs="Times New Roman"/>
          <w:i/>
          <w:iCs/>
          <w:sz w:val="24"/>
          <w:szCs w:val="24"/>
          <w:lang w:val="en-US"/>
        </w:rPr>
        <w:t>BJC Reports</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w:t>
      </w:r>
      <w:r w:rsidRPr="00AB268E">
        <w:rPr>
          <w:rFonts w:ascii="Times New Roman" w:hAnsi="Times New Roman" w:cs="Times New Roman"/>
          <w:sz w:val="24"/>
          <w:szCs w:val="24"/>
          <w:lang w:val="en-US"/>
        </w:rPr>
        <w:t>, 20. https://doi.org/10.1038/s44276-025-00135-4</w:t>
      </w:r>
    </w:p>
    <w:p w14:paraId="5B4ED566"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Petit, P., &amp; </w:t>
      </w:r>
      <w:proofErr w:type="spellStart"/>
      <w:r w:rsidRPr="00AB268E">
        <w:rPr>
          <w:rFonts w:ascii="Times New Roman" w:hAnsi="Times New Roman" w:cs="Times New Roman"/>
          <w:sz w:val="24"/>
          <w:szCs w:val="24"/>
          <w:lang w:val="en-US"/>
        </w:rPr>
        <w:t>Vuillerme</w:t>
      </w:r>
      <w:proofErr w:type="spellEnd"/>
      <w:r w:rsidRPr="00AB268E">
        <w:rPr>
          <w:rFonts w:ascii="Times New Roman" w:hAnsi="Times New Roman" w:cs="Times New Roman"/>
          <w:sz w:val="24"/>
          <w:szCs w:val="24"/>
          <w:lang w:val="en-US"/>
        </w:rPr>
        <w:t xml:space="preserve">, N. (2025). Global research trends on the human exposome: A bibliometric analysis (2005–2024). </w:t>
      </w:r>
      <w:r w:rsidRPr="00AB268E">
        <w:rPr>
          <w:rFonts w:ascii="Times New Roman" w:hAnsi="Times New Roman" w:cs="Times New Roman"/>
          <w:i/>
          <w:iCs/>
          <w:sz w:val="24"/>
          <w:szCs w:val="24"/>
          <w:lang w:val="en-US"/>
        </w:rPr>
        <w:t>Environmental Science and Pollution Research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32</w:t>
      </w:r>
      <w:r w:rsidRPr="00AB268E">
        <w:rPr>
          <w:rFonts w:ascii="Times New Roman" w:hAnsi="Times New Roman" w:cs="Times New Roman"/>
          <w:sz w:val="24"/>
          <w:szCs w:val="24"/>
          <w:lang w:val="en-US"/>
        </w:rPr>
        <w:t>(13), 7808–7833. https://doi.org/10.1007/s11356-025-36197-7</w:t>
      </w:r>
    </w:p>
    <w:p w14:paraId="7A5D8324"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Poynter, J. N., Richardson, M., Roesler, M., Blair, C. K., Hirsch, B., Nguyen, P., </w:t>
      </w:r>
      <w:proofErr w:type="spellStart"/>
      <w:r w:rsidRPr="00AB268E">
        <w:rPr>
          <w:rFonts w:ascii="Times New Roman" w:hAnsi="Times New Roman" w:cs="Times New Roman"/>
          <w:sz w:val="24"/>
          <w:szCs w:val="24"/>
          <w:lang w:val="en-US"/>
        </w:rPr>
        <w:t>Cioc</w:t>
      </w:r>
      <w:proofErr w:type="spellEnd"/>
      <w:r w:rsidRPr="00AB268E">
        <w:rPr>
          <w:rFonts w:ascii="Times New Roman" w:hAnsi="Times New Roman" w:cs="Times New Roman"/>
          <w:sz w:val="24"/>
          <w:szCs w:val="24"/>
          <w:lang w:val="en-US"/>
        </w:rPr>
        <w:t xml:space="preserve">, A., </w:t>
      </w:r>
      <w:proofErr w:type="spellStart"/>
      <w:r w:rsidRPr="00AB268E">
        <w:rPr>
          <w:rFonts w:ascii="Times New Roman" w:hAnsi="Times New Roman" w:cs="Times New Roman"/>
          <w:sz w:val="24"/>
          <w:szCs w:val="24"/>
          <w:lang w:val="en-US"/>
        </w:rPr>
        <w:t>Cerhan</w:t>
      </w:r>
      <w:proofErr w:type="spellEnd"/>
      <w:r w:rsidRPr="00AB268E">
        <w:rPr>
          <w:rFonts w:ascii="Times New Roman" w:hAnsi="Times New Roman" w:cs="Times New Roman"/>
          <w:sz w:val="24"/>
          <w:szCs w:val="24"/>
          <w:lang w:val="en-US"/>
        </w:rPr>
        <w:t xml:space="preserve">, J. R., &amp; Warlick, E. (2017). Chemical Exposures and Risk of Acute Myeloid Leukemia and Myelodysplastic Syndromes in a Population-Based Study. </w:t>
      </w:r>
      <w:r w:rsidRPr="00AB268E">
        <w:rPr>
          <w:rFonts w:ascii="Times New Roman" w:hAnsi="Times New Roman" w:cs="Times New Roman"/>
          <w:i/>
          <w:iCs/>
          <w:sz w:val="24"/>
          <w:szCs w:val="24"/>
          <w:lang w:val="en-US"/>
        </w:rPr>
        <w:t>International Journal of Cancer</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140</w:t>
      </w:r>
      <w:r w:rsidRPr="00AB268E">
        <w:rPr>
          <w:rFonts w:ascii="Times New Roman" w:hAnsi="Times New Roman" w:cs="Times New Roman"/>
          <w:sz w:val="24"/>
          <w:szCs w:val="24"/>
          <w:lang w:val="en-US"/>
        </w:rPr>
        <w:t>(1), 23–33. https://doi.org/10.1002/ijc.30420</w:t>
      </w:r>
    </w:p>
    <w:p w14:paraId="707CFB27" w14:textId="77777777"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Roos</w:t>
      </w:r>
      <w:proofErr w:type="spellEnd"/>
      <w:r w:rsidRPr="00AB268E">
        <w:rPr>
          <w:rFonts w:ascii="Times New Roman" w:hAnsi="Times New Roman" w:cs="Times New Roman"/>
          <w:sz w:val="24"/>
          <w:szCs w:val="24"/>
          <w:lang w:val="en-US"/>
        </w:rPr>
        <w:t xml:space="preserve">, A. J. D., Schinasi, L. H., </w:t>
      </w:r>
      <w:proofErr w:type="spellStart"/>
      <w:r w:rsidRPr="00AB268E">
        <w:rPr>
          <w:rFonts w:ascii="Times New Roman" w:hAnsi="Times New Roman" w:cs="Times New Roman"/>
          <w:sz w:val="24"/>
          <w:szCs w:val="24"/>
          <w:lang w:val="en-US"/>
        </w:rPr>
        <w:t>Miligi</w:t>
      </w:r>
      <w:proofErr w:type="spellEnd"/>
      <w:r w:rsidRPr="00AB268E">
        <w:rPr>
          <w:rFonts w:ascii="Times New Roman" w:hAnsi="Times New Roman" w:cs="Times New Roman"/>
          <w:sz w:val="24"/>
          <w:szCs w:val="24"/>
          <w:lang w:val="en-US"/>
        </w:rPr>
        <w:t xml:space="preserve">, L., </w:t>
      </w:r>
      <w:proofErr w:type="spellStart"/>
      <w:r w:rsidRPr="00AB268E">
        <w:rPr>
          <w:rFonts w:ascii="Times New Roman" w:hAnsi="Times New Roman" w:cs="Times New Roman"/>
          <w:sz w:val="24"/>
          <w:szCs w:val="24"/>
          <w:lang w:val="en-US"/>
        </w:rPr>
        <w:t>Cerhan</w:t>
      </w:r>
      <w:proofErr w:type="spellEnd"/>
      <w:r w:rsidRPr="00AB268E">
        <w:rPr>
          <w:rFonts w:ascii="Times New Roman" w:hAnsi="Times New Roman" w:cs="Times New Roman"/>
          <w:sz w:val="24"/>
          <w:szCs w:val="24"/>
          <w:lang w:val="en-US"/>
        </w:rPr>
        <w:t xml:space="preserve">, J. R., Bhatti, P., </w:t>
      </w:r>
      <w:proofErr w:type="spellStart"/>
      <w:r w:rsidRPr="00AB268E">
        <w:rPr>
          <w:rFonts w:ascii="Times New Roman" w:hAnsi="Times New Roman" w:cs="Times New Roman"/>
          <w:sz w:val="24"/>
          <w:szCs w:val="24"/>
          <w:lang w:val="en-US"/>
        </w:rPr>
        <w:t>Mannetje</w:t>
      </w:r>
      <w:proofErr w:type="spellEnd"/>
      <w:r w:rsidRPr="00AB268E">
        <w:rPr>
          <w:rFonts w:ascii="Times New Roman" w:hAnsi="Times New Roman" w:cs="Times New Roman"/>
          <w:sz w:val="24"/>
          <w:szCs w:val="24"/>
          <w:lang w:val="en-US"/>
        </w:rPr>
        <w:t xml:space="preserve">, A. ‘t, Baris, D., Benavente, Y., Benke, G., Clavel, J., </w:t>
      </w:r>
      <w:proofErr w:type="spellStart"/>
      <w:r w:rsidRPr="00AB268E">
        <w:rPr>
          <w:rFonts w:ascii="Times New Roman" w:hAnsi="Times New Roman" w:cs="Times New Roman"/>
          <w:sz w:val="24"/>
          <w:szCs w:val="24"/>
          <w:lang w:val="en-US"/>
        </w:rPr>
        <w:t>Casabonne</w:t>
      </w:r>
      <w:proofErr w:type="spellEnd"/>
      <w:r w:rsidRPr="00AB268E">
        <w:rPr>
          <w:rFonts w:ascii="Times New Roman" w:hAnsi="Times New Roman" w:cs="Times New Roman"/>
          <w:sz w:val="24"/>
          <w:szCs w:val="24"/>
          <w:lang w:val="en-US"/>
        </w:rPr>
        <w:t xml:space="preserve">, D., Fritschi, L., Hofmann, J. N., Huynh, T., </w:t>
      </w:r>
      <w:proofErr w:type="spellStart"/>
      <w:r w:rsidRPr="00AB268E">
        <w:rPr>
          <w:rFonts w:ascii="Times New Roman" w:hAnsi="Times New Roman" w:cs="Times New Roman"/>
          <w:sz w:val="24"/>
          <w:szCs w:val="24"/>
          <w:lang w:val="en-US"/>
        </w:rPr>
        <w:t>Monnereau</w:t>
      </w:r>
      <w:proofErr w:type="spellEnd"/>
      <w:r w:rsidRPr="00AB268E">
        <w:rPr>
          <w:rFonts w:ascii="Times New Roman" w:hAnsi="Times New Roman" w:cs="Times New Roman"/>
          <w:sz w:val="24"/>
          <w:szCs w:val="24"/>
          <w:lang w:val="en-US"/>
        </w:rPr>
        <w:t xml:space="preserve">, A., Piro, S., Slager, S. L., </w:t>
      </w:r>
      <w:proofErr w:type="spellStart"/>
      <w:r w:rsidRPr="00AB268E">
        <w:rPr>
          <w:rFonts w:ascii="Times New Roman" w:hAnsi="Times New Roman" w:cs="Times New Roman"/>
          <w:sz w:val="24"/>
          <w:szCs w:val="24"/>
          <w:lang w:val="en-US"/>
        </w:rPr>
        <w:t>Vajdic</w:t>
      </w:r>
      <w:proofErr w:type="spellEnd"/>
      <w:r w:rsidRPr="00AB268E">
        <w:rPr>
          <w:rFonts w:ascii="Times New Roman" w:hAnsi="Times New Roman" w:cs="Times New Roman"/>
          <w:sz w:val="24"/>
          <w:szCs w:val="24"/>
          <w:lang w:val="en-US"/>
        </w:rPr>
        <w:t xml:space="preserve">, C. M., Wang, S. S., … Cocco, P. (2021). Occupational insecticide exposure and risk of non-Hodgkin lymphoma: A pooled case-control study from the </w:t>
      </w:r>
      <w:proofErr w:type="spellStart"/>
      <w:r w:rsidRPr="00AB268E">
        <w:rPr>
          <w:rFonts w:ascii="Times New Roman" w:hAnsi="Times New Roman" w:cs="Times New Roman"/>
          <w:sz w:val="24"/>
          <w:szCs w:val="24"/>
          <w:lang w:val="en-US"/>
        </w:rPr>
        <w:t>InterLymph</w:t>
      </w:r>
      <w:proofErr w:type="spellEnd"/>
      <w:r w:rsidRPr="00AB268E">
        <w:rPr>
          <w:rFonts w:ascii="Times New Roman" w:hAnsi="Times New Roman" w:cs="Times New Roman"/>
          <w:sz w:val="24"/>
          <w:szCs w:val="24"/>
          <w:lang w:val="en-US"/>
        </w:rPr>
        <w:t xml:space="preserve"> Consortium. </w:t>
      </w:r>
      <w:r w:rsidRPr="00AB268E">
        <w:rPr>
          <w:rFonts w:ascii="Times New Roman" w:hAnsi="Times New Roman" w:cs="Times New Roman"/>
          <w:i/>
          <w:iCs/>
          <w:sz w:val="24"/>
          <w:szCs w:val="24"/>
          <w:lang w:val="en-US"/>
        </w:rPr>
        <w:t>International Journal of Cancer</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149</w:t>
      </w:r>
      <w:r w:rsidRPr="00AB268E">
        <w:rPr>
          <w:rFonts w:ascii="Times New Roman" w:hAnsi="Times New Roman" w:cs="Times New Roman"/>
          <w:sz w:val="24"/>
          <w:szCs w:val="24"/>
          <w:lang w:val="en-US"/>
        </w:rPr>
        <w:t>(10), 1768. https://doi.org/10.1002/ijc.33740</w:t>
      </w:r>
    </w:p>
    <w:p w14:paraId="05BC09C6"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Rossi, A., &amp; Lenzini, G. (2020). Transparency by design in data-informed research: A collection of information design patterns. </w:t>
      </w:r>
      <w:r w:rsidRPr="00AB268E">
        <w:rPr>
          <w:rFonts w:ascii="Times New Roman" w:hAnsi="Times New Roman" w:cs="Times New Roman"/>
          <w:i/>
          <w:iCs/>
          <w:sz w:val="24"/>
          <w:szCs w:val="24"/>
          <w:lang w:val="en-US"/>
        </w:rPr>
        <w:t>Computer Law &amp; Security Review</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37</w:t>
      </w:r>
      <w:r w:rsidRPr="00AB268E">
        <w:rPr>
          <w:rFonts w:ascii="Times New Roman" w:hAnsi="Times New Roman" w:cs="Times New Roman"/>
          <w:sz w:val="24"/>
          <w:szCs w:val="24"/>
          <w:lang w:val="en-US"/>
        </w:rPr>
        <w:t>, 105402. https://doi.org/10.1016/j.clsr.2020.105402</w:t>
      </w:r>
    </w:p>
    <w:p w14:paraId="19CF951F" w14:textId="28A7391C" w:rsidR="00AF2D44" w:rsidRPr="00AB268E" w:rsidRDefault="00AF2D44" w:rsidP="0042526D">
      <w:pPr>
        <w:jc w:val="both"/>
        <w:rPr>
          <w:rFonts w:ascii="Times New Roman" w:hAnsi="Times New Roman" w:cs="Times New Roman"/>
          <w:sz w:val="24"/>
          <w:szCs w:val="24"/>
          <w:lang w:val="en-US"/>
        </w:rPr>
      </w:pPr>
      <w:proofErr w:type="spellStart"/>
      <w:r w:rsidRPr="00AB268E">
        <w:rPr>
          <w:rFonts w:ascii="Times New Roman" w:hAnsi="Times New Roman" w:cs="Times New Roman"/>
          <w:sz w:val="24"/>
          <w:szCs w:val="24"/>
          <w:lang w:val="en-US"/>
        </w:rPr>
        <w:t>Rumchev</w:t>
      </w:r>
      <w:proofErr w:type="spellEnd"/>
      <w:r w:rsidRPr="00AB268E">
        <w:rPr>
          <w:rFonts w:ascii="Times New Roman" w:hAnsi="Times New Roman" w:cs="Times New Roman"/>
          <w:sz w:val="24"/>
          <w:szCs w:val="24"/>
          <w:lang w:val="en-US"/>
        </w:rPr>
        <w:t xml:space="preserve">, K., </w:t>
      </w:r>
      <w:proofErr w:type="spellStart"/>
      <w:r w:rsidRPr="00AB268E">
        <w:rPr>
          <w:rFonts w:ascii="Times New Roman" w:hAnsi="Times New Roman" w:cs="Times New Roman"/>
          <w:sz w:val="24"/>
          <w:szCs w:val="24"/>
          <w:lang w:val="en-US"/>
        </w:rPr>
        <w:t>Spickett</w:t>
      </w:r>
      <w:proofErr w:type="spellEnd"/>
      <w:r w:rsidRPr="00AB268E">
        <w:rPr>
          <w:rFonts w:ascii="Times New Roman" w:hAnsi="Times New Roman" w:cs="Times New Roman"/>
          <w:sz w:val="24"/>
          <w:szCs w:val="24"/>
          <w:lang w:val="en-US"/>
        </w:rPr>
        <w:t xml:space="preserve">, J. T., Brown, H. L., &amp; </w:t>
      </w:r>
      <w:proofErr w:type="spellStart"/>
      <w:r w:rsidRPr="00AB268E">
        <w:rPr>
          <w:rFonts w:ascii="Times New Roman" w:hAnsi="Times New Roman" w:cs="Times New Roman"/>
          <w:sz w:val="24"/>
          <w:szCs w:val="24"/>
          <w:lang w:val="en-US"/>
        </w:rPr>
        <w:t>Mkhweli</w:t>
      </w:r>
      <w:proofErr w:type="spellEnd"/>
      <w:r w:rsidRPr="00AB268E">
        <w:rPr>
          <w:rFonts w:ascii="Times New Roman" w:hAnsi="Times New Roman" w:cs="Times New Roman"/>
          <w:sz w:val="24"/>
          <w:szCs w:val="24"/>
          <w:lang w:val="en-US"/>
        </w:rPr>
        <w:t>, B. (2007). Indoor</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 from biomass combustion and respiratory symptoms of women and children in a Zimbabwean village. </w:t>
      </w:r>
      <w:r w:rsidRPr="00AB268E">
        <w:rPr>
          <w:rFonts w:ascii="Times New Roman" w:hAnsi="Times New Roman" w:cs="Times New Roman"/>
          <w:i/>
          <w:iCs/>
          <w:sz w:val="24"/>
          <w:szCs w:val="24"/>
          <w:lang w:val="en-US"/>
        </w:rPr>
        <w:t>Indoor</w:t>
      </w:r>
      <w:r w:rsidR="00AB268E" w:rsidRPr="00AB268E">
        <w:rPr>
          <w:rFonts w:ascii="Times New Roman" w:hAnsi="Times New Roman" w:cs="Times New Roman"/>
          <w:i/>
          <w:iCs/>
          <w:sz w:val="24"/>
          <w:szCs w:val="24"/>
          <w:lang w:val="en-US"/>
        </w:rPr>
        <w:t xml:space="preserve"> </w:t>
      </w:r>
      <w:proofErr w:type="spellStart"/>
      <w:r w:rsidR="00AB268E" w:rsidRPr="00AB268E">
        <w:rPr>
          <w:rFonts w:ascii="Times New Roman" w:hAnsi="Times New Roman" w:cs="Times New Roman"/>
          <w:i/>
          <w:iCs/>
          <w:sz w:val="24"/>
          <w:szCs w:val="24"/>
          <w:lang w:val="en-US"/>
        </w:rPr>
        <w:t>AI</w:t>
      </w:r>
      <w:r w:rsidRPr="00AB268E">
        <w:rPr>
          <w:rFonts w:ascii="Times New Roman" w:hAnsi="Times New Roman" w:cs="Times New Roman"/>
          <w:i/>
          <w:iCs/>
          <w:sz w:val="24"/>
          <w:szCs w:val="24"/>
          <w:lang w:val="en-US"/>
        </w:rPr>
        <w:t>r</w:t>
      </w:r>
      <w:proofErr w:type="spellEnd"/>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17</w:t>
      </w:r>
      <w:r w:rsidRPr="00AB268E">
        <w:rPr>
          <w:rFonts w:ascii="Times New Roman" w:hAnsi="Times New Roman" w:cs="Times New Roman"/>
          <w:sz w:val="24"/>
          <w:szCs w:val="24"/>
          <w:lang w:val="en-US"/>
        </w:rPr>
        <w:t>(6), 468–474. https://doi.org/10.1111/j.1600-0668.2007.00494.x</w:t>
      </w:r>
    </w:p>
    <w:p w14:paraId="4B9895D6"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Wogan, G. N., Hecht, S. S., Felton, J. S., Conney, A. H., &amp; Loeb, L. A. (2004). Environmental and chemical carcinogenesis. </w:t>
      </w:r>
      <w:r w:rsidRPr="00AB268E">
        <w:rPr>
          <w:rFonts w:ascii="Times New Roman" w:hAnsi="Times New Roman" w:cs="Times New Roman"/>
          <w:i/>
          <w:iCs/>
          <w:sz w:val="24"/>
          <w:szCs w:val="24"/>
          <w:lang w:val="en-US"/>
        </w:rPr>
        <w:t>Seminars in Cancer Biology</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14</w:t>
      </w:r>
      <w:r w:rsidRPr="00AB268E">
        <w:rPr>
          <w:rFonts w:ascii="Times New Roman" w:hAnsi="Times New Roman" w:cs="Times New Roman"/>
          <w:sz w:val="24"/>
          <w:szCs w:val="24"/>
          <w:lang w:val="en-US"/>
        </w:rPr>
        <w:t>(6), 473–486. https://doi.org/10.1016/j.semcancer.2004.06.010</w:t>
      </w:r>
    </w:p>
    <w:p w14:paraId="37B908D6" w14:textId="5A7C5A68"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lastRenderedPageBreak/>
        <w:t>Xing, D. F., Xu, C. D., Liao, X. Y., Xing, T. Y., Cheng, S. P., Hu, M. G., &amp; Wang, J. X. (2019). Spatial association between outdoor</w:t>
      </w:r>
      <w:r w:rsidR="00AB268E" w:rsidRPr="00AB268E">
        <w:rPr>
          <w:rFonts w:ascii="Times New Roman" w:hAnsi="Times New Roman" w:cs="Times New Roman"/>
          <w:sz w:val="24"/>
          <w:szCs w:val="24"/>
          <w:lang w:val="en-US"/>
        </w:rPr>
        <w:t xml:space="preserve"> </w:t>
      </w:r>
      <w:proofErr w:type="spellStart"/>
      <w:r w:rsidR="00AB268E" w:rsidRPr="00AB268E">
        <w:rPr>
          <w:rFonts w:ascii="Times New Roman" w:hAnsi="Times New Roman" w:cs="Times New Roman"/>
          <w:sz w:val="24"/>
          <w:szCs w:val="24"/>
          <w:lang w:val="en-US"/>
        </w:rPr>
        <w:t>AI</w:t>
      </w:r>
      <w:r w:rsidRPr="00AB268E">
        <w:rPr>
          <w:rFonts w:ascii="Times New Roman" w:hAnsi="Times New Roman" w:cs="Times New Roman"/>
          <w:sz w:val="24"/>
          <w:szCs w:val="24"/>
          <w:lang w:val="en-US"/>
        </w:rPr>
        <w:t>r</w:t>
      </w:r>
      <w:proofErr w:type="spellEnd"/>
      <w:r w:rsidRPr="00AB268E">
        <w:rPr>
          <w:rFonts w:ascii="Times New Roman" w:hAnsi="Times New Roman" w:cs="Times New Roman"/>
          <w:sz w:val="24"/>
          <w:szCs w:val="24"/>
          <w:lang w:val="en-US"/>
        </w:rPr>
        <w:t xml:space="preserve"> pollution and lung cancer incidence in China. </w:t>
      </w:r>
      <w:r w:rsidRPr="00AB268E">
        <w:rPr>
          <w:rFonts w:ascii="Times New Roman" w:hAnsi="Times New Roman" w:cs="Times New Roman"/>
          <w:i/>
          <w:iCs/>
          <w:sz w:val="24"/>
          <w:szCs w:val="24"/>
          <w:lang w:val="en-US"/>
        </w:rPr>
        <w:t>BMC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19</w:t>
      </w:r>
      <w:r w:rsidRPr="00AB268E">
        <w:rPr>
          <w:rFonts w:ascii="Times New Roman" w:hAnsi="Times New Roman" w:cs="Times New Roman"/>
          <w:sz w:val="24"/>
          <w:szCs w:val="24"/>
          <w:lang w:val="en-US"/>
        </w:rPr>
        <w:t>, 1377. https://doi.org/10.1186/s12889-019-7740-y</w:t>
      </w:r>
    </w:p>
    <w:p w14:paraId="5094C844"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Yeung, A. W. K., Torkamani, A., Butte, A. J., </w:t>
      </w:r>
      <w:proofErr w:type="spellStart"/>
      <w:r w:rsidRPr="00AB268E">
        <w:rPr>
          <w:rFonts w:ascii="Times New Roman" w:hAnsi="Times New Roman" w:cs="Times New Roman"/>
          <w:sz w:val="24"/>
          <w:szCs w:val="24"/>
          <w:lang w:val="en-US"/>
        </w:rPr>
        <w:t>Glicksberg</w:t>
      </w:r>
      <w:proofErr w:type="spellEnd"/>
      <w:r w:rsidRPr="00AB268E">
        <w:rPr>
          <w:rFonts w:ascii="Times New Roman" w:hAnsi="Times New Roman" w:cs="Times New Roman"/>
          <w:sz w:val="24"/>
          <w:szCs w:val="24"/>
          <w:lang w:val="en-US"/>
        </w:rPr>
        <w:t xml:space="preserve">, B. S., Schuller, B., Rodriguez, B., Ting, D. S. W., Bates, D., Schaden, E., Peng, H., </w:t>
      </w:r>
      <w:proofErr w:type="spellStart"/>
      <w:r w:rsidRPr="00AB268E">
        <w:rPr>
          <w:rFonts w:ascii="Times New Roman" w:hAnsi="Times New Roman" w:cs="Times New Roman"/>
          <w:sz w:val="24"/>
          <w:szCs w:val="24"/>
          <w:lang w:val="en-US"/>
        </w:rPr>
        <w:t>Willschke</w:t>
      </w:r>
      <w:proofErr w:type="spellEnd"/>
      <w:r w:rsidRPr="00AB268E">
        <w:rPr>
          <w:rFonts w:ascii="Times New Roman" w:hAnsi="Times New Roman" w:cs="Times New Roman"/>
          <w:sz w:val="24"/>
          <w:szCs w:val="24"/>
          <w:lang w:val="en-US"/>
        </w:rPr>
        <w:t xml:space="preserve">, H., van der Laak, J., Car, J., Rahimi, K., Celi, L. A., Banach, M., </w:t>
      </w:r>
      <w:proofErr w:type="spellStart"/>
      <w:r w:rsidRPr="00AB268E">
        <w:rPr>
          <w:rFonts w:ascii="Times New Roman" w:hAnsi="Times New Roman" w:cs="Times New Roman"/>
          <w:sz w:val="24"/>
          <w:szCs w:val="24"/>
          <w:lang w:val="en-US"/>
        </w:rPr>
        <w:t>Kletecka-Pulker</w:t>
      </w:r>
      <w:proofErr w:type="spellEnd"/>
      <w:r w:rsidRPr="00AB268E">
        <w:rPr>
          <w:rFonts w:ascii="Times New Roman" w:hAnsi="Times New Roman" w:cs="Times New Roman"/>
          <w:sz w:val="24"/>
          <w:szCs w:val="24"/>
          <w:lang w:val="en-US"/>
        </w:rPr>
        <w:t xml:space="preserve">, M., </w:t>
      </w:r>
      <w:proofErr w:type="spellStart"/>
      <w:r w:rsidRPr="00AB268E">
        <w:rPr>
          <w:rFonts w:ascii="Times New Roman" w:hAnsi="Times New Roman" w:cs="Times New Roman"/>
          <w:sz w:val="24"/>
          <w:szCs w:val="24"/>
          <w:lang w:val="en-US"/>
        </w:rPr>
        <w:t>Kimberger</w:t>
      </w:r>
      <w:proofErr w:type="spellEnd"/>
      <w:r w:rsidRPr="00AB268E">
        <w:rPr>
          <w:rFonts w:ascii="Times New Roman" w:hAnsi="Times New Roman" w:cs="Times New Roman"/>
          <w:sz w:val="24"/>
          <w:szCs w:val="24"/>
          <w:lang w:val="en-US"/>
        </w:rPr>
        <w:t xml:space="preserve">, O., </w:t>
      </w:r>
      <w:proofErr w:type="spellStart"/>
      <w:r w:rsidRPr="00AB268E">
        <w:rPr>
          <w:rFonts w:ascii="Times New Roman" w:hAnsi="Times New Roman" w:cs="Times New Roman"/>
          <w:sz w:val="24"/>
          <w:szCs w:val="24"/>
          <w:lang w:val="en-US"/>
        </w:rPr>
        <w:t>Eils</w:t>
      </w:r>
      <w:proofErr w:type="spellEnd"/>
      <w:r w:rsidRPr="00AB268E">
        <w:rPr>
          <w:rFonts w:ascii="Times New Roman" w:hAnsi="Times New Roman" w:cs="Times New Roman"/>
          <w:sz w:val="24"/>
          <w:szCs w:val="24"/>
          <w:lang w:val="en-US"/>
        </w:rPr>
        <w:t xml:space="preserve">, R., … Atanasov, A. G. (2023). The promise of digital healthcare technologies. </w:t>
      </w:r>
      <w:r w:rsidRPr="00AB268E">
        <w:rPr>
          <w:rFonts w:ascii="Times New Roman" w:hAnsi="Times New Roman" w:cs="Times New Roman"/>
          <w:i/>
          <w:iCs/>
          <w:sz w:val="24"/>
          <w:szCs w:val="24"/>
          <w:lang w:val="en-US"/>
        </w:rPr>
        <w:t>Frontiers in Public Health</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11</w:t>
      </w:r>
      <w:r w:rsidRPr="00AB268E">
        <w:rPr>
          <w:rFonts w:ascii="Times New Roman" w:hAnsi="Times New Roman" w:cs="Times New Roman"/>
          <w:sz w:val="24"/>
          <w:szCs w:val="24"/>
          <w:lang w:val="en-US"/>
        </w:rPr>
        <w:t>, 1196596. https://doi.org/10.3389/fpubh.2023.1196596</w:t>
      </w:r>
    </w:p>
    <w:p w14:paraId="76D3C053" w14:textId="2D411FD9"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Zhao, A. P., Li, S., Cao, Z., Hu, P. J.-H., Wang, J., Xiang, Y., Xie, D., &amp; Lu, X. (2024).</w:t>
      </w:r>
      <w:r w:rsidR="00AB268E" w:rsidRPr="00AB268E">
        <w:rPr>
          <w:rFonts w:ascii="Times New Roman" w:hAnsi="Times New Roman" w:cs="Times New Roman"/>
          <w:sz w:val="24"/>
          <w:szCs w:val="24"/>
          <w:lang w:val="en-US"/>
        </w:rPr>
        <w:t xml:space="preserve"> AI</w:t>
      </w:r>
      <w:r w:rsidRPr="00AB268E">
        <w:rPr>
          <w:rFonts w:ascii="Times New Roman" w:hAnsi="Times New Roman" w:cs="Times New Roman"/>
          <w:sz w:val="24"/>
          <w:szCs w:val="24"/>
          <w:lang w:val="en-US"/>
        </w:rPr>
        <w:t xml:space="preserve"> for science: Predicting infectious diseases. </w:t>
      </w:r>
      <w:r w:rsidRPr="00AB268E">
        <w:rPr>
          <w:rFonts w:ascii="Times New Roman" w:hAnsi="Times New Roman" w:cs="Times New Roman"/>
          <w:i/>
          <w:iCs/>
          <w:sz w:val="24"/>
          <w:szCs w:val="24"/>
          <w:lang w:val="en-US"/>
        </w:rPr>
        <w:t>Journal of Safety Science and Resilience</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5</w:t>
      </w:r>
      <w:r w:rsidRPr="00AB268E">
        <w:rPr>
          <w:rFonts w:ascii="Times New Roman" w:hAnsi="Times New Roman" w:cs="Times New Roman"/>
          <w:sz w:val="24"/>
          <w:szCs w:val="24"/>
          <w:lang w:val="en-US"/>
        </w:rPr>
        <w:t>(2), 130–146. https://doi.org/10.1016/j.jnlssr.2024.02.002</w:t>
      </w:r>
    </w:p>
    <w:p w14:paraId="3486385F"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xml:space="preserve">Zhou, N., Zhang, C., </w:t>
      </w:r>
      <w:proofErr w:type="spellStart"/>
      <w:r w:rsidRPr="00AB268E">
        <w:rPr>
          <w:rFonts w:ascii="Times New Roman" w:hAnsi="Times New Roman" w:cs="Times New Roman"/>
          <w:sz w:val="24"/>
          <w:szCs w:val="24"/>
          <w:lang w:val="en-US"/>
        </w:rPr>
        <w:t>Lv</w:t>
      </w:r>
      <w:proofErr w:type="spellEnd"/>
      <w:r w:rsidRPr="00AB268E">
        <w:rPr>
          <w:rFonts w:ascii="Times New Roman" w:hAnsi="Times New Roman" w:cs="Times New Roman"/>
          <w:sz w:val="24"/>
          <w:szCs w:val="24"/>
          <w:lang w:val="en-US"/>
        </w:rPr>
        <w:t xml:space="preserve">, H., Hao, C., Li, T., Zhu, J., Zhu, H., Jiang, M., Liu, K., Hou, H., Liu, D., Li, A., Zhang, G., Tian, Z., &amp; Zhang, X. (2019). Concordance Study Between IBM Watson for Oncology and Clinical Practice for Patients with Cancer in China. </w:t>
      </w:r>
      <w:r w:rsidRPr="00AB268E">
        <w:rPr>
          <w:rFonts w:ascii="Times New Roman" w:hAnsi="Times New Roman" w:cs="Times New Roman"/>
          <w:i/>
          <w:iCs/>
          <w:sz w:val="24"/>
          <w:szCs w:val="24"/>
          <w:lang w:val="en-US"/>
        </w:rPr>
        <w:t>The Oncologist</w:t>
      </w:r>
      <w:r w:rsidRPr="00AB268E">
        <w:rPr>
          <w:rFonts w:ascii="Times New Roman" w:hAnsi="Times New Roman" w:cs="Times New Roman"/>
          <w:sz w:val="24"/>
          <w:szCs w:val="24"/>
          <w:lang w:val="en-US"/>
        </w:rPr>
        <w:t xml:space="preserve">, </w:t>
      </w:r>
      <w:r w:rsidRPr="00AB268E">
        <w:rPr>
          <w:rFonts w:ascii="Times New Roman" w:hAnsi="Times New Roman" w:cs="Times New Roman"/>
          <w:i/>
          <w:iCs/>
          <w:sz w:val="24"/>
          <w:szCs w:val="24"/>
          <w:lang w:val="en-US"/>
        </w:rPr>
        <w:t>24</w:t>
      </w:r>
      <w:r w:rsidRPr="00AB268E">
        <w:rPr>
          <w:rFonts w:ascii="Times New Roman" w:hAnsi="Times New Roman" w:cs="Times New Roman"/>
          <w:sz w:val="24"/>
          <w:szCs w:val="24"/>
          <w:lang w:val="en-US"/>
        </w:rPr>
        <w:t>(6), 812–819. https://doi.org/10.1634/theoncologist.2018-0255</w:t>
      </w:r>
    </w:p>
    <w:p w14:paraId="1C2D770C" w14:textId="77777777" w:rsidR="00AF2D44" w:rsidRPr="00AB268E" w:rsidRDefault="00AF2D44" w:rsidP="0042526D">
      <w:pPr>
        <w:jc w:val="both"/>
        <w:rPr>
          <w:rFonts w:ascii="Times New Roman" w:hAnsi="Times New Roman" w:cs="Times New Roman"/>
          <w:sz w:val="24"/>
          <w:szCs w:val="24"/>
          <w:lang w:val="en-US"/>
        </w:rPr>
      </w:pPr>
      <w:r w:rsidRPr="00AB268E">
        <w:rPr>
          <w:rFonts w:ascii="Times New Roman" w:hAnsi="Times New Roman" w:cs="Times New Roman"/>
          <w:sz w:val="24"/>
          <w:szCs w:val="24"/>
          <w:lang w:val="en-US"/>
        </w:rPr>
        <w:t> </w:t>
      </w:r>
    </w:p>
    <w:p w14:paraId="173CB55E" w14:textId="77777777" w:rsidR="001F29B5" w:rsidRPr="00AB268E" w:rsidRDefault="001F29B5" w:rsidP="0042526D">
      <w:pPr>
        <w:jc w:val="both"/>
        <w:rPr>
          <w:rFonts w:ascii="Times New Roman" w:hAnsi="Times New Roman" w:cs="Times New Roman"/>
          <w:sz w:val="24"/>
          <w:szCs w:val="24"/>
        </w:rPr>
      </w:pPr>
    </w:p>
    <w:sectPr w:rsidR="001F29B5" w:rsidRPr="00AB268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C9CC7" w14:textId="77777777" w:rsidR="008C77C3" w:rsidRDefault="008C77C3" w:rsidP="00ED271E">
      <w:pPr>
        <w:spacing w:after="0" w:line="240" w:lineRule="auto"/>
      </w:pPr>
      <w:r>
        <w:separator/>
      </w:r>
    </w:p>
  </w:endnote>
  <w:endnote w:type="continuationSeparator" w:id="0">
    <w:p w14:paraId="0B17012E" w14:textId="77777777" w:rsidR="008C77C3" w:rsidRDefault="008C77C3" w:rsidP="00ED2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DEC1F" w14:textId="77777777" w:rsidR="00ED271E" w:rsidRDefault="00ED2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E6F4" w14:textId="77777777" w:rsidR="00ED271E" w:rsidRDefault="00ED2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C087" w14:textId="77777777" w:rsidR="00ED271E" w:rsidRDefault="00ED2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59DF1" w14:textId="77777777" w:rsidR="008C77C3" w:rsidRDefault="008C77C3" w:rsidP="00ED271E">
      <w:pPr>
        <w:spacing w:after="0" w:line="240" w:lineRule="auto"/>
      </w:pPr>
      <w:r>
        <w:separator/>
      </w:r>
    </w:p>
  </w:footnote>
  <w:footnote w:type="continuationSeparator" w:id="0">
    <w:p w14:paraId="17BB7A16" w14:textId="77777777" w:rsidR="008C77C3" w:rsidRDefault="008C77C3" w:rsidP="00ED2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1F4A" w14:textId="4C06A082" w:rsidR="00ED271E" w:rsidRDefault="00ED271E">
    <w:pPr>
      <w:pStyle w:val="Header"/>
    </w:pPr>
    <w:r>
      <w:rPr>
        <w:noProof/>
      </w:rPr>
      <w:pict w14:anchorId="69C52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698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EBAC" w14:textId="67334141" w:rsidR="00ED271E" w:rsidRDefault="00ED271E">
    <w:pPr>
      <w:pStyle w:val="Header"/>
    </w:pPr>
    <w:r>
      <w:rPr>
        <w:noProof/>
      </w:rPr>
      <w:pict w14:anchorId="798E6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698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33F9" w14:textId="34FB7EDE" w:rsidR="00ED271E" w:rsidRDefault="00ED271E">
    <w:pPr>
      <w:pStyle w:val="Header"/>
    </w:pPr>
    <w:r>
      <w:rPr>
        <w:noProof/>
      </w:rPr>
      <w:pict w14:anchorId="2E52A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698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74DF"/>
    <w:multiLevelType w:val="hybridMultilevel"/>
    <w:tmpl w:val="87D80114"/>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F05CA8"/>
    <w:multiLevelType w:val="hybridMultilevel"/>
    <w:tmpl w:val="C2D05EAA"/>
    <w:lvl w:ilvl="0" w:tplc="BCA815F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414BA"/>
    <w:multiLevelType w:val="hybridMultilevel"/>
    <w:tmpl w:val="5F1C2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768D3"/>
    <w:multiLevelType w:val="hybridMultilevel"/>
    <w:tmpl w:val="6F92A3BC"/>
    <w:lvl w:ilvl="0" w:tplc="0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F1BC0"/>
    <w:multiLevelType w:val="hybridMultilevel"/>
    <w:tmpl w:val="FE8CFC78"/>
    <w:lvl w:ilvl="0" w:tplc="08090015">
      <w:start w:val="1"/>
      <w:numFmt w:val="upperLetter"/>
      <w:lvlText w:val="%1."/>
      <w:lvlJc w:val="left"/>
      <w:pPr>
        <w:ind w:left="720" w:hanging="360"/>
      </w:pPr>
    </w:lvl>
    <w:lvl w:ilvl="1" w:tplc="34E483EE">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66D7E"/>
    <w:multiLevelType w:val="multilevel"/>
    <w:tmpl w:val="A0789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46860"/>
    <w:multiLevelType w:val="hybridMultilevel"/>
    <w:tmpl w:val="2E501E9A"/>
    <w:lvl w:ilvl="0" w:tplc="BCA815F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01882"/>
    <w:multiLevelType w:val="hybridMultilevel"/>
    <w:tmpl w:val="AF725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B0CA7"/>
    <w:multiLevelType w:val="hybridMultilevel"/>
    <w:tmpl w:val="C18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F2CE9"/>
    <w:multiLevelType w:val="hybridMultilevel"/>
    <w:tmpl w:val="38742862"/>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D511DE"/>
    <w:multiLevelType w:val="multilevel"/>
    <w:tmpl w:val="40822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BB1B55"/>
    <w:multiLevelType w:val="hybridMultilevel"/>
    <w:tmpl w:val="96B65834"/>
    <w:lvl w:ilvl="0" w:tplc="0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B0626F"/>
    <w:multiLevelType w:val="hybridMultilevel"/>
    <w:tmpl w:val="A428221A"/>
    <w:lvl w:ilvl="0" w:tplc="08090015">
      <w:start w:val="1"/>
      <w:numFmt w:val="upperLetter"/>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7939D4"/>
    <w:multiLevelType w:val="hybridMultilevel"/>
    <w:tmpl w:val="55E21B64"/>
    <w:lvl w:ilvl="0" w:tplc="0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3915BB"/>
    <w:multiLevelType w:val="hybridMultilevel"/>
    <w:tmpl w:val="A7C6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2"/>
  </w:num>
  <w:num w:numId="5">
    <w:abstractNumId w:val="14"/>
  </w:num>
  <w:num w:numId="6">
    <w:abstractNumId w:val="6"/>
  </w:num>
  <w:num w:numId="7">
    <w:abstractNumId w:val="1"/>
  </w:num>
  <w:num w:numId="8">
    <w:abstractNumId w:val="8"/>
  </w:num>
  <w:num w:numId="9">
    <w:abstractNumId w:val="9"/>
  </w:num>
  <w:num w:numId="10">
    <w:abstractNumId w:val="11"/>
  </w:num>
  <w:num w:numId="11">
    <w:abstractNumId w:val="4"/>
  </w:num>
  <w:num w:numId="12">
    <w:abstractNumId w:val="12"/>
  </w:num>
  <w:num w:numId="13">
    <w:abstractNumId w:val="3"/>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44"/>
    <w:rsid w:val="00000DD7"/>
    <w:rsid w:val="00003E2A"/>
    <w:rsid w:val="000372AB"/>
    <w:rsid w:val="000432DE"/>
    <w:rsid w:val="00045653"/>
    <w:rsid w:val="00097753"/>
    <w:rsid w:val="000A240E"/>
    <w:rsid w:val="000A739F"/>
    <w:rsid w:val="000C55FF"/>
    <w:rsid w:val="000C5AC8"/>
    <w:rsid w:val="000C6E88"/>
    <w:rsid w:val="000F23EF"/>
    <w:rsid w:val="000F3575"/>
    <w:rsid w:val="00120D7E"/>
    <w:rsid w:val="00133E61"/>
    <w:rsid w:val="00163DFD"/>
    <w:rsid w:val="001663D9"/>
    <w:rsid w:val="001807AD"/>
    <w:rsid w:val="00185CEB"/>
    <w:rsid w:val="0018614B"/>
    <w:rsid w:val="001B1238"/>
    <w:rsid w:val="001C4BA1"/>
    <w:rsid w:val="001C4C1E"/>
    <w:rsid w:val="001D25DA"/>
    <w:rsid w:val="001E2D2D"/>
    <w:rsid w:val="001E5FC7"/>
    <w:rsid w:val="001F04DC"/>
    <w:rsid w:val="001F29B5"/>
    <w:rsid w:val="001F3614"/>
    <w:rsid w:val="0020341F"/>
    <w:rsid w:val="00211A4A"/>
    <w:rsid w:val="00214AC3"/>
    <w:rsid w:val="00243777"/>
    <w:rsid w:val="0027572F"/>
    <w:rsid w:val="00280145"/>
    <w:rsid w:val="00282A98"/>
    <w:rsid w:val="00294915"/>
    <w:rsid w:val="002C34B7"/>
    <w:rsid w:val="002C4C95"/>
    <w:rsid w:val="002E47BF"/>
    <w:rsid w:val="002F1081"/>
    <w:rsid w:val="0030119C"/>
    <w:rsid w:val="0030228F"/>
    <w:rsid w:val="00302DD6"/>
    <w:rsid w:val="00303836"/>
    <w:rsid w:val="0030685F"/>
    <w:rsid w:val="00311032"/>
    <w:rsid w:val="003331D6"/>
    <w:rsid w:val="00350965"/>
    <w:rsid w:val="00371B93"/>
    <w:rsid w:val="00397C02"/>
    <w:rsid w:val="003A3835"/>
    <w:rsid w:val="003A6119"/>
    <w:rsid w:val="003B4FDB"/>
    <w:rsid w:val="003D18F4"/>
    <w:rsid w:val="003F4551"/>
    <w:rsid w:val="00415353"/>
    <w:rsid w:val="0042526D"/>
    <w:rsid w:val="0042718A"/>
    <w:rsid w:val="00436780"/>
    <w:rsid w:val="00466D52"/>
    <w:rsid w:val="00472826"/>
    <w:rsid w:val="00474D1D"/>
    <w:rsid w:val="004B4A54"/>
    <w:rsid w:val="004E3C00"/>
    <w:rsid w:val="00524EC6"/>
    <w:rsid w:val="00551AF2"/>
    <w:rsid w:val="00551EAC"/>
    <w:rsid w:val="00580E90"/>
    <w:rsid w:val="00584AE7"/>
    <w:rsid w:val="00593BB7"/>
    <w:rsid w:val="00596AB7"/>
    <w:rsid w:val="005A06CA"/>
    <w:rsid w:val="005A6F32"/>
    <w:rsid w:val="005B0122"/>
    <w:rsid w:val="005B18A9"/>
    <w:rsid w:val="005B3D2A"/>
    <w:rsid w:val="005B5C74"/>
    <w:rsid w:val="005C1F6C"/>
    <w:rsid w:val="005D173B"/>
    <w:rsid w:val="005F5746"/>
    <w:rsid w:val="0061241E"/>
    <w:rsid w:val="00613B05"/>
    <w:rsid w:val="00634FBA"/>
    <w:rsid w:val="00640CBD"/>
    <w:rsid w:val="00654F70"/>
    <w:rsid w:val="006634EC"/>
    <w:rsid w:val="00666BB5"/>
    <w:rsid w:val="006768DE"/>
    <w:rsid w:val="0068140A"/>
    <w:rsid w:val="006B461B"/>
    <w:rsid w:val="006C020A"/>
    <w:rsid w:val="006C1736"/>
    <w:rsid w:val="006C3F2A"/>
    <w:rsid w:val="006D116D"/>
    <w:rsid w:val="006E08D4"/>
    <w:rsid w:val="00706269"/>
    <w:rsid w:val="00713FFA"/>
    <w:rsid w:val="007145FD"/>
    <w:rsid w:val="00717A7F"/>
    <w:rsid w:val="00734028"/>
    <w:rsid w:val="00735CE8"/>
    <w:rsid w:val="00745CC6"/>
    <w:rsid w:val="00760728"/>
    <w:rsid w:val="0077522D"/>
    <w:rsid w:val="00783E9D"/>
    <w:rsid w:val="0079270B"/>
    <w:rsid w:val="007D2E63"/>
    <w:rsid w:val="007E41DB"/>
    <w:rsid w:val="00823CAD"/>
    <w:rsid w:val="008254B6"/>
    <w:rsid w:val="008278C3"/>
    <w:rsid w:val="008343A7"/>
    <w:rsid w:val="00841161"/>
    <w:rsid w:val="00850978"/>
    <w:rsid w:val="00856962"/>
    <w:rsid w:val="0086046C"/>
    <w:rsid w:val="00886F7A"/>
    <w:rsid w:val="008A5214"/>
    <w:rsid w:val="008C0237"/>
    <w:rsid w:val="008C77C3"/>
    <w:rsid w:val="008D1E0C"/>
    <w:rsid w:val="008D5407"/>
    <w:rsid w:val="008F4C51"/>
    <w:rsid w:val="00900AE1"/>
    <w:rsid w:val="00900EB9"/>
    <w:rsid w:val="00926458"/>
    <w:rsid w:val="00930295"/>
    <w:rsid w:val="00935037"/>
    <w:rsid w:val="00942CB7"/>
    <w:rsid w:val="009550D7"/>
    <w:rsid w:val="00960FC9"/>
    <w:rsid w:val="0098474A"/>
    <w:rsid w:val="009A678C"/>
    <w:rsid w:val="009C70B9"/>
    <w:rsid w:val="009E4872"/>
    <w:rsid w:val="00A02118"/>
    <w:rsid w:val="00A067C5"/>
    <w:rsid w:val="00A06D04"/>
    <w:rsid w:val="00A247BB"/>
    <w:rsid w:val="00A3461A"/>
    <w:rsid w:val="00A40BBE"/>
    <w:rsid w:val="00A4170A"/>
    <w:rsid w:val="00A53372"/>
    <w:rsid w:val="00A61BB6"/>
    <w:rsid w:val="00A92B58"/>
    <w:rsid w:val="00AA4EE0"/>
    <w:rsid w:val="00AA70F8"/>
    <w:rsid w:val="00AB268E"/>
    <w:rsid w:val="00AE6FCC"/>
    <w:rsid w:val="00AF2D44"/>
    <w:rsid w:val="00B17B32"/>
    <w:rsid w:val="00B23A4A"/>
    <w:rsid w:val="00B30CE1"/>
    <w:rsid w:val="00B43069"/>
    <w:rsid w:val="00B55D7B"/>
    <w:rsid w:val="00B74B96"/>
    <w:rsid w:val="00B84AC7"/>
    <w:rsid w:val="00BC3A07"/>
    <w:rsid w:val="00BC674A"/>
    <w:rsid w:val="00BE6D49"/>
    <w:rsid w:val="00BF66A6"/>
    <w:rsid w:val="00C06778"/>
    <w:rsid w:val="00C152D0"/>
    <w:rsid w:val="00C51570"/>
    <w:rsid w:val="00C53248"/>
    <w:rsid w:val="00C61BA4"/>
    <w:rsid w:val="00C81F1F"/>
    <w:rsid w:val="00D003E9"/>
    <w:rsid w:val="00D31FC1"/>
    <w:rsid w:val="00D33405"/>
    <w:rsid w:val="00D533B6"/>
    <w:rsid w:val="00DB4162"/>
    <w:rsid w:val="00DE409D"/>
    <w:rsid w:val="00DE74E6"/>
    <w:rsid w:val="00DF08A4"/>
    <w:rsid w:val="00E01D40"/>
    <w:rsid w:val="00E020DE"/>
    <w:rsid w:val="00E33F03"/>
    <w:rsid w:val="00E34C1F"/>
    <w:rsid w:val="00E40486"/>
    <w:rsid w:val="00E52BC3"/>
    <w:rsid w:val="00E7196E"/>
    <w:rsid w:val="00E86B16"/>
    <w:rsid w:val="00E87EAD"/>
    <w:rsid w:val="00EA128E"/>
    <w:rsid w:val="00EA373A"/>
    <w:rsid w:val="00EA5E88"/>
    <w:rsid w:val="00EB7EDE"/>
    <w:rsid w:val="00ED2251"/>
    <w:rsid w:val="00ED271E"/>
    <w:rsid w:val="00EF439C"/>
    <w:rsid w:val="00F078DA"/>
    <w:rsid w:val="00F422FD"/>
    <w:rsid w:val="00F80B4A"/>
    <w:rsid w:val="00FA7801"/>
    <w:rsid w:val="00FB327F"/>
    <w:rsid w:val="00FB5A13"/>
    <w:rsid w:val="00FD0A4D"/>
    <w:rsid w:val="00FD1520"/>
    <w:rsid w:val="00FE4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7371CD"/>
  <w15:chartTrackingRefBased/>
  <w15:docId w15:val="{1893C2A3-984F-4C2F-A4E3-7DB3AC3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D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2D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2D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2D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2D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2D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D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D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D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D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2D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2D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2D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2D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2D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D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D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D44"/>
    <w:rPr>
      <w:rFonts w:eastAsiaTheme="majorEastAsia" w:cstheme="majorBidi"/>
      <w:color w:val="272727" w:themeColor="text1" w:themeTint="D8"/>
    </w:rPr>
  </w:style>
  <w:style w:type="paragraph" w:styleId="Title">
    <w:name w:val="Title"/>
    <w:basedOn w:val="Normal"/>
    <w:next w:val="Normal"/>
    <w:link w:val="TitleChar"/>
    <w:uiPriority w:val="10"/>
    <w:qFormat/>
    <w:rsid w:val="00AF2D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D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D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D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D44"/>
    <w:pPr>
      <w:spacing w:before="160"/>
      <w:jc w:val="center"/>
    </w:pPr>
    <w:rPr>
      <w:i/>
      <w:iCs/>
      <w:color w:val="404040" w:themeColor="text1" w:themeTint="BF"/>
    </w:rPr>
  </w:style>
  <w:style w:type="character" w:customStyle="1" w:styleId="QuoteChar">
    <w:name w:val="Quote Char"/>
    <w:basedOn w:val="DefaultParagraphFont"/>
    <w:link w:val="Quote"/>
    <w:uiPriority w:val="29"/>
    <w:rsid w:val="00AF2D44"/>
    <w:rPr>
      <w:i/>
      <w:iCs/>
      <w:color w:val="404040" w:themeColor="text1" w:themeTint="BF"/>
    </w:rPr>
  </w:style>
  <w:style w:type="paragraph" w:styleId="ListParagraph">
    <w:name w:val="List Paragraph"/>
    <w:basedOn w:val="Normal"/>
    <w:uiPriority w:val="34"/>
    <w:qFormat/>
    <w:rsid w:val="00AF2D44"/>
    <w:pPr>
      <w:ind w:left="720"/>
      <w:contextualSpacing/>
    </w:pPr>
  </w:style>
  <w:style w:type="character" w:styleId="IntenseEmphasis">
    <w:name w:val="Intense Emphasis"/>
    <w:basedOn w:val="DefaultParagraphFont"/>
    <w:uiPriority w:val="21"/>
    <w:qFormat/>
    <w:rsid w:val="00AF2D44"/>
    <w:rPr>
      <w:i/>
      <w:iCs/>
      <w:color w:val="2F5496" w:themeColor="accent1" w:themeShade="BF"/>
    </w:rPr>
  </w:style>
  <w:style w:type="paragraph" w:styleId="IntenseQuote">
    <w:name w:val="Intense Quote"/>
    <w:basedOn w:val="Normal"/>
    <w:next w:val="Normal"/>
    <w:link w:val="IntenseQuoteChar"/>
    <w:uiPriority w:val="30"/>
    <w:qFormat/>
    <w:rsid w:val="00AF2D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2D44"/>
    <w:rPr>
      <w:i/>
      <w:iCs/>
      <w:color w:val="2F5496" w:themeColor="accent1" w:themeShade="BF"/>
    </w:rPr>
  </w:style>
  <w:style w:type="character" w:styleId="IntenseReference">
    <w:name w:val="Intense Reference"/>
    <w:basedOn w:val="DefaultParagraphFont"/>
    <w:uiPriority w:val="32"/>
    <w:qFormat/>
    <w:rsid w:val="00AF2D44"/>
    <w:rPr>
      <w:b/>
      <w:bCs/>
      <w:smallCaps/>
      <w:color w:val="2F5496" w:themeColor="accent1" w:themeShade="BF"/>
      <w:spacing w:val="5"/>
    </w:rPr>
  </w:style>
  <w:style w:type="paragraph" w:styleId="Bibliography">
    <w:name w:val="Bibliography"/>
    <w:basedOn w:val="Normal"/>
    <w:next w:val="Normal"/>
    <w:uiPriority w:val="37"/>
    <w:unhideWhenUsed/>
    <w:rsid w:val="00BF66A6"/>
  </w:style>
  <w:style w:type="character" w:styleId="Hyperlink">
    <w:name w:val="Hyperlink"/>
    <w:basedOn w:val="DefaultParagraphFont"/>
    <w:uiPriority w:val="99"/>
    <w:unhideWhenUsed/>
    <w:rsid w:val="00926458"/>
    <w:rPr>
      <w:color w:val="0563C1" w:themeColor="hyperlink"/>
      <w:u w:val="single"/>
    </w:rPr>
  </w:style>
  <w:style w:type="character" w:styleId="UnresolvedMention">
    <w:name w:val="Unresolved Mention"/>
    <w:basedOn w:val="DefaultParagraphFont"/>
    <w:uiPriority w:val="99"/>
    <w:semiHidden/>
    <w:unhideWhenUsed/>
    <w:rsid w:val="00926458"/>
    <w:rPr>
      <w:color w:val="605E5C"/>
      <w:shd w:val="clear" w:color="auto" w:fill="E1DFDD"/>
    </w:rPr>
  </w:style>
  <w:style w:type="paragraph" w:styleId="NormalWeb">
    <w:name w:val="Normal (Web)"/>
    <w:basedOn w:val="Normal"/>
    <w:uiPriority w:val="99"/>
    <w:semiHidden/>
    <w:unhideWhenUsed/>
    <w:rsid w:val="00745CC6"/>
    <w:rPr>
      <w:rFonts w:ascii="Times New Roman" w:hAnsi="Times New Roman" w:cs="Times New Roman"/>
      <w:sz w:val="24"/>
      <w:szCs w:val="24"/>
    </w:rPr>
  </w:style>
  <w:style w:type="paragraph" w:styleId="Header">
    <w:name w:val="header"/>
    <w:basedOn w:val="Normal"/>
    <w:link w:val="HeaderChar"/>
    <w:uiPriority w:val="99"/>
    <w:unhideWhenUsed/>
    <w:rsid w:val="00ED2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71E"/>
  </w:style>
  <w:style w:type="paragraph" w:styleId="Footer">
    <w:name w:val="footer"/>
    <w:basedOn w:val="Normal"/>
    <w:link w:val="FooterChar"/>
    <w:uiPriority w:val="99"/>
    <w:unhideWhenUsed/>
    <w:rsid w:val="00ED2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849">
      <w:bodyDiv w:val="1"/>
      <w:marLeft w:val="0"/>
      <w:marRight w:val="0"/>
      <w:marTop w:val="0"/>
      <w:marBottom w:val="0"/>
      <w:divBdr>
        <w:top w:val="none" w:sz="0" w:space="0" w:color="auto"/>
        <w:left w:val="none" w:sz="0" w:space="0" w:color="auto"/>
        <w:bottom w:val="none" w:sz="0" w:space="0" w:color="auto"/>
        <w:right w:val="none" w:sz="0" w:space="0" w:color="auto"/>
      </w:divBdr>
    </w:div>
    <w:div w:id="91779385">
      <w:bodyDiv w:val="1"/>
      <w:marLeft w:val="0"/>
      <w:marRight w:val="0"/>
      <w:marTop w:val="0"/>
      <w:marBottom w:val="0"/>
      <w:divBdr>
        <w:top w:val="none" w:sz="0" w:space="0" w:color="auto"/>
        <w:left w:val="none" w:sz="0" w:space="0" w:color="auto"/>
        <w:bottom w:val="none" w:sz="0" w:space="0" w:color="auto"/>
        <w:right w:val="none" w:sz="0" w:space="0" w:color="auto"/>
      </w:divBdr>
      <w:divsChild>
        <w:div w:id="636837848">
          <w:marLeft w:val="0"/>
          <w:marRight w:val="0"/>
          <w:marTop w:val="0"/>
          <w:marBottom w:val="0"/>
          <w:divBdr>
            <w:top w:val="none" w:sz="0" w:space="0" w:color="auto"/>
            <w:left w:val="none" w:sz="0" w:space="0" w:color="auto"/>
            <w:bottom w:val="none" w:sz="0" w:space="0" w:color="auto"/>
            <w:right w:val="none" w:sz="0" w:space="0" w:color="auto"/>
          </w:divBdr>
          <w:divsChild>
            <w:div w:id="588973941">
              <w:marLeft w:val="0"/>
              <w:marRight w:val="0"/>
              <w:marTop w:val="0"/>
              <w:marBottom w:val="0"/>
              <w:divBdr>
                <w:top w:val="none" w:sz="0" w:space="0" w:color="auto"/>
                <w:left w:val="none" w:sz="0" w:space="0" w:color="auto"/>
                <w:bottom w:val="none" w:sz="0" w:space="0" w:color="auto"/>
                <w:right w:val="none" w:sz="0" w:space="0" w:color="auto"/>
              </w:divBdr>
              <w:divsChild>
                <w:div w:id="1062482641">
                  <w:marLeft w:val="0"/>
                  <w:marRight w:val="0"/>
                  <w:marTop w:val="0"/>
                  <w:marBottom w:val="0"/>
                  <w:divBdr>
                    <w:top w:val="none" w:sz="0" w:space="0" w:color="auto"/>
                    <w:left w:val="none" w:sz="0" w:space="0" w:color="auto"/>
                    <w:bottom w:val="none" w:sz="0" w:space="0" w:color="auto"/>
                    <w:right w:val="none" w:sz="0" w:space="0" w:color="auto"/>
                  </w:divBdr>
                  <w:divsChild>
                    <w:div w:id="1375037315">
                      <w:marLeft w:val="0"/>
                      <w:marRight w:val="0"/>
                      <w:marTop w:val="0"/>
                      <w:marBottom w:val="0"/>
                      <w:divBdr>
                        <w:top w:val="none" w:sz="0" w:space="0" w:color="auto"/>
                        <w:left w:val="none" w:sz="0" w:space="0" w:color="auto"/>
                        <w:bottom w:val="none" w:sz="0" w:space="0" w:color="auto"/>
                        <w:right w:val="none" w:sz="0" w:space="0" w:color="auto"/>
                      </w:divBdr>
                      <w:divsChild>
                        <w:div w:id="41104598">
                          <w:marLeft w:val="0"/>
                          <w:marRight w:val="0"/>
                          <w:marTop w:val="0"/>
                          <w:marBottom w:val="0"/>
                          <w:divBdr>
                            <w:top w:val="none" w:sz="0" w:space="0" w:color="auto"/>
                            <w:left w:val="none" w:sz="0" w:space="0" w:color="auto"/>
                            <w:bottom w:val="none" w:sz="0" w:space="0" w:color="auto"/>
                            <w:right w:val="none" w:sz="0" w:space="0" w:color="auto"/>
                          </w:divBdr>
                          <w:divsChild>
                            <w:div w:id="1356346632">
                              <w:marLeft w:val="0"/>
                              <w:marRight w:val="0"/>
                              <w:marTop w:val="0"/>
                              <w:marBottom w:val="0"/>
                              <w:divBdr>
                                <w:top w:val="none" w:sz="0" w:space="0" w:color="auto"/>
                                <w:left w:val="none" w:sz="0" w:space="0" w:color="auto"/>
                                <w:bottom w:val="none" w:sz="0" w:space="0" w:color="auto"/>
                                <w:right w:val="none" w:sz="0" w:space="0" w:color="auto"/>
                              </w:divBdr>
                              <w:divsChild>
                                <w:div w:id="2010791018">
                                  <w:marLeft w:val="0"/>
                                  <w:marRight w:val="120"/>
                                  <w:marTop w:val="0"/>
                                  <w:marBottom w:val="0"/>
                                  <w:divBdr>
                                    <w:top w:val="none" w:sz="0" w:space="0" w:color="auto"/>
                                    <w:left w:val="none" w:sz="0" w:space="0" w:color="auto"/>
                                    <w:bottom w:val="none" w:sz="0" w:space="0" w:color="auto"/>
                                    <w:right w:val="none" w:sz="0" w:space="0" w:color="auto"/>
                                  </w:divBdr>
                                  <w:divsChild>
                                    <w:div w:id="1722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454640">
          <w:marLeft w:val="0"/>
          <w:marRight w:val="0"/>
          <w:marTop w:val="0"/>
          <w:marBottom w:val="0"/>
          <w:divBdr>
            <w:top w:val="none" w:sz="0" w:space="0" w:color="auto"/>
            <w:left w:val="none" w:sz="0" w:space="0" w:color="auto"/>
            <w:bottom w:val="none" w:sz="0" w:space="0" w:color="auto"/>
            <w:right w:val="none" w:sz="0" w:space="0" w:color="auto"/>
          </w:divBdr>
          <w:divsChild>
            <w:div w:id="611283380">
              <w:marLeft w:val="0"/>
              <w:marRight w:val="0"/>
              <w:marTop w:val="0"/>
              <w:marBottom w:val="0"/>
              <w:divBdr>
                <w:top w:val="none" w:sz="0" w:space="0" w:color="auto"/>
                <w:left w:val="none" w:sz="0" w:space="0" w:color="auto"/>
                <w:bottom w:val="none" w:sz="0" w:space="0" w:color="auto"/>
                <w:right w:val="none" w:sz="0" w:space="0" w:color="auto"/>
              </w:divBdr>
              <w:divsChild>
                <w:div w:id="954940618">
                  <w:marLeft w:val="0"/>
                  <w:marRight w:val="0"/>
                  <w:marTop w:val="0"/>
                  <w:marBottom w:val="0"/>
                  <w:divBdr>
                    <w:top w:val="none" w:sz="0" w:space="0" w:color="auto"/>
                    <w:left w:val="none" w:sz="0" w:space="0" w:color="auto"/>
                    <w:bottom w:val="none" w:sz="0" w:space="0" w:color="auto"/>
                    <w:right w:val="none" w:sz="0" w:space="0" w:color="auto"/>
                  </w:divBdr>
                  <w:divsChild>
                    <w:div w:id="1455714784">
                      <w:marLeft w:val="0"/>
                      <w:marRight w:val="0"/>
                      <w:marTop w:val="120"/>
                      <w:marBottom w:val="0"/>
                      <w:divBdr>
                        <w:top w:val="none" w:sz="0" w:space="0" w:color="auto"/>
                        <w:left w:val="none" w:sz="0" w:space="0" w:color="auto"/>
                        <w:bottom w:val="none" w:sz="0" w:space="0" w:color="auto"/>
                        <w:right w:val="none" w:sz="0" w:space="0" w:color="auto"/>
                      </w:divBdr>
                      <w:divsChild>
                        <w:div w:id="1351253056">
                          <w:marLeft w:val="0"/>
                          <w:marRight w:val="0"/>
                          <w:marTop w:val="0"/>
                          <w:marBottom w:val="0"/>
                          <w:divBdr>
                            <w:top w:val="none" w:sz="0" w:space="0" w:color="auto"/>
                            <w:left w:val="none" w:sz="0" w:space="0" w:color="auto"/>
                            <w:bottom w:val="none" w:sz="0" w:space="0" w:color="auto"/>
                            <w:right w:val="none" w:sz="0" w:space="0" w:color="auto"/>
                          </w:divBdr>
                          <w:divsChild>
                            <w:div w:id="13884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912452">
      <w:bodyDiv w:val="1"/>
      <w:marLeft w:val="0"/>
      <w:marRight w:val="0"/>
      <w:marTop w:val="0"/>
      <w:marBottom w:val="0"/>
      <w:divBdr>
        <w:top w:val="none" w:sz="0" w:space="0" w:color="auto"/>
        <w:left w:val="none" w:sz="0" w:space="0" w:color="auto"/>
        <w:bottom w:val="none" w:sz="0" w:space="0" w:color="auto"/>
        <w:right w:val="none" w:sz="0" w:space="0" w:color="auto"/>
      </w:divBdr>
    </w:div>
    <w:div w:id="314917043">
      <w:bodyDiv w:val="1"/>
      <w:marLeft w:val="0"/>
      <w:marRight w:val="0"/>
      <w:marTop w:val="0"/>
      <w:marBottom w:val="0"/>
      <w:divBdr>
        <w:top w:val="none" w:sz="0" w:space="0" w:color="auto"/>
        <w:left w:val="none" w:sz="0" w:space="0" w:color="auto"/>
        <w:bottom w:val="none" w:sz="0" w:space="0" w:color="auto"/>
        <w:right w:val="none" w:sz="0" w:space="0" w:color="auto"/>
      </w:divBdr>
      <w:divsChild>
        <w:div w:id="1251742583">
          <w:marLeft w:val="0"/>
          <w:marRight w:val="0"/>
          <w:marTop w:val="0"/>
          <w:marBottom w:val="0"/>
          <w:divBdr>
            <w:top w:val="none" w:sz="0" w:space="0" w:color="auto"/>
            <w:left w:val="none" w:sz="0" w:space="0" w:color="auto"/>
            <w:bottom w:val="none" w:sz="0" w:space="0" w:color="auto"/>
            <w:right w:val="none" w:sz="0" w:space="0" w:color="auto"/>
          </w:divBdr>
          <w:divsChild>
            <w:div w:id="287513710">
              <w:marLeft w:val="0"/>
              <w:marRight w:val="0"/>
              <w:marTop w:val="0"/>
              <w:marBottom w:val="0"/>
              <w:divBdr>
                <w:top w:val="none" w:sz="0" w:space="0" w:color="auto"/>
                <w:left w:val="none" w:sz="0" w:space="0" w:color="auto"/>
                <w:bottom w:val="none" w:sz="0" w:space="0" w:color="auto"/>
                <w:right w:val="none" w:sz="0" w:space="0" w:color="auto"/>
              </w:divBdr>
            </w:div>
          </w:divsChild>
        </w:div>
        <w:div w:id="442847415">
          <w:marLeft w:val="0"/>
          <w:marRight w:val="0"/>
          <w:marTop w:val="0"/>
          <w:marBottom w:val="0"/>
          <w:divBdr>
            <w:top w:val="none" w:sz="0" w:space="0" w:color="auto"/>
            <w:left w:val="none" w:sz="0" w:space="0" w:color="auto"/>
            <w:bottom w:val="none" w:sz="0" w:space="0" w:color="auto"/>
            <w:right w:val="none" w:sz="0" w:space="0" w:color="auto"/>
          </w:divBdr>
          <w:divsChild>
            <w:div w:id="2041124206">
              <w:marLeft w:val="0"/>
              <w:marRight w:val="0"/>
              <w:marTop w:val="0"/>
              <w:marBottom w:val="0"/>
              <w:divBdr>
                <w:top w:val="none" w:sz="0" w:space="0" w:color="auto"/>
                <w:left w:val="none" w:sz="0" w:space="0" w:color="auto"/>
                <w:bottom w:val="none" w:sz="0" w:space="0" w:color="auto"/>
                <w:right w:val="none" w:sz="0" w:space="0" w:color="auto"/>
              </w:divBdr>
              <w:divsChild>
                <w:div w:id="9875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00066">
      <w:bodyDiv w:val="1"/>
      <w:marLeft w:val="0"/>
      <w:marRight w:val="0"/>
      <w:marTop w:val="0"/>
      <w:marBottom w:val="0"/>
      <w:divBdr>
        <w:top w:val="none" w:sz="0" w:space="0" w:color="auto"/>
        <w:left w:val="none" w:sz="0" w:space="0" w:color="auto"/>
        <w:bottom w:val="none" w:sz="0" w:space="0" w:color="auto"/>
        <w:right w:val="none" w:sz="0" w:space="0" w:color="auto"/>
      </w:divBdr>
      <w:divsChild>
        <w:div w:id="1984846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042717">
      <w:bodyDiv w:val="1"/>
      <w:marLeft w:val="0"/>
      <w:marRight w:val="0"/>
      <w:marTop w:val="0"/>
      <w:marBottom w:val="0"/>
      <w:divBdr>
        <w:top w:val="none" w:sz="0" w:space="0" w:color="auto"/>
        <w:left w:val="none" w:sz="0" w:space="0" w:color="auto"/>
        <w:bottom w:val="none" w:sz="0" w:space="0" w:color="auto"/>
        <w:right w:val="none" w:sz="0" w:space="0" w:color="auto"/>
      </w:divBdr>
    </w:div>
    <w:div w:id="439109558">
      <w:bodyDiv w:val="1"/>
      <w:marLeft w:val="0"/>
      <w:marRight w:val="0"/>
      <w:marTop w:val="0"/>
      <w:marBottom w:val="0"/>
      <w:divBdr>
        <w:top w:val="none" w:sz="0" w:space="0" w:color="auto"/>
        <w:left w:val="none" w:sz="0" w:space="0" w:color="auto"/>
        <w:bottom w:val="none" w:sz="0" w:space="0" w:color="auto"/>
        <w:right w:val="none" w:sz="0" w:space="0" w:color="auto"/>
      </w:divBdr>
      <w:divsChild>
        <w:div w:id="258607472">
          <w:marLeft w:val="0"/>
          <w:marRight w:val="0"/>
          <w:marTop w:val="0"/>
          <w:marBottom w:val="0"/>
          <w:divBdr>
            <w:top w:val="none" w:sz="0" w:space="0" w:color="auto"/>
            <w:left w:val="none" w:sz="0" w:space="0" w:color="auto"/>
            <w:bottom w:val="none" w:sz="0" w:space="0" w:color="auto"/>
            <w:right w:val="none" w:sz="0" w:space="0" w:color="auto"/>
          </w:divBdr>
          <w:divsChild>
            <w:div w:id="304818963">
              <w:marLeft w:val="0"/>
              <w:marRight w:val="0"/>
              <w:marTop w:val="0"/>
              <w:marBottom w:val="0"/>
              <w:divBdr>
                <w:top w:val="none" w:sz="0" w:space="0" w:color="auto"/>
                <w:left w:val="none" w:sz="0" w:space="0" w:color="auto"/>
                <w:bottom w:val="none" w:sz="0" w:space="0" w:color="auto"/>
                <w:right w:val="none" w:sz="0" w:space="0" w:color="auto"/>
              </w:divBdr>
              <w:divsChild>
                <w:div w:id="500050831">
                  <w:marLeft w:val="0"/>
                  <w:marRight w:val="0"/>
                  <w:marTop w:val="0"/>
                  <w:marBottom w:val="0"/>
                  <w:divBdr>
                    <w:top w:val="none" w:sz="0" w:space="0" w:color="auto"/>
                    <w:left w:val="none" w:sz="0" w:space="0" w:color="auto"/>
                    <w:bottom w:val="none" w:sz="0" w:space="0" w:color="auto"/>
                    <w:right w:val="none" w:sz="0" w:space="0" w:color="auto"/>
                  </w:divBdr>
                  <w:divsChild>
                    <w:div w:id="1481190948">
                      <w:marLeft w:val="0"/>
                      <w:marRight w:val="0"/>
                      <w:marTop w:val="0"/>
                      <w:marBottom w:val="0"/>
                      <w:divBdr>
                        <w:top w:val="none" w:sz="0" w:space="0" w:color="auto"/>
                        <w:left w:val="none" w:sz="0" w:space="0" w:color="auto"/>
                        <w:bottom w:val="none" w:sz="0" w:space="0" w:color="auto"/>
                        <w:right w:val="none" w:sz="0" w:space="0" w:color="auto"/>
                      </w:divBdr>
                      <w:divsChild>
                        <w:div w:id="1114789887">
                          <w:marLeft w:val="0"/>
                          <w:marRight w:val="0"/>
                          <w:marTop w:val="0"/>
                          <w:marBottom w:val="0"/>
                          <w:divBdr>
                            <w:top w:val="none" w:sz="0" w:space="0" w:color="auto"/>
                            <w:left w:val="none" w:sz="0" w:space="0" w:color="auto"/>
                            <w:bottom w:val="none" w:sz="0" w:space="0" w:color="auto"/>
                            <w:right w:val="none" w:sz="0" w:space="0" w:color="auto"/>
                          </w:divBdr>
                          <w:divsChild>
                            <w:div w:id="346829903">
                              <w:marLeft w:val="0"/>
                              <w:marRight w:val="0"/>
                              <w:marTop w:val="0"/>
                              <w:marBottom w:val="0"/>
                              <w:divBdr>
                                <w:top w:val="none" w:sz="0" w:space="0" w:color="auto"/>
                                <w:left w:val="none" w:sz="0" w:space="0" w:color="auto"/>
                                <w:bottom w:val="none" w:sz="0" w:space="0" w:color="auto"/>
                                <w:right w:val="none" w:sz="0" w:space="0" w:color="auto"/>
                              </w:divBdr>
                              <w:divsChild>
                                <w:div w:id="1460994175">
                                  <w:marLeft w:val="0"/>
                                  <w:marRight w:val="120"/>
                                  <w:marTop w:val="0"/>
                                  <w:marBottom w:val="0"/>
                                  <w:divBdr>
                                    <w:top w:val="none" w:sz="0" w:space="0" w:color="auto"/>
                                    <w:left w:val="none" w:sz="0" w:space="0" w:color="auto"/>
                                    <w:bottom w:val="none" w:sz="0" w:space="0" w:color="auto"/>
                                    <w:right w:val="none" w:sz="0" w:space="0" w:color="auto"/>
                                  </w:divBdr>
                                  <w:divsChild>
                                    <w:div w:id="20648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293907">
          <w:marLeft w:val="0"/>
          <w:marRight w:val="0"/>
          <w:marTop w:val="0"/>
          <w:marBottom w:val="0"/>
          <w:divBdr>
            <w:top w:val="none" w:sz="0" w:space="0" w:color="auto"/>
            <w:left w:val="none" w:sz="0" w:space="0" w:color="auto"/>
            <w:bottom w:val="none" w:sz="0" w:space="0" w:color="auto"/>
            <w:right w:val="none" w:sz="0" w:space="0" w:color="auto"/>
          </w:divBdr>
          <w:divsChild>
            <w:div w:id="954942826">
              <w:marLeft w:val="0"/>
              <w:marRight w:val="0"/>
              <w:marTop w:val="0"/>
              <w:marBottom w:val="0"/>
              <w:divBdr>
                <w:top w:val="none" w:sz="0" w:space="0" w:color="auto"/>
                <w:left w:val="none" w:sz="0" w:space="0" w:color="auto"/>
                <w:bottom w:val="none" w:sz="0" w:space="0" w:color="auto"/>
                <w:right w:val="none" w:sz="0" w:space="0" w:color="auto"/>
              </w:divBdr>
              <w:divsChild>
                <w:div w:id="446462018">
                  <w:marLeft w:val="0"/>
                  <w:marRight w:val="0"/>
                  <w:marTop w:val="0"/>
                  <w:marBottom w:val="0"/>
                  <w:divBdr>
                    <w:top w:val="none" w:sz="0" w:space="0" w:color="auto"/>
                    <w:left w:val="none" w:sz="0" w:space="0" w:color="auto"/>
                    <w:bottom w:val="none" w:sz="0" w:space="0" w:color="auto"/>
                    <w:right w:val="none" w:sz="0" w:space="0" w:color="auto"/>
                  </w:divBdr>
                  <w:divsChild>
                    <w:div w:id="2095857662">
                      <w:marLeft w:val="0"/>
                      <w:marRight w:val="0"/>
                      <w:marTop w:val="120"/>
                      <w:marBottom w:val="0"/>
                      <w:divBdr>
                        <w:top w:val="none" w:sz="0" w:space="0" w:color="auto"/>
                        <w:left w:val="none" w:sz="0" w:space="0" w:color="auto"/>
                        <w:bottom w:val="none" w:sz="0" w:space="0" w:color="auto"/>
                        <w:right w:val="none" w:sz="0" w:space="0" w:color="auto"/>
                      </w:divBdr>
                      <w:divsChild>
                        <w:div w:id="1067336422">
                          <w:marLeft w:val="0"/>
                          <w:marRight w:val="0"/>
                          <w:marTop w:val="0"/>
                          <w:marBottom w:val="0"/>
                          <w:divBdr>
                            <w:top w:val="none" w:sz="0" w:space="0" w:color="auto"/>
                            <w:left w:val="none" w:sz="0" w:space="0" w:color="auto"/>
                            <w:bottom w:val="none" w:sz="0" w:space="0" w:color="auto"/>
                            <w:right w:val="none" w:sz="0" w:space="0" w:color="auto"/>
                          </w:divBdr>
                          <w:divsChild>
                            <w:div w:id="8477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93372">
      <w:bodyDiv w:val="1"/>
      <w:marLeft w:val="0"/>
      <w:marRight w:val="0"/>
      <w:marTop w:val="0"/>
      <w:marBottom w:val="0"/>
      <w:divBdr>
        <w:top w:val="none" w:sz="0" w:space="0" w:color="auto"/>
        <w:left w:val="none" w:sz="0" w:space="0" w:color="auto"/>
        <w:bottom w:val="none" w:sz="0" w:space="0" w:color="auto"/>
        <w:right w:val="none" w:sz="0" w:space="0" w:color="auto"/>
      </w:divBdr>
    </w:div>
    <w:div w:id="728193854">
      <w:bodyDiv w:val="1"/>
      <w:marLeft w:val="0"/>
      <w:marRight w:val="0"/>
      <w:marTop w:val="0"/>
      <w:marBottom w:val="0"/>
      <w:divBdr>
        <w:top w:val="none" w:sz="0" w:space="0" w:color="auto"/>
        <w:left w:val="none" w:sz="0" w:space="0" w:color="auto"/>
        <w:bottom w:val="none" w:sz="0" w:space="0" w:color="auto"/>
        <w:right w:val="none" w:sz="0" w:space="0" w:color="auto"/>
      </w:divBdr>
    </w:div>
    <w:div w:id="828834521">
      <w:bodyDiv w:val="1"/>
      <w:marLeft w:val="0"/>
      <w:marRight w:val="0"/>
      <w:marTop w:val="0"/>
      <w:marBottom w:val="0"/>
      <w:divBdr>
        <w:top w:val="none" w:sz="0" w:space="0" w:color="auto"/>
        <w:left w:val="none" w:sz="0" w:space="0" w:color="auto"/>
        <w:bottom w:val="none" w:sz="0" w:space="0" w:color="auto"/>
        <w:right w:val="none" w:sz="0" w:space="0" w:color="auto"/>
      </w:divBdr>
    </w:div>
    <w:div w:id="998581086">
      <w:bodyDiv w:val="1"/>
      <w:marLeft w:val="0"/>
      <w:marRight w:val="0"/>
      <w:marTop w:val="0"/>
      <w:marBottom w:val="0"/>
      <w:divBdr>
        <w:top w:val="none" w:sz="0" w:space="0" w:color="auto"/>
        <w:left w:val="none" w:sz="0" w:space="0" w:color="auto"/>
        <w:bottom w:val="none" w:sz="0" w:space="0" w:color="auto"/>
        <w:right w:val="none" w:sz="0" w:space="0" w:color="auto"/>
      </w:divBdr>
    </w:div>
    <w:div w:id="1063680626">
      <w:bodyDiv w:val="1"/>
      <w:marLeft w:val="0"/>
      <w:marRight w:val="0"/>
      <w:marTop w:val="0"/>
      <w:marBottom w:val="0"/>
      <w:divBdr>
        <w:top w:val="none" w:sz="0" w:space="0" w:color="auto"/>
        <w:left w:val="none" w:sz="0" w:space="0" w:color="auto"/>
        <w:bottom w:val="none" w:sz="0" w:space="0" w:color="auto"/>
        <w:right w:val="none" w:sz="0" w:space="0" w:color="auto"/>
      </w:divBdr>
      <w:divsChild>
        <w:div w:id="165460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675433">
      <w:bodyDiv w:val="1"/>
      <w:marLeft w:val="0"/>
      <w:marRight w:val="0"/>
      <w:marTop w:val="0"/>
      <w:marBottom w:val="0"/>
      <w:divBdr>
        <w:top w:val="none" w:sz="0" w:space="0" w:color="auto"/>
        <w:left w:val="none" w:sz="0" w:space="0" w:color="auto"/>
        <w:bottom w:val="none" w:sz="0" w:space="0" w:color="auto"/>
        <w:right w:val="none" w:sz="0" w:space="0" w:color="auto"/>
      </w:divBdr>
      <w:divsChild>
        <w:div w:id="754520960">
          <w:marLeft w:val="0"/>
          <w:marRight w:val="0"/>
          <w:marTop w:val="0"/>
          <w:marBottom w:val="0"/>
          <w:divBdr>
            <w:top w:val="none" w:sz="0" w:space="0" w:color="auto"/>
            <w:left w:val="none" w:sz="0" w:space="0" w:color="auto"/>
            <w:bottom w:val="none" w:sz="0" w:space="0" w:color="auto"/>
            <w:right w:val="none" w:sz="0" w:space="0" w:color="auto"/>
          </w:divBdr>
          <w:divsChild>
            <w:div w:id="1775246519">
              <w:marLeft w:val="0"/>
              <w:marRight w:val="0"/>
              <w:marTop w:val="0"/>
              <w:marBottom w:val="0"/>
              <w:divBdr>
                <w:top w:val="none" w:sz="0" w:space="0" w:color="auto"/>
                <w:left w:val="none" w:sz="0" w:space="0" w:color="auto"/>
                <w:bottom w:val="none" w:sz="0" w:space="0" w:color="auto"/>
                <w:right w:val="none" w:sz="0" w:space="0" w:color="auto"/>
              </w:divBdr>
            </w:div>
          </w:divsChild>
        </w:div>
        <w:div w:id="673726781">
          <w:marLeft w:val="0"/>
          <w:marRight w:val="0"/>
          <w:marTop w:val="0"/>
          <w:marBottom w:val="0"/>
          <w:divBdr>
            <w:top w:val="none" w:sz="0" w:space="0" w:color="auto"/>
            <w:left w:val="none" w:sz="0" w:space="0" w:color="auto"/>
            <w:bottom w:val="none" w:sz="0" w:space="0" w:color="auto"/>
            <w:right w:val="none" w:sz="0" w:space="0" w:color="auto"/>
          </w:divBdr>
          <w:divsChild>
            <w:div w:id="102114214">
              <w:marLeft w:val="0"/>
              <w:marRight w:val="0"/>
              <w:marTop w:val="0"/>
              <w:marBottom w:val="0"/>
              <w:divBdr>
                <w:top w:val="none" w:sz="0" w:space="0" w:color="auto"/>
                <w:left w:val="none" w:sz="0" w:space="0" w:color="auto"/>
                <w:bottom w:val="none" w:sz="0" w:space="0" w:color="auto"/>
                <w:right w:val="none" w:sz="0" w:space="0" w:color="auto"/>
              </w:divBdr>
              <w:divsChild>
                <w:div w:id="3027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5082">
      <w:bodyDiv w:val="1"/>
      <w:marLeft w:val="0"/>
      <w:marRight w:val="0"/>
      <w:marTop w:val="0"/>
      <w:marBottom w:val="0"/>
      <w:divBdr>
        <w:top w:val="none" w:sz="0" w:space="0" w:color="auto"/>
        <w:left w:val="none" w:sz="0" w:space="0" w:color="auto"/>
        <w:bottom w:val="none" w:sz="0" w:space="0" w:color="auto"/>
        <w:right w:val="none" w:sz="0" w:space="0" w:color="auto"/>
      </w:divBdr>
    </w:div>
    <w:div w:id="1373076340">
      <w:bodyDiv w:val="1"/>
      <w:marLeft w:val="0"/>
      <w:marRight w:val="0"/>
      <w:marTop w:val="0"/>
      <w:marBottom w:val="0"/>
      <w:divBdr>
        <w:top w:val="none" w:sz="0" w:space="0" w:color="auto"/>
        <w:left w:val="none" w:sz="0" w:space="0" w:color="auto"/>
        <w:bottom w:val="none" w:sz="0" w:space="0" w:color="auto"/>
        <w:right w:val="none" w:sz="0" w:space="0" w:color="auto"/>
      </w:divBdr>
    </w:div>
    <w:div w:id="1579823275">
      <w:bodyDiv w:val="1"/>
      <w:marLeft w:val="0"/>
      <w:marRight w:val="0"/>
      <w:marTop w:val="0"/>
      <w:marBottom w:val="0"/>
      <w:divBdr>
        <w:top w:val="none" w:sz="0" w:space="0" w:color="auto"/>
        <w:left w:val="none" w:sz="0" w:space="0" w:color="auto"/>
        <w:bottom w:val="none" w:sz="0" w:space="0" w:color="auto"/>
        <w:right w:val="none" w:sz="0" w:space="0" w:color="auto"/>
      </w:divBdr>
    </w:div>
    <w:div w:id="1602494555">
      <w:bodyDiv w:val="1"/>
      <w:marLeft w:val="0"/>
      <w:marRight w:val="0"/>
      <w:marTop w:val="0"/>
      <w:marBottom w:val="0"/>
      <w:divBdr>
        <w:top w:val="none" w:sz="0" w:space="0" w:color="auto"/>
        <w:left w:val="none" w:sz="0" w:space="0" w:color="auto"/>
        <w:bottom w:val="none" w:sz="0" w:space="0" w:color="auto"/>
        <w:right w:val="none" w:sz="0" w:space="0" w:color="auto"/>
      </w:divBdr>
    </w:div>
    <w:div w:id="1607691527">
      <w:bodyDiv w:val="1"/>
      <w:marLeft w:val="0"/>
      <w:marRight w:val="0"/>
      <w:marTop w:val="0"/>
      <w:marBottom w:val="0"/>
      <w:divBdr>
        <w:top w:val="none" w:sz="0" w:space="0" w:color="auto"/>
        <w:left w:val="none" w:sz="0" w:space="0" w:color="auto"/>
        <w:bottom w:val="none" w:sz="0" w:space="0" w:color="auto"/>
        <w:right w:val="none" w:sz="0" w:space="0" w:color="auto"/>
      </w:divBdr>
    </w:div>
    <w:div w:id="1676420889">
      <w:bodyDiv w:val="1"/>
      <w:marLeft w:val="0"/>
      <w:marRight w:val="0"/>
      <w:marTop w:val="0"/>
      <w:marBottom w:val="0"/>
      <w:divBdr>
        <w:top w:val="none" w:sz="0" w:space="0" w:color="auto"/>
        <w:left w:val="none" w:sz="0" w:space="0" w:color="auto"/>
        <w:bottom w:val="none" w:sz="0" w:space="0" w:color="auto"/>
        <w:right w:val="none" w:sz="0" w:space="0" w:color="auto"/>
      </w:divBdr>
    </w:div>
    <w:div w:id="1720860565">
      <w:bodyDiv w:val="1"/>
      <w:marLeft w:val="0"/>
      <w:marRight w:val="0"/>
      <w:marTop w:val="0"/>
      <w:marBottom w:val="0"/>
      <w:divBdr>
        <w:top w:val="none" w:sz="0" w:space="0" w:color="auto"/>
        <w:left w:val="none" w:sz="0" w:space="0" w:color="auto"/>
        <w:bottom w:val="none" w:sz="0" w:space="0" w:color="auto"/>
        <w:right w:val="none" w:sz="0" w:space="0" w:color="auto"/>
      </w:divBdr>
    </w:div>
    <w:div w:id="1750468220">
      <w:bodyDiv w:val="1"/>
      <w:marLeft w:val="0"/>
      <w:marRight w:val="0"/>
      <w:marTop w:val="0"/>
      <w:marBottom w:val="0"/>
      <w:divBdr>
        <w:top w:val="none" w:sz="0" w:space="0" w:color="auto"/>
        <w:left w:val="none" w:sz="0" w:space="0" w:color="auto"/>
        <w:bottom w:val="none" w:sz="0" w:space="0" w:color="auto"/>
        <w:right w:val="none" w:sz="0" w:space="0" w:color="auto"/>
      </w:divBdr>
    </w:div>
    <w:div w:id="1860585738">
      <w:bodyDiv w:val="1"/>
      <w:marLeft w:val="0"/>
      <w:marRight w:val="0"/>
      <w:marTop w:val="0"/>
      <w:marBottom w:val="0"/>
      <w:divBdr>
        <w:top w:val="none" w:sz="0" w:space="0" w:color="auto"/>
        <w:left w:val="none" w:sz="0" w:space="0" w:color="auto"/>
        <w:bottom w:val="none" w:sz="0" w:space="0" w:color="auto"/>
        <w:right w:val="none" w:sz="0" w:space="0" w:color="auto"/>
      </w:divBdr>
    </w:div>
    <w:div w:id="192506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772/2020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20</Pages>
  <Words>20492</Words>
  <Characters>116805</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amarachi Onwuemelem</dc:creator>
  <cp:keywords/>
  <dc:description/>
  <cp:lastModifiedBy>SDI 1084</cp:lastModifiedBy>
  <cp:revision>11</cp:revision>
  <dcterms:created xsi:type="dcterms:W3CDTF">2025-05-25T17:08:00Z</dcterms:created>
  <dcterms:modified xsi:type="dcterms:W3CDTF">2025-05-26T09:44:00Z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id="3uCooJ6b"/&gt;&lt;style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