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AA91E" w14:textId="77777777" w:rsidR="007B1FFE" w:rsidRDefault="007B1FFE">
      <w:pPr>
        <w:spacing w:line="360" w:lineRule="auto"/>
        <w:jc w:val="both"/>
        <w:rPr>
          <w:rFonts w:ascii="Times New Roman" w:hAnsi="Times New Roman" w:cs="Times New Roman"/>
          <w:b/>
          <w:bCs/>
          <w:sz w:val="28"/>
          <w:szCs w:val="32"/>
        </w:rPr>
      </w:pPr>
      <w:r w:rsidRPr="007B1FFE">
        <w:rPr>
          <w:rFonts w:ascii="Times New Roman" w:hAnsi="Times New Roman" w:cs="Times New Roman"/>
          <w:b/>
          <w:bCs/>
          <w:sz w:val="28"/>
          <w:szCs w:val="32"/>
        </w:rPr>
        <w:t xml:space="preserve">Case report </w:t>
      </w:r>
    </w:p>
    <w:p w14:paraId="423B7CB5" w14:textId="77777777" w:rsidR="007B1FFE" w:rsidRDefault="007B1FFE">
      <w:pPr>
        <w:spacing w:line="360" w:lineRule="auto"/>
        <w:jc w:val="both"/>
        <w:rPr>
          <w:rFonts w:ascii="Times New Roman" w:hAnsi="Times New Roman" w:cs="Times New Roman"/>
          <w:b/>
          <w:bCs/>
          <w:sz w:val="28"/>
          <w:szCs w:val="32"/>
        </w:rPr>
      </w:pPr>
    </w:p>
    <w:p w14:paraId="1B056D40" w14:textId="1AD6EC7F" w:rsidR="00700F8E" w:rsidRPr="00A148A0" w:rsidRDefault="00574014">
      <w:pPr>
        <w:spacing w:line="360" w:lineRule="auto"/>
        <w:jc w:val="both"/>
        <w:rPr>
          <w:rFonts w:ascii="Times New Roman" w:hAnsi="Times New Roman" w:cs="Times New Roman"/>
          <w:b/>
          <w:bCs/>
          <w:sz w:val="28"/>
          <w:szCs w:val="32"/>
        </w:rPr>
      </w:pPr>
      <w:proofErr w:type="spellStart"/>
      <w:r w:rsidRPr="00A148A0">
        <w:rPr>
          <w:rFonts w:ascii="Times New Roman" w:hAnsi="Times New Roman" w:cs="Times New Roman"/>
          <w:b/>
          <w:bCs/>
          <w:sz w:val="28"/>
          <w:szCs w:val="32"/>
        </w:rPr>
        <w:t>CytoSorb</w:t>
      </w:r>
      <w:proofErr w:type="spellEnd"/>
      <w:r w:rsidRPr="00A148A0">
        <w:rPr>
          <w:rFonts w:ascii="Times New Roman" w:hAnsi="Times New Roman" w:cs="Times New Roman"/>
          <w:b/>
          <w:bCs/>
          <w:sz w:val="28"/>
          <w:szCs w:val="32"/>
        </w:rPr>
        <w:t xml:space="preserve"> and Continuous Renal Replacement Therapy in the Management of Voriconazole-Induced Toxicity and Septic Shock: A Case Report</w:t>
      </w:r>
    </w:p>
    <w:p w14:paraId="3C6C7864" w14:textId="77777777" w:rsidR="00574014" w:rsidRDefault="00574014">
      <w:pPr>
        <w:spacing w:after="0" w:line="360" w:lineRule="auto"/>
        <w:jc w:val="both"/>
        <w:rPr>
          <w:rFonts w:ascii="Times New Roman" w:hAnsi="Times New Roman" w:cs="Times New Roman"/>
          <w:b/>
          <w:bCs/>
          <w:sz w:val="28"/>
          <w:szCs w:val="28"/>
        </w:rPr>
      </w:pPr>
    </w:p>
    <w:p w14:paraId="3A3CF782" w14:textId="43FF83B4" w:rsidR="00700F8E" w:rsidRPr="00E751C4" w:rsidRDefault="00574014">
      <w:pPr>
        <w:spacing w:after="0" w:line="360" w:lineRule="auto"/>
        <w:jc w:val="both"/>
        <w:rPr>
          <w:rFonts w:ascii="Times New Roman" w:hAnsi="Times New Roman" w:cs="Times New Roman"/>
          <w:b/>
          <w:bCs/>
          <w:szCs w:val="28"/>
        </w:rPr>
      </w:pPr>
      <w:r w:rsidRPr="00E751C4">
        <w:rPr>
          <w:rFonts w:ascii="Times New Roman" w:hAnsi="Times New Roman" w:cs="Times New Roman"/>
          <w:b/>
          <w:bCs/>
          <w:szCs w:val="28"/>
        </w:rPr>
        <w:t>Abstract:</w:t>
      </w:r>
    </w:p>
    <w:p w14:paraId="4FF00619" w14:textId="3113BBAD" w:rsidR="00700F8E" w:rsidRPr="00F8612D" w:rsidRDefault="00E751C4" w:rsidP="00F8612D">
      <w:pPr>
        <w:spacing w:after="0" w:line="360" w:lineRule="auto"/>
        <w:jc w:val="both"/>
        <w:rPr>
          <w:rFonts w:ascii="Times New Roman" w:hAnsi="Times New Roman" w:cs="Times New Roman"/>
          <w:b/>
          <w:bCs/>
        </w:rPr>
      </w:pPr>
      <w:r>
        <w:rPr>
          <w:rFonts w:ascii="Times New Roman" w:hAnsi="Times New Roman" w:cs="Times New Roman"/>
          <w:b/>
          <w:bCs/>
        </w:rPr>
        <w:t>Background</w:t>
      </w:r>
      <w:r w:rsidR="00574014" w:rsidRPr="00F8612D">
        <w:rPr>
          <w:rFonts w:ascii="Times New Roman" w:hAnsi="Times New Roman" w:cs="Times New Roman"/>
        </w:rPr>
        <w:br/>
        <w:t>Drug-induced multi-organ dysfunction remains a significant clinical challenge, particularly when complicated by inflammatory cascades. Voriconazole (VR</w:t>
      </w:r>
      <w:bookmarkStart w:id="0" w:name="_GoBack"/>
      <w:bookmarkEnd w:id="0"/>
      <w:r w:rsidR="00574014" w:rsidRPr="00F8612D">
        <w:rPr>
          <w:rFonts w:ascii="Times New Roman" w:hAnsi="Times New Roman" w:cs="Times New Roman"/>
        </w:rPr>
        <w:t xml:space="preserve">C) is a widely used anti-fungal agent, but its administration can occasionally result in serious systemic toxicity. In this case report, we describe the therapeutic application of Continuous Renal Replacement Therapy (CRRT) combined with </w:t>
      </w:r>
      <w:proofErr w:type="spellStart"/>
      <w:r w:rsidR="00574014" w:rsidRPr="00F8612D">
        <w:rPr>
          <w:rFonts w:ascii="Times New Roman" w:hAnsi="Times New Roman" w:cs="Times New Roman"/>
        </w:rPr>
        <w:t>CytoSorb</w:t>
      </w:r>
      <w:proofErr w:type="spellEnd"/>
      <w:r w:rsidR="00574014" w:rsidRPr="00F8612D">
        <w:rPr>
          <w:rFonts w:ascii="Times New Roman" w:hAnsi="Times New Roman" w:cs="Times New Roman"/>
        </w:rPr>
        <w:t xml:space="preserve"> </w:t>
      </w:r>
      <w:proofErr w:type="spellStart"/>
      <w:r w:rsidR="00574014" w:rsidRPr="00F8612D">
        <w:rPr>
          <w:rFonts w:ascii="Times New Roman" w:hAnsi="Times New Roman" w:cs="Times New Roman"/>
        </w:rPr>
        <w:t>hemoadsorption</w:t>
      </w:r>
      <w:proofErr w:type="spellEnd"/>
      <w:r w:rsidR="00574014" w:rsidRPr="00F8612D">
        <w:rPr>
          <w:rFonts w:ascii="Times New Roman" w:hAnsi="Times New Roman" w:cs="Times New Roman"/>
        </w:rPr>
        <w:t xml:space="preserve"> in managing voriconazole-associated toxicity.</w:t>
      </w:r>
    </w:p>
    <w:p w14:paraId="4626DF0C" w14:textId="54B2DAB3" w:rsidR="00700F8E" w:rsidRPr="00F8612D" w:rsidRDefault="00574014" w:rsidP="00F8612D">
      <w:pPr>
        <w:spacing w:line="360" w:lineRule="auto"/>
        <w:rPr>
          <w:rFonts w:ascii="Times New Roman" w:hAnsi="Times New Roman" w:cs="Times New Roman"/>
          <w:b/>
          <w:bCs/>
        </w:rPr>
      </w:pPr>
      <w:r w:rsidRPr="00F8612D">
        <w:rPr>
          <w:rFonts w:ascii="Times New Roman" w:hAnsi="Times New Roman" w:cs="Times New Roman"/>
          <w:b/>
          <w:bCs/>
        </w:rPr>
        <w:t>Case</w:t>
      </w:r>
      <w:r w:rsidR="00F8612D">
        <w:rPr>
          <w:rFonts w:ascii="Times New Roman" w:hAnsi="Times New Roman" w:cs="Times New Roman"/>
          <w:b/>
          <w:bCs/>
        </w:rPr>
        <w:t xml:space="preserve"> </w:t>
      </w:r>
      <w:r w:rsidR="00E751C4">
        <w:rPr>
          <w:rFonts w:ascii="Times New Roman" w:hAnsi="Times New Roman" w:cs="Times New Roman"/>
          <w:b/>
          <w:bCs/>
        </w:rPr>
        <w:t>Presentation</w:t>
      </w:r>
      <w:r w:rsidRPr="00F8612D">
        <w:rPr>
          <w:rFonts w:ascii="Times New Roman" w:hAnsi="Times New Roman" w:cs="Times New Roman"/>
        </w:rPr>
        <w:br/>
        <w:t xml:space="preserve">A 34-year-old male presented with gastrointestinal and respiratory symptoms, hypotension, and evidence of multi-organ dysfunction following a </w:t>
      </w:r>
      <w:r w:rsidR="008B5813" w:rsidRPr="00F8612D">
        <w:rPr>
          <w:rFonts w:ascii="Times New Roman" w:hAnsi="Times New Roman" w:cs="Times New Roman"/>
        </w:rPr>
        <w:t>two-week</w:t>
      </w:r>
      <w:r w:rsidRPr="00F8612D">
        <w:rPr>
          <w:rFonts w:ascii="Times New Roman" w:hAnsi="Times New Roman" w:cs="Times New Roman"/>
        </w:rPr>
        <w:t xml:space="preserve"> course of oral VRC for tinea corporis. His clinical condition deteriorated with involvement of multiple organ and septic shock, necessitating admission to the intensive care unit (ICU). Laboratory investigations indicated Acute kidney injury (AKI) and Cardiac impairment. CRRT with </w:t>
      </w:r>
      <w:proofErr w:type="spellStart"/>
      <w:r w:rsidRPr="00F8612D">
        <w:rPr>
          <w:rFonts w:ascii="Times New Roman" w:hAnsi="Times New Roman" w:cs="Times New Roman"/>
        </w:rPr>
        <w:t>CytoSorb</w:t>
      </w:r>
      <w:proofErr w:type="spellEnd"/>
      <w:r w:rsidRPr="00F8612D">
        <w:rPr>
          <w:rFonts w:ascii="Times New Roman" w:hAnsi="Times New Roman" w:cs="Times New Roman"/>
        </w:rPr>
        <w:t xml:space="preserve"> was initiated to reduce the inflammatory burden. The patient also required SLED and multiple transfusions of blood products.</w:t>
      </w:r>
    </w:p>
    <w:p w14:paraId="5C47B3C3" w14:textId="0F28292F" w:rsidR="00700F8E" w:rsidRPr="00F8612D" w:rsidRDefault="00E751C4" w:rsidP="00F8612D">
      <w:pPr>
        <w:spacing w:line="360" w:lineRule="auto"/>
        <w:rPr>
          <w:rFonts w:ascii="Times New Roman" w:hAnsi="Times New Roman" w:cs="Times New Roman"/>
        </w:rPr>
      </w:pPr>
      <w:r>
        <w:rPr>
          <w:rFonts w:ascii="Times New Roman" w:hAnsi="Times New Roman" w:cs="Times New Roman"/>
          <w:b/>
          <w:bCs/>
        </w:rPr>
        <w:t>Management and Outcome</w:t>
      </w:r>
      <w:r w:rsidR="00574014" w:rsidRPr="00F8612D">
        <w:rPr>
          <w:rFonts w:ascii="Times New Roman" w:hAnsi="Times New Roman" w:cs="Times New Roman"/>
        </w:rPr>
        <w:br/>
      </w:r>
      <w:proofErr w:type="spellStart"/>
      <w:r w:rsidR="00574014" w:rsidRPr="00F8612D">
        <w:rPr>
          <w:rFonts w:ascii="Times New Roman" w:hAnsi="Times New Roman" w:cs="Times New Roman"/>
        </w:rPr>
        <w:t>CytoSorb</w:t>
      </w:r>
      <w:proofErr w:type="spellEnd"/>
      <w:r w:rsidR="00574014" w:rsidRPr="00F8612D">
        <w:rPr>
          <w:rFonts w:ascii="Times New Roman" w:hAnsi="Times New Roman" w:cs="Times New Roman"/>
        </w:rPr>
        <w:t xml:space="preserve"> therapy was integrated into the CRRT circuit to target the suspected cytokine-driven inflammatory process. Over the course of treatment, the patient's hemodynamic and biochemical parameters improved gradually. The intervention appeared to help control systemic inflammation, supporting organ function, and improving overall clinical stability. </w:t>
      </w:r>
    </w:p>
    <w:p w14:paraId="45C828F7" w14:textId="03D923B1" w:rsidR="00700F8E" w:rsidRPr="00F8612D" w:rsidRDefault="00E751C4" w:rsidP="00F8612D">
      <w:pPr>
        <w:spacing w:line="360" w:lineRule="auto"/>
        <w:jc w:val="both"/>
        <w:rPr>
          <w:rFonts w:ascii="Times New Roman" w:hAnsi="Times New Roman" w:cs="Times New Roman"/>
          <w:b/>
          <w:bCs/>
        </w:rPr>
      </w:pPr>
      <w:r>
        <w:rPr>
          <w:rFonts w:ascii="Times New Roman" w:hAnsi="Times New Roman" w:cs="Times New Roman"/>
          <w:b/>
          <w:bCs/>
        </w:rPr>
        <w:t>Conclusion</w:t>
      </w:r>
      <w:r w:rsidR="00574014" w:rsidRPr="00F8612D">
        <w:rPr>
          <w:rFonts w:ascii="Times New Roman" w:hAnsi="Times New Roman" w:cs="Times New Roman"/>
        </w:rPr>
        <w:br/>
        <w:t xml:space="preserve">This case highlights the potential role of </w:t>
      </w:r>
      <w:proofErr w:type="spellStart"/>
      <w:r w:rsidR="00574014" w:rsidRPr="00F8612D">
        <w:rPr>
          <w:rFonts w:ascii="Times New Roman" w:hAnsi="Times New Roman" w:cs="Times New Roman"/>
        </w:rPr>
        <w:t>CytoSorb</w:t>
      </w:r>
      <w:proofErr w:type="spellEnd"/>
      <w:r w:rsidR="00574014" w:rsidRPr="00F8612D">
        <w:rPr>
          <w:rFonts w:ascii="Times New Roman" w:hAnsi="Times New Roman" w:cs="Times New Roman"/>
        </w:rPr>
        <w:t xml:space="preserve"> </w:t>
      </w:r>
      <w:proofErr w:type="spellStart"/>
      <w:r w:rsidR="00574014" w:rsidRPr="00F8612D">
        <w:rPr>
          <w:rFonts w:ascii="Times New Roman" w:hAnsi="Times New Roman" w:cs="Times New Roman"/>
        </w:rPr>
        <w:t>hemoadsorption</w:t>
      </w:r>
      <w:proofErr w:type="spellEnd"/>
      <w:r w:rsidR="00574014" w:rsidRPr="00F8612D">
        <w:rPr>
          <w:rFonts w:ascii="Times New Roman" w:hAnsi="Times New Roman" w:cs="Times New Roman"/>
        </w:rPr>
        <w:t xml:space="preserve"> in combination with CRRT as an adjunctive approach for managing drug-induced multi-organ dysfunction. While further studies </w:t>
      </w:r>
      <w:r w:rsidR="00574014" w:rsidRPr="00F8612D">
        <w:rPr>
          <w:rFonts w:ascii="Times New Roman" w:hAnsi="Times New Roman" w:cs="Times New Roman"/>
        </w:rPr>
        <w:lastRenderedPageBreak/>
        <w:t xml:space="preserve">are needed, this case adds to the growing interest in </w:t>
      </w:r>
      <w:proofErr w:type="spellStart"/>
      <w:r w:rsidR="00574014" w:rsidRPr="00F8612D">
        <w:rPr>
          <w:rFonts w:ascii="Times New Roman" w:hAnsi="Times New Roman" w:cs="Times New Roman"/>
        </w:rPr>
        <w:t>hemoadsorption</w:t>
      </w:r>
      <w:proofErr w:type="spellEnd"/>
      <w:r w:rsidR="00574014" w:rsidRPr="00F8612D">
        <w:rPr>
          <w:rFonts w:ascii="Times New Roman" w:hAnsi="Times New Roman" w:cs="Times New Roman"/>
        </w:rPr>
        <w:t xml:space="preserve"> as a supportive measure in critical care.</w:t>
      </w:r>
    </w:p>
    <w:p w14:paraId="2AD85F80" w14:textId="77777777" w:rsidR="00700F8E" w:rsidRPr="00F8612D" w:rsidRDefault="00574014" w:rsidP="00F8612D">
      <w:pPr>
        <w:spacing w:line="360" w:lineRule="auto"/>
        <w:jc w:val="both"/>
        <w:rPr>
          <w:rFonts w:ascii="Times New Roman" w:hAnsi="Times New Roman" w:cs="Times New Roman"/>
        </w:rPr>
      </w:pPr>
      <w:r w:rsidRPr="00F8612D">
        <w:rPr>
          <w:rFonts w:ascii="Times New Roman" w:hAnsi="Times New Roman" w:cs="Times New Roman"/>
          <w:b/>
          <w:bCs/>
        </w:rPr>
        <w:t>Keywords:</w:t>
      </w:r>
      <w:r w:rsidRPr="00F8612D">
        <w:rPr>
          <w:rFonts w:ascii="Times New Roman" w:hAnsi="Times New Roman" w:cs="Times New Roman"/>
        </w:rPr>
        <w:t xml:space="preserve"> Voriconazole, Adverse drug reaction, AKI, </w:t>
      </w:r>
      <w:proofErr w:type="spellStart"/>
      <w:r w:rsidRPr="00F8612D">
        <w:rPr>
          <w:rFonts w:ascii="Times New Roman" w:hAnsi="Times New Roman" w:cs="Times New Roman"/>
        </w:rPr>
        <w:t>CytoSorb</w:t>
      </w:r>
      <w:proofErr w:type="spellEnd"/>
      <w:r w:rsidRPr="00F8612D">
        <w:rPr>
          <w:rFonts w:ascii="Times New Roman" w:hAnsi="Times New Roman" w:cs="Times New Roman"/>
        </w:rPr>
        <w:t>, CRRT, Septic shock, Left ventricular dysfunction</w:t>
      </w:r>
    </w:p>
    <w:p w14:paraId="49D48E30" w14:textId="53CD0C8F" w:rsidR="00700F8E" w:rsidRDefault="00574014" w:rsidP="00F8612D">
      <w:pPr>
        <w:spacing w:line="360" w:lineRule="auto"/>
        <w:jc w:val="both"/>
        <w:rPr>
          <w:rFonts w:ascii="Times New Roman" w:hAnsi="Times New Roman" w:cs="Times New Roman"/>
        </w:rPr>
      </w:pPr>
      <w:r w:rsidRPr="00F8612D">
        <w:rPr>
          <w:rFonts w:ascii="Times New Roman" w:hAnsi="Times New Roman" w:cs="Times New Roman"/>
        </w:rPr>
        <w:t xml:space="preserve"> </w:t>
      </w:r>
    </w:p>
    <w:p w14:paraId="7C67B0F9" w14:textId="77777777" w:rsidR="00574014" w:rsidRPr="00F8612D" w:rsidRDefault="00574014" w:rsidP="00F8612D">
      <w:pPr>
        <w:spacing w:line="360" w:lineRule="auto"/>
        <w:jc w:val="both"/>
        <w:rPr>
          <w:rFonts w:ascii="Times New Roman" w:hAnsi="Times New Roman" w:cs="Times New Roman"/>
        </w:rPr>
      </w:pPr>
    </w:p>
    <w:p w14:paraId="7A5F955C" w14:textId="3B3C9F16" w:rsidR="00700F8E" w:rsidRPr="00F8612D" w:rsidRDefault="00574014" w:rsidP="00F8612D">
      <w:pPr>
        <w:spacing w:line="360" w:lineRule="auto"/>
        <w:jc w:val="both"/>
        <w:rPr>
          <w:rFonts w:ascii="Times New Roman" w:hAnsi="Times New Roman" w:cs="Times New Roman"/>
          <w:b/>
          <w:bCs/>
        </w:rPr>
      </w:pPr>
      <w:r w:rsidRPr="00F8612D">
        <w:rPr>
          <w:rFonts w:ascii="Times New Roman" w:hAnsi="Times New Roman" w:cs="Times New Roman"/>
          <w:b/>
          <w:bCs/>
        </w:rPr>
        <w:t>I</w:t>
      </w:r>
      <w:r w:rsidR="00E751C4" w:rsidRPr="00F8612D">
        <w:rPr>
          <w:rFonts w:ascii="Times New Roman" w:hAnsi="Times New Roman" w:cs="Times New Roman"/>
          <w:b/>
          <w:bCs/>
        </w:rPr>
        <w:t>ntroduction</w:t>
      </w:r>
      <w:r w:rsidRPr="00F8612D">
        <w:rPr>
          <w:rFonts w:ascii="Times New Roman" w:hAnsi="Times New Roman" w:cs="Times New Roman"/>
          <w:b/>
          <w:bCs/>
        </w:rPr>
        <w:t>:</w:t>
      </w:r>
    </w:p>
    <w:p w14:paraId="3FF1E707" w14:textId="0388DADD" w:rsidR="00700F8E" w:rsidRPr="00F8612D" w:rsidRDefault="00574014" w:rsidP="00F8612D">
      <w:pPr>
        <w:spacing w:line="360" w:lineRule="auto"/>
        <w:jc w:val="both"/>
        <w:rPr>
          <w:rFonts w:ascii="Times New Roman" w:hAnsi="Times New Roman" w:cs="Times New Roman"/>
        </w:rPr>
      </w:pPr>
      <w:r w:rsidRPr="00F8612D">
        <w:rPr>
          <w:rFonts w:ascii="Times New Roman" w:hAnsi="Times New Roman" w:cs="Times New Roman"/>
        </w:rPr>
        <w:t xml:space="preserve">Adverse drug reactions result in organ toxicity and continue to pose a major concern in clinical medicine. Among the most serious manifestations is drug-induced oxidative stress, a mechanism implicated in the pathogenesis of liver, kidney, and cardiovascular injury </w:t>
      </w:r>
      <w:sdt>
        <w:sdtPr>
          <w:rPr>
            <w:rFonts w:ascii="Times New Roman" w:hAnsi="Times New Roman" w:cs="Times New Roman"/>
            <w:color w:val="000000"/>
          </w:rPr>
          <w:tag w:val="MENDELEY_CITATION_v3_eyJjaXRhdGlvbklEIjoiTUVOREVMRVlfQ0lUQVRJT05fMmIwNWFjOTQtYjQ1NC00YmY2LThiZDMtYzEwYmIyOWY5MmExIiwicHJvcGVydGllcyI6eyJub3RlSW5kZXgiOjB9LCJpc0VkaXRlZCI6ZmFsc2UsIm1hbnVhbE92ZXJyaWRlIjp7ImlzTWFudWFsbHlPdmVycmlkZGVuIjpmYWxzZSwiY2l0ZXByb2NUZXh0IjoiKDEpIiwibWFudWFsT3ZlcnJpZGVUZXh0IjoiIn0sImNpdGF0aW9uSXRlbXMiOlt7ImlkIjoiNzlmODFlOTUtZjM4Yy0zMDM3LWE5ZTYtMzVjYzZlOGNhNjA3IiwiaXRlbURhdGEiOnsidHlwZSI6ImFydGljbGUtam91cm5hbCIsImlkIjoiNzlmODFlOTUtZjM4Yy0zMDM3LWE5ZTYtMzVjYzZlOGNhNjA3IiwidGl0bGUiOiJEcnVnLUluZHVjZWQgT3hpZGF0aXZlIFN0cmVzcyBhbmQgVG94aWNpdHkiLCJhdXRob3IiOlt7ImZhbWlseSI6IkRlYXZhbGwiLCJnaXZlbiI6IkRhbWlhbiBHLiIsInBhcnNlLW5hbWVzIjpmYWxzZSwiZHJvcHBpbmctcGFydGljbGUiOiIiLCJub24tZHJvcHBpbmctcGFydGljbGUiOiIifSx7ImZhbWlseSI6Ik1hcnRpbiIsImdpdmVuIjoiRWxpemFiZXRoIEEuIiwicGFyc2UtbmFtZXMiOmZhbHNlLCJkcm9wcGluZy1wYXJ0aWNsZSI6IiIsIm5vbi1kcm9wcGluZy1wYXJ0aWNsZSI6IiJ9LHsiZmFtaWx5IjoiSG9ybmVyIiwiZ2l2ZW4iOiJKdWRpdGggTS4iLCJwYXJzZS1uYW1lcyI6ZmFsc2UsImRyb3BwaW5nLXBhcnRpY2xlIjoiIiwibm9uLWRyb3BwaW5nLXBhcnRpY2xlIjoiIn0seyJmYW1pbHkiOiJSb2JlcnRzIiwiZ2l2ZW4iOiJSdXRoIiwicGFyc2UtbmFtZXMiOmZhbHNlLCJkcm9wcGluZy1wYXJ0aWNsZSI6IiIsIm5vbi1kcm9wcGluZy1wYXJ0aWNsZSI6IiJ9XSwiY29udGFpbmVyLXRpdGxlIjoiSm91cm5hbCBvZiBUb3hpY29sb2d5IiwiY29udGFpbmVyLXRpdGxlLXNob3J0IjoiSiBUb3hpY29sIiwiRE9JIjoiMTAuMTE1NS8yMDEyLzY0NTQ2MCIsIklTU04iOiIxNjg3LTgxOTEiLCJpc3N1ZWQiOnsiZGF0ZS1wYXJ0cyI6W1syMDEyXV19LCJwYWdlIjoiMS0xMyIsImFic3RyYWN0IjoiPHA+UmVhY3RpdmUgb3h5Z2VuIHNwZWNpZXMgKFJPUykgYXJlIGEgYnlwcm9kdWN0IG9mIG5vcm1hbCBtZXRhYm9saXNtIGFuZCBoYXZlIHJvbGVzIGluIGNlbGwgc2lnbmFsaW5nIGFuZCBob21lb3N0YXNpcy4gU3BlY2llcyBpbmNsdWRlIG94eWdlbiByYWRpY2FscyBhbmQgcmVhY3RpdmUgbm9ucmFkaWNhbHMuIE1lY2hhbmlzbXMgZXhpc3QgdGhhdCByZWd1bGF0ZSBjZWxsdWxhciBsZXZlbHMgb2YgUk9TLCBhcyB0aGVpciByZWFjdGl2ZSBuYXR1cmUgbWF5IG90aGVyd2lzZSBjYXVzZSBkYW1hZ2UgdG8ga2V5IGNlbGx1bGFyIGNvbXBvbmVudHMgaW5jbHVkaW5nIEROQSwgcHJvdGVpbiwgYW5kIGxpcGlkLiBXaGVuIHRoZSBjZWxsdWxhciBhbnRpb3hpZGFudCBjYXBhY2l0eSBpcyBleGNlZWRlZCwgb3hpZGF0aXZlIHN0cmVzcyBjYW4gcmVzdWx0LiBQbGVpb3Ryb3BpYyBkZWxldGVyaW91cyBlZmZlY3RzIG9mIG94aWRhdGl2ZSBzdHJlc3MgYXJlIG9ic2VydmVkIGluIG51bWVyb3VzIGRpc2Vhc2Ugc3RhdGVzIGFuZCBhcmUgYWxzbyBpbXBsaWNhdGVkIGluIGEgdmFyaWV0eSBvZiBkcnVnLWluZHVjZWQgdG94aWNpdGllcy4gSW4gdGhpcyBwYXBlciwgd2UgZXhhbWluZSB0aGUgbmF0dXJlIG9mIFJPUy1pbmR1Y2VkIGRhbWFnZSBvbiBrZXkgY2VsbHVsYXIgdGFyZ2V0cyBvZiBveGlkYXRpdmUgc3RyZXNzLiBXZSBhbHNvIHJldmlldyBldmlkZW5jZSBpbXBsaWNhdGluZyBST1MgaW4gY2xpbmljYWxseSByZWxldmFudCwgZHJ1Zy1yZWxhdGVkIHNpZGUgZWZmZWN0cyBpbmNsdWRpbmcgZG94b3J1YmljaW4taW5kdWNlZCBjYXJkaWFjIGRhbWFnZSwgYXppZG90aHltaWRpbmUtaW5kdWNlZCBteW9wYXRoeSwgYW5kIGNpc3BsYXRpbi1pbmR1Y2VkIG90b3RveGljaXR5LjwvcD4iLCJ2b2x1bWUiOiIyMDEyIn0sImlzVGVtcG9yYXJ5IjpmYWxzZX1dfQ=="/>
          <w:id w:val="-246192350"/>
          <w:placeholder>
            <w:docPart w:val="DefaultPlaceholder_-1854013440"/>
          </w:placeholder>
        </w:sdtPr>
        <w:sdtEndPr/>
        <w:sdtContent>
          <w:r w:rsidR="00145B6F" w:rsidRPr="00145B6F">
            <w:rPr>
              <w:rFonts w:ascii="Times New Roman" w:hAnsi="Times New Roman" w:cs="Times New Roman"/>
              <w:color w:val="000000"/>
            </w:rPr>
            <w:t>(1)</w:t>
          </w:r>
        </w:sdtContent>
      </w:sdt>
      <w:r w:rsidRPr="00F8612D">
        <w:rPr>
          <w:rFonts w:ascii="Times New Roman" w:hAnsi="Times New Roman" w:cs="Times New Roman"/>
          <w:color w:val="000000"/>
        </w:rPr>
        <w:t>.</w:t>
      </w:r>
      <w:r w:rsidRPr="00F8612D">
        <w:rPr>
          <w:rFonts w:ascii="Times New Roman" w:hAnsi="Times New Roman" w:cs="Times New Roman"/>
        </w:rPr>
        <w:t xml:space="preserve"> A study shows that more than 20% of hospital admissions for acute liver failure in adults in the United States are attributed to drug-induced hepatotoxicity, underscoring the clinical impact of medication-related organ injury </w:t>
      </w:r>
      <w:sdt>
        <w:sdtPr>
          <w:rPr>
            <w:rFonts w:ascii="Times New Roman" w:hAnsi="Times New Roman" w:cs="Times New Roman"/>
            <w:color w:val="000000"/>
          </w:rPr>
          <w:tag w:val="MENDELEY_CITATION_v3_eyJjaXRhdGlvbklEIjoiTUVOREVMRVlfQ0lUQVRJT05fODVjYjk0ZjctOWVhMi00ZjlkLTg5NWUtZTkzNTA2NTBiNjc3IiwicHJvcGVydGllcyI6eyJub3RlSW5kZXgiOjB9LCJpc0VkaXRlZCI6ZmFsc2UsIm1hbnVhbE92ZXJyaWRlIjp7ImlzTWFudWFsbHlPdmVycmlkZGVuIjpmYWxzZSwiY2l0ZXByb2NUZXh0IjoiKDIsMykiLCJtYW51YWxPdmVycmlkZVRleHQiOiIifSwiY2l0YXRpb25JdGVtcyI6W3siaWQiOiIzMmZhNjA5Ni1iYjZhLTM5NmYtOTZkNC03MTU5NzY2ODFjMmMiLCJpdGVtRGF0YSI6eyJ0eXBlIjoiYXJ0aWNsZS1qb3VybmFsIiwiaWQiOiIzMmZhNjA5Ni1iYjZhLTM5NmYtOTZkNC03MTU5NzY2ODFjMmMiLCJ0aXRsZSI6IkRydWfigJByZWxhdGVkIEhlcGF0b3RveGljaXR5IGFuZCBBY3V0ZSBMaXZlciBGYWlsdXJlIiwiYXV0aG9yIjpbeyJmYW1pbHkiOiJNdXJyYXkiLCJnaXZlbiI6IkthcmVuIEYiLCJwYXJzZS1uYW1lcyI6ZmFsc2UsImRyb3BwaW5nLXBhcnRpY2xlIjoiIiwibm9uLWRyb3BwaW5nLXBhcnRpY2xlIjoiIn0seyJmYW1pbHkiOiJIYWR6aWMiLCJnaXZlbiI6Ik5lZGltIiwicGFyc2UtbmFtZXMiOmZhbHNlLCJkcm9wcGluZy1wYXJ0aWNsZSI6IiIsIm5vbi1kcm9wcGluZy1wYXJ0aWNsZSI6IiJ9LHsiZmFtaWx5IjoiV2lydGgiLCJnaXZlbiI6IlN0ZWZhbiIsInBhcnNlLW5hbWVzIjpmYWxzZSwiZHJvcHBpbmctcGFydGljbGUiOiIiLCJub24tZHJvcHBpbmctcGFydGljbGUiOiIifSx7ImZhbWlseSI6IkJhc3NldHQiLCJnaXZlbiI6Ik1pa2VsbGUiLCJwYXJzZS1uYW1lcyI6ZmFsc2UsImRyb3BwaW5nLXBhcnRpY2xlIjoiIiwibm9uLWRyb3BwaW5nLXBhcnRpY2xlIjoiIn0seyJmYW1pbHkiOiJLZWxseSIsImdpdmVuIjoiRGVpcmRyZSIsInBhcnNlLW5hbWVzIjpmYWxzZSwiZHJvcHBpbmctcGFydGljbGUiOiIiLCJub24tZHJvcHBpbmctcGFydGljbGUiOiIifV0sImNvbnRhaW5lci10aXRsZSI6IkpvdXJuYWwgb2YgUGVkaWF0cmljIEdhc3Ryb2VudGVyb2xvZ3kgYW5kIE51dHJpdGlvbiIsImNvbnRhaW5lci10aXRsZS1zaG9ydCI6IkogUGVkaWF0ciBHYXN0cm9lbnRlcm9sIE51dHIiLCJET0kiOiIxMC4xMDk3L01QRy4wYjAxM2UzMTgxNzA5NDY0IiwiSVNTTiI6IjAyNzctMjExNiIsImlzc3VlZCI6eyJkYXRlLXBhcnRzIjpbWzIwMDgsMTBdXX0sInBhZ2UiOiIzOTUtNDA1IiwiaXNzdWUiOiI0Iiwidm9sdW1lIjoiNDcifSwiaXNUZW1wb3JhcnkiOmZhbHNlfSx7ImlkIjoiZDRhMTliN2EtZjAwYS0zNjEzLWI2MWUtYTk4ZjVlMTEzZDg1IiwiaXRlbURhdGEiOnsidHlwZSI6ImFydGljbGUtam91cm5hbCIsImlkIjoiZDRhMTliN2EtZjAwYS0zNjEzLWI2MWUtYTk4ZjVlMTEzZDg1IiwidGl0bGUiOiJWb3JpY29uYXpvbGUiLCJhdXRob3IiOlt7ImZhbWlseSI6IkpldSIsImdpdmVuIjoiTGlseUFubiIsInBhcnNlLW5hbWVzIjpmYWxzZSwiZHJvcHBpbmctcGFydGljbGUiOiIiLCJub24tZHJvcHBpbmctcGFydGljbGUiOiIifSx7ImZhbWlseSI6IlBpYWNlbnRpIiwiZ2l2ZW4iOiJGcmFuayBKLiIsInBhcnNlLW5hbWVzIjpmYWxzZSwiZHJvcHBpbmctcGFydGljbGUiOiIiLCJub24tZHJvcHBpbmctcGFydGljbGUiOiIifSx7ImZhbWlseSI6Ikx5YWtob3ZldHNraXkiLCJnaXZlbiI6IkFsZWtzYW5kciBHLiIsInBhcnNlLW5hbWVzIjpmYWxzZSwiZHJvcHBpbmctcGFydGljbGUiOiIiLCJub24tZHJvcHBpbmctcGFydGljbGUiOiIifSx7ImZhbWlseSI6IkZ1bmciLCJnaXZlbiI6IkhvcmF0aW8gQi4iLCJwYXJzZS1uYW1lcyI6ZmFsc2UsImRyb3BwaW5nLXBhcnRpY2xlIjoiIiwibm9uLWRyb3BwaW5nLXBhcnRpY2xlIjoiIn1dLCJjb250YWluZXItdGl0bGUiOiJDbGluaWNhbCBUaGVyYXBldXRpY3MiLCJjb250YWluZXItdGl0bGUtc2hvcnQiOiJDbGluIFRoZXIiLCJET0kiOiIxMC4xMDE2L1MwMTQ5LTI5MTgoMDMpODAxMjYtMSIsIklTU04iOiIwMTQ5MjkxOCIsImlzc3VlZCI6eyJkYXRlLXBhcnRzIjpbWzIwMDMsNV1dfSwicGFnZSI6IjEzMjEtMTM4MSIsImlzc3VlIjoiNSIsInZvbHVtZSI6IjI1In0sImlzVGVtcG9yYXJ5IjpmYWxzZX1dfQ=="/>
          <w:id w:val="542482708"/>
          <w:placeholder>
            <w:docPart w:val="DefaultPlaceholder_-1854013440"/>
          </w:placeholder>
        </w:sdtPr>
        <w:sdtEndPr/>
        <w:sdtContent>
          <w:r w:rsidR="00145B6F" w:rsidRPr="00145B6F">
            <w:rPr>
              <w:rFonts w:ascii="Times New Roman" w:hAnsi="Times New Roman" w:cs="Times New Roman"/>
              <w:color w:val="000000"/>
            </w:rPr>
            <w:t>(2,3)</w:t>
          </w:r>
        </w:sdtContent>
      </w:sdt>
      <w:r w:rsidRPr="00F8612D">
        <w:rPr>
          <w:rFonts w:ascii="Times New Roman" w:hAnsi="Times New Roman" w:cs="Times New Roman"/>
          <w:color w:val="000000"/>
        </w:rPr>
        <w:t>.</w:t>
      </w:r>
      <w:r w:rsidRPr="00F8612D">
        <w:rPr>
          <w:rFonts w:ascii="Times New Roman" w:hAnsi="Times New Roman" w:cs="Times New Roman"/>
        </w:rPr>
        <w:t xml:space="preserve"> VRC works by inhibiting the cytochrome P450 (CYP) dependent enzyme 14-alpha-sterol demethylase, which disrupts fungal cell membrane synthesis and ultimately stops fungal growth. In large randomized clinical trials, it has proven to be an effective and generally well-tolerated first-line treatment for invasive fungal infections such as candidiasis and aspergillosis in adults </w:t>
      </w:r>
      <w:sdt>
        <w:sdtPr>
          <w:rPr>
            <w:rFonts w:ascii="Times New Roman" w:hAnsi="Times New Roman" w:cs="Times New Roman"/>
            <w:color w:val="000000"/>
          </w:rPr>
          <w:tag w:val="MENDELEY_CITATION_v3_eyJjaXRhdGlvbklEIjoiTUVOREVMRVlfQ0lUQVRJT05fMjRjNzRiZmQtYjU2Yi00ODQ2LWFjYTUtODI4NmY2M2M3NjYzIiwicHJvcGVydGllcyI6eyJub3RlSW5kZXgiOjB9LCJpc0VkaXRlZCI6ZmFsc2UsIm1hbnVhbE92ZXJyaWRlIjp7ImlzTWFudWFsbHlPdmVycmlkZGVuIjpmYWxzZSwiY2l0ZXByb2NUZXh0IjoiKDTigJM2KSIsIm1hbnVhbE92ZXJyaWRlVGV4dCI6IiJ9LCJjaXRhdGlvbkl0ZW1zIjpbeyJpZCI6IjEwYzM3YmQxLWE3NjQtM2JhNi1hNGVlLWZhZWZjNDNkZDFhYyIsIml0ZW1EYXRhIjp7InR5cGUiOiJhcnRpY2xlLWpvdXJuYWwiLCJpZCI6IjEwYzM3YmQxLWE3NjQtM2JhNi1hNGVlLWZhZWZjNDNkZDFhYyIsInRpdGxlIjoiVm9yaWNvbmF6b2xlIiwiYXV0aG9yIjpbeyJmYW1pbHkiOiJTY290dCIsImdpdmVuIjoiTGVzbGV5IEoiLCJwYXJzZS1uYW1lcyI6ZmFsc2UsImRyb3BwaW5nLXBhcnRpY2xlIjoiIiwibm9uLWRyb3BwaW5nLXBhcnRpY2xlIjoiIn0seyJmYW1pbHkiOiJTaW1wc29uIiwiZ2l2ZW4iOiJEZW5lIiwicGFyc2UtbmFtZXMiOmZhbHNlLCJkcm9wcGluZy1wYXJ0aWNsZSI6IiIsIm5vbi1kcm9wcGluZy1wYXJ0aWNsZSI6IiJ9XSwiY29udGFpbmVyLXRpdGxlIjoiRHJ1Z3MiLCJjb250YWluZXItdGl0bGUtc2hvcnQiOiJEcnVncyIsIkRPSSI6IjEwLjIxNjUvMDAwMDM0OTUtMjAwNzY3MDIwLTAwMDA5IiwiSVNTTiI6IjAwMTItNjY2NyIsImlzc3VlZCI6eyJkYXRlLXBhcnRzIjpbWzIwMDddXX0sInBhZ2UiOiIyNjktMjk4IiwiaXNzdWUiOiIyIiwidm9sdW1lIjoiNjcifSwiaXNUZW1wb3JhcnkiOmZhbHNlLCJzdXBwcmVzcy1hdXRob3IiOmZhbHNlLCJjb21wb3NpdGUiOmZhbHNlLCJhdXRob3Itb25seSI6ZmFsc2V9LHsiaWQiOiJmMDhhNjViOC00MjRjLTM2MTEtYjAxNi02NmYyYTU5ZTIwY2UiLCJpdGVtRGF0YSI6eyJ0eXBlIjoiYXJ0aWNsZS1qb3VybmFsIiwiaWQiOiJmMDhhNjViOC00MjRjLTM2MTEtYjAxNi02NmYyYTU5ZTIwY2UiLCJ0aXRsZSI6IkludmVzdGlnYXRpb24gb2YgdGhlIFBvdGVudGlhbCBSZWxhdGlvbnNoaXBzIEJldHdlZW4gUGxhc21hIFZvcmljb25hem9sZSBDb25jZW50cmF0aW9ucyBhbmQgVmlzdWFsIEFkdmVyc2UgRXZlbnRzIG9yIExpdmVyIEZ1bmN0aW9uIFRlc3QgQWJub3JtYWxpdGllcyIsImF1dGhvciI6W3siZmFtaWx5IjoiVGFuIiwiZ2l2ZW4iOiJLZWl0aCIsInBhcnNlLW5hbWVzIjpmYWxzZSwiZHJvcHBpbmctcGFydGljbGUiOiIiLCJub24tZHJvcHBpbmctcGFydGljbGUiOiIifSx7ImZhbWlseSI6IkJyYXlzaGF3IiwiZ2l2ZW4iOiJOaWdlbCIsInBhcnNlLW5hbWVzIjpmYWxzZSwiZHJvcHBpbmctcGFydGljbGUiOiIiLCJub24tZHJvcHBpbmctcGFydGljbGUiOiIifSx7ImZhbWlseSI6IlRvbWFzemV3c2tpIiwiZ2l2ZW4iOiJLb25yYWQiLCJwYXJzZS1uYW1lcyI6ZmFsc2UsImRyb3BwaW5nLXBhcnRpY2xlIjoiIiwibm9uLWRyb3BwaW5nLXBhcnRpY2xlIjoiIn0seyJmYW1pbHkiOiJUcm9rZSIsImdpdmVuIjoiUGV0ZXIiLCJwYXJzZS1uYW1lcyI6ZmFsc2UsImRyb3BwaW5nLXBhcnRpY2xlIjoiIiwibm9uLWRyb3BwaW5nLXBhcnRpY2xlIjoiIn0seyJmYW1pbHkiOiJXb29kIiwiZ2l2ZW4iOiJOb2xhbiIsInBhcnNlLW5hbWVzIjpmYWxzZSwiZHJvcHBpbmctcGFydGljbGUiOiIiLCJub24tZHJvcHBpbmctcGFydGljbGUiOiIifV0sImNvbnRhaW5lci10aXRsZSI6IlRoZSBKb3VybmFsIG9mIENsaW5pY2FsIFBoYXJtYWNvbG9neSIsIkRPSSI6IjEwLjExNzcvMDA5MTI3MDAwNTI4MzgzNyIsIklTU04iOiIwMDkxLTI3MDAiLCJpc3N1ZWQiOnsiZGF0ZS1wYXJ0cyI6W1syMDA2LDIsOF1dfSwicGFnZSI6IjIzNS0yNDMiLCJhYnN0cmFjdCI6IjxwPiBUaGlzIHN0dWR5IGludmVzdGlnYXRlZCB0aGUgcmVsYXRpb25zaGlwIGJldHdlZW4gcGxhc21hIHZvcmljb25hem9sZSBjb25jZW50cmF0aW9ucyAocFZDKSBhbmQgcmlzayBvZiB2aXN1YWwgYWR2ZXJzZSBldmVudHMgKFZBRXMpIG9yIGxpdmVyIGZ1bmN0aW9uIHRlc3QgKExGVCkgYWJub3JtYWxpdGllcyB1c2luZyBsb25naXR1ZGluYWwgbG9naXN0aWMgcmVncmVzc2lvbi4gU2V2ZW7igJBkYXkgbWVhbiBwVkMgd2VyZSBjYWxjdWxhdGVkIGZyb20gMjkyNSBwbGFzbWEgc2FtcGxlcyAoMTA1MyBwYXRpZW50cyk7IGluIGVhY2ggN+KAkGRheSBwZXJpb2QsIHRoZSBwcmVzZW5jZSBvciBhYnNlbmNlIG9mIFZBRXMvYWJub3JtYWwgTEZUcyB3YXMgYW5hbHl6ZWQgYXMgYSBiaW5hcnkgb3V0Y29tZSB2YXJpYWJsZS4gVGhlcmUgd2FzIGEgcmVsYXRpb25zaGlwIGJldHdlZW4gcFZDIGFuZCByaXNrIG9mIFZBRSAoIDxpdGFsaWM+UDwvaXRhbGljPiA9IC4wMTEpIGFuZCBhIHdlYWtlciwgYnV0IHN0YXRpc3RpY2FsbHkgc2lnbmlmaWNhbnQsIGFzc29jaWF0aW9uIHdpdGggcmlzayBvZiBhc3BhcnRhdGUgdHJhbnNhbWluYXNlIChBU1QpLCBhbGthbGluZSBwaG9zcGhhdGFzZSAoQUxQKSwgb3IgYmlsaXJ1YmluIGJ1dCBub3QgYWxhbmluZSB0cmFuc2FtaW5hc2UgKEFMVCkgYWJub3JtYWxpdGllcy4gVGhlIG9kZHMgcmF0aW9zIG9mIExGVCBhYm5vcm1hbGl0aWVzIHBlciAxIM68Zy9tTCBwVkMgaW5jcmVhc2UgcmFuZ2VkIGZyb20gMS4wNyB0byAxLjE3LiBNYXhpbXVtIHdlZWtseSBvY2N1cnJlbmNlcyB3ZXJlIDEwJSwgOCUsIDUlLCBhbmQgMTQlIGZvciBBU1QsIEFMVCwgQUxQLCBhbmQgYmlsaXJ1YmluIGFibm9ybWFsaXRpZXMsIHJlc3BlY3RpdmVseS4gUmVjZWl2ZXLigJBvcGVyYXRpbmcgY2hhcmFjdGVyaXN0aWMgY3VydmUgYW5hbHlzaXMgaW5kaWNhdGVzIHRoYXQgaW5kaXZpZHVhbCBwVkMgY2Fubm90IGJlIHVzZWQgdG8gcHJlZGljdCBzdWJzZXF1ZW50IExGVCBhYm5vcm1hbGl0aWVzLiA8L3A+IiwiaXNzdWUiOiIyIiwidm9sdW1lIjoiNDYifSwiaXNUZW1wb3JhcnkiOmZhbHNlfSx7ImlkIjoiNjNlYjUyMGYtNWNlYi0zZmI0LTkwNjgtYjVhOTRlN2U0ZTAwIiwiaXRlbURhdGEiOnsidHlwZSI6ImFydGljbGUtam91cm5hbCIsImlkIjoiNjNlYjUyMGYtNWNlYi0zZmI0LTkwNjgtYjVhOTRlN2U0ZTAwIiwidGl0bGUiOiJTYWZldHkgYW5kIFBoYXJtYWNva2luZXRpY3Mgb2YgT3JhbCBWb3JpY29uYXpvbGUgaW4gUGF0aWVudHMgYXQgUmlzayBvZiBGdW5nYWwgSW5mZWN0aW9uOiBBIERvc2UgRXNjYWxhdGlvbiBTdHVkeSIsImF1dGhvciI6W3siZmFtaWx5IjoiTGF6YXJ1cyIsImdpdmVuIjoiSGlsbGFyZCBNLiIsInBhcnNlLW5hbWVzIjpmYWxzZSwiZHJvcHBpbmctcGFydGljbGUiOiIiLCJub24tZHJvcHBpbmctcGFydGljbGUiOiIifSx7ImZhbWlseSI6IkJsdW1lciIsImdpdmVuIjoiSmVmZnJleSBMLiIsInBhcnNlLW5hbWVzIjpmYWxzZSwiZHJvcHBpbmctcGFydGljbGUiOiIiLCJub24tZHJvcHBpbmctcGFydGljbGUiOiIifSx7ImZhbWlseSI6Illhbm92aWNoIiwiZ2l2ZW4iOiJTYXVsIiwicGFyc2UtbmFtZXMiOmZhbHNlLCJkcm9wcGluZy1wYXJ0aWNsZSI6IiIsIm5vbi1kcm9wcGluZy1wYXJ0aWNsZSI6IiJ9LHsiZmFtaWx5IjoiU2NobGFtbSIsImdpdmVuIjoiSGFyYW4iLCJwYXJzZS1uYW1lcyI6ZmFsc2UsImRyb3BwaW5nLXBhcnRpY2xlIjoiIiwibm9uLWRyb3BwaW5nLXBhcnRpY2xlIjoiIn0seyJmYW1pbHkiOiJSb21lcm8iLCJnaXZlbiI6IkFsYWluIiwicGFyc2UtbmFtZXMiOmZhbHNlLCJkcm9wcGluZy1wYXJ0aWNsZSI6IiIsIm5vbi1kcm9wcGluZy1wYXJ0aWNsZSI6IiJ9XSwiY29udGFpbmVyLXRpdGxlIjoiVGhlIEpvdXJuYWwgb2YgQ2xpbmljYWwgUGhhcm1hY29sb2d5IiwiRE9JIjoiMTAuMTE3Ny8wMDkxMjcwMDIyMjAxMTQ0NSIsIklTU04iOiIwMDkxLTI3MDAiLCJpc3N1ZWQiOnsiZGF0ZS1wYXJ0cyI6W1syMDAyLDQsOF1dfSwicGFnZSI6IjM5NS00MDIiLCJhYnN0cmFjdCI6IjxwPiBUaGUgb2JqZWN0aXZlIG9mIHRoaXMgc3R1ZHkgd2FzIHRvIGludmVzdGlnYXRlIHRoZSBzYWZldHksIHRvbGVtYmlsaXR5LCBhbmQgcGhhcm1hY29raW5ldGljcyBvZiBvcmFsIHZvcmljb25hem9sZSBpbiBzdWJqZWN0cyBhdCBoaWdoIHJpc2sgb2YgZGV2ZWxvcGluZyBmdW5nYWwgaW5mZWN0aW9ucy4gVGhpcyB3YXMgYSBtdWx0aWNlbnRlciwgcmFuZG9taXplZCwgZG91Ymxl4oCQYmxpbmQsIGRvdWJsZeKAkGR1bW15LCBwYXJhbGxlbOKAkGdyb3VwLCBkb3NlIGVzY2FsYXRpb24gc3R1ZHkgd2l0aCBhIGZsdWNvbmF6b2xlIGFjdGl2ZSBjb250cm9sLiBUd2VudHnigJBmb3VyIHN1YmplY3RzIHdpdGggaGVtYXRvbG9naWNhbCBtYWxpZ25hbmNpZXMsIHNvbGlkIHR1bW9ycywgb3IgYXV0b2xvZ291cyBib25lIG1hcnJvdyB0cmFuc3BsYW50cyB3ZXJlIHJhbmRvbWl6ZWQgdG8gcmVjZWl2ZSB2b3JpY29uYXpvbGUgMjAwIG1nIHEgMTIgaCAobiA9IDkpLCB2b3JpY29uYXpvbGUgMzAwIG1ncSAxMiBoIChuID0gOSksIG9yIGZsdWNvbmF6b2xlIDQwMCBtZyBPRChuID0gNikgZm9yIGEgcGVyaW9kIG9mIDE0IGRheXMuIEJsb29kIHNhbXBsZXMgd2VyZSB0YWtlbiBmb3IgdGhlIGFzc2Vzc21lbnQgb2Ygdm9yaWNvbmF6b2xlIHBoYXJtYWNva2luZXRpY3MgaW4gcGxhc21hIG9uIERheXMgMSBhbmQgMTQuIFVzaW5nIGEgMjAwIG1ncSAxMiBoIGRvc2luZyByZWdpbWVuLCBnZW9tZXRyaWMgbWVhbiB2b3JpY29uYXpvbGUgcGVhayBwbGFzbWEgY29uY2VudHJhdGlvbnMgKEMgPHN1Yj5tc3g8L3N1Yj4gKSB3ZXJlIDkwNCBuZy9tbCBvbiBEYXkgMSBhbmQgMjk5NiBuZy9tbCBvbiBEYXkgMTQuIEdlb21ldHJpYyBtZWFuIHZvcmljb25hem9sZSBleHBvc3VyZSwgYXMgbWVhc3VyZWQgYnkgdGhlIGFyZWEgdW5kZXIgdGhlIGN1cnZlIHdpdGhpbiBhIGRvc2luZyBpbnRlcnZhbCAoQVVDz4AsIHdhcyA0MDQ0IGFuZCAyMDMwOCBuZ8K3aC9tbCBvbiBEYXlzIDEgYW5kIDE0LCByZXNwZWN0aXZlbHkuIE9uIERheSAxLCBnZW9tZXRyaWMgbWVhbiBDIDxzdWI+bWF4PC9zdWI+IGFuZCBBVUMgd2VyZSAxLjgw4oCQIGFuZCAxLjk04oCQZm9sZCBoaWdoZXIgaW4gc3ViamVjdHMgcmVjZWl2aW5nIHZvcmljb25hem9sZSAzMDAgbWcgcSAxMiBoIHRoYW4gaW4gdGhvc2UgcmVjZWl2aW5nIDIwMCBtZyBxIDEyIGguIFNpbWlsYXJseSwgb24gRGF5IDE0LCBnZW9tZXRyaWMgbWVhbiBDIDxzdWI+bWF4PC9zdWI+IGFuZCBBVUMgd2VyZSAxLjU24oCQIGFuZCAxLjgw4oCQZm9sZCBncmVhdGVyIGluIHRoZSBoaWdo4oCQZG9zZSBncm91cC4gQWx0aG91Z2ggdGhlIGNvbmZpZGVuY2UgaW50ZXJ2YWxzIGFyZSBsYXJnZSwgdGhpcyB0cmVuZCBzdWdnZXN0cyBub25saW5lYXJpdHkgaW4gcGhhcm1hY29raW5ldGljcyB3aXRoIHJlc3BlY3QgdG8gZG9zZSBhcyBzZWVuIGluIGhlYWx0aHkgdm9sdW50ZWVycy4gVGhlIGFic29ycHRpb24gb2Ygb3JhbGx5IGFkbWluaXN0ZXJlZCB2b3JpY29uYXpvbGUgd2FzIHJlbGF0aXZlbHkgcmFwaWQsIHdpdGggdCA8c3ViPm1heDwvc3ViPiBhY2hpZXZlZCBpbiAxLjcgdG8gMy4wIGhvdXJzLiBUaGVyZSB3YXMgYSBtZWFuIDUuNOKAkCBhbmQgNS4w4oCQZm9sZCBhY2N1bXVsYXRpb24gb2Ygdm9yaWNvbmF6b2xlIG92ZXIgdGhlIDE04oCQZGF5IHN0dWR5IHBlcmlvZCBpbiB0aGUgMjAwIG1nIGFuZCAzMDAgbWcgcSAxMiBoIGRvc2UgZ3JvdXBzLCByZXNwZWN0aXZlbHkuIFZvcmljb25hem9sZSB3YXMgZ2VuZXJhbGx5IHNhZmUgYW5kIHdlbGwgdG9sZXJhdGVkLiBNaWxkLCByZXZlcnNpYmxlIHZpc3VhbCBkaXN0dXJiYW5jZXMgd2VyZSB0aGUgbW9zdCBjb21tb25seSByZXBvcnRlZCBhZHZlcnNlIGV2ZW50IGJ1dCB3ZXJlIG5vdCBhc3NvY2lhdGVkIHdpdGggdHJlYXRtZW50IGRpc2NvbnRpbnVhdGlvbi4gTm8gcGF0aWVudCBkZXZlbG9wZWQgYSBicmVha3Rocm91Z2ggZnVuZ2FsIGluZmVjdGlvbi4gSXQgd2FzIGNvbmNsdWRlZCB0aGF0IGluIHRoaXNncm91cCBvZiBwYXRpZW50cyBhdCByaXNrIG9mIGZ1bmdhbCBpbmZlY3Rpb24sIHZvcmljb25hem9sZSBwaGFybWFjb2tpbmV0aWNzIHdhcyBjb25zaXN0ZW50IHdpdGggdGhhdCByZXBvcnRlZCBpbiBoZWFsdGh5IHZvbHVudGVlcnMuIDwvcD4iLCJpc3N1ZSI6IjQiLCJ2b2x1bWUiOiI0MiJ9LCJpc1RlbXBvcmFyeSI6ZmFsc2V9XX0="/>
          <w:id w:val="105161317"/>
          <w:placeholder>
            <w:docPart w:val="DefaultPlaceholder_-1854013440"/>
          </w:placeholder>
        </w:sdtPr>
        <w:sdtEndPr/>
        <w:sdtContent>
          <w:r w:rsidR="00145B6F" w:rsidRPr="00145B6F">
            <w:rPr>
              <w:rFonts w:ascii="Times New Roman" w:hAnsi="Times New Roman" w:cs="Times New Roman"/>
              <w:color w:val="000000"/>
            </w:rPr>
            <w:t>(4–6)</w:t>
          </w:r>
        </w:sdtContent>
      </w:sdt>
      <w:r w:rsidRPr="00F8612D">
        <w:rPr>
          <w:rFonts w:ascii="Times New Roman" w:hAnsi="Times New Roman" w:cs="Times New Roman"/>
          <w:color w:val="000000"/>
        </w:rPr>
        <w:t xml:space="preserve">. </w:t>
      </w:r>
      <w:r w:rsidRPr="00F8612D">
        <w:rPr>
          <w:rFonts w:ascii="Times New Roman" w:hAnsi="Times New Roman" w:cs="Times New Roman"/>
        </w:rPr>
        <w:t xml:space="preserve">Although highly effective, VRC has a narrow therapeutic index and exhibits significant pharmacokinetic variability, which can lead to both therapeutic failure and toxicity. One study analyzing voriconazole-induced adverse events reported hepatotoxicity as the most common adverse effect of voriconazole, reported in 23% of cases. Other notable side effects included visual disturbances (18%), skin reactions (17%), neurologic symptoms (14%), cardiovascular events (10%), hematologic abnormalities (8%), and renal impairment (4%), </w:t>
      </w:r>
      <w:proofErr w:type="gramStart"/>
      <w:r w:rsidRPr="00F8612D">
        <w:rPr>
          <w:rFonts w:ascii="Times New Roman" w:hAnsi="Times New Roman" w:cs="Times New Roman"/>
        </w:rPr>
        <w:t>and  other</w:t>
      </w:r>
      <w:proofErr w:type="gramEnd"/>
      <w:r w:rsidRPr="00F8612D">
        <w:rPr>
          <w:rFonts w:ascii="Times New Roman" w:hAnsi="Times New Roman" w:cs="Times New Roman"/>
        </w:rPr>
        <w:t xml:space="preserve"> effects </w:t>
      </w:r>
      <w:sdt>
        <w:sdtPr>
          <w:rPr>
            <w:rFonts w:ascii="Times New Roman" w:hAnsi="Times New Roman" w:cs="Times New Roman"/>
            <w:color w:val="000000"/>
          </w:rPr>
          <w:tag w:val="MENDELEY_CITATION_v3_eyJjaXRhdGlvbklEIjoiTUVOREVMRVlfQ0lUQVRJT05fMjI4NTUxOTAtY2Q0YS00MDZiLWEzMmYtZTI4OWQ3MWY1YzY3IiwicHJvcGVydGllcyI6eyJub3RlSW5kZXgiOjB9LCJpc0VkaXRlZCI6ZmFsc2UsIm1hbnVhbE92ZXJyaWRlIjp7ImlzTWFudWFsbHlPdmVycmlkZGVuIjpmYWxzZSwiY2l0ZXByb2NUZXh0IjoiKDcpIiwibWFudWFsT3ZlcnJpZGVUZXh0IjoiIn0sImNpdGF0aW9uSXRlbXMiOlt7ImlkIjoiZGExYTNjMzYtNTY1Mi0zMjQ1LWFjYTMtOGVmOGZiOWJhYjdlIiwiaXRlbURhdGEiOnsidHlwZSI6ImFydGljbGUtam91cm5hbCIsImlkIjoiZGExYTNjMzYtNTY1Mi0zMjQ1LWFjYTMtOGVmOGZiOWJhYjdlIiwidGl0bGUiOiJBZHZlcnNlIEVmZmVjdHMgb2YgVm9yaWNvbmF6b2xlOiBBbmFseXNpcyBvZiB0aGUgRnJlbmNoIFBoYXJtYWNvdmlnaWxhbmNlIERhdGFiYXNlIiwiYXV0aG9yIjpbeyJmYW1pbHkiOiJFaWRlbiIsImdpdmVuIjoiQ8OpbGluZSIsInBhcnNlLW5hbWVzIjpmYWxzZSwiZHJvcHBpbmctcGFydGljbGUiOiIiLCJub24tZHJvcHBpbmctcGFydGljbGUiOiIifSx7ImZhbWlseSI6IlBleXJpw6hyZSIsImdpdmVuIjoiSMOpbMOobmUiLCJwYXJzZS1uYW1lcyI6ZmFsc2UsImRyb3BwaW5nLXBhcnRpY2xlIjoiIiwibm9uLWRyb3BwaW5nLXBhcnRpY2xlIjoiIn0seyJmYW1pbHkiOiJDb2NpZ2xpbyIsImdpdmVuIjoiTWFyeWzDqG5lIiwicGFyc2UtbmFtZXMiOmZhbHNlLCJkcm9wcGluZy1wYXJ0aWNsZSI6IiIsIm5vbi1kcm9wcGluZy1wYXJ0aWNsZSI6IiJ9LHsiZmFtaWx5IjoiRGplenphciIsImdpdmVuIjoiU2FtaXJhIiwicGFyc2UtbmFtZXMiOmZhbHNlLCJkcm9wcGluZy1wYXJ0aWNsZSI6IiIsIm5vbi1kcm9wcGluZy1wYXJ0aWNsZSI6IiJ9LHsiZmFtaWx5IjoiSGFuc2VsIiwiZ2l2ZW4iOiJTeWx2aWUiLCJwYXJzZS1uYW1lcyI6ZmFsc2UsImRyb3BwaW5nLXBhcnRpY2xlIjoiIiwibm9uLWRyb3BwaW5nLXBhcnRpY2xlIjoiIn0seyJmYW1pbHkiOiJCbGF5YWMiLCJnaXZlbiI6IkplYW4tUGllcnJlIiwicGFyc2UtbmFtZXMiOmZhbHNlLCJkcm9wcGluZy1wYXJ0aWNsZSI6IiIsIm5vbi1kcm9wcGluZy1wYXJ0aWNsZSI6IiJ9LHsiZmFtaWx5IjoiSGlsbGFpcmUtQnV5cyIsImdpdmVuIjoiRG9taW5pcXVlIiwicGFyc2UtbmFtZXMiOmZhbHNlLCJkcm9wcGluZy1wYXJ0aWNsZSI6IiIsIm5vbi1kcm9wcGluZy1wYXJ0aWNsZSI6IiJ9XSwiY29udGFpbmVyLXRpdGxlIjoiQW5uYWxzIG9mIFBoYXJtYWNvdGhlcmFweSIsIkRPSSI6IjEwLjEzNDUvYXBoLjFINjcxIiwiSVNTTiI6IjEwNjAtMDI4MCIsImlzc3VlZCI6eyJkYXRlLXBhcnRzIjpbWzIwMDcsNSwxXV19LCJwYWdlIjoiNzU1LTc2MyIsImlzc3VlIjoiNSIsInZvbHVtZSI6IjQxIiwiY29udGFpbmVyLXRpdGxlLXNob3J0IjoiIn0sImlzVGVtcG9yYXJ5IjpmYWxzZX1dfQ=="/>
          <w:id w:val="1912965796"/>
          <w:placeholder>
            <w:docPart w:val="DefaultPlaceholder_-1854013440"/>
          </w:placeholder>
        </w:sdtPr>
        <w:sdtEndPr/>
        <w:sdtContent>
          <w:r w:rsidR="00145B6F" w:rsidRPr="00145B6F">
            <w:rPr>
              <w:rFonts w:ascii="Times New Roman" w:hAnsi="Times New Roman" w:cs="Times New Roman"/>
              <w:color w:val="000000"/>
            </w:rPr>
            <w:t>(7)</w:t>
          </w:r>
        </w:sdtContent>
      </w:sdt>
      <w:r w:rsidRPr="00F8612D">
        <w:rPr>
          <w:rFonts w:ascii="Times New Roman" w:hAnsi="Times New Roman" w:cs="Times New Roman"/>
        </w:rPr>
        <w:t xml:space="preserve">. In patients with multi-organ dysfunction or sepsis, adjunctive therapies may be necessary to complement standard treatments. Continuous Renal Replacement Therapy (CRRT) is commonly used to manage acute kidney injury and fluid overload, but it may not sufficiently address systemic inflammation associated with sepsis. </w:t>
      </w:r>
      <w:proofErr w:type="spellStart"/>
      <w:r w:rsidRPr="00F8612D">
        <w:rPr>
          <w:rFonts w:ascii="Times New Roman" w:hAnsi="Times New Roman" w:cs="Times New Roman"/>
        </w:rPr>
        <w:t>CytoSorb</w:t>
      </w:r>
      <w:proofErr w:type="spellEnd"/>
      <w:r w:rsidRPr="00F8612D">
        <w:rPr>
          <w:rFonts w:ascii="Times New Roman" w:hAnsi="Times New Roman" w:cs="Times New Roman"/>
        </w:rPr>
        <w:t xml:space="preserve"> is a </w:t>
      </w:r>
      <w:proofErr w:type="spellStart"/>
      <w:r w:rsidRPr="00F8612D">
        <w:rPr>
          <w:rFonts w:ascii="Times New Roman" w:hAnsi="Times New Roman" w:cs="Times New Roman"/>
        </w:rPr>
        <w:t>hemoadsorption</w:t>
      </w:r>
      <w:proofErr w:type="spellEnd"/>
      <w:r w:rsidRPr="00F8612D">
        <w:rPr>
          <w:rFonts w:ascii="Times New Roman" w:hAnsi="Times New Roman" w:cs="Times New Roman"/>
        </w:rPr>
        <w:t xml:space="preserve"> device designed to remove inflammatory mediators, including cytokines, endotoxins, and certain drugs, from the bloodstream. Its use in combination with CRRT has shown promising results in improving outcomes in patients with septic shock. Clinical studies have reported benefits such as reduced </w:t>
      </w:r>
      <w:r w:rsidRPr="00F8612D">
        <w:rPr>
          <w:rFonts w:ascii="Times New Roman" w:hAnsi="Times New Roman" w:cs="Times New Roman"/>
        </w:rPr>
        <w:lastRenderedPageBreak/>
        <w:t xml:space="preserve">vasopressor requirements, improved lactate clearance, and better hemodynamic stability when </w:t>
      </w:r>
      <w:proofErr w:type="spellStart"/>
      <w:r w:rsidRPr="00F8612D">
        <w:rPr>
          <w:rFonts w:ascii="Times New Roman" w:hAnsi="Times New Roman" w:cs="Times New Roman"/>
        </w:rPr>
        <w:t>CytoSorb</w:t>
      </w:r>
      <w:proofErr w:type="spellEnd"/>
      <w:r w:rsidRPr="00F8612D">
        <w:rPr>
          <w:rFonts w:ascii="Times New Roman" w:hAnsi="Times New Roman" w:cs="Times New Roman"/>
        </w:rPr>
        <w:t xml:space="preserve"> is used alongside CRRT </w:t>
      </w:r>
      <w:sdt>
        <w:sdtPr>
          <w:rPr>
            <w:rFonts w:ascii="Times New Roman" w:hAnsi="Times New Roman" w:cs="Times New Roman"/>
            <w:color w:val="000000"/>
          </w:rPr>
          <w:tag w:val="MENDELEY_CITATION_v3_eyJjaXRhdGlvbklEIjoiTUVOREVMRVlfQ0lUQVRJT05fM2E2OTI0YzctNzYxNC00ODRjLTgyZGUtNTc0NTIzNzk3YWU5IiwicHJvcGVydGllcyI6eyJub3RlSW5kZXgiOjB9LCJpc0VkaXRlZCI6ZmFsc2UsIm1hbnVhbE92ZXJyaWRlIjp7ImlzTWFudWFsbHlPdmVycmlkZGVuIjpmYWxzZSwiY2l0ZXByb2NUZXh0IjoiKDjigJMxMCkiLCJtYW51YWxPdmVycmlkZVRleHQiOiIifSwiY2l0YXRpb25JdGVtcyI6W3siaWQiOiJmYzdmM2EwNy0xMWZkLTNkYzAtYjM3OC1kMDI2MzNiMTYwMjkiLCJpdGVtRGF0YSI6eyJ0eXBlIjoiYXJ0aWNsZS1qb3VybmFsIiwiaWQiOiJmYzdmM2EwNy0xMWZkLTNkYzAtYjM3OC1kMDI2MzNiMTYwMjkiLCJ0aXRsZSI6IkhlbW9hZHNvcnB0aW9uIGluIHRoZSBNYW5hZ2VtZW50IG9mIFNlcHRpYyBTaG9jazogQSBTeXN0ZW1hdGljIFJldmlldyBhbmQgTWV0YS1BbmFseXNpcyIsImF1dGhvciI6W3siZmFtaWx5IjoiU3RlaW5kbCIsImdpdmVuIjoiRGF2aWQiLCJwYXJzZS1uYW1lcyI6ZmFsc2UsImRyb3BwaW5nLXBhcnRpY2xlIjoiIiwibm9uLWRyb3BwaW5nLXBhcnRpY2xlIjoiIn0seyJmYW1pbHkiOiJTY2hyb2VkZXIiLCJnaXZlbiI6IlRpbSIsInBhcnNlLW5hbWVzIjpmYWxzZSwiZHJvcHBpbmctcGFydGljbGUiOiIiLCJub24tZHJvcHBpbmctcGFydGljbGUiOiIifSx7ImZhbWlseSI6IktyYW5uaWNoIiwiZ2l2ZW4iOiJBbGV4YW5kZXIiLCJwYXJzZS1uYW1lcyI6ZmFsc2UsImRyb3BwaW5nLXBhcnRpY2xlIjoiIiwibm9uLWRyb3BwaW5nLXBhcnRpY2xlIjoiIn0seyJmYW1pbHkiOiJOZWUiLCJnaXZlbiI6IkplbnMiLCJwYXJzZS1uYW1lcyI6ZmFsc2UsImRyb3BwaW5nLXBhcnRpY2xlIjoiIiwibm9uLWRyb3BwaW5nLXBhcnRpY2xlIjoiIn1dLCJjb250YWluZXItdGl0bGUiOiJKb3VybmFsIG9mIENsaW5pY2FsIE1lZGljaW5lIiwiY29udGFpbmVyLXRpdGxlLXNob3J0IjoiSiBDbGluIE1lZCIsIkRPSSI6IjEwLjMzOTAvamNtMTQwNzIyODUiLCJJU1NOIjoiMjA3Ny0wMzgzIiwiVVJMIjoiaHR0cHM6Ly93d3cubWRwaS5jb20vMjA3Ny0wMzgzLzE0LzcvMjI4NSIsImlzc3VlZCI6eyJkYXRlLXBhcnRzIjpbWzIwMjUsMywyN11dfSwicGFnZSI6IjIyODUiLCJhYnN0cmFjdCI6IjxwPkJhY2tncm91bmQvT2JqZWN0aXZlczogU2VwdGljIHNob2NrIHJlbWFpbnMgYSBzaWduaWZpY2FudCBjbGluaWNhbCBjaGFsbGVuZ2Ugd2l0aCBjb25zaXN0ZW50bHkgaGlnaCBtb3J0YWxpdHkgcmF0ZXMuIFJlY2VudCBpbnZlc3RpZ2F0aW9ucyBoYXZlIGZvY3VzZWQgb24gdGhlIGVmZmljYWN5IG9mIEN5dG9Tb3Jiwq4gKEN5dG9Tb3JiZW50cyBDb3Jwb3JhdGlvbiwgTW9ubW91dGggSnVuY3Rpb24sIE5KLCBVU0EpLCBhbiBleHRyYWNvcnBvcmVhbCBjeXRva2luZSBhZHNvcmJlciwgYW5kIGhvdyBpdCBpbXBhY3RzIG91dGNvbWVzIGluIHNlcHNpcy4gVGhlIGN1cnJlbnQgbWV0YS1hbmFseXNpcyByZXBvcnRzIG9uIHRoZSBpbXBhY3Qgb2YgQ3l0b1NvcmLCriBvbiBzdXJ2aXZhbCwgc3BlY2lmaWNhbGx5IGluIHNlcHRpYyBzaG9jayBwYXRpZW50cy4gTWV0aG9kczogV2UgY29uZHVjdGVkIGEgY29tcHJlaGVuc2l2ZSBzeXN0ZW1hdGljIHNlYXJjaCBhY3Jvc3MgdGhlIFB1Yk1lZCBhbmQgQ09DSFJBTkUgZGF0YWJhc2VzIGZvciBzdHVkaWVzIHB1Ymxpc2hlZCB1cCB0byAxMCBKdW5lIDIwMjQuIFRoZSBhbmFseXNpcyBwcmlvcml0aXplZCByYW5kb21pemVkIGNvbnRyb2xsZWQgdHJpYWxzIGFuZCBvYnNlcnZhdGlvbmFsIHN0dWRpZXMgd2l0aCBjb250cm9sIGdyb3VwcyBpbnZvbHZpbmcgc2VwdGljIHNob2NrIHBhdGllbnRzIHdoaWxlIGV4Y2x1ZGluZyBjYXNlIHJlcG9ydHMgYW5kIGNhc2Ugc2VyaWVzLiBOaW5lIHN0dWRpZXMgd2VyZSBmaW5hbGx5IGluY2x1ZGVkIGluIG91ciBtZXRhLWFuYWx5c2lzIGZvbGxvd2luZyB0aGUgaW5pdGlhbCBzY3JlZW5pbmcgb2YgMTE1IGFydGljbGVzIGFmdGVyIGV4Y2x1ZGluZyBkdXBsaWNhdGVzIGFuZCBpcnJlbGV2YW50IGVudHJpZXMuIFJlc3VsdHM6IFRoZSBtZXRhLWFuYWx5c2lzIHdhcyBwZXJmb3JtZWQgb24gNzQ0IGNyaXRpY2FsbHkgaWxsIHBhdGllbnRzIHdpdGggc2VwdGljIHNob2NrIGZyb20gb25lIFJDVCBhbmQgZWlnaHQgb2JzZXJ2YXRpb25hbCBzdHVkaWVzLiBPZiB0aGVzZSwgNDQ5IHBhdGllbnRzIHJlY2VpdmVkIHRyZWF0bWVudCB3aXRoIEN5dG9Tb3Jiwq4gaW4gYWRkaXRpb24gdG8gc3RhbmRhcmQgY2FyZS4gT3VyIGRhdGEgaW5kaWNhdGUgdGhhdCBDeXRvU29yYsKuIHVzZSBpcyBhc3NvY2lhdGVkIHdpdGggcmVkdWNlZCBpbi1ob3NwaXRhbCBtb3J0YWxpdHksIGV2aWRlbmNlZCBieSBhbiBvZGRzIHJhdGlvIChPUikgb2YgMC42NCBbMC40MjsgMC45N10gYW5kIGEgcC12YWx1ZSBvZiAwLjAzNi4gRm9yIDI44oCTMzAtZGF5IG1vcnRhbGl0eSwgdGhlIGZpbmRpbmdzIHdlcmUgbW9yZSBwcm9ub3VuY2VkIHdpdGggYW4gT1Igb2YgMC40OSBbMC4yODsgMC44M10gYW5kIGEgcC12YWx1ZSBvZiAwLjAwMy4gVGhlIGFuYWx5c2lzIG9mIHRoZSBsb25nZXN0IG9ic2VydmVkIG1vcnRhbGl0eSBzaG93ZWQgYSB0cmVuZCBmb3IgaW1wcm92ZWQgc3Vydml2YWwgd2l0aGluIHRoZSBDeXRvU29yYiBncm91cDsgaG93ZXZlciwgaXQgZGlkIG5vdCByZWFjaCBzdGF0aXN0aWNhbCBzaWduaWZpY2FuY2UuIEFkZGl0aW9uYWxseSwgdGhlcmUgd2FzIGEgc2lnbmlmaWNhbnQgaW1wcm92ZW1lbnQgaW4gaGVtb2R5bmFtaWMgc3RhYmlsaXR5IGFzIGEgc2Vjb25kYXJ5IGVuZHBvaW50LCBhcyBldmlkZW5jZWQgYnkgbm90YWJsZSByZWR1Y3Rpb25zIGluIHZhc29wcmVzc29yIHJlcXVpcmVtZW50cyBpbiB0aGUgaGVtb2Fkc29ycHRpb24gZ3JvdXAuIENvbmNsdXNpb25zOiBUaGUgY3VycmVudCBtZXRhLWFuYWx5c2lzIHN1Z2dlc3RzIHRoYXQgdGhlIHVzZSBvZiBDeXRvU29yYsKuIGFsb25nc2lkZSBzdGFuZGFyZCBvZiBjYXJlIG1hbmFnZW1lbnQgbWF5IGJlIGxpbmtlZCB0byBpbXByb3ZlZCBzaG9ydC10ZXJtIHN1cnZpdmFsIGluIHBhdGllbnRzIHdpdGggc2VwdGljIHNob2NrOyBob3dldmVyLCB0aGVzZSBmaW5kaW5ncyBzaG91bGQgYmUgaW50ZXJwcmV0ZWQgd2l0aCBjYXV0aW9uIGluIGxpZ2h0IG9mIHRoZSBoZXRlcm9nZW5laXR5IGFuZCB0aGUgbW9kZXN0IHF1YWxpdHkgb2YgdGhlIHN0dWRpZXMgaW5jbHVkZWQuIFByb3NwZWN0aXZlIHN0dWRpZXMgYXJlIG5lZWRlZCB0byBiZXR0ZXIgZGV0ZXJtaW5lIHRoZSBpbXBhY3Qgb2YgaGVtb2Fkc29ycHRpb24gb24gc2hvY2sgcmV2ZXJzYWwgYW5kIHN1cnZpdmFsIGluIHRoZXNlIGNyaXRpY2FsbHkgaWxsIHBhdGllbnRzLjwvcD4iLCJpc3N1ZSI6IjciLCJ2b2x1bWUiOiIxNCJ9LCJpc1RlbXBvcmFyeSI6ZmFsc2V9LHsiaWQiOiJiNjdiZWEwYS04ZjZmLTM1NWMtYjk0Ny01NDU0YjljYzM1YzgiLCJpdGVtRGF0YSI6eyJ0eXBlIjoiYXJ0aWNsZS1qb3VybmFsIiwiaWQiOiJiNjdiZWEwYS04ZjZmLTM1NWMtYjk0Ny01NDU0YjljYzM1YzgiLCJ0aXRsZSI6IkV4dHJhY29ycG9yZWFsIGN5dG9raW5lIGVsaW1pbmF0aW9uIGFzIHJlc2N1ZSB0aGVyYXB5IGluIHJlZnJhY3Rvcnkgc2VwdGljIHNob2NrOiBhIHByb3NwZWN0aXZlIHNpbmdsZS1jZW50ZXIgc3R1ZHkiLCJhdXRob3IiOlt7ImZhbWlseSI6IkZyaWVzZWNrZSIsImdpdmVuIjoiU2lncnVuIiwicGFyc2UtbmFtZXMiOmZhbHNlLCJkcm9wcGluZy1wYXJ0aWNsZSI6IiIsIm5vbi1kcm9wcGluZy1wYXJ0aWNsZSI6IiJ9LHsiZmFtaWx5IjoiU3RlY2hlciIsImdpdmVuIjoiU3RlcGhhbmllLVN1c2FubmUiLCJwYXJzZS1uYW1lcyI6ZmFsc2UsImRyb3BwaW5nLXBhcnRpY2xlIjoiIiwibm9uLWRyb3BwaW5nLXBhcnRpY2xlIjoiIn0seyJmYW1pbHkiOiJHcm9zcyIsImdpdmVuIjoiU3RlZmFuIiwicGFyc2UtbmFtZXMiOmZhbHNlLCJkcm9wcGluZy1wYXJ0aWNsZSI6IiIsIm5vbi1kcm9wcGluZy1wYXJ0aWNsZSI6IiJ9LHsiZmFtaWx5IjoiRmVsaXgiLCJnaXZlbiI6IlN0ZXBoYW4gQi4iLCJwYXJzZS1uYW1lcyI6ZmFsc2UsImRyb3BwaW5nLXBhcnRpY2xlIjoiIiwibm9uLWRyb3BwaW5nLXBhcnRpY2xlIjoiIn0seyJmYW1pbHkiOiJOaWVyaGF1cyIsImdpdmVuIjoiQXhlbCIsInBhcnNlLW5hbWVzIjpmYWxzZSwiZHJvcHBpbmctcGFydGljbGUiOiIiLCJub24tZHJvcHBpbmctcGFydGljbGUiOiIifV0sImNvbnRhaW5lci10aXRsZSI6IkpvdXJuYWwgb2YgQXJ0aWZpY2lhbCBPcmdhbnMiLCJET0kiOiIxMC4xMDA3L3MxMDA0Ny0wMTctMDk2Ny00IiwiSVNTTiI6IjE0MzQtNzIyOSIsImlzc3VlZCI6eyJkYXRlLXBhcnRzIjpbWzIwMTcsOSw2XV19LCJwYWdlIjoiMjUyLTI1OSIsImlzc3VlIjoiMyIsInZvbHVtZSI6IjIwIiwiY29udGFpbmVyLXRpdGxlLXNob3J0IjoiIn0sImlzVGVtcG9yYXJ5IjpmYWxzZX0seyJpZCI6ImI1ZWRlM2FmLTgwMWUtMzU4NC1iYzdlLWVhMzhjODgyZjc5MSIsIml0ZW1EYXRhIjp7InR5cGUiOiJhcnRpY2xlLWpvdXJuYWwiLCJpZCI6ImI1ZWRlM2FmLTgwMWUtMzU4NC1iYzdlLWVhMzhjODgyZjc5MSIsInRpdGxlIjoiSGVtYWRzb3JwdGlvbiBhcyByZXNjdWUgdGhlcmFweSBmb3IgcGF0aWVudHMgd2l0aCBtdWx0aXN5c3RlbSBvcmdhbiBmYWlsdXJlIGluIHBlZGlhdHJpYyBpbnRlbnNpdmUgY2FyZeKAlFJlcG9ydCBvZiB0d28gY2FzZXMgcmVwb3J0cyBhbmQgcmV2aWV3IG9mIHRoZSBsaXRlcmF0dXJlIiwiYXV0aG9yIjpbeyJmYW1pbHkiOiJTdGV1cmVyIiwiZ2l2ZW4iOiJMaXNh4oCQTWFyaWEiLCJwYXJzZS1uYW1lcyI6ZmFsc2UsImRyb3BwaW5nLXBhcnRpY2xlIjoiIiwibm9uLWRyb3BwaW5nLXBhcnRpY2xlIjoiIn0seyJmYW1pbHkiOiJTY2hsYWdlciIsImdpdmVuIjoiR2VyYWxkIiwicGFyc2UtbmFtZXMiOmZhbHNlLCJkcm9wcGluZy1wYXJ0aWNsZSI6IiIsIm5vbi1kcm9wcGluZy1wYXJ0aWNsZSI6IiJ9LHsiZmFtaWx5IjoiU2FkZWdoaSIsImdpdmVuIjoiS2FtYmlzIiwicGFyc2UtbmFtZXMiOmZhbHNlLCJkcm9wcGluZy1wYXJ0aWNsZSI6IiIsIm5vbi1kcm9wcGluZy1wYXJ0aWNsZSI6IiJ9LHsiZmFtaWx5IjoiR29sZWoiLCJnaXZlbiI6IkpvaGFubiIsInBhcnNlLW5hbWVzIjpmYWxzZSwiZHJvcHBpbmctcGFydGljbGUiOiIiLCJub24tZHJvcHBpbmctcGFydGljbGUiOiIifSx7ImZhbWlseSI6IldpZWRlbWFubiIsImdpdmVuIjoiRG9taW5payIsInBhcnNlLW5hbWVzIjpmYWxzZSwiZHJvcHBpbmctcGFydGljbGUiOiIiLCJub24tZHJvcHBpbmctcGFydGljbGUiOiIifSx7ImZhbWlseSI6Ikhlcm1vbiIsImdpdmVuIjoiTWljaGFlbCIsInBhcnNlLW5hbWVzIjpmYWxzZSwiZHJvcHBpbmctcGFydGljbGUiOiIiLCJub24tZHJvcHBpbmctcGFydGljbGUiOiIifV0sImNvbnRhaW5lci10aXRsZSI6IkFydGlmaWNpYWwgT3JnYW5zIiwiY29udGFpbmVyLXRpdGxlLXNob3J0IjoiQXJ0aWYgT3JnYW5zIiwiRE9JIjoiMTAuMTExMS9hb3IuMTQwNDciLCJJU1NOIjoiMDE2MC01NjRYIiwiaXNzdWVkIjp7ImRhdGUtcGFydHMiOltbMjAyMSwxMiwxMl1dfSwicGFnZSI6IjE1ODItMTU5MyIsImFic3RyYWN0IjoiPHA+SGVtYWRzb3JwdGlvbiB2aWEgdGhlIGN5dG9raW5l4oCQYWRzb3JiZXIgQ3l0b1NvcmIgKEN5dG9Tb3JiZW50cyBFdXJvcGUsIEJlcmxpbiwgR2VybWFueSkgaGFzIHN1Y2Nlc3NmdWxseSBiZWVuIHVzZWQgYXMgYW4gYWRqdW5jdGl2ZSBtZXRob2QgaW4gYWR1bHRzLCBtYWlubHkgZm9yIHRoZSBwdXJwb3NlIG9mIGltbXVub21vZHVsYXRpb24gdW5kZXIgYWN1dGUgaW5mbGFtbWF0b3J5IGNvbmRpdGlvbnMgc3VjaCBhcyBzZXBzaXMgYW5kIGNhcmRpYWMgc3VyZ2VyeS4gSW4gcmVjZW50IHllYXJzLCB0aGVyZSBoYXMgYmVlbiBncm93aW5nIGludGVyZXN0IGluIGl0cyB1c2UgaW4gcGVkaWF0cmljIGludGVuc2l2ZSBjYXJlIHRvIGltcHJvdmUgb3V0Y29tZXMgaW4gcGF0aWVudHMgd2l0aCBtdWx0aXBsZSBvcmdhbiBmYWlsdXJlIGZvbGxvd2luZyBhbiBpbmZsYW1tYXRvcnkgaWxsbmVzcy4gTGl0ZXJhdHVyZSBvbiB0aGUgYXBwbGljYXRpb24gb2YgQ3l0b1NvcmIgaW4gbmVvbmF0YWwgYW5kIHBlZGlhdHJpYyBwYXRpZW50cyBpcyBzY2FyY2UsIHRob3VnaCB0aGUgaW1wbGljYXRpb24gaXMgdGhhdCBpdCBjb3VsZCBiZSBhbiBlZmZlY3RpdmUgbGFzdOKAkHJlc29ydCB0cmVhdG1lbnQgb3B0aW9uIGluIGNyaXRpY2FsbHkgaWxsIHBlZGlhdHJpYyBwYXRpZW50cy4gSGVyZWluIHdlIHByZXNlbnQgdGhlIGNsaW5pY2FsIGNhc2VzIG9mIHR3byBwZWRpYXRyaWMgcGF0aWVudHMgc3VjY2Vzc2Z1bGx5IHRyZWF0ZWQgd2l0aCBhIGNvbWJpbmF0aW9uIG9mIHRoZSBDeXRvU29yYiBoZW1hZHNvcmJlciwgY29udGludW91cyByZW5hbCByZXBsYWNlbWVudCB0aGVyYXB5LCBhbmQgZXh0cmFjb3Jwb3JlYWwgbWVtYnJhbmUgb3h5Z2VuYXRpb24gZHVlIHRvIG11bHRpcGxlIG9yZ2FuIGZhaWx1cmUgZm9sbG93aW5nIGRpZmZlcmVudCB1bmRlcmx5aW5nIG1lZGljYWwgY29uZGl0aW9ucy4gUGF0aWVudCAxIHdhcyBhIDfigJBtb250aOKAkG9sZCBtYWxlIGNoaWxkIHdpdGggRG93bidzIHN5bmRyb21lIGFkbWl0dGVkIHRvIHRoZSBQZWRpYXRyaWMgSW50ZW5zaXZlIENhcmUgVW5pdCAoUElDVSkgYWZ0ZXIgY29uZ2VuaXRhbCBoZWFydCBzdXJnZXJ5LCB3aG8gZGV2ZWxvcGVkIGFudGltaWNyb2JpYWzigJByZXNpc3RhbnQgc2VwdGljIHNob2NrIGFuZCBzZXZlcmUgYWN1dGUgcmVzcGlyYXRvcnkgZGlzdHJlc3Mgc3luZHJvbWUuIFBhdGllbnQgMiB3YXMgYSAy4oCQeWVhcuKAkG9sZCBtYWxlIGNoaWxkIGFkbWl0dGVkIHRvIHRoZSBQSUNVIHdpdGggaW5mbHVlbnphIEHigJBhc3NvY2lhdGVkIGFjdXRlIGxpdmVyIGZhaWx1cmUgcmVzdWx0aW5nIGluIGh5cGVyYW1tb25lbWlhLCBsYWN0YXRlIGFjaWRvc2lzLCBoZW1vZHluYW1pYyBpbnN0YWJpbGl0eSwgYW5kIGFjdXRlIGtpZG5leSBmYWlsdXJlLiBJbiBib3RoIHBhdGllbnRzLCBoZW1hZHNvcnB0aW9uIHdpdGggQ3l0b1NvcmIgd2FzIGluaXRpYXRlZCBhcyBhbiBhZGp1bmN0aXZlIHJlc2N1ZSB0aGVyYXB5IHRvIHRyZWF0IHJlZnJhY3RvcnkgbXVsdGlzeXN0ZW0gb3JnYW4gZmFpbHVyZS4gSW1wcm92ZW1lbnQgb2YgbGFib3JhdG9yeSBhbmQgY2xpbmljYWwgcGFyYW1ldGVycyB3YXMgb2JzZXJ2ZWQgd2l0aGluIGhvdXJzIG9mIHRyZWF0bWVudCBpbml0aWF0aW9uLiBUaGUgYXBwbGljYXRpb24gb2YgdGhlIGhlbWFkc29yYmVy4oCUZGV2ZWxvcGVkIGZvciB1c2UgaW4gYWR1bHRz4oCUcHJvdmVkIHNpbXBsZSBhbmQgc2FmZSBmb3IgdXNlIGluIGJvdGggb2Ygb3VyIGxvd+KAkHdlaWdodCBwZWRpYXRyaWMgcGF0aWVudHMuPC9wPiIsImlzc3VlIjoiMTIiLCJ2b2x1bWUiOiI0NSJ9LCJpc1RlbXBvcmFyeSI6ZmFsc2V9XX0="/>
          <w:id w:val="-1343928154"/>
          <w:placeholder>
            <w:docPart w:val="DefaultPlaceholder_-1854013440"/>
          </w:placeholder>
        </w:sdtPr>
        <w:sdtEndPr/>
        <w:sdtContent>
          <w:r w:rsidR="00145B6F" w:rsidRPr="00145B6F">
            <w:rPr>
              <w:rFonts w:ascii="Times New Roman" w:hAnsi="Times New Roman" w:cs="Times New Roman"/>
              <w:color w:val="000000"/>
            </w:rPr>
            <w:t>(8–10)</w:t>
          </w:r>
        </w:sdtContent>
      </w:sdt>
      <w:r w:rsidRPr="00F8612D">
        <w:rPr>
          <w:rFonts w:ascii="Times New Roman" w:hAnsi="Times New Roman" w:cs="Times New Roman"/>
          <w:color w:val="000000"/>
        </w:rPr>
        <w:t xml:space="preserve">. </w:t>
      </w:r>
      <w:r w:rsidRPr="00F8612D">
        <w:rPr>
          <w:rFonts w:ascii="Times New Roman" w:hAnsi="Times New Roman" w:cs="Times New Roman"/>
        </w:rPr>
        <w:t xml:space="preserve">This case report presents a 34-year-old male who developed severe complications after Voriconazole therapy, requiring ICU admission, and treatment with both CRRT and </w:t>
      </w:r>
      <w:proofErr w:type="spellStart"/>
      <w:r w:rsidRPr="00F8612D">
        <w:rPr>
          <w:rFonts w:ascii="Times New Roman" w:hAnsi="Times New Roman" w:cs="Times New Roman"/>
        </w:rPr>
        <w:t>CytoSorb</w:t>
      </w:r>
      <w:proofErr w:type="spellEnd"/>
      <w:r w:rsidRPr="00F8612D">
        <w:rPr>
          <w:rFonts w:ascii="Times New Roman" w:hAnsi="Times New Roman" w:cs="Times New Roman"/>
        </w:rPr>
        <w:t>, highlighting the potential role of these therapies in managing complex drug-induced and sepsis-related conditions.</w:t>
      </w:r>
    </w:p>
    <w:p w14:paraId="3E38D414" w14:textId="2BF567EA" w:rsidR="00700F8E" w:rsidRPr="00F8612D" w:rsidRDefault="00700F8E" w:rsidP="00F8612D">
      <w:pPr>
        <w:spacing w:line="360" w:lineRule="auto"/>
        <w:jc w:val="both"/>
        <w:rPr>
          <w:rFonts w:ascii="Times New Roman" w:hAnsi="Times New Roman" w:cs="Times New Roman"/>
        </w:rPr>
      </w:pPr>
    </w:p>
    <w:p w14:paraId="470B30E2" w14:textId="5F0E6CB7" w:rsidR="00700F8E" w:rsidRPr="00F8612D" w:rsidRDefault="00574014" w:rsidP="00F8612D">
      <w:pPr>
        <w:spacing w:line="360" w:lineRule="auto"/>
        <w:jc w:val="both"/>
        <w:rPr>
          <w:rFonts w:ascii="Times New Roman" w:hAnsi="Times New Roman" w:cs="Times New Roman"/>
        </w:rPr>
      </w:pPr>
      <w:r w:rsidRPr="00F8612D">
        <w:rPr>
          <w:rFonts w:ascii="Times New Roman" w:hAnsi="Times New Roman" w:cs="Times New Roman"/>
        </w:rPr>
        <w:t xml:space="preserve"> </w:t>
      </w:r>
    </w:p>
    <w:p w14:paraId="135F29D1" w14:textId="28DF31FA" w:rsidR="00700F8E" w:rsidRPr="00F8612D" w:rsidRDefault="00574014" w:rsidP="00F8612D">
      <w:pPr>
        <w:spacing w:line="360" w:lineRule="auto"/>
        <w:jc w:val="both"/>
        <w:rPr>
          <w:rFonts w:ascii="Times New Roman" w:hAnsi="Times New Roman" w:cs="Times New Roman"/>
          <w:b/>
          <w:bCs/>
        </w:rPr>
      </w:pPr>
      <w:bookmarkStart w:id="1" w:name="_Ref195812344"/>
      <w:r w:rsidRPr="00F8612D">
        <w:rPr>
          <w:rFonts w:ascii="Times New Roman" w:hAnsi="Times New Roman" w:cs="Times New Roman"/>
          <w:b/>
          <w:bCs/>
        </w:rPr>
        <w:t>C</w:t>
      </w:r>
      <w:r w:rsidR="00E751C4" w:rsidRPr="00F8612D">
        <w:rPr>
          <w:rFonts w:ascii="Times New Roman" w:hAnsi="Times New Roman" w:cs="Times New Roman"/>
          <w:b/>
          <w:bCs/>
        </w:rPr>
        <w:t>ase</w:t>
      </w:r>
      <w:r w:rsidRPr="00F8612D">
        <w:rPr>
          <w:rFonts w:ascii="Times New Roman" w:hAnsi="Times New Roman" w:cs="Times New Roman"/>
          <w:b/>
          <w:bCs/>
        </w:rPr>
        <w:t xml:space="preserve"> P</w:t>
      </w:r>
      <w:r w:rsidR="00E751C4" w:rsidRPr="00F8612D">
        <w:rPr>
          <w:rFonts w:ascii="Times New Roman" w:hAnsi="Times New Roman" w:cs="Times New Roman"/>
          <w:b/>
          <w:bCs/>
        </w:rPr>
        <w:t>resentation</w:t>
      </w:r>
      <w:r w:rsidRPr="00F8612D">
        <w:rPr>
          <w:rFonts w:ascii="Times New Roman" w:hAnsi="Times New Roman" w:cs="Times New Roman"/>
          <w:b/>
          <w:bCs/>
        </w:rPr>
        <w:t>:</w:t>
      </w:r>
      <w:bookmarkEnd w:id="1"/>
    </w:p>
    <w:p w14:paraId="44D3F6FD" w14:textId="5F833039" w:rsidR="00700F8E" w:rsidRDefault="00574014" w:rsidP="00F8612D">
      <w:pPr>
        <w:spacing w:line="360" w:lineRule="auto"/>
        <w:jc w:val="both"/>
        <w:rPr>
          <w:rFonts w:ascii="Times New Roman" w:hAnsi="Times New Roman" w:cs="Times New Roman"/>
        </w:rPr>
      </w:pPr>
      <w:r w:rsidRPr="00F8612D">
        <w:rPr>
          <w:rFonts w:ascii="Times New Roman" w:hAnsi="Times New Roman" w:cs="Times New Roman"/>
        </w:rPr>
        <w:t>A 34-year-old male, presented to the emergency department of Square Hospital Ltd, Dhaka, Bangladesh on 19 February 2025 with gastrointestinal and respiratory symptoms. Two weeks prior, he had been initiated on oral Voriconazole 200 mg twice daily for a dermatological case of Tinea corporis. Following the initiation of therapy, he developed persistent nausea, vomiting, loose stools, and no urine output which were later accompanied by abdominal discomfort and cough. Initial management was provided at another tertiary hospital from 18 to 19 February 2025; however, due to clinical deterioration, he was admitted to the ICU of Square Hospital Ltd</w:t>
      </w:r>
      <w:r w:rsidR="009B20B6" w:rsidRPr="00F8612D">
        <w:rPr>
          <w:rFonts w:ascii="Times New Roman" w:hAnsi="Times New Roman" w:cs="Times New Roman"/>
        </w:rPr>
        <w:t>, Dhaka, Bangladesh</w:t>
      </w:r>
      <w:r w:rsidRPr="00F8612D">
        <w:rPr>
          <w:rFonts w:ascii="Times New Roman" w:hAnsi="Times New Roman" w:cs="Times New Roman"/>
        </w:rPr>
        <w:t xml:space="preserve">. On presentation, his BP was non-recordable, pulse 120 beats/min, respiratory rate 28 breaths/min, temperature 98° F, GCS score 15/15, and oxygen saturation (SpO2) was of 92% on room air. He had no known prior illnesses or co-morbidities. Laboratory investigations revealed negative blood cultures on admission. Sputum gram stain on 20 February showed a few Gram-positive cocci and Gram-negative bacilli; by 27 February, a repeat sputum stain revealed moderate yeast forms suggestive of Candida. A comprehensive sepsis panel by RT-PCR was negative for common bacterial and fungal pathogens. Arterial blood gas analysis demonstrated metabolic and respiratory imbalances with fluctuating values of pH, </w:t>
      </w:r>
      <w:proofErr w:type="spellStart"/>
      <w:r w:rsidRPr="00F8612D">
        <w:rPr>
          <w:rFonts w:ascii="Times New Roman" w:hAnsi="Times New Roman" w:cs="Times New Roman"/>
        </w:rPr>
        <w:t>pCO</w:t>
      </w:r>
      <w:proofErr w:type="spellEnd"/>
      <w:r w:rsidRPr="00F8612D">
        <w:rPr>
          <w:rFonts w:ascii="Times New Roman" w:hAnsi="Times New Roman" w:cs="Times New Roman"/>
        </w:rPr>
        <w:t xml:space="preserve">₂, </w:t>
      </w:r>
      <w:proofErr w:type="spellStart"/>
      <w:r w:rsidRPr="00F8612D">
        <w:rPr>
          <w:rFonts w:ascii="Times New Roman" w:hAnsi="Times New Roman" w:cs="Times New Roman"/>
        </w:rPr>
        <w:t>pO</w:t>
      </w:r>
      <w:proofErr w:type="spellEnd"/>
      <w:r w:rsidRPr="00F8612D">
        <w:rPr>
          <w:rFonts w:ascii="Times New Roman" w:hAnsi="Times New Roman" w:cs="Times New Roman"/>
        </w:rPr>
        <w:t xml:space="preserve">₂, HCO₃⁻, and lactate. Ultrasonography of whole abdomen revealed acute hepatitis and calculus cholecystitis. Cardiology evaluation revealed significant left ventricular systolic dysfunction (EF-30%), raising concern for cardiogenic involvement. The patient was on intensive supportive therapy, including intravenous fluids and oxygenation guided by serial ABG monitoring. Due to progressive renal impairment and systemic toxicity, continuous renal replacement therapy (CRRT) was initiated. Given the severity of systemic inflammation and suspected drug-induced toxicity, </w:t>
      </w:r>
      <w:proofErr w:type="spellStart"/>
      <w:r w:rsidRPr="00F8612D">
        <w:rPr>
          <w:rFonts w:ascii="Times New Roman" w:hAnsi="Times New Roman" w:cs="Times New Roman"/>
        </w:rPr>
        <w:t>CytoSorb</w:t>
      </w:r>
      <w:proofErr w:type="spellEnd"/>
      <w:r w:rsidRPr="00F8612D">
        <w:rPr>
          <w:rFonts w:ascii="Times New Roman" w:hAnsi="Times New Roman" w:cs="Times New Roman"/>
        </w:rPr>
        <w:t xml:space="preserve"> </w:t>
      </w:r>
      <w:proofErr w:type="spellStart"/>
      <w:r w:rsidRPr="00F8612D">
        <w:rPr>
          <w:rFonts w:ascii="Times New Roman" w:hAnsi="Times New Roman" w:cs="Times New Roman"/>
        </w:rPr>
        <w:t>hemoadsorption</w:t>
      </w:r>
      <w:proofErr w:type="spellEnd"/>
      <w:r w:rsidRPr="00F8612D">
        <w:rPr>
          <w:rFonts w:ascii="Times New Roman" w:hAnsi="Times New Roman" w:cs="Times New Roman"/>
        </w:rPr>
        <w:t xml:space="preserve"> was integrated with CRRT</w:t>
      </w:r>
      <w:r w:rsidR="009B20B6" w:rsidRPr="00F8612D">
        <w:rPr>
          <w:rFonts w:ascii="Times New Roman" w:hAnsi="Times New Roman" w:cs="Times New Roman"/>
        </w:rPr>
        <w:t xml:space="preserve"> on</w:t>
      </w:r>
      <w:r w:rsidRPr="00F8612D">
        <w:rPr>
          <w:rFonts w:ascii="Times New Roman" w:hAnsi="Times New Roman" w:cs="Times New Roman"/>
        </w:rPr>
        <w:t xml:space="preserve"> 21</w:t>
      </w:r>
      <w:r w:rsidR="009B20B6" w:rsidRPr="00F8612D">
        <w:rPr>
          <w:rFonts w:ascii="Times New Roman" w:hAnsi="Times New Roman" w:cs="Times New Roman"/>
        </w:rPr>
        <w:t>st</w:t>
      </w:r>
      <w:r w:rsidRPr="00F8612D">
        <w:rPr>
          <w:rFonts w:ascii="Times New Roman" w:hAnsi="Times New Roman" w:cs="Times New Roman"/>
        </w:rPr>
        <w:t xml:space="preserve"> February 2025 to facilitate cytokine and toxin removal. This </w:t>
      </w:r>
      <w:r w:rsidRPr="00F8612D">
        <w:rPr>
          <w:rFonts w:ascii="Times New Roman" w:hAnsi="Times New Roman" w:cs="Times New Roman"/>
        </w:rPr>
        <w:lastRenderedPageBreak/>
        <w:t xml:space="preserve">advanced extracorporeal therapy contributed to the stabilization of the patient’s hemodynamic and metabolic parameters. Sustained low-efficiency dialysis (SLED) was then initiated, targeting solute clearance and volume control. A fluctuation of </w:t>
      </w:r>
      <w:r w:rsidRPr="00F8612D">
        <w:rPr>
          <w:rFonts w:ascii="Times New Roman" w:hAnsi="Times New Roman" w:cs="Times New Roman"/>
          <w:color w:val="000000"/>
        </w:rPr>
        <w:t xml:space="preserve">liver enzymes level, </w:t>
      </w:r>
      <w:r w:rsidR="009B20B6" w:rsidRPr="00F8612D">
        <w:rPr>
          <w:rFonts w:ascii="Times New Roman" w:hAnsi="Times New Roman" w:cs="Times New Roman"/>
          <w:color w:val="000000"/>
        </w:rPr>
        <w:t>serum C</w:t>
      </w:r>
      <w:r w:rsidRPr="00F8612D">
        <w:rPr>
          <w:rFonts w:ascii="Times New Roman" w:hAnsi="Times New Roman" w:cs="Times New Roman"/>
          <w:color w:val="000000"/>
        </w:rPr>
        <w:t xml:space="preserve">reatinine, and </w:t>
      </w:r>
      <w:r w:rsidR="009B20B6" w:rsidRPr="00F8612D">
        <w:rPr>
          <w:rFonts w:ascii="Times New Roman" w:hAnsi="Times New Roman" w:cs="Times New Roman"/>
          <w:color w:val="000000"/>
        </w:rPr>
        <w:t>serum U</w:t>
      </w:r>
      <w:r w:rsidRPr="00F8612D">
        <w:rPr>
          <w:rFonts w:ascii="Times New Roman" w:hAnsi="Times New Roman" w:cs="Times New Roman"/>
          <w:color w:val="000000"/>
        </w:rPr>
        <w:t xml:space="preserve">rea level were seen before and, Post </w:t>
      </w:r>
      <w:proofErr w:type="spellStart"/>
      <w:r w:rsidRPr="00F8612D">
        <w:rPr>
          <w:rFonts w:ascii="Times New Roman" w:hAnsi="Times New Roman" w:cs="Times New Roman"/>
          <w:color w:val="000000"/>
        </w:rPr>
        <w:t>CytoSorb</w:t>
      </w:r>
      <w:proofErr w:type="spellEnd"/>
      <w:r w:rsidRPr="00F8612D">
        <w:rPr>
          <w:rFonts w:ascii="Times New Roman" w:hAnsi="Times New Roman" w:cs="Times New Roman"/>
          <w:color w:val="000000"/>
        </w:rPr>
        <w:t xml:space="preserve"> and SLED (</w:t>
      </w:r>
      <w:r w:rsidRPr="00F8612D">
        <w:rPr>
          <w:rFonts w:ascii="Times New Roman" w:hAnsi="Times New Roman" w:cs="Times New Roman"/>
          <w:color w:val="000000"/>
        </w:rPr>
        <w:fldChar w:fldCharType="begin"/>
      </w:r>
      <w:r w:rsidRPr="00F8612D">
        <w:rPr>
          <w:rFonts w:ascii="Times New Roman" w:hAnsi="Times New Roman" w:cs="Times New Roman"/>
          <w:color w:val="000000"/>
        </w:rPr>
        <w:instrText xml:space="preserve"> REF _Ref195813122 \h </w:instrText>
      </w:r>
      <w:r w:rsidR="00F8612D" w:rsidRPr="00F8612D">
        <w:rPr>
          <w:rFonts w:ascii="Times New Roman" w:hAnsi="Times New Roman" w:cs="Times New Roman"/>
          <w:color w:val="000000"/>
        </w:rPr>
        <w:instrText xml:space="preserve"> \* MERGEFORMAT </w:instrText>
      </w:r>
      <w:r w:rsidRPr="00F8612D">
        <w:rPr>
          <w:rFonts w:ascii="Times New Roman" w:hAnsi="Times New Roman" w:cs="Times New Roman"/>
          <w:color w:val="000000"/>
        </w:rPr>
      </w:r>
      <w:r w:rsidRPr="00F8612D">
        <w:rPr>
          <w:rFonts w:ascii="Times New Roman" w:hAnsi="Times New Roman" w:cs="Times New Roman"/>
          <w:color w:val="000000"/>
        </w:rPr>
        <w:fldChar w:fldCharType="separate"/>
      </w:r>
      <w:r w:rsidRPr="00F8612D">
        <w:rPr>
          <w:rFonts w:ascii="Times New Roman" w:hAnsi="Times New Roman" w:cs="Times New Roman"/>
          <w:b/>
          <w:bCs/>
          <w:i/>
          <w:iCs/>
        </w:rPr>
        <w:t>Table 1</w:t>
      </w:r>
      <w:r w:rsidRPr="00F8612D">
        <w:rPr>
          <w:rFonts w:ascii="Times New Roman" w:hAnsi="Times New Roman" w:cs="Times New Roman"/>
          <w:color w:val="000000"/>
        </w:rPr>
        <w:fldChar w:fldCharType="end"/>
      </w:r>
      <w:r w:rsidRPr="00F8612D">
        <w:rPr>
          <w:rFonts w:ascii="Times New Roman" w:hAnsi="Times New Roman" w:cs="Times New Roman"/>
          <w:color w:val="000000"/>
        </w:rPr>
        <w:t xml:space="preserve">). </w:t>
      </w:r>
      <w:r w:rsidRPr="00F8612D">
        <w:rPr>
          <w:rFonts w:ascii="Times New Roman" w:hAnsi="Times New Roman" w:cs="Times New Roman"/>
        </w:rPr>
        <w:t xml:space="preserve">Multiple transfusions, including packed red blood cells, fresh frozen plasma, and cryoprecipitate, were administered to manage hematologic abnormalities. Ophthalmology consultation was sought for suspected Voriconazole-induced ocular toxicity; supportive topical treatment was commenced. The identification of Candida species in sputum samples introduced the possibility of secondary fungal infection despite a negative RT-PCR panel. Owing to financial limitations, the patient’s family opted for discharge against medical advice, despite recommendations for continued ICU management. At the time of discharge, his BP was 140/90 mm/hg, Pulse 116 beats/min, Temperature 100°F, SpO2 was 95% on room air, and normal urine output. The need for CRRT with </w:t>
      </w:r>
      <w:proofErr w:type="spellStart"/>
      <w:r w:rsidRPr="00F8612D">
        <w:rPr>
          <w:rFonts w:ascii="Times New Roman" w:hAnsi="Times New Roman" w:cs="Times New Roman"/>
        </w:rPr>
        <w:t>CytoSorb</w:t>
      </w:r>
      <w:proofErr w:type="spellEnd"/>
      <w:r w:rsidRPr="00F8612D">
        <w:rPr>
          <w:rFonts w:ascii="Times New Roman" w:hAnsi="Times New Roman" w:cs="Times New Roman"/>
        </w:rPr>
        <w:t xml:space="preserve">, and blood product transfusions highlighted the severity of the patient's condition and the multi-organ support required. </w:t>
      </w:r>
    </w:p>
    <w:p w14:paraId="6E733EA8" w14:textId="77777777" w:rsidR="00E751C4" w:rsidRPr="007C2D28" w:rsidRDefault="00E751C4" w:rsidP="00E751C4">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7C2D28">
        <w:rPr>
          <w:rFonts w:ascii="Times New Roman" w:eastAsia="Times New Roman" w:hAnsi="Times New Roman" w:cs="Times New Roman"/>
          <w:b/>
          <w:bCs/>
          <w:kern w:val="0"/>
          <w14:ligatures w14:val="none"/>
        </w:rPr>
        <w:t>Liver enzymes (SGPT &amp; SGOT)</w:t>
      </w:r>
      <w:r w:rsidRPr="007C2D28">
        <w:rPr>
          <w:rFonts w:ascii="Times New Roman" w:eastAsia="Times New Roman" w:hAnsi="Times New Roman" w:cs="Times New Roman"/>
          <w:kern w:val="0"/>
          <w14:ligatures w14:val="none"/>
        </w:rPr>
        <w:t xml:space="preserve"> showed a </w:t>
      </w:r>
      <w:r w:rsidRPr="007C2D28">
        <w:rPr>
          <w:rFonts w:ascii="Times New Roman" w:eastAsia="Times New Roman" w:hAnsi="Times New Roman" w:cs="Times New Roman"/>
          <w:b/>
          <w:bCs/>
          <w:kern w:val="0"/>
          <w14:ligatures w14:val="none"/>
        </w:rPr>
        <w:t>dramatic decrease</w:t>
      </w:r>
      <w:r w:rsidRPr="007C2D28">
        <w:rPr>
          <w:rFonts w:ascii="Times New Roman" w:eastAsia="Times New Roman" w:hAnsi="Times New Roman" w:cs="Times New Roman"/>
          <w:kern w:val="0"/>
          <w14:ligatures w14:val="none"/>
        </w:rPr>
        <w:t>, indicating significant improvement in hepatic inflammation or injury.</w:t>
      </w:r>
    </w:p>
    <w:p w14:paraId="71CF407A" w14:textId="06A753CB" w:rsidR="00F8612D" w:rsidRPr="00E751C4" w:rsidRDefault="00E751C4" w:rsidP="00E751C4">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7C2D28">
        <w:rPr>
          <w:rFonts w:ascii="Times New Roman" w:eastAsia="Times New Roman" w:hAnsi="Times New Roman" w:cs="Times New Roman"/>
          <w:b/>
          <w:bCs/>
          <w:kern w:val="0"/>
          <w14:ligatures w14:val="none"/>
        </w:rPr>
        <w:t>Renal function markers</w:t>
      </w:r>
      <w:r w:rsidRPr="007C2D28">
        <w:rPr>
          <w:rFonts w:ascii="Times New Roman" w:eastAsia="Times New Roman" w:hAnsi="Times New Roman" w:cs="Times New Roman"/>
          <w:kern w:val="0"/>
          <w14:ligatures w14:val="none"/>
        </w:rPr>
        <w:t xml:space="preserve"> (Serum Creatinine and Blood Urea) </w:t>
      </w:r>
      <w:r w:rsidRPr="007C2D28">
        <w:rPr>
          <w:rFonts w:ascii="Times New Roman" w:eastAsia="Times New Roman" w:hAnsi="Times New Roman" w:cs="Times New Roman"/>
          <w:b/>
          <w:bCs/>
          <w:kern w:val="0"/>
          <w14:ligatures w14:val="none"/>
        </w:rPr>
        <w:t>improved modestly</w:t>
      </w:r>
      <w:r w:rsidRPr="007C2D28">
        <w:rPr>
          <w:rFonts w:ascii="Times New Roman" w:eastAsia="Times New Roman" w:hAnsi="Times New Roman" w:cs="Times New Roman"/>
          <w:kern w:val="0"/>
          <w14:ligatures w14:val="none"/>
        </w:rPr>
        <w:t>, suggesting partial recovery of kidney function post-treatment.</w:t>
      </w:r>
    </w:p>
    <w:p w14:paraId="3613866D" w14:textId="77777777" w:rsidR="00F8612D" w:rsidRPr="00F8612D" w:rsidRDefault="00F8612D" w:rsidP="00F8612D">
      <w:pPr>
        <w:spacing w:line="360" w:lineRule="auto"/>
        <w:jc w:val="both"/>
        <w:rPr>
          <w:rFonts w:ascii="Times New Roman" w:hAnsi="Times New Roman" w:cs="Times New Roman"/>
        </w:rPr>
      </w:pPr>
    </w:p>
    <w:p w14:paraId="6ABD3B46" w14:textId="5C4656C8" w:rsidR="00700F8E" w:rsidRDefault="00700F8E" w:rsidP="00F8612D">
      <w:pPr>
        <w:spacing w:line="360" w:lineRule="auto"/>
        <w:jc w:val="both"/>
        <w:rPr>
          <w:rFonts w:ascii="Times New Roman" w:hAnsi="Times New Roman" w:cs="Times New Roman"/>
        </w:rPr>
      </w:pPr>
    </w:p>
    <w:p w14:paraId="117C0DCD" w14:textId="5F2A2E76" w:rsidR="00E751C4" w:rsidRDefault="00E751C4" w:rsidP="00F8612D">
      <w:pPr>
        <w:spacing w:line="360" w:lineRule="auto"/>
        <w:jc w:val="both"/>
        <w:rPr>
          <w:rFonts w:ascii="Times New Roman" w:hAnsi="Times New Roman" w:cs="Times New Roman"/>
        </w:rPr>
      </w:pPr>
    </w:p>
    <w:p w14:paraId="70455F86" w14:textId="306E7EC8" w:rsidR="00E751C4" w:rsidRDefault="00E751C4" w:rsidP="00F8612D">
      <w:pPr>
        <w:spacing w:line="360" w:lineRule="auto"/>
        <w:jc w:val="both"/>
        <w:rPr>
          <w:rFonts w:ascii="Times New Roman" w:hAnsi="Times New Roman" w:cs="Times New Roman"/>
        </w:rPr>
      </w:pPr>
    </w:p>
    <w:p w14:paraId="1A02961A" w14:textId="704515F2" w:rsidR="00E751C4" w:rsidRDefault="00E751C4" w:rsidP="00F8612D">
      <w:pPr>
        <w:spacing w:line="360" w:lineRule="auto"/>
        <w:jc w:val="both"/>
        <w:rPr>
          <w:rFonts w:ascii="Times New Roman" w:hAnsi="Times New Roman" w:cs="Times New Roman"/>
        </w:rPr>
      </w:pPr>
    </w:p>
    <w:p w14:paraId="2567CF17" w14:textId="1A8067AB" w:rsidR="00E751C4" w:rsidRDefault="00E751C4" w:rsidP="00F8612D">
      <w:pPr>
        <w:spacing w:line="360" w:lineRule="auto"/>
        <w:jc w:val="both"/>
        <w:rPr>
          <w:rFonts w:ascii="Times New Roman" w:hAnsi="Times New Roman" w:cs="Times New Roman"/>
        </w:rPr>
      </w:pPr>
    </w:p>
    <w:p w14:paraId="4B15DB72" w14:textId="20907377" w:rsidR="00E751C4" w:rsidRDefault="00E751C4" w:rsidP="00F8612D">
      <w:pPr>
        <w:spacing w:line="360" w:lineRule="auto"/>
        <w:jc w:val="both"/>
        <w:rPr>
          <w:rFonts w:ascii="Times New Roman" w:hAnsi="Times New Roman" w:cs="Times New Roman"/>
        </w:rPr>
      </w:pPr>
    </w:p>
    <w:p w14:paraId="60AA67E8" w14:textId="04611AA8" w:rsidR="00E751C4" w:rsidRDefault="00E751C4" w:rsidP="00F8612D">
      <w:pPr>
        <w:spacing w:line="360" w:lineRule="auto"/>
        <w:jc w:val="both"/>
        <w:rPr>
          <w:rFonts w:ascii="Times New Roman" w:hAnsi="Times New Roman" w:cs="Times New Roman"/>
        </w:rPr>
      </w:pPr>
    </w:p>
    <w:p w14:paraId="1C485DAC" w14:textId="1F3E63A2" w:rsidR="00E751C4" w:rsidRDefault="00E751C4" w:rsidP="00F8612D">
      <w:pPr>
        <w:spacing w:line="360" w:lineRule="auto"/>
        <w:jc w:val="both"/>
        <w:rPr>
          <w:rFonts w:ascii="Times New Roman" w:hAnsi="Times New Roman" w:cs="Times New Roman"/>
        </w:rPr>
      </w:pPr>
    </w:p>
    <w:p w14:paraId="3780F0A7" w14:textId="689D1659" w:rsidR="00E751C4" w:rsidRDefault="00E751C4" w:rsidP="00F8612D">
      <w:pPr>
        <w:spacing w:line="360" w:lineRule="auto"/>
        <w:jc w:val="both"/>
        <w:rPr>
          <w:rFonts w:ascii="Times New Roman" w:hAnsi="Times New Roman" w:cs="Times New Roman"/>
        </w:rPr>
      </w:pPr>
    </w:p>
    <w:p w14:paraId="6D6F52CF" w14:textId="62C8C06A" w:rsidR="00E751C4" w:rsidRDefault="00E751C4" w:rsidP="00F8612D">
      <w:pPr>
        <w:spacing w:line="360" w:lineRule="auto"/>
        <w:jc w:val="both"/>
        <w:rPr>
          <w:rFonts w:ascii="Times New Roman" w:hAnsi="Times New Roman" w:cs="Times New Roman"/>
        </w:rPr>
      </w:pPr>
    </w:p>
    <w:p w14:paraId="4A8A8E08" w14:textId="4077957C" w:rsidR="00E751C4" w:rsidRDefault="00E751C4" w:rsidP="00F8612D">
      <w:pPr>
        <w:spacing w:line="360" w:lineRule="auto"/>
        <w:jc w:val="both"/>
        <w:rPr>
          <w:rFonts w:ascii="Times New Roman" w:hAnsi="Times New Roman" w:cs="Times New Roman"/>
        </w:rPr>
      </w:pPr>
    </w:p>
    <w:p w14:paraId="46AE81F3" w14:textId="2FBC2131" w:rsidR="00E751C4" w:rsidRDefault="00E751C4" w:rsidP="00F8612D">
      <w:pPr>
        <w:spacing w:line="360" w:lineRule="auto"/>
        <w:jc w:val="both"/>
        <w:rPr>
          <w:rFonts w:ascii="Times New Roman" w:hAnsi="Times New Roman" w:cs="Times New Roman"/>
        </w:rPr>
      </w:pPr>
    </w:p>
    <w:p w14:paraId="5F522D70" w14:textId="476D937A" w:rsidR="00E751C4" w:rsidRDefault="00E751C4" w:rsidP="00F8612D">
      <w:pPr>
        <w:spacing w:line="360" w:lineRule="auto"/>
        <w:jc w:val="both"/>
        <w:rPr>
          <w:rFonts w:ascii="Times New Roman" w:hAnsi="Times New Roman" w:cs="Times New Roman"/>
        </w:rPr>
      </w:pPr>
    </w:p>
    <w:p w14:paraId="51BF97D8" w14:textId="77777777" w:rsidR="00E751C4" w:rsidRPr="00F8612D" w:rsidRDefault="00E751C4" w:rsidP="00F8612D">
      <w:pPr>
        <w:spacing w:line="360" w:lineRule="auto"/>
        <w:jc w:val="both"/>
        <w:rPr>
          <w:rFonts w:ascii="Times New Roman" w:hAnsi="Times New Roman" w:cs="Times New Roman"/>
        </w:rPr>
      </w:pPr>
    </w:p>
    <w:p w14:paraId="7897E835" w14:textId="7128DB85" w:rsidR="00700F8E" w:rsidRPr="00F8612D" w:rsidRDefault="00E751C4" w:rsidP="00F8612D">
      <w:pPr>
        <w:spacing w:line="360" w:lineRule="auto"/>
        <w:jc w:val="both"/>
        <w:rPr>
          <w:rFonts w:ascii="Times New Roman" w:hAnsi="Times New Roman" w:cs="Times New Roman"/>
          <w:b/>
          <w:bCs/>
        </w:rPr>
      </w:pPr>
      <w:r w:rsidRPr="00F8612D">
        <w:rPr>
          <w:rFonts w:ascii="Times New Roman" w:hAnsi="Times New Roman" w:cs="Times New Roman"/>
          <w:b/>
          <w:bCs/>
        </w:rPr>
        <w:t>Discussion</w:t>
      </w:r>
      <w:r w:rsidR="00574014" w:rsidRPr="00F8612D">
        <w:rPr>
          <w:rFonts w:ascii="Times New Roman" w:hAnsi="Times New Roman" w:cs="Times New Roman"/>
          <w:b/>
          <w:bCs/>
        </w:rPr>
        <w:t>:</w:t>
      </w:r>
    </w:p>
    <w:p w14:paraId="76B43C27" w14:textId="3B768D1C" w:rsidR="00700F8E" w:rsidRPr="00F8612D" w:rsidRDefault="00574014" w:rsidP="00F8612D">
      <w:pPr>
        <w:spacing w:line="360" w:lineRule="auto"/>
        <w:jc w:val="both"/>
        <w:rPr>
          <w:rFonts w:ascii="Times New Roman" w:hAnsi="Times New Roman" w:cs="Times New Roman"/>
        </w:rPr>
      </w:pPr>
      <w:r w:rsidRPr="00F8612D">
        <w:rPr>
          <w:rFonts w:ascii="Times New Roman" w:hAnsi="Times New Roman" w:cs="Times New Roman"/>
        </w:rPr>
        <w:t xml:space="preserve">Voriconazole is known for its efficacy against various fungal infections. However, its use has been associated with significant adverse effects, including hepatotoxicity, neurotoxicity, and, in rare cases, multi-organ dysfunction due to oxidative stress and mitochondrial toxicity [1]. In the presented case, the patient developed gastrointestinal and systemic symptoms shortly after initiating voriconazole therapy, suggesting a potential drug-induced toxicity. The management of such complex cases necessitates a multifaceted approach. CRRT serves as a cornerstone in treating acute kidney injury and managing fluid overload in hemodynamically unstable patients. Its continuous nature allows for gentle solute and fluid removal, making it suitable for critically ill patients [5]. In recent years, </w:t>
      </w:r>
      <w:proofErr w:type="spellStart"/>
      <w:r w:rsidRPr="00F8612D">
        <w:rPr>
          <w:rFonts w:ascii="Times New Roman" w:hAnsi="Times New Roman" w:cs="Times New Roman"/>
        </w:rPr>
        <w:t>CytoSorb</w:t>
      </w:r>
      <w:proofErr w:type="spellEnd"/>
      <w:r w:rsidRPr="00F8612D">
        <w:rPr>
          <w:rFonts w:ascii="Times New Roman" w:hAnsi="Times New Roman" w:cs="Times New Roman"/>
        </w:rPr>
        <w:t xml:space="preserve"> </w:t>
      </w:r>
      <w:proofErr w:type="spellStart"/>
      <w:r w:rsidRPr="00F8612D">
        <w:rPr>
          <w:rFonts w:ascii="Times New Roman" w:hAnsi="Times New Roman" w:cs="Times New Roman"/>
        </w:rPr>
        <w:t>hemoadsorption</w:t>
      </w:r>
      <w:proofErr w:type="spellEnd"/>
      <w:r w:rsidRPr="00F8612D">
        <w:rPr>
          <w:rFonts w:ascii="Times New Roman" w:hAnsi="Times New Roman" w:cs="Times New Roman"/>
        </w:rPr>
        <w:t xml:space="preserve"> therapy has emerged as an adjunctive treatment modality aimed at reducing the burden of circulating cytokines and inflammatory mediators. By integrating </w:t>
      </w:r>
      <w:proofErr w:type="spellStart"/>
      <w:r w:rsidRPr="00F8612D">
        <w:rPr>
          <w:rFonts w:ascii="Times New Roman" w:hAnsi="Times New Roman" w:cs="Times New Roman"/>
        </w:rPr>
        <w:t>CytoSorb</w:t>
      </w:r>
      <w:proofErr w:type="spellEnd"/>
      <w:r w:rsidRPr="00F8612D">
        <w:rPr>
          <w:rFonts w:ascii="Times New Roman" w:hAnsi="Times New Roman" w:cs="Times New Roman"/>
        </w:rPr>
        <w:t xml:space="preserve"> into the CRRT circuit, clinicians aim to mitigate the "cytokine storm" often observed in severe systemic inflammatory responses. Clinical experiences have demonstrated the potential benefits of combining </w:t>
      </w:r>
      <w:proofErr w:type="spellStart"/>
      <w:r w:rsidRPr="00F8612D">
        <w:rPr>
          <w:rFonts w:ascii="Times New Roman" w:hAnsi="Times New Roman" w:cs="Times New Roman"/>
        </w:rPr>
        <w:t>CytoSorb</w:t>
      </w:r>
      <w:proofErr w:type="spellEnd"/>
      <w:r w:rsidRPr="00F8612D">
        <w:rPr>
          <w:rFonts w:ascii="Times New Roman" w:hAnsi="Times New Roman" w:cs="Times New Roman"/>
        </w:rPr>
        <w:t xml:space="preserve"> with CRRT (6).</w:t>
      </w:r>
      <w:r w:rsidR="00B84373">
        <w:rPr>
          <w:rFonts w:ascii="Times New Roman" w:hAnsi="Times New Roman" w:cs="Times New Roman"/>
        </w:rPr>
        <w:t xml:space="preserve"> </w:t>
      </w:r>
      <w:r w:rsidR="00B84373" w:rsidRPr="00B84373">
        <w:rPr>
          <w:rFonts w:ascii="Times New Roman" w:hAnsi="Times New Roman" w:cs="Times New Roman"/>
        </w:rPr>
        <w:t xml:space="preserve">Previous in vitro studies have shown that </w:t>
      </w:r>
      <w:proofErr w:type="spellStart"/>
      <w:r w:rsidR="00B84373" w:rsidRPr="00B84373">
        <w:rPr>
          <w:rFonts w:ascii="Times New Roman" w:hAnsi="Times New Roman" w:cs="Times New Roman"/>
        </w:rPr>
        <w:t>CytoSorb</w:t>
      </w:r>
      <w:proofErr w:type="spellEnd"/>
      <w:r w:rsidR="00B84373" w:rsidRPr="00B84373">
        <w:rPr>
          <w:rFonts w:ascii="Times New Roman" w:hAnsi="Times New Roman" w:cs="Times New Roman"/>
        </w:rPr>
        <w:t xml:space="preserve"> hemoperfusion can remove up to 98% of key inflammatory cytokines such as MIP1-α, IL-6, and IFN-γ, along with a wide range of bacterial toxins</w:t>
      </w:r>
      <w:r w:rsidR="00B84373" w:rsidRPr="00B84373">
        <w:t xml:space="preserve"> </w:t>
      </w:r>
      <w:sdt>
        <w:sdtPr>
          <w:rPr>
            <w:color w:val="000000"/>
          </w:rPr>
          <w:tag w:val="MENDELEY_CITATION_v3_eyJjaXRhdGlvbklEIjoiTUVOREVMRVlfQ0lUQVRJT05fNGQ3OGExYTAtY2VhMS00OTQ3LWI0OGMtNTYxZTdiOGIwMTRhIiwicHJvcGVydGllcyI6eyJub3RlSW5kZXgiOjB9LCJpc0VkaXRlZCI6ZmFsc2UsIm1hbnVhbE92ZXJyaWRlIjp7ImlzTWFudWFsbHlPdmVycmlkZGVuIjpmYWxzZSwiY2l0ZXByb2NUZXh0IjoiKDExKSIsIm1hbnVhbE92ZXJyaWRlVGV4dCI6IiJ9LCJjaXRhdGlvbkl0ZW1zIjpbeyJpZCI6ImFiMzVlNzVmLWM1Y2QtMzY2YS04ODdmLWIwMDgxNGFlNzE5NCIsIml0ZW1EYXRhIjp7InR5cGUiOiJhcnRpY2xlLWpvdXJuYWwiLCJpZCI6ImFiMzVlNzVmLWM1Y2QtMzY2YS04ODdmLWIwMDgxNGFlNzE5NCIsInRpdGxlIjoiQnJvYWQgYWRzb3JwdGlvbiBvZiBzZXBzaXMtcmVsYXRlZCBQQU1QIGFuZCBEQU1QIG1vbGVjdWxlcywgbXljb3RveGlucywgYW5kIGN5dG9raW5lcyBmcm9tIHdob2xlIGJsb29kIHVzaW5nIEN5dG9Tb3Jiwq4gc29yYmVudCBwb3JvdXMgcG9seW1lciBiZWFkcyIsImF1dGhvciI6W3siZmFtaWx5IjoiR3J1ZGEiLCJnaXZlbiI6Ik1hcnlhbm4gQy4iLCJwYXJzZS1uYW1lcyI6ZmFsc2UsImRyb3BwaW5nLXBhcnRpY2xlIjoiIiwibm9uLWRyb3BwaW5nLXBhcnRpY2xlIjoiIn0seyJmYW1pbHkiOiJSdWdnZWJlcmciLCJnaXZlbiI6IkthcmwtR3VzdGF2IiwicGFyc2UtbmFtZXMiOmZhbHNlLCJkcm9wcGluZy1wYXJ0aWNsZSI6IiIsIm5vbi1kcm9wcGluZy1wYXJ0aWNsZSI6IiJ9LHsiZmFtaWx5IjoiT+KAmVN1bGxpdmFuIiwiZ2l2ZW4iOiJQYW1lbGEiLCJwYXJzZS1uYW1lcyI6ZmFsc2UsImRyb3BwaW5nLXBhcnRpY2xlIjoiIiwibm9uLWRyb3BwaW5nLXBhcnRpY2xlIjoiIn0seyJmYW1pbHkiOiJHdWxpYXNodmlsaSIsImdpdmVuIjoiVGFtYXoiLCJwYXJzZS1uYW1lcyI6ZmFsc2UsImRyb3BwaW5nLXBhcnRpY2xlIjoiIiwibm9uLWRyb3BwaW5nLXBhcnRpY2xlIjoiIn0seyJmYW1pbHkiOiJTY2hlaXJlciIsImdpdmVuIjoiQW5kcmV3IFIuIiwicGFyc2UtbmFtZXMiOmZhbHNlLCJkcm9wcGluZy1wYXJ0aWNsZSI6IiIsIm5vbi1kcm9wcGluZy1wYXJ0aWNsZSI6IiJ9LHsiZmFtaWx5IjoiR29sb2Jpc2giLCJnaXZlbiI6IlRob21hcyBELiIsInBhcnNlLW5hbWVzIjpmYWxzZSwiZHJvcHBpbmctcGFydGljbGUiOiIiLCJub24tZHJvcHBpbmctcGFydGljbGUiOiIifSx7ImZhbWlseSI6IkNhcHBvbmkiLCJnaXZlbiI6IlZpbmNlbnQgSi4iLCJwYXJzZS1uYW1lcyI6ZmFsc2UsImRyb3BwaW5nLXBhcnRpY2xlIjoiIiwibm9uLWRyb3BwaW5nLXBhcnRpY2xlIjoiIn0seyJmYW1pbHkiOiJDaGFuIiwiZ2l2ZW4iOiJQaGlsbGlwIFAuIiwicGFyc2UtbmFtZXMiOmZhbHNlLCJkcm9wcGluZy1wYXJ0aWNsZSI6IiIsIm5vbi1kcm9wcGluZy1wYXJ0aWNsZSI6IiJ9XSwiY29udGFpbmVyLXRpdGxlIjoiUExPUyBPTkUiLCJjb250YWluZXItdGl0bGUtc2hvcnQiOiJQTG9TIE9uZSIsIkRPSSI6IjEwLjEzNzEvam91cm5hbC5wb25lLjAxOTE2NzYiLCJJU1NOIjoiMTkzMi02MjAzIiwiaXNzdWVkIjp7ImRhdGUtcGFydHMiOltbMjAxOCwxLDI1XV19LCJwYWdlIjoiZTAxOTE2NzYiLCJpc3N1ZSI6IjEiLCJ2b2x1bWUiOiIxMyJ9LCJpc1RlbXBvcmFyeSI6ZmFsc2V9XX0="/>
          <w:id w:val="-758448987"/>
          <w:placeholder>
            <w:docPart w:val="DefaultPlaceholder_-1854013440"/>
          </w:placeholder>
        </w:sdtPr>
        <w:sdtEndPr/>
        <w:sdtContent>
          <w:r w:rsidR="00145B6F" w:rsidRPr="00145B6F">
            <w:rPr>
              <w:color w:val="000000"/>
            </w:rPr>
            <w:t>(11)</w:t>
          </w:r>
        </w:sdtContent>
      </w:sdt>
      <w:r w:rsidR="00145B6F">
        <w:rPr>
          <w:color w:val="000000"/>
        </w:rPr>
        <w:t xml:space="preserve">. </w:t>
      </w:r>
      <w:r w:rsidR="00B84373" w:rsidRPr="00B84373">
        <w:rPr>
          <w:rFonts w:ascii="Times New Roman" w:hAnsi="Times New Roman" w:cs="Times New Roman"/>
        </w:rPr>
        <w:t xml:space="preserve">A follow-up study demonstrated that long-term survival beyond 28 days is achievable with both </w:t>
      </w:r>
      <w:proofErr w:type="spellStart"/>
      <w:r w:rsidR="00B84373" w:rsidRPr="00B84373">
        <w:rPr>
          <w:rFonts w:ascii="Times New Roman" w:hAnsi="Times New Roman" w:cs="Times New Roman"/>
        </w:rPr>
        <w:t>CytoSorb</w:t>
      </w:r>
      <w:proofErr w:type="spellEnd"/>
      <w:r w:rsidR="00B84373" w:rsidRPr="00B84373">
        <w:rPr>
          <w:rFonts w:ascii="Times New Roman" w:hAnsi="Times New Roman" w:cs="Times New Roman"/>
        </w:rPr>
        <w:t xml:space="preserve"> and CRRT, with </w:t>
      </w:r>
      <w:proofErr w:type="spellStart"/>
      <w:r w:rsidR="00B84373" w:rsidRPr="00B84373">
        <w:rPr>
          <w:rFonts w:ascii="Times New Roman" w:hAnsi="Times New Roman" w:cs="Times New Roman"/>
        </w:rPr>
        <w:t>CytoSorb</w:t>
      </w:r>
      <w:proofErr w:type="spellEnd"/>
      <w:r w:rsidR="00B84373" w:rsidRPr="00B84373">
        <w:rPr>
          <w:rFonts w:ascii="Times New Roman" w:hAnsi="Times New Roman" w:cs="Times New Roman"/>
        </w:rPr>
        <w:t xml:space="preserve"> showing better outcomes in a weighted analysis. Factors such as age, comorbidities, abdominal sepsis, and lactate levels at therapy initiation</w:t>
      </w:r>
      <w:r w:rsidR="00B84373">
        <w:rPr>
          <w:rFonts w:ascii="Times New Roman" w:hAnsi="Times New Roman" w:cs="Times New Roman"/>
        </w:rPr>
        <w:t xml:space="preserve">, </w:t>
      </w:r>
      <w:r w:rsidR="00B84373" w:rsidRPr="00B84373">
        <w:rPr>
          <w:rFonts w:ascii="Times New Roman" w:hAnsi="Times New Roman" w:cs="Times New Roman"/>
        </w:rPr>
        <w:t>particularly levels above 6.0 mmol/L</w:t>
      </w:r>
      <w:r w:rsidR="00B84373">
        <w:rPr>
          <w:rFonts w:ascii="Times New Roman" w:hAnsi="Times New Roman" w:cs="Times New Roman"/>
        </w:rPr>
        <w:t xml:space="preserve"> </w:t>
      </w:r>
      <w:r w:rsidR="00B84373" w:rsidRPr="00B84373">
        <w:rPr>
          <w:rFonts w:ascii="Times New Roman" w:hAnsi="Times New Roman" w:cs="Times New Roman"/>
        </w:rPr>
        <w:t xml:space="preserve">were closely associated with both short and long-term mortality. This suggests that early patient selection based on these markers could help optimize outcomes with </w:t>
      </w:r>
      <w:proofErr w:type="spellStart"/>
      <w:r w:rsidR="00B84373" w:rsidRPr="00B84373">
        <w:rPr>
          <w:rFonts w:ascii="Times New Roman" w:hAnsi="Times New Roman" w:cs="Times New Roman"/>
        </w:rPr>
        <w:t>CytoSorb</w:t>
      </w:r>
      <w:proofErr w:type="spellEnd"/>
      <w:r w:rsidR="00B84373" w:rsidRPr="00B84373">
        <w:rPr>
          <w:rFonts w:ascii="Times New Roman" w:hAnsi="Times New Roman" w:cs="Times New Roman"/>
        </w:rPr>
        <w:t xml:space="preserve"> therapy</w:t>
      </w:r>
      <w:sdt>
        <w:sdtPr>
          <w:rPr>
            <w:rFonts w:ascii="Times New Roman" w:hAnsi="Times New Roman" w:cs="Times New Roman"/>
            <w:color w:val="000000"/>
          </w:rPr>
          <w:tag w:val="MENDELEY_CITATION_v3_eyJjaXRhdGlvbklEIjoiTUVOREVMRVlfQ0lUQVRJT05fOGNjZTRiYzgtYmQ1Ni00NTc5LThkZWItMWRmNjkwYzY3ZWY3IiwicHJvcGVydGllcyI6eyJub3RlSW5kZXgiOjB9LCJpc0VkaXRlZCI6ZmFsc2UsIm1hbnVhbE92ZXJyaWRlIjp7ImlzTWFudWFsbHlPdmVycmlkZGVuIjpmYWxzZSwiY2l0ZXByb2NUZXh0IjoiKDEyKSIsIm1hbnVhbE92ZXJyaWRlVGV4dCI6IiJ9LCJjaXRhdGlvbkl0ZW1zIjpbeyJpZCI6IjkzZTI3Mzc3LTA4ZjMtMzE2Yy1hYmYwLWQzYzVkNGNjMjIyOCIsIml0ZW1EYXRhIjp7InR5cGUiOiJhcnRpY2xlLWpvdXJuYWwiLCJpZCI6IjkzZTI3Mzc3LTA4ZjMtMzE2Yy1hYmYwLWQzYzVkNGNjMjIyOCIsInRpdGxlIjoiSW1wcm92ZWQgU3Vydml2YWwgYmV5b25kIDI4IERheXMgdXAgdG8gMSBZZWFyIGFmdGVyIEN5dG9Tb3JiIFRyZWF0bWVudCBmb3IgUmVmcmFjdG9yeSBTZXB0aWMgU2hvY2s6IEEgUHJvcGVuc2l0eS1XZWlnaHRlZCBSZXRyb3NwZWN0aXZlIFN1cnZpdmFsIEFuYWx5c2lzIiwiYXV0aG9yIjpbeyJmYW1pbHkiOiJCcm91d2VyIiwiZ2l2ZW4iOiJXaWxsZW0gUC4iLCJwYXJzZS1uYW1lcyI6ZmFsc2UsImRyb3BwaW5nLXBhcnRpY2xlIjoiIiwibm9uLWRyb3BwaW5nLXBhcnRpY2xlIjoiIn0seyJmYW1pbHkiOiJEdXJhbiIsImdpdmVuIjoiU2VydmV0IiwicGFyc2UtbmFtZXMiOmZhbHNlLCJkcm9wcGluZy1wYXJ0aWNsZSI6IiIsIm5vbi1kcm9wcGluZy1wYXJ0aWNsZSI6IiJ9LHsiZmFtaWx5IjoiSW5jZSIsImdpdmVuIjoiQ2FuIiwicGFyc2UtbmFtZXMiOmZhbHNlLCJkcm9wcGluZy1wYXJ0aWNsZSI6IiIsIm5vbi1kcm9wcGluZy1wYXJ0aWNsZSI6IiJ9XSwiY29udGFpbmVyLXRpdGxlIjoiQmxvb2QgUHVyaWZpY2F0aW9uIiwiY29udGFpbmVyLXRpdGxlLXNob3J0IjoiQmxvb2QgUHVyaWYiLCJET0kiOiIxMC4xMTU5LzAwMDUxMjMwOSIsIklTU04iOiIwMjUzLTUwNjgiLCJpc3N1ZWQiOnsiZGF0ZS1wYXJ0cyI6W1syMDIxXV19LCJwYWdlIjoiNTM5LTU0NSIsImFic3RyYWN0IjoiPHA+Jmx0O2ImZ3Q7Jmx0O2kmZ3Q7QmFja2dyb3VuZCBhbmQgQWltczombHQ7L2kmZ3Q7Jmx0Oy9iJmd0OyBJdCBpcyBjdXJyZW50bHkgdW5rbm93biB3aGV0aGVyIEN5dG9Tb3JiIHRyZWF0bWVudCBmb3Igc2VwdGljIHNob2NrIGltcHJvdmVzIGxvbmctdGVybSBzdXJ2aXZhbCBiZXlvbmQgMjggZGF5cyBmcm9tIGludGVuc2l2ZSBjYXJlIHVuaXQgKElDVSkgYWRtaXNzaW9uIGFuZCB3aGljaCBmYWN0b3JzIGRldGVybWluZSBvdXRjb21lLiAmbHQ7YiZndDsmbHQ7aSZndDtNZXRob2RzOiZsdDsvaSZndDsmbHQ7L2ImZ3Q7IFRoaXMgd2FzIGEgbG9uZy10ZXJtIGZvbGxvdy11cCByZXRyb3NwZWN0aXZlIGFuYWx5c2lzIG9mIHBhdGllbnRzIHdpdGggc2VwdGljIHNob2NrIHdobyB3ZXJlIHRyZWF0ZWQgd2l0aCBjb250aW51b3VzIHJlbmFsIHJlcGxhY2VtZW50IHRoZXJhcHkgKENSUlQpICsgQ3l0b1NvcmIgKCZsdDtpJmd0O24mbHQ7L2kmZ3Q7ID0gNjcpIG9yIENSUlQgYWxvbmUgKCZsdDtpJmd0O24mbHQ7L2kmZ3Q7ID0gNDkpLiBUaGVzZSBwYXRpZW50cyB3ZXJlIHByZXZpb3VzbHkgYW5hbHl6ZWQgZm9yIDI4LWRheSBtb3J0YWxpdHkuIFRoZSBwcmltYXJ5IG91dGNvbWUgd2FzIHRoZSB0aW1lIHRvIGxvbmctdGVybSBhbGwtY2F1c2UgbW9ydGFsaXR5LiBGYWN0b3JzIGFzc29jaWF0ZWQgd2l0aCB0aW1lIHRvIGV2ZW50IHdlcmUgYW5hbHl6ZWQgYm90aCB3ZWlnaHRlZCBieSBzdGFiaWxpemVkIGludmVyc2UgcHJvYmFiaWxpdHkgb2YgdHJlYXRtZW50IHdlaWdodHMgKHNJUFRXKSBhcyB3ZWxsIGFzIHVud2VpZ2h0ZWQgc3RyYXRpZmllZCBieSB0aGVyYXB5IHJlY2VpdmVkLiAmbHQ7YiZndDsmbHQ7aSZndDtSZXN1bHRzOiZsdDsvaSZndDsmbHQ7L2ImZ3Q7IFRoZSBtZWRpYW4gZm9sbG93LXVwIGZvciB0aGUgdG90YWwgY29ob3J0IHdhcyAzMCBkYXlzIChpbnRlcnF1YXJ0aWxlIHJhbmdlIFtJUVJdOiA14oCTMzM0LCBtYXhpbXVtIDEsMDU5IGRheXMpIGFmdGVyIElDVSBhZG1pc3Npb24gYW5kIDMzMyBkYXlzIChJUVI6IDE3MOKAkzU4MykgZm9yIHRob3NlIHdobyBzdXJ2aXZlZCBiZXlvbmQgMjggZGF5cyAoJmx0O2kmZ3Q7biZsdDsvaSZndDsgPSA1OSkuIFN1cnZpdmFsIGJleW9uZCAyOCBkYXlzIHdhcyBzdXN0YWluZWQgdXAgdG8gMSB5ZWFyIGFmdGVyIElDVSBhZG1pc3Npb24gZm9yIGJvdGggdHJlYXRtZW50IHJlZ2ltZW5zOiA4MCUgKHN0YW5kYXJkIGVycm9yIFtTRV0gNyUpIHZzLiA4NyUgKFNFIDclKSwgZm9yIEN5dG9Tb3JiIHZzLiBDUlJULCByZXNwZWN0aXZlbHksICZsdDtpJmd0O3AmbHQ7L2kmZ3Q7ID0gMC44NTMuIEJ5IHNJUFRXLCBDeXRvU29yYiB3YXMgc2lnbmlmaWNhbnRseSBhc3NvY2lhdGVkIHdpdGggbG9uZy10ZXJtIG91dGNvbWUgY29tcGFyZWQgdG8gQ1JSVCAoYWRqdXN0ZWQgaGF6YXJkIHJhdGlvIFthSFJdIDAuNTksIDk1JSBjb25maWRlbmNlIGludGVydmFsIFtDSV0gMC4zN+KAkzAuOTMsICZsdDtpJmd0O3AmbHQ7L2kmZ3Q7ID0gMC4wMjUpLiBJbmRlcGVuZGVudCBmYWN0b3JzIGFzc29jaWF0ZWQgd2l0aCBsb25nLXRlcm0gb3V0Y29tZSBpbiBDeXRvU29yYi10cmVhdGVkIHBhdGllbnRzIHdlcmUgYmFzZWxpbmUgbG9nJmx0O3N1YiZndDsxMCZsdDsvc3ViJmd0OyBsYWN0YXRlIGxldmVscyAoYUhSIDUuMSwgJmx0O2kmZ3Q7cCZsdDsvaSZndDsgPSAwLjAwMiksIGFnZSBpbiB0aGUgcHJlc2VuY2Ugb2YgY29tb3JiaWRpdHkgKGFIUiAyLjYwLCAmbHQ7aSZndDtwJmx0Oy9pJmd0OyA9IDAuMDEzKSwgYW5kIHByZXNlbmNlIG9mIGFiZG9taW5hbCBzZXBzaXMgKGFIUiAwLjM0LCAmbHQ7aSZndDtwJmx0Oy9pJmd0OyA9IDAuMDA0KS4gQSBsYWN0YXRlIGxldmVsIGFib3ZlIDYuMCBtbW9sL0wgYXQgdGhlIHN0YXJ0IG9mIEN5dG9Tb3JiIHRoZXJhcHkgaGFkIGEgcG9zaXRpdmUgcHJlZGljdGl2ZSB2YWx1ZSBvZiA3OSUgZm9yIG1vcnRhbGl0eSAoJmx0O2kmZ3Q7cCZsdDsvaSZndDsgPSAwLjAxMykuICZsdDtiJmd0OyZsdDtpJmd0O0NvbmNsdXNpb25zOiZsdDsvaSZndDsmbHQ7L2ImZ3Q7IFN1cnZpdmFsIGlzIGFjaGlldmVkIHdpdGggQ3l0b1NvcmIgYW5kIENSUlQgZm9yIHBhdGllbnRzIHdpdGggc2VwdGljIHNob2NrIGJleW9uZCAyOCBkYXlzIGZyb20gSUNVIGFkbWlzc2lvbiBhbmQgbWF5IGJlIGltcHJvdmVkIGZvciBDeXRvU29yYiB0cmVhdG1lbnQuIExhY3RhdGUgbGV2ZWxzIGFib3ZlIDYuMCBtbW9sL0wgYXQgdGhlIHN0YXJ0IG9mIEN5dG9Tb3JiIHRoZXJhcHkgYXJlIHByZWRpY3RpdmUgb2Ygd29yc2Ugb3V0Y29tZSB3aXRoIGhpZ2ggc3BlY2lmaWNpdHkgYW5kIHBvc2l0aXZlIHByZWRpY3RpdmUgdmFsdWUuPC9wPiIsImlzc3VlIjoiNC01Iiwidm9sdW1lIjoiNTAifSwiaXNUZW1wb3JhcnkiOmZhbHNlfV19"/>
          <w:id w:val="-84605188"/>
          <w:placeholder>
            <w:docPart w:val="DefaultPlaceholder_-1854013440"/>
          </w:placeholder>
        </w:sdtPr>
        <w:sdtEndPr/>
        <w:sdtContent>
          <w:r w:rsidR="00145B6F" w:rsidRPr="00145B6F">
            <w:rPr>
              <w:rFonts w:ascii="Times New Roman" w:hAnsi="Times New Roman" w:cs="Times New Roman"/>
              <w:color w:val="000000"/>
            </w:rPr>
            <w:t>(12)</w:t>
          </w:r>
        </w:sdtContent>
      </w:sdt>
      <w:r w:rsidR="00B84373">
        <w:rPr>
          <w:rFonts w:ascii="Times New Roman" w:hAnsi="Times New Roman" w:cs="Times New Roman"/>
        </w:rPr>
        <w:t xml:space="preserve">. </w:t>
      </w:r>
      <w:r w:rsidRPr="00F8612D">
        <w:rPr>
          <w:rFonts w:ascii="Times New Roman" w:hAnsi="Times New Roman" w:cs="Times New Roman"/>
        </w:rPr>
        <w:t xml:space="preserve">For instance, Steurer et al. reported successful application of </w:t>
      </w:r>
      <w:proofErr w:type="spellStart"/>
      <w:r w:rsidRPr="00F8612D">
        <w:rPr>
          <w:rFonts w:ascii="Times New Roman" w:hAnsi="Times New Roman" w:cs="Times New Roman"/>
        </w:rPr>
        <w:t>CytoSorb</w:t>
      </w:r>
      <w:proofErr w:type="spellEnd"/>
      <w:r w:rsidRPr="00F8612D">
        <w:rPr>
          <w:rFonts w:ascii="Times New Roman" w:hAnsi="Times New Roman" w:cs="Times New Roman"/>
        </w:rPr>
        <w:t xml:space="preserve"> in pediatric patients with multi-organ failure, observing rapid stabilization of hemodynamic parameters and a significant reduction in inflammatory markers (7). These observations align with existing </w:t>
      </w:r>
      <w:r w:rsidRPr="00F8612D">
        <w:rPr>
          <w:rFonts w:ascii="Times New Roman" w:hAnsi="Times New Roman" w:cs="Times New Roman"/>
        </w:rPr>
        <w:lastRenderedPageBreak/>
        <w:t xml:space="preserve">literature, suggesting that </w:t>
      </w:r>
      <w:proofErr w:type="spellStart"/>
      <w:r w:rsidRPr="00F8612D">
        <w:rPr>
          <w:rFonts w:ascii="Times New Roman" w:hAnsi="Times New Roman" w:cs="Times New Roman"/>
        </w:rPr>
        <w:t>CytoSorb</w:t>
      </w:r>
      <w:proofErr w:type="spellEnd"/>
      <w:r w:rsidRPr="00F8612D">
        <w:rPr>
          <w:rFonts w:ascii="Times New Roman" w:hAnsi="Times New Roman" w:cs="Times New Roman"/>
        </w:rPr>
        <w:t xml:space="preserve"> may </w:t>
      </w:r>
      <w:r w:rsidR="00145B6F">
        <w:rPr>
          <w:rFonts w:ascii="Times New Roman" w:hAnsi="Times New Roman" w:cs="Times New Roman"/>
        </w:rPr>
        <w:t>be</w:t>
      </w:r>
      <w:r w:rsidRPr="00F8612D">
        <w:rPr>
          <w:rFonts w:ascii="Times New Roman" w:hAnsi="Times New Roman" w:cs="Times New Roman"/>
        </w:rPr>
        <w:t xml:space="preserve"> a valuable adjunct in managing severe systemic inflammation and multi-organ dysfunction.</w:t>
      </w:r>
      <w:r w:rsidR="00145B6F">
        <w:rPr>
          <w:rFonts w:ascii="Times New Roman" w:hAnsi="Times New Roman" w:cs="Times New Roman"/>
        </w:rPr>
        <w:t xml:space="preserve"> However,</w:t>
      </w:r>
      <w:r w:rsidRPr="00F8612D">
        <w:rPr>
          <w:rFonts w:ascii="Times New Roman" w:hAnsi="Times New Roman" w:cs="Times New Roman"/>
        </w:rPr>
        <w:t xml:space="preserve"> </w:t>
      </w:r>
      <w:r w:rsidR="00145B6F">
        <w:rPr>
          <w:rFonts w:ascii="Times New Roman" w:hAnsi="Times New Roman" w:cs="Times New Roman"/>
        </w:rPr>
        <w:t>o</w:t>
      </w:r>
      <w:r w:rsidR="00145B6F" w:rsidRPr="00145B6F">
        <w:rPr>
          <w:rFonts w:ascii="Times New Roman" w:hAnsi="Times New Roman" w:cs="Times New Roman"/>
        </w:rPr>
        <w:t xml:space="preserve">ne key limitation of this case is that voriconazole drug levels were not monitored, making it difficult to definitively confirm drug-induced toxicity as the primary cause of the patient’s multi-organ dysfunction. Additionally, due to financial constraints, the patient was discharged against medical advice, which limited our ability to assess his long-term clinical outcomes. As this is a single observational case, we also cannot draw firm conclusions about the specific benefits of </w:t>
      </w:r>
      <w:proofErr w:type="spellStart"/>
      <w:r w:rsidR="00145B6F" w:rsidRPr="00145B6F">
        <w:rPr>
          <w:rFonts w:ascii="Times New Roman" w:hAnsi="Times New Roman" w:cs="Times New Roman"/>
        </w:rPr>
        <w:t>CytoSorb</w:t>
      </w:r>
      <w:proofErr w:type="spellEnd"/>
      <w:r w:rsidR="00145B6F" w:rsidRPr="00145B6F">
        <w:rPr>
          <w:rFonts w:ascii="Times New Roman" w:hAnsi="Times New Roman" w:cs="Times New Roman"/>
        </w:rPr>
        <w:t xml:space="preserve"> therapy without further controlled studies.</w:t>
      </w:r>
    </w:p>
    <w:p w14:paraId="7B748A97" w14:textId="7F1C3E9D" w:rsidR="00700F8E" w:rsidRPr="00F8612D" w:rsidRDefault="00700F8E" w:rsidP="00F8612D">
      <w:pPr>
        <w:spacing w:line="360" w:lineRule="auto"/>
        <w:jc w:val="both"/>
        <w:rPr>
          <w:rFonts w:ascii="Times New Roman" w:hAnsi="Times New Roman" w:cs="Times New Roman"/>
        </w:rPr>
      </w:pPr>
    </w:p>
    <w:p w14:paraId="40F5CEBF" w14:textId="760C9CDB" w:rsidR="00700F8E" w:rsidRPr="00F8612D" w:rsidRDefault="00574014" w:rsidP="00F8612D">
      <w:pPr>
        <w:spacing w:line="360" w:lineRule="auto"/>
        <w:jc w:val="both"/>
        <w:rPr>
          <w:rFonts w:ascii="Times New Roman" w:hAnsi="Times New Roman" w:cs="Times New Roman"/>
          <w:b/>
          <w:bCs/>
        </w:rPr>
      </w:pPr>
      <w:r w:rsidRPr="00F8612D">
        <w:rPr>
          <w:rFonts w:ascii="Times New Roman" w:hAnsi="Times New Roman" w:cs="Times New Roman"/>
          <w:b/>
          <w:bCs/>
        </w:rPr>
        <w:t>C</w:t>
      </w:r>
      <w:r w:rsidR="00E751C4" w:rsidRPr="00F8612D">
        <w:rPr>
          <w:rFonts w:ascii="Times New Roman" w:hAnsi="Times New Roman" w:cs="Times New Roman"/>
          <w:b/>
          <w:bCs/>
        </w:rPr>
        <w:t>onclusion</w:t>
      </w:r>
      <w:r w:rsidR="00E751C4">
        <w:rPr>
          <w:rFonts w:ascii="Times New Roman" w:hAnsi="Times New Roman" w:cs="Times New Roman"/>
          <w:b/>
          <w:bCs/>
        </w:rPr>
        <w:t>s</w:t>
      </w:r>
      <w:r w:rsidRPr="00F8612D">
        <w:rPr>
          <w:rFonts w:ascii="Times New Roman" w:hAnsi="Times New Roman" w:cs="Times New Roman"/>
          <w:b/>
          <w:bCs/>
        </w:rPr>
        <w:t>:</w:t>
      </w:r>
    </w:p>
    <w:p w14:paraId="764B4B40" w14:textId="5C6E9754" w:rsidR="00E751C4" w:rsidRPr="009A37ED" w:rsidRDefault="00574014" w:rsidP="00F8612D">
      <w:pPr>
        <w:spacing w:line="360" w:lineRule="auto"/>
        <w:jc w:val="both"/>
        <w:rPr>
          <w:rFonts w:ascii="Times New Roman" w:hAnsi="Times New Roman" w:cs="Times New Roman"/>
        </w:rPr>
      </w:pPr>
      <w:r w:rsidRPr="00F8612D">
        <w:rPr>
          <w:rFonts w:ascii="Times New Roman" w:hAnsi="Times New Roman" w:cs="Times New Roman"/>
        </w:rPr>
        <w:t xml:space="preserve">This case highlights the complexities of managing drug-induced multi-organ dysfunction and points to the potential role of adjunctive therapies such as </w:t>
      </w:r>
      <w:proofErr w:type="spellStart"/>
      <w:r w:rsidRPr="00F8612D">
        <w:rPr>
          <w:rFonts w:ascii="Times New Roman" w:hAnsi="Times New Roman" w:cs="Times New Roman"/>
        </w:rPr>
        <w:t>CytoSorb</w:t>
      </w:r>
      <w:proofErr w:type="spellEnd"/>
      <w:r w:rsidRPr="00F8612D">
        <w:rPr>
          <w:rFonts w:ascii="Times New Roman" w:hAnsi="Times New Roman" w:cs="Times New Roman"/>
        </w:rPr>
        <w:t xml:space="preserve"> </w:t>
      </w:r>
      <w:proofErr w:type="spellStart"/>
      <w:r w:rsidRPr="00F8612D">
        <w:rPr>
          <w:rFonts w:ascii="Times New Roman" w:hAnsi="Times New Roman" w:cs="Times New Roman"/>
        </w:rPr>
        <w:t>hemoadsorption</w:t>
      </w:r>
      <w:proofErr w:type="spellEnd"/>
      <w:r w:rsidRPr="00F8612D">
        <w:rPr>
          <w:rFonts w:ascii="Times New Roman" w:hAnsi="Times New Roman" w:cs="Times New Roman"/>
        </w:rPr>
        <w:t xml:space="preserve"> alongside CRRT. The clinical improvements observed suggest that incorporating </w:t>
      </w:r>
      <w:proofErr w:type="spellStart"/>
      <w:r w:rsidRPr="00F8612D">
        <w:rPr>
          <w:rFonts w:ascii="Times New Roman" w:hAnsi="Times New Roman" w:cs="Times New Roman"/>
        </w:rPr>
        <w:t>CytoSorb</w:t>
      </w:r>
      <w:proofErr w:type="spellEnd"/>
      <w:r w:rsidRPr="00F8612D">
        <w:rPr>
          <w:rFonts w:ascii="Times New Roman" w:hAnsi="Times New Roman" w:cs="Times New Roman"/>
        </w:rPr>
        <w:t xml:space="preserve"> into the treatment plan may help reduce systemic inflammation and support organ recovery. However, further research is needed to establish standardized treatment protocols and to identify which patient groups are most likely to benefit from this approach.</w:t>
      </w:r>
    </w:p>
    <w:p w14:paraId="05820C6B" w14:textId="77777777" w:rsidR="00700F8E" w:rsidRPr="00E751C4" w:rsidRDefault="00574014" w:rsidP="00F8612D">
      <w:pPr>
        <w:spacing w:line="360" w:lineRule="auto"/>
        <w:jc w:val="both"/>
        <w:rPr>
          <w:rFonts w:ascii="Times New Roman" w:hAnsi="Times New Roman" w:cs="Times New Roman"/>
          <w:b/>
          <w:bCs/>
          <w:szCs w:val="32"/>
        </w:rPr>
      </w:pPr>
      <w:r w:rsidRPr="00E751C4">
        <w:rPr>
          <w:rFonts w:ascii="Times New Roman" w:hAnsi="Times New Roman" w:cs="Times New Roman"/>
          <w:b/>
          <w:bCs/>
          <w:szCs w:val="32"/>
        </w:rPr>
        <w:t>References</w:t>
      </w:r>
    </w:p>
    <w:sdt>
      <w:sdtPr>
        <w:rPr>
          <w:rFonts w:ascii="Times New Roman" w:hAnsi="Times New Roman" w:cs="Times New Roman"/>
          <w:color w:val="000000"/>
        </w:rPr>
        <w:tag w:val="MENDELEY_BIBLIOGRAPHY"/>
        <w:id w:val="-1506657484"/>
        <w:placeholder>
          <w:docPart w:val="DefaultPlaceholder_-1854013440"/>
        </w:placeholder>
      </w:sdtPr>
      <w:sdtEndPr/>
      <w:sdtContent>
        <w:p w14:paraId="622EFFB2" w14:textId="77777777" w:rsidR="00145B6F" w:rsidRPr="00E751C4" w:rsidRDefault="00145B6F" w:rsidP="00E751C4">
          <w:pPr>
            <w:autoSpaceDE w:val="0"/>
            <w:autoSpaceDN w:val="0"/>
            <w:ind w:hanging="640"/>
            <w:jc w:val="both"/>
            <w:divId w:val="1145203168"/>
            <w:rPr>
              <w:rFonts w:ascii="Times New Roman" w:eastAsia="Times New Roman" w:hAnsi="Times New Roman" w:cs="Times New Roman"/>
              <w:kern w:val="0"/>
              <w14:ligatures w14:val="none"/>
            </w:rPr>
          </w:pPr>
          <w:r w:rsidRPr="00E751C4">
            <w:rPr>
              <w:rFonts w:ascii="Times New Roman" w:eastAsia="Times New Roman" w:hAnsi="Times New Roman" w:cs="Times New Roman"/>
            </w:rPr>
            <w:t>1.</w:t>
          </w:r>
          <w:r w:rsidRPr="00E751C4">
            <w:rPr>
              <w:rFonts w:ascii="Times New Roman" w:eastAsia="Times New Roman" w:hAnsi="Times New Roman" w:cs="Times New Roman"/>
            </w:rPr>
            <w:tab/>
          </w:r>
          <w:proofErr w:type="spellStart"/>
          <w:r w:rsidRPr="00E751C4">
            <w:rPr>
              <w:rFonts w:ascii="Times New Roman" w:eastAsia="Times New Roman" w:hAnsi="Times New Roman" w:cs="Times New Roman"/>
            </w:rPr>
            <w:t>Deavall</w:t>
          </w:r>
          <w:proofErr w:type="spellEnd"/>
          <w:r w:rsidRPr="00E751C4">
            <w:rPr>
              <w:rFonts w:ascii="Times New Roman" w:eastAsia="Times New Roman" w:hAnsi="Times New Roman" w:cs="Times New Roman"/>
            </w:rPr>
            <w:t xml:space="preserve"> DG, Martin EA, Horner JM, Roberts R. Drug-Induced Oxidative Stress and Toxicity. J </w:t>
          </w:r>
          <w:proofErr w:type="spellStart"/>
          <w:r w:rsidRPr="00E751C4">
            <w:rPr>
              <w:rFonts w:ascii="Times New Roman" w:eastAsia="Times New Roman" w:hAnsi="Times New Roman" w:cs="Times New Roman"/>
            </w:rPr>
            <w:t>Toxicol</w:t>
          </w:r>
          <w:proofErr w:type="spellEnd"/>
          <w:r w:rsidRPr="00E751C4">
            <w:rPr>
              <w:rFonts w:ascii="Times New Roman" w:eastAsia="Times New Roman" w:hAnsi="Times New Roman" w:cs="Times New Roman"/>
            </w:rPr>
            <w:t xml:space="preserve">. </w:t>
          </w:r>
          <w:proofErr w:type="gramStart"/>
          <w:r w:rsidRPr="00E751C4">
            <w:rPr>
              <w:rFonts w:ascii="Times New Roman" w:eastAsia="Times New Roman" w:hAnsi="Times New Roman" w:cs="Times New Roman"/>
            </w:rPr>
            <w:t>2012;2012:1</w:t>
          </w:r>
          <w:proofErr w:type="gramEnd"/>
          <w:r w:rsidRPr="00E751C4">
            <w:rPr>
              <w:rFonts w:ascii="Times New Roman" w:eastAsia="Times New Roman" w:hAnsi="Times New Roman" w:cs="Times New Roman"/>
            </w:rPr>
            <w:t xml:space="preserve">–13. </w:t>
          </w:r>
        </w:p>
        <w:p w14:paraId="40142B4D" w14:textId="77777777" w:rsidR="00145B6F" w:rsidRPr="00E751C4" w:rsidRDefault="00145B6F" w:rsidP="00E751C4">
          <w:pPr>
            <w:autoSpaceDE w:val="0"/>
            <w:autoSpaceDN w:val="0"/>
            <w:ind w:hanging="640"/>
            <w:jc w:val="both"/>
            <w:divId w:val="896547017"/>
            <w:rPr>
              <w:rFonts w:ascii="Times New Roman" w:eastAsia="Times New Roman" w:hAnsi="Times New Roman" w:cs="Times New Roman"/>
            </w:rPr>
          </w:pPr>
          <w:r w:rsidRPr="00E751C4">
            <w:rPr>
              <w:rFonts w:ascii="Times New Roman" w:eastAsia="Times New Roman" w:hAnsi="Times New Roman" w:cs="Times New Roman"/>
            </w:rPr>
            <w:t>2.</w:t>
          </w:r>
          <w:r w:rsidRPr="00E751C4">
            <w:rPr>
              <w:rFonts w:ascii="Times New Roman" w:eastAsia="Times New Roman" w:hAnsi="Times New Roman" w:cs="Times New Roman"/>
            </w:rPr>
            <w:tab/>
            <w:t xml:space="preserve">Murray KF, Hadzic N, Wirth S, Bassett M, Kelly D. Drug‐related Hepatotoxicity and Acute Liver Failure. J </w:t>
          </w:r>
          <w:proofErr w:type="spellStart"/>
          <w:r w:rsidRPr="00E751C4">
            <w:rPr>
              <w:rFonts w:ascii="Times New Roman" w:eastAsia="Times New Roman" w:hAnsi="Times New Roman" w:cs="Times New Roman"/>
            </w:rPr>
            <w:t>Pediatr</w:t>
          </w:r>
          <w:proofErr w:type="spellEnd"/>
          <w:r w:rsidRPr="00E751C4">
            <w:rPr>
              <w:rFonts w:ascii="Times New Roman" w:eastAsia="Times New Roman" w:hAnsi="Times New Roman" w:cs="Times New Roman"/>
            </w:rPr>
            <w:t xml:space="preserve"> Gastroenterol </w:t>
          </w:r>
          <w:proofErr w:type="spellStart"/>
          <w:r w:rsidRPr="00E751C4">
            <w:rPr>
              <w:rFonts w:ascii="Times New Roman" w:eastAsia="Times New Roman" w:hAnsi="Times New Roman" w:cs="Times New Roman"/>
            </w:rPr>
            <w:t>Nutr</w:t>
          </w:r>
          <w:proofErr w:type="spellEnd"/>
          <w:r w:rsidRPr="00E751C4">
            <w:rPr>
              <w:rFonts w:ascii="Times New Roman" w:eastAsia="Times New Roman" w:hAnsi="Times New Roman" w:cs="Times New Roman"/>
            </w:rPr>
            <w:t xml:space="preserve">. 2008 Oct;47(4):395–405. </w:t>
          </w:r>
        </w:p>
        <w:p w14:paraId="60CE086E" w14:textId="77777777" w:rsidR="00145B6F" w:rsidRPr="00E751C4" w:rsidRDefault="00145B6F" w:rsidP="00E751C4">
          <w:pPr>
            <w:autoSpaceDE w:val="0"/>
            <w:autoSpaceDN w:val="0"/>
            <w:ind w:hanging="640"/>
            <w:jc w:val="both"/>
            <w:divId w:val="2121871225"/>
            <w:rPr>
              <w:rFonts w:ascii="Times New Roman" w:eastAsia="Times New Roman" w:hAnsi="Times New Roman" w:cs="Times New Roman"/>
            </w:rPr>
          </w:pPr>
          <w:r w:rsidRPr="00E751C4">
            <w:rPr>
              <w:rFonts w:ascii="Times New Roman" w:eastAsia="Times New Roman" w:hAnsi="Times New Roman" w:cs="Times New Roman"/>
            </w:rPr>
            <w:t>3.</w:t>
          </w:r>
          <w:r w:rsidRPr="00E751C4">
            <w:rPr>
              <w:rFonts w:ascii="Times New Roman" w:eastAsia="Times New Roman" w:hAnsi="Times New Roman" w:cs="Times New Roman"/>
            </w:rPr>
            <w:tab/>
            <w:t xml:space="preserve">Jeu L, </w:t>
          </w:r>
          <w:proofErr w:type="spellStart"/>
          <w:r w:rsidRPr="00E751C4">
            <w:rPr>
              <w:rFonts w:ascii="Times New Roman" w:eastAsia="Times New Roman" w:hAnsi="Times New Roman" w:cs="Times New Roman"/>
            </w:rPr>
            <w:t>Piacenti</w:t>
          </w:r>
          <w:proofErr w:type="spellEnd"/>
          <w:r w:rsidRPr="00E751C4">
            <w:rPr>
              <w:rFonts w:ascii="Times New Roman" w:eastAsia="Times New Roman" w:hAnsi="Times New Roman" w:cs="Times New Roman"/>
            </w:rPr>
            <w:t xml:space="preserve"> FJ, </w:t>
          </w:r>
          <w:proofErr w:type="spellStart"/>
          <w:r w:rsidRPr="00E751C4">
            <w:rPr>
              <w:rFonts w:ascii="Times New Roman" w:eastAsia="Times New Roman" w:hAnsi="Times New Roman" w:cs="Times New Roman"/>
            </w:rPr>
            <w:t>Lyakhovetskiy</w:t>
          </w:r>
          <w:proofErr w:type="spellEnd"/>
          <w:r w:rsidRPr="00E751C4">
            <w:rPr>
              <w:rFonts w:ascii="Times New Roman" w:eastAsia="Times New Roman" w:hAnsi="Times New Roman" w:cs="Times New Roman"/>
            </w:rPr>
            <w:t xml:space="preserve"> AG, Fung HB. Voriconazole. Clin Ther. 2003 May;25(5):1321–81. </w:t>
          </w:r>
        </w:p>
        <w:p w14:paraId="5B264D89" w14:textId="77777777" w:rsidR="00145B6F" w:rsidRPr="00E751C4" w:rsidRDefault="00145B6F" w:rsidP="00E751C4">
          <w:pPr>
            <w:autoSpaceDE w:val="0"/>
            <w:autoSpaceDN w:val="0"/>
            <w:ind w:hanging="640"/>
            <w:jc w:val="both"/>
            <w:divId w:val="681274611"/>
            <w:rPr>
              <w:rFonts w:ascii="Times New Roman" w:eastAsia="Times New Roman" w:hAnsi="Times New Roman" w:cs="Times New Roman"/>
            </w:rPr>
          </w:pPr>
          <w:r w:rsidRPr="00E751C4">
            <w:rPr>
              <w:rFonts w:ascii="Times New Roman" w:eastAsia="Times New Roman" w:hAnsi="Times New Roman" w:cs="Times New Roman"/>
            </w:rPr>
            <w:t>4.</w:t>
          </w:r>
          <w:r w:rsidRPr="00E751C4">
            <w:rPr>
              <w:rFonts w:ascii="Times New Roman" w:eastAsia="Times New Roman" w:hAnsi="Times New Roman" w:cs="Times New Roman"/>
            </w:rPr>
            <w:tab/>
            <w:t xml:space="preserve">Scott LJ, Simpson D. Voriconazole. Drugs. 2007;67(2):269–98. </w:t>
          </w:r>
        </w:p>
        <w:p w14:paraId="677957FC" w14:textId="77777777" w:rsidR="00145B6F" w:rsidRPr="00E751C4" w:rsidRDefault="00145B6F" w:rsidP="00E751C4">
          <w:pPr>
            <w:autoSpaceDE w:val="0"/>
            <w:autoSpaceDN w:val="0"/>
            <w:ind w:hanging="640"/>
            <w:jc w:val="both"/>
            <w:divId w:val="1863085945"/>
            <w:rPr>
              <w:rFonts w:ascii="Times New Roman" w:eastAsia="Times New Roman" w:hAnsi="Times New Roman" w:cs="Times New Roman"/>
            </w:rPr>
          </w:pPr>
          <w:r w:rsidRPr="00E751C4">
            <w:rPr>
              <w:rFonts w:ascii="Times New Roman" w:eastAsia="Times New Roman" w:hAnsi="Times New Roman" w:cs="Times New Roman"/>
            </w:rPr>
            <w:t>5.</w:t>
          </w:r>
          <w:r w:rsidRPr="00E751C4">
            <w:rPr>
              <w:rFonts w:ascii="Times New Roman" w:eastAsia="Times New Roman" w:hAnsi="Times New Roman" w:cs="Times New Roman"/>
            </w:rPr>
            <w:tab/>
            <w:t xml:space="preserve">Tan K, Brayshaw N, Tomaszewski K, Troke P, Wood N. Investigation of the Potential Relationships Between Plasma Voriconazole Concentrations and Visual Adverse Events or Liver Function Test Abnormalities. The Journal of Clinical Pharmacology. 2006 Feb 8;46(2):235–43. </w:t>
          </w:r>
        </w:p>
        <w:p w14:paraId="353148DF" w14:textId="77777777" w:rsidR="00145B6F" w:rsidRPr="00E751C4" w:rsidRDefault="00145B6F" w:rsidP="00E751C4">
          <w:pPr>
            <w:autoSpaceDE w:val="0"/>
            <w:autoSpaceDN w:val="0"/>
            <w:ind w:hanging="640"/>
            <w:jc w:val="both"/>
            <w:divId w:val="1136336009"/>
            <w:rPr>
              <w:rFonts w:ascii="Times New Roman" w:eastAsia="Times New Roman" w:hAnsi="Times New Roman" w:cs="Times New Roman"/>
            </w:rPr>
          </w:pPr>
          <w:r w:rsidRPr="00E751C4">
            <w:rPr>
              <w:rFonts w:ascii="Times New Roman" w:eastAsia="Times New Roman" w:hAnsi="Times New Roman" w:cs="Times New Roman"/>
            </w:rPr>
            <w:lastRenderedPageBreak/>
            <w:t>6.</w:t>
          </w:r>
          <w:r w:rsidRPr="00E751C4">
            <w:rPr>
              <w:rFonts w:ascii="Times New Roman" w:eastAsia="Times New Roman" w:hAnsi="Times New Roman" w:cs="Times New Roman"/>
            </w:rPr>
            <w:tab/>
            <w:t xml:space="preserve">Lazarus HM, Blumer JL, </w:t>
          </w:r>
          <w:proofErr w:type="spellStart"/>
          <w:r w:rsidRPr="00E751C4">
            <w:rPr>
              <w:rFonts w:ascii="Times New Roman" w:eastAsia="Times New Roman" w:hAnsi="Times New Roman" w:cs="Times New Roman"/>
            </w:rPr>
            <w:t>Yanovich</w:t>
          </w:r>
          <w:proofErr w:type="spellEnd"/>
          <w:r w:rsidRPr="00E751C4">
            <w:rPr>
              <w:rFonts w:ascii="Times New Roman" w:eastAsia="Times New Roman" w:hAnsi="Times New Roman" w:cs="Times New Roman"/>
            </w:rPr>
            <w:t xml:space="preserve"> S, </w:t>
          </w:r>
          <w:proofErr w:type="spellStart"/>
          <w:r w:rsidRPr="00E751C4">
            <w:rPr>
              <w:rFonts w:ascii="Times New Roman" w:eastAsia="Times New Roman" w:hAnsi="Times New Roman" w:cs="Times New Roman"/>
            </w:rPr>
            <w:t>Schlamm</w:t>
          </w:r>
          <w:proofErr w:type="spellEnd"/>
          <w:r w:rsidRPr="00E751C4">
            <w:rPr>
              <w:rFonts w:ascii="Times New Roman" w:eastAsia="Times New Roman" w:hAnsi="Times New Roman" w:cs="Times New Roman"/>
            </w:rPr>
            <w:t xml:space="preserve"> H, Romero A. Safety and Pharmacokinetics of Oral Voriconazole in Patients at Risk of Fungal Infection: A Dose Escalation Study. The Journal of Clinical Pharmacology. 2002 Apr 8;42(4):395–402. </w:t>
          </w:r>
        </w:p>
        <w:p w14:paraId="3EC5632F" w14:textId="77777777" w:rsidR="00145B6F" w:rsidRPr="00E751C4" w:rsidRDefault="00145B6F" w:rsidP="00E751C4">
          <w:pPr>
            <w:autoSpaceDE w:val="0"/>
            <w:autoSpaceDN w:val="0"/>
            <w:ind w:hanging="640"/>
            <w:jc w:val="both"/>
            <w:divId w:val="1431320417"/>
            <w:rPr>
              <w:rFonts w:ascii="Times New Roman" w:eastAsia="Times New Roman" w:hAnsi="Times New Roman" w:cs="Times New Roman"/>
            </w:rPr>
          </w:pPr>
          <w:r w:rsidRPr="00E751C4">
            <w:rPr>
              <w:rFonts w:ascii="Times New Roman" w:eastAsia="Times New Roman" w:hAnsi="Times New Roman" w:cs="Times New Roman"/>
            </w:rPr>
            <w:t>7.</w:t>
          </w:r>
          <w:r w:rsidRPr="00E751C4">
            <w:rPr>
              <w:rFonts w:ascii="Times New Roman" w:eastAsia="Times New Roman" w:hAnsi="Times New Roman" w:cs="Times New Roman"/>
            </w:rPr>
            <w:tab/>
          </w:r>
          <w:proofErr w:type="spellStart"/>
          <w:r w:rsidRPr="00E751C4">
            <w:rPr>
              <w:rFonts w:ascii="Times New Roman" w:eastAsia="Times New Roman" w:hAnsi="Times New Roman" w:cs="Times New Roman"/>
            </w:rPr>
            <w:t>Eiden</w:t>
          </w:r>
          <w:proofErr w:type="spellEnd"/>
          <w:r w:rsidRPr="00E751C4">
            <w:rPr>
              <w:rFonts w:ascii="Times New Roman" w:eastAsia="Times New Roman" w:hAnsi="Times New Roman" w:cs="Times New Roman"/>
            </w:rPr>
            <w:t xml:space="preserve"> C, </w:t>
          </w:r>
          <w:proofErr w:type="spellStart"/>
          <w:r w:rsidRPr="00E751C4">
            <w:rPr>
              <w:rFonts w:ascii="Times New Roman" w:eastAsia="Times New Roman" w:hAnsi="Times New Roman" w:cs="Times New Roman"/>
            </w:rPr>
            <w:t>Peyrière</w:t>
          </w:r>
          <w:proofErr w:type="spellEnd"/>
          <w:r w:rsidRPr="00E751C4">
            <w:rPr>
              <w:rFonts w:ascii="Times New Roman" w:eastAsia="Times New Roman" w:hAnsi="Times New Roman" w:cs="Times New Roman"/>
            </w:rPr>
            <w:t xml:space="preserve"> H, </w:t>
          </w:r>
          <w:proofErr w:type="spellStart"/>
          <w:r w:rsidRPr="00E751C4">
            <w:rPr>
              <w:rFonts w:ascii="Times New Roman" w:eastAsia="Times New Roman" w:hAnsi="Times New Roman" w:cs="Times New Roman"/>
            </w:rPr>
            <w:t>Cociglio</w:t>
          </w:r>
          <w:proofErr w:type="spellEnd"/>
          <w:r w:rsidRPr="00E751C4">
            <w:rPr>
              <w:rFonts w:ascii="Times New Roman" w:eastAsia="Times New Roman" w:hAnsi="Times New Roman" w:cs="Times New Roman"/>
            </w:rPr>
            <w:t xml:space="preserve"> M, Djezzar S, Hansel S, </w:t>
          </w:r>
          <w:proofErr w:type="spellStart"/>
          <w:r w:rsidRPr="00E751C4">
            <w:rPr>
              <w:rFonts w:ascii="Times New Roman" w:eastAsia="Times New Roman" w:hAnsi="Times New Roman" w:cs="Times New Roman"/>
            </w:rPr>
            <w:t>Blayac</w:t>
          </w:r>
          <w:proofErr w:type="spellEnd"/>
          <w:r w:rsidRPr="00E751C4">
            <w:rPr>
              <w:rFonts w:ascii="Times New Roman" w:eastAsia="Times New Roman" w:hAnsi="Times New Roman" w:cs="Times New Roman"/>
            </w:rPr>
            <w:t xml:space="preserve"> JP, et al. Adverse Effects of Voriconazole: Analysis of the French Pharmacovigilance Database. Annals of Pharmacotherapy. 2007 May 1;41(5):755–63. </w:t>
          </w:r>
        </w:p>
        <w:p w14:paraId="357AE98D" w14:textId="77777777" w:rsidR="00145B6F" w:rsidRPr="00E751C4" w:rsidRDefault="00145B6F" w:rsidP="00E751C4">
          <w:pPr>
            <w:autoSpaceDE w:val="0"/>
            <w:autoSpaceDN w:val="0"/>
            <w:ind w:hanging="640"/>
            <w:jc w:val="both"/>
            <w:divId w:val="1429735638"/>
            <w:rPr>
              <w:rFonts w:ascii="Times New Roman" w:eastAsia="Times New Roman" w:hAnsi="Times New Roman" w:cs="Times New Roman"/>
            </w:rPr>
          </w:pPr>
          <w:r w:rsidRPr="00E751C4">
            <w:rPr>
              <w:rFonts w:ascii="Times New Roman" w:eastAsia="Times New Roman" w:hAnsi="Times New Roman" w:cs="Times New Roman"/>
            </w:rPr>
            <w:t>8.</w:t>
          </w:r>
          <w:r w:rsidRPr="00E751C4">
            <w:rPr>
              <w:rFonts w:ascii="Times New Roman" w:eastAsia="Times New Roman" w:hAnsi="Times New Roman" w:cs="Times New Roman"/>
            </w:rPr>
            <w:tab/>
            <w:t xml:space="preserve">Steindl D, Schroeder T, </w:t>
          </w:r>
          <w:proofErr w:type="spellStart"/>
          <w:r w:rsidRPr="00E751C4">
            <w:rPr>
              <w:rFonts w:ascii="Times New Roman" w:eastAsia="Times New Roman" w:hAnsi="Times New Roman" w:cs="Times New Roman"/>
            </w:rPr>
            <w:t>Krannich</w:t>
          </w:r>
          <w:proofErr w:type="spellEnd"/>
          <w:r w:rsidRPr="00E751C4">
            <w:rPr>
              <w:rFonts w:ascii="Times New Roman" w:eastAsia="Times New Roman" w:hAnsi="Times New Roman" w:cs="Times New Roman"/>
            </w:rPr>
            <w:t xml:space="preserve"> A, Nee J. </w:t>
          </w:r>
          <w:proofErr w:type="spellStart"/>
          <w:r w:rsidRPr="00E751C4">
            <w:rPr>
              <w:rFonts w:ascii="Times New Roman" w:eastAsia="Times New Roman" w:hAnsi="Times New Roman" w:cs="Times New Roman"/>
            </w:rPr>
            <w:t>Hemoadsorption</w:t>
          </w:r>
          <w:proofErr w:type="spellEnd"/>
          <w:r w:rsidRPr="00E751C4">
            <w:rPr>
              <w:rFonts w:ascii="Times New Roman" w:eastAsia="Times New Roman" w:hAnsi="Times New Roman" w:cs="Times New Roman"/>
            </w:rPr>
            <w:t xml:space="preserve"> in the Management of Septic Shock: A Systematic Review and Meta-Analysis. J Clin Med [Internet]. 2025 Mar 27;14(7):2285. Available from: https://www.mdpi.com/2077-0383/14/7/2285</w:t>
          </w:r>
        </w:p>
        <w:p w14:paraId="475E9A24" w14:textId="77777777" w:rsidR="00145B6F" w:rsidRPr="00E751C4" w:rsidRDefault="00145B6F" w:rsidP="00E751C4">
          <w:pPr>
            <w:autoSpaceDE w:val="0"/>
            <w:autoSpaceDN w:val="0"/>
            <w:ind w:hanging="640"/>
            <w:jc w:val="both"/>
            <w:divId w:val="1413968219"/>
            <w:rPr>
              <w:rFonts w:ascii="Times New Roman" w:eastAsia="Times New Roman" w:hAnsi="Times New Roman" w:cs="Times New Roman"/>
            </w:rPr>
          </w:pPr>
          <w:r w:rsidRPr="00E751C4">
            <w:rPr>
              <w:rFonts w:ascii="Times New Roman" w:eastAsia="Times New Roman" w:hAnsi="Times New Roman" w:cs="Times New Roman"/>
            </w:rPr>
            <w:t>9.</w:t>
          </w:r>
          <w:r w:rsidRPr="00E751C4">
            <w:rPr>
              <w:rFonts w:ascii="Times New Roman" w:eastAsia="Times New Roman" w:hAnsi="Times New Roman" w:cs="Times New Roman"/>
            </w:rPr>
            <w:tab/>
          </w:r>
          <w:proofErr w:type="spellStart"/>
          <w:r w:rsidRPr="00E751C4">
            <w:rPr>
              <w:rFonts w:ascii="Times New Roman" w:eastAsia="Times New Roman" w:hAnsi="Times New Roman" w:cs="Times New Roman"/>
            </w:rPr>
            <w:t>Friesecke</w:t>
          </w:r>
          <w:proofErr w:type="spellEnd"/>
          <w:r w:rsidRPr="00E751C4">
            <w:rPr>
              <w:rFonts w:ascii="Times New Roman" w:eastAsia="Times New Roman" w:hAnsi="Times New Roman" w:cs="Times New Roman"/>
            </w:rPr>
            <w:t xml:space="preserve"> S, </w:t>
          </w:r>
          <w:proofErr w:type="spellStart"/>
          <w:r w:rsidRPr="00E751C4">
            <w:rPr>
              <w:rFonts w:ascii="Times New Roman" w:eastAsia="Times New Roman" w:hAnsi="Times New Roman" w:cs="Times New Roman"/>
            </w:rPr>
            <w:t>Stecher</w:t>
          </w:r>
          <w:proofErr w:type="spellEnd"/>
          <w:r w:rsidRPr="00E751C4">
            <w:rPr>
              <w:rFonts w:ascii="Times New Roman" w:eastAsia="Times New Roman" w:hAnsi="Times New Roman" w:cs="Times New Roman"/>
            </w:rPr>
            <w:t xml:space="preserve"> SS, Gross S, Felix SB, </w:t>
          </w:r>
          <w:proofErr w:type="spellStart"/>
          <w:r w:rsidRPr="00E751C4">
            <w:rPr>
              <w:rFonts w:ascii="Times New Roman" w:eastAsia="Times New Roman" w:hAnsi="Times New Roman" w:cs="Times New Roman"/>
            </w:rPr>
            <w:t>Nierhaus</w:t>
          </w:r>
          <w:proofErr w:type="spellEnd"/>
          <w:r w:rsidRPr="00E751C4">
            <w:rPr>
              <w:rFonts w:ascii="Times New Roman" w:eastAsia="Times New Roman" w:hAnsi="Times New Roman" w:cs="Times New Roman"/>
            </w:rPr>
            <w:t xml:space="preserve"> A. Extracorporeal cytokine elimination as rescue therapy in refractory septic shock: a prospective single-center study. Journal of Artificial Organs. 2017 Sep 6;20(3):252–9. </w:t>
          </w:r>
        </w:p>
        <w:p w14:paraId="134C41B4" w14:textId="77777777" w:rsidR="00145B6F" w:rsidRPr="00E751C4" w:rsidRDefault="00145B6F" w:rsidP="00E751C4">
          <w:pPr>
            <w:autoSpaceDE w:val="0"/>
            <w:autoSpaceDN w:val="0"/>
            <w:ind w:hanging="640"/>
            <w:jc w:val="both"/>
            <w:divId w:val="818762674"/>
            <w:rPr>
              <w:rFonts w:ascii="Times New Roman" w:eastAsia="Times New Roman" w:hAnsi="Times New Roman" w:cs="Times New Roman"/>
            </w:rPr>
          </w:pPr>
          <w:r w:rsidRPr="00E751C4">
            <w:rPr>
              <w:rFonts w:ascii="Times New Roman" w:eastAsia="Times New Roman" w:hAnsi="Times New Roman" w:cs="Times New Roman"/>
            </w:rPr>
            <w:t>10.</w:t>
          </w:r>
          <w:r w:rsidRPr="00E751C4">
            <w:rPr>
              <w:rFonts w:ascii="Times New Roman" w:eastAsia="Times New Roman" w:hAnsi="Times New Roman" w:cs="Times New Roman"/>
            </w:rPr>
            <w:tab/>
            <w:t xml:space="preserve">Steurer L, Schlager G, Sadeghi K, Golej J, Wiedemann D, Hermon M. Hemadsorption as rescue therapy for patients with multisystem organ failure in pediatric intensive care—Report of two cases reports and review of the literature. </w:t>
          </w:r>
          <w:proofErr w:type="spellStart"/>
          <w:r w:rsidRPr="00E751C4">
            <w:rPr>
              <w:rFonts w:ascii="Times New Roman" w:eastAsia="Times New Roman" w:hAnsi="Times New Roman" w:cs="Times New Roman"/>
            </w:rPr>
            <w:t>Artif</w:t>
          </w:r>
          <w:proofErr w:type="spellEnd"/>
          <w:r w:rsidRPr="00E751C4">
            <w:rPr>
              <w:rFonts w:ascii="Times New Roman" w:eastAsia="Times New Roman" w:hAnsi="Times New Roman" w:cs="Times New Roman"/>
            </w:rPr>
            <w:t xml:space="preserve"> Organs. 2021 Dec 12;45(12):1582–93. </w:t>
          </w:r>
        </w:p>
        <w:p w14:paraId="6F815C12" w14:textId="77777777" w:rsidR="00145B6F" w:rsidRPr="00E751C4" w:rsidRDefault="00145B6F" w:rsidP="00E751C4">
          <w:pPr>
            <w:autoSpaceDE w:val="0"/>
            <w:autoSpaceDN w:val="0"/>
            <w:ind w:hanging="640"/>
            <w:jc w:val="both"/>
            <w:divId w:val="977803548"/>
            <w:rPr>
              <w:rFonts w:ascii="Times New Roman" w:eastAsia="Times New Roman" w:hAnsi="Times New Roman" w:cs="Times New Roman"/>
            </w:rPr>
          </w:pPr>
          <w:r w:rsidRPr="00E751C4">
            <w:rPr>
              <w:rFonts w:ascii="Times New Roman" w:eastAsia="Times New Roman" w:hAnsi="Times New Roman" w:cs="Times New Roman"/>
            </w:rPr>
            <w:t>11.</w:t>
          </w:r>
          <w:r w:rsidRPr="00E751C4">
            <w:rPr>
              <w:rFonts w:ascii="Times New Roman" w:eastAsia="Times New Roman" w:hAnsi="Times New Roman" w:cs="Times New Roman"/>
            </w:rPr>
            <w:tab/>
            <w:t xml:space="preserve">Gruda MC, Ruggeberg KG, O’Sullivan P, Guliashvili T, </w:t>
          </w:r>
          <w:proofErr w:type="spellStart"/>
          <w:r w:rsidRPr="00E751C4">
            <w:rPr>
              <w:rFonts w:ascii="Times New Roman" w:eastAsia="Times New Roman" w:hAnsi="Times New Roman" w:cs="Times New Roman"/>
            </w:rPr>
            <w:t>Scheirer</w:t>
          </w:r>
          <w:proofErr w:type="spellEnd"/>
          <w:r w:rsidRPr="00E751C4">
            <w:rPr>
              <w:rFonts w:ascii="Times New Roman" w:eastAsia="Times New Roman" w:hAnsi="Times New Roman" w:cs="Times New Roman"/>
            </w:rPr>
            <w:t xml:space="preserve"> AR, </w:t>
          </w:r>
          <w:proofErr w:type="spellStart"/>
          <w:r w:rsidRPr="00E751C4">
            <w:rPr>
              <w:rFonts w:ascii="Times New Roman" w:eastAsia="Times New Roman" w:hAnsi="Times New Roman" w:cs="Times New Roman"/>
            </w:rPr>
            <w:t>Golobish</w:t>
          </w:r>
          <w:proofErr w:type="spellEnd"/>
          <w:r w:rsidRPr="00E751C4">
            <w:rPr>
              <w:rFonts w:ascii="Times New Roman" w:eastAsia="Times New Roman" w:hAnsi="Times New Roman" w:cs="Times New Roman"/>
            </w:rPr>
            <w:t xml:space="preserve"> TD, et al. Broad adsorption of sepsis-related PAMP and DAMP molecules, mycotoxins, and cytokines from whole blood using </w:t>
          </w:r>
          <w:proofErr w:type="spellStart"/>
          <w:r w:rsidRPr="00E751C4">
            <w:rPr>
              <w:rFonts w:ascii="Times New Roman" w:eastAsia="Times New Roman" w:hAnsi="Times New Roman" w:cs="Times New Roman"/>
            </w:rPr>
            <w:t>CytoSorb</w:t>
          </w:r>
          <w:proofErr w:type="spellEnd"/>
          <w:r w:rsidRPr="00E751C4">
            <w:rPr>
              <w:rFonts w:ascii="Times New Roman" w:eastAsia="Times New Roman" w:hAnsi="Times New Roman" w:cs="Times New Roman"/>
            </w:rPr>
            <w:t xml:space="preserve">® sorbent porous polymer beads. </w:t>
          </w:r>
          <w:proofErr w:type="spellStart"/>
          <w:r w:rsidRPr="00E751C4">
            <w:rPr>
              <w:rFonts w:ascii="Times New Roman" w:eastAsia="Times New Roman" w:hAnsi="Times New Roman" w:cs="Times New Roman"/>
            </w:rPr>
            <w:t>PLoS</w:t>
          </w:r>
          <w:proofErr w:type="spellEnd"/>
          <w:r w:rsidRPr="00E751C4">
            <w:rPr>
              <w:rFonts w:ascii="Times New Roman" w:eastAsia="Times New Roman" w:hAnsi="Times New Roman" w:cs="Times New Roman"/>
            </w:rPr>
            <w:t xml:space="preserve"> One. 2018 Jan 25;13(1</w:t>
          </w:r>
          <w:proofErr w:type="gramStart"/>
          <w:r w:rsidRPr="00E751C4">
            <w:rPr>
              <w:rFonts w:ascii="Times New Roman" w:eastAsia="Times New Roman" w:hAnsi="Times New Roman" w:cs="Times New Roman"/>
            </w:rPr>
            <w:t>):e</w:t>
          </w:r>
          <w:proofErr w:type="gramEnd"/>
          <w:r w:rsidRPr="00E751C4">
            <w:rPr>
              <w:rFonts w:ascii="Times New Roman" w:eastAsia="Times New Roman" w:hAnsi="Times New Roman" w:cs="Times New Roman"/>
            </w:rPr>
            <w:t xml:space="preserve">0191676. </w:t>
          </w:r>
        </w:p>
        <w:p w14:paraId="50B61BE5" w14:textId="77777777" w:rsidR="00145B6F" w:rsidRPr="00E751C4" w:rsidRDefault="00145B6F" w:rsidP="00E751C4">
          <w:pPr>
            <w:autoSpaceDE w:val="0"/>
            <w:autoSpaceDN w:val="0"/>
            <w:ind w:hanging="640"/>
            <w:jc w:val="both"/>
            <w:divId w:val="960185781"/>
            <w:rPr>
              <w:rFonts w:ascii="Times New Roman" w:eastAsia="Times New Roman" w:hAnsi="Times New Roman" w:cs="Times New Roman"/>
            </w:rPr>
          </w:pPr>
          <w:r w:rsidRPr="00E751C4">
            <w:rPr>
              <w:rFonts w:ascii="Times New Roman" w:eastAsia="Times New Roman" w:hAnsi="Times New Roman" w:cs="Times New Roman"/>
            </w:rPr>
            <w:t>12.</w:t>
          </w:r>
          <w:r w:rsidRPr="00E751C4">
            <w:rPr>
              <w:rFonts w:ascii="Times New Roman" w:eastAsia="Times New Roman" w:hAnsi="Times New Roman" w:cs="Times New Roman"/>
            </w:rPr>
            <w:tab/>
            <w:t xml:space="preserve">Brouwer WP, Duran S, Ince C. Improved Survival beyond 28 Days up to 1 Year after </w:t>
          </w:r>
          <w:proofErr w:type="spellStart"/>
          <w:r w:rsidRPr="00E751C4">
            <w:rPr>
              <w:rFonts w:ascii="Times New Roman" w:eastAsia="Times New Roman" w:hAnsi="Times New Roman" w:cs="Times New Roman"/>
            </w:rPr>
            <w:t>CytoSorb</w:t>
          </w:r>
          <w:proofErr w:type="spellEnd"/>
          <w:r w:rsidRPr="00E751C4">
            <w:rPr>
              <w:rFonts w:ascii="Times New Roman" w:eastAsia="Times New Roman" w:hAnsi="Times New Roman" w:cs="Times New Roman"/>
            </w:rPr>
            <w:t xml:space="preserve"> Treatment for Refractory Septic Shock: A Propensity-Weighted Retrospective Survival Analysis. Blood </w:t>
          </w:r>
          <w:proofErr w:type="spellStart"/>
          <w:r w:rsidRPr="00E751C4">
            <w:rPr>
              <w:rFonts w:ascii="Times New Roman" w:eastAsia="Times New Roman" w:hAnsi="Times New Roman" w:cs="Times New Roman"/>
            </w:rPr>
            <w:t>Purif</w:t>
          </w:r>
          <w:proofErr w:type="spellEnd"/>
          <w:r w:rsidRPr="00E751C4">
            <w:rPr>
              <w:rFonts w:ascii="Times New Roman" w:eastAsia="Times New Roman" w:hAnsi="Times New Roman" w:cs="Times New Roman"/>
            </w:rPr>
            <w:t xml:space="preserve">. 2021;50(4–5):539–45. </w:t>
          </w:r>
        </w:p>
        <w:p w14:paraId="1BF556F9" w14:textId="3D33B091" w:rsidR="00E751C4" w:rsidRPr="00E751C4" w:rsidRDefault="00145B6F" w:rsidP="00F8612D">
          <w:pPr>
            <w:spacing w:line="360" w:lineRule="auto"/>
            <w:jc w:val="both"/>
            <w:rPr>
              <w:rFonts w:ascii="Times New Roman" w:hAnsi="Times New Roman" w:cs="Times New Roman"/>
            </w:rPr>
          </w:pPr>
          <w:r>
            <w:rPr>
              <w:rFonts w:eastAsia="Times New Roman"/>
            </w:rPr>
            <w:t> </w:t>
          </w:r>
        </w:p>
      </w:sdtContent>
    </w:sdt>
    <w:p w14:paraId="32376E2D" w14:textId="22BF445B" w:rsidR="00574014" w:rsidRPr="00E751C4" w:rsidRDefault="00574014" w:rsidP="00E751C4">
      <w:pPr>
        <w:pStyle w:val="Caption"/>
        <w:keepNext/>
        <w:jc w:val="both"/>
        <w:rPr>
          <w:rFonts w:ascii="Times New Roman" w:hAnsi="Times New Roman" w:cs="Times New Roman"/>
          <w:b/>
          <w:bCs/>
          <w:i w:val="0"/>
          <w:iCs w:val="0"/>
          <w:color w:val="000000" w:themeColor="text1"/>
          <w:sz w:val="24"/>
          <w:szCs w:val="24"/>
        </w:rPr>
      </w:pPr>
      <w:bookmarkStart w:id="2" w:name="_Ref195813122"/>
      <w:bookmarkStart w:id="3" w:name="_Ref195813191"/>
      <w:r w:rsidRPr="00F8612D">
        <w:rPr>
          <w:rFonts w:ascii="Times New Roman" w:hAnsi="Times New Roman" w:cs="Times New Roman"/>
          <w:b/>
          <w:bCs/>
          <w:i w:val="0"/>
          <w:iCs w:val="0"/>
          <w:color w:val="000000" w:themeColor="text1"/>
          <w:sz w:val="24"/>
          <w:szCs w:val="24"/>
        </w:rPr>
        <w:t xml:space="preserve">Table </w:t>
      </w:r>
      <w:r w:rsidRPr="00F8612D">
        <w:rPr>
          <w:rFonts w:ascii="Times New Roman" w:hAnsi="Times New Roman" w:cs="Times New Roman"/>
          <w:b/>
          <w:bCs/>
          <w:i w:val="0"/>
          <w:iCs w:val="0"/>
          <w:color w:val="000000" w:themeColor="text1"/>
          <w:sz w:val="24"/>
          <w:szCs w:val="24"/>
        </w:rPr>
        <w:fldChar w:fldCharType="begin"/>
      </w:r>
      <w:r w:rsidRPr="00F8612D">
        <w:rPr>
          <w:rFonts w:ascii="Times New Roman" w:hAnsi="Times New Roman" w:cs="Times New Roman"/>
          <w:b/>
          <w:bCs/>
          <w:i w:val="0"/>
          <w:iCs w:val="0"/>
          <w:color w:val="000000" w:themeColor="text1"/>
          <w:sz w:val="24"/>
          <w:szCs w:val="24"/>
        </w:rPr>
        <w:instrText xml:space="preserve"> SEQ Table \* ARABIC </w:instrText>
      </w:r>
      <w:r w:rsidRPr="00F8612D">
        <w:rPr>
          <w:rFonts w:ascii="Times New Roman" w:hAnsi="Times New Roman" w:cs="Times New Roman"/>
          <w:b/>
          <w:bCs/>
          <w:i w:val="0"/>
          <w:iCs w:val="0"/>
          <w:color w:val="000000" w:themeColor="text1"/>
          <w:sz w:val="24"/>
          <w:szCs w:val="24"/>
        </w:rPr>
        <w:fldChar w:fldCharType="separate"/>
      </w:r>
      <w:r w:rsidRPr="00F8612D">
        <w:rPr>
          <w:rFonts w:ascii="Times New Roman" w:hAnsi="Times New Roman" w:cs="Times New Roman"/>
          <w:b/>
          <w:bCs/>
          <w:i w:val="0"/>
          <w:iCs w:val="0"/>
          <w:color w:val="000000" w:themeColor="text1"/>
          <w:sz w:val="24"/>
          <w:szCs w:val="24"/>
        </w:rPr>
        <w:t>1</w:t>
      </w:r>
      <w:r w:rsidRPr="00F8612D">
        <w:rPr>
          <w:rFonts w:ascii="Times New Roman" w:hAnsi="Times New Roman" w:cs="Times New Roman"/>
          <w:b/>
          <w:bCs/>
          <w:i w:val="0"/>
          <w:iCs w:val="0"/>
          <w:color w:val="000000" w:themeColor="text1"/>
          <w:sz w:val="24"/>
          <w:szCs w:val="24"/>
        </w:rPr>
        <w:fldChar w:fldCharType="end"/>
      </w:r>
      <w:bookmarkEnd w:id="2"/>
      <w:r w:rsidRPr="00F8612D">
        <w:rPr>
          <w:rFonts w:ascii="Times New Roman" w:hAnsi="Times New Roman" w:cs="Times New Roman"/>
          <w:b/>
          <w:bCs/>
          <w:i w:val="0"/>
          <w:iCs w:val="0"/>
          <w:color w:val="000000" w:themeColor="text1"/>
          <w:sz w:val="24"/>
          <w:szCs w:val="24"/>
        </w:rPr>
        <w:t xml:space="preserve"> :</w:t>
      </w:r>
      <w:bookmarkEnd w:id="3"/>
      <w:r w:rsidRPr="00F8612D">
        <w:rPr>
          <w:rFonts w:ascii="Times New Roman" w:hAnsi="Times New Roman" w:cs="Times New Roman"/>
          <w:b/>
          <w:bCs/>
          <w:i w:val="0"/>
          <w:iCs w:val="0"/>
          <w:color w:val="000000" w:themeColor="text1"/>
          <w:sz w:val="24"/>
          <w:szCs w:val="24"/>
        </w:rPr>
        <w:t xml:space="preserve"> Results of Kidney and Liver function tests pre and post </w:t>
      </w:r>
      <w:proofErr w:type="spellStart"/>
      <w:r w:rsidRPr="00F8612D">
        <w:rPr>
          <w:rFonts w:ascii="Times New Roman" w:hAnsi="Times New Roman" w:cs="Times New Roman"/>
          <w:b/>
          <w:bCs/>
          <w:i w:val="0"/>
          <w:iCs w:val="0"/>
          <w:color w:val="000000" w:themeColor="text1"/>
          <w:sz w:val="24"/>
          <w:szCs w:val="24"/>
        </w:rPr>
        <w:t>CytoSorb</w:t>
      </w:r>
      <w:proofErr w:type="spellEnd"/>
      <w:r w:rsidRPr="00F8612D">
        <w:rPr>
          <w:rFonts w:ascii="Times New Roman" w:hAnsi="Times New Roman" w:cs="Times New Roman"/>
          <w:b/>
          <w:bCs/>
          <w:i w:val="0"/>
          <w:iCs w:val="0"/>
          <w:color w:val="000000" w:themeColor="text1"/>
          <w:sz w:val="24"/>
          <w:szCs w:val="24"/>
        </w:rPr>
        <w:t xml:space="preserve"> therapy</w:t>
      </w:r>
    </w:p>
    <w:tbl>
      <w:tblPr>
        <w:tblStyle w:val="GridTable6Colorful"/>
        <w:tblpPr w:leftFromText="180" w:rightFromText="180" w:vertAnchor="text" w:tblpXSpec="right" w:tblpY="1"/>
        <w:tblW w:w="0" w:type="auto"/>
        <w:tblLook w:val="04A0" w:firstRow="1" w:lastRow="0" w:firstColumn="1" w:lastColumn="0" w:noHBand="0" w:noVBand="1"/>
      </w:tblPr>
      <w:tblGrid>
        <w:gridCol w:w="2540"/>
        <w:gridCol w:w="2383"/>
        <w:gridCol w:w="2383"/>
        <w:gridCol w:w="2044"/>
      </w:tblGrid>
      <w:tr w:rsidR="00574014" w:rsidRPr="00F8612D" w14:paraId="607E62F1" w14:textId="77777777" w:rsidTr="005740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138A930F" w14:textId="77777777" w:rsidR="00574014" w:rsidRPr="00F8612D" w:rsidRDefault="00574014" w:rsidP="00574014">
            <w:pPr>
              <w:spacing w:after="0" w:line="360" w:lineRule="auto"/>
              <w:jc w:val="both"/>
              <w:rPr>
                <w:rFonts w:ascii="Times New Roman" w:hAnsi="Times New Roman" w:cs="Times New Roman"/>
              </w:rPr>
            </w:pPr>
            <w:r w:rsidRPr="00F8612D">
              <w:rPr>
                <w:rFonts w:ascii="Times New Roman" w:hAnsi="Times New Roman" w:cs="Times New Roman"/>
              </w:rPr>
              <w:t>Investigations</w:t>
            </w:r>
          </w:p>
        </w:tc>
        <w:tc>
          <w:tcPr>
            <w:tcW w:w="2383" w:type="dxa"/>
          </w:tcPr>
          <w:p w14:paraId="463870B4" w14:textId="77777777" w:rsidR="00574014" w:rsidRPr="00F8612D" w:rsidRDefault="00574014" w:rsidP="00574014">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 xml:space="preserve">Pre </w:t>
            </w:r>
            <w:proofErr w:type="spellStart"/>
            <w:r w:rsidRPr="00F8612D">
              <w:rPr>
                <w:rFonts w:ascii="Times New Roman" w:hAnsi="Times New Roman" w:cs="Times New Roman"/>
              </w:rPr>
              <w:t>CytoSorb</w:t>
            </w:r>
            <w:proofErr w:type="spellEnd"/>
            <w:r w:rsidRPr="00F8612D">
              <w:rPr>
                <w:rFonts w:ascii="Times New Roman" w:hAnsi="Times New Roman" w:cs="Times New Roman"/>
              </w:rPr>
              <w:t xml:space="preserve"> </w:t>
            </w:r>
          </w:p>
        </w:tc>
        <w:tc>
          <w:tcPr>
            <w:tcW w:w="2383" w:type="dxa"/>
          </w:tcPr>
          <w:p w14:paraId="7E488373" w14:textId="77777777" w:rsidR="00574014" w:rsidRPr="00F8612D" w:rsidRDefault="00574014" w:rsidP="00574014">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 xml:space="preserve">Post </w:t>
            </w:r>
            <w:proofErr w:type="spellStart"/>
            <w:r w:rsidRPr="00F8612D">
              <w:rPr>
                <w:rFonts w:ascii="Times New Roman" w:hAnsi="Times New Roman" w:cs="Times New Roman"/>
              </w:rPr>
              <w:t>CytoSorb</w:t>
            </w:r>
            <w:proofErr w:type="spellEnd"/>
            <w:r w:rsidRPr="00F8612D">
              <w:rPr>
                <w:rFonts w:ascii="Times New Roman" w:hAnsi="Times New Roman" w:cs="Times New Roman"/>
              </w:rPr>
              <w:t xml:space="preserve"> and SLED</w:t>
            </w:r>
          </w:p>
        </w:tc>
        <w:tc>
          <w:tcPr>
            <w:tcW w:w="2044" w:type="dxa"/>
          </w:tcPr>
          <w:p w14:paraId="3EE7DFB8" w14:textId="77777777" w:rsidR="00574014" w:rsidRPr="00F8612D" w:rsidRDefault="00574014" w:rsidP="00574014">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Normal range</w:t>
            </w:r>
          </w:p>
        </w:tc>
      </w:tr>
      <w:tr w:rsidR="00574014" w:rsidRPr="00F8612D" w14:paraId="3EC0B9AF" w14:textId="77777777" w:rsidTr="00574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6BA6B43B" w14:textId="77777777" w:rsidR="00574014" w:rsidRPr="00F8612D" w:rsidRDefault="00574014" w:rsidP="00574014">
            <w:pPr>
              <w:spacing w:after="0" w:line="360" w:lineRule="auto"/>
              <w:jc w:val="both"/>
              <w:rPr>
                <w:rFonts w:ascii="Times New Roman" w:hAnsi="Times New Roman" w:cs="Times New Roman"/>
              </w:rPr>
            </w:pPr>
            <w:r w:rsidRPr="00F8612D">
              <w:rPr>
                <w:rFonts w:ascii="Times New Roman" w:hAnsi="Times New Roman" w:cs="Times New Roman"/>
              </w:rPr>
              <w:t>SGPT (U/L)</w:t>
            </w:r>
          </w:p>
        </w:tc>
        <w:tc>
          <w:tcPr>
            <w:tcW w:w="2383" w:type="dxa"/>
          </w:tcPr>
          <w:p w14:paraId="755D1EDC" w14:textId="77777777" w:rsidR="00574014" w:rsidRPr="00F8612D" w:rsidRDefault="00574014" w:rsidP="00574014">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5695</w:t>
            </w:r>
          </w:p>
        </w:tc>
        <w:tc>
          <w:tcPr>
            <w:tcW w:w="2383" w:type="dxa"/>
          </w:tcPr>
          <w:p w14:paraId="1075DFA0" w14:textId="77777777" w:rsidR="00574014" w:rsidRPr="00F8612D" w:rsidRDefault="00574014" w:rsidP="00574014">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552</w:t>
            </w:r>
          </w:p>
        </w:tc>
        <w:tc>
          <w:tcPr>
            <w:tcW w:w="2044" w:type="dxa"/>
          </w:tcPr>
          <w:p w14:paraId="1510C0CA" w14:textId="77777777" w:rsidR="00574014" w:rsidRPr="00F8612D" w:rsidRDefault="00574014" w:rsidP="00574014">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7–56 U/L</w:t>
            </w:r>
          </w:p>
        </w:tc>
      </w:tr>
      <w:tr w:rsidR="00574014" w:rsidRPr="00F8612D" w14:paraId="1EE80106" w14:textId="77777777" w:rsidTr="00574014">
        <w:tc>
          <w:tcPr>
            <w:cnfStyle w:val="001000000000" w:firstRow="0" w:lastRow="0" w:firstColumn="1" w:lastColumn="0" w:oddVBand="0" w:evenVBand="0" w:oddHBand="0" w:evenHBand="0" w:firstRowFirstColumn="0" w:firstRowLastColumn="0" w:lastRowFirstColumn="0" w:lastRowLastColumn="0"/>
            <w:tcW w:w="2540" w:type="dxa"/>
          </w:tcPr>
          <w:p w14:paraId="02A0402D" w14:textId="77777777" w:rsidR="00574014" w:rsidRPr="00F8612D" w:rsidRDefault="00574014" w:rsidP="00574014">
            <w:pPr>
              <w:spacing w:after="0" w:line="360" w:lineRule="auto"/>
              <w:jc w:val="both"/>
              <w:rPr>
                <w:rFonts w:ascii="Times New Roman" w:hAnsi="Times New Roman" w:cs="Times New Roman"/>
              </w:rPr>
            </w:pPr>
            <w:r w:rsidRPr="00F8612D">
              <w:rPr>
                <w:rFonts w:ascii="Times New Roman" w:hAnsi="Times New Roman" w:cs="Times New Roman"/>
              </w:rPr>
              <w:t>SGOT (U/L)</w:t>
            </w:r>
          </w:p>
        </w:tc>
        <w:tc>
          <w:tcPr>
            <w:tcW w:w="2383" w:type="dxa"/>
          </w:tcPr>
          <w:p w14:paraId="58CAAA68" w14:textId="77777777" w:rsidR="00574014" w:rsidRPr="00F8612D" w:rsidRDefault="00574014" w:rsidP="0057401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15000</w:t>
            </w:r>
          </w:p>
        </w:tc>
        <w:tc>
          <w:tcPr>
            <w:tcW w:w="2383" w:type="dxa"/>
          </w:tcPr>
          <w:p w14:paraId="71F82A21" w14:textId="77777777" w:rsidR="00574014" w:rsidRPr="00F8612D" w:rsidRDefault="00574014" w:rsidP="0057401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129</w:t>
            </w:r>
          </w:p>
        </w:tc>
        <w:tc>
          <w:tcPr>
            <w:tcW w:w="2044" w:type="dxa"/>
          </w:tcPr>
          <w:p w14:paraId="5875165E" w14:textId="77777777" w:rsidR="00574014" w:rsidRPr="00F8612D" w:rsidRDefault="00574014" w:rsidP="0057401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5–40 U/L</w:t>
            </w:r>
          </w:p>
        </w:tc>
      </w:tr>
      <w:tr w:rsidR="00574014" w:rsidRPr="00F8612D" w14:paraId="2145768A" w14:textId="77777777" w:rsidTr="00574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457BF3BC" w14:textId="77777777" w:rsidR="00574014" w:rsidRPr="00F8612D" w:rsidRDefault="00574014" w:rsidP="00574014">
            <w:pPr>
              <w:spacing w:after="0" w:line="360" w:lineRule="auto"/>
              <w:jc w:val="both"/>
              <w:rPr>
                <w:rFonts w:ascii="Times New Roman" w:hAnsi="Times New Roman" w:cs="Times New Roman"/>
              </w:rPr>
            </w:pPr>
            <w:r w:rsidRPr="00F8612D">
              <w:rPr>
                <w:rFonts w:ascii="Times New Roman" w:hAnsi="Times New Roman" w:cs="Times New Roman"/>
              </w:rPr>
              <w:t>S. creatinine (mg/dl)</w:t>
            </w:r>
          </w:p>
        </w:tc>
        <w:tc>
          <w:tcPr>
            <w:tcW w:w="2383" w:type="dxa"/>
          </w:tcPr>
          <w:p w14:paraId="3F4241BF" w14:textId="77777777" w:rsidR="00574014" w:rsidRPr="00F8612D" w:rsidRDefault="00574014" w:rsidP="00574014">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4.8</w:t>
            </w:r>
          </w:p>
        </w:tc>
        <w:tc>
          <w:tcPr>
            <w:tcW w:w="2383" w:type="dxa"/>
          </w:tcPr>
          <w:p w14:paraId="6BE11D0B" w14:textId="77777777" w:rsidR="00574014" w:rsidRPr="00F8612D" w:rsidRDefault="00574014" w:rsidP="00574014">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2.3</w:t>
            </w:r>
          </w:p>
        </w:tc>
        <w:tc>
          <w:tcPr>
            <w:tcW w:w="2044" w:type="dxa"/>
          </w:tcPr>
          <w:p w14:paraId="362414F9" w14:textId="77777777" w:rsidR="00574014" w:rsidRPr="00F8612D" w:rsidRDefault="00574014" w:rsidP="00574014">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0.74–1.35</w:t>
            </w:r>
          </w:p>
        </w:tc>
      </w:tr>
      <w:tr w:rsidR="00574014" w:rsidRPr="00F8612D" w14:paraId="08F36D4A" w14:textId="77777777" w:rsidTr="00574014">
        <w:tc>
          <w:tcPr>
            <w:cnfStyle w:val="001000000000" w:firstRow="0" w:lastRow="0" w:firstColumn="1" w:lastColumn="0" w:oddVBand="0" w:evenVBand="0" w:oddHBand="0" w:evenHBand="0" w:firstRowFirstColumn="0" w:firstRowLastColumn="0" w:lastRowFirstColumn="0" w:lastRowLastColumn="0"/>
            <w:tcW w:w="2540" w:type="dxa"/>
          </w:tcPr>
          <w:p w14:paraId="00E15D0F" w14:textId="77777777" w:rsidR="00574014" w:rsidRPr="00F8612D" w:rsidRDefault="00574014" w:rsidP="00574014">
            <w:pPr>
              <w:spacing w:after="0" w:line="360" w:lineRule="auto"/>
              <w:jc w:val="both"/>
              <w:rPr>
                <w:rFonts w:ascii="Times New Roman" w:hAnsi="Times New Roman" w:cs="Times New Roman"/>
              </w:rPr>
            </w:pPr>
            <w:r w:rsidRPr="00F8612D">
              <w:rPr>
                <w:rFonts w:ascii="Times New Roman" w:hAnsi="Times New Roman" w:cs="Times New Roman"/>
              </w:rPr>
              <w:t>Blood urea (mg/dl)</w:t>
            </w:r>
          </w:p>
        </w:tc>
        <w:tc>
          <w:tcPr>
            <w:tcW w:w="2383" w:type="dxa"/>
          </w:tcPr>
          <w:p w14:paraId="60BBC284" w14:textId="77777777" w:rsidR="00574014" w:rsidRPr="00F8612D" w:rsidRDefault="00574014" w:rsidP="0057401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95</w:t>
            </w:r>
          </w:p>
        </w:tc>
        <w:tc>
          <w:tcPr>
            <w:tcW w:w="2383" w:type="dxa"/>
          </w:tcPr>
          <w:p w14:paraId="1E223964" w14:textId="77777777" w:rsidR="00574014" w:rsidRPr="00F8612D" w:rsidRDefault="00574014" w:rsidP="0057401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86</w:t>
            </w:r>
          </w:p>
        </w:tc>
        <w:tc>
          <w:tcPr>
            <w:tcW w:w="2044" w:type="dxa"/>
          </w:tcPr>
          <w:p w14:paraId="220084CD" w14:textId="77777777" w:rsidR="00574014" w:rsidRPr="00F8612D" w:rsidRDefault="00574014" w:rsidP="0057401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7–20</w:t>
            </w:r>
          </w:p>
        </w:tc>
      </w:tr>
    </w:tbl>
    <w:p w14:paraId="7DB467ED" w14:textId="77777777" w:rsidR="00574014" w:rsidRPr="00F8612D" w:rsidRDefault="00574014" w:rsidP="00574014">
      <w:pPr>
        <w:spacing w:line="360" w:lineRule="auto"/>
        <w:jc w:val="both"/>
        <w:rPr>
          <w:rFonts w:ascii="Times New Roman" w:hAnsi="Times New Roman" w:cs="Times New Roman"/>
        </w:rPr>
      </w:pPr>
    </w:p>
    <w:p w14:paraId="0D03EA35" w14:textId="77777777" w:rsidR="00574014" w:rsidRDefault="00574014" w:rsidP="00574014">
      <w:pPr>
        <w:spacing w:line="360" w:lineRule="auto"/>
        <w:jc w:val="both"/>
        <w:rPr>
          <w:rFonts w:ascii="Times New Roman" w:hAnsi="Times New Roman" w:cs="Times New Roman"/>
        </w:rPr>
      </w:pPr>
    </w:p>
    <w:p w14:paraId="6A3CB783" w14:textId="5B4E482A" w:rsidR="00574014" w:rsidRPr="00E751C4" w:rsidRDefault="00E751C4" w:rsidP="00574014">
      <w:pPr>
        <w:spacing w:line="360" w:lineRule="auto"/>
        <w:jc w:val="both"/>
        <w:rPr>
          <w:rFonts w:ascii="Times New Roman" w:hAnsi="Times New Roman" w:cs="Times New Roman"/>
          <w:b/>
          <w:u w:val="single"/>
        </w:rPr>
      </w:pPr>
      <w:r w:rsidRPr="00F8612D">
        <w:rPr>
          <w:rFonts w:ascii="Times New Roman" w:hAnsi="Times New Roman" w:cs="Times New Roman"/>
          <w:noProof/>
        </w:rPr>
        <w:drawing>
          <wp:anchor distT="0" distB="0" distL="114300" distR="114300" simplePos="0" relativeHeight="251658240" behindDoc="0" locked="0" layoutInCell="1" allowOverlap="1" wp14:anchorId="033ADA67" wp14:editId="03C79A7B">
            <wp:simplePos x="0" y="0"/>
            <wp:positionH relativeFrom="margin">
              <wp:align>right</wp:align>
            </wp:positionH>
            <wp:positionV relativeFrom="paragraph">
              <wp:posOffset>494665</wp:posOffset>
            </wp:positionV>
            <wp:extent cx="5943600" cy="3095625"/>
            <wp:effectExtent l="0" t="0" r="0" b="9525"/>
            <wp:wrapTopAndBottom/>
            <wp:docPr id="2"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095625"/>
                    </a:xfrm>
                    <a:prstGeom prst="rect">
                      <a:avLst/>
                    </a:prstGeom>
                    <a:noFill/>
                    <a:ln>
                      <a:noFill/>
                    </a:ln>
                  </pic:spPr>
                </pic:pic>
              </a:graphicData>
            </a:graphic>
            <wp14:sizeRelV relativeFrom="margin">
              <wp14:pctHeight>0</wp14:pctHeight>
            </wp14:sizeRelV>
          </wp:anchor>
        </w:drawing>
      </w:r>
    </w:p>
    <w:p w14:paraId="16F3DA94" w14:textId="69D11BA2" w:rsidR="00700F8E" w:rsidRPr="00E751C4" w:rsidRDefault="00574014" w:rsidP="00E751C4">
      <w:pPr>
        <w:pStyle w:val="Caption"/>
        <w:keepNext/>
        <w:jc w:val="both"/>
        <w:rPr>
          <w:rFonts w:ascii="Times New Roman" w:hAnsi="Times New Roman" w:cs="Times New Roman"/>
          <w:b/>
          <w:bCs/>
          <w:i w:val="0"/>
          <w:iCs w:val="0"/>
          <w:color w:val="000000" w:themeColor="text1"/>
          <w:sz w:val="24"/>
          <w:szCs w:val="24"/>
        </w:rPr>
      </w:pPr>
      <w:r w:rsidRPr="00F8612D">
        <w:rPr>
          <w:rFonts w:ascii="Times New Roman" w:hAnsi="Times New Roman" w:cs="Times New Roman"/>
          <w:b/>
          <w:bCs/>
          <w:i w:val="0"/>
          <w:iCs w:val="0"/>
          <w:color w:val="000000" w:themeColor="text1"/>
          <w:sz w:val="24"/>
          <w:szCs w:val="24"/>
        </w:rPr>
        <w:t xml:space="preserve">Figure </w:t>
      </w:r>
      <w:r w:rsidRPr="00F8612D">
        <w:rPr>
          <w:rFonts w:ascii="Times New Roman" w:hAnsi="Times New Roman" w:cs="Times New Roman"/>
          <w:b/>
          <w:bCs/>
          <w:i w:val="0"/>
          <w:iCs w:val="0"/>
          <w:color w:val="000000" w:themeColor="text1"/>
          <w:sz w:val="24"/>
          <w:szCs w:val="24"/>
        </w:rPr>
        <w:fldChar w:fldCharType="begin"/>
      </w:r>
      <w:r w:rsidRPr="00F8612D">
        <w:rPr>
          <w:rFonts w:ascii="Times New Roman" w:hAnsi="Times New Roman" w:cs="Times New Roman"/>
          <w:b/>
          <w:bCs/>
          <w:i w:val="0"/>
          <w:iCs w:val="0"/>
          <w:color w:val="000000" w:themeColor="text1"/>
          <w:sz w:val="24"/>
          <w:szCs w:val="24"/>
        </w:rPr>
        <w:instrText xml:space="preserve"> SEQ Table \* ARABIC </w:instrText>
      </w:r>
      <w:r w:rsidRPr="00F8612D">
        <w:rPr>
          <w:rFonts w:ascii="Times New Roman" w:hAnsi="Times New Roman" w:cs="Times New Roman"/>
          <w:b/>
          <w:bCs/>
          <w:i w:val="0"/>
          <w:iCs w:val="0"/>
          <w:color w:val="000000" w:themeColor="text1"/>
          <w:sz w:val="24"/>
          <w:szCs w:val="24"/>
        </w:rPr>
        <w:fldChar w:fldCharType="separate"/>
      </w:r>
      <w:r w:rsidRPr="00F8612D">
        <w:rPr>
          <w:rFonts w:ascii="Times New Roman" w:hAnsi="Times New Roman" w:cs="Times New Roman"/>
          <w:b/>
          <w:bCs/>
          <w:i w:val="0"/>
          <w:iCs w:val="0"/>
          <w:color w:val="000000" w:themeColor="text1"/>
          <w:sz w:val="24"/>
          <w:szCs w:val="24"/>
        </w:rPr>
        <w:t>1</w:t>
      </w:r>
      <w:r w:rsidRPr="00F8612D">
        <w:rPr>
          <w:rFonts w:ascii="Times New Roman" w:hAnsi="Times New Roman" w:cs="Times New Roman"/>
          <w:b/>
          <w:bCs/>
          <w:i w:val="0"/>
          <w:iCs w:val="0"/>
          <w:color w:val="000000" w:themeColor="text1"/>
          <w:sz w:val="24"/>
          <w:szCs w:val="24"/>
        </w:rPr>
        <w:fldChar w:fldCharType="end"/>
      </w:r>
      <w:r w:rsidRPr="00F8612D">
        <w:rPr>
          <w:rFonts w:ascii="Times New Roman" w:hAnsi="Times New Roman" w:cs="Times New Roman"/>
          <w:b/>
          <w:bCs/>
          <w:i w:val="0"/>
          <w:iCs w:val="0"/>
          <w:color w:val="000000" w:themeColor="text1"/>
          <w:sz w:val="24"/>
          <w:szCs w:val="24"/>
        </w:rPr>
        <w:t xml:space="preserve"> : Results of Kidney and Liver function test</w:t>
      </w:r>
      <w:r w:rsidR="00E751C4">
        <w:rPr>
          <w:rFonts w:ascii="Times New Roman" w:hAnsi="Times New Roman" w:cs="Times New Roman"/>
          <w:b/>
          <w:bCs/>
          <w:i w:val="0"/>
          <w:iCs w:val="0"/>
          <w:color w:val="000000" w:themeColor="text1"/>
          <w:sz w:val="24"/>
          <w:szCs w:val="24"/>
        </w:rPr>
        <w:t xml:space="preserve">s pre and post </w:t>
      </w:r>
      <w:proofErr w:type="spellStart"/>
      <w:r w:rsidR="00E751C4">
        <w:rPr>
          <w:rFonts w:ascii="Times New Roman" w:hAnsi="Times New Roman" w:cs="Times New Roman"/>
          <w:b/>
          <w:bCs/>
          <w:i w:val="0"/>
          <w:iCs w:val="0"/>
          <w:color w:val="000000" w:themeColor="text1"/>
          <w:sz w:val="24"/>
          <w:szCs w:val="24"/>
        </w:rPr>
        <w:t>CytoSorb</w:t>
      </w:r>
      <w:proofErr w:type="spellEnd"/>
      <w:r w:rsidR="00E751C4">
        <w:rPr>
          <w:rFonts w:ascii="Times New Roman" w:hAnsi="Times New Roman" w:cs="Times New Roman"/>
          <w:b/>
          <w:bCs/>
          <w:i w:val="0"/>
          <w:iCs w:val="0"/>
          <w:color w:val="000000" w:themeColor="text1"/>
          <w:sz w:val="24"/>
          <w:szCs w:val="24"/>
        </w:rPr>
        <w:t xml:space="preserve"> therapy</w:t>
      </w:r>
    </w:p>
    <w:p w14:paraId="2CF9D16C" w14:textId="2A6F83D4" w:rsidR="00700F8E" w:rsidRPr="00F55712" w:rsidRDefault="00574014" w:rsidP="00F8612D">
      <w:pPr>
        <w:spacing w:line="360" w:lineRule="auto"/>
        <w:jc w:val="both"/>
        <w:rPr>
          <w:rFonts w:ascii="Times New Roman" w:hAnsi="Times New Roman" w:cs="Times New Roman"/>
          <w:u w:val="single"/>
        </w:rPr>
      </w:pPr>
      <w:r w:rsidRPr="00F8612D">
        <w:rPr>
          <w:rFonts w:ascii="Times New Roman" w:hAnsi="Times New Roman" w:cs="Times New Roman"/>
        </w:rPr>
        <w:t xml:space="preserve"> </w:t>
      </w:r>
    </w:p>
    <w:sectPr w:rsidR="00700F8E" w:rsidRPr="00F5571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F3B1B" w14:textId="77777777" w:rsidR="00B74DE7" w:rsidRDefault="00B74DE7">
      <w:pPr>
        <w:spacing w:line="240" w:lineRule="auto"/>
      </w:pPr>
      <w:r>
        <w:separator/>
      </w:r>
    </w:p>
  </w:endnote>
  <w:endnote w:type="continuationSeparator" w:id="0">
    <w:p w14:paraId="784C0520" w14:textId="77777777" w:rsidR="00B74DE7" w:rsidRDefault="00B74D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9B9F2" w14:textId="77777777" w:rsidR="00026660" w:rsidRDefault="00026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6B34C" w14:textId="77777777" w:rsidR="00026660" w:rsidRDefault="000266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20B29" w14:textId="77777777" w:rsidR="00026660" w:rsidRDefault="00026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0563B" w14:textId="77777777" w:rsidR="00B74DE7" w:rsidRDefault="00B74DE7">
      <w:pPr>
        <w:spacing w:after="0"/>
      </w:pPr>
      <w:r>
        <w:separator/>
      </w:r>
    </w:p>
  </w:footnote>
  <w:footnote w:type="continuationSeparator" w:id="0">
    <w:p w14:paraId="330135D1" w14:textId="77777777" w:rsidR="00B74DE7" w:rsidRDefault="00B74D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3707E" w14:textId="66BA4DB2" w:rsidR="00026660" w:rsidRDefault="00026660">
    <w:pPr>
      <w:pStyle w:val="Header"/>
    </w:pPr>
    <w:r>
      <w:rPr>
        <w:noProof/>
      </w:rPr>
      <w:pict w14:anchorId="4446A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43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D5DFE" w14:textId="71D5A9FE" w:rsidR="00026660" w:rsidRDefault="00026660">
    <w:pPr>
      <w:pStyle w:val="Header"/>
    </w:pPr>
    <w:r>
      <w:rPr>
        <w:noProof/>
      </w:rPr>
      <w:pict w14:anchorId="00B319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43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BBF52" w14:textId="4040BC47" w:rsidR="00026660" w:rsidRDefault="00026660">
    <w:pPr>
      <w:pStyle w:val="Header"/>
    </w:pPr>
    <w:r>
      <w:rPr>
        <w:noProof/>
      </w:rPr>
      <w:pict w14:anchorId="56DB9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43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53047"/>
    <w:multiLevelType w:val="multilevel"/>
    <w:tmpl w:val="951E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A6185D"/>
    <w:multiLevelType w:val="multilevel"/>
    <w:tmpl w:val="67A6185D"/>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5A"/>
    <w:rsid w:val="00005338"/>
    <w:rsid w:val="00026660"/>
    <w:rsid w:val="000905B9"/>
    <w:rsid w:val="000B7593"/>
    <w:rsid w:val="000B76B8"/>
    <w:rsid w:val="000E7CF2"/>
    <w:rsid w:val="001050C9"/>
    <w:rsid w:val="00121F36"/>
    <w:rsid w:val="00145B6F"/>
    <w:rsid w:val="001516F0"/>
    <w:rsid w:val="001C2E88"/>
    <w:rsid w:val="001D0938"/>
    <w:rsid w:val="00336ABB"/>
    <w:rsid w:val="003C59E3"/>
    <w:rsid w:val="00462B03"/>
    <w:rsid w:val="004B71B3"/>
    <w:rsid w:val="004D23AF"/>
    <w:rsid w:val="00513844"/>
    <w:rsid w:val="005212C6"/>
    <w:rsid w:val="00574014"/>
    <w:rsid w:val="005A4737"/>
    <w:rsid w:val="005B2869"/>
    <w:rsid w:val="00636EFA"/>
    <w:rsid w:val="00674CF4"/>
    <w:rsid w:val="0068289C"/>
    <w:rsid w:val="00684B31"/>
    <w:rsid w:val="006D1351"/>
    <w:rsid w:val="00700F8E"/>
    <w:rsid w:val="00703D45"/>
    <w:rsid w:val="007B1FFE"/>
    <w:rsid w:val="007C2D28"/>
    <w:rsid w:val="0080457B"/>
    <w:rsid w:val="00831936"/>
    <w:rsid w:val="008B5813"/>
    <w:rsid w:val="008C381B"/>
    <w:rsid w:val="008D3918"/>
    <w:rsid w:val="00991541"/>
    <w:rsid w:val="009A37ED"/>
    <w:rsid w:val="009B20B6"/>
    <w:rsid w:val="00A07D5A"/>
    <w:rsid w:val="00A1353D"/>
    <w:rsid w:val="00A148A0"/>
    <w:rsid w:val="00A706BB"/>
    <w:rsid w:val="00A717CA"/>
    <w:rsid w:val="00AA04C8"/>
    <w:rsid w:val="00AE238F"/>
    <w:rsid w:val="00B74DE7"/>
    <w:rsid w:val="00B84373"/>
    <w:rsid w:val="00BA7EFE"/>
    <w:rsid w:val="00D51386"/>
    <w:rsid w:val="00DA7F3B"/>
    <w:rsid w:val="00E61EAD"/>
    <w:rsid w:val="00E751C4"/>
    <w:rsid w:val="00E9402C"/>
    <w:rsid w:val="00EA4C0A"/>
    <w:rsid w:val="00F4193F"/>
    <w:rsid w:val="00F50F9D"/>
    <w:rsid w:val="00F54D95"/>
    <w:rsid w:val="00F55712"/>
    <w:rsid w:val="00F8612D"/>
    <w:rsid w:val="00FA4DC5"/>
    <w:rsid w:val="00FC565D"/>
    <w:rsid w:val="00FE0642"/>
    <w:rsid w:val="00FE48F8"/>
    <w:rsid w:val="1F080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91554D6"/>
  <w15:docId w15:val="{821431F7-62C6-4BDD-9B7F-B60484CA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NoSpacing">
    <w:name w:val="No Spacing"/>
    <w:uiPriority w:val="1"/>
    <w:qFormat/>
    <w:rPr>
      <w:kern w:val="2"/>
      <w:sz w:val="24"/>
      <w:szCs w:val="24"/>
      <w14:ligatures w14:val="standardContextual"/>
    </w:rPr>
  </w:style>
  <w:style w:type="character" w:styleId="PlaceholderText">
    <w:name w:val="Placeholder Text"/>
    <w:basedOn w:val="DefaultParagraphFont"/>
    <w:uiPriority w:val="99"/>
    <w:semiHidden/>
    <w:rPr>
      <w:color w:val="666666"/>
    </w:rPr>
  </w:style>
  <w:style w:type="table" w:styleId="GridTable6Colorful">
    <w:name w:val="Grid Table 6 Colorful"/>
    <w:basedOn w:val="TableNormal"/>
    <w:uiPriority w:val="51"/>
    <w:rsid w:val="00DA7F3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A148A0"/>
    <w:rPr>
      <w:color w:val="0563C1" w:themeColor="hyperlink"/>
      <w:u w:val="single"/>
    </w:rPr>
  </w:style>
  <w:style w:type="character" w:styleId="UnresolvedMention">
    <w:name w:val="Unresolved Mention"/>
    <w:basedOn w:val="DefaultParagraphFont"/>
    <w:uiPriority w:val="99"/>
    <w:semiHidden/>
    <w:unhideWhenUsed/>
    <w:rsid w:val="000B7593"/>
    <w:rPr>
      <w:color w:val="605E5C"/>
      <w:shd w:val="clear" w:color="auto" w:fill="E1DFDD"/>
    </w:rPr>
  </w:style>
  <w:style w:type="paragraph" w:styleId="Header">
    <w:name w:val="header"/>
    <w:basedOn w:val="Normal"/>
    <w:link w:val="HeaderChar"/>
    <w:uiPriority w:val="99"/>
    <w:unhideWhenUsed/>
    <w:rsid w:val="00026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660"/>
    <w:rPr>
      <w:kern w:val="2"/>
      <w:sz w:val="24"/>
      <w:szCs w:val="24"/>
      <w14:ligatures w14:val="standardContextual"/>
    </w:rPr>
  </w:style>
  <w:style w:type="paragraph" w:styleId="Footer">
    <w:name w:val="footer"/>
    <w:basedOn w:val="Normal"/>
    <w:link w:val="FooterChar"/>
    <w:uiPriority w:val="99"/>
    <w:unhideWhenUsed/>
    <w:rsid w:val="00026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660"/>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83641">
      <w:bodyDiv w:val="1"/>
      <w:marLeft w:val="0"/>
      <w:marRight w:val="0"/>
      <w:marTop w:val="0"/>
      <w:marBottom w:val="0"/>
      <w:divBdr>
        <w:top w:val="none" w:sz="0" w:space="0" w:color="auto"/>
        <w:left w:val="none" w:sz="0" w:space="0" w:color="auto"/>
        <w:bottom w:val="none" w:sz="0" w:space="0" w:color="auto"/>
        <w:right w:val="none" w:sz="0" w:space="0" w:color="auto"/>
      </w:divBdr>
      <w:divsChild>
        <w:div w:id="373232089">
          <w:marLeft w:val="640"/>
          <w:marRight w:val="0"/>
          <w:marTop w:val="0"/>
          <w:marBottom w:val="0"/>
          <w:divBdr>
            <w:top w:val="none" w:sz="0" w:space="0" w:color="auto"/>
            <w:left w:val="none" w:sz="0" w:space="0" w:color="auto"/>
            <w:bottom w:val="none" w:sz="0" w:space="0" w:color="auto"/>
            <w:right w:val="none" w:sz="0" w:space="0" w:color="auto"/>
          </w:divBdr>
        </w:div>
        <w:div w:id="1275943401">
          <w:marLeft w:val="640"/>
          <w:marRight w:val="0"/>
          <w:marTop w:val="0"/>
          <w:marBottom w:val="0"/>
          <w:divBdr>
            <w:top w:val="none" w:sz="0" w:space="0" w:color="auto"/>
            <w:left w:val="none" w:sz="0" w:space="0" w:color="auto"/>
            <w:bottom w:val="none" w:sz="0" w:space="0" w:color="auto"/>
            <w:right w:val="none" w:sz="0" w:space="0" w:color="auto"/>
          </w:divBdr>
        </w:div>
        <w:div w:id="1925145739">
          <w:marLeft w:val="640"/>
          <w:marRight w:val="0"/>
          <w:marTop w:val="0"/>
          <w:marBottom w:val="0"/>
          <w:divBdr>
            <w:top w:val="none" w:sz="0" w:space="0" w:color="auto"/>
            <w:left w:val="none" w:sz="0" w:space="0" w:color="auto"/>
            <w:bottom w:val="none" w:sz="0" w:space="0" w:color="auto"/>
            <w:right w:val="none" w:sz="0" w:space="0" w:color="auto"/>
          </w:divBdr>
        </w:div>
        <w:div w:id="123500631">
          <w:marLeft w:val="640"/>
          <w:marRight w:val="0"/>
          <w:marTop w:val="0"/>
          <w:marBottom w:val="0"/>
          <w:divBdr>
            <w:top w:val="none" w:sz="0" w:space="0" w:color="auto"/>
            <w:left w:val="none" w:sz="0" w:space="0" w:color="auto"/>
            <w:bottom w:val="none" w:sz="0" w:space="0" w:color="auto"/>
            <w:right w:val="none" w:sz="0" w:space="0" w:color="auto"/>
          </w:divBdr>
        </w:div>
        <w:div w:id="806705957">
          <w:marLeft w:val="640"/>
          <w:marRight w:val="0"/>
          <w:marTop w:val="0"/>
          <w:marBottom w:val="0"/>
          <w:divBdr>
            <w:top w:val="none" w:sz="0" w:space="0" w:color="auto"/>
            <w:left w:val="none" w:sz="0" w:space="0" w:color="auto"/>
            <w:bottom w:val="none" w:sz="0" w:space="0" w:color="auto"/>
            <w:right w:val="none" w:sz="0" w:space="0" w:color="auto"/>
          </w:divBdr>
        </w:div>
        <w:div w:id="1232346526">
          <w:marLeft w:val="640"/>
          <w:marRight w:val="0"/>
          <w:marTop w:val="0"/>
          <w:marBottom w:val="0"/>
          <w:divBdr>
            <w:top w:val="none" w:sz="0" w:space="0" w:color="auto"/>
            <w:left w:val="none" w:sz="0" w:space="0" w:color="auto"/>
            <w:bottom w:val="none" w:sz="0" w:space="0" w:color="auto"/>
            <w:right w:val="none" w:sz="0" w:space="0" w:color="auto"/>
          </w:divBdr>
        </w:div>
        <w:div w:id="649478757">
          <w:marLeft w:val="640"/>
          <w:marRight w:val="0"/>
          <w:marTop w:val="0"/>
          <w:marBottom w:val="0"/>
          <w:divBdr>
            <w:top w:val="none" w:sz="0" w:space="0" w:color="auto"/>
            <w:left w:val="none" w:sz="0" w:space="0" w:color="auto"/>
            <w:bottom w:val="none" w:sz="0" w:space="0" w:color="auto"/>
            <w:right w:val="none" w:sz="0" w:space="0" w:color="auto"/>
          </w:divBdr>
        </w:div>
        <w:div w:id="187719423">
          <w:marLeft w:val="640"/>
          <w:marRight w:val="0"/>
          <w:marTop w:val="0"/>
          <w:marBottom w:val="0"/>
          <w:divBdr>
            <w:top w:val="none" w:sz="0" w:space="0" w:color="auto"/>
            <w:left w:val="none" w:sz="0" w:space="0" w:color="auto"/>
            <w:bottom w:val="none" w:sz="0" w:space="0" w:color="auto"/>
            <w:right w:val="none" w:sz="0" w:space="0" w:color="auto"/>
          </w:divBdr>
        </w:div>
        <w:div w:id="1890259239">
          <w:marLeft w:val="640"/>
          <w:marRight w:val="0"/>
          <w:marTop w:val="0"/>
          <w:marBottom w:val="0"/>
          <w:divBdr>
            <w:top w:val="none" w:sz="0" w:space="0" w:color="auto"/>
            <w:left w:val="none" w:sz="0" w:space="0" w:color="auto"/>
            <w:bottom w:val="none" w:sz="0" w:space="0" w:color="auto"/>
            <w:right w:val="none" w:sz="0" w:space="0" w:color="auto"/>
          </w:divBdr>
        </w:div>
        <w:div w:id="978725788">
          <w:marLeft w:val="640"/>
          <w:marRight w:val="0"/>
          <w:marTop w:val="0"/>
          <w:marBottom w:val="0"/>
          <w:divBdr>
            <w:top w:val="none" w:sz="0" w:space="0" w:color="auto"/>
            <w:left w:val="none" w:sz="0" w:space="0" w:color="auto"/>
            <w:bottom w:val="none" w:sz="0" w:space="0" w:color="auto"/>
            <w:right w:val="none" w:sz="0" w:space="0" w:color="auto"/>
          </w:divBdr>
        </w:div>
      </w:divsChild>
    </w:div>
    <w:div w:id="364671123">
      <w:bodyDiv w:val="1"/>
      <w:marLeft w:val="0"/>
      <w:marRight w:val="0"/>
      <w:marTop w:val="0"/>
      <w:marBottom w:val="0"/>
      <w:divBdr>
        <w:top w:val="none" w:sz="0" w:space="0" w:color="auto"/>
        <w:left w:val="none" w:sz="0" w:space="0" w:color="auto"/>
        <w:bottom w:val="none" w:sz="0" w:space="0" w:color="auto"/>
        <w:right w:val="none" w:sz="0" w:space="0" w:color="auto"/>
      </w:divBdr>
      <w:divsChild>
        <w:div w:id="104663555">
          <w:marLeft w:val="0"/>
          <w:marRight w:val="0"/>
          <w:marTop w:val="0"/>
          <w:marBottom w:val="0"/>
          <w:divBdr>
            <w:top w:val="none" w:sz="0" w:space="0" w:color="auto"/>
            <w:left w:val="none" w:sz="0" w:space="0" w:color="auto"/>
            <w:bottom w:val="none" w:sz="0" w:space="0" w:color="auto"/>
            <w:right w:val="none" w:sz="0" w:space="0" w:color="auto"/>
          </w:divBdr>
          <w:divsChild>
            <w:div w:id="1541748970">
              <w:marLeft w:val="0"/>
              <w:marRight w:val="0"/>
              <w:marTop w:val="0"/>
              <w:marBottom w:val="0"/>
              <w:divBdr>
                <w:top w:val="none" w:sz="0" w:space="0" w:color="auto"/>
                <w:left w:val="none" w:sz="0" w:space="0" w:color="auto"/>
                <w:bottom w:val="none" w:sz="0" w:space="0" w:color="auto"/>
                <w:right w:val="none" w:sz="0" w:space="0" w:color="auto"/>
              </w:divBdr>
            </w:div>
          </w:divsChild>
        </w:div>
        <w:div w:id="459540307">
          <w:marLeft w:val="0"/>
          <w:marRight w:val="0"/>
          <w:marTop w:val="0"/>
          <w:marBottom w:val="0"/>
          <w:divBdr>
            <w:top w:val="none" w:sz="0" w:space="0" w:color="auto"/>
            <w:left w:val="none" w:sz="0" w:space="0" w:color="auto"/>
            <w:bottom w:val="none" w:sz="0" w:space="0" w:color="auto"/>
            <w:right w:val="none" w:sz="0" w:space="0" w:color="auto"/>
          </w:divBdr>
          <w:divsChild>
            <w:div w:id="198554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31193">
      <w:bodyDiv w:val="1"/>
      <w:marLeft w:val="0"/>
      <w:marRight w:val="0"/>
      <w:marTop w:val="0"/>
      <w:marBottom w:val="0"/>
      <w:divBdr>
        <w:top w:val="none" w:sz="0" w:space="0" w:color="auto"/>
        <w:left w:val="none" w:sz="0" w:space="0" w:color="auto"/>
        <w:bottom w:val="none" w:sz="0" w:space="0" w:color="auto"/>
        <w:right w:val="none" w:sz="0" w:space="0" w:color="auto"/>
      </w:divBdr>
    </w:div>
    <w:div w:id="893009976">
      <w:bodyDiv w:val="1"/>
      <w:marLeft w:val="0"/>
      <w:marRight w:val="0"/>
      <w:marTop w:val="0"/>
      <w:marBottom w:val="0"/>
      <w:divBdr>
        <w:top w:val="none" w:sz="0" w:space="0" w:color="auto"/>
        <w:left w:val="none" w:sz="0" w:space="0" w:color="auto"/>
        <w:bottom w:val="none" w:sz="0" w:space="0" w:color="auto"/>
        <w:right w:val="none" w:sz="0" w:space="0" w:color="auto"/>
      </w:divBdr>
      <w:divsChild>
        <w:div w:id="1391997067">
          <w:marLeft w:val="640"/>
          <w:marRight w:val="0"/>
          <w:marTop w:val="0"/>
          <w:marBottom w:val="0"/>
          <w:divBdr>
            <w:top w:val="none" w:sz="0" w:space="0" w:color="auto"/>
            <w:left w:val="none" w:sz="0" w:space="0" w:color="auto"/>
            <w:bottom w:val="none" w:sz="0" w:space="0" w:color="auto"/>
            <w:right w:val="none" w:sz="0" w:space="0" w:color="auto"/>
          </w:divBdr>
        </w:div>
        <w:div w:id="950086938">
          <w:marLeft w:val="640"/>
          <w:marRight w:val="0"/>
          <w:marTop w:val="0"/>
          <w:marBottom w:val="0"/>
          <w:divBdr>
            <w:top w:val="none" w:sz="0" w:space="0" w:color="auto"/>
            <w:left w:val="none" w:sz="0" w:space="0" w:color="auto"/>
            <w:bottom w:val="none" w:sz="0" w:space="0" w:color="auto"/>
            <w:right w:val="none" w:sz="0" w:space="0" w:color="auto"/>
          </w:divBdr>
        </w:div>
        <w:div w:id="505634352">
          <w:marLeft w:val="640"/>
          <w:marRight w:val="0"/>
          <w:marTop w:val="0"/>
          <w:marBottom w:val="0"/>
          <w:divBdr>
            <w:top w:val="none" w:sz="0" w:space="0" w:color="auto"/>
            <w:left w:val="none" w:sz="0" w:space="0" w:color="auto"/>
            <w:bottom w:val="none" w:sz="0" w:space="0" w:color="auto"/>
            <w:right w:val="none" w:sz="0" w:space="0" w:color="auto"/>
          </w:divBdr>
        </w:div>
        <w:div w:id="1715538809">
          <w:marLeft w:val="640"/>
          <w:marRight w:val="0"/>
          <w:marTop w:val="0"/>
          <w:marBottom w:val="0"/>
          <w:divBdr>
            <w:top w:val="none" w:sz="0" w:space="0" w:color="auto"/>
            <w:left w:val="none" w:sz="0" w:space="0" w:color="auto"/>
            <w:bottom w:val="none" w:sz="0" w:space="0" w:color="auto"/>
            <w:right w:val="none" w:sz="0" w:space="0" w:color="auto"/>
          </w:divBdr>
        </w:div>
        <w:div w:id="1328358599">
          <w:marLeft w:val="640"/>
          <w:marRight w:val="0"/>
          <w:marTop w:val="0"/>
          <w:marBottom w:val="0"/>
          <w:divBdr>
            <w:top w:val="none" w:sz="0" w:space="0" w:color="auto"/>
            <w:left w:val="none" w:sz="0" w:space="0" w:color="auto"/>
            <w:bottom w:val="none" w:sz="0" w:space="0" w:color="auto"/>
            <w:right w:val="none" w:sz="0" w:space="0" w:color="auto"/>
          </w:divBdr>
        </w:div>
        <w:div w:id="1330981480">
          <w:marLeft w:val="640"/>
          <w:marRight w:val="0"/>
          <w:marTop w:val="0"/>
          <w:marBottom w:val="0"/>
          <w:divBdr>
            <w:top w:val="none" w:sz="0" w:space="0" w:color="auto"/>
            <w:left w:val="none" w:sz="0" w:space="0" w:color="auto"/>
            <w:bottom w:val="none" w:sz="0" w:space="0" w:color="auto"/>
            <w:right w:val="none" w:sz="0" w:space="0" w:color="auto"/>
          </w:divBdr>
        </w:div>
        <w:div w:id="30033103">
          <w:marLeft w:val="640"/>
          <w:marRight w:val="0"/>
          <w:marTop w:val="0"/>
          <w:marBottom w:val="0"/>
          <w:divBdr>
            <w:top w:val="none" w:sz="0" w:space="0" w:color="auto"/>
            <w:left w:val="none" w:sz="0" w:space="0" w:color="auto"/>
            <w:bottom w:val="none" w:sz="0" w:space="0" w:color="auto"/>
            <w:right w:val="none" w:sz="0" w:space="0" w:color="auto"/>
          </w:divBdr>
        </w:div>
        <w:div w:id="26109332">
          <w:marLeft w:val="640"/>
          <w:marRight w:val="0"/>
          <w:marTop w:val="0"/>
          <w:marBottom w:val="0"/>
          <w:divBdr>
            <w:top w:val="none" w:sz="0" w:space="0" w:color="auto"/>
            <w:left w:val="none" w:sz="0" w:space="0" w:color="auto"/>
            <w:bottom w:val="none" w:sz="0" w:space="0" w:color="auto"/>
            <w:right w:val="none" w:sz="0" w:space="0" w:color="auto"/>
          </w:divBdr>
        </w:div>
        <w:div w:id="1512833882">
          <w:marLeft w:val="640"/>
          <w:marRight w:val="0"/>
          <w:marTop w:val="0"/>
          <w:marBottom w:val="0"/>
          <w:divBdr>
            <w:top w:val="none" w:sz="0" w:space="0" w:color="auto"/>
            <w:left w:val="none" w:sz="0" w:space="0" w:color="auto"/>
            <w:bottom w:val="none" w:sz="0" w:space="0" w:color="auto"/>
            <w:right w:val="none" w:sz="0" w:space="0" w:color="auto"/>
          </w:divBdr>
        </w:div>
        <w:div w:id="935790886">
          <w:marLeft w:val="640"/>
          <w:marRight w:val="0"/>
          <w:marTop w:val="0"/>
          <w:marBottom w:val="0"/>
          <w:divBdr>
            <w:top w:val="none" w:sz="0" w:space="0" w:color="auto"/>
            <w:left w:val="none" w:sz="0" w:space="0" w:color="auto"/>
            <w:bottom w:val="none" w:sz="0" w:space="0" w:color="auto"/>
            <w:right w:val="none" w:sz="0" w:space="0" w:color="auto"/>
          </w:divBdr>
        </w:div>
        <w:div w:id="507211786">
          <w:marLeft w:val="640"/>
          <w:marRight w:val="0"/>
          <w:marTop w:val="0"/>
          <w:marBottom w:val="0"/>
          <w:divBdr>
            <w:top w:val="none" w:sz="0" w:space="0" w:color="auto"/>
            <w:left w:val="none" w:sz="0" w:space="0" w:color="auto"/>
            <w:bottom w:val="none" w:sz="0" w:space="0" w:color="auto"/>
            <w:right w:val="none" w:sz="0" w:space="0" w:color="auto"/>
          </w:divBdr>
        </w:div>
      </w:divsChild>
    </w:div>
    <w:div w:id="946278640">
      <w:bodyDiv w:val="1"/>
      <w:marLeft w:val="0"/>
      <w:marRight w:val="0"/>
      <w:marTop w:val="0"/>
      <w:marBottom w:val="0"/>
      <w:divBdr>
        <w:top w:val="none" w:sz="0" w:space="0" w:color="auto"/>
        <w:left w:val="none" w:sz="0" w:space="0" w:color="auto"/>
        <w:bottom w:val="none" w:sz="0" w:space="0" w:color="auto"/>
        <w:right w:val="none" w:sz="0" w:space="0" w:color="auto"/>
      </w:divBdr>
      <w:divsChild>
        <w:div w:id="1183741766">
          <w:marLeft w:val="640"/>
          <w:marRight w:val="0"/>
          <w:marTop w:val="0"/>
          <w:marBottom w:val="0"/>
          <w:divBdr>
            <w:top w:val="none" w:sz="0" w:space="0" w:color="auto"/>
            <w:left w:val="none" w:sz="0" w:space="0" w:color="auto"/>
            <w:bottom w:val="none" w:sz="0" w:space="0" w:color="auto"/>
            <w:right w:val="none" w:sz="0" w:space="0" w:color="auto"/>
          </w:divBdr>
        </w:div>
        <w:div w:id="1991594591">
          <w:marLeft w:val="640"/>
          <w:marRight w:val="0"/>
          <w:marTop w:val="0"/>
          <w:marBottom w:val="0"/>
          <w:divBdr>
            <w:top w:val="none" w:sz="0" w:space="0" w:color="auto"/>
            <w:left w:val="none" w:sz="0" w:space="0" w:color="auto"/>
            <w:bottom w:val="none" w:sz="0" w:space="0" w:color="auto"/>
            <w:right w:val="none" w:sz="0" w:space="0" w:color="auto"/>
          </w:divBdr>
        </w:div>
        <w:div w:id="831221247">
          <w:marLeft w:val="640"/>
          <w:marRight w:val="0"/>
          <w:marTop w:val="0"/>
          <w:marBottom w:val="0"/>
          <w:divBdr>
            <w:top w:val="none" w:sz="0" w:space="0" w:color="auto"/>
            <w:left w:val="none" w:sz="0" w:space="0" w:color="auto"/>
            <w:bottom w:val="none" w:sz="0" w:space="0" w:color="auto"/>
            <w:right w:val="none" w:sz="0" w:space="0" w:color="auto"/>
          </w:divBdr>
        </w:div>
        <w:div w:id="1275014847">
          <w:marLeft w:val="640"/>
          <w:marRight w:val="0"/>
          <w:marTop w:val="0"/>
          <w:marBottom w:val="0"/>
          <w:divBdr>
            <w:top w:val="none" w:sz="0" w:space="0" w:color="auto"/>
            <w:left w:val="none" w:sz="0" w:space="0" w:color="auto"/>
            <w:bottom w:val="none" w:sz="0" w:space="0" w:color="auto"/>
            <w:right w:val="none" w:sz="0" w:space="0" w:color="auto"/>
          </w:divBdr>
        </w:div>
        <w:div w:id="1214734961">
          <w:marLeft w:val="640"/>
          <w:marRight w:val="0"/>
          <w:marTop w:val="0"/>
          <w:marBottom w:val="0"/>
          <w:divBdr>
            <w:top w:val="none" w:sz="0" w:space="0" w:color="auto"/>
            <w:left w:val="none" w:sz="0" w:space="0" w:color="auto"/>
            <w:bottom w:val="none" w:sz="0" w:space="0" w:color="auto"/>
            <w:right w:val="none" w:sz="0" w:space="0" w:color="auto"/>
          </w:divBdr>
        </w:div>
        <w:div w:id="492379209">
          <w:marLeft w:val="640"/>
          <w:marRight w:val="0"/>
          <w:marTop w:val="0"/>
          <w:marBottom w:val="0"/>
          <w:divBdr>
            <w:top w:val="none" w:sz="0" w:space="0" w:color="auto"/>
            <w:left w:val="none" w:sz="0" w:space="0" w:color="auto"/>
            <w:bottom w:val="none" w:sz="0" w:space="0" w:color="auto"/>
            <w:right w:val="none" w:sz="0" w:space="0" w:color="auto"/>
          </w:divBdr>
        </w:div>
        <w:div w:id="1238400201">
          <w:marLeft w:val="640"/>
          <w:marRight w:val="0"/>
          <w:marTop w:val="0"/>
          <w:marBottom w:val="0"/>
          <w:divBdr>
            <w:top w:val="none" w:sz="0" w:space="0" w:color="auto"/>
            <w:left w:val="none" w:sz="0" w:space="0" w:color="auto"/>
            <w:bottom w:val="none" w:sz="0" w:space="0" w:color="auto"/>
            <w:right w:val="none" w:sz="0" w:space="0" w:color="auto"/>
          </w:divBdr>
        </w:div>
      </w:divsChild>
    </w:div>
    <w:div w:id="950480502">
      <w:bodyDiv w:val="1"/>
      <w:marLeft w:val="0"/>
      <w:marRight w:val="0"/>
      <w:marTop w:val="0"/>
      <w:marBottom w:val="0"/>
      <w:divBdr>
        <w:top w:val="none" w:sz="0" w:space="0" w:color="auto"/>
        <w:left w:val="none" w:sz="0" w:space="0" w:color="auto"/>
        <w:bottom w:val="none" w:sz="0" w:space="0" w:color="auto"/>
        <w:right w:val="none" w:sz="0" w:space="0" w:color="auto"/>
      </w:divBdr>
      <w:divsChild>
        <w:div w:id="1145203168">
          <w:marLeft w:val="640"/>
          <w:marRight w:val="0"/>
          <w:marTop w:val="0"/>
          <w:marBottom w:val="0"/>
          <w:divBdr>
            <w:top w:val="none" w:sz="0" w:space="0" w:color="auto"/>
            <w:left w:val="none" w:sz="0" w:space="0" w:color="auto"/>
            <w:bottom w:val="none" w:sz="0" w:space="0" w:color="auto"/>
            <w:right w:val="none" w:sz="0" w:space="0" w:color="auto"/>
          </w:divBdr>
        </w:div>
        <w:div w:id="896547017">
          <w:marLeft w:val="640"/>
          <w:marRight w:val="0"/>
          <w:marTop w:val="0"/>
          <w:marBottom w:val="0"/>
          <w:divBdr>
            <w:top w:val="none" w:sz="0" w:space="0" w:color="auto"/>
            <w:left w:val="none" w:sz="0" w:space="0" w:color="auto"/>
            <w:bottom w:val="none" w:sz="0" w:space="0" w:color="auto"/>
            <w:right w:val="none" w:sz="0" w:space="0" w:color="auto"/>
          </w:divBdr>
        </w:div>
        <w:div w:id="2121871225">
          <w:marLeft w:val="640"/>
          <w:marRight w:val="0"/>
          <w:marTop w:val="0"/>
          <w:marBottom w:val="0"/>
          <w:divBdr>
            <w:top w:val="none" w:sz="0" w:space="0" w:color="auto"/>
            <w:left w:val="none" w:sz="0" w:space="0" w:color="auto"/>
            <w:bottom w:val="none" w:sz="0" w:space="0" w:color="auto"/>
            <w:right w:val="none" w:sz="0" w:space="0" w:color="auto"/>
          </w:divBdr>
        </w:div>
        <w:div w:id="681274611">
          <w:marLeft w:val="640"/>
          <w:marRight w:val="0"/>
          <w:marTop w:val="0"/>
          <w:marBottom w:val="0"/>
          <w:divBdr>
            <w:top w:val="none" w:sz="0" w:space="0" w:color="auto"/>
            <w:left w:val="none" w:sz="0" w:space="0" w:color="auto"/>
            <w:bottom w:val="none" w:sz="0" w:space="0" w:color="auto"/>
            <w:right w:val="none" w:sz="0" w:space="0" w:color="auto"/>
          </w:divBdr>
        </w:div>
        <w:div w:id="1863085945">
          <w:marLeft w:val="640"/>
          <w:marRight w:val="0"/>
          <w:marTop w:val="0"/>
          <w:marBottom w:val="0"/>
          <w:divBdr>
            <w:top w:val="none" w:sz="0" w:space="0" w:color="auto"/>
            <w:left w:val="none" w:sz="0" w:space="0" w:color="auto"/>
            <w:bottom w:val="none" w:sz="0" w:space="0" w:color="auto"/>
            <w:right w:val="none" w:sz="0" w:space="0" w:color="auto"/>
          </w:divBdr>
        </w:div>
        <w:div w:id="1136336009">
          <w:marLeft w:val="640"/>
          <w:marRight w:val="0"/>
          <w:marTop w:val="0"/>
          <w:marBottom w:val="0"/>
          <w:divBdr>
            <w:top w:val="none" w:sz="0" w:space="0" w:color="auto"/>
            <w:left w:val="none" w:sz="0" w:space="0" w:color="auto"/>
            <w:bottom w:val="none" w:sz="0" w:space="0" w:color="auto"/>
            <w:right w:val="none" w:sz="0" w:space="0" w:color="auto"/>
          </w:divBdr>
        </w:div>
        <w:div w:id="1431320417">
          <w:marLeft w:val="640"/>
          <w:marRight w:val="0"/>
          <w:marTop w:val="0"/>
          <w:marBottom w:val="0"/>
          <w:divBdr>
            <w:top w:val="none" w:sz="0" w:space="0" w:color="auto"/>
            <w:left w:val="none" w:sz="0" w:space="0" w:color="auto"/>
            <w:bottom w:val="none" w:sz="0" w:space="0" w:color="auto"/>
            <w:right w:val="none" w:sz="0" w:space="0" w:color="auto"/>
          </w:divBdr>
        </w:div>
        <w:div w:id="1429735638">
          <w:marLeft w:val="640"/>
          <w:marRight w:val="0"/>
          <w:marTop w:val="0"/>
          <w:marBottom w:val="0"/>
          <w:divBdr>
            <w:top w:val="none" w:sz="0" w:space="0" w:color="auto"/>
            <w:left w:val="none" w:sz="0" w:space="0" w:color="auto"/>
            <w:bottom w:val="none" w:sz="0" w:space="0" w:color="auto"/>
            <w:right w:val="none" w:sz="0" w:space="0" w:color="auto"/>
          </w:divBdr>
        </w:div>
        <w:div w:id="1413968219">
          <w:marLeft w:val="640"/>
          <w:marRight w:val="0"/>
          <w:marTop w:val="0"/>
          <w:marBottom w:val="0"/>
          <w:divBdr>
            <w:top w:val="none" w:sz="0" w:space="0" w:color="auto"/>
            <w:left w:val="none" w:sz="0" w:space="0" w:color="auto"/>
            <w:bottom w:val="none" w:sz="0" w:space="0" w:color="auto"/>
            <w:right w:val="none" w:sz="0" w:space="0" w:color="auto"/>
          </w:divBdr>
        </w:div>
        <w:div w:id="818762674">
          <w:marLeft w:val="640"/>
          <w:marRight w:val="0"/>
          <w:marTop w:val="0"/>
          <w:marBottom w:val="0"/>
          <w:divBdr>
            <w:top w:val="none" w:sz="0" w:space="0" w:color="auto"/>
            <w:left w:val="none" w:sz="0" w:space="0" w:color="auto"/>
            <w:bottom w:val="none" w:sz="0" w:space="0" w:color="auto"/>
            <w:right w:val="none" w:sz="0" w:space="0" w:color="auto"/>
          </w:divBdr>
        </w:div>
        <w:div w:id="977803548">
          <w:marLeft w:val="640"/>
          <w:marRight w:val="0"/>
          <w:marTop w:val="0"/>
          <w:marBottom w:val="0"/>
          <w:divBdr>
            <w:top w:val="none" w:sz="0" w:space="0" w:color="auto"/>
            <w:left w:val="none" w:sz="0" w:space="0" w:color="auto"/>
            <w:bottom w:val="none" w:sz="0" w:space="0" w:color="auto"/>
            <w:right w:val="none" w:sz="0" w:space="0" w:color="auto"/>
          </w:divBdr>
        </w:div>
        <w:div w:id="960185781">
          <w:marLeft w:val="640"/>
          <w:marRight w:val="0"/>
          <w:marTop w:val="0"/>
          <w:marBottom w:val="0"/>
          <w:divBdr>
            <w:top w:val="none" w:sz="0" w:space="0" w:color="auto"/>
            <w:left w:val="none" w:sz="0" w:space="0" w:color="auto"/>
            <w:bottom w:val="none" w:sz="0" w:space="0" w:color="auto"/>
            <w:right w:val="none" w:sz="0" w:space="0" w:color="auto"/>
          </w:divBdr>
        </w:div>
      </w:divsChild>
    </w:div>
    <w:div w:id="1333751599">
      <w:bodyDiv w:val="1"/>
      <w:marLeft w:val="0"/>
      <w:marRight w:val="0"/>
      <w:marTop w:val="0"/>
      <w:marBottom w:val="0"/>
      <w:divBdr>
        <w:top w:val="none" w:sz="0" w:space="0" w:color="auto"/>
        <w:left w:val="none" w:sz="0" w:space="0" w:color="auto"/>
        <w:bottom w:val="none" w:sz="0" w:space="0" w:color="auto"/>
        <w:right w:val="none" w:sz="0" w:space="0" w:color="auto"/>
      </w:divBdr>
      <w:divsChild>
        <w:div w:id="498427382">
          <w:marLeft w:val="640"/>
          <w:marRight w:val="0"/>
          <w:marTop w:val="0"/>
          <w:marBottom w:val="0"/>
          <w:divBdr>
            <w:top w:val="none" w:sz="0" w:space="0" w:color="auto"/>
            <w:left w:val="none" w:sz="0" w:space="0" w:color="auto"/>
            <w:bottom w:val="none" w:sz="0" w:space="0" w:color="auto"/>
            <w:right w:val="none" w:sz="0" w:space="0" w:color="auto"/>
          </w:divBdr>
        </w:div>
        <w:div w:id="1175657216">
          <w:marLeft w:val="640"/>
          <w:marRight w:val="0"/>
          <w:marTop w:val="0"/>
          <w:marBottom w:val="0"/>
          <w:divBdr>
            <w:top w:val="none" w:sz="0" w:space="0" w:color="auto"/>
            <w:left w:val="none" w:sz="0" w:space="0" w:color="auto"/>
            <w:bottom w:val="none" w:sz="0" w:space="0" w:color="auto"/>
            <w:right w:val="none" w:sz="0" w:space="0" w:color="auto"/>
          </w:divBdr>
        </w:div>
        <w:div w:id="43912793">
          <w:marLeft w:val="640"/>
          <w:marRight w:val="0"/>
          <w:marTop w:val="0"/>
          <w:marBottom w:val="0"/>
          <w:divBdr>
            <w:top w:val="none" w:sz="0" w:space="0" w:color="auto"/>
            <w:left w:val="none" w:sz="0" w:space="0" w:color="auto"/>
            <w:bottom w:val="none" w:sz="0" w:space="0" w:color="auto"/>
            <w:right w:val="none" w:sz="0" w:space="0" w:color="auto"/>
          </w:divBdr>
        </w:div>
        <w:div w:id="254284290">
          <w:marLeft w:val="640"/>
          <w:marRight w:val="0"/>
          <w:marTop w:val="0"/>
          <w:marBottom w:val="0"/>
          <w:divBdr>
            <w:top w:val="none" w:sz="0" w:space="0" w:color="auto"/>
            <w:left w:val="none" w:sz="0" w:space="0" w:color="auto"/>
            <w:bottom w:val="none" w:sz="0" w:space="0" w:color="auto"/>
            <w:right w:val="none" w:sz="0" w:space="0" w:color="auto"/>
          </w:divBdr>
        </w:div>
        <w:div w:id="1703820778">
          <w:marLeft w:val="640"/>
          <w:marRight w:val="0"/>
          <w:marTop w:val="0"/>
          <w:marBottom w:val="0"/>
          <w:divBdr>
            <w:top w:val="none" w:sz="0" w:space="0" w:color="auto"/>
            <w:left w:val="none" w:sz="0" w:space="0" w:color="auto"/>
            <w:bottom w:val="none" w:sz="0" w:space="0" w:color="auto"/>
            <w:right w:val="none" w:sz="0" w:space="0" w:color="auto"/>
          </w:divBdr>
        </w:div>
        <w:div w:id="1360932071">
          <w:marLeft w:val="640"/>
          <w:marRight w:val="0"/>
          <w:marTop w:val="0"/>
          <w:marBottom w:val="0"/>
          <w:divBdr>
            <w:top w:val="none" w:sz="0" w:space="0" w:color="auto"/>
            <w:left w:val="none" w:sz="0" w:space="0" w:color="auto"/>
            <w:bottom w:val="none" w:sz="0" w:space="0" w:color="auto"/>
            <w:right w:val="none" w:sz="0" w:space="0" w:color="auto"/>
          </w:divBdr>
        </w:div>
        <w:div w:id="1850869864">
          <w:marLeft w:val="640"/>
          <w:marRight w:val="0"/>
          <w:marTop w:val="0"/>
          <w:marBottom w:val="0"/>
          <w:divBdr>
            <w:top w:val="none" w:sz="0" w:space="0" w:color="auto"/>
            <w:left w:val="none" w:sz="0" w:space="0" w:color="auto"/>
            <w:bottom w:val="none" w:sz="0" w:space="0" w:color="auto"/>
            <w:right w:val="none" w:sz="0" w:space="0" w:color="auto"/>
          </w:divBdr>
        </w:div>
        <w:div w:id="21366043">
          <w:marLeft w:val="640"/>
          <w:marRight w:val="0"/>
          <w:marTop w:val="0"/>
          <w:marBottom w:val="0"/>
          <w:divBdr>
            <w:top w:val="none" w:sz="0" w:space="0" w:color="auto"/>
            <w:left w:val="none" w:sz="0" w:space="0" w:color="auto"/>
            <w:bottom w:val="none" w:sz="0" w:space="0" w:color="auto"/>
            <w:right w:val="none" w:sz="0" w:space="0" w:color="auto"/>
          </w:divBdr>
        </w:div>
      </w:divsChild>
    </w:div>
    <w:div w:id="1401512857">
      <w:bodyDiv w:val="1"/>
      <w:marLeft w:val="0"/>
      <w:marRight w:val="0"/>
      <w:marTop w:val="0"/>
      <w:marBottom w:val="0"/>
      <w:divBdr>
        <w:top w:val="none" w:sz="0" w:space="0" w:color="auto"/>
        <w:left w:val="none" w:sz="0" w:space="0" w:color="auto"/>
        <w:bottom w:val="none" w:sz="0" w:space="0" w:color="auto"/>
        <w:right w:val="none" w:sz="0" w:space="0" w:color="auto"/>
      </w:divBdr>
      <w:divsChild>
        <w:div w:id="668992357">
          <w:marLeft w:val="640"/>
          <w:marRight w:val="0"/>
          <w:marTop w:val="0"/>
          <w:marBottom w:val="0"/>
          <w:divBdr>
            <w:top w:val="none" w:sz="0" w:space="0" w:color="auto"/>
            <w:left w:val="none" w:sz="0" w:space="0" w:color="auto"/>
            <w:bottom w:val="none" w:sz="0" w:space="0" w:color="auto"/>
            <w:right w:val="none" w:sz="0" w:space="0" w:color="auto"/>
          </w:divBdr>
        </w:div>
        <w:div w:id="120391882">
          <w:marLeft w:val="640"/>
          <w:marRight w:val="0"/>
          <w:marTop w:val="0"/>
          <w:marBottom w:val="0"/>
          <w:divBdr>
            <w:top w:val="none" w:sz="0" w:space="0" w:color="auto"/>
            <w:left w:val="none" w:sz="0" w:space="0" w:color="auto"/>
            <w:bottom w:val="none" w:sz="0" w:space="0" w:color="auto"/>
            <w:right w:val="none" w:sz="0" w:space="0" w:color="auto"/>
          </w:divBdr>
        </w:div>
        <w:div w:id="1702704481">
          <w:marLeft w:val="640"/>
          <w:marRight w:val="0"/>
          <w:marTop w:val="0"/>
          <w:marBottom w:val="0"/>
          <w:divBdr>
            <w:top w:val="none" w:sz="0" w:space="0" w:color="auto"/>
            <w:left w:val="none" w:sz="0" w:space="0" w:color="auto"/>
            <w:bottom w:val="none" w:sz="0" w:space="0" w:color="auto"/>
            <w:right w:val="none" w:sz="0" w:space="0" w:color="auto"/>
          </w:divBdr>
        </w:div>
        <w:div w:id="1542324932">
          <w:marLeft w:val="640"/>
          <w:marRight w:val="0"/>
          <w:marTop w:val="0"/>
          <w:marBottom w:val="0"/>
          <w:divBdr>
            <w:top w:val="none" w:sz="0" w:space="0" w:color="auto"/>
            <w:left w:val="none" w:sz="0" w:space="0" w:color="auto"/>
            <w:bottom w:val="none" w:sz="0" w:space="0" w:color="auto"/>
            <w:right w:val="none" w:sz="0" w:space="0" w:color="auto"/>
          </w:divBdr>
        </w:div>
        <w:div w:id="495071090">
          <w:marLeft w:val="640"/>
          <w:marRight w:val="0"/>
          <w:marTop w:val="0"/>
          <w:marBottom w:val="0"/>
          <w:divBdr>
            <w:top w:val="none" w:sz="0" w:space="0" w:color="auto"/>
            <w:left w:val="none" w:sz="0" w:space="0" w:color="auto"/>
            <w:bottom w:val="none" w:sz="0" w:space="0" w:color="auto"/>
            <w:right w:val="none" w:sz="0" w:space="0" w:color="auto"/>
          </w:divBdr>
        </w:div>
        <w:div w:id="2030331334">
          <w:marLeft w:val="640"/>
          <w:marRight w:val="0"/>
          <w:marTop w:val="0"/>
          <w:marBottom w:val="0"/>
          <w:divBdr>
            <w:top w:val="none" w:sz="0" w:space="0" w:color="auto"/>
            <w:left w:val="none" w:sz="0" w:space="0" w:color="auto"/>
            <w:bottom w:val="none" w:sz="0" w:space="0" w:color="auto"/>
            <w:right w:val="none" w:sz="0" w:space="0" w:color="auto"/>
          </w:divBdr>
        </w:div>
        <w:div w:id="1186401562">
          <w:marLeft w:val="640"/>
          <w:marRight w:val="0"/>
          <w:marTop w:val="0"/>
          <w:marBottom w:val="0"/>
          <w:divBdr>
            <w:top w:val="none" w:sz="0" w:space="0" w:color="auto"/>
            <w:left w:val="none" w:sz="0" w:space="0" w:color="auto"/>
            <w:bottom w:val="none" w:sz="0" w:space="0" w:color="auto"/>
            <w:right w:val="none" w:sz="0" w:space="0" w:color="auto"/>
          </w:divBdr>
        </w:div>
        <w:div w:id="407925864">
          <w:marLeft w:val="640"/>
          <w:marRight w:val="0"/>
          <w:marTop w:val="0"/>
          <w:marBottom w:val="0"/>
          <w:divBdr>
            <w:top w:val="none" w:sz="0" w:space="0" w:color="auto"/>
            <w:left w:val="none" w:sz="0" w:space="0" w:color="auto"/>
            <w:bottom w:val="none" w:sz="0" w:space="0" w:color="auto"/>
            <w:right w:val="none" w:sz="0" w:space="0" w:color="auto"/>
          </w:divBdr>
        </w:div>
      </w:divsChild>
    </w:div>
    <w:div w:id="1558590568">
      <w:bodyDiv w:val="1"/>
      <w:marLeft w:val="0"/>
      <w:marRight w:val="0"/>
      <w:marTop w:val="0"/>
      <w:marBottom w:val="0"/>
      <w:divBdr>
        <w:top w:val="none" w:sz="0" w:space="0" w:color="auto"/>
        <w:left w:val="none" w:sz="0" w:space="0" w:color="auto"/>
        <w:bottom w:val="none" w:sz="0" w:space="0" w:color="auto"/>
        <w:right w:val="none" w:sz="0" w:space="0" w:color="auto"/>
      </w:divBdr>
      <w:divsChild>
        <w:div w:id="1481078084">
          <w:marLeft w:val="640"/>
          <w:marRight w:val="0"/>
          <w:marTop w:val="0"/>
          <w:marBottom w:val="0"/>
          <w:divBdr>
            <w:top w:val="none" w:sz="0" w:space="0" w:color="auto"/>
            <w:left w:val="none" w:sz="0" w:space="0" w:color="auto"/>
            <w:bottom w:val="none" w:sz="0" w:space="0" w:color="auto"/>
            <w:right w:val="none" w:sz="0" w:space="0" w:color="auto"/>
          </w:divBdr>
        </w:div>
        <w:div w:id="2094428579">
          <w:marLeft w:val="640"/>
          <w:marRight w:val="0"/>
          <w:marTop w:val="0"/>
          <w:marBottom w:val="0"/>
          <w:divBdr>
            <w:top w:val="none" w:sz="0" w:space="0" w:color="auto"/>
            <w:left w:val="none" w:sz="0" w:space="0" w:color="auto"/>
            <w:bottom w:val="none" w:sz="0" w:space="0" w:color="auto"/>
            <w:right w:val="none" w:sz="0" w:space="0" w:color="auto"/>
          </w:divBdr>
        </w:div>
        <w:div w:id="1894265492">
          <w:marLeft w:val="640"/>
          <w:marRight w:val="0"/>
          <w:marTop w:val="0"/>
          <w:marBottom w:val="0"/>
          <w:divBdr>
            <w:top w:val="none" w:sz="0" w:space="0" w:color="auto"/>
            <w:left w:val="none" w:sz="0" w:space="0" w:color="auto"/>
            <w:bottom w:val="none" w:sz="0" w:space="0" w:color="auto"/>
            <w:right w:val="none" w:sz="0" w:space="0" w:color="auto"/>
          </w:divBdr>
        </w:div>
        <w:div w:id="567232644">
          <w:marLeft w:val="640"/>
          <w:marRight w:val="0"/>
          <w:marTop w:val="0"/>
          <w:marBottom w:val="0"/>
          <w:divBdr>
            <w:top w:val="none" w:sz="0" w:space="0" w:color="auto"/>
            <w:left w:val="none" w:sz="0" w:space="0" w:color="auto"/>
            <w:bottom w:val="none" w:sz="0" w:space="0" w:color="auto"/>
            <w:right w:val="none" w:sz="0" w:space="0" w:color="auto"/>
          </w:divBdr>
        </w:div>
        <w:div w:id="1451164944">
          <w:marLeft w:val="640"/>
          <w:marRight w:val="0"/>
          <w:marTop w:val="0"/>
          <w:marBottom w:val="0"/>
          <w:divBdr>
            <w:top w:val="none" w:sz="0" w:space="0" w:color="auto"/>
            <w:left w:val="none" w:sz="0" w:space="0" w:color="auto"/>
            <w:bottom w:val="none" w:sz="0" w:space="0" w:color="auto"/>
            <w:right w:val="none" w:sz="0" w:space="0" w:color="auto"/>
          </w:divBdr>
        </w:div>
        <w:div w:id="1722826599">
          <w:marLeft w:val="640"/>
          <w:marRight w:val="0"/>
          <w:marTop w:val="0"/>
          <w:marBottom w:val="0"/>
          <w:divBdr>
            <w:top w:val="none" w:sz="0" w:space="0" w:color="auto"/>
            <w:left w:val="none" w:sz="0" w:space="0" w:color="auto"/>
            <w:bottom w:val="none" w:sz="0" w:space="0" w:color="auto"/>
            <w:right w:val="none" w:sz="0" w:space="0" w:color="auto"/>
          </w:divBdr>
        </w:div>
        <w:div w:id="614869210">
          <w:marLeft w:val="640"/>
          <w:marRight w:val="0"/>
          <w:marTop w:val="0"/>
          <w:marBottom w:val="0"/>
          <w:divBdr>
            <w:top w:val="none" w:sz="0" w:space="0" w:color="auto"/>
            <w:left w:val="none" w:sz="0" w:space="0" w:color="auto"/>
            <w:bottom w:val="none" w:sz="0" w:space="0" w:color="auto"/>
            <w:right w:val="none" w:sz="0" w:space="0" w:color="auto"/>
          </w:divBdr>
        </w:div>
      </w:divsChild>
    </w:div>
    <w:div w:id="1830290885">
      <w:bodyDiv w:val="1"/>
      <w:marLeft w:val="0"/>
      <w:marRight w:val="0"/>
      <w:marTop w:val="0"/>
      <w:marBottom w:val="0"/>
      <w:divBdr>
        <w:top w:val="none" w:sz="0" w:space="0" w:color="auto"/>
        <w:left w:val="none" w:sz="0" w:space="0" w:color="auto"/>
        <w:bottom w:val="none" w:sz="0" w:space="0" w:color="auto"/>
        <w:right w:val="none" w:sz="0" w:space="0" w:color="auto"/>
      </w:divBdr>
      <w:divsChild>
        <w:div w:id="2042586528">
          <w:marLeft w:val="640"/>
          <w:marRight w:val="0"/>
          <w:marTop w:val="0"/>
          <w:marBottom w:val="0"/>
          <w:divBdr>
            <w:top w:val="none" w:sz="0" w:space="0" w:color="auto"/>
            <w:left w:val="none" w:sz="0" w:space="0" w:color="auto"/>
            <w:bottom w:val="none" w:sz="0" w:space="0" w:color="auto"/>
            <w:right w:val="none" w:sz="0" w:space="0" w:color="auto"/>
          </w:divBdr>
        </w:div>
        <w:div w:id="1104231682">
          <w:marLeft w:val="640"/>
          <w:marRight w:val="0"/>
          <w:marTop w:val="0"/>
          <w:marBottom w:val="0"/>
          <w:divBdr>
            <w:top w:val="none" w:sz="0" w:space="0" w:color="auto"/>
            <w:left w:val="none" w:sz="0" w:space="0" w:color="auto"/>
            <w:bottom w:val="none" w:sz="0" w:space="0" w:color="auto"/>
            <w:right w:val="none" w:sz="0" w:space="0" w:color="auto"/>
          </w:divBdr>
        </w:div>
        <w:div w:id="436409433">
          <w:marLeft w:val="640"/>
          <w:marRight w:val="0"/>
          <w:marTop w:val="0"/>
          <w:marBottom w:val="0"/>
          <w:divBdr>
            <w:top w:val="none" w:sz="0" w:space="0" w:color="auto"/>
            <w:left w:val="none" w:sz="0" w:space="0" w:color="auto"/>
            <w:bottom w:val="none" w:sz="0" w:space="0" w:color="auto"/>
            <w:right w:val="none" w:sz="0" w:space="0" w:color="auto"/>
          </w:divBdr>
        </w:div>
        <w:div w:id="121579999">
          <w:marLeft w:val="640"/>
          <w:marRight w:val="0"/>
          <w:marTop w:val="0"/>
          <w:marBottom w:val="0"/>
          <w:divBdr>
            <w:top w:val="none" w:sz="0" w:space="0" w:color="auto"/>
            <w:left w:val="none" w:sz="0" w:space="0" w:color="auto"/>
            <w:bottom w:val="none" w:sz="0" w:space="0" w:color="auto"/>
            <w:right w:val="none" w:sz="0" w:space="0" w:color="auto"/>
          </w:divBdr>
        </w:div>
        <w:div w:id="100033528">
          <w:marLeft w:val="640"/>
          <w:marRight w:val="0"/>
          <w:marTop w:val="0"/>
          <w:marBottom w:val="0"/>
          <w:divBdr>
            <w:top w:val="none" w:sz="0" w:space="0" w:color="auto"/>
            <w:left w:val="none" w:sz="0" w:space="0" w:color="auto"/>
            <w:bottom w:val="none" w:sz="0" w:space="0" w:color="auto"/>
            <w:right w:val="none" w:sz="0" w:space="0" w:color="auto"/>
          </w:divBdr>
        </w:div>
        <w:div w:id="1338195817">
          <w:marLeft w:val="640"/>
          <w:marRight w:val="0"/>
          <w:marTop w:val="0"/>
          <w:marBottom w:val="0"/>
          <w:divBdr>
            <w:top w:val="none" w:sz="0" w:space="0" w:color="auto"/>
            <w:left w:val="none" w:sz="0" w:space="0" w:color="auto"/>
            <w:bottom w:val="none" w:sz="0" w:space="0" w:color="auto"/>
            <w:right w:val="none" w:sz="0" w:space="0" w:color="auto"/>
          </w:divBdr>
        </w:div>
        <w:div w:id="268203426">
          <w:marLeft w:val="640"/>
          <w:marRight w:val="0"/>
          <w:marTop w:val="0"/>
          <w:marBottom w:val="0"/>
          <w:divBdr>
            <w:top w:val="none" w:sz="0" w:space="0" w:color="auto"/>
            <w:left w:val="none" w:sz="0" w:space="0" w:color="auto"/>
            <w:bottom w:val="none" w:sz="0" w:space="0" w:color="auto"/>
            <w:right w:val="none" w:sz="0" w:space="0" w:color="auto"/>
          </w:divBdr>
        </w:div>
        <w:div w:id="495925888">
          <w:marLeft w:val="640"/>
          <w:marRight w:val="0"/>
          <w:marTop w:val="0"/>
          <w:marBottom w:val="0"/>
          <w:divBdr>
            <w:top w:val="none" w:sz="0" w:space="0" w:color="auto"/>
            <w:left w:val="none" w:sz="0" w:space="0" w:color="auto"/>
            <w:bottom w:val="none" w:sz="0" w:space="0" w:color="auto"/>
            <w:right w:val="none" w:sz="0" w:space="0" w:color="auto"/>
          </w:divBdr>
        </w:div>
        <w:div w:id="51927854">
          <w:marLeft w:val="640"/>
          <w:marRight w:val="0"/>
          <w:marTop w:val="0"/>
          <w:marBottom w:val="0"/>
          <w:divBdr>
            <w:top w:val="none" w:sz="0" w:space="0" w:color="auto"/>
            <w:left w:val="none" w:sz="0" w:space="0" w:color="auto"/>
            <w:bottom w:val="none" w:sz="0" w:space="0" w:color="auto"/>
            <w:right w:val="none" w:sz="0" w:space="0" w:color="auto"/>
          </w:divBdr>
        </w:div>
        <w:div w:id="1215577098">
          <w:marLeft w:val="640"/>
          <w:marRight w:val="0"/>
          <w:marTop w:val="0"/>
          <w:marBottom w:val="0"/>
          <w:divBdr>
            <w:top w:val="none" w:sz="0" w:space="0" w:color="auto"/>
            <w:left w:val="none" w:sz="0" w:space="0" w:color="auto"/>
            <w:bottom w:val="none" w:sz="0" w:space="0" w:color="auto"/>
            <w:right w:val="none" w:sz="0" w:space="0" w:color="auto"/>
          </w:divBdr>
        </w:div>
        <w:div w:id="1188833851">
          <w:marLeft w:val="640"/>
          <w:marRight w:val="0"/>
          <w:marTop w:val="0"/>
          <w:marBottom w:val="0"/>
          <w:divBdr>
            <w:top w:val="none" w:sz="0" w:space="0" w:color="auto"/>
            <w:left w:val="none" w:sz="0" w:space="0" w:color="auto"/>
            <w:bottom w:val="none" w:sz="0" w:space="0" w:color="auto"/>
            <w:right w:val="none" w:sz="0" w:space="0" w:color="auto"/>
          </w:divBdr>
        </w:div>
      </w:divsChild>
    </w:div>
    <w:div w:id="2011713847">
      <w:bodyDiv w:val="1"/>
      <w:marLeft w:val="0"/>
      <w:marRight w:val="0"/>
      <w:marTop w:val="0"/>
      <w:marBottom w:val="0"/>
      <w:divBdr>
        <w:top w:val="none" w:sz="0" w:space="0" w:color="auto"/>
        <w:left w:val="none" w:sz="0" w:space="0" w:color="auto"/>
        <w:bottom w:val="none" w:sz="0" w:space="0" w:color="auto"/>
        <w:right w:val="none" w:sz="0" w:space="0" w:color="auto"/>
      </w:divBdr>
      <w:divsChild>
        <w:div w:id="1898927886">
          <w:marLeft w:val="640"/>
          <w:marRight w:val="0"/>
          <w:marTop w:val="0"/>
          <w:marBottom w:val="0"/>
          <w:divBdr>
            <w:top w:val="none" w:sz="0" w:space="0" w:color="auto"/>
            <w:left w:val="none" w:sz="0" w:space="0" w:color="auto"/>
            <w:bottom w:val="none" w:sz="0" w:space="0" w:color="auto"/>
            <w:right w:val="none" w:sz="0" w:space="0" w:color="auto"/>
          </w:divBdr>
        </w:div>
        <w:div w:id="599874766">
          <w:marLeft w:val="640"/>
          <w:marRight w:val="0"/>
          <w:marTop w:val="0"/>
          <w:marBottom w:val="0"/>
          <w:divBdr>
            <w:top w:val="none" w:sz="0" w:space="0" w:color="auto"/>
            <w:left w:val="none" w:sz="0" w:space="0" w:color="auto"/>
            <w:bottom w:val="none" w:sz="0" w:space="0" w:color="auto"/>
            <w:right w:val="none" w:sz="0" w:space="0" w:color="auto"/>
          </w:divBdr>
        </w:div>
        <w:div w:id="184371128">
          <w:marLeft w:val="640"/>
          <w:marRight w:val="0"/>
          <w:marTop w:val="0"/>
          <w:marBottom w:val="0"/>
          <w:divBdr>
            <w:top w:val="none" w:sz="0" w:space="0" w:color="auto"/>
            <w:left w:val="none" w:sz="0" w:space="0" w:color="auto"/>
            <w:bottom w:val="none" w:sz="0" w:space="0" w:color="auto"/>
            <w:right w:val="none" w:sz="0" w:space="0" w:color="auto"/>
          </w:divBdr>
        </w:div>
        <w:div w:id="615798072">
          <w:marLeft w:val="640"/>
          <w:marRight w:val="0"/>
          <w:marTop w:val="0"/>
          <w:marBottom w:val="0"/>
          <w:divBdr>
            <w:top w:val="none" w:sz="0" w:space="0" w:color="auto"/>
            <w:left w:val="none" w:sz="0" w:space="0" w:color="auto"/>
            <w:bottom w:val="none" w:sz="0" w:space="0" w:color="auto"/>
            <w:right w:val="none" w:sz="0" w:space="0" w:color="auto"/>
          </w:divBdr>
        </w:div>
        <w:div w:id="950746416">
          <w:marLeft w:val="640"/>
          <w:marRight w:val="0"/>
          <w:marTop w:val="0"/>
          <w:marBottom w:val="0"/>
          <w:divBdr>
            <w:top w:val="none" w:sz="0" w:space="0" w:color="auto"/>
            <w:left w:val="none" w:sz="0" w:space="0" w:color="auto"/>
            <w:bottom w:val="none" w:sz="0" w:space="0" w:color="auto"/>
            <w:right w:val="none" w:sz="0" w:space="0" w:color="auto"/>
          </w:divBdr>
        </w:div>
        <w:div w:id="1301111816">
          <w:marLeft w:val="640"/>
          <w:marRight w:val="0"/>
          <w:marTop w:val="0"/>
          <w:marBottom w:val="0"/>
          <w:divBdr>
            <w:top w:val="none" w:sz="0" w:space="0" w:color="auto"/>
            <w:left w:val="none" w:sz="0" w:space="0" w:color="auto"/>
            <w:bottom w:val="none" w:sz="0" w:space="0" w:color="auto"/>
            <w:right w:val="none" w:sz="0" w:space="0" w:color="auto"/>
          </w:divBdr>
        </w:div>
        <w:div w:id="1327511274">
          <w:marLeft w:val="640"/>
          <w:marRight w:val="0"/>
          <w:marTop w:val="0"/>
          <w:marBottom w:val="0"/>
          <w:divBdr>
            <w:top w:val="none" w:sz="0" w:space="0" w:color="auto"/>
            <w:left w:val="none" w:sz="0" w:space="0" w:color="auto"/>
            <w:bottom w:val="none" w:sz="0" w:space="0" w:color="auto"/>
            <w:right w:val="none" w:sz="0" w:space="0" w:color="auto"/>
          </w:divBdr>
        </w:div>
      </w:divsChild>
    </w:div>
    <w:div w:id="2051495642">
      <w:bodyDiv w:val="1"/>
      <w:marLeft w:val="0"/>
      <w:marRight w:val="0"/>
      <w:marTop w:val="0"/>
      <w:marBottom w:val="0"/>
      <w:divBdr>
        <w:top w:val="none" w:sz="0" w:space="0" w:color="auto"/>
        <w:left w:val="none" w:sz="0" w:space="0" w:color="auto"/>
        <w:bottom w:val="none" w:sz="0" w:space="0" w:color="auto"/>
        <w:right w:val="none" w:sz="0" w:space="0" w:color="auto"/>
      </w:divBdr>
      <w:divsChild>
        <w:div w:id="876237185">
          <w:marLeft w:val="640"/>
          <w:marRight w:val="0"/>
          <w:marTop w:val="0"/>
          <w:marBottom w:val="0"/>
          <w:divBdr>
            <w:top w:val="none" w:sz="0" w:space="0" w:color="auto"/>
            <w:left w:val="none" w:sz="0" w:space="0" w:color="auto"/>
            <w:bottom w:val="none" w:sz="0" w:space="0" w:color="auto"/>
            <w:right w:val="none" w:sz="0" w:space="0" w:color="auto"/>
          </w:divBdr>
        </w:div>
        <w:div w:id="135952785">
          <w:marLeft w:val="640"/>
          <w:marRight w:val="0"/>
          <w:marTop w:val="0"/>
          <w:marBottom w:val="0"/>
          <w:divBdr>
            <w:top w:val="none" w:sz="0" w:space="0" w:color="auto"/>
            <w:left w:val="none" w:sz="0" w:space="0" w:color="auto"/>
            <w:bottom w:val="none" w:sz="0" w:space="0" w:color="auto"/>
            <w:right w:val="none" w:sz="0" w:space="0" w:color="auto"/>
          </w:divBdr>
        </w:div>
        <w:div w:id="621571428">
          <w:marLeft w:val="640"/>
          <w:marRight w:val="0"/>
          <w:marTop w:val="0"/>
          <w:marBottom w:val="0"/>
          <w:divBdr>
            <w:top w:val="none" w:sz="0" w:space="0" w:color="auto"/>
            <w:left w:val="none" w:sz="0" w:space="0" w:color="auto"/>
            <w:bottom w:val="none" w:sz="0" w:space="0" w:color="auto"/>
            <w:right w:val="none" w:sz="0" w:space="0" w:color="auto"/>
          </w:divBdr>
        </w:div>
        <w:div w:id="257644734">
          <w:marLeft w:val="640"/>
          <w:marRight w:val="0"/>
          <w:marTop w:val="0"/>
          <w:marBottom w:val="0"/>
          <w:divBdr>
            <w:top w:val="none" w:sz="0" w:space="0" w:color="auto"/>
            <w:left w:val="none" w:sz="0" w:space="0" w:color="auto"/>
            <w:bottom w:val="none" w:sz="0" w:space="0" w:color="auto"/>
            <w:right w:val="none" w:sz="0" w:space="0" w:color="auto"/>
          </w:divBdr>
        </w:div>
        <w:div w:id="190194124">
          <w:marLeft w:val="640"/>
          <w:marRight w:val="0"/>
          <w:marTop w:val="0"/>
          <w:marBottom w:val="0"/>
          <w:divBdr>
            <w:top w:val="none" w:sz="0" w:space="0" w:color="auto"/>
            <w:left w:val="none" w:sz="0" w:space="0" w:color="auto"/>
            <w:bottom w:val="none" w:sz="0" w:space="0" w:color="auto"/>
            <w:right w:val="none" w:sz="0" w:space="0" w:color="auto"/>
          </w:divBdr>
        </w:div>
        <w:div w:id="960115786">
          <w:marLeft w:val="640"/>
          <w:marRight w:val="0"/>
          <w:marTop w:val="0"/>
          <w:marBottom w:val="0"/>
          <w:divBdr>
            <w:top w:val="none" w:sz="0" w:space="0" w:color="auto"/>
            <w:left w:val="none" w:sz="0" w:space="0" w:color="auto"/>
            <w:bottom w:val="none" w:sz="0" w:space="0" w:color="auto"/>
            <w:right w:val="none" w:sz="0" w:space="0" w:color="auto"/>
          </w:divBdr>
        </w:div>
        <w:div w:id="288977573">
          <w:marLeft w:val="640"/>
          <w:marRight w:val="0"/>
          <w:marTop w:val="0"/>
          <w:marBottom w:val="0"/>
          <w:divBdr>
            <w:top w:val="none" w:sz="0" w:space="0" w:color="auto"/>
            <w:left w:val="none" w:sz="0" w:space="0" w:color="auto"/>
            <w:bottom w:val="none" w:sz="0" w:space="0" w:color="auto"/>
            <w:right w:val="none" w:sz="0" w:space="0" w:color="auto"/>
          </w:divBdr>
        </w:div>
        <w:div w:id="1509054609">
          <w:marLeft w:val="640"/>
          <w:marRight w:val="0"/>
          <w:marTop w:val="0"/>
          <w:marBottom w:val="0"/>
          <w:divBdr>
            <w:top w:val="none" w:sz="0" w:space="0" w:color="auto"/>
            <w:left w:val="none" w:sz="0" w:space="0" w:color="auto"/>
            <w:bottom w:val="none" w:sz="0" w:space="0" w:color="auto"/>
            <w:right w:val="none" w:sz="0" w:space="0" w:color="auto"/>
          </w:divBdr>
        </w:div>
        <w:div w:id="1489905372">
          <w:marLeft w:val="640"/>
          <w:marRight w:val="0"/>
          <w:marTop w:val="0"/>
          <w:marBottom w:val="0"/>
          <w:divBdr>
            <w:top w:val="none" w:sz="0" w:space="0" w:color="auto"/>
            <w:left w:val="none" w:sz="0" w:space="0" w:color="auto"/>
            <w:bottom w:val="none" w:sz="0" w:space="0" w:color="auto"/>
            <w:right w:val="none" w:sz="0" w:space="0" w:color="auto"/>
          </w:divBdr>
        </w:div>
        <w:div w:id="684745244">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5DD074DF-5A34-4365-8241-06C9E48B24A4}"/>
      </w:docPartPr>
      <w:docPartBody>
        <w:p w:rsidR="007D08CB" w:rsidRDefault="00173806">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F4B" w:rsidRDefault="006D5F4B">
      <w:pPr>
        <w:spacing w:line="240" w:lineRule="auto"/>
      </w:pPr>
      <w:r>
        <w:separator/>
      </w:r>
    </w:p>
  </w:endnote>
  <w:endnote w:type="continuationSeparator" w:id="0">
    <w:p w:rsidR="006D5F4B" w:rsidRDefault="006D5F4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F4B" w:rsidRDefault="006D5F4B">
      <w:pPr>
        <w:spacing w:after="0"/>
      </w:pPr>
      <w:r>
        <w:separator/>
      </w:r>
    </w:p>
  </w:footnote>
  <w:footnote w:type="continuationSeparator" w:id="0">
    <w:p w:rsidR="006D5F4B" w:rsidRDefault="006D5F4B">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37A"/>
    <w:rsid w:val="000905B9"/>
    <w:rsid w:val="00173806"/>
    <w:rsid w:val="001E537A"/>
    <w:rsid w:val="001E55EE"/>
    <w:rsid w:val="00336ABB"/>
    <w:rsid w:val="003A50A5"/>
    <w:rsid w:val="003F6671"/>
    <w:rsid w:val="006D5F4B"/>
    <w:rsid w:val="00707894"/>
    <w:rsid w:val="007D08CB"/>
    <w:rsid w:val="00B23B29"/>
    <w:rsid w:val="00BA7EFE"/>
    <w:rsid w:val="00D16C84"/>
    <w:rsid w:val="00FE4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50A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9BA9DD-B2EA-472D-B1E1-89301ADD9C0A}">
  <we:reference id="wa104382081" version="1.55.1.0" store="en-US" storeType="OMEX"/>
  <we:alternateReferences>
    <we:reference id="wa104382081" version="1.55.1.0" store="WA104382081" storeType="OMEX"/>
  </we:alternateReferences>
  <we:properties>
    <we:property name="MENDELEY_CITATIONS" value="[{&quot;citationID&quot;:&quot;MENDELEY_CITATION_2b05ac94-b454-4bf6-8bd3-c10bb29f92a1&quot;,&quot;properties&quot;:{&quot;noteIndex&quot;:0},&quot;isEdited&quot;:false,&quot;manualOverride&quot;:{&quot;isManuallyOverridden&quot;:false,&quot;citeprocText&quot;:&quot;(1)&quot;,&quot;manualOverrideText&quot;:&quot;&quot;},&quot;citationTag&quot;:&quot;MENDELEY_CITATION_v3_eyJjaXRhdGlvbklEIjoiTUVOREVMRVlfQ0lUQVRJT05fMmIwNWFjOTQtYjQ1NC00YmY2LThiZDMtYzEwYmIyOWY5MmExIiwicHJvcGVydGllcyI6eyJub3RlSW5kZXgiOjB9LCJpc0VkaXRlZCI6ZmFsc2UsIm1hbnVhbE92ZXJyaWRlIjp7ImlzTWFudWFsbHlPdmVycmlkZGVuIjpmYWxzZSwiY2l0ZXByb2NUZXh0IjoiKDEpIiwibWFudWFsT3ZlcnJpZGVUZXh0IjoiIn0sImNpdGF0aW9uSXRlbXMiOlt7ImlkIjoiNzlmODFlOTUtZjM4Yy0zMDM3LWE5ZTYtMzVjYzZlOGNhNjA3IiwiaXRlbURhdGEiOnsidHlwZSI6ImFydGljbGUtam91cm5hbCIsImlkIjoiNzlmODFlOTUtZjM4Yy0zMDM3LWE5ZTYtMzVjYzZlOGNhNjA3IiwidGl0bGUiOiJEcnVnLUluZHVjZWQgT3hpZGF0aXZlIFN0cmVzcyBhbmQgVG94aWNpdHkiLCJhdXRob3IiOlt7ImZhbWlseSI6IkRlYXZhbGwiLCJnaXZlbiI6IkRhbWlhbiBHLiIsInBhcnNlLW5hbWVzIjpmYWxzZSwiZHJvcHBpbmctcGFydGljbGUiOiIiLCJub24tZHJvcHBpbmctcGFydGljbGUiOiIifSx7ImZhbWlseSI6Ik1hcnRpbiIsImdpdmVuIjoiRWxpemFiZXRoIEEuIiwicGFyc2UtbmFtZXMiOmZhbHNlLCJkcm9wcGluZy1wYXJ0aWNsZSI6IiIsIm5vbi1kcm9wcGluZy1wYXJ0aWNsZSI6IiJ9LHsiZmFtaWx5IjoiSG9ybmVyIiwiZ2l2ZW4iOiJKdWRpdGggTS4iLCJwYXJzZS1uYW1lcyI6ZmFsc2UsImRyb3BwaW5nLXBhcnRpY2xlIjoiIiwibm9uLWRyb3BwaW5nLXBhcnRpY2xlIjoiIn0seyJmYW1pbHkiOiJSb2JlcnRzIiwiZ2l2ZW4iOiJSdXRoIiwicGFyc2UtbmFtZXMiOmZhbHNlLCJkcm9wcGluZy1wYXJ0aWNsZSI6IiIsIm5vbi1kcm9wcGluZy1wYXJ0aWNsZSI6IiJ9XSwiY29udGFpbmVyLXRpdGxlIjoiSm91cm5hbCBvZiBUb3hpY29sb2d5IiwiY29udGFpbmVyLXRpdGxlLXNob3J0IjoiSiBUb3hpY29sIiwiRE9JIjoiMTAuMTE1NS8yMDEyLzY0NTQ2MCIsIklTU04iOiIxNjg3LTgxOTEiLCJpc3N1ZWQiOnsiZGF0ZS1wYXJ0cyI6W1syMDEyXV19LCJwYWdlIjoiMS0xMyIsImFic3RyYWN0IjoiPHA+UmVhY3RpdmUgb3h5Z2VuIHNwZWNpZXMgKFJPUykgYXJlIGEgYnlwcm9kdWN0IG9mIG5vcm1hbCBtZXRhYm9saXNtIGFuZCBoYXZlIHJvbGVzIGluIGNlbGwgc2lnbmFsaW5nIGFuZCBob21lb3N0YXNpcy4gU3BlY2llcyBpbmNsdWRlIG94eWdlbiByYWRpY2FscyBhbmQgcmVhY3RpdmUgbm9ucmFkaWNhbHMuIE1lY2hhbmlzbXMgZXhpc3QgdGhhdCByZWd1bGF0ZSBjZWxsdWxhciBsZXZlbHMgb2YgUk9TLCBhcyB0aGVpciByZWFjdGl2ZSBuYXR1cmUgbWF5IG90aGVyd2lzZSBjYXVzZSBkYW1hZ2UgdG8ga2V5IGNlbGx1bGFyIGNvbXBvbmVudHMgaW5jbHVkaW5nIEROQSwgcHJvdGVpbiwgYW5kIGxpcGlkLiBXaGVuIHRoZSBjZWxsdWxhciBhbnRpb3hpZGFudCBjYXBhY2l0eSBpcyBleGNlZWRlZCwgb3hpZGF0aXZlIHN0cmVzcyBjYW4gcmVzdWx0LiBQbGVpb3Ryb3BpYyBkZWxldGVyaW91cyBlZmZlY3RzIG9mIG94aWRhdGl2ZSBzdHJlc3MgYXJlIG9ic2VydmVkIGluIG51bWVyb3VzIGRpc2Vhc2Ugc3RhdGVzIGFuZCBhcmUgYWxzbyBpbXBsaWNhdGVkIGluIGEgdmFyaWV0eSBvZiBkcnVnLWluZHVjZWQgdG94aWNpdGllcy4gSW4gdGhpcyBwYXBlciwgd2UgZXhhbWluZSB0aGUgbmF0dXJlIG9mIFJPUy1pbmR1Y2VkIGRhbWFnZSBvbiBrZXkgY2VsbHVsYXIgdGFyZ2V0cyBvZiBveGlkYXRpdmUgc3RyZXNzLiBXZSBhbHNvIHJldmlldyBldmlkZW5jZSBpbXBsaWNhdGluZyBST1MgaW4gY2xpbmljYWxseSByZWxldmFudCwgZHJ1Zy1yZWxhdGVkIHNpZGUgZWZmZWN0cyBpbmNsdWRpbmcgZG94b3J1YmljaW4taW5kdWNlZCBjYXJkaWFjIGRhbWFnZSwgYXppZG90aHltaWRpbmUtaW5kdWNlZCBteW9wYXRoeSwgYW5kIGNpc3BsYXRpbi1pbmR1Y2VkIG90b3RveGljaXR5LjwvcD4iLCJ2b2x1bWUiOiIyMDEyIn0sImlzVGVtcG9yYXJ5IjpmYWxzZX1dfQ==&quot;,&quot;citationItems&quot;:[{&quot;id&quot;:&quot;79f81e95-f38c-3037-a9e6-35cc6e8ca607&quot;,&quot;itemData&quot;:{&quot;type&quot;:&quot;article-journal&quot;,&quot;id&quot;:&quot;79f81e95-f38c-3037-a9e6-35cc6e8ca607&quot;,&quot;title&quot;:&quot;Drug-Induced Oxidative Stress and Toxicity&quot;,&quot;author&quot;:[{&quot;family&quot;:&quot;Deavall&quot;,&quot;given&quot;:&quot;Damian G.&quot;,&quot;parse-names&quot;:false,&quot;dropping-particle&quot;:&quot;&quot;,&quot;non-dropping-particle&quot;:&quot;&quot;},{&quot;family&quot;:&quot;Martin&quot;,&quot;given&quot;:&quot;Elizabeth A.&quot;,&quot;parse-names&quot;:false,&quot;dropping-particle&quot;:&quot;&quot;,&quot;non-dropping-particle&quot;:&quot;&quot;},{&quot;family&quot;:&quot;Horner&quot;,&quot;given&quot;:&quot;Judith M.&quot;,&quot;parse-names&quot;:false,&quot;dropping-particle&quot;:&quot;&quot;,&quot;non-dropping-particle&quot;:&quot;&quot;},{&quot;family&quot;:&quot;Roberts&quot;,&quot;given&quot;:&quot;Ruth&quot;,&quot;parse-names&quot;:false,&quot;dropping-particle&quot;:&quot;&quot;,&quot;non-dropping-particle&quot;:&quot;&quot;}],&quot;container-title&quot;:&quot;Journal of Toxicology&quot;,&quot;container-title-short&quot;:&quot;J Toxicol&quot;,&quot;DOI&quot;:&quot;10.1155/2012/645460&quot;,&quot;ISSN&quot;:&quot;1687-8191&quot;,&quot;issued&quot;:{&quot;date-parts&quot;:[[2012]]},&quot;page&quot;:&quot;1-13&quot;,&quot;abstract&quot;:&quot;&lt;p&gt;Reactive oxygen species (ROS) are a byproduct of normal metabolism and have roles in cell signaling and homeostasis. Species include oxygen radicals and reactive nonradicals. Mechanisms exist that regulate cellular levels of ROS, as their reactive nature may otherwise cause damage to key cellular components including DNA, protein, and lipid. When the cellular antioxidant capacity is exceeded, oxidative stress can result. Pleiotropic deleterious effects of oxidative stress are observed in numerous disease states and are also implicated in a variety of drug-induced toxicities. In this paper, we examine the nature of ROS-induced damage on key cellular targets of oxidative stress. We also review evidence implicating ROS in clinically relevant, drug-related side effects including doxorubicin-induced cardiac damage, azidothymidine-induced myopathy, and cisplatin-induced ototoxicity.&lt;/p&gt;&quot;,&quot;volume&quot;:&quot;2012&quot;},&quot;isTemporary&quot;:false}]},{&quot;citationID&quot;:&quot;MENDELEY_CITATION_85cb94f7-9ea2-4f9d-895e-e9350650b677&quot;,&quot;properties&quot;:{&quot;noteIndex&quot;:0},&quot;isEdited&quot;:false,&quot;manualOverride&quot;:{&quot;isManuallyOverridden&quot;:false,&quot;citeprocText&quot;:&quot;(2,3)&quot;,&quot;manualOverrideText&quot;:&quot;&quot;},&quot;citationTag&quot;:&quot;MENDELEY_CITATION_v3_eyJjaXRhdGlvbklEIjoiTUVOREVMRVlfQ0lUQVRJT05fODVjYjk0ZjctOWVhMi00ZjlkLTg5NWUtZTkzNTA2NTBiNjc3IiwicHJvcGVydGllcyI6eyJub3RlSW5kZXgiOjB9LCJpc0VkaXRlZCI6ZmFsc2UsIm1hbnVhbE92ZXJyaWRlIjp7ImlzTWFudWFsbHlPdmVycmlkZGVuIjpmYWxzZSwiY2l0ZXByb2NUZXh0IjoiKDIsMykiLCJtYW51YWxPdmVycmlkZVRleHQiOiIifSwiY2l0YXRpb25JdGVtcyI6W3siaWQiOiIzMmZhNjA5Ni1iYjZhLTM5NmYtOTZkNC03MTU5NzY2ODFjMmMiLCJpdGVtRGF0YSI6eyJ0eXBlIjoiYXJ0aWNsZS1qb3VybmFsIiwiaWQiOiIzMmZhNjA5Ni1iYjZhLTM5NmYtOTZkNC03MTU5NzY2ODFjMmMiLCJ0aXRsZSI6IkRydWfigJByZWxhdGVkIEhlcGF0b3RveGljaXR5IGFuZCBBY3V0ZSBMaXZlciBGYWlsdXJlIiwiYXV0aG9yIjpbeyJmYW1pbHkiOiJNdXJyYXkiLCJnaXZlbiI6IkthcmVuIEYiLCJwYXJzZS1uYW1lcyI6ZmFsc2UsImRyb3BwaW5nLXBhcnRpY2xlIjoiIiwibm9uLWRyb3BwaW5nLXBhcnRpY2xlIjoiIn0seyJmYW1pbHkiOiJIYWR6aWMiLCJnaXZlbiI6Ik5lZGltIiwicGFyc2UtbmFtZXMiOmZhbHNlLCJkcm9wcGluZy1wYXJ0aWNsZSI6IiIsIm5vbi1kcm9wcGluZy1wYXJ0aWNsZSI6IiJ9LHsiZmFtaWx5IjoiV2lydGgiLCJnaXZlbiI6IlN0ZWZhbiIsInBhcnNlLW5hbWVzIjpmYWxzZSwiZHJvcHBpbmctcGFydGljbGUiOiIiLCJub24tZHJvcHBpbmctcGFydGljbGUiOiIifSx7ImZhbWlseSI6IkJhc3NldHQiLCJnaXZlbiI6Ik1pa2VsbGUiLCJwYXJzZS1uYW1lcyI6ZmFsc2UsImRyb3BwaW5nLXBhcnRpY2xlIjoiIiwibm9uLWRyb3BwaW5nLXBhcnRpY2xlIjoiIn0seyJmYW1pbHkiOiJLZWxseSIsImdpdmVuIjoiRGVpcmRyZSIsInBhcnNlLW5hbWVzIjpmYWxzZSwiZHJvcHBpbmctcGFydGljbGUiOiIiLCJub24tZHJvcHBpbmctcGFydGljbGUiOiIifV0sImNvbnRhaW5lci10aXRsZSI6IkpvdXJuYWwgb2YgUGVkaWF0cmljIEdhc3Ryb2VudGVyb2xvZ3kgYW5kIE51dHJpdGlvbiIsImNvbnRhaW5lci10aXRsZS1zaG9ydCI6IkogUGVkaWF0ciBHYXN0cm9lbnRlcm9sIE51dHIiLCJET0kiOiIxMC4xMDk3L01QRy4wYjAxM2UzMTgxNzA5NDY0IiwiSVNTTiI6IjAyNzctMjExNiIsImlzc3VlZCI6eyJkYXRlLXBhcnRzIjpbWzIwMDgsMTBdXX0sInBhZ2UiOiIzOTUtNDA1IiwiaXNzdWUiOiI0Iiwidm9sdW1lIjoiNDcifSwiaXNUZW1wb3JhcnkiOmZhbHNlfSx7ImlkIjoiZDRhMTliN2EtZjAwYS0zNjEzLWI2MWUtYTk4ZjVlMTEzZDg1IiwiaXRlbURhdGEiOnsidHlwZSI6ImFydGljbGUtam91cm5hbCIsImlkIjoiZDRhMTliN2EtZjAwYS0zNjEzLWI2MWUtYTk4ZjVlMTEzZDg1IiwidGl0bGUiOiJWb3JpY29uYXpvbGUiLCJhdXRob3IiOlt7ImZhbWlseSI6IkpldSIsImdpdmVuIjoiTGlseUFubiIsInBhcnNlLW5hbWVzIjpmYWxzZSwiZHJvcHBpbmctcGFydGljbGUiOiIiLCJub24tZHJvcHBpbmctcGFydGljbGUiOiIifSx7ImZhbWlseSI6IlBpYWNlbnRpIiwiZ2l2ZW4iOiJGcmFuayBKLiIsInBhcnNlLW5hbWVzIjpmYWxzZSwiZHJvcHBpbmctcGFydGljbGUiOiIiLCJub24tZHJvcHBpbmctcGFydGljbGUiOiIifSx7ImZhbWlseSI6Ikx5YWtob3ZldHNraXkiLCJnaXZlbiI6IkFsZWtzYW5kciBHLiIsInBhcnNlLW5hbWVzIjpmYWxzZSwiZHJvcHBpbmctcGFydGljbGUiOiIiLCJub24tZHJvcHBpbmctcGFydGljbGUiOiIifSx7ImZhbWlseSI6IkZ1bmciLCJnaXZlbiI6IkhvcmF0aW8gQi4iLCJwYXJzZS1uYW1lcyI6ZmFsc2UsImRyb3BwaW5nLXBhcnRpY2xlIjoiIiwibm9uLWRyb3BwaW5nLXBhcnRpY2xlIjoiIn1dLCJjb250YWluZXItdGl0bGUiOiJDbGluaWNhbCBUaGVyYXBldXRpY3MiLCJjb250YWluZXItdGl0bGUtc2hvcnQiOiJDbGluIFRoZXIiLCJET0kiOiIxMC4xMDE2L1MwMTQ5LTI5MTgoMDMpODAxMjYtMSIsIklTU04iOiIwMTQ5MjkxOCIsImlzc3VlZCI6eyJkYXRlLXBhcnRzIjpbWzIwMDMsNV1dfSwicGFnZSI6IjEzMjEtMTM4MSIsImlzc3VlIjoiNSIsInZvbHVtZSI6IjI1In0sImlzVGVtcG9yYXJ5IjpmYWxzZX1dfQ==&quot;,&quot;citationItems&quot;:[{&quot;id&quot;:&quot;32fa6096-bb6a-396f-96d4-715976681c2c&quot;,&quot;itemData&quot;:{&quot;type&quot;:&quot;article-journal&quot;,&quot;id&quot;:&quot;32fa6096-bb6a-396f-96d4-715976681c2c&quot;,&quot;title&quot;:&quot;Drug‐related Hepatotoxicity and Acute Liver Failure&quot;,&quot;author&quot;:[{&quot;family&quot;:&quot;Murray&quot;,&quot;given&quot;:&quot;Karen F&quot;,&quot;parse-names&quot;:false,&quot;dropping-particle&quot;:&quot;&quot;,&quot;non-dropping-particle&quot;:&quot;&quot;},{&quot;family&quot;:&quot;Hadzic&quot;,&quot;given&quot;:&quot;Nedim&quot;,&quot;parse-names&quot;:false,&quot;dropping-particle&quot;:&quot;&quot;,&quot;non-dropping-particle&quot;:&quot;&quot;},{&quot;family&quot;:&quot;Wirth&quot;,&quot;given&quot;:&quot;Stefan&quot;,&quot;parse-names&quot;:false,&quot;dropping-particle&quot;:&quot;&quot;,&quot;non-dropping-particle&quot;:&quot;&quot;},{&quot;family&quot;:&quot;Bassett&quot;,&quot;given&quot;:&quot;Mikelle&quot;,&quot;parse-names&quot;:false,&quot;dropping-particle&quot;:&quot;&quot;,&quot;non-dropping-particle&quot;:&quot;&quot;},{&quot;family&quot;:&quot;Kelly&quot;,&quot;given&quot;:&quot;Deirdre&quot;,&quot;parse-names&quot;:false,&quot;dropping-particle&quot;:&quot;&quot;,&quot;non-dropping-particle&quot;:&quot;&quot;}],&quot;container-title&quot;:&quot;Journal of Pediatric Gastroenterology and Nutrition&quot;,&quot;container-title-short&quot;:&quot;J Pediatr Gastroenterol Nutr&quot;,&quot;DOI&quot;:&quot;10.1097/MPG.0b013e3181709464&quot;,&quot;ISSN&quot;:&quot;0277-2116&quot;,&quot;issued&quot;:{&quot;date-parts&quot;:[[2008,10]]},&quot;page&quot;:&quot;395-405&quot;,&quot;issue&quot;:&quot;4&quot;,&quot;volume&quot;:&quot;47&quot;},&quot;isTemporary&quot;:false},{&quot;id&quot;:&quot;d4a19b7a-f00a-3613-b61e-a98f5e113d85&quot;,&quot;itemData&quot;:{&quot;type&quot;:&quot;article-journal&quot;,&quot;id&quot;:&quot;d4a19b7a-f00a-3613-b61e-a98f5e113d85&quot;,&quot;title&quot;:&quot;Voriconazole&quot;,&quot;author&quot;:[{&quot;family&quot;:&quot;Jeu&quot;,&quot;given&quot;:&quot;LilyAnn&quot;,&quot;parse-names&quot;:false,&quot;dropping-particle&quot;:&quot;&quot;,&quot;non-dropping-particle&quot;:&quot;&quot;},{&quot;family&quot;:&quot;Piacenti&quot;,&quot;given&quot;:&quot;Frank J.&quot;,&quot;parse-names&quot;:false,&quot;dropping-particle&quot;:&quot;&quot;,&quot;non-dropping-particle&quot;:&quot;&quot;},{&quot;family&quot;:&quot;Lyakhovetskiy&quot;,&quot;given&quot;:&quot;Aleksandr G.&quot;,&quot;parse-names&quot;:false,&quot;dropping-particle&quot;:&quot;&quot;,&quot;non-dropping-particle&quot;:&quot;&quot;},{&quot;family&quot;:&quot;Fung&quot;,&quot;given&quot;:&quot;Horatio B.&quot;,&quot;parse-names&quot;:false,&quot;dropping-particle&quot;:&quot;&quot;,&quot;non-dropping-particle&quot;:&quot;&quot;}],&quot;container-title&quot;:&quot;Clinical Therapeutics&quot;,&quot;container-title-short&quot;:&quot;Clin Ther&quot;,&quot;DOI&quot;:&quot;10.1016/S0149-2918(03)80126-1&quot;,&quot;ISSN&quot;:&quot;01492918&quot;,&quot;issued&quot;:{&quot;date-parts&quot;:[[2003,5]]},&quot;page&quot;:&quot;1321-1381&quot;,&quot;issue&quot;:&quot;5&quot;,&quot;volume&quot;:&quot;25&quot;},&quot;isTemporary&quot;:false}]},{&quot;citationID&quot;:&quot;MENDELEY_CITATION_24c74bfd-b56b-4846-aca5-8286f63c7663&quot;,&quot;properties&quot;:{&quot;noteIndex&quot;:0},&quot;isEdited&quot;:false,&quot;manualOverride&quot;:{&quot;isManuallyOverridden&quot;:false,&quot;citeprocText&quot;:&quot;(4–6)&quot;,&quot;manualOverrideText&quot;:&quot;&quot;},&quot;citationItems&quot;:[{&quot;id&quot;:&quot;10c37bd1-a764-3ba6-a4ee-faefc43dd1ac&quot;,&quot;itemData&quot;:{&quot;type&quot;:&quot;article-journal&quot;,&quot;id&quot;:&quot;10c37bd1-a764-3ba6-a4ee-faefc43dd1ac&quot;,&quot;title&quot;:&quot;Voriconazole&quot;,&quot;author&quot;:[{&quot;family&quot;:&quot;Scott&quot;,&quot;given&quot;:&quot;Lesley J&quot;,&quot;parse-names&quot;:false,&quot;dropping-particle&quot;:&quot;&quot;,&quot;non-dropping-particle&quot;:&quot;&quot;},{&quot;family&quot;:&quot;Simpson&quot;,&quot;given&quot;:&quot;Dene&quot;,&quot;parse-names&quot;:false,&quot;dropping-particle&quot;:&quot;&quot;,&quot;non-dropping-particle&quot;:&quot;&quot;}],&quot;container-title&quot;:&quot;Drugs&quot;,&quot;container-title-short&quot;:&quot;Drugs&quot;,&quot;DOI&quot;:&quot;10.2165/00003495-200767020-00009&quot;,&quot;ISSN&quot;:&quot;0012-6667&quot;,&quot;issued&quot;:{&quot;date-parts&quot;:[[2007]]},&quot;page&quot;:&quot;269-298&quot;,&quot;issue&quot;:&quot;2&quot;,&quot;volume&quot;:&quot;67&quot;},&quot;isTemporary&quot;:false,&quot;suppress-author&quot;:false,&quot;composite&quot;:false,&quot;author-only&quot;:false},{&quot;id&quot;:&quot;f08a65b8-424c-3611-b016-66f2a59e20ce&quot;,&quot;itemData&quot;:{&quot;type&quot;:&quot;article-journal&quot;,&quot;id&quot;:&quot;f08a65b8-424c-3611-b016-66f2a59e20ce&quot;,&quot;title&quot;:&quot;Investigation of the Potential Relationships Between Plasma Voriconazole Concentrations and Visual Adverse Events or Liver Function Test Abnormalities&quot;,&quot;author&quot;:[{&quot;family&quot;:&quot;Tan&quot;,&quot;given&quot;:&quot;Keith&quot;,&quot;parse-names&quot;:false,&quot;dropping-particle&quot;:&quot;&quot;,&quot;non-dropping-particle&quot;:&quot;&quot;},{&quot;family&quot;:&quot;Brayshaw&quot;,&quot;given&quot;:&quot;Nigel&quot;,&quot;parse-names&quot;:false,&quot;dropping-particle&quot;:&quot;&quot;,&quot;non-dropping-particle&quot;:&quot;&quot;},{&quot;family&quot;:&quot;Tomaszewski&quot;,&quot;given&quot;:&quot;Konrad&quot;,&quot;parse-names&quot;:false,&quot;dropping-particle&quot;:&quot;&quot;,&quot;non-dropping-particle&quot;:&quot;&quot;},{&quot;family&quot;:&quot;Troke&quot;,&quot;given&quot;:&quot;Peter&quot;,&quot;parse-names&quot;:false,&quot;dropping-particle&quot;:&quot;&quot;,&quot;non-dropping-particle&quot;:&quot;&quot;},{&quot;family&quot;:&quot;Wood&quot;,&quot;given&quot;:&quot;Nolan&quot;,&quot;parse-names&quot;:false,&quot;dropping-particle&quot;:&quot;&quot;,&quot;non-dropping-particle&quot;:&quot;&quot;}],&quot;container-title&quot;:&quot;The Journal of Clinical Pharmacology&quot;,&quot;DOI&quot;:&quot;10.1177/0091270005283837&quot;,&quot;ISSN&quot;:&quot;0091-2700&quot;,&quot;issued&quot;:{&quot;date-parts&quot;:[[2006,2,8]]},&quot;page&quot;:&quot;235-243&quot;,&quot;abstract&quot;:&quot;&lt;p&gt; This study investigated the relationship between plasma voriconazole concentrations (pVC) and risk of visual adverse events (VAEs) or liver function test (LFT) abnormalities using longitudinal logistic regression. Seven‐day mean pVC were calculated from 2925 plasma samples (1053 patients); in each 7‐day period, the presence or absence of VAEs/abnormal LFTs was analyzed as a binary outcome variable. There was a relationship between pVC and risk of VAE ( &lt;italic&gt;P&lt;/italic&gt; = .011) and a weaker, but statistically significant, association with risk of aspartate transaminase (AST), alkaline phosphatase (ALP), or bilirubin but not alanine transaminase (ALT) abnormalities. The odds ratios of LFT abnormalities per 1 μg/mL pVC increase ranged from 1.07 to 1.17. Maximum weekly occurrences were 10%, 8%, 5%, and 14% for AST, ALT, ALP, and bilirubin abnormalities, respectively. Receiver‐operating characteristic curve analysis indicates that individual pVC cannot be used to predict subsequent LFT abnormalities. &lt;/p&gt;&quot;,&quot;issue&quot;:&quot;2&quot;,&quot;volume&quot;:&quot;46&quot;},&quot;isTemporary&quot;:false},{&quot;id&quot;:&quot;63eb520f-5ceb-3fb4-9068-b5a94e7e4e00&quot;,&quot;itemData&quot;:{&quot;type&quot;:&quot;article-journal&quot;,&quot;id&quot;:&quot;63eb520f-5ceb-3fb4-9068-b5a94e7e4e00&quot;,&quot;title&quot;:&quot;Safety and Pharmacokinetics of Oral Voriconazole in Patients at Risk of Fungal Infection: A Dose Escalation Study&quot;,&quot;author&quot;:[{&quot;family&quot;:&quot;Lazarus&quot;,&quot;given&quot;:&quot;Hillard M.&quot;,&quot;parse-names&quot;:false,&quot;dropping-particle&quot;:&quot;&quot;,&quot;non-dropping-particle&quot;:&quot;&quot;},{&quot;family&quot;:&quot;Blumer&quot;,&quot;given&quot;:&quot;Jeffrey L.&quot;,&quot;parse-names&quot;:false,&quot;dropping-particle&quot;:&quot;&quot;,&quot;non-dropping-particle&quot;:&quot;&quot;},{&quot;family&quot;:&quot;Yanovich&quot;,&quot;given&quot;:&quot;Saul&quot;,&quot;parse-names&quot;:false,&quot;dropping-particle&quot;:&quot;&quot;,&quot;non-dropping-particle&quot;:&quot;&quot;},{&quot;family&quot;:&quot;Schlamm&quot;,&quot;given&quot;:&quot;Haran&quot;,&quot;parse-names&quot;:false,&quot;dropping-particle&quot;:&quot;&quot;,&quot;non-dropping-particle&quot;:&quot;&quot;},{&quot;family&quot;:&quot;Romero&quot;,&quot;given&quot;:&quot;Alain&quot;,&quot;parse-names&quot;:false,&quot;dropping-particle&quot;:&quot;&quot;,&quot;non-dropping-particle&quot;:&quot;&quot;}],&quot;container-title&quot;:&quot;The Journal of Clinical Pharmacology&quot;,&quot;DOI&quot;:&quot;10.1177/00912700222011445&quot;,&quot;ISSN&quot;:&quot;0091-2700&quot;,&quot;issued&quot;:{&quot;date-parts&quot;:[[2002,4,8]]},&quot;page&quot;:&quot;395-402&quot;,&quot;abstract&quot;:&quot;&lt;p&gt; The objective of this study was to investigate the safety, tolembility, and pharmacokinetics of oral voriconazole in subjects at high risk of developing fungal infections. This was a multicenter, randomized, double‐blind, double‐dummy, parallel‐group, dose escalation study with a fluconazole active control. Twenty‐four subjects with hematological malignancies, solid tumors, or autologous bone marrow transplants were randomized to receive voriconazole 200 mg q 12 h (n = 9), voriconazole 300 mgq 12 h (n = 9), or fluconazole 400 mg OD(n = 6) for a period of 14 days. Blood samples were taken for the assessment of voriconazole pharmacokinetics in plasma on Days 1 and 14. Using a 200 mgq 12 h dosing regimen, geometric mean voriconazole peak plasma concentrations (C &lt;sub&gt;msx&lt;/sub&gt; ) were 904 ng/ml on Day 1 and 2996 ng/ml on Day 14. Geometric mean voriconazole exposure, as measured by the area under the curve within a dosing interval (AUCπ, was 4044 and 20308 ng·h/ml on Days 1 and 14, respectively. On Day 1, geometric mean C &lt;sub&gt;max&lt;/sub&gt; and AUC were 1.80‐ and 1.94‐fold higher in subjects receiving voriconazole 300 mg q 12 h than in those receiving 200 mg q 12 h. Similarly, on Day 14, geometric mean C &lt;sub&gt;max&lt;/sub&gt; and AUC were 1.56‐ and 1.80‐fold greater in the high‐dose group. Although the confidence intervals are large, this trend suggests nonlinearity in pharmacokinetics with respect to dose as seen in healthy volunteers. The absorption of orally administered voriconazole was relatively rapid, with t &lt;sub&gt;max&lt;/sub&gt; achieved in 1.7 to 3.0 hours. There was a mean 5.4‐ and 5.0‐fold accumulation of voriconazole over the 14‐day study period in the 200 mg and 300 mg q 12 h dose groups, respectively. Voriconazole was generally safe and well tolerated. Mild, reversible visual disturbances were the most commonly reported adverse event but were not associated with treatment discontinuation. No patient developed a breakthrough fungal infection. It was concluded that in thisgroup of patients at risk of fungal infection, voriconazole pharmacokinetics was consistent with that reported in healthy volunteers. &lt;/p&gt;&quot;,&quot;issue&quot;:&quot;4&quot;,&quot;volume&quot;:&quot;42&quot;},&quot;isTemporary&quot;:false}],&quot;citationTag&quot;:&quot;MENDELEY_CITATION_v3_eyJjaXRhdGlvbklEIjoiTUVOREVMRVlfQ0lUQVRJT05fMjRjNzRiZmQtYjU2Yi00ODQ2LWFjYTUtODI4NmY2M2M3NjYzIiwicHJvcGVydGllcyI6eyJub3RlSW5kZXgiOjB9LCJpc0VkaXRlZCI6ZmFsc2UsIm1hbnVhbE92ZXJyaWRlIjp7ImlzTWFudWFsbHlPdmVycmlkZGVuIjpmYWxzZSwiY2l0ZXByb2NUZXh0IjoiKDTigJM2KSIsIm1hbnVhbE92ZXJyaWRlVGV4dCI6IiJ9LCJjaXRhdGlvbkl0ZW1zIjpbeyJpZCI6IjEwYzM3YmQxLWE3NjQtM2JhNi1hNGVlLWZhZWZjNDNkZDFhYyIsIml0ZW1EYXRhIjp7InR5cGUiOiJhcnRpY2xlLWpvdXJuYWwiLCJpZCI6IjEwYzM3YmQxLWE3NjQtM2JhNi1hNGVlLWZhZWZjNDNkZDFhYyIsInRpdGxlIjoiVm9yaWNvbmF6b2xlIiwiYXV0aG9yIjpbeyJmYW1pbHkiOiJTY290dCIsImdpdmVuIjoiTGVzbGV5IEoiLCJwYXJzZS1uYW1lcyI6ZmFsc2UsImRyb3BwaW5nLXBhcnRpY2xlIjoiIiwibm9uLWRyb3BwaW5nLXBhcnRpY2xlIjoiIn0seyJmYW1pbHkiOiJTaW1wc29uIiwiZ2l2ZW4iOiJEZW5lIiwicGFyc2UtbmFtZXMiOmZhbHNlLCJkcm9wcGluZy1wYXJ0aWNsZSI6IiIsIm5vbi1kcm9wcGluZy1wYXJ0aWNsZSI6IiJ9XSwiY29udGFpbmVyLXRpdGxlIjoiRHJ1Z3MiLCJjb250YWluZXItdGl0bGUtc2hvcnQiOiJEcnVncyIsIkRPSSI6IjEwLjIxNjUvMDAwMDM0OTUtMjAwNzY3MDIwLTAwMDA5IiwiSVNTTiI6IjAwMTItNjY2NyIsImlzc3VlZCI6eyJkYXRlLXBhcnRzIjpbWzIwMDddXX0sInBhZ2UiOiIyNjktMjk4IiwiaXNzdWUiOiIyIiwidm9sdW1lIjoiNjcifSwiaXNUZW1wb3JhcnkiOmZhbHNlLCJzdXBwcmVzcy1hdXRob3IiOmZhbHNlLCJjb21wb3NpdGUiOmZhbHNlLCJhdXRob3Itb25seSI6ZmFsc2V9LHsiaWQiOiJmMDhhNjViOC00MjRjLTM2MTEtYjAxNi02NmYyYTU5ZTIwY2UiLCJpdGVtRGF0YSI6eyJ0eXBlIjoiYXJ0aWNsZS1qb3VybmFsIiwiaWQiOiJmMDhhNjViOC00MjRjLTM2MTEtYjAxNi02NmYyYTU5ZTIwY2UiLCJ0aXRsZSI6IkludmVzdGlnYXRpb24gb2YgdGhlIFBvdGVudGlhbCBSZWxhdGlvbnNoaXBzIEJldHdlZW4gUGxhc21hIFZvcmljb25hem9sZSBDb25jZW50cmF0aW9ucyBhbmQgVmlzdWFsIEFkdmVyc2UgRXZlbnRzIG9yIExpdmVyIEZ1bmN0aW9uIFRlc3QgQWJub3JtYWxpdGllcyIsImF1dGhvciI6W3siZmFtaWx5IjoiVGFuIiwiZ2l2ZW4iOiJLZWl0aCIsInBhcnNlLW5hbWVzIjpmYWxzZSwiZHJvcHBpbmctcGFydGljbGUiOiIiLCJub24tZHJvcHBpbmctcGFydGljbGUiOiIifSx7ImZhbWlseSI6IkJyYXlzaGF3IiwiZ2l2ZW4iOiJOaWdlbCIsInBhcnNlLW5hbWVzIjpmYWxzZSwiZHJvcHBpbmctcGFydGljbGUiOiIiLCJub24tZHJvcHBpbmctcGFydGljbGUiOiIifSx7ImZhbWlseSI6IlRvbWFzemV3c2tpIiwiZ2l2ZW4iOiJLb25yYWQiLCJwYXJzZS1uYW1lcyI6ZmFsc2UsImRyb3BwaW5nLXBhcnRpY2xlIjoiIiwibm9uLWRyb3BwaW5nLXBhcnRpY2xlIjoiIn0seyJmYW1pbHkiOiJUcm9rZSIsImdpdmVuIjoiUGV0ZXIiLCJwYXJzZS1uYW1lcyI6ZmFsc2UsImRyb3BwaW5nLXBhcnRpY2xlIjoiIiwibm9uLWRyb3BwaW5nLXBhcnRpY2xlIjoiIn0seyJmYW1pbHkiOiJXb29kIiwiZ2l2ZW4iOiJOb2xhbiIsInBhcnNlLW5hbWVzIjpmYWxzZSwiZHJvcHBpbmctcGFydGljbGUiOiIiLCJub24tZHJvcHBpbmctcGFydGljbGUiOiIifV0sImNvbnRhaW5lci10aXRsZSI6IlRoZSBKb3VybmFsIG9mIENsaW5pY2FsIFBoYXJtYWNvbG9neSIsIkRPSSI6IjEwLjExNzcvMDA5MTI3MDAwNTI4MzgzNyIsIklTU04iOiIwMDkxLTI3MDAiLCJpc3N1ZWQiOnsiZGF0ZS1wYXJ0cyI6W1syMDA2LDIsOF1dfSwicGFnZSI6IjIzNS0yNDMiLCJhYnN0cmFjdCI6IjxwPiBUaGlzIHN0dWR5IGludmVzdGlnYXRlZCB0aGUgcmVsYXRpb25zaGlwIGJldHdlZW4gcGxhc21hIHZvcmljb25hem9sZSBjb25jZW50cmF0aW9ucyAocFZDKSBhbmQgcmlzayBvZiB2aXN1YWwgYWR2ZXJzZSBldmVudHMgKFZBRXMpIG9yIGxpdmVyIGZ1bmN0aW9uIHRlc3QgKExGVCkgYWJub3JtYWxpdGllcyB1c2luZyBsb25naXR1ZGluYWwgbG9naXN0aWMgcmVncmVzc2lvbi4gU2V2ZW7igJBkYXkgbWVhbiBwVkMgd2VyZSBjYWxjdWxhdGVkIGZyb20gMjkyNSBwbGFzbWEgc2FtcGxlcyAoMTA1MyBwYXRpZW50cyk7IGluIGVhY2ggN+KAkGRheSBwZXJpb2QsIHRoZSBwcmVzZW5jZSBvciBhYnNlbmNlIG9mIFZBRXMvYWJub3JtYWwgTEZUcyB3YXMgYW5hbHl6ZWQgYXMgYSBiaW5hcnkgb3V0Y29tZSB2YXJpYWJsZS4gVGhlcmUgd2FzIGEgcmVsYXRpb25zaGlwIGJldHdlZW4gcFZDIGFuZCByaXNrIG9mIFZBRSAoIDxpdGFsaWM+UDwvaXRhbGljPiA9IC4wMTEpIGFuZCBhIHdlYWtlciwgYnV0IHN0YXRpc3RpY2FsbHkgc2lnbmlmaWNhbnQsIGFzc29jaWF0aW9uIHdpdGggcmlzayBvZiBhc3BhcnRhdGUgdHJhbnNhbWluYXNlIChBU1QpLCBhbGthbGluZSBwaG9zcGhhdGFzZSAoQUxQKSwgb3IgYmlsaXJ1YmluIGJ1dCBub3QgYWxhbmluZSB0cmFuc2FtaW5hc2UgKEFMVCkgYWJub3JtYWxpdGllcy4gVGhlIG9kZHMgcmF0aW9zIG9mIExGVCBhYm5vcm1hbGl0aWVzIHBlciAxIM68Zy9tTCBwVkMgaW5jcmVhc2UgcmFuZ2VkIGZyb20gMS4wNyB0byAxLjE3LiBNYXhpbXVtIHdlZWtseSBvY2N1cnJlbmNlcyB3ZXJlIDEwJSwgOCUsIDUlLCBhbmQgMTQlIGZvciBBU1QsIEFMVCwgQUxQLCBhbmQgYmlsaXJ1YmluIGFibm9ybWFsaXRpZXMsIHJlc3BlY3RpdmVseS4gUmVjZWl2ZXLigJBvcGVyYXRpbmcgY2hhcmFjdGVyaXN0aWMgY3VydmUgYW5hbHlzaXMgaW5kaWNhdGVzIHRoYXQgaW5kaXZpZHVhbCBwVkMgY2Fubm90IGJlIHVzZWQgdG8gcHJlZGljdCBzdWJzZXF1ZW50IExGVCBhYm5vcm1hbGl0aWVzLiA8L3A+IiwiaXNzdWUiOiIyIiwidm9sdW1lIjoiNDYifSwiaXNUZW1wb3JhcnkiOmZhbHNlfSx7ImlkIjoiNjNlYjUyMGYtNWNlYi0zZmI0LTkwNjgtYjVhOTRlN2U0ZTAwIiwiaXRlbURhdGEiOnsidHlwZSI6ImFydGljbGUtam91cm5hbCIsImlkIjoiNjNlYjUyMGYtNWNlYi0zZmI0LTkwNjgtYjVhOTRlN2U0ZTAwIiwidGl0bGUiOiJTYWZldHkgYW5kIFBoYXJtYWNva2luZXRpY3Mgb2YgT3JhbCBWb3JpY29uYXpvbGUgaW4gUGF0aWVudHMgYXQgUmlzayBvZiBGdW5nYWwgSW5mZWN0aW9uOiBBIERvc2UgRXNjYWxhdGlvbiBTdHVkeSIsImF1dGhvciI6W3siZmFtaWx5IjoiTGF6YXJ1cyIsImdpdmVuIjoiSGlsbGFyZCBNLiIsInBhcnNlLW5hbWVzIjpmYWxzZSwiZHJvcHBpbmctcGFydGljbGUiOiIiLCJub24tZHJvcHBpbmctcGFydGljbGUiOiIifSx7ImZhbWlseSI6IkJsdW1lciIsImdpdmVuIjoiSmVmZnJleSBMLiIsInBhcnNlLW5hbWVzIjpmYWxzZSwiZHJvcHBpbmctcGFydGljbGUiOiIiLCJub24tZHJvcHBpbmctcGFydGljbGUiOiIifSx7ImZhbWlseSI6Illhbm92aWNoIiwiZ2l2ZW4iOiJTYXVsIiwicGFyc2UtbmFtZXMiOmZhbHNlLCJkcm9wcGluZy1wYXJ0aWNsZSI6IiIsIm5vbi1kcm9wcGluZy1wYXJ0aWNsZSI6IiJ9LHsiZmFtaWx5IjoiU2NobGFtbSIsImdpdmVuIjoiSGFyYW4iLCJwYXJzZS1uYW1lcyI6ZmFsc2UsImRyb3BwaW5nLXBhcnRpY2xlIjoiIiwibm9uLWRyb3BwaW5nLXBhcnRpY2xlIjoiIn0seyJmYW1pbHkiOiJSb21lcm8iLCJnaXZlbiI6IkFsYWluIiwicGFyc2UtbmFtZXMiOmZhbHNlLCJkcm9wcGluZy1wYXJ0aWNsZSI6IiIsIm5vbi1kcm9wcGluZy1wYXJ0aWNsZSI6IiJ9XSwiY29udGFpbmVyLXRpdGxlIjoiVGhlIEpvdXJuYWwgb2YgQ2xpbmljYWwgUGhhcm1hY29sb2d5IiwiRE9JIjoiMTAuMTE3Ny8wMDkxMjcwMDIyMjAxMTQ0NSIsIklTU04iOiIwMDkxLTI3MDAiLCJpc3N1ZWQiOnsiZGF0ZS1wYXJ0cyI6W1syMDAyLDQsOF1dfSwicGFnZSI6IjM5NS00MDIiLCJhYnN0cmFjdCI6IjxwPiBUaGUgb2JqZWN0aXZlIG9mIHRoaXMgc3R1ZHkgd2FzIHRvIGludmVzdGlnYXRlIHRoZSBzYWZldHksIHRvbGVtYmlsaXR5LCBhbmQgcGhhcm1hY29raW5ldGljcyBvZiBvcmFsIHZvcmljb25hem9sZSBpbiBzdWJqZWN0cyBhdCBoaWdoIHJpc2sgb2YgZGV2ZWxvcGluZyBmdW5nYWwgaW5mZWN0aW9ucy4gVGhpcyB3YXMgYSBtdWx0aWNlbnRlciwgcmFuZG9taXplZCwgZG91Ymxl4oCQYmxpbmQsIGRvdWJsZeKAkGR1bW15LCBwYXJhbGxlbOKAkGdyb3VwLCBkb3NlIGVzY2FsYXRpb24gc3R1ZHkgd2l0aCBhIGZsdWNvbmF6b2xlIGFjdGl2ZSBjb250cm9sLiBUd2VudHnigJBmb3VyIHN1YmplY3RzIHdpdGggaGVtYXRvbG9naWNhbCBtYWxpZ25hbmNpZXMsIHNvbGlkIHR1bW9ycywgb3IgYXV0b2xvZ291cyBib25lIG1hcnJvdyB0cmFuc3BsYW50cyB3ZXJlIHJhbmRvbWl6ZWQgdG8gcmVjZWl2ZSB2b3JpY29uYXpvbGUgMjAwIG1nIHEgMTIgaCAobiA9IDkpLCB2b3JpY29uYXpvbGUgMzAwIG1ncSAxMiBoIChuID0gOSksIG9yIGZsdWNvbmF6b2xlIDQwMCBtZyBPRChuID0gNikgZm9yIGEgcGVyaW9kIG9mIDE0IGRheXMuIEJsb29kIHNhbXBsZXMgd2VyZSB0YWtlbiBmb3IgdGhlIGFzc2Vzc21lbnQgb2Ygdm9yaWNvbmF6b2xlIHBoYXJtYWNva2luZXRpY3MgaW4gcGxhc21hIG9uIERheXMgMSBhbmQgMTQuIFVzaW5nIGEgMjAwIG1ncSAxMiBoIGRvc2luZyByZWdpbWVuLCBnZW9tZXRyaWMgbWVhbiB2b3JpY29uYXpvbGUgcGVhayBwbGFzbWEgY29uY2VudHJhdGlvbnMgKEMgPHN1Yj5tc3g8L3N1Yj4gKSB3ZXJlIDkwNCBuZy9tbCBvbiBEYXkgMSBhbmQgMjk5NiBuZy9tbCBvbiBEYXkgMTQuIEdlb21ldHJpYyBtZWFuIHZvcmljb25hem9sZSBleHBvc3VyZSwgYXMgbWVhc3VyZWQgYnkgdGhlIGFyZWEgdW5kZXIgdGhlIGN1cnZlIHdpdGhpbiBhIGRvc2luZyBpbnRlcnZhbCAoQVVDz4AsIHdhcyA0MDQ0IGFuZCAyMDMwOCBuZ8K3aC9tbCBvbiBEYXlzIDEgYW5kIDE0LCByZXNwZWN0aXZlbHkuIE9uIERheSAxLCBnZW9tZXRyaWMgbWVhbiBDIDxzdWI+bWF4PC9zdWI+IGFuZCBBVUMgd2VyZSAxLjgw4oCQIGFuZCAxLjk04oCQZm9sZCBoaWdoZXIgaW4gc3ViamVjdHMgcmVjZWl2aW5nIHZvcmljb25hem9sZSAzMDAgbWcgcSAxMiBoIHRoYW4gaW4gdGhvc2UgcmVjZWl2aW5nIDIwMCBtZyBxIDEyIGguIFNpbWlsYXJseSwgb24gRGF5IDE0LCBnZW9tZXRyaWMgbWVhbiBDIDxzdWI+bWF4PC9zdWI+IGFuZCBBVUMgd2VyZSAxLjU24oCQIGFuZCAxLjgw4oCQZm9sZCBncmVhdGVyIGluIHRoZSBoaWdo4oCQZG9zZSBncm91cC4gQWx0aG91Z2ggdGhlIGNvbmZpZGVuY2UgaW50ZXJ2YWxzIGFyZSBsYXJnZSwgdGhpcyB0cmVuZCBzdWdnZXN0cyBub25saW5lYXJpdHkgaW4gcGhhcm1hY29raW5ldGljcyB3aXRoIHJlc3BlY3QgdG8gZG9zZSBhcyBzZWVuIGluIGhlYWx0aHkgdm9sdW50ZWVycy4gVGhlIGFic29ycHRpb24gb2Ygb3JhbGx5IGFkbWluaXN0ZXJlZCB2b3JpY29uYXpvbGUgd2FzIHJlbGF0aXZlbHkgcmFwaWQsIHdpdGggdCA8c3ViPm1heDwvc3ViPiBhY2hpZXZlZCBpbiAxLjcgdG8gMy4wIGhvdXJzLiBUaGVyZSB3YXMgYSBtZWFuIDUuNOKAkCBhbmQgNS4w4oCQZm9sZCBhY2N1bXVsYXRpb24gb2Ygdm9yaWNvbmF6b2xlIG92ZXIgdGhlIDE04oCQZGF5IHN0dWR5IHBlcmlvZCBpbiB0aGUgMjAwIG1nIGFuZCAzMDAgbWcgcSAxMiBoIGRvc2UgZ3JvdXBzLCByZXNwZWN0aXZlbHkuIFZvcmljb25hem9sZSB3YXMgZ2VuZXJhbGx5IHNhZmUgYW5kIHdlbGwgdG9sZXJhdGVkLiBNaWxkLCByZXZlcnNpYmxlIHZpc3VhbCBkaXN0dXJiYW5jZXMgd2VyZSB0aGUgbW9zdCBjb21tb25seSByZXBvcnRlZCBhZHZlcnNlIGV2ZW50IGJ1dCB3ZXJlIG5vdCBhc3NvY2lhdGVkIHdpdGggdHJlYXRtZW50IGRpc2NvbnRpbnVhdGlvbi4gTm8gcGF0aWVudCBkZXZlbG9wZWQgYSBicmVha3Rocm91Z2ggZnVuZ2FsIGluZmVjdGlvbi4gSXQgd2FzIGNvbmNsdWRlZCB0aGF0IGluIHRoaXNncm91cCBvZiBwYXRpZW50cyBhdCByaXNrIG9mIGZ1bmdhbCBpbmZlY3Rpb24sIHZvcmljb25hem9sZSBwaGFybWFjb2tpbmV0aWNzIHdhcyBjb25zaXN0ZW50IHdpdGggdGhhdCByZXBvcnRlZCBpbiBoZWFsdGh5IHZvbHVudGVlcnMuIDwvcD4iLCJpc3N1ZSI6IjQiLCJ2b2x1bWUiOiI0MiJ9LCJpc1RlbXBvcmFyeSI6ZmFsc2V9XX0=&quot;},{&quot;citationID&quot;:&quot;MENDELEY_CITATION_22855190-cd4a-406b-a32f-e289d71f5c67&quot;,&quot;properties&quot;:{&quot;noteIndex&quot;:0},&quot;isEdited&quot;:false,&quot;manualOverride&quot;:{&quot;isManuallyOverridden&quot;:false,&quot;citeprocText&quot;:&quot;(7)&quot;,&quot;manualOverrideText&quot;:&quot;&quot;},&quot;citationTag&quot;:&quot;MENDELEY_CITATION_v3_eyJjaXRhdGlvbklEIjoiTUVOREVMRVlfQ0lUQVRJT05fMjI4NTUxOTAtY2Q0YS00MDZiLWEzMmYtZTI4OWQ3MWY1YzY3IiwicHJvcGVydGllcyI6eyJub3RlSW5kZXgiOjB9LCJpc0VkaXRlZCI6ZmFsc2UsIm1hbnVhbE92ZXJyaWRlIjp7ImlzTWFudWFsbHlPdmVycmlkZGVuIjpmYWxzZSwiY2l0ZXByb2NUZXh0IjoiKDcpIiwibWFudWFsT3ZlcnJpZGVUZXh0IjoiIn0sImNpdGF0aW9uSXRlbXMiOlt7ImlkIjoiZGExYTNjMzYtNTY1Mi0zMjQ1LWFjYTMtOGVmOGZiOWJhYjdlIiwiaXRlbURhdGEiOnsidHlwZSI6ImFydGljbGUtam91cm5hbCIsImlkIjoiZGExYTNjMzYtNTY1Mi0zMjQ1LWFjYTMtOGVmOGZiOWJhYjdlIiwidGl0bGUiOiJBZHZlcnNlIEVmZmVjdHMgb2YgVm9yaWNvbmF6b2xlOiBBbmFseXNpcyBvZiB0aGUgRnJlbmNoIFBoYXJtYWNvdmlnaWxhbmNlIERhdGFiYXNlIiwiYXV0aG9yIjpbeyJmYW1pbHkiOiJFaWRlbiIsImdpdmVuIjoiQ8OpbGluZSIsInBhcnNlLW5hbWVzIjpmYWxzZSwiZHJvcHBpbmctcGFydGljbGUiOiIiLCJub24tZHJvcHBpbmctcGFydGljbGUiOiIifSx7ImZhbWlseSI6IlBleXJpw6hyZSIsImdpdmVuIjoiSMOpbMOobmUiLCJwYXJzZS1uYW1lcyI6ZmFsc2UsImRyb3BwaW5nLXBhcnRpY2xlIjoiIiwibm9uLWRyb3BwaW5nLXBhcnRpY2xlIjoiIn0seyJmYW1pbHkiOiJDb2NpZ2xpbyIsImdpdmVuIjoiTWFyeWzDqG5lIiwicGFyc2UtbmFtZXMiOmZhbHNlLCJkcm9wcGluZy1wYXJ0aWNsZSI6IiIsIm5vbi1kcm9wcGluZy1wYXJ0aWNsZSI6IiJ9LHsiZmFtaWx5IjoiRGplenphciIsImdpdmVuIjoiU2FtaXJhIiwicGFyc2UtbmFtZXMiOmZhbHNlLCJkcm9wcGluZy1wYXJ0aWNsZSI6IiIsIm5vbi1kcm9wcGluZy1wYXJ0aWNsZSI6IiJ9LHsiZmFtaWx5IjoiSGFuc2VsIiwiZ2l2ZW4iOiJTeWx2aWUiLCJwYXJzZS1uYW1lcyI6ZmFsc2UsImRyb3BwaW5nLXBhcnRpY2xlIjoiIiwibm9uLWRyb3BwaW5nLXBhcnRpY2xlIjoiIn0seyJmYW1pbHkiOiJCbGF5YWMiLCJnaXZlbiI6IkplYW4tUGllcnJlIiwicGFyc2UtbmFtZXMiOmZhbHNlLCJkcm9wcGluZy1wYXJ0aWNsZSI6IiIsIm5vbi1kcm9wcGluZy1wYXJ0aWNsZSI6IiJ9LHsiZmFtaWx5IjoiSGlsbGFpcmUtQnV5cyIsImdpdmVuIjoiRG9taW5pcXVlIiwicGFyc2UtbmFtZXMiOmZhbHNlLCJkcm9wcGluZy1wYXJ0aWNsZSI6IiIsIm5vbi1kcm9wcGluZy1wYXJ0aWNsZSI6IiJ9XSwiY29udGFpbmVyLXRpdGxlIjoiQW5uYWxzIG9mIFBoYXJtYWNvdGhlcmFweSIsIkRPSSI6IjEwLjEzNDUvYXBoLjFINjcxIiwiSVNTTiI6IjEwNjAtMDI4MCIsImlzc3VlZCI6eyJkYXRlLXBhcnRzIjpbWzIwMDcsNSwxXV19LCJwYWdlIjoiNzU1LTc2MyIsImlzc3VlIjoiNSIsInZvbHVtZSI6IjQxIiwiY29udGFpbmVyLXRpdGxlLXNob3J0IjoiIn0sImlzVGVtcG9yYXJ5IjpmYWxzZX1dfQ==&quot;,&quot;citationItems&quot;:[{&quot;id&quot;:&quot;da1a3c36-5652-3245-aca3-8ef8fb9bab7e&quot;,&quot;itemData&quot;:{&quot;type&quot;:&quot;article-journal&quot;,&quot;id&quot;:&quot;da1a3c36-5652-3245-aca3-8ef8fb9bab7e&quot;,&quot;title&quot;:&quot;Adverse Effects of Voriconazole: Analysis of the French Pharmacovigilance Database&quot;,&quot;author&quot;:[{&quot;family&quot;:&quot;Eiden&quot;,&quot;given&quot;:&quot;Céline&quot;,&quot;parse-names&quot;:false,&quot;dropping-particle&quot;:&quot;&quot;,&quot;non-dropping-particle&quot;:&quot;&quot;},{&quot;family&quot;:&quot;Peyrière&quot;,&quot;given&quot;:&quot;Hélène&quot;,&quot;parse-names&quot;:false,&quot;dropping-particle&quot;:&quot;&quot;,&quot;non-dropping-particle&quot;:&quot;&quot;},{&quot;family&quot;:&quot;Cociglio&quot;,&quot;given&quot;:&quot;Marylène&quot;,&quot;parse-names&quot;:false,&quot;dropping-particle&quot;:&quot;&quot;,&quot;non-dropping-particle&quot;:&quot;&quot;},{&quot;family&quot;:&quot;Djezzar&quot;,&quot;given&quot;:&quot;Samira&quot;,&quot;parse-names&quot;:false,&quot;dropping-particle&quot;:&quot;&quot;,&quot;non-dropping-particle&quot;:&quot;&quot;},{&quot;family&quot;:&quot;Hansel&quot;,&quot;given&quot;:&quot;Sylvie&quot;,&quot;parse-names&quot;:false,&quot;dropping-particle&quot;:&quot;&quot;,&quot;non-dropping-particle&quot;:&quot;&quot;},{&quot;family&quot;:&quot;Blayac&quot;,&quot;given&quot;:&quot;Jean-Pierre&quot;,&quot;parse-names&quot;:false,&quot;dropping-particle&quot;:&quot;&quot;,&quot;non-dropping-particle&quot;:&quot;&quot;},{&quot;family&quot;:&quot;Hillaire-Buys&quot;,&quot;given&quot;:&quot;Dominique&quot;,&quot;parse-names&quot;:false,&quot;dropping-particle&quot;:&quot;&quot;,&quot;non-dropping-particle&quot;:&quot;&quot;}],&quot;container-title&quot;:&quot;Annals of Pharmacotherapy&quot;,&quot;DOI&quot;:&quot;10.1345/aph.1H671&quot;,&quot;ISSN&quot;:&quot;1060-0280&quot;,&quot;issued&quot;:{&quot;date-parts&quot;:[[2007,5,1]]},&quot;page&quot;:&quot;755-763&quot;,&quot;issue&quot;:&quot;5&quot;,&quot;volume&quot;:&quot;41&quot;,&quot;container-title-short&quot;:&quot;&quot;},&quot;isTemporary&quot;:false}]},{&quot;citationID&quot;:&quot;MENDELEY_CITATION_3a6924c7-7614-484c-82de-574523797ae9&quot;,&quot;properties&quot;:{&quot;noteIndex&quot;:0},&quot;isEdited&quot;:false,&quot;manualOverride&quot;:{&quot;isManuallyOverridden&quot;:false,&quot;citeprocText&quot;:&quot;(8–10)&quot;,&quot;manualOverrideText&quot;:&quot;&quot;},&quot;citationTag&quot;:&quot;MENDELEY_CITATION_v3_eyJjaXRhdGlvbklEIjoiTUVOREVMRVlfQ0lUQVRJT05fM2E2OTI0YzctNzYxNC00ODRjLTgyZGUtNTc0NTIzNzk3YWU5IiwicHJvcGVydGllcyI6eyJub3RlSW5kZXgiOjB9LCJpc0VkaXRlZCI6ZmFsc2UsIm1hbnVhbE92ZXJyaWRlIjp7ImlzTWFudWFsbHlPdmVycmlkZGVuIjpmYWxzZSwiY2l0ZXByb2NUZXh0IjoiKDjigJMxMCkiLCJtYW51YWxPdmVycmlkZVRleHQiOiIifSwiY2l0YXRpb25JdGVtcyI6W3siaWQiOiJmYzdmM2EwNy0xMWZkLTNkYzAtYjM3OC1kMDI2MzNiMTYwMjkiLCJpdGVtRGF0YSI6eyJ0eXBlIjoiYXJ0aWNsZS1qb3VybmFsIiwiaWQiOiJmYzdmM2EwNy0xMWZkLTNkYzAtYjM3OC1kMDI2MzNiMTYwMjkiLCJ0aXRsZSI6IkhlbW9hZHNvcnB0aW9uIGluIHRoZSBNYW5hZ2VtZW50IG9mIFNlcHRpYyBTaG9jazogQSBTeXN0ZW1hdGljIFJldmlldyBhbmQgTWV0YS1BbmFseXNpcyIsImF1dGhvciI6W3siZmFtaWx5IjoiU3RlaW5kbCIsImdpdmVuIjoiRGF2aWQiLCJwYXJzZS1uYW1lcyI6ZmFsc2UsImRyb3BwaW5nLXBhcnRpY2xlIjoiIiwibm9uLWRyb3BwaW5nLXBhcnRpY2xlIjoiIn0seyJmYW1pbHkiOiJTY2hyb2VkZXIiLCJnaXZlbiI6IlRpbSIsInBhcnNlLW5hbWVzIjpmYWxzZSwiZHJvcHBpbmctcGFydGljbGUiOiIiLCJub24tZHJvcHBpbmctcGFydGljbGUiOiIifSx7ImZhbWlseSI6IktyYW5uaWNoIiwiZ2l2ZW4iOiJBbGV4YW5kZXIiLCJwYXJzZS1uYW1lcyI6ZmFsc2UsImRyb3BwaW5nLXBhcnRpY2xlIjoiIiwibm9uLWRyb3BwaW5nLXBhcnRpY2xlIjoiIn0seyJmYW1pbHkiOiJOZWUiLCJnaXZlbiI6IkplbnMiLCJwYXJzZS1uYW1lcyI6ZmFsc2UsImRyb3BwaW5nLXBhcnRpY2xlIjoiIiwibm9uLWRyb3BwaW5nLXBhcnRpY2xlIjoiIn1dLCJjb250YWluZXItdGl0bGUiOiJKb3VybmFsIG9mIENsaW5pY2FsIE1lZGljaW5lIiwiY29udGFpbmVyLXRpdGxlLXNob3J0IjoiSiBDbGluIE1lZCIsIkRPSSI6IjEwLjMzOTAvamNtMTQwNzIyODUiLCJJU1NOIjoiMjA3Ny0wMzgzIiwiVVJMIjoiaHR0cHM6Ly93d3cubWRwaS5jb20vMjA3Ny0wMzgzLzE0LzcvMjI4NSIsImlzc3VlZCI6eyJkYXRlLXBhcnRzIjpbWzIwMjUsMywyN11dfSwicGFnZSI6IjIyODUiLCJhYnN0cmFjdCI6IjxwPkJhY2tncm91bmQvT2JqZWN0aXZlczogU2VwdGljIHNob2NrIHJlbWFpbnMgYSBzaWduaWZpY2FudCBjbGluaWNhbCBjaGFsbGVuZ2Ugd2l0aCBjb25zaXN0ZW50bHkgaGlnaCBtb3J0YWxpdHkgcmF0ZXMuIFJlY2VudCBpbnZlc3RpZ2F0aW9ucyBoYXZlIGZvY3VzZWQgb24gdGhlIGVmZmljYWN5IG9mIEN5dG9Tb3Jiwq4gKEN5dG9Tb3JiZW50cyBDb3Jwb3JhdGlvbiwgTW9ubW91dGggSnVuY3Rpb24sIE5KLCBVU0EpLCBhbiBleHRyYWNvcnBvcmVhbCBjeXRva2luZSBhZHNvcmJlciwgYW5kIGhvdyBpdCBpbXBhY3RzIG91dGNvbWVzIGluIHNlcHNpcy4gVGhlIGN1cnJlbnQgbWV0YS1hbmFseXNpcyByZXBvcnRzIG9uIHRoZSBpbXBhY3Qgb2YgQ3l0b1NvcmLCriBvbiBzdXJ2aXZhbCwgc3BlY2lmaWNhbGx5IGluIHNlcHRpYyBzaG9jayBwYXRpZW50cy4gTWV0aG9kczogV2UgY29uZHVjdGVkIGEgY29tcHJlaGVuc2l2ZSBzeXN0ZW1hdGljIHNlYXJjaCBhY3Jvc3MgdGhlIFB1Yk1lZCBhbmQgQ09DSFJBTkUgZGF0YWJhc2VzIGZvciBzdHVkaWVzIHB1Ymxpc2hlZCB1cCB0byAxMCBKdW5lIDIwMjQuIFRoZSBhbmFseXNpcyBwcmlvcml0aXplZCByYW5kb21pemVkIGNvbnRyb2xsZWQgdHJpYWxzIGFuZCBvYnNlcnZhdGlvbmFsIHN0dWRpZXMgd2l0aCBjb250cm9sIGdyb3VwcyBpbnZvbHZpbmcgc2VwdGljIHNob2NrIHBhdGllbnRzIHdoaWxlIGV4Y2x1ZGluZyBjYXNlIHJlcG9ydHMgYW5kIGNhc2Ugc2VyaWVzLiBOaW5lIHN0dWRpZXMgd2VyZSBmaW5hbGx5IGluY2x1ZGVkIGluIG91ciBtZXRhLWFuYWx5c2lzIGZvbGxvd2luZyB0aGUgaW5pdGlhbCBzY3JlZW5pbmcgb2YgMTE1IGFydGljbGVzIGFmdGVyIGV4Y2x1ZGluZyBkdXBsaWNhdGVzIGFuZCBpcnJlbGV2YW50IGVudHJpZXMuIFJlc3VsdHM6IFRoZSBtZXRhLWFuYWx5c2lzIHdhcyBwZXJmb3JtZWQgb24gNzQ0IGNyaXRpY2FsbHkgaWxsIHBhdGllbnRzIHdpdGggc2VwdGljIHNob2NrIGZyb20gb25lIFJDVCBhbmQgZWlnaHQgb2JzZXJ2YXRpb25hbCBzdHVkaWVzLiBPZiB0aGVzZSwgNDQ5IHBhdGllbnRzIHJlY2VpdmVkIHRyZWF0bWVudCB3aXRoIEN5dG9Tb3Jiwq4gaW4gYWRkaXRpb24gdG8gc3RhbmRhcmQgY2FyZS4gT3VyIGRhdGEgaW5kaWNhdGUgdGhhdCBDeXRvU29yYsKuIHVzZSBpcyBhc3NvY2lhdGVkIHdpdGggcmVkdWNlZCBpbi1ob3NwaXRhbCBtb3J0YWxpdHksIGV2aWRlbmNlZCBieSBhbiBvZGRzIHJhdGlvIChPUikgb2YgMC42NCBbMC40MjsgMC45N10gYW5kIGEgcC12YWx1ZSBvZiAwLjAzNi4gRm9yIDI44oCTMzAtZGF5IG1vcnRhbGl0eSwgdGhlIGZpbmRpbmdzIHdlcmUgbW9yZSBwcm9ub3VuY2VkIHdpdGggYW4gT1Igb2YgMC40OSBbMC4yODsgMC44M10gYW5kIGEgcC12YWx1ZSBvZiAwLjAwMy4gVGhlIGFuYWx5c2lzIG9mIHRoZSBsb25nZXN0IG9ic2VydmVkIG1vcnRhbGl0eSBzaG93ZWQgYSB0cmVuZCBmb3IgaW1wcm92ZWQgc3Vydml2YWwgd2l0aGluIHRoZSBDeXRvU29yYiBncm91cDsgaG93ZXZlciwgaXQgZGlkIG5vdCByZWFjaCBzdGF0aXN0aWNhbCBzaWduaWZpY2FuY2UuIEFkZGl0aW9uYWxseSwgdGhlcmUgd2FzIGEgc2lnbmlmaWNhbnQgaW1wcm92ZW1lbnQgaW4gaGVtb2R5bmFtaWMgc3RhYmlsaXR5IGFzIGEgc2Vjb25kYXJ5IGVuZHBvaW50LCBhcyBldmlkZW5jZWQgYnkgbm90YWJsZSByZWR1Y3Rpb25zIGluIHZhc29wcmVzc29yIHJlcXVpcmVtZW50cyBpbiB0aGUgaGVtb2Fkc29ycHRpb24gZ3JvdXAuIENvbmNsdXNpb25zOiBUaGUgY3VycmVudCBtZXRhLWFuYWx5c2lzIHN1Z2dlc3RzIHRoYXQgdGhlIHVzZSBvZiBDeXRvU29yYsKuIGFsb25nc2lkZSBzdGFuZGFyZCBvZiBjYXJlIG1hbmFnZW1lbnQgbWF5IGJlIGxpbmtlZCB0byBpbXByb3ZlZCBzaG9ydC10ZXJtIHN1cnZpdmFsIGluIHBhdGllbnRzIHdpdGggc2VwdGljIHNob2NrOyBob3dldmVyLCB0aGVzZSBmaW5kaW5ncyBzaG91bGQgYmUgaW50ZXJwcmV0ZWQgd2l0aCBjYXV0aW9uIGluIGxpZ2h0IG9mIHRoZSBoZXRlcm9nZW5laXR5IGFuZCB0aGUgbW9kZXN0IHF1YWxpdHkgb2YgdGhlIHN0dWRpZXMgaW5jbHVkZWQuIFByb3NwZWN0aXZlIHN0dWRpZXMgYXJlIG5lZWRlZCB0byBiZXR0ZXIgZGV0ZXJtaW5lIHRoZSBpbXBhY3Qgb2YgaGVtb2Fkc29ycHRpb24gb24gc2hvY2sgcmV2ZXJzYWwgYW5kIHN1cnZpdmFsIGluIHRoZXNlIGNyaXRpY2FsbHkgaWxsIHBhdGllbnRzLjwvcD4iLCJpc3N1ZSI6IjciLCJ2b2x1bWUiOiIxNCJ9LCJpc1RlbXBvcmFyeSI6ZmFsc2V9LHsiaWQiOiJiNjdiZWEwYS04ZjZmLTM1NWMtYjk0Ny01NDU0YjljYzM1YzgiLCJpdGVtRGF0YSI6eyJ0eXBlIjoiYXJ0aWNsZS1qb3VybmFsIiwiaWQiOiJiNjdiZWEwYS04ZjZmLTM1NWMtYjk0Ny01NDU0YjljYzM1YzgiLCJ0aXRsZSI6IkV4dHJhY29ycG9yZWFsIGN5dG9raW5lIGVsaW1pbmF0aW9uIGFzIHJlc2N1ZSB0aGVyYXB5IGluIHJlZnJhY3Rvcnkgc2VwdGljIHNob2NrOiBhIHByb3NwZWN0aXZlIHNpbmdsZS1jZW50ZXIgc3R1ZHkiLCJhdXRob3IiOlt7ImZhbWlseSI6IkZyaWVzZWNrZSIsImdpdmVuIjoiU2lncnVuIiwicGFyc2UtbmFtZXMiOmZhbHNlLCJkcm9wcGluZy1wYXJ0aWNsZSI6IiIsIm5vbi1kcm9wcGluZy1wYXJ0aWNsZSI6IiJ9LHsiZmFtaWx5IjoiU3RlY2hlciIsImdpdmVuIjoiU3RlcGhhbmllLVN1c2FubmUiLCJwYXJzZS1uYW1lcyI6ZmFsc2UsImRyb3BwaW5nLXBhcnRpY2xlIjoiIiwibm9uLWRyb3BwaW5nLXBhcnRpY2xlIjoiIn0seyJmYW1pbHkiOiJHcm9zcyIsImdpdmVuIjoiU3RlZmFuIiwicGFyc2UtbmFtZXMiOmZhbHNlLCJkcm9wcGluZy1wYXJ0aWNsZSI6IiIsIm5vbi1kcm9wcGluZy1wYXJ0aWNsZSI6IiJ9LHsiZmFtaWx5IjoiRmVsaXgiLCJnaXZlbiI6IlN0ZXBoYW4gQi4iLCJwYXJzZS1uYW1lcyI6ZmFsc2UsImRyb3BwaW5nLXBhcnRpY2xlIjoiIiwibm9uLWRyb3BwaW5nLXBhcnRpY2xlIjoiIn0seyJmYW1pbHkiOiJOaWVyaGF1cyIsImdpdmVuIjoiQXhlbCIsInBhcnNlLW5hbWVzIjpmYWxzZSwiZHJvcHBpbmctcGFydGljbGUiOiIiLCJub24tZHJvcHBpbmctcGFydGljbGUiOiIifV0sImNvbnRhaW5lci10aXRsZSI6IkpvdXJuYWwgb2YgQXJ0aWZpY2lhbCBPcmdhbnMiLCJET0kiOiIxMC4xMDA3L3MxMDA0Ny0wMTctMDk2Ny00IiwiSVNTTiI6IjE0MzQtNzIyOSIsImlzc3VlZCI6eyJkYXRlLXBhcnRzIjpbWzIwMTcsOSw2XV19LCJwYWdlIjoiMjUyLTI1OSIsImlzc3VlIjoiMyIsInZvbHVtZSI6IjIwIiwiY29udGFpbmVyLXRpdGxlLXNob3J0IjoiIn0sImlzVGVtcG9yYXJ5IjpmYWxzZX0seyJpZCI6ImI1ZWRlM2FmLTgwMWUtMzU4NC1iYzdlLWVhMzhjODgyZjc5MSIsIml0ZW1EYXRhIjp7InR5cGUiOiJhcnRpY2xlLWpvdXJuYWwiLCJpZCI6ImI1ZWRlM2FmLTgwMWUtMzU4NC1iYzdlLWVhMzhjODgyZjc5MSIsInRpdGxlIjoiSGVtYWRzb3JwdGlvbiBhcyByZXNjdWUgdGhlcmFweSBmb3IgcGF0aWVudHMgd2l0aCBtdWx0aXN5c3RlbSBvcmdhbiBmYWlsdXJlIGluIHBlZGlhdHJpYyBpbnRlbnNpdmUgY2FyZeKAlFJlcG9ydCBvZiB0d28gY2FzZXMgcmVwb3J0cyBhbmQgcmV2aWV3IG9mIHRoZSBsaXRlcmF0dXJlIiwiYXV0aG9yIjpbeyJmYW1pbHkiOiJTdGV1cmVyIiwiZ2l2ZW4iOiJMaXNh4oCQTWFyaWEiLCJwYXJzZS1uYW1lcyI6ZmFsc2UsImRyb3BwaW5nLXBhcnRpY2xlIjoiIiwibm9uLWRyb3BwaW5nLXBhcnRpY2xlIjoiIn0seyJmYW1pbHkiOiJTY2hsYWdlciIsImdpdmVuIjoiR2VyYWxkIiwicGFyc2UtbmFtZXMiOmZhbHNlLCJkcm9wcGluZy1wYXJ0aWNsZSI6IiIsIm5vbi1kcm9wcGluZy1wYXJ0aWNsZSI6IiJ9LHsiZmFtaWx5IjoiU2FkZWdoaSIsImdpdmVuIjoiS2FtYmlzIiwicGFyc2UtbmFtZXMiOmZhbHNlLCJkcm9wcGluZy1wYXJ0aWNsZSI6IiIsIm5vbi1kcm9wcGluZy1wYXJ0aWNsZSI6IiJ9LHsiZmFtaWx5IjoiR29sZWoiLCJnaXZlbiI6IkpvaGFubiIsInBhcnNlLW5hbWVzIjpmYWxzZSwiZHJvcHBpbmctcGFydGljbGUiOiIiLCJub24tZHJvcHBpbmctcGFydGljbGUiOiIifSx7ImZhbWlseSI6IldpZWRlbWFubiIsImdpdmVuIjoiRG9taW5payIsInBhcnNlLW5hbWVzIjpmYWxzZSwiZHJvcHBpbmctcGFydGljbGUiOiIiLCJub24tZHJvcHBpbmctcGFydGljbGUiOiIifSx7ImZhbWlseSI6Ikhlcm1vbiIsImdpdmVuIjoiTWljaGFlbCIsInBhcnNlLW5hbWVzIjpmYWxzZSwiZHJvcHBpbmctcGFydGljbGUiOiIiLCJub24tZHJvcHBpbmctcGFydGljbGUiOiIifV0sImNvbnRhaW5lci10aXRsZSI6IkFydGlmaWNpYWwgT3JnYW5zIiwiY29udGFpbmVyLXRpdGxlLXNob3J0IjoiQXJ0aWYgT3JnYW5zIiwiRE9JIjoiMTAuMTExMS9hb3IuMTQwNDciLCJJU1NOIjoiMDE2MC01NjRYIiwiaXNzdWVkIjp7ImRhdGUtcGFydHMiOltbMjAyMSwxMiwxMl1dfSwicGFnZSI6IjE1ODItMTU5MyIsImFic3RyYWN0IjoiPHA+SGVtYWRzb3JwdGlvbiB2aWEgdGhlIGN5dG9raW5l4oCQYWRzb3JiZXIgQ3l0b1NvcmIgKEN5dG9Tb3JiZW50cyBFdXJvcGUsIEJlcmxpbiwgR2VybWFueSkgaGFzIHN1Y2Nlc3NmdWxseSBiZWVuIHVzZWQgYXMgYW4gYWRqdW5jdGl2ZSBtZXRob2QgaW4gYWR1bHRzLCBtYWlubHkgZm9yIHRoZSBwdXJwb3NlIG9mIGltbXVub21vZHVsYXRpb24gdW5kZXIgYWN1dGUgaW5mbGFtbWF0b3J5IGNvbmRpdGlvbnMgc3VjaCBhcyBzZXBzaXMgYW5kIGNhcmRpYWMgc3VyZ2VyeS4gSW4gcmVjZW50IHllYXJzLCB0aGVyZSBoYXMgYmVlbiBncm93aW5nIGludGVyZXN0IGluIGl0cyB1c2UgaW4gcGVkaWF0cmljIGludGVuc2l2ZSBjYXJlIHRvIGltcHJvdmUgb3V0Y29tZXMgaW4gcGF0aWVudHMgd2l0aCBtdWx0aXBsZSBvcmdhbiBmYWlsdXJlIGZvbGxvd2luZyBhbiBpbmZsYW1tYXRvcnkgaWxsbmVzcy4gTGl0ZXJhdHVyZSBvbiB0aGUgYXBwbGljYXRpb24gb2YgQ3l0b1NvcmIgaW4gbmVvbmF0YWwgYW5kIHBlZGlhdHJpYyBwYXRpZW50cyBpcyBzY2FyY2UsIHRob3VnaCB0aGUgaW1wbGljYXRpb24gaXMgdGhhdCBpdCBjb3VsZCBiZSBhbiBlZmZlY3RpdmUgbGFzdOKAkHJlc29ydCB0cmVhdG1lbnQgb3B0aW9uIGluIGNyaXRpY2FsbHkgaWxsIHBlZGlhdHJpYyBwYXRpZW50cy4gSGVyZWluIHdlIHByZXNlbnQgdGhlIGNsaW5pY2FsIGNhc2VzIG9mIHR3byBwZWRpYXRyaWMgcGF0aWVudHMgc3VjY2Vzc2Z1bGx5IHRyZWF0ZWQgd2l0aCBhIGNvbWJpbmF0aW9uIG9mIHRoZSBDeXRvU29yYiBoZW1hZHNvcmJlciwgY29udGludW91cyByZW5hbCByZXBsYWNlbWVudCB0aGVyYXB5LCBhbmQgZXh0cmFjb3Jwb3JlYWwgbWVtYnJhbmUgb3h5Z2VuYXRpb24gZHVlIHRvIG11bHRpcGxlIG9yZ2FuIGZhaWx1cmUgZm9sbG93aW5nIGRpZmZlcmVudCB1bmRlcmx5aW5nIG1lZGljYWwgY29uZGl0aW9ucy4gUGF0aWVudCAxIHdhcyBhIDfigJBtb250aOKAkG9sZCBtYWxlIGNoaWxkIHdpdGggRG93bidzIHN5bmRyb21lIGFkbWl0dGVkIHRvIHRoZSBQZWRpYXRyaWMgSW50ZW5zaXZlIENhcmUgVW5pdCAoUElDVSkgYWZ0ZXIgY29uZ2VuaXRhbCBoZWFydCBzdXJnZXJ5LCB3aG8gZGV2ZWxvcGVkIGFudGltaWNyb2JpYWzigJByZXNpc3RhbnQgc2VwdGljIHNob2NrIGFuZCBzZXZlcmUgYWN1dGUgcmVzcGlyYXRvcnkgZGlzdHJlc3Mgc3luZHJvbWUuIFBhdGllbnQgMiB3YXMgYSAy4oCQeWVhcuKAkG9sZCBtYWxlIGNoaWxkIGFkbWl0dGVkIHRvIHRoZSBQSUNVIHdpdGggaW5mbHVlbnphIEHigJBhc3NvY2lhdGVkIGFjdXRlIGxpdmVyIGZhaWx1cmUgcmVzdWx0aW5nIGluIGh5cGVyYW1tb25lbWlhLCBsYWN0YXRlIGFjaWRvc2lzLCBoZW1vZHluYW1pYyBpbnN0YWJpbGl0eSwgYW5kIGFjdXRlIGtpZG5leSBmYWlsdXJlLiBJbiBib3RoIHBhdGllbnRzLCBoZW1hZHNvcnB0aW9uIHdpdGggQ3l0b1NvcmIgd2FzIGluaXRpYXRlZCBhcyBhbiBhZGp1bmN0aXZlIHJlc2N1ZSB0aGVyYXB5IHRvIHRyZWF0IHJlZnJhY3RvcnkgbXVsdGlzeXN0ZW0gb3JnYW4gZmFpbHVyZS4gSW1wcm92ZW1lbnQgb2YgbGFib3JhdG9yeSBhbmQgY2xpbmljYWwgcGFyYW1ldGVycyB3YXMgb2JzZXJ2ZWQgd2l0aGluIGhvdXJzIG9mIHRyZWF0bWVudCBpbml0aWF0aW9uLiBUaGUgYXBwbGljYXRpb24gb2YgdGhlIGhlbWFkc29yYmVy4oCUZGV2ZWxvcGVkIGZvciB1c2UgaW4gYWR1bHRz4oCUcHJvdmVkIHNpbXBsZSBhbmQgc2FmZSBmb3IgdXNlIGluIGJvdGggb2Ygb3VyIGxvd+KAkHdlaWdodCBwZWRpYXRyaWMgcGF0aWVudHMuPC9wPiIsImlzc3VlIjoiMTIiLCJ2b2x1bWUiOiI0NSJ9LCJpc1RlbXBvcmFyeSI6ZmFsc2V9XX0=&quot;,&quot;citationItems&quot;:[{&quot;id&quot;:&quot;fc7f3a07-11fd-3dc0-b378-d02633b16029&quot;,&quot;itemData&quot;:{&quot;type&quot;:&quot;article-journal&quot;,&quot;id&quot;:&quot;fc7f3a07-11fd-3dc0-b378-d02633b16029&quot;,&quot;title&quot;:&quot;Hemoadsorption in the Management of Septic Shock: A Systematic Review and Meta-Analysis&quot;,&quot;author&quot;:[{&quot;family&quot;:&quot;Steindl&quot;,&quot;given&quot;:&quot;David&quot;,&quot;parse-names&quot;:false,&quot;dropping-particle&quot;:&quot;&quot;,&quot;non-dropping-particle&quot;:&quot;&quot;},{&quot;family&quot;:&quot;Schroeder&quot;,&quot;given&quot;:&quot;Tim&quot;,&quot;parse-names&quot;:false,&quot;dropping-particle&quot;:&quot;&quot;,&quot;non-dropping-particle&quot;:&quot;&quot;},{&quot;family&quot;:&quot;Krannich&quot;,&quot;given&quot;:&quot;Alexander&quot;,&quot;parse-names&quot;:false,&quot;dropping-particle&quot;:&quot;&quot;,&quot;non-dropping-particle&quot;:&quot;&quot;},{&quot;family&quot;:&quot;Nee&quot;,&quot;given&quot;:&quot;Jens&quot;,&quot;parse-names&quot;:false,&quot;dropping-particle&quot;:&quot;&quot;,&quot;non-dropping-particle&quot;:&quot;&quot;}],&quot;container-title&quot;:&quot;Journal of Clinical Medicine&quot;,&quot;container-title-short&quot;:&quot;J Clin Med&quot;,&quot;DOI&quot;:&quot;10.3390/jcm14072285&quot;,&quot;ISSN&quot;:&quot;2077-0383&quot;,&quot;URL&quot;:&quot;https://www.mdpi.com/2077-0383/14/7/2285&quot;,&quot;issued&quot;:{&quot;date-parts&quot;:[[2025,3,27]]},&quot;page&quot;:&quot;2285&quot;,&quot;abstract&quot;:&quot;&lt;p&gt;Background/Objectives: Septic shock remains a significant clinical challenge with consistently high mortality rates. Recent investigations have focused on the efficacy of CytoSorb® (CytoSorbents Corporation, Monmouth Junction, NJ, USA), an extracorporeal cytokine adsorber, and how it impacts outcomes in sepsis. The current meta-analysis reports on the impact of CytoSorb® on survival, specifically in septic shock patients. Methods: We conducted a comprehensive systematic search across the PubMed and COCHRANE databases for studies published up to 10 June 2024. The analysis prioritized randomized controlled trials and observational studies with control groups involving septic shock patients while excluding case reports and case series. Nine studies were finally included in our meta-analysis following the initial screening of 115 articles after excluding duplicates and irrelevant entries. Results: The meta-analysis was performed on 744 critically ill patients with septic shock from one RCT and eight observational studies. Of these, 449 patients received treatment with CytoSorb® in addition to standard care. Our data indicate that CytoSorb® use is associated with reduced in-hospital mortality, evidenced by an odds ratio (OR) of 0.64 [0.42; 0.97] and a p-value of 0.036. For 28–30-day mortality, the findings were more pronounced with an OR of 0.49 [0.28; 0.83] and a p-value of 0.003. The analysis of the longest observed mortality showed a trend for improved survival within the CytoSorb group; however, it did not reach statistical significance. Additionally, there was a significant improvement in hemodynamic stability as a secondary endpoint, as evidenced by notable reductions in vasopressor requirements in the hemoadsorption group. Conclusions: The current meta-analysis suggests that the use of CytoSorb® alongside standard of care management may be linked to improved short-term survival in patients with septic shock; however, these findings should be interpreted with caution in light of the heterogeneity and the modest quality of the studies included. Prospective studies are needed to better determine the impact of hemoadsorption on shock reversal and survival in these critically ill patients.&lt;/p&gt;&quot;,&quot;issue&quot;:&quot;7&quot;,&quot;volume&quot;:&quot;14&quot;},&quot;isTemporary&quot;:false},{&quot;id&quot;:&quot;b67bea0a-8f6f-355c-b947-5454b9cc35c8&quot;,&quot;itemData&quot;:{&quot;type&quot;:&quot;article-journal&quot;,&quot;id&quot;:&quot;b67bea0a-8f6f-355c-b947-5454b9cc35c8&quot;,&quot;title&quot;:&quot;Extracorporeal cytokine elimination as rescue therapy in refractory septic shock: a prospective single-center study&quot;,&quot;author&quot;:[{&quot;family&quot;:&quot;Friesecke&quot;,&quot;given&quot;:&quot;Sigrun&quot;,&quot;parse-names&quot;:false,&quot;dropping-particle&quot;:&quot;&quot;,&quot;non-dropping-particle&quot;:&quot;&quot;},{&quot;family&quot;:&quot;Stecher&quot;,&quot;given&quot;:&quot;Stephanie-Susanne&quot;,&quot;parse-names&quot;:false,&quot;dropping-particle&quot;:&quot;&quot;,&quot;non-dropping-particle&quot;:&quot;&quot;},{&quot;family&quot;:&quot;Gross&quot;,&quot;given&quot;:&quot;Stefan&quot;,&quot;parse-names&quot;:false,&quot;dropping-particle&quot;:&quot;&quot;,&quot;non-dropping-particle&quot;:&quot;&quot;},{&quot;family&quot;:&quot;Felix&quot;,&quot;given&quot;:&quot;Stephan B.&quot;,&quot;parse-names&quot;:false,&quot;dropping-particle&quot;:&quot;&quot;,&quot;non-dropping-particle&quot;:&quot;&quot;},{&quot;family&quot;:&quot;Nierhaus&quot;,&quot;given&quot;:&quot;Axel&quot;,&quot;parse-names&quot;:false,&quot;dropping-particle&quot;:&quot;&quot;,&quot;non-dropping-particle&quot;:&quot;&quot;}],&quot;container-title&quot;:&quot;Journal of Artificial Organs&quot;,&quot;DOI&quot;:&quot;10.1007/s10047-017-0967-4&quot;,&quot;ISSN&quot;:&quot;1434-7229&quot;,&quot;issued&quot;:{&quot;date-parts&quot;:[[2017,9,6]]},&quot;page&quot;:&quot;252-259&quot;,&quot;issue&quot;:&quot;3&quot;,&quot;volume&quot;:&quot;20&quot;,&quot;container-title-short&quot;:&quot;&quot;},&quot;isTemporary&quot;:false},{&quot;id&quot;:&quot;b5ede3af-801e-3584-bc7e-ea38c882f791&quot;,&quot;itemData&quot;:{&quot;type&quot;:&quot;article-journal&quot;,&quot;id&quot;:&quot;b5ede3af-801e-3584-bc7e-ea38c882f791&quot;,&quot;title&quot;:&quot;Hemadsorption as rescue therapy for patients with multisystem organ failure in pediatric intensive care—Report of two cases reports and review of the literature&quot;,&quot;author&quot;:[{&quot;family&quot;:&quot;Steurer&quot;,&quot;given&quot;:&quot;Lisa‐Maria&quot;,&quot;parse-names&quot;:false,&quot;dropping-particle&quot;:&quot;&quot;,&quot;non-dropping-particle&quot;:&quot;&quot;},{&quot;family&quot;:&quot;Schlager&quot;,&quot;given&quot;:&quot;Gerald&quot;,&quot;parse-names&quot;:false,&quot;dropping-particle&quot;:&quot;&quot;,&quot;non-dropping-particle&quot;:&quot;&quot;},{&quot;family&quot;:&quot;Sadeghi&quot;,&quot;given&quot;:&quot;Kambis&quot;,&quot;parse-names&quot;:false,&quot;dropping-particle&quot;:&quot;&quot;,&quot;non-dropping-particle&quot;:&quot;&quot;},{&quot;family&quot;:&quot;Golej&quot;,&quot;given&quot;:&quot;Johann&quot;,&quot;parse-names&quot;:false,&quot;dropping-particle&quot;:&quot;&quot;,&quot;non-dropping-particle&quot;:&quot;&quot;},{&quot;family&quot;:&quot;Wiedemann&quot;,&quot;given&quot;:&quot;Dominik&quot;,&quot;parse-names&quot;:false,&quot;dropping-particle&quot;:&quot;&quot;,&quot;non-dropping-particle&quot;:&quot;&quot;},{&quot;family&quot;:&quot;Hermon&quot;,&quot;given&quot;:&quot;Michael&quot;,&quot;parse-names&quot;:false,&quot;dropping-particle&quot;:&quot;&quot;,&quot;non-dropping-particle&quot;:&quot;&quot;}],&quot;container-title&quot;:&quot;Artificial Organs&quot;,&quot;container-title-short&quot;:&quot;Artif Organs&quot;,&quot;DOI&quot;:&quot;10.1111/aor.14047&quot;,&quot;ISSN&quot;:&quot;0160-564X&quot;,&quot;issued&quot;:{&quot;date-parts&quot;:[[2021,12,12]]},&quot;page&quot;:&quot;1582-1593&quot;,&quot;abstract&quot;:&quot;&lt;p&gt;Hemadsorption via the cytokine‐adsorber CytoSorb (CytoSorbents Europe, Berlin, Germany) has successfully been used as an adjunctive method in adults, mainly for the purpose of immunomodulation under acute inflammatory conditions such as sepsis and cardiac surgery. In recent years, there has been growing interest in its use in pediatric intensive care to improve outcomes in patients with multiple organ failure following an inflammatory illness. Literature on the application of CytoSorb in neonatal and pediatric patients is scarce, though the implication is that it could be an effective last‐resort treatment option in critically ill pediatric patients. Herein we present the clinical cases of two pediatric patients successfully treated with a combination of the CytoSorb hemadsorber, continuous renal replacement therapy, and extracorporeal membrane oxygenation due to multiple organ failure following different underlying medical conditions. Patient 1 was a 7‐month‐old male child with Down's syndrome admitted to the Pediatric Intensive Care Unit (PICU) after congenital heart surgery, who developed antimicrobial‐resistant septic shock and severe acute respiratory distress syndrome. Patient 2 was a 2‐year‐old male child admitted to the PICU with influenza A‐associated acute liver failure resulting in hyperammonemia, lactate acidosis, hemodynamic instability, and acute kidney failure. In both patients, hemadsorption with CytoSorb was initiated as an adjunctive rescue therapy to treat refractory multisystem organ failure. Improvement of laboratory and clinical parameters was observed within hours of treatment initiation. The application of the hemadsorber—developed for use in adults—proved simple and safe for use in both of our low‐weight pediatric patients.&lt;/p&gt;&quot;,&quot;issue&quot;:&quot;12&quot;,&quot;volume&quot;:&quot;45&quot;},&quot;isTemporary&quot;:false}]},{&quot;citationID&quot;:&quot;MENDELEY_CITATION_4d78a1a0-cea1-4947-b48c-561e7b8b014a&quot;,&quot;properties&quot;:{&quot;noteIndex&quot;:0},&quot;isEdited&quot;:false,&quot;manualOverride&quot;:{&quot;isManuallyOverridden&quot;:false,&quot;citeprocText&quot;:&quot;(11)&quot;,&quot;manualOverrideText&quot;:&quot;&quot;},&quot;citationTag&quot;:&quot;MENDELEY_CITATION_v3_eyJjaXRhdGlvbklEIjoiTUVOREVMRVlfQ0lUQVRJT05fNGQ3OGExYTAtY2VhMS00OTQ3LWI0OGMtNTYxZTdiOGIwMTRhIiwicHJvcGVydGllcyI6eyJub3RlSW5kZXgiOjB9LCJpc0VkaXRlZCI6ZmFsc2UsIm1hbnVhbE92ZXJyaWRlIjp7ImlzTWFudWFsbHlPdmVycmlkZGVuIjpmYWxzZSwiY2l0ZXByb2NUZXh0IjoiKDExKSIsIm1hbnVhbE92ZXJyaWRlVGV4dCI6IiJ9LCJjaXRhdGlvbkl0ZW1zIjpbeyJpZCI6ImFiMzVlNzVmLWM1Y2QtMzY2YS04ODdmLWIwMDgxNGFlNzE5NCIsIml0ZW1EYXRhIjp7InR5cGUiOiJhcnRpY2xlLWpvdXJuYWwiLCJpZCI6ImFiMzVlNzVmLWM1Y2QtMzY2YS04ODdmLWIwMDgxNGFlNzE5NCIsInRpdGxlIjoiQnJvYWQgYWRzb3JwdGlvbiBvZiBzZXBzaXMtcmVsYXRlZCBQQU1QIGFuZCBEQU1QIG1vbGVjdWxlcywgbXljb3RveGlucywgYW5kIGN5dG9raW5lcyBmcm9tIHdob2xlIGJsb29kIHVzaW5nIEN5dG9Tb3Jiwq4gc29yYmVudCBwb3JvdXMgcG9seW1lciBiZWFkcyIsImF1dGhvciI6W3siZmFtaWx5IjoiR3J1ZGEiLCJnaXZlbiI6Ik1hcnlhbm4gQy4iLCJwYXJzZS1uYW1lcyI6ZmFsc2UsImRyb3BwaW5nLXBhcnRpY2xlIjoiIiwibm9uLWRyb3BwaW5nLXBhcnRpY2xlIjoiIn0seyJmYW1pbHkiOiJSdWdnZWJlcmciLCJnaXZlbiI6IkthcmwtR3VzdGF2IiwicGFyc2UtbmFtZXMiOmZhbHNlLCJkcm9wcGluZy1wYXJ0aWNsZSI6IiIsIm5vbi1kcm9wcGluZy1wYXJ0aWNsZSI6IiJ9LHsiZmFtaWx5IjoiT+KAmVN1bGxpdmFuIiwiZ2l2ZW4iOiJQYW1lbGEiLCJwYXJzZS1uYW1lcyI6ZmFsc2UsImRyb3BwaW5nLXBhcnRpY2xlIjoiIiwibm9uLWRyb3BwaW5nLXBhcnRpY2xlIjoiIn0seyJmYW1pbHkiOiJHdWxpYXNodmlsaSIsImdpdmVuIjoiVGFtYXoiLCJwYXJzZS1uYW1lcyI6ZmFsc2UsImRyb3BwaW5nLXBhcnRpY2xlIjoiIiwibm9uLWRyb3BwaW5nLXBhcnRpY2xlIjoiIn0seyJmYW1pbHkiOiJTY2hlaXJlciIsImdpdmVuIjoiQW5kcmV3IFIuIiwicGFyc2UtbmFtZXMiOmZhbHNlLCJkcm9wcGluZy1wYXJ0aWNsZSI6IiIsIm5vbi1kcm9wcGluZy1wYXJ0aWNsZSI6IiJ9LHsiZmFtaWx5IjoiR29sb2Jpc2giLCJnaXZlbiI6IlRob21hcyBELiIsInBhcnNlLW5hbWVzIjpmYWxzZSwiZHJvcHBpbmctcGFydGljbGUiOiIiLCJub24tZHJvcHBpbmctcGFydGljbGUiOiIifSx7ImZhbWlseSI6IkNhcHBvbmkiLCJnaXZlbiI6IlZpbmNlbnQgSi4iLCJwYXJzZS1uYW1lcyI6ZmFsc2UsImRyb3BwaW5nLXBhcnRpY2xlIjoiIiwibm9uLWRyb3BwaW5nLXBhcnRpY2xlIjoiIn0seyJmYW1pbHkiOiJDaGFuIiwiZ2l2ZW4iOiJQaGlsbGlwIFAuIiwicGFyc2UtbmFtZXMiOmZhbHNlLCJkcm9wcGluZy1wYXJ0aWNsZSI6IiIsIm5vbi1kcm9wcGluZy1wYXJ0aWNsZSI6IiJ9XSwiY29udGFpbmVyLXRpdGxlIjoiUExPUyBPTkUiLCJjb250YWluZXItdGl0bGUtc2hvcnQiOiJQTG9TIE9uZSIsIkRPSSI6IjEwLjEzNzEvam91cm5hbC5wb25lLjAxOTE2NzYiLCJJU1NOIjoiMTkzMi02MjAzIiwiaXNzdWVkIjp7ImRhdGUtcGFydHMiOltbMjAxOCwxLDI1XV19LCJwYWdlIjoiZTAxOTE2NzYiLCJpc3N1ZSI6IjEiLCJ2b2x1bWUiOiIxMyJ9LCJpc1RlbXBvcmFyeSI6ZmFsc2V9XX0=&quot;,&quot;citationItems&quot;:[{&quot;id&quot;:&quot;ab35e75f-c5cd-366a-887f-b00814ae7194&quot;,&quot;itemData&quot;:{&quot;type&quot;:&quot;article-journal&quot;,&quot;id&quot;:&quot;ab35e75f-c5cd-366a-887f-b00814ae7194&quot;,&quot;title&quot;:&quot;Broad adsorption of sepsis-related PAMP and DAMP molecules, mycotoxins, and cytokines from whole blood using CytoSorb® sorbent porous polymer beads&quot;,&quot;author&quot;:[{&quot;family&quot;:&quot;Gruda&quot;,&quot;given&quot;:&quot;Maryann C.&quot;,&quot;parse-names&quot;:false,&quot;dropping-particle&quot;:&quot;&quot;,&quot;non-dropping-particle&quot;:&quot;&quot;},{&quot;family&quot;:&quot;Ruggeberg&quot;,&quot;given&quot;:&quot;Karl-Gustav&quot;,&quot;parse-names&quot;:false,&quot;dropping-particle&quot;:&quot;&quot;,&quot;non-dropping-particle&quot;:&quot;&quot;},{&quot;family&quot;:&quot;O’Sullivan&quot;,&quot;given&quot;:&quot;Pamela&quot;,&quot;parse-names&quot;:false,&quot;dropping-particle&quot;:&quot;&quot;,&quot;non-dropping-particle&quot;:&quot;&quot;},{&quot;family&quot;:&quot;Guliashvili&quot;,&quot;given&quot;:&quot;Tamaz&quot;,&quot;parse-names&quot;:false,&quot;dropping-particle&quot;:&quot;&quot;,&quot;non-dropping-particle&quot;:&quot;&quot;},{&quot;family&quot;:&quot;Scheirer&quot;,&quot;given&quot;:&quot;Andrew R.&quot;,&quot;parse-names&quot;:false,&quot;dropping-particle&quot;:&quot;&quot;,&quot;non-dropping-particle&quot;:&quot;&quot;},{&quot;family&quot;:&quot;Golobish&quot;,&quot;given&quot;:&quot;Thomas D.&quot;,&quot;parse-names&quot;:false,&quot;dropping-particle&quot;:&quot;&quot;,&quot;non-dropping-particle&quot;:&quot;&quot;},{&quot;family&quot;:&quot;Capponi&quot;,&quot;given&quot;:&quot;Vincent J.&quot;,&quot;parse-names&quot;:false,&quot;dropping-particle&quot;:&quot;&quot;,&quot;non-dropping-particle&quot;:&quot;&quot;},{&quot;family&quot;:&quot;Chan&quot;,&quot;given&quot;:&quot;Phillip P.&quot;,&quot;parse-names&quot;:false,&quot;dropping-particle&quot;:&quot;&quot;,&quot;non-dropping-particle&quot;:&quot;&quot;}],&quot;container-title&quot;:&quot;PLOS ONE&quot;,&quot;container-title-short&quot;:&quot;PLoS One&quot;,&quot;DOI&quot;:&quot;10.1371/journal.pone.0191676&quot;,&quot;ISSN&quot;:&quot;1932-6203&quot;,&quot;issued&quot;:{&quot;date-parts&quot;:[[2018,1,25]]},&quot;page&quot;:&quot;e0191676&quot;,&quot;issue&quot;:&quot;1&quot;,&quot;volume&quot;:&quot;13&quot;},&quot;isTemporary&quot;:false}]},{&quot;citationID&quot;:&quot;MENDELEY_CITATION_8cce4bc8-bd56-4579-8deb-1df690c67ef7&quot;,&quot;properties&quot;:{&quot;noteIndex&quot;:0},&quot;isEdited&quot;:false,&quot;manualOverride&quot;:{&quot;isManuallyOverridden&quot;:false,&quot;citeprocText&quot;:&quot;(12)&quot;,&quot;manualOverrideText&quot;:&quot;&quot;},&quot;citationTag&quot;:&quot;MENDELEY_CITATION_v3_eyJjaXRhdGlvbklEIjoiTUVOREVMRVlfQ0lUQVRJT05fOGNjZTRiYzgtYmQ1Ni00NTc5LThkZWItMWRmNjkwYzY3ZWY3IiwicHJvcGVydGllcyI6eyJub3RlSW5kZXgiOjB9LCJpc0VkaXRlZCI6ZmFsc2UsIm1hbnVhbE92ZXJyaWRlIjp7ImlzTWFudWFsbHlPdmVycmlkZGVuIjpmYWxzZSwiY2l0ZXByb2NUZXh0IjoiKDEyKSIsIm1hbnVhbE92ZXJyaWRlVGV4dCI6IiJ9LCJjaXRhdGlvbkl0ZW1zIjpbeyJpZCI6IjkzZTI3Mzc3LTA4ZjMtMzE2Yy1hYmYwLWQzYzVkNGNjMjIyOCIsIml0ZW1EYXRhIjp7InR5cGUiOiJhcnRpY2xlLWpvdXJuYWwiLCJpZCI6IjkzZTI3Mzc3LTA4ZjMtMzE2Yy1hYmYwLWQzYzVkNGNjMjIyOCIsInRpdGxlIjoiSW1wcm92ZWQgU3Vydml2YWwgYmV5b25kIDI4IERheXMgdXAgdG8gMSBZZWFyIGFmdGVyIEN5dG9Tb3JiIFRyZWF0bWVudCBmb3IgUmVmcmFjdG9yeSBTZXB0aWMgU2hvY2s6IEEgUHJvcGVuc2l0eS1XZWlnaHRlZCBSZXRyb3NwZWN0aXZlIFN1cnZpdmFsIEFuYWx5c2lzIiwiYXV0aG9yIjpbeyJmYW1pbHkiOiJCcm91d2VyIiwiZ2l2ZW4iOiJXaWxsZW0gUC4iLCJwYXJzZS1uYW1lcyI6ZmFsc2UsImRyb3BwaW5nLXBhcnRpY2xlIjoiIiwibm9uLWRyb3BwaW5nLXBhcnRpY2xlIjoiIn0seyJmYW1pbHkiOiJEdXJhbiIsImdpdmVuIjoiU2VydmV0IiwicGFyc2UtbmFtZXMiOmZhbHNlLCJkcm9wcGluZy1wYXJ0aWNsZSI6IiIsIm5vbi1kcm9wcGluZy1wYXJ0aWNsZSI6IiJ9LHsiZmFtaWx5IjoiSW5jZSIsImdpdmVuIjoiQ2FuIiwicGFyc2UtbmFtZXMiOmZhbHNlLCJkcm9wcGluZy1wYXJ0aWNsZSI6IiIsIm5vbi1kcm9wcGluZy1wYXJ0aWNsZSI6IiJ9XSwiY29udGFpbmVyLXRpdGxlIjoiQmxvb2QgUHVyaWZpY2F0aW9uIiwiY29udGFpbmVyLXRpdGxlLXNob3J0IjoiQmxvb2QgUHVyaWYiLCJET0kiOiIxMC4xMTU5LzAwMDUxMjMwOSIsIklTU04iOiIwMjUzLTUwNjgiLCJpc3N1ZWQiOnsiZGF0ZS1wYXJ0cyI6W1syMDIxXV19LCJwYWdlIjoiNTM5LTU0NSIsImFic3RyYWN0IjoiPHA+Jmx0O2ImZ3Q7Jmx0O2kmZ3Q7QmFja2dyb3VuZCBhbmQgQWltczombHQ7L2kmZ3Q7Jmx0Oy9iJmd0OyBJdCBpcyBjdXJyZW50bHkgdW5rbm93biB3aGV0aGVyIEN5dG9Tb3JiIHRyZWF0bWVudCBmb3Igc2VwdGljIHNob2NrIGltcHJvdmVzIGxvbmctdGVybSBzdXJ2aXZhbCBiZXlvbmQgMjggZGF5cyBmcm9tIGludGVuc2l2ZSBjYXJlIHVuaXQgKElDVSkgYWRtaXNzaW9uIGFuZCB3aGljaCBmYWN0b3JzIGRldGVybWluZSBvdXRjb21lLiAmbHQ7YiZndDsmbHQ7aSZndDtNZXRob2RzOiZsdDsvaSZndDsmbHQ7L2ImZ3Q7IFRoaXMgd2FzIGEgbG9uZy10ZXJtIGZvbGxvdy11cCByZXRyb3NwZWN0aXZlIGFuYWx5c2lzIG9mIHBhdGllbnRzIHdpdGggc2VwdGljIHNob2NrIHdobyB3ZXJlIHRyZWF0ZWQgd2l0aCBjb250aW51b3VzIHJlbmFsIHJlcGxhY2VtZW50IHRoZXJhcHkgKENSUlQpICsgQ3l0b1NvcmIgKCZsdDtpJmd0O24mbHQ7L2kmZ3Q7ID0gNjcpIG9yIENSUlQgYWxvbmUgKCZsdDtpJmd0O24mbHQ7L2kmZ3Q7ID0gNDkpLiBUaGVzZSBwYXRpZW50cyB3ZXJlIHByZXZpb3VzbHkgYW5hbHl6ZWQgZm9yIDI4LWRheSBtb3J0YWxpdHkuIFRoZSBwcmltYXJ5IG91dGNvbWUgd2FzIHRoZSB0aW1lIHRvIGxvbmctdGVybSBhbGwtY2F1c2UgbW9ydGFsaXR5LiBGYWN0b3JzIGFzc29jaWF0ZWQgd2l0aCB0aW1lIHRvIGV2ZW50IHdlcmUgYW5hbHl6ZWQgYm90aCB3ZWlnaHRlZCBieSBzdGFiaWxpemVkIGludmVyc2UgcHJvYmFiaWxpdHkgb2YgdHJlYXRtZW50IHdlaWdodHMgKHNJUFRXKSBhcyB3ZWxsIGFzIHVud2VpZ2h0ZWQgc3RyYXRpZmllZCBieSB0aGVyYXB5IHJlY2VpdmVkLiAmbHQ7YiZndDsmbHQ7aSZndDtSZXN1bHRzOiZsdDsvaSZndDsmbHQ7L2ImZ3Q7IFRoZSBtZWRpYW4gZm9sbG93LXVwIGZvciB0aGUgdG90YWwgY29ob3J0IHdhcyAzMCBkYXlzIChpbnRlcnF1YXJ0aWxlIHJhbmdlIFtJUVJdOiA14oCTMzM0LCBtYXhpbXVtIDEsMDU5IGRheXMpIGFmdGVyIElDVSBhZG1pc3Npb24gYW5kIDMzMyBkYXlzIChJUVI6IDE3MOKAkzU4MykgZm9yIHRob3NlIHdobyBzdXJ2aXZlZCBiZXlvbmQgMjggZGF5cyAoJmx0O2kmZ3Q7biZsdDsvaSZndDsgPSA1OSkuIFN1cnZpdmFsIGJleW9uZCAyOCBkYXlzIHdhcyBzdXN0YWluZWQgdXAgdG8gMSB5ZWFyIGFmdGVyIElDVSBhZG1pc3Npb24gZm9yIGJvdGggdHJlYXRtZW50IHJlZ2ltZW5zOiA4MCUgKHN0YW5kYXJkIGVycm9yIFtTRV0gNyUpIHZzLiA4NyUgKFNFIDclKSwgZm9yIEN5dG9Tb3JiIHZzLiBDUlJULCByZXNwZWN0aXZlbHksICZsdDtpJmd0O3AmbHQ7L2kmZ3Q7ID0gMC44NTMuIEJ5IHNJUFRXLCBDeXRvU29yYiB3YXMgc2lnbmlmaWNhbnRseSBhc3NvY2lhdGVkIHdpdGggbG9uZy10ZXJtIG91dGNvbWUgY29tcGFyZWQgdG8gQ1JSVCAoYWRqdXN0ZWQgaGF6YXJkIHJhdGlvIFthSFJdIDAuNTksIDk1JSBjb25maWRlbmNlIGludGVydmFsIFtDSV0gMC4zN+KAkzAuOTMsICZsdDtpJmd0O3AmbHQ7L2kmZ3Q7ID0gMC4wMjUpLiBJbmRlcGVuZGVudCBmYWN0b3JzIGFzc29jaWF0ZWQgd2l0aCBsb25nLXRlcm0gb3V0Y29tZSBpbiBDeXRvU29yYi10cmVhdGVkIHBhdGllbnRzIHdlcmUgYmFzZWxpbmUgbG9nJmx0O3N1YiZndDsxMCZsdDsvc3ViJmd0OyBsYWN0YXRlIGxldmVscyAoYUhSIDUuMSwgJmx0O2kmZ3Q7cCZsdDsvaSZndDsgPSAwLjAwMiksIGFnZSBpbiB0aGUgcHJlc2VuY2Ugb2YgY29tb3JiaWRpdHkgKGFIUiAyLjYwLCAmbHQ7aSZndDtwJmx0Oy9pJmd0OyA9IDAuMDEzKSwgYW5kIHByZXNlbmNlIG9mIGFiZG9taW5hbCBzZXBzaXMgKGFIUiAwLjM0LCAmbHQ7aSZndDtwJmx0Oy9pJmd0OyA9IDAuMDA0KS4gQSBsYWN0YXRlIGxldmVsIGFib3ZlIDYuMCBtbW9sL0wgYXQgdGhlIHN0YXJ0IG9mIEN5dG9Tb3JiIHRoZXJhcHkgaGFkIGEgcG9zaXRpdmUgcHJlZGljdGl2ZSB2YWx1ZSBvZiA3OSUgZm9yIG1vcnRhbGl0eSAoJmx0O2kmZ3Q7cCZsdDsvaSZndDsgPSAwLjAxMykuICZsdDtiJmd0OyZsdDtpJmd0O0NvbmNsdXNpb25zOiZsdDsvaSZndDsmbHQ7L2ImZ3Q7IFN1cnZpdmFsIGlzIGFjaGlldmVkIHdpdGggQ3l0b1NvcmIgYW5kIENSUlQgZm9yIHBhdGllbnRzIHdpdGggc2VwdGljIHNob2NrIGJleW9uZCAyOCBkYXlzIGZyb20gSUNVIGFkbWlzc2lvbiBhbmQgbWF5IGJlIGltcHJvdmVkIGZvciBDeXRvU29yYiB0cmVhdG1lbnQuIExhY3RhdGUgbGV2ZWxzIGFib3ZlIDYuMCBtbW9sL0wgYXQgdGhlIHN0YXJ0IG9mIEN5dG9Tb3JiIHRoZXJhcHkgYXJlIHByZWRpY3RpdmUgb2Ygd29yc2Ugb3V0Y29tZSB3aXRoIGhpZ2ggc3BlY2lmaWNpdHkgYW5kIHBvc2l0aXZlIHByZWRpY3RpdmUgdmFsdWUuPC9wPiIsImlzc3VlIjoiNC01Iiwidm9sdW1lIjoiNTAifSwiaXNUZW1wb3JhcnkiOmZhbHNlfV19&quot;,&quot;citationItems&quot;:[{&quot;id&quot;:&quot;93e27377-08f3-316c-abf0-d3c5d4cc2228&quot;,&quot;itemData&quot;:{&quot;type&quot;:&quot;article-journal&quot;,&quot;id&quot;:&quot;93e27377-08f3-316c-abf0-d3c5d4cc2228&quot;,&quot;title&quot;:&quot;Improved Survival beyond 28 Days up to 1 Year after CytoSorb Treatment for Refractory Septic Shock: A Propensity-Weighted Retrospective Survival Analysis&quot;,&quot;author&quot;:[{&quot;family&quot;:&quot;Brouwer&quot;,&quot;given&quot;:&quot;Willem P.&quot;,&quot;parse-names&quot;:false,&quot;dropping-particle&quot;:&quot;&quot;,&quot;non-dropping-particle&quot;:&quot;&quot;},{&quot;family&quot;:&quot;Duran&quot;,&quot;given&quot;:&quot;Servet&quot;,&quot;parse-names&quot;:false,&quot;dropping-particle&quot;:&quot;&quot;,&quot;non-dropping-particle&quot;:&quot;&quot;},{&quot;family&quot;:&quot;Ince&quot;,&quot;given&quot;:&quot;Can&quot;,&quot;parse-names&quot;:false,&quot;dropping-particle&quot;:&quot;&quot;,&quot;non-dropping-particle&quot;:&quot;&quot;}],&quot;container-title&quot;:&quot;Blood Purification&quot;,&quot;container-title-short&quot;:&quot;Blood Purif&quot;,&quot;DOI&quot;:&quot;10.1159/000512309&quot;,&quot;ISSN&quot;:&quot;0253-5068&quot;,&quot;issued&quot;:{&quot;date-parts&quot;:[[2021]]},&quot;page&quot;:&quot;539-545&quot;,&quot;abstract&quot;:&quot;&lt;p&gt;&amp;lt;b&amp;gt;&amp;lt;i&amp;gt;Background and Aims:&amp;lt;/i&amp;gt;&amp;lt;/b&amp;gt; It is currently unknown whether CytoSorb treatment for septic shock improves long-term survival beyond 28 days from intensive care unit (ICU) admission and which factors determine outcome. &amp;lt;b&amp;gt;&amp;lt;i&amp;gt;Methods:&amp;lt;/i&amp;gt;&amp;lt;/b&amp;gt; This was a long-term follow-up retrospective analysis of patients with septic shock who were treated with continuous renal replacement therapy (CRRT) + CytoSorb (&amp;lt;i&amp;gt;n&amp;lt;/i&amp;gt; = 67) or CRRT alone (&amp;lt;i&amp;gt;n&amp;lt;/i&amp;gt; = 49). These patients were previously analyzed for 28-day mortality. The primary outcome was the time to long-term all-cause mortality. Factors associated with time to event were analyzed both weighted by stabilized inverse probability of treatment weights (sIPTW) as well as unweighted stratified by therapy received. &amp;lt;b&amp;gt;&amp;lt;i&amp;gt;Results:&amp;lt;/i&amp;gt;&amp;lt;/b&amp;gt; The median follow-up for the total cohort was 30 days (interquartile range [IQR]: 5–334, maximum 1,059 days) after ICU admission and 333 days (IQR: 170–583) for those who survived beyond 28 days (&amp;lt;i&amp;gt;n&amp;lt;/i&amp;gt; = 59). Survival beyond 28 days was sustained up to 1 year after ICU admission for both treatment regimens: 80% (standard error [SE] 7%) vs. 87% (SE 7%), for CytoSorb vs. CRRT, respectively, &amp;lt;i&amp;gt;p&amp;lt;/i&amp;gt; = 0.853. By sIPTW, CytoSorb was significantly associated with long-term outcome compared to CRRT (adjusted hazard ratio [aHR] 0.59, 95% confidence interval [CI] 0.37–0.93, &amp;lt;i&amp;gt;p&amp;lt;/i&amp;gt; = 0.025). Independent factors associated with long-term outcome in CytoSorb-treated patients were baseline log&amp;lt;sub&amp;gt;10&amp;lt;/sub&amp;gt; lactate levels (aHR 5.1, &amp;lt;i&amp;gt;p&amp;lt;/i&amp;gt; = 0.002), age in the presence of comorbidity (aHR 2.60, &amp;lt;i&amp;gt;p&amp;lt;/i&amp;gt; = 0.013), and presence of abdominal sepsis (aHR 0.34, &amp;lt;i&amp;gt;p&amp;lt;/i&amp;gt; = 0.004). A lactate level above 6.0 mmol/L at the start of CytoSorb therapy had a positive predictive value of 79% for mortality (&amp;lt;i&amp;gt;p&amp;lt;/i&amp;gt; = 0.013). &amp;lt;b&amp;gt;&amp;lt;i&amp;gt;Conclusions:&amp;lt;/i&amp;gt;&amp;lt;/b&amp;gt; Survival is achieved with CytoSorb and CRRT for patients with septic shock beyond 28 days from ICU admission and may be improved for CytoSorb treatment. Lactate levels above 6.0 mmol/L at the start of CytoSorb therapy are predictive of worse outcome with high specificity and positive predictive value.&lt;/p&gt;&quot;,&quot;issue&quot;:&quot;4-5&quot;,&quot;volume&quot;:&quot;50&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7610C-9371-4046-9E2E-5168029F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2157</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15</cp:revision>
  <dcterms:created xsi:type="dcterms:W3CDTF">2025-05-19T06:22:00Z</dcterms:created>
  <dcterms:modified xsi:type="dcterms:W3CDTF">2025-05-20T08:13:00Z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7136741BE05C4FF98BE8326505F26C00_12</vt:lpwstr>
  </property>
  <property fmtid="{D5CDD505-2E9C-101B-9397-08002B2CF9AE}" pid="4" name="GrammarlyDocumentId">
    <vt:lpwstr>709a1bf5-4ae7-4eee-8266-a84c34b3ed31</vt:lpwstr>
  </property>
</Properties>
</file>