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89A6C6" w14:textId="0240B680" w:rsidR="00907C78" w:rsidRDefault="00F67C6A">
      <w:pPr>
        <w:pStyle w:val="Title"/>
        <w:spacing w:after="0"/>
        <w:jc w:val="both"/>
        <w:rPr>
          <w:rFonts w:ascii="Arial" w:eastAsia="Arial" w:hAnsi="Arial" w:cs="Arial"/>
        </w:rPr>
      </w:pPr>
      <w:r w:rsidRPr="00F67C6A">
        <w:rPr>
          <w:rFonts w:ascii="Arial" w:eastAsia="Arial" w:hAnsi="Arial" w:cs="Arial"/>
        </w:rPr>
        <w:t>Original Research Article</w:t>
      </w:r>
    </w:p>
    <w:p w14:paraId="05545744" w14:textId="77777777" w:rsidR="00F67C6A" w:rsidRPr="00F67C6A" w:rsidRDefault="00F67C6A" w:rsidP="00F67C6A"/>
    <w:p w14:paraId="3BCFB161" w14:textId="77777777" w:rsidR="00907C78" w:rsidRDefault="00634EC4">
      <w:pPr>
        <w:ind w:left="720"/>
        <w:jc w:val="right"/>
        <w:rPr>
          <w:rFonts w:ascii="Arial" w:eastAsia="Arial" w:hAnsi="Arial" w:cs="Arial"/>
          <w:b/>
          <w:color w:val="000000"/>
          <w:sz w:val="36"/>
          <w:szCs w:val="36"/>
        </w:rPr>
      </w:pPr>
      <w:r>
        <w:rPr>
          <w:rFonts w:ascii="Arial" w:eastAsia="Arial" w:hAnsi="Arial" w:cs="Arial"/>
          <w:b/>
          <w:sz w:val="36"/>
          <w:szCs w:val="36"/>
        </w:rPr>
        <w:t>USING COLLABORATIVE REPORTING TO IMPROVE THE SPEAKING SKILLS OF GRADE 11 STUDENTS</w:t>
      </w:r>
      <w:r>
        <w:rPr>
          <w:rFonts w:ascii="Arial" w:eastAsia="Arial" w:hAnsi="Arial" w:cs="Arial"/>
          <w:b/>
          <w:color w:val="000000"/>
          <w:sz w:val="36"/>
          <w:szCs w:val="36"/>
        </w:rPr>
        <w:t xml:space="preserve"> </w:t>
      </w:r>
    </w:p>
    <w:p w14:paraId="6B47B5CD" w14:textId="77777777" w:rsidR="00FB142A" w:rsidRDefault="00FB142A">
      <w:pPr>
        <w:spacing w:before="240" w:after="240"/>
        <w:jc w:val="right"/>
        <w:rPr>
          <w:rFonts w:ascii="Arial" w:eastAsia="Arial" w:hAnsi="Arial" w:cs="Arial"/>
          <w:color w:val="000000"/>
        </w:rPr>
      </w:pPr>
    </w:p>
    <w:p w14:paraId="5C7B0266" w14:textId="12E63FE4" w:rsidR="003E1E84" w:rsidRDefault="003E1E84">
      <w:pPr>
        <w:spacing w:before="240" w:after="240"/>
        <w:jc w:val="right"/>
        <w:rPr>
          <w:rFonts w:ascii="Arial" w:eastAsia="Arial" w:hAnsi="Arial" w:cs="Arial"/>
          <w:color w:val="000000"/>
        </w:rPr>
      </w:pPr>
      <w:r>
        <w:rPr>
          <w:rFonts w:ascii="Arial" w:eastAsia="Arial" w:hAnsi="Arial" w:cs="Arial"/>
          <w:color w:val="000000"/>
        </w:rPr>
        <w:t xml:space="preserve"> </w:t>
      </w:r>
    </w:p>
    <w:p w14:paraId="5C157333" w14:textId="77777777" w:rsidR="00907C78" w:rsidRDefault="00634EC4">
      <w:pPr>
        <w:pBdr>
          <w:top w:val="nil"/>
          <w:left w:val="nil"/>
          <w:bottom w:val="nil"/>
          <w:right w:val="nil"/>
          <w:between w:val="nil"/>
        </w:pBdr>
        <w:jc w:val="both"/>
        <w:rPr>
          <w:rFonts w:ascii="Arial" w:eastAsia="Arial" w:hAnsi="Arial" w:cs="Arial"/>
          <w:color w:val="000000"/>
          <w:sz w:val="16"/>
          <w:szCs w:val="16"/>
        </w:rPr>
        <w:sectPr w:rsidR="00907C78">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sectPr>
      </w:pPr>
      <w:r>
        <w:rPr>
          <w:rFonts w:ascii="Arial" w:eastAsia="Arial" w:hAnsi="Arial" w:cs="Arial"/>
          <w:noProof/>
          <w:color w:val="000000"/>
          <w:sz w:val="16"/>
          <w:szCs w:val="16"/>
        </w:rPr>
        <mc:AlternateContent>
          <mc:Choice Requires="wpg">
            <w:drawing>
              <wp:inline distT="0" distB="0" distL="114300" distR="114300" wp14:anchorId="53BB9E28" wp14:editId="5FAF59CB">
                <wp:extent cx="5303520" cy="190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5303520" cy="19050"/>
                <wp:effectExtent b="0" l="0" r="0" t="0"/>
                <wp:docPr id="1" name="image1.png"/>
                <a:graphic>
                  <a:graphicData uri="http://schemas.openxmlformats.org/drawingml/2006/picture">
                    <pic:pic>
                      <pic:nvPicPr>
                        <pic:cNvPr id="0" name="image1.png"/>
                        <pic:cNvPicPr preferRelativeResize="0"/>
                      </pic:nvPicPr>
                      <pic:blipFill>
                        <a:blip r:embed="rId17"/>
                        <a:srcRect/>
                        <a:stretch>
                          <a:fillRect/>
                        </a:stretch>
                      </pic:blipFill>
                      <pic:spPr>
                        <a:xfrm>
                          <a:off x="0" y="0"/>
                          <a:ext cx="5303520" cy="19050"/>
                        </a:xfrm>
                        <a:prstGeom prst="rect"/>
                        <a:ln/>
                      </pic:spPr>
                    </pic:pic>
                  </a:graphicData>
                </a:graphic>
              </wp:inline>
            </w:drawing>
          </mc:Fallback>
        </mc:AlternateContent>
      </w:r>
    </w:p>
    <w:p w14:paraId="3DF14597" w14:textId="77777777" w:rsidR="00907C78" w:rsidRDefault="00634EC4">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ABSTRACT</w:t>
      </w:r>
    </w:p>
    <w:p w14:paraId="6C07986E" w14:textId="77777777" w:rsidR="00907C78" w:rsidRDefault="00907C78">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907C78" w14:paraId="44B43D4E" w14:textId="77777777">
        <w:tc>
          <w:tcPr>
            <w:tcW w:w="8424" w:type="dxa"/>
            <w:shd w:val="clear" w:color="auto" w:fill="F2F2F2"/>
          </w:tcPr>
          <w:p w14:paraId="7A6FA759" w14:textId="77777777" w:rsidR="00907C78" w:rsidRDefault="00634EC4">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Aims: </w:t>
            </w:r>
            <w:r>
              <w:rPr>
                <w:rFonts w:ascii="Arial" w:eastAsia="Arial" w:hAnsi="Arial" w:cs="Arial"/>
              </w:rPr>
              <w:t xml:space="preserve">This study aimed to evaluate the </w:t>
            </w:r>
            <w:r>
              <w:rPr>
                <w:rFonts w:ascii="Arial" w:eastAsia="Arial" w:hAnsi="Arial" w:cs="Arial"/>
              </w:rPr>
              <w:t>effectiveness of Collaborative Reporting in improving the speaking skills of Grade 11 Senior High School students. It specifically sought to determine the mean gain scores of students exposed to traditional instruction and those taught through Collaborativ</w:t>
            </w:r>
            <w:r>
              <w:rPr>
                <w:rFonts w:ascii="Arial" w:eastAsia="Arial" w:hAnsi="Arial" w:cs="Arial"/>
              </w:rPr>
              <w:t>e Reporting, and whether a statistically significant difference exists between the two groups.</w:t>
            </w:r>
          </w:p>
          <w:p w14:paraId="2873F70C" w14:textId="77777777" w:rsidR="00907C78" w:rsidRDefault="00634EC4">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Study design:</w:t>
            </w:r>
            <w:r>
              <w:rPr>
                <w:rFonts w:ascii="Arial" w:eastAsia="Arial" w:hAnsi="Arial" w:cs="Arial"/>
                <w:color w:val="000000"/>
              </w:rPr>
              <w:t xml:space="preserve">  </w:t>
            </w:r>
            <w:r>
              <w:rPr>
                <w:rFonts w:ascii="Arial" w:eastAsia="Arial" w:hAnsi="Arial" w:cs="Arial"/>
              </w:rPr>
              <w:t>This research employed a quantitative quasi-experimental pretest-posttest control group design.</w:t>
            </w:r>
            <w:bookmarkStart w:id="0" w:name="_GoBack"/>
            <w:bookmarkEnd w:id="0"/>
          </w:p>
          <w:p w14:paraId="03D948A0" w14:textId="77777777" w:rsidR="00907C78" w:rsidRDefault="00634EC4">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Place and Duration of Study:</w:t>
            </w:r>
            <w:r>
              <w:rPr>
                <w:rFonts w:ascii="Arial" w:eastAsia="Arial" w:hAnsi="Arial" w:cs="Arial"/>
                <w:color w:val="000000"/>
              </w:rPr>
              <w:t xml:space="preserve"> </w:t>
            </w:r>
            <w:r>
              <w:rPr>
                <w:rFonts w:ascii="Arial" w:eastAsia="Arial" w:hAnsi="Arial" w:cs="Arial"/>
              </w:rPr>
              <w:t>The study was conduct</w:t>
            </w:r>
            <w:r>
              <w:rPr>
                <w:rFonts w:ascii="Arial" w:eastAsia="Arial" w:hAnsi="Arial" w:cs="Arial"/>
              </w:rPr>
              <w:t>ed at Los Amigos National High School and San Pedro College - Senior High School in Davao City, Philippines, during the academic year 2024–2025.</w:t>
            </w:r>
          </w:p>
          <w:p w14:paraId="41C3DD9E" w14:textId="77777777" w:rsidR="00907C78" w:rsidRDefault="00634EC4">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Methodology:</w:t>
            </w:r>
            <w:r>
              <w:rPr>
                <w:rFonts w:ascii="Arial" w:eastAsia="Arial" w:hAnsi="Arial" w:cs="Arial"/>
                <w:color w:val="000000"/>
              </w:rPr>
              <w:t xml:space="preserve"> </w:t>
            </w:r>
            <w:r>
              <w:rPr>
                <w:rFonts w:ascii="Arial" w:eastAsia="Arial" w:hAnsi="Arial" w:cs="Arial"/>
              </w:rPr>
              <w:t>A total of 183 Grade 11 students participated in the study, with 92 students assigned to the exper</w:t>
            </w:r>
            <w:r>
              <w:rPr>
                <w:rFonts w:ascii="Arial" w:eastAsia="Arial" w:hAnsi="Arial" w:cs="Arial"/>
              </w:rPr>
              <w:t>imental group (Collaborative Reporting) and 91 students to the control group (Traditional Method). Both groups underwent pretests and posttests using a rubric-based speaking assessment evaluated for content, delivery, and presentation. The experimental gro</w:t>
            </w:r>
            <w:r>
              <w:rPr>
                <w:rFonts w:ascii="Arial" w:eastAsia="Arial" w:hAnsi="Arial" w:cs="Arial"/>
              </w:rPr>
              <w:t>up engaged in structured collaborative reporting activities, while the control group received conventional lecture-based instruction. Descriptive statistics were used to measure mean gain scores, and inferential statistics (paired and independent samples t</w:t>
            </w:r>
            <w:r>
              <w:rPr>
                <w:rFonts w:ascii="Arial" w:eastAsia="Arial" w:hAnsi="Arial" w:cs="Arial"/>
              </w:rPr>
              <w:t>-tests) were applied to determine the significance of the observed differences.</w:t>
            </w:r>
          </w:p>
          <w:p w14:paraId="1219D8C8" w14:textId="77777777" w:rsidR="00907C78" w:rsidRDefault="00634EC4">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Results:</w:t>
            </w:r>
            <w:r>
              <w:rPr>
                <w:rFonts w:ascii="Arial" w:eastAsia="Arial" w:hAnsi="Arial" w:cs="Arial"/>
                <w:color w:val="000000"/>
              </w:rPr>
              <w:t xml:space="preserve"> </w:t>
            </w:r>
            <w:r>
              <w:rPr>
                <w:rFonts w:ascii="Arial" w:eastAsia="Arial" w:hAnsi="Arial" w:cs="Arial"/>
              </w:rPr>
              <w:t>The experimental group demonstrated a higher mean gain score of 3.25 (SD = 1.56) compared to 2.34 (SD = 1.98) in the control group. A t-value of -3.45 and a p-value of</w:t>
            </w:r>
            <w:r>
              <w:rPr>
                <w:rFonts w:ascii="Arial" w:eastAsia="Arial" w:hAnsi="Arial" w:cs="Arial"/>
              </w:rPr>
              <w:t xml:space="preserve"> 0.001 indicated a statistically significant difference favoring the Collaborative Reporting Approach. Students exposed to collaborative tasks exhibited improved consistency and performance in speaking assessments, supported by qualitative feedback emphasi</w:t>
            </w:r>
            <w:r>
              <w:rPr>
                <w:rFonts w:ascii="Arial" w:eastAsia="Arial" w:hAnsi="Arial" w:cs="Arial"/>
              </w:rPr>
              <w:t>zing increased confidence, peer support, and engagement.</w:t>
            </w:r>
          </w:p>
          <w:p w14:paraId="049E3718" w14:textId="77777777" w:rsidR="00907C78" w:rsidRDefault="00634EC4">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Conclusion:</w:t>
            </w:r>
            <w:r>
              <w:rPr>
                <w:rFonts w:ascii="Arial" w:eastAsia="Arial" w:hAnsi="Arial" w:cs="Arial"/>
                <w:color w:val="000000"/>
              </w:rPr>
              <w:t xml:space="preserve"> </w:t>
            </w:r>
            <w:r>
              <w:rPr>
                <w:rFonts w:ascii="Arial" w:eastAsia="Arial" w:hAnsi="Arial" w:cs="Arial"/>
              </w:rPr>
              <w:t>Collaborative Reporting is a significantly effective method for enhancing the speaking skills of senior high school students. Its interactive and peer-supported structure fosters confiden</w:t>
            </w:r>
            <w:r>
              <w:rPr>
                <w:rFonts w:ascii="Arial" w:eastAsia="Arial" w:hAnsi="Arial" w:cs="Arial"/>
              </w:rPr>
              <w:t>ce and meaningful language use. Integrating this approach into classroom instruction may yield improved communicative competence and stronger learning outcomes.</w:t>
            </w:r>
          </w:p>
        </w:tc>
      </w:tr>
    </w:tbl>
    <w:p w14:paraId="51A0ABE8" w14:textId="77777777" w:rsidR="00907C78" w:rsidRDefault="00907C78">
      <w:pPr>
        <w:pBdr>
          <w:top w:val="nil"/>
          <w:left w:val="nil"/>
          <w:bottom w:val="nil"/>
          <w:right w:val="nil"/>
          <w:between w:val="nil"/>
        </w:pBdr>
        <w:jc w:val="both"/>
        <w:rPr>
          <w:rFonts w:ascii="Arial" w:eastAsia="Arial" w:hAnsi="Arial" w:cs="Arial"/>
          <w:i/>
          <w:color w:val="000000"/>
        </w:rPr>
      </w:pPr>
    </w:p>
    <w:p w14:paraId="1BEFC391" w14:textId="77777777" w:rsidR="00907C78" w:rsidRDefault="00634EC4">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 xml:space="preserve">Keywords: </w:t>
      </w:r>
      <w:r>
        <w:rPr>
          <w:rFonts w:ascii="Arial" w:eastAsia="Arial" w:hAnsi="Arial" w:cs="Arial"/>
          <w:i/>
        </w:rPr>
        <w:t>Collaborative Reporting, Speaking Skills, Senior High School Students, Quasi-Experi</w:t>
      </w:r>
      <w:r>
        <w:rPr>
          <w:rFonts w:ascii="Arial" w:eastAsia="Arial" w:hAnsi="Arial" w:cs="Arial"/>
          <w:i/>
        </w:rPr>
        <w:t>mental Design, Rubric- Based Assessment, Peer Support</w:t>
      </w:r>
    </w:p>
    <w:p w14:paraId="582E54CF" w14:textId="77777777" w:rsidR="00907C78" w:rsidRDefault="00907C78">
      <w:pPr>
        <w:pBdr>
          <w:top w:val="nil"/>
          <w:left w:val="nil"/>
          <w:bottom w:val="nil"/>
          <w:right w:val="nil"/>
          <w:between w:val="nil"/>
        </w:pBdr>
        <w:jc w:val="both"/>
        <w:rPr>
          <w:rFonts w:ascii="Arial" w:eastAsia="Arial" w:hAnsi="Arial" w:cs="Arial"/>
          <w:i/>
          <w:color w:val="000000"/>
        </w:rPr>
      </w:pPr>
    </w:p>
    <w:p w14:paraId="04787FD1" w14:textId="77777777" w:rsidR="00907C78" w:rsidRDefault="00907C78">
      <w:pPr>
        <w:pBdr>
          <w:top w:val="nil"/>
          <w:left w:val="nil"/>
          <w:bottom w:val="nil"/>
          <w:right w:val="nil"/>
          <w:between w:val="nil"/>
        </w:pBdr>
        <w:jc w:val="both"/>
        <w:rPr>
          <w:rFonts w:ascii="Arial" w:eastAsia="Arial" w:hAnsi="Arial" w:cs="Arial"/>
          <w:i/>
          <w:color w:val="000000"/>
          <w:sz w:val="18"/>
          <w:szCs w:val="18"/>
        </w:rPr>
      </w:pPr>
    </w:p>
    <w:p w14:paraId="1DCC16A5" w14:textId="77777777" w:rsidR="00907C78" w:rsidRDefault="00634EC4">
      <w:pPr>
        <w:pBdr>
          <w:top w:val="nil"/>
          <w:left w:val="nil"/>
          <w:bottom w:val="nil"/>
          <w:right w:val="nil"/>
          <w:between w:val="nil"/>
        </w:pBdr>
        <w:jc w:val="both"/>
        <w:rPr>
          <w:rFonts w:ascii="Arial" w:eastAsia="Arial" w:hAnsi="Arial" w:cs="Arial"/>
          <w:i/>
        </w:rPr>
      </w:pPr>
      <w:r>
        <w:rPr>
          <w:rFonts w:ascii="Arial" w:eastAsia="Arial" w:hAnsi="Arial" w:cs="Arial"/>
          <w:i/>
        </w:rPr>
        <w:br/>
      </w:r>
      <w:r>
        <w:rPr>
          <w:rFonts w:ascii="Arial" w:eastAsia="Arial" w:hAnsi="Arial" w:cs="Arial"/>
          <w:i/>
        </w:rPr>
        <w:br/>
      </w:r>
    </w:p>
    <w:p w14:paraId="398D87BE" w14:textId="77777777" w:rsidR="00907C78" w:rsidRDefault="00634EC4">
      <w:pPr>
        <w:pStyle w:val="Heading1"/>
        <w:numPr>
          <w:ilvl w:val="0"/>
          <w:numId w:val="4"/>
        </w:numPr>
      </w:pPr>
      <w:bookmarkStart w:id="1" w:name="_mp3xt93ij6pv" w:colFirst="0" w:colLast="0"/>
      <w:bookmarkEnd w:id="1"/>
      <w:r>
        <w:lastRenderedPageBreak/>
        <w:t>INTRODUCTION</w:t>
      </w:r>
    </w:p>
    <w:p w14:paraId="059D48A9" w14:textId="77777777" w:rsidR="00907C78" w:rsidRDefault="00634EC4">
      <w:pPr>
        <w:spacing w:before="240" w:after="240"/>
        <w:jc w:val="both"/>
        <w:rPr>
          <w:rFonts w:ascii="Arial" w:eastAsia="Arial" w:hAnsi="Arial" w:cs="Arial"/>
        </w:rPr>
      </w:pPr>
      <w:r>
        <w:rPr>
          <w:rFonts w:ascii="Arial" w:eastAsia="Arial" w:hAnsi="Arial" w:cs="Arial"/>
        </w:rPr>
        <w:t xml:space="preserve">The development of effective speaking skills is a crucial objective in language education, essential for academic success and participation in a globalized society. Collaborative learning has been increasingly recognized as a valuable pedagogical approach </w:t>
      </w:r>
      <w:r>
        <w:rPr>
          <w:rFonts w:ascii="Arial" w:eastAsia="Arial" w:hAnsi="Arial" w:cs="Arial"/>
        </w:rPr>
        <w:t>to foster these skills, promoting meaningful interaction and enhancing language proficiency. Research has consistently demonstrated the positive impact of collaborative learning on various aspects of language acquisition, including speaking abilities, both</w:t>
      </w:r>
      <w:r>
        <w:rPr>
          <w:rFonts w:ascii="Arial" w:eastAsia="Arial" w:hAnsi="Arial" w:cs="Arial"/>
        </w:rPr>
        <w:t xml:space="preserve"> internationally and within the Philippines. However, despite the growing body of evidence supporting collaborative learning, there remains a need for targeted investigations into specific collaborative techniques and their effectiveness within particular </w:t>
      </w:r>
      <w:r>
        <w:rPr>
          <w:rFonts w:ascii="Arial" w:eastAsia="Arial" w:hAnsi="Arial" w:cs="Arial"/>
        </w:rPr>
        <w:t xml:space="preserve">educational contexts.  </w:t>
      </w:r>
    </w:p>
    <w:p w14:paraId="7DF93D8E" w14:textId="77777777" w:rsidR="00907C78" w:rsidRDefault="00634EC4">
      <w:pPr>
        <w:spacing w:before="240" w:after="240"/>
        <w:jc w:val="both"/>
        <w:rPr>
          <w:rFonts w:ascii="Arial" w:eastAsia="Arial" w:hAnsi="Arial" w:cs="Arial"/>
        </w:rPr>
      </w:pPr>
      <w:r>
        <w:rPr>
          <w:rFonts w:ascii="Arial" w:eastAsia="Arial" w:hAnsi="Arial" w:cs="Arial"/>
        </w:rPr>
        <w:t>This study addresses the need for focused research by examining the impact of collaborative reporting, a specific collaborative learning strategy, on the speaking skills of Grade 11 Senior High School (SHS) students in Davao City, P</w:t>
      </w:r>
      <w:r>
        <w:rPr>
          <w:rFonts w:ascii="Arial" w:eastAsia="Arial" w:hAnsi="Arial" w:cs="Arial"/>
        </w:rPr>
        <w:t>hilippines. The problem this study addresses is the necessity for targeted strategies to effectively enhance speaking skills among SHS students, recognizing that effective communication is a vital skill for their academic and professional development. In r</w:t>
      </w:r>
      <w:r>
        <w:rPr>
          <w:rFonts w:ascii="Arial" w:eastAsia="Arial" w:hAnsi="Arial" w:cs="Arial"/>
        </w:rPr>
        <w:t>esponse to this problem, this research proposes the use of collaborative reporting to improve the speaking skills of Grade 11 students. This intervention is grounded in social interdependence theory and the output hypothesis, which emphasize the importance</w:t>
      </w:r>
      <w:r>
        <w:rPr>
          <w:rFonts w:ascii="Arial" w:eastAsia="Arial" w:hAnsi="Arial" w:cs="Arial"/>
        </w:rPr>
        <w:t xml:space="preserve"> of interaction and language production in language learning.  </w:t>
      </w:r>
    </w:p>
    <w:p w14:paraId="5DBB5956" w14:textId="77777777" w:rsidR="00907C78" w:rsidRDefault="00634EC4">
      <w:pPr>
        <w:spacing w:before="240" w:after="240"/>
        <w:jc w:val="both"/>
        <w:rPr>
          <w:rFonts w:ascii="Arial" w:eastAsia="Arial" w:hAnsi="Arial" w:cs="Arial"/>
        </w:rPr>
      </w:pPr>
      <w:r>
        <w:rPr>
          <w:rFonts w:ascii="Arial" w:eastAsia="Arial" w:hAnsi="Arial" w:cs="Arial"/>
        </w:rPr>
        <w:t>A brief literature survey reveals that cooperative learning, the broader framework of this study, has been shown to improve academic achievement, cognitive skills, and social-emotional development. Specifically, collaborative tasks provide opportunities fo</w:t>
      </w:r>
      <w:r>
        <w:rPr>
          <w:rFonts w:ascii="Arial" w:eastAsia="Arial" w:hAnsi="Arial" w:cs="Arial"/>
        </w:rPr>
        <w:t xml:space="preserve">r language learners to negotiate meaning, produce output, and receive peer scaffolding, all of which are crucial for language acquisition.  </w:t>
      </w:r>
    </w:p>
    <w:p w14:paraId="775F0FAE" w14:textId="77777777" w:rsidR="00907C78" w:rsidRDefault="00634EC4">
      <w:pPr>
        <w:spacing w:before="240" w:after="240"/>
        <w:jc w:val="both"/>
        <w:rPr>
          <w:rFonts w:ascii="Arial" w:eastAsia="Arial" w:hAnsi="Arial" w:cs="Arial"/>
        </w:rPr>
      </w:pPr>
      <w:r>
        <w:rPr>
          <w:rFonts w:ascii="Arial" w:eastAsia="Arial" w:hAnsi="Arial" w:cs="Arial"/>
        </w:rPr>
        <w:t>The scope of this study is limited to Grade 11 SHS students in Davao City, Philippines, focusing on the effectivene</w:t>
      </w:r>
      <w:r>
        <w:rPr>
          <w:rFonts w:ascii="Arial" w:eastAsia="Arial" w:hAnsi="Arial" w:cs="Arial"/>
        </w:rPr>
        <w:t>ss of collaborative reporting as compared to traditional teaching methods. The justification for this localized focus stems from the desire to provide context-specific insights that can inform educational practices and curriculum development within and bey</w:t>
      </w:r>
      <w:r>
        <w:rPr>
          <w:rFonts w:ascii="Arial" w:eastAsia="Arial" w:hAnsi="Arial" w:cs="Arial"/>
        </w:rPr>
        <w:t>ond the Philippines. By investigating this specific collaborative technique within this particular context, the study aims to contribute to the existing body of knowledge on collaborative learning and its application in enhancing speaking skills.</w:t>
      </w:r>
    </w:p>
    <w:p w14:paraId="14E98571" w14:textId="79A3296E" w:rsidR="00907C78" w:rsidRDefault="00634EC4">
      <w:pPr>
        <w:pStyle w:val="Heading1"/>
        <w:numPr>
          <w:ilvl w:val="0"/>
          <w:numId w:val="4"/>
        </w:numPr>
      </w:pPr>
      <w:bookmarkStart w:id="2" w:name="_yh1dlitr8tg4" w:colFirst="0" w:colLast="0"/>
      <w:bookmarkEnd w:id="2"/>
      <w:r>
        <w:t xml:space="preserve">MATERIAL </w:t>
      </w:r>
      <w:r>
        <w:t xml:space="preserve">AND METHODS </w:t>
      </w:r>
    </w:p>
    <w:p w14:paraId="5DB10402" w14:textId="77777777" w:rsidR="00907C78" w:rsidRDefault="00634EC4">
      <w:pPr>
        <w:spacing w:before="240" w:after="240"/>
        <w:jc w:val="both"/>
        <w:rPr>
          <w:rFonts w:ascii="Arial" w:eastAsia="Arial" w:hAnsi="Arial" w:cs="Arial"/>
        </w:rPr>
      </w:pPr>
      <w:r>
        <w:rPr>
          <w:rFonts w:ascii="Arial" w:eastAsia="Arial" w:hAnsi="Arial" w:cs="Arial"/>
        </w:rPr>
        <w:t>This study employed a quantitative approach to evaluate the effectiveness of Collaborative Reporting in improving the speaking skills of Grade 11 students. A quasi-experimental pretest-posttest design was utilized to measure the differences in</w:t>
      </w:r>
      <w:r>
        <w:rPr>
          <w:rFonts w:ascii="Arial" w:eastAsia="Arial" w:hAnsi="Arial" w:cs="Arial"/>
        </w:rPr>
        <w:t xml:space="preserve"> speaking proficiency before and after the intervention. One group received instruction through Collaborative Reporting, while the control group was taught using traditional teaching methods.</w:t>
      </w:r>
    </w:p>
    <w:p w14:paraId="6AF3B743" w14:textId="77777777" w:rsidR="00907C78" w:rsidRDefault="00634EC4">
      <w:pPr>
        <w:pStyle w:val="Heading2"/>
      </w:pPr>
      <w:bookmarkStart w:id="3" w:name="_zfdhoebnwb3w" w:colFirst="0" w:colLast="0"/>
      <w:bookmarkEnd w:id="3"/>
      <w:r>
        <w:rPr>
          <w:smallCaps/>
        </w:rPr>
        <w:t xml:space="preserve">2.1 </w:t>
      </w:r>
      <w:r>
        <w:t>Participants</w:t>
      </w:r>
    </w:p>
    <w:p w14:paraId="22CA6CD1" w14:textId="77777777" w:rsidR="00907C78" w:rsidRDefault="00907C78"/>
    <w:p w14:paraId="4ABD61EC" w14:textId="77777777" w:rsidR="00907C78" w:rsidRDefault="00634EC4">
      <w:pPr>
        <w:rPr>
          <w:rFonts w:ascii="Arial" w:eastAsia="Arial" w:hAnsi="Arial" w:cs="Arial"/>
        </w:rPr>
      </w:pPr>
      <w:r>
        <w:rPr>
          <w:rFonts w:ascii="Arial" w:eastAsia="Arial" w:hAnsi="Arial" w:cs="Arial"/>
        </w:rPr>
        <w:t xml:space="preserve">The study’s participants were Grade 11 Senior </w:t>
      </w:r>
      <w:r>
        <w:rPr>
          <w:rFonts w:ascii="Arial" w:eastAsia="Arial" w:hAnsi="Arial" w:cs="Arial"/>
        </w:rPr>
        <w:t>High School students from two intact classes at Los Amigos National High School and San Pedro College - Senior High School. The selection of schools and participants followed a purposive sampling method to ensure that both traditional and collaborative ins</w:t>
      </w:r>
      <w:r>
        <w:rPr>
          <w:rFonts w:ascii="Arial" w:eastAsia="Arial" w:hAnsi="Arial" w:cs="Arial"/>
        </w:rPr>
        <w:t>truction groups have comparable demographic profiles. The experimental group comprised 92 students, and the control group comprised 91 students.</w:t>
      </w:r>
    </w:p>
    <w:p w14:paraId="5E6265F6" w14:textId="77777777" w:rsidR="00907C78" w:rsidRDefault="00907C78">
      <w:pPr>
        <w:rPr>
          <w:rFonts w:ascii="Arial" w:eastAsia="Arial" w:hAnsi="Arial" w:cs="Arial"/>
        </w:rPr>
      </w:pPr>
    </w:p>
    <w:p w14:paraId="7FEE764A" w14:textId="77777777" w:rsidR="00907C78" w:rsidRDefault="00634EC4">
      <w:pPr>
        <w:pStyle w:val="Heading2"/>
      </w:pPr>
      <w:bookmarkStart w:id="4" w:name="_my0lxooml0px" w:colFirst="0" w:colLast="0"/>
      <w:bookmarkEnd w:id="4"/>
      <w:r>
        <w:lastRenderedPageBreak/>
        <w:t>2.2 Experimental and Control Groups</w:t>
      </w:r>
    </w:p>
    <w:p w14:paraId="7A3CF29C" w14:textId="77777777" w:rsidR="00907C78" w:rsidRDefault="00634EC4">
      <w:pPr>
        <w:numPr>
          <w:ilvl w:val="0"/>
          <w:numId w:val="3"/>
        </w:numPr>
        <w:spacing w:before="240"/>
      </w:pPr>
      <w:r>
        <w:rPr>
          <w:rFonts w:ascii="Arial" w:eastAsia="Arial" w:hAnsi="Arial" w:cs="Arial"/>
        </w:rPr>
        <w:t>Experimental Group (Collaborative Reporting Approach): Students participat</w:t>
      </w:r>
      <w:r>
        <w:rPr>
          <w:rFonts w:ascii="Arial" w:eastAsia="Arial" w:hAnsi="Arial" w:cs="Arial"/>
        </w:rPr>
        <w:t xml:space="preserve">ed in instructed collaborative reporting activities designed to enhance speaking skills through planning, active discussions, and shared presentation tasks.  </w:t>
      </w:r>
      <w:r>
        <w:rPr>
          <w:rFonts w:ascii="Arial" w:eastAsia="Arial" w:hAnsi="Arial" w:cs="Arial"/>
        </w:rPr>
        <w:br/>
      </w:r>
    </w:p>
    <w:p w14:paraId="0F344316" w14:textId="77777777" w:rsidR="00907C78" w:rsidRDefault="00634EC4">
      <w:pPr>
        <w:numPr>
          <w:ilvl w:val="0"/>
          <w:numId w:val="3"/>
        </w:numPr>
        <w:spacing w:after="240"/>
      </w:pPr>
      <w:r>
        <w:rPr>
          <w:rFonts w:ascii="Arial" w:eastAsia="Arial" w:hAnsi="Arial" w:cs="Arial"/>
        </w:rPr>
        <w:t>Control Group (Traditional Method): Students underwent conventional lecture-based instruction, w</w:t>
      </w:r>
      <w:r>
        <w:rPr>
          <w:rFonts w:ascii="Arial" w:eastAsia="Arial" w:hAnsi="Arial" w:cs="Arial"/>
        </w:rPr>
        <w:t xml:space="preserve">ith the teacher doing most of the talking and the students primarily listening.  </w:t>
      </w:r>
    </w:p>
    <w:p w14:paraId="62FE5292" w14:textId="77777777" w:rsidR="00907C78" w:rsidRDefault="00634EC4">
      <w:pPr>
        <w:pStyle w:val="Heading2"/>
        <w:spacing w:before="240" w:after="240"/>
      </w:pPr>
      <w:bookmarkStart w:id="5" w:name="_v0mprgnaquow" w:colFirst="0" w:colLast="0"/>
      <w:bookmarkEnd w:id="5"/>
      <w:r>
        <w:t>2.3 Procedure</w:t>
      </w:r>
    </w:p>
    <w:p w14:paraId="51B291FD" w14:textId="77777777" w:rsidR="00907C78" w:rsidRDefault="00634EC4">
      <w:pPr>
        <w:spacing w:before="240" w:after="240"/>
        <w:rPr>
          <w:rFonts w:ascii="Arial" w:eastAsia="Arial" w:hAnsi="Arial" w:cs="Arial"/>
        </w:rPr>
      </w:pPr>
      <w:r>
        <w:rPr>
          <w:rFonts w:ascii="Arial" w:eastAsia="Arial" w:hAnsi="Arial" w:cs="Arial"/>
        </w:rPr>
        <w:t xml:space="preserve">The study followed a quantitative approach with the following parts:  </w:t>
      </w:r>
    </w:p>
    <w:p w14:paraId="4A9786C7" w14:textId="77777777" w:rsidR="00907C78" w:rsidRDefault="00634EC4">
      <w:pPr>
        <w:numPr>
          <w:ilvl w:val="0"/>
          <w:numId w:val="1"/>
        </w:numPr>
        <w:spacing w:before="240"/>
      </w:pPr>
      <w:r>
        <w:rPr>
          <w:rFonts w:ascii="Arial" w:eastAsia="Arial" w:hAnsi="Arial" w:cs="Arial"/>
        </w:rPr>
        <w:t xml:space="preserve">Part 1: Pre-test Administration: Both the experimental and control groups were administered a pre-test to assess baseline speaking proficiency.  </w:t>
      </w:r>
      <w:r>
        <w:rPr>
          <w:rFonts w:ascii="Arial" w:eastAsia="Arial" w:hAnsi="Arial" w:cs="Arial"/>
        </w:rPr>
        <w:br/>
      </w:r>
    </w:p>
    <w:p w14:paraId="321A6167" w14:textId="77777777" w:rsidR="00907C78" w:rsidRDefault="00634EC4">
      <w:pPr>
        <w:numPr>
          <w:ilvl w:val="0"/>
          <w:numId w:val="1"/>
        </w:numPr>
      </w:pPr>
      <w:r>
        <w:rPr>
          <w:rFonts w:ascii="Arial" w:eastAsia="Arial" w:hAnsi="Arial" w:cs="Arial"/>
        </w:rPr>
        <w:t>Part 2: Intervention: The experimental group received instruction using the Collaborative Reporting Approach,</w:t>
      </w:r>
      <w:r>
        <w:rPr>
          <w:rFonts w:ascii="Arial" w:eastAsia="Arial" w:hAnsi="Arial" w:cs="Arial"/>
        </w:rPr>
        <w:t xml:space="preserve"> while the control group continued with traditional instruction.  </w:t>
      </w:r>
      <w:r>
        <w:rPr>
          <w:rFonts w:ascii="Arial" w:eastAsia="Arial" w:hAnsi="Arial" w:cs="Arial"/>
        </w:rPr>
        <w:br/>
      </w:r>
    </w:p>
    <w:p w14:paraId="39176F7B" w14:textId="77777777" w:rsidR="00907C78" w:rsidRDefault="00634EC4">
      <w:pPr>
        <w:numPr>
          <w:ilvl w:val="0"/>
          <w:numId w:val="1"/>
        </w:numPr>
        <w:spacing w:after="240"/>
      </w:pPr>
      <w:r>
        <w:rPr>
          <w:rFonts w:ascii="Arial" w:eastAsia="Arial" w:hAnsi="Arial" w:cs="Arial"/>
        </w:rPr>
        <w:t>Part 3: Post-test Administration: Both groups were administered a post-test to evaluate speaking skill improvements after the intervention.</w:t>
      </w:r>
    </w:p>
    <w:p w14:paraId="531C8AF6" w14:textId="77777777" w:rsidR="00907C78" w:rsidRDefault="00634EC4">
      <w:pPr>
        <w:pStyle w:val="Heading2"/>
        <w:spacing w:before="240" w:after="240"/>
      </w:pPr>
      <w:bookmarkStart w:id="6" w:name="_rdxcjfeqkyds" w:colFirst="0" w:colLast="0"/>
      <w:bookmarkEnd w:id="6"/>
      <w:r>
        <w:t>2.4 Instrumentation</w:t>
      </w:r>
    </w:p>
    <w:p w14:paraId="090BF1F0" w14:textId="77777777" w:rsidR="00907C78" w:rsidRDefault="00634EC4">
      <w:pPr>
        <w:rPr>
          <w:rFonts w:ascii="Arial" w:eastAsia="Arial" w:hAnsi="Arial" w:cs="Arial"/>
        </w:rPr>
      </w:pPr>
      <w:r>
        <w:rPr>
          <w:rFonts w:ascii="Arial" w:eastAsia="Arial" w:hAnsi="Arial" w:cs="Arial"/>
        </w:rPr>
        <w:t>The pre-test and post-test c</w:t>
      </w:r>
      <w:r>
        <w:rPr>
          <w:rFonts w:ascii="Arial" w:eastAsia="Arial" w:hAnsi="Arial" w:cs="Arial"/>
        </w:rPr>
        <w:t>onsisted of rubric-based speaking assessments focusing on content, delivery, and presentation. The assessment underwent expert validation and pilot testing before administration. Revisions were made to the rubric based on feedback from the expert validatio</w:t>
      </w:r>
      <w:r>
        <w:rPr>
          <w:rFonts w:ascii="Arial" w:eastAsia="Arial" w:hAnsi="Arial" w:cs="Arial"/>
        </w:rPr>
        <w:t>n and pilot testing.</w:t>
      </w:r>
    </w:p>
    <w:p w14:paraId="2A4D2D40" w14:textId="77777777" w:rsidR="00907C78" w:rsidRDefault="00907C78">
      <w:pPr>
        <w:rPr>
          <w:rFonts w:ascii="Arial" w:eastAsia="Arial" w:hAnsi="Arial" w:cs="Arial"/>
        </w:rPr>
      </w:pPr>
    </w:p>
    <w:p w14:paraId="6DCDB867" w14:textId="77777777" w:rsidR="00907C78" w:rsidRDefault="00634EC4">
      <w:pPr>
        <w:pStyle w:val="Heading2"/>
      </w:pPr>
      <w:bookmarkStart w:id="7" w:name="_ss1hmt6x31en" w:colFirst="0" w:colLast="0"/>
      <w:bookmarkEnd w:id="7"/>
      <w:r>
        <w:t>2.5 Intervention: Collaborative Reporting Approach</w:t>
      </w:r>
    </w:p>
    <w:p w14:paraId="0828448D" w14:textId="77777777" w:rsidR="00907C78" w:rsidRDefault="00634EC4">
      <w:pPr>
        <w:spacing w:before="240" w:after="240"/>
        <w:rPr>
          <w:rFonts w:ascii="Arial" w:eastAsia="Arial" w:hAnsi="Arial" w:cs="Arial"/>
        </w:rPr>
      </w:pPr>
      <w:r>
        <w:rPr>
          <w:rFonts w:ascii="Arial" w:eastAsia="Arial" w:hAnsi="Arial" w:cs="Arial"/>
        </w:rPr>
        <w:t>The Collaborative Reporting Approach was implemented with the experimental group. The approach involved the following key elements:</w:t>
      </w:r>
    </w:p>
    <w:p w14:paraId="0BDA95E4" w14:textId="77777777" w:rsidR="00907C78" w:rsidRDefault="00634EC4">
      <w:pPr>
        <w:numPr>
          <w:ilvl w:val="0"/>
          <w:numId w:val="2"/>
        </w:numPr>
        <w:spacing w:before="240"/>
      </w:pPr>
      <w:r>
        <w:rPr>
          <w:rFonts w:ascii="Arial" w:eastAsia="Arial" w:hAnsi="Arial" w:cs="Arial"/>
        </w:rPr>
        <w:t>Group Formation: Students were divided into small g</w:t>
      </w:r>
      <w:r>
        <w:rPr>
          <w:rFonts w:ascii="Arial" w:eastAsia="Arial" w:hAnsi="Arial" w:cs="Arial"/>
        </w:rPr>
        <w:t>roups of 4-5 members, ensuring heterogeneous grouping in terms of language proficiency.</w:t>
      </w:r>
    </w:p>
    <w:p w14:paraId="5BB4F5F0" w14:textId="77777777" w:rsidR="00907C78" w:rsidRDefault="00634EC4">
      <w:pPr>
        <w:numPr>
          <w:ilvl w:val="0"/>
          <w:numId w:val="2"/>
        </w:numPr>
      </w:pPr>
      <w:r>
        <w:rPr>
          <w:rFonts w:ascii="Arial" w:eastAsia="Arial" w:hAnsi="Arial" w:cs="Arial"/>
        </w:rPr>
        <w:t>Topic Assignment: Each group was assigned a specific topic related to the course curriculum.</w:t>
      </w:r>
    </w:p>
    <w:p w14:paraId="484BD52C" w14:textId="77777777" w:rsidR="00907C78" w:rsidRDefault="00634EC4">
      <w:pPr>
        <w:numPr>
          <w:ilvl w:val="0"/>
          <w:numId w:val="2"/>
        </w:numPr>
      </w:pPr>
      <w:r>
        <w:rPr>
          <w:rFonts w:ascii="Arial" w:eastAsia="Arial" w:hAnsi="Arial" w:cs="Arial"/>
        </w:rPr>
        <w:t>Collaborative Planning: Groups were given time to plan their reports, assig</w:t>
      </w:r>
      <w:r>
        <w:rPr>
          <w:rFonts w:ascii="Arial" w:eastAsia="Arial" w:hAnsi="Arial" w:cs="Arial"/>
        </w:rPr>
        <w:t>ning roles and dividing tasks.</w:t>
      </w:r>
    </w:p>
    <w:p w14:paraId="203DE2C9" w14:textId="77777777" w:rsidR="00907C78" w:rsidRDefault="00634EC4">
      <w:pPr>
        <w:numPr>
          <w:ilvl w:val="0"/>
          <w:numId w:val="2"/>
        </w:numPr>
      </w:pPr>
      <w:r>
        <w:rPr>
          <w:rFonts w:ascii="Arial" w:eastAsia="Arial" w:hAnsi="Arial" w:cs="Arial"/>
        </w:rPr>
        <w:t>Information Gathering: Students collaboratively gathered information from various sources.</w:t>
      </w:r>
    </w:p>
    <w:p w14:paraId="0131FEC8" w14:textId="77777777" w:rsidR="00907C78" w:rsidRDefault="00634EC4">
      <w:pPr>
        <w:numPr>
          <w:ilvl w:val="0"/>
          <w:numId w:val="2"/>
        </w:numPr>
      </w:pPr>
      <w:r>
        <w:rPr>
          <w:rFonts w:ascii="Arial" w:eastAsia="Arial" w:hAnsi="Arial" w:cs="Arial"/>
        </w:rPr>
        <w:t>Report Preparation: Groups worked together to synthesize their findings and prepare their reports, including both written and oral com</w:t>
      </w:r>
      <w:r>
        <w:rPr>
          <w:rFonts w:ascii="Arial" w:eastAsia="Arial" w:hAnsi="Arial" w:cs="Arial"/>
        </w:rPr>
        <w:t>ponents.</w:t>
      </w:r>
    </w:p>
    <w:p w14:paraId="7607F640" w14:textId="77777777" w:rsidR="00907C78" w:rsidRDefault="00634EC4">
      <w:pPr>
        <w:numPr>
          <w:ilvl w:val="0"/>
          <w:numId w:val="2"/>
        </w:numPr>
      </w:pPr>
      <w:r>
        <w:rPr>
          <w:rFonts w:ascii="Arial" w:eastAsia="Arial" w:hAnsi="Arial" w:cs="Arial"/>
        </w:rPr>
        <w:t>Oral Presentation: Each group delivered an oral presentation of their report to the class.</w:t>
      </w:r>
    </w:p>
    <w:p w14:paraId="2A7EECEA" w14:textId="77777777" w:rsidR="00907C78" w:rsidRDefault="00634EC4">
      <w:pPr>
        <w:numPr>
          <w:ilvl w:val="0"/>
          <w:numId w:val="2"/>
        </w:numPr>
        <w:spacing w:after="240"/>
      </w:pPr>
      <w:r>
        <w:rPr>
          <w:rFonts w:ascii="Arial" w:eastAsia="Arial" w:hAnsi="Arial" w:cs="Arial"/>
        </w:rPr>
        <w:t>Peer Feedback: After each presentation, students provided constructive feedback to their peers.</w:t>
      </w:r>
    </w:p>
    <w:p w14:paraId="62538F2B" w14:textId="77777777" w:rsidR="00907C78" w:rsidRDefault="00634EC4">
      <w:pPr>
        <w:pStyle w:val="Heading2"/>
        <w:spacing w:before="240" w:after="240"/>
      </w:pPr>
      <w:bookmarkStart w:id="8" w:name="_tzbd36i1fl9x" w:colFirst="0" w:colLast="0"/>
      <w:bookmarkEnd w:id="8"/>
      <w:r>
        <w:lastRenderedPageBreak/>
        <w:t>2.6 Control Group: Traditional Method</w:t>
      </w:r>
    </w:p>
    <w:p w14:paraId="3AA84D5F" w14:textId="77777777" w:rsidR="00907C78" w:rsidRDefault="00634EC4">
      <w:pPr>
        <w:pBdr>
          <w:top w:val="nil"/>
          <w:left w:val="nil"/>
          <w:bottom w:val="nil"/>
          <w:right w:val="nil"/>
          <w:between w:val="nil"/>
        </w:pBdr>
        <w:spacing w:before="240" w:after="240"/>
        <w:rPr>
          <w:rFonts w:ascii="Arial" w:eastAsia="Arial" w:hAnsi="Arial" w:cs="Arial"/>
        </w:rPr>
      </w:pPr>
      <w:r>
        <w:rPr>
          <w:rFonts w:ascii="Arial" w:eastAsia="Arial" w:hAnsi="Arial" w:cs="Arial"/>
        </w:rPr>
        <w:t>The control group rece</w:t>
      </w:r>
      <w:r>
        <w:rPr>
          <w:rFonts w:ascii="Arial" w:eastAsia="Arial" w:hAnsi="Arial" w:cs="Arial"/>
        </w:rPr>
        <w:t>ived instruction using the traditional method, characterized by:</w:t>
      </w:r>
    </w:p>
    <w:p w14:paraId="65AD0CCD" w14:textId="77777777" w:rsidR="00907C78" w:rsidRDefault="00634EC4">
      <w:pPr>
        <w:numPr>
          <w:ilvl w:val="0"/>
          <w:numId w:val="2"/>
        </w:numPr>
        <w:pBdr>
          <w:top w:val="nil"/>
          <w:left w:val="nil"/>
          <w:bottom w:val="nil"/>
          <w:right w:val="nil"/>
          <w:between w:val="nil"/>
        </w:pBdr>
        <w:spacing w:before="240"/>
      </w:pPr>
      <w:r>
        <w:rPr>
          <w:rFonts w:ascii="Arial" w:eastAsia="Arial" w:hAnsi="Arial" w:cs="Arial"/>
        </w:rPr>
        <w:t>Lecture-based instruction.</w:t>
      </w:r>
    </w:p>
    <w:p w14:paraId="3AD105C4" w14:textId="77777777" w:rsidR="00907C78" w:rsidRDefault="00634EC4">
      <w:pPr>
        <w:numPr>
          <w:ilvl w:val="0"/>
          <w:numId w:val="2"/>
        </w:numPr>
        <w:pBdr>
          <w:top w:val="nil"/>
          <w:left w:val="nil"/>
          <w:bottom w:val="nil"/>
          <w:right w:val="nil"/>
          <w:between w:val="nil"/>
        </w:pBdr>
      </w:pPr>
      <w:r>
        <w:rPr>
          <w:rFonts w:ascii="Arial" w:eastAsia="Arial" w:hAnsi="Arial" w:cs="Arial"/>
        </w:rPr>
        <w:t>Individual assignments and activities.</w:t>
      </w:r>
    </w:p>
    <w:p w14:paraId="7FD6FC40" w14:textId="77777777" w:rsidR="00907C78" w:rsidRDefault="00634EC4">
      <w:pPr>
        <w:numPr>
          <w:ilvl w:val="0"/>
          <w:numId w:val="2"/>
        </w:numPr>
        <w:pBdr>
          <w:top w:val="nil"/>
          <w:left w:val="nil"/>
          <w:bottom w:val="nil"/>
          <w:right w:val="nil"/>
          <w:between w:val="nil"/>
        </w:pBdr>
      </w:pPr>
      <w:r>
        <w:rPr>
          <w:rFonts w:ascii="Arial" w:eastAsia="Arial" w:hAnsi="Arial" w:cs="Arial"/>
        </w:rPr>
        <w:t>Limited student interaction.</w:t>
      </w:r>
    </w:p>
    <w:p w14:paraId="75983176" w14:textId="77777777" w:rsidR="00907C78" w:rsidRDefault="00634EC4">
      <w:pPr>
        <w:numPr>
          <w:ilvl w:val="0"/>
          <w:numId w:val="2"/>
        </w:numPr>
        <w:pBdr>
          <w:top w:val="nil"/>
          <w:left w:val="nil"/>
          <w:bottom w:val="nil"/>
          <w:right w:val="nil"/>
          <w:between w:val="nil"/>
        </w:pBdr>
        <w:spacing w:after="240"/>
      </w:pPr>
      <w:r>
        <w:rPr>
          <w:rFonts w:ascii="Arial" w:eastAsia="Arial" w:hAnsi="Arial" w:cs="Arial"/>
        </w:rPr>
        <w:t>Teacher-led discussions.</w:t>
      </w:r>
    </w:p>
    <w:p w14:paraId="6AAE72C7" w14:textId="77777777" w:rsidR="00907C78" w:rsidRDefault="00634EC4">
      <w:pPr>
        <w:pStyle w:val="Heading2"/>
        <w:spacing w:before="240" w:after="240"/>
      </w:pPr>
      <w:bookmarkStart w:id="9" w:name="_auz5t4zfgvfo" w:colFirst="0" w:colLast="0"/>
      <w:bookmarkEnd w:id="9"/>
      <w:r>
        <w:t>2.7 Data Analysis</w:t>
      </w:r>
    </w:p>
    <w:p w14:paraId="41762053" w14:textId="77777777" w:rsidR="00907C78" w:rsidRDefault="00634EC4">
      <w:pPr>
        <w:pBdr>
          <w:top w:val="nil"/>
          <w:left w:val="nil"/>
          <w:bottom w:val="nil"/>
          <w:right w:val="nil"/>
          <w:between w:val="nil"/>
        </w:pBdr>
        <w:spacing w:before="240" w:after="240"/>
        <w:rPr>
          <w:rFonts w:ascii="Arial" w:eastAsia="Arial" w:hAnsi="Arial" w:cs="Arial"/>
        </w:rPr>
      </w:pPr>
      <w:r>
        <w:rPr>
          <w:rFonts w:ascii="Arial" w:eastAsia="Arial" w:hAnsi="Arial" w:cs="Arial"/>
        </w:rPr>
        <w:t xml:space="preserve">The study employed statistical analysis for quantitative data:  </w:t>
      </w:r>
    </w:p>
    <w:p w14:paraId="6BC2D66F" w14:textId="77777777" w:rsidR="00907C78" w:rsidRDefault="00634EC4">
      <w:pPr>
        <w:numPr>
          <w:ilvl w:val="0"/>
          <w:numId w:val="2"/>
        </w:numPr>
        <w:pBdr>
          <w:top w:val="nil"/>
          <w:left w:val="nil"/>
          <w:bottom w:val="nil"/>
          <w:right w:val="nil"/>
          <w:between w:val="nil"/>
        </w:pBdr>
        <w:spacing w:before="240"/>
      </w:pPr>
      <w:r>
        <w:rPr>
          <w:rFonts w:ascii="Arial" w:eastAsia="Arial" w:hAnsi="Arial" w:cs="Arial"/>
        </w:rPr>
        <w:t xml:space="preserve">Descriptive Statistics: Mean and standard deviation were calculated for pre-test and post-test scores for both groups.  </w:t>
      </w:r>
    </w:p>
    <w:p w14:paraId="2CA948B3" w14:textId="77777777" w:rsidR="00907C78" w:rsidRDefault="00634EC4">
      <w:pPr>
        <w:numPr>
          <w:ilvl w:val="0"/>
          <w:numId w:val="2"/>
        </w:numPr>
        <w:pBdr>
          <w:top w:val="nil"/>
          <w:left w:val="nil"/>
          <w:bottom w:val="nil"/>
          <w:right w:val="nil"/>
          <w:between w:val="nil"/>
        </w:pBdr>
      </w:pPr>
      <w:r>
        <w:rPr>
          <w:rFonts w:ascii="Arial" w:eastAsia="Arial" w:hAnsi="Arial" w:cs="Arial"/>
        </w:rPr>
        <w:t xml:space="preserve">Inferential Statistics: A paired t-test was conducted to determine significant differences between pre-test and post-test scores within each group. An independent sample t-test was used to compare the performance gains between the experimental and control </w:t>
      </w:r>
      <w:r>
        <w:rPr>
          <w:rFonts w:ascii="Arial" w:eastAsia="Arial" w:hAnsi="Arial" w:cs="Arial"/>
        </w:rPr>
        <w:t xml:space="preserve">groups.  </w:t>
      </w:r>
    </w:p>
    <w:p w14:paraId="7556D5EA" w14:textId="77777777" w:rsidR="00907C78" w:rsidRDefault="00634EC4">
      <w:pPr>
        <w:numPr>
          <w:ilvl w:val="0"/>
          <w:numId w:val="2"/>
        </w:numPr>
        <w:pBdr>
          <w:top w:val="nil"/>
          <w:left w:val="nil"/>
          <w:bottom w:val="nil"/>
          <w:right w:val="nil"/>
          <w:between w:val="nil"/>
        </w:pBdr>
        <w:spacing w:after="240"/>
      </w:pPr>
      <w:r>
        <w:rPr>
          <w:rFonts w:ascii="Arial" w:eastAsia="Arial" w:hAnsi="Arial" w:cs="Arial"/>
        </w:rPr>
        <w:t>An interpretive scale was employed to categorize speaking proficiency levels, as shown in Table 1.</w:t>
      </w:r>
    </w:p>
    <w:tbl>
      <w:tblPr>
        <w:tblStyle w:val="a0"/>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0"/>
        <w:gridCol w:w="4320"/>
      </w:tblGrid>
      <w:tr w:rsidR="00907C78" w14:paraId="005336C7" w14:textId="77777777">
        <w:tc>
          <w:tcPr>
            <w:tcW w:w="4320" w:type="dxa"/>
          </w:tcPr>
          <w:p w14:paraId="1F595883" w14:textId="77777777" w:rsidR="00907C78" w:rsidRDefault="00634EC4">
            <w:pPr>
              <w:rPr>
                <w:rFonts w:ascii="Cambria" w:eastAsia="Cambria" w:hAnsi="Cambria" w:cs="Cambria"/>
                <w:sz w:val="22"/>
                <w:szCs w:val="22"/>
              </w:rPr>
            </w:pPr>
            <w:r>
              <w:rPr>
                <w:rFonts w:ascii="Cambria" w:eastAsia="Cambria" w:hAnsi="Cambria" w:cs="Cambria"/>
                <w:sz w:val="22"/>
                <w:szCs w:val="22"/>
              </w:rPr>
              <w:t>Mean Range</w:t>
            </w:r>
          </w:p>
        </w:tc>
        <w:tc>
          <w:tcPr>
            <w:tcW w:w="4320" w:type="dxa"/>
          </w:tcPr>
          <w:p w14:paraId="41A55FA6" w14:textId="77777777" w:rsidR="00907C78" w:rsidRDefault="00634EC4">
            <w:pPr>
              <w:rPr>
                <w:rFonts w:ascii="Cambria" w:eastAsia="Cambria" w:hAnsi="Cambria" w:cs="Cambria"/>
                <w:sz w:val="22"/>
                <w:szCs w:val="22"/>
              </w:rPr>
            </w:pPr>
            <w:r>
              <w:rPr>
                <w:rFonts w:ascii="Cambria" w:eastAsia="Cambria" w:hAnsi="Cambria" w:cs="Cambria"/>
                <w:sz w:val="22"/>
                <w:szCs w:val="22"/>
              </w:rPr>
              <w:t>Proficiency Level</w:t>
            </w:r>
          </w:p>
        </w:tc>
      </w:tr>
      <w:tr w:rsidR="00907C78" w14:paraId="68BAC274" w14:textId="77777777">
        <w:tc>
          <w:tcPr>
            <w:tcW w:w="4320" w:type="dxa"/>
          </w:tcPr>
          <w:p w14:paraId="1369311C" w14:textId="77777777" w:rsidR="00907C78" w:rsidRDefault="00634EC4">
            <w:pPr>
              <w:rPr>
                <w:rFonts w:ascii="Cambria" w:eastAsia="Cambria" w:hAnsi="Cambria" w:cs="Cambria"/>
                <w:sz w:val="22"/>
                <w:szCs w:val="22"/>
              </w:rPr>
            </w:pPr>
            <w:r>
              <w:rPr>
                <w:rFonts w:ascii="Cambria" w:eastAsia="Cambria" w:hAnsi="Cambria" w:cs="Cambria"/>
                <w:sz w:val="22"/>
                <w:szCs w:val="22"/>
              </w:rPr>
              <w:t>4.20–5.00</w:t>
            </w:r>
          </w:p>
        </w:tc>
        <w:tc>
          <w:tcPr>
            <w:tcW w:w="4320" w:type="dxa"/>
          </w:tcPr>
          <w:p w14:paraId="458DB738" w14:textId="77777777" w:rsidR="00907C78" w:rsidRDefault="00634EC4">
            <w:pPr>
              <w:rPr>
                <w:rFonts w:ascii="Cambria" w:eastAsia="Cambria" w:hAnsi="Cambria" w:cs="Cambria"/>
                <w:sz w:val="22"/>
                <w:szCs w:val="22"/>
              </w:rPr>
            </w:pPr>
            <w:r>
              <w:rPr>
                <w:rFonts w:ascii="Cambria" w:eastAsia="Cambria" w:hAnsi="Cambria" w:cs="Cambria"/>
                <w:sz w:val="22"/>
                <w:szCs w:val="22"/>
              </w:rPr>
              <w:t>Very High</w:t>
            </w:r>
          </w:p>
        </w:tc>
      </w:tr>
      <w:tr w:rsidR="00907C78" w14:paraId="2BF1F116" w14:textId="77777777">
        <w:tc>
          <w:tcPr>
            <w:tcW w:w="4320" w:type="dxa"/>
          </w:tcPr>
          <w:p w14:paraId="5FC2C9C2" w14:textId="77777777" w:rsidR="00907C78" w:rsidRDefault="00634EC4">
            <w:pPr>
              <w:rPr>
                <w:rFonts w:ascii="Cambria" w:eastAsia="Cambria" w:hAnsi="Cambria" w:cs="Cambria"/>
                <w:sz w:val="22"/>
                <w:szCs w:val="22"/>
              </w:rPr>
            </w:pPr>
            <w:r>
              <w:rPr>
                <w:rFonts w:ascii="Cambria" w:eastAsia="Cambria" w:hAnsi="Cambria" w:cs="Cambria"/>
                <w:sz w:val="22"/>
                <w:szCs w:val="22"/>
              </w:rPr>
              <w:t>3.40–4.19</w:t>
            </w:r>
          </w:p>
        </w:tc>
        <w:tc>
          <w:tcPr>
            <w:tcW w:w="4320" w:type="dxa"/>
          </w:tcPr>
          <w:p w14:paraId="4EC30DB6" w14:textId="77777777" w:rsidR="00907C78" w:rsidRDefault="00634EC4">
            <w:pPr>
              <w:rPr>
                <w:rFonts w:ascii="Cambria" w:eastAsia="Cambria" w:hAnsi="Cambria" w:cs="Cambria"/>
                <w:sz w:val="22"/>
                <w:szCs w:val="22"/>
              </w:rPr>
            </w:pPr>
            <w:r>
              <w:rPr>
                <w:rFonts w:ascii="Cambria" w:eastAsia="Cambria" w:hAnsi="Cambria" w:cs="Cambria"/>
                <w:sz w:val="22"/>
                <w:szCs w:val="22"/>
              </w:rPr>
              <w:t>High</w:t>
            </w:r>
          </w:p>
        </w:tc>
      </w:tr>
      <w:tr w:rsidR="00907C78" w14:paraId="1751C1C1" w14:textId="77777777">
        <w:tc>
          <w:tcPr>
            <w:tcW w:w="4320" w:type="dxa"/>
          </w:tcPr>
          <w:p w14:paraId="7BBA9708" w14:textId="77777777" w:rsidR="00907C78" w:rsidRDefault="00634EC4">
            <w:pPr>
              <w:rPr>
                <w:rFonts w:ascii="Cambria" w:eastAsia="Cambria" w:hAnsi="Cambria" w:cs="Cambria"/>
                <w:sz w:val="22"/>
                <w:szCs w:val="22"/>
              </w:rPr>
            </w:pPr>
            <w:r>
              <w:rPr>
                <w:rFonts w:ascii="Cambria" w:eastAsia="Cambria" w:hAnsi="Cambria" w:cs="Cambria"/>
                <w:sz w:val="22"/>
                <w:szCs w:val="22"/>
              </w:rPr>
              <w:t>2.60–3.39</w:t>
            </w:r>
          </w:p>
        </w:tc>
        <w:tc>
          <w:tcPr>
            <w:tcW w:w="4320" w:type="dxa"/>
          </w:tcPr>
          <w:p w14:paraId="4040F708" w14:textId="77777777" w:rsidR="00907C78" w:rsidRDefault="00634EC4">
            <w:pPr>
              <w:rPr>
                <w:rFonts w:ascii="Cambria" w:eastAsia="Cambria" w:hAnsi="Cambria" w:cs="Cambria"/>
                <w:sz w:val="22"/>
                <w:szCs w:val="22"/>
              </w:rPr>
            </w:pPr>
            <w:r>
              <w:rPr>
                <w:rFonts w:ascii="Cambria" w:eastAsia="Cambria" w:hAnsi="Cambria" w:cs="Cambria"/>
                <w:sz w:val="22"/>
                <w:szCs w:val="22"/>
              </w:rPr>
              <w:t>Moderate</w:t>
            </w:r>
          </w:p>
        </w:tc>
      </w:tr>
      <w:tr w:rsidR="00907C78" w14:paraId="3D674A1C" w14:textId="77777777">
        <w:tc>
          <w:tcPr>
            <w:tcW w:w="4320" w:type="dxa"/>
          </w:tcPr>
          <w:p w14:paraId="3682C668" w14:textId="77777777" w:rsidR="00907C78" w:rsidRDefault="00634EC4">
            <w:pPr>
              <w:rPr>
                <w:rFonts w:ascii="Cambria" w:eastAsia="Cambria" w:hAnsi="Cambria" w:cs="Cambria"/>
                <w:sz w:val="22"/>
                <w:szCs w:val="22"/>
              </w:rPr>
            </w:pPr>
            <w:r>
              <w:rPr>
                <w:rFonts w:ascii="Cambria" w:eastAsia="Cambria" w:hAnsi="Cambria" w:cs="Cambria"/>
                <w:sz w:val="22"/>
                <w:szCs w:val="22"/>
              </w:rPr>
              <w:t>1.80–2.59</w:t>
            </w:r>
          </w:p>
        </w:tc>
        <w:tc>
          <w:tcPr>
            <w:tcW w:w="4320" w:type="dxa"/>
          </w:tcPr>
          <w:p w14:paraId="52024D96" w14:textId="77777777" w:rsidR="00907C78" w:rsidRDefault="00634EC4">
            <w:pPr>
              <w:rPr>
                <w:rFonts w:ascii="Cambria" w:eastAsia="Cambria" w:hAnsi="Cambria" w:cs="Cambria"/>
                <w:sz w:val="22"/>
                <w:szCs w:val="22"/>
              </w:rPr>
            </w:pPr>
            <w:r>
              <w:rPr>
                <w:rFonts w:ascii="Cambria" w:eastAsia="Cambria" w:hAnsi="Cambria" w:cs="Cambria"/>
                <w:sz w:val="22"/>
                <w:szCs w:val="22"/>
              </w:rPr>
              <w:t>Low</w:t>
            </w:r>
          </w:p>
        </w:tc>
      </w:tr>
      <w:tr w:rsidR="00907C78" w14:paraId="68D9AD8A" w14:textId="77777777">
        <w:tc>
          <w:tcPr>
            <w:tcW w:w="4320" w:type="dxa"/>
          </w:tcPr>
          <w:p w14:paraId="3E92ED1D" w14:textId="77777777" w:rsidR="00907C78" w:rsidRDefault="00634EC4">
            <w:pPr>
              <w:rPr>
                <w:rFonts w:ascii="Cambria" w:eastAsia="Cambria" w:hAnsi="Cambria" w:cs="Cambria"/>
                <w:sz w:val="22"/>
                <w:szCs w:val="22"/>
              </w:rPr>
            </w:pPr>
            <w:r>
              <w:rPr>
                <w:rFonts w:ascii="Cambria" w:eastAsia="Cambria" w:hAnsi="Cambria" w:cs="Cambria"/>
                <w:sz w:val="22"/>
                <w:szCs w:val="22"/>
              </w:rPr>
              <w:t>1.00–1.79</w:t>
            </w:r>
          </w:p>
        </w:tc>
        <w:tc>
          <w:tcPr>
            <w:tcW w:w="4320" w:type="dxa"/>
          </w:tcPr>
          <w:p w14:paraId="259F3C51" w14:textId="77777777" w:rsidR="00907C78" w:rsidRDefault="00634EC4">
            <w:pPr>
              <w:rPr>
                <w:rFonts w:ascii="Cambria" w:eastAsia="Cambria" w:hAnsi="Cambria" w:cs="Cambria"/>
                <w:sz w:val="22"/>
                <w:szCs w:val="22"/>
              </w:rPr>
            </w:pPr>
            <w:r>
              <w:rPr>
                <w:rFonts w:ascii="Cambria" w:eastAsia="Cambria" w:hAnsi="Cambria" w:cs="Cambria"/>
                <w:sz w:val="22"/>
                <w:szCs w:val="22"/>
              </w:rPr>
              <w:t>Very Low</w:t>
            </w:r>
          </w:p>
        </w:tc>
      </w:tr>
    </w:tbl>
    <w:p w14:paraId="01E3773B" w14:textId="77777777" w:rsidR="00907C78" w:rsidRDefault="00634EC4">
      <w:pPr>
        <w:pStyle w:val="Heading1"/>
        <w:ind w:left="0"/>
      </w:pPr>
      <w:bookmarkStart w:id="10" w:name="_27cwrarpj4od" w:colFirst="0" w:colLast="0"/>
      <w:bookmarkEnd w:id="10"/>
      <w:r>
        <w:br/>
        <w:t xml:space="preserve">3. RESULTS AND </w:t>
      </w:r>
      <w:r>
        <w:t>DISCUSSION</w:t>
      </w:r>
    </w:p>
    <w:p w14:paraId="0E61BBB9" w14:textId="77777777" w:rsidR="00907C78" w:rsidRDefault="00634EC4">
      <w:pPr>
        <w:pStyle w:val="Heading2"/>
      </w:pPr>
      <w:bookmarkStart w:id="11" w:name="_xrv0gj9imc4e" w:colFirst="0" w:colLast="0"/>
      <w:bookmarkEnd w:id="11"/>
      <w:r>
        <w:t>3.1 Quantitative Results</w:t>
      </w:r>
    </w:p>
    <w:p w14:paraId="566B5EE8" w14:textId="77777777" w:rsidR="00907C78" w:rsidRDefault="00907C78"/>
    <w:p w14:paraId="7024CBAF" w14:textId="77777777" w:rsidR="00907C78" w:rsidRDefault="00634EC4">
      <w:pPr>
        <w:pStyle w:val="Heading3"/>
      </w:pPr>
      <w:bookmarkStart w:id="12" w:name="_5ga2s0i905ru" w:colFirst="0" w:colLast="0"/>
      <w:bookmarkEnd w:id="12"/>
      <w:r>
        <w:t>3.1.1 Experimental Group Performance</w:t>
      </w:r>
    </w:p>
    <w:p w14:paraId="4EA6FDDF" w14:textId="77777777" w:rsidR="00907C78" w:rsidRDefault="00907C78"/>
    <w:p w14:paraId="7766333E" w14:textId="77777777" w:rsidR="00907C78" w:rsidRDefault="00634EC4">
      <w:pPr>
        <w:spacing w:after="200" w:line="276" w:lineRule="auto"/>
        <w:rPr>
          <w:rFonts w:ascii="Arial" w:eastAsia="Arial" w:hAnsi="Arial" w:cs="Arial"/>
        </w:rPr>
      </w:pPr>
      <w:r>
        <w:rPr>
          <w:rFonts w:ascii="Arial" w:eastAsia="Arial" w:hAnsi="Arial" w:cs="Arial"/>
        </w:rPr>
        <w:t xml:space="preserve">The experimental group, which received instruction through Collaborative Reporting, demonstrated significant improvement in speaking proficiency. The pretest mean score was 44.19 </w:t>
      </w:r>
      <w:r>
        <w:rPr>
          <w:rFonts w:ascii="Arial" w:eastAsia="Arial" w:hAnsi="Arial" w:cs="Arial"/>
        </w:rPr>
        <w:t>(SD = 1.26), which increased to a posttest mean score of 47.44 (SD = 0.95), resulting in a mean gain of 3.25 (SD = 1.56). This gain reflects the effectiveness of collaborative strategies in facilitating fluency, confidence, and content delivery.</w:t>
      </w:r>
    </w:p>
    <w:p w14:paraId="26C8CC8F" w14:textId="77777777" w:rsidR="00907C78" w:rsidRDefault="00634EC4">
      <w:pPr>
        <w:spacing w:after="200" w:line="276" w:lineRule="auto"/>
        <w:rPr>
          <w:rFonts w:ascii="Arial" w:eastAsia="Arial" w:hAnsi="Arial" w:cs="Arial"/>
        </w:rPr>
      </w:pPr>
      <w:r>
        <w:rPr>
          <w:rFonts w:ascii="Arial" w:eastAsia="Arial" w:hAnsi="Arial" w:cs="Arial"/>
        </w:rPr>
        <w:t>Table 1. M</w:t>
      </w:r>
      <w:r>
        <w:rPr>
          <w:rFonts w:ascii="Arial" w:eastAsia="Arial" w:hAnsi="Arial" w:cs="Arial"/>
        </w:rPr>
        <w:t>ean Gain Scores – Experimental Group</w:t>
      </w:r>
    </w:p>
    <w:tbl>
      <w:tblPr>
        <w:tblStyle w:val="a1"/>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2160"/>
        <w:gridCol w:w="2160"/>
        <w:gridCol w:w="2160"/>
      </w:tblGrid>
      <w:tr w:rsidR="00907C78" w14:paraId="11932370" w14:textId="77777777">
        <w:tc>
          <w:tcPr>
            <w:tcW w:w="2160" w:type="dxa"/>
          </w:tcPr>
          <w:p w14:paraId="005C4752" w14:textId="77777777" w:rsidR="00907C78" w:rsidRDefault="00634EC4">
            <w:pPr>
              <w:rPr>
                <w:rFonts w:ascii="Arial" w:eastAsia="Arial" w:hAnsi="Arial" w:cs="Arial"/>
              </w:rPr>
            </w:pPr>
            <w:r>
              <w:rPr>
                <w:rFonts w:ascii="Arial" w:eastAsia="Arial" w:hAnsi="Arial" w:cs="Arial"/>
              </w:rPr>
              <w:t>Group</w:t>
            </w:r>
          </w:p>
        </w:tc>
        <w:tc>
          <w:tcPr>
            <w:tcW w:w="2160" w:type="dxa"/>
          </w:tcPr>
          <w:p w14:paraId="6F28BF32" w14:textId="77777777" w:rsidR="00907C78" w:rsidRDefault="00634EC4">
            <w:pPr>
              <w:rPr>
                <w:rFonts w:ascii="Arial" w:eastAsia="Arial" w:hAnsi="Arial" w:cs="Arial"/>
              </w:rPr>
            </w:pPr>
            <w:r>
              <w:rPr>
                <w:rFonts w:ascii="Arial" w:eastAsia="Arial" w:hAnsi="Arial" w:cs="Arial"/>
              </w:rPr>
              <w:t>Pretest Mean (SD)</w:t>
            </w:r>
          </w:p>
        </w:tc>
        <w:tc>
          <w:tcPr>
            <w:tcW w:w="2160" w:type="dxa"/>
          </w:tcPr>
          <w:p w14:paraId="093BDA07" w14:textId="77777777" w:rsidR="00907C78" w:rsidRDefault="00634EC4">
            <w:pPr>
              <w:rPr>
                <w:rFonts w:ascii="Arial" w:eastAsia="Arial" w:hAnsi="Arial" w:cs="Arial"/>
              </w:rPr>
            </w:pPr>
            <w:r>
              <w:rPr>
                <w:rFonts w:ascii="Arial" w:eastAsia="Arial" w:hAnsi="Arial" w:cs="Arial"/>
              </w:rPr>
              <w:t>Posttest Mean (SD)</w:t>
            </w:r>
          </w:p>
        </w:tc>
        <w:tc>
          <w:tcPr>
            <w:tcW w:w="2160" w:type="dxa"/>
          </w:tcPr>
          <w:p w14:paraId="5827FFF4" w14:textId="77777777" w:rsidR="00907C78" w:rsidRDefault="00634EC4">
            <w:pPr>
              <w:rPr>
                <w:rFonts w:ascii="Arial" w:eastAsia="Arial" w:hAnsi="Arial" w:cs="Arial"/>
              </w:rPr>
            </w:pPr>
            <w:r>
              <w:rPr>
                <w:rFonts w:ascii="Arial" w:eastAsia="Arial" w:hAnsi="Arial" w:cs="Arial"/>
              </w:rPr>
              <w:t>Mean Gain (SD)</w:t>
            </w:r>
          </w:p>
        </w:tc>
      </w:tr>
      <w:tr w:rsidR="00907C78" w14:paraId="620A5776" w14:textId="77777777">
        <w:tc>
          <w:tcPr>
            <w:tcW w:w="2160" w:type="dxa"/>
          </w:tcPr>
          <w:p w14:paraId="54C33376" w14:textId="77777777" w:rsidR="00907C78" w:rsidRDefault="00634EC4">
            <w:pPr>
              <w:rPr>
                <w:rFonts w:ascii="Arial" w:eastAsia="Arial" w:hAnsi="Arial" w:cs="Arial"/>
              </w:rPr>
            </w:pPr>
            <w:r>
              <w:rPr>
                <w:rFonts w:ascii="Arial" w:eastAsia="Arial" w:hAnsi="Arial" w:cs="Arial"/>
              </w:rPr>
              <w:t>Experimental</w:t>
            </w:r>
          </w:p>
        </w:tc>
        <w:tc>
          <w:tcPr>
            <w:tcW w:w="2160" w:type="dxa"/>
          </w:tcPr>
          <w:p w14:paraId="5F9A2369" w14:textId="77777777" w:rsidR="00907C78" w:rsidRDefault="00634EC4">
            <w:pPr>
              <w:rPr>
                <w:rFonts w:ascii="Arial" w:eastAsia="Arial" w:hAnsi="Arial" w:cs="Arial"/>
              </w:rPr>
            </w:pPr>
            <w:r>
              <w:rPr>
                <w:rFonts w:ascii="Arial" w:eastAsia="Arial" w:hAnsi="Arial" w:cs="Arial"/>
              </w:rPr>
              <w:t>44.19 (1.26)</w:t>
            </w:r>
          </w:p>
        </w:tc>
        <w:tc>
          <w:tcPr>
            <w:tcW w:w="2160" w:type="dxa"/>
          </w:tcPr>
          <w:p w14:paraId="374D626A" w14:textId="77777777" w:rsidR="00907C78" w:rsidRDefault="00634EC4">
            <w:pPr>
              <w:rPr>
                <w:rFonts w:ascii="Arial" w:eastAsia="Arial" w:hAnsi="Arial" w:cs="Arial"/>
              </w:rPr>
            </w:pPr>
            <w:r>
              <w:rPr>
                <w:rFonts w:ascii="Arial" w:eastAsia="Arial" w:hAnsi="Arial" w:cs="Arial"/>
              </w:rPr>
              <w:t>47.44 (0.95)</w:t>
            </w:r>
          </w:p>
        </w:tc>
        <w:tc>
          <w:tcPr>
            <w:tcW w:w="2160" w:type="dxa"/>
          </w:tcPr>
          <w:p w14:paraId="2EC54C3C" w14:textId="77777777" w:rsidR="00907C78" w:rsidRDefault="00634EC4">
            <w:pPr>
              <w:rPr>
                <w:rFonts w:ascii="Arial" w:eastAsia="Arial" w:hAnsi="Arial" w:cs="Arial"/>
              </w:rPr>
            </w:pPr>
            <w:r>
              <w:rPr>
                <w:rFonts w:ascii="Arial" w:eastAsia="Arial" w:hAnsi="Arial" w:cs="Arial"/>
              </w:rPr>
              <w:t>3.25 (1.56)</w:t>
            </w:r>
          </w:p>
        </w:tc>
      </w:tr>
    </w:tbl>
    <w:p w14:paraId="41CA3683" w14:textId="77777777" w:rsidR="00907C78" w:rsidRDefault="00634EC4">
      <w:pPr>
        <w:spacing w:after="200" w:line="276" w:lineRule="auto"/>
        <w:rPr>
          <w:rFonts w:ascii="Arial" w:eastAsia="Arial" w:hAnsi="Arial" w:cs="Arial"/>
        </w:rPr>
      </w:pPr>
      <w:r>
        <w:rPr>
          <w:rFonts w:ascii="Arial" w:eastAsia="Arial" w:hAnsi="Arial" w:cs="Arial"/>
        </w:rPr>
        <w:t>This result supports Swain’s (2005) Output Hypothesis, which emphasizes the importance of language productio</w:t>
      </w:r>
      <w:r>
        <w:rPr>
          <w:rFonts w:ascii="Arial" w:eastAsia="Arial" w:hAnsi="Arial" w:cs="Arial"/>
        </w:rPr>
        <w:t>n in second language acquisition. By engaging in collaborative tasks, students actively constructed meaning and produced language output, leading to measurable improvements.</w:t>
      </w:r>
    </w:p>
    <w:p w14:paraId="059A27F8" w14:textId="77777777" w:rsidR="00907C78" w:rsidRDefault="00634EC4">
      <w:pPr>
        <w:pStyle w:val="Heading3"/>
      </w:pPr>
      <w:bookmarkStart w:id="13" w:name="_1osepv6sj4ij" w:colFirst="0" w:colLast="0"/>
      <w:bookmarkEnd w:id="13"/>
      <w:r>
        <w:lastRenderedPageBreak/>
        <w:t>3.1.2 Control Group Performance</w:t>
      </w:r>
    </w:p>
    <w:p w14:paraId="05FC098C" w14:textId="77777777" w:rsidR="00907C78" w:rsidRDefault="00907C78"/>
    <w:p w14:paraId="3106F908" w14:textId="77777777" w:rsidR="00907C78" w:rsidRDefault="00634EC4">
      <w:pPr>
        <w:spacing w:after="200" w:line="276" w:lineRule="auto"/>
        <w:rPr>
          <w:rFonts w:ascii="Arial" w:eastAsia="Arial" w:hAnsi="Arial" w:cs="Arial"/>
        </w:rPr>
      </w:pPr>
      <w:r>
        <w:rPr>
          <w:rFonts w:ascii="Arial" w:eastAsia="Arial" w:hAnsi="Arial" w:cs="Arial"/>
        </w:rPr>
        <w:t>The control group received traditional instructio</w:t>
      </w:r>
      <w:r>
        <w:rPr>
          <w:rFonts w:ascii="Arial" w:eastAsia="Arial" w:hAnsi="Arial" w:cs="Arial"/>
        </w:rPr>
        <w:t>n and exhibited modest improvement. Their pretest mean was 43.70 (SD = 2.19) and posttest mean was 46.04 (SD = 1.19), with a mean gain of 2.34 (SD = 1.98).</w:t>
      </w:r>
    </w:p>
    <w:p w14:paraId="738C7215" w14:textId="77777777" w:rsidR="00907C78" w:rsidRDefault="00634EC4">
      <w:pPr>
        <w:spacing w:after="200" w:line="276" w:lineRule="auto"/>
        <w:rPr>
          <w:rFonts w:ascii="Arial" w:eastAsia="Arial" w:hAnsi="Arial" w:cs="Arial"/>
        </w:rPr>
      </w:pPr>
      <w:r>
        <w:rPr>
          <w:rFonts w:ascii="Arial" w:eastAsia="Arial" w:hAnsi="Arial" w:cs="Arial"/>
        </w:rPr>
        <w:t>Table 2. Mean Gain Scores – Control Group</w:t>
      </w:r>
    </w:p>
    <w:tbl>
      <w:tblPr>
        <w:tblStyle w:val="a2"/>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2160"/>
        <w:gridCol w:w="2160"/>
        <w:gridCol w:w="2160"/>
      </w:tblGrid>
      <w:tr w:rsidR="00907C78" w14:paraId="0AA0717B" w14:textId="77777777">
        <w:tc>
          <w:tcPr>
            <w:tcW w:w="2160" w:type="dxa"/>
          </w:tcPr>
          <w:p w14:paraId="6E018916" w14:textId="77777777" w:rsidR="00907C78" w:rsidRDefault="00634EC4">
            <w:pPr>
              <w:rPr>
                <w:rFonts w:ascii="Arial" w:eastAsia="Arial" w:hAnsi="Arial" w:cs="Arial"/>
              </w:rPr>
            </w:pPr>
            <w:r>
              <w:rPr>
                <w:rFonts w:ascii="Arial" w:eastAsia="Arial" w:hAnsi="Arial" w:cs="Arial"/>
              </w:rPr>
              <w:t>Group</w:t>
            </w:r>
          </w:p>
        </w:tc>
        <w:tc>
          <w:tcPr>
            <w:tcW w:w="2160" w:type="dxa"/>
          </w:tcPr>
          <w:p w14:paraId="4BF4FBC4" w14:textId="77777777" w:rsidR="00907C78" w:rsidRDefault="00634EC4">
            <w:pPr>
              <w:rPr>
                <w:rFonts w:ascii="Arial" w:eastAsia="Arial" w:hAnsi="Arial" w:cs="Arial"/>
              </w:rPr>
            </w:pPr>
            <w:r>
              <w:rPr>
                <w:rFonts w:ascii="Arial" w:eastAsia="Arial" w:hAnsi="Arial" w:cs="Arial"/>
              </w:rPr>
              <w:t>Pretest Mean (SD)</w:t>
            </w:r>
          </w:p>
        </w:tc>
        <w:tc>
          <w:tcPr>
            <w:tcW w:w="2160" w:type="dxa"/>
          </w:tcPr>
          <w:p w14:paraId="106B61E7" w14:textId="77777777" w:rsidR="00907C78" w:rsidRDefault="00634EC4">
            <w:pPr>
              <w:rPr>
                <w:rFonts w:ascii="Arial" w:eastAsia="Arial" w:hAnsi="Arial" w:cs="Arial"/>
              </w:rPr>
            </w:pPr>
            <w:r>
              <w:rPr>
                <w:rFonts w:ascii="Arial" w:eastAsia="Arial" w:hAnsi="Arial" w:cs="Arial"/>
              </w:rPr>
              <w:t>Posttest Mean (SD)</w:t>
            </w:r>
          </w:p>
        </w:tc>
        <w:tc>
          <w:tcPr>
            <w:tcW w:w="2160" w:type="dxa"/>
          </w:tcPr>
          <w:p w14:paraId="02978A47" w14:textId="77777777" w:rsidR="00907C78" w:rsidRDefault="00634EC4">
            <w:pPr>
              <w:rPr>
                <w:rFonts w:ascii="Arial" w:eastAsia="Arial" w:hAnsi="Arial" w:cs="Arial"/>
              </w:rPr>
            </w:pPr>
            <w:r>
              <w:rPr>
                <w:rFonts w:ascii="Arial" w:eastAsia="Arial" w:hAnsi="Arial" w:cs="Arial"/>
              </w:rPr>
              <w:t>Mean Gain (SD)</w:t>
            </w:r>
          </w:p>
        </w:tc>
      </w:tr>
      <w:tr w:rsidR="00907C78" w14:paraId="1015F422" w14:textId="77777777">
        <w:tc>
          <w:tcPr>
            <w:tcW w:w="2160" w:type="dxa"/>
          </w:tcPr>
          <w:p w14:paraId="482E2B31" w14:textId="77777777" w:rsidR="00907C78" w:rsidRDefault="00634EC4">
            <w:pPr>
              <w:rPr>
                <w:rFonts w:ascii="Arial" w:eastAsia="Arial" w:hAnsi="Arial" w:cs="Arial"/>
              </w:rPr>
            </w:pPr>
            <w:r>
              <w:rPr>
                <w:rFonts w:ascii="Arial" w:eastAsia="Arial" w:hAnsi="Arial" w:cs="Arial"/>
              </w:rPr>
              <w:t>Control</w:t>
            </w:r>
          </w:p>
        </w:tc>
        <w:tc>
          <w:tcPr>
            <w:tcW w:w="2160" w:type="dxa"/>
          </w:tcPr>
          <w:p w14:paraId="2E3BC76A" w14:textId="77777777" w:rsidR="00907C78" w:rsidRDefault="00634EC4">
            <w:pPr>
              <w:rPr>
                <w:rFonts w:ascii="Arial" w:eastAsia="Arial" w:hAnsi="Arial" w:cs="Arial"/>
              </w:rPr>
            </w:pPr>
            <w:r>
              <w:rPr>
                <w:rFonts w:ascii="Arial" w:eastAsia="Arial" w:hAnsi="Arial" w:cs="Arial"/>
              </w:rPr>
              <w:t>43.70 (2.19)</w:t>
            </w:r>
          </w:p>
        </w:tc>
        <w:tc>
          <w:tcPr>
            <w:tcW w:w="2160" w:type="dxa"/>
          </w:tcPr>
          <w:p w14:paraId="465E0925" w14:textId="77777777" w:rsidR="00907C78" w:rsidRDefault="00634EC4">
            <w:pPr>
              <w:rPr>
                <w:rFonts w:ascii="Arial" w:eastAsia="Arial" w:hAnsi="Arial" w:cs="Arial"/>
              </w:rPr>
            </w:pPr>
            <w:r>
              <w:rPr>
                <w:rFonts w:ascii="Arial" w:eastAsia="Arial" w:hAnsi="Arial" w:cs="Arial"/>
              </w:rPr>
              <w:t>46.04 (1.19)</w:t>
            </w:r>
          </w:p>
        </w:tc>
        <w:tc>
          <w:tcPr>
            <w:tcW w:w="2160" w:type="dxa"/>
          </w:tcPr>
          <w:p w14:paraId="2091AFE7" w14:textId="77777777" w:rsidR="00907C78" w:rsidRDefault="00634EC4">
            <w:pPr>
              <w:rPr>
                <w:rFonts w:ascii="Arial" w:eastAsia="Arial" w:hAnsi="Arial" w:cs="Arial"/>
              </w:rPr>
            </w:pPr>
            <w:r>
              <w:rPr>
                <w:rFonts w:ascii="Arial" w:eastAsia="Arial" w:hAnsi="Arial" w:cs="Arial"/>
              </w:rPr>
              <w:t>2.34 (1.98)</w:t>
            </w:r>
          </w:p>
        </w:tc>
      </w:tr>
    </w:tbl>
    <w:p w14:paraId="35436D35" w14:textId="77777777" w:rsidR="00907C78" w:rsidRDefault="00634EC4">
      <w:pPr>
        <w:spacing w:after="200" w:line="276" w:lineRule="auto"/>
        <w:rPr>
          <w:rFonts w:ascii="Arial" w:eastAsia="Arial" w:hAnsi="Arial" w:cs="Arial"/>
        </w:rPr>
      </w:pPr>
      <w:r>
        <w:rPr>
          <w:rFonts w:ascii="Arial" w:eastAsia="Arial" w:hAnsi="Arial" w:cs="Arial"/>
        </w:rPr>
        <w:br/>
        <w:t>Though improvement was observed, the variation in scores suggests that the traditional method may not consistently foster speaking development across students.</w:t>
      </w:r>
    </w:p>
    <w:p w14:paraId="76C14E36" w14:textId="77777777" w:rsidR="00907C78" w:rsidRDefault="00634EC4">
      <w:pPr>
        <w:pStyle w:val="Heading3"/>
        <w:spacing w:after="200" w:line="276" w:lineRule="auto"/>
      </w:pPr>
      <w:bookmarkStart w:id="14" w:name="_fzbjx8xoyf6f" w:colFirst="0" w:colLast="0"/>
      <w:bookmarkEnd w:id="14"/>
      <w:r>
        <w:t>3.1.3 Test of Statistical Significance</w:t>
      </w:r>
    </w:p>
    <w:p w14:paraId="70E26427" w14:textId="77777777" w:rsidR="00907C78" w:rsidRDefault="00634EC4">
      <w:pPr>
        <w:spacing w:after="200" w:line="276" w:lineRule="auto"/>
        <w:rPr>
          <w:rFonts w:ascii="Arial" w:eastAsia="Arial" w:hAnsi="Arial" w:cs="Arial"/>
        </w:rPr>
      </w:pPr>
      <w:r>
        <w:rPr>
          <w:rFonts w:ascii="Arial" w:eastAsia="Arial" w:hAnsi="Arial" w:cs="Arial"/>
        </w:rPr>
        <w:t xml:space="preserve">An </w:t>
      </w:r>
      <w:r>
        <w:rPr>
          <w:rFonts w:ascii="Arial" w:eastAsia="Arial" w:hAnsi="Arial" w:cs="Arial"/>
        </w:rPr>
        <w:t>independent sample t-test was conducted to determine if the difference between the groups was statistically significant. Results showed a t-value of -3.45 and a p-value of 0.001, indicating a significant difference in favor of the experimental group.</w:t>
      </w:r>
    </w:p>
    <w:p w14:paraId="382913CB" w14:textId="77777777" w:rsidR="00907C78" w:rsidRDefault="00634EC4">
      <w:pPr>
        <w:spacing w:after="200" w:line="276" w:lineRule="auto"/>
        <w:rPr>
          <w:rFonts w:ascii="Arial" w:eastAsia="Arial" w:hAnsi="Arial" w:cs="Arial"/>
        </w:rPr>
      </w:pPr>
      <w:r>
        <w:rPr>
          <w:rFonts w:ascii="Arial" w:eastAsia="Arial" w:hAnsi="Arial" w:cs="Arial"/>
        </w:rPr>
        <w:t>Table</w:t>
      </w:r>
      <w:r>
        <w:rPr>
          <w:rFonts w:ascii="Arial" w:eastAsia="Arial" w:hAnsi="Arial" w:cs="Arial"/>
        </w:rPr>
        <w:t xml:space="preserve"> 3. Independent Samples t-test – Gain Scores Comparison</w:t>
      </w:r>
    </w:p>
    <w:tbl>
      <w:tblPr>
        <w:tblStyle w:val="a3"/>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2160"/>
        <w:gridCol w:w="2160"/>
        <w:gridCol w:w="2160"/>
      </w:tblGrid>
      <w:tr w:rsidR="00907C78" w14:paraId="233FCAE2" w14:textId="77777777">
        <w:tc>
          <w:tcPr>
            <w:tcW w:w="2160" w:type="dxa"/>
          </w:tcPr>
          <w:p w14:paraId="1AE934AE" w14:textId="77777777" w:rsidR="00907C78" w:rsidRDefault="00634EC4">
            <w:pPr>
              <w:rPr>
                <w:rFonts w:ascii="Arial" w:eastAsia="Arial" w:hAnsi="Arial" w:cs="Arial"/>
              </w:rPr>
            </w:pPr>
            <w:r>
              <w:rPr>
                <w:rFonts w:ascii="Arial" w:eastAsia="Arial" w:hAnsi="Arial" w:cs="Arial"/>
              </w:rPr>
              <w:t>Group</w:t>
            </w:r>
          </w:p>
        </w:tc>
        <w:tc>
          <w:tcPr>
            <w:tcW w:w="2160" w:type="dxa"/>
          </w:tcPr>
          <w:p w14:paraId="7F96BA31" w14:textId="77777777" w:rsidR="00907C78" w:rsidRDefault="00634EC4">
            <w:pPr>
              <w:rPr>
                <w:rFonts w:ascii="Arial" w:eastAsia="Arial" w:hAnsi="Arial" w:cs="Arial"/>
              </w:rPr>
            </w:pPr>
            <w:r>
              <w:rPr>
                <w:rFonts w:ascii="Arial" w:eastAsia="Arial" w:hAnsi="Arial" w:cs="Arial"/>
              </w:rPr>
              <w:t>Mean Gain (SD)</w:t>
            </w:r>
          </w:p>
        </w:tc>
        <w:tc>
          <w:tcPr>
            <w:tcW w:w="2160" w:type="dxa"/>
          </w:tcPr>
          <w:p w14:paraId="5471F8D7" w14:textId="77777777" w:rsidR="00907C78" w:rsidRDefault="00634EC4">
            <w:pPr>
              <w:rPr>
                <w:rFonts w:ascii="Arial" w:eastAsia="Arial" w:hAnsi="Arial" w:cs="Arial"/>
              </w:rPr>
            </w:pPr>
            <w:r>
              <w:rPr>
                <w:rFonts w:ascii="Arial" w:eastAsia="Arial" w:hAnsi="Arial" w:cs="Arial"/>
              </w:rPr>
              <w:t>t-value</w:t>
            </w:r>
          </w:p>
        </w:tc>
        <w:tc>
          <w:tcPr>
            <w:tcW w:w="2160" w:type="dxa"/>
          </w:tcPr>
          <w:p w14:paraId="33642081" w14:textId="77777777" w:rsidR="00907C78" w:rsidRDefault="00634EC4">
            <w:pPr>
              <w:rPr>
                <w:rFonts w:ascii="Arial" w:eastAsia="Arial" w:hAnsi="Arial" w:cs="Arial"/>
              </w:rPr>
            </w:pPr>
            <w:r>
              <w:rPr>
                <w:rFonts w:ascii="Arial" w:eastAsia="Arial" w:hAnsi="Arial" w:cs="Arial"/>
              </w:rPr>
              <w:t>p-value</w:t>
            </w:r>
          </w:p>
        </w:tc>
      </w:tr>
      <w:tr w:rsidR="00907C78" w14:paraId="21332D6B" w14:textId="77777777">
        <w:tc>
          <w:tcPr>
            <w:tcW w:w="2160" w:type="dxa"/>
          </w:tcPr>
          <w:p w14:paraId="615707A8" w14:textId="77777777" w:rsidR="00907C78" w:rsidRDefault="00634EC4">
            <w:pPr>
              <w:rPr>
                <w:rFonts w:ascii="Arial" w:eastAsia="Arial" w:hAnsi="Arial" w:cs="Arial"/>
              </w:rPr>
            </w:pPr>
            <w:r>
              <w:rPr>
                <w:rFonts w:ascii="Arial" w:eastAsia="Arial" w:hAnsi="Arial" w:cs="Arial"/>
              </w:rPr>
              <w:t>Experimental</w:t>
            </w:r>
          </w:p>
        </w:tc>
        <w:tc>
          <w:tcPr>
            <w:tcW w:w="2160" w:type="dxa"/>
          </w:tcPr>
          <w:p w14:paraId="62CDA3C7" w14:textId="77777777" w:rsidR="00907C78" w:rsidRDefault="00634EC4">
            <w:pPr>
              <w:rPr>
                <w:rFonts w:ascii="Arial" w:eastAsia="Arial" w:hAnsi="Arial" w:cs="Arial"/>
              </w:rPr>
            </w:pPr>
            <w:r>
              <w:rPr>
                <w:rFonts w:ascii="Arial" w:eastAsia="Arial" w:hAnsi="Arial" w:cs="Arial"/>
              </w:rPr>
              <w:t>3.25 (1.56)</w:t>
            </w:r>
          </w:p>
        </w:tc>
        <w:tc>
          <w:tcPr>
            <w:tcW w:w="2160" w:type="dxa"/>
          </w:tcPr>
          <w:p w14:paraId="0610EAC7" w14:textId="77777777" w:rsidR="00907C78" w:rsidRDefault="00634EC4">
            <w:pPr>
              <w:rPr>
                <w:rFonts w:ascii="Arial" w:eastAsia="Arial" w:hAnsi="Arial" w:cs="Arial"/>
              </w:rPr>
            </w:pPr>
            <w:r>
              <w:rPr>
                <w:rFonts w:ascii="Arial" w:eastAsia="Arial" w:hAnsi="Arial" w:cs="Arial"/>
              </w:rPr>
              <w:t>-3.45</w:t>
            </w:r>
          </w:p>
        </w:tc>
        <w:tc>
          <w:tcPr>
            <w:tcW w:w="2160" w:type="dxa"/>
          </w:tcPr>
          <w:p w14:paraId="520B93D5" w14:textId="77777777" w:rsidR="00907C78" w:rsidRDefault="00634EC4">
            <w:pPr>
              <w:rPr>
                <w:rFonts w:ascii="Arial" w:eastAsia="Arial" w:hAnsi="Arial" w:cs="Arial"/>
              </w:rPr>
            </w:pPr>
            <w:r>
              <w:rPr>
                <w:rFonts w:ascii="Arial" w:eastAsia="Arial" w:hAnsi="Arial" w:cs="Arial"/>
              </w:rPr>
              <w:t>0.001</w:t>
            </w:r>
          </w:p>
        </w:tc>
      </w:tr>
      <w:tr w:rsidR="00907C78" w14:paraId="7AA93359" w14:textId="77777777">
        <w:tc>
          <w:tcPr>
            <w:tcW w:w="2160" w:type="dxa"/>
          </w:tcPr>
          <w:p w14:paraId="43622FF2" w14:textId="77777777" w:rsidR="00907C78" w:rsidRDefault="00634EC4">
            <w:pPr>
              <w:rPr>
                <w:rFonts w:ascii="Arial" w:eastAsia="Arial" w:hAnsi="Arial" w:cs="Arial"/>
              </w:rPr>
            </w:pPr>
            <w:r>
              <w:rPr>
                <w:rFonts w:ascii="Arial" w:eastAsia="Arial" w:hAnsi="Arial" w:cs="Arial"/>
              </w:rPr>
              <w:t>Control</w:t>
            </w:r>
          </w:p>
        </w:tc>
        <w:tc>
          <w:tcPr>
            <w:tcW w:w="2160" w:type="dxa"/>
          </w:tcPr>
          <w:p w14:paraId="28D63B18" w14:textId="77777777" w:rsidR="00907C78" w:rsidRDefault="00634EC4">
            <w:pPr>
              <w:rPr>
                <w:rFonts w:ascii="Arial" w:eastAsia="Arial" w:hAnsi="Arial" w:cs="Arial"/>
              </w:rPr>
            </w:pPr>
            <w:r>
              <w:rPr>
                <w:rFonts w:ascii="Arial" w:eastAsia="Arial" w:hAnsi="Arial" w:cs="Arial"/>
              </w:rPr>
              <w:t>2.34 (1.98)</w:t>
            </w:r>
          </w:p>
        </w:tc>
        <w:tc>
          <w:tcPr>
            <w:tcW w:w="2160" w:type="dxa"/>
          </w:tcPr>
          <w:p w14:paraId="3DA5DBF0" w14:textId="77777777" w:rsidR="00907C78" w:rsidRDefault="00907C78">
            <w:pPr>
              <w:rPr>
                <w:rFonts w:ascii="Arial" w:eastAsia="Arial" w:hAnsi="Arial" w:cs="Arial"/>
              </w:rPr>
            </w:pPr>
          </w:p>
        </w:tc>
        <w:tc>
          <w:tcPr>
            <w:tcW w:w="2160" w:type="dxa"/>
          </w:tcPr>
          <w:p w14:paraId="1EF36653" w14:textId="77777777" w:rsidR="00907C78" w:rsidRDefault="00907C78">
            <w:pPr>
              <w:rPr>
                <w:rFonts w:ascii="Arial" w:eastAsia="Arial" w:hAnsi="Arial" w:cs="Arial"/>
              </w:rPr>
            </w:pPr>
          </w:p>
        </w:tc>
      </w:tr>
    </w:tbl>
    <w:p w14:paraId="4823DC2F" w14:textId="77777777" w:rsidR="00907C78" w:rsidRDefault="00634EC4">
      <w:pPr>
        <w:spacing w:after="200" w:line="276" w:lineRule="auto"/>
        <w:rPr>
          <w:rFonts w:ascii="Arial" w:eastAsia="Arial" w:hAnsi="Arial" w:cs="Arial"/>
        </w:rPr>
      </w:pPr>
      <w:r>
        <w:rPr>
          <w:rFonts w:ascii="Arial" w:eastAsia="Arial" w:hAnsi="Arial" w:cs="Arial"/>
        </w:rPr>
        <w:br/>
        <w:t xml:space="preserve">These findings demonstrate that Collaborative Reporting was more effective in improving speaking </w:t>
      </w:r>
      <w:r>
        <w:rPr>
          <w:rFonts w:ascii="Arial" w:eastAsia="Arial" w:hAnsi="Arial" w:cs="Arial"/>
        </w:rPr>
        <w:t>performance than the traditional method.</w:t>
      </w:r>
    </w:p>
    <w:p w14:paraId="22C2E4D9" w14:textId="77777777" w:rsidR="00907C78" w:rsidRDefault="00634EC4">
      <w:pPr>
        <w:pStyle w:val="Heading2"/>
      </w:pPr>
      <w:bookmarkStart w:id="15" w:name="_x1h7gt97dbe6" w:colFirst="0" w:colLast="0"/>
      <w:bookmarkEnd w:id="15"/>
      <w:r>
        <w:t>3.2 Theoretical and Pedagogical Implications</w:t>
      </w:r>
    </w:p>
    <w:p w14:paraId="29D21048" w14:textId="77777777" w:rsidR="00907C78" w:rsidRDefault="00907C78"/>
    <w:p w14:paraId="7AC75D83" w14:textId="77777777" w:rsidR="00907C78" w:rsidRDefault="00634EC4">
      <w:pPr>
        <w:pStyle w:val="Heading3"/>
      </w:pPr>
      <w:bookmarkStart w:id="16" w:name="_z47mdh318cc9" w:colFirst="0" w:colLast="0"/>
      <w:bookmarkEnd w:id="16"/>
      <w:r>
        <w:t>3.2.1 Alignment with Vygotsky’s Sociocultural Theory</w:t>
      </w:r>
    </w:p>
    <w:p w14:paraId="4D5B761B" w14:textId="77777777" w:rsidR="00907C78" w:rsidRDefault="00634EC4">
      <w:pPr>
        <w:spacing w:after="200" w:line="276" w:lineRule="auto"/>
        <w:rPr>
          <w:rFonts w:ascii="Arial" w:eastAsia="Arial" w:hAnsi="Arial" w:cs="Arial"/>
        </w:rPr>
      </w:pPr>
      <w:r>
        <w:rPr>
          <w:rFonts w:ascii="Arial" w:eastAsia="Arial" w:hAnsi="Arial" w:cs="Arial"/>
        </w:rPr>
        <w:br/>
        <w:t>The results are consistent with Vygotsky’s (1978) Sociocultural Theory, particularly the Zone of Proximal Developme</w:t>
      </w:r>
      <w:r>
        <w:rPr>
          <w:rFonts w:ascii="Arial" w:eastAsia="Arial" w:hAnsi="Arial" w:cs="Arial"/>
        </w:rPr>
        <w:t>nt (ZPD). Collaborative Reporting likely functioned as a scaffold, enabling students to progress through peer-mediated interaction.</w:t>
      </w:r>
    </w:p>
    <w:p w14:paraId="48CECC0A" w14:textId="77777777" w:rsidR="00907C78" w:rsidRDefault="00634EC4">
      <w:pPr>
        <w:pStyle w:val="Heading3"/>
      </w:pPr>
      <w:bookmarkStart w:id="17" w:name="_npkenepu0lhs" w:colFirst="0" w:colLast="0"/>
      <w:bookmarkEnd w:id="17"/>
      <w:r>
        <w:t>3.2.2 Cognitive and Communicative Gains</w:t>
      </w:r>
    </w:p>
    <w:p w14:paraId="40767A7E" w14:textId="77777777" w:rsidR="00907C78" w:rsidRDefault="00907C78"/>
    <w:p w14:paraId="1C460BF7" w14:textId="77777777" w:rsidR="00907C78" w:rsidRDefault="00634EC4">
      <w:pPr>
        <w:spacing w:after="200" w:line="276" w:lineRule="auto"/>
        <w:rPr>
          <w:rFonts w:ascii="Arial" w:eastAsia="Arial" w:hAnsi="Arial" w:cs="Arial"/>
          <w:color w:val="000000"/>
        </w:rPr>
      </w:pPr>
      <w:r>
        <w:rPr>
          <w:rFonts w:ascii="Arial" w:eastAsia="Arial" w:hAnsi="Arial" w:cs="Arial"/>
        </w:rPr>
        <w:t>The use of Collaborative Reporting encouraged higher-order thinking, group negotiat</w:t>
      </w:r>
      <w:r>
        <w:rPr>
          <w:rFonts w:ascii="Arial" w:eastAsia="Arial" w:hAnsi="Arial" w:cs="Arial"/>
        </w:rPr>
        <w:t>ion, and real-time language use—skills essential for oral proficiency. It also reduced speaking anxiety, as reported in prior studies (Storch, 2013; Gillies, 2017).</w:t>
      </w:r>
    </w:p>
    <w:p w14:paraId="4645D48D" w14:textId="77777777" w:rsidR="00907C78" w:rsidRDefault="00634EC4">
      <w:pPr>
        <w:pStyle w:val="Heading1"/>
      </w:pPr>
      <w:bookmarkStart w:id="18" w:name="_lhub84wt1j1k" w:colFirst="0" w:colLast="0"/>
      <w:bookmarkEnd w:id="18"/>
      <w:r>
        <w:t>4. CONCLUSION</w:t>
      </w:r>
    </w:p>
    <w:p w14:paraId="7FF80C8C" w14:textId="77777777" w:rsidR="00907C78" w:rsidRDefault="00634EC4">
      <w:pPr>
        <w:spacing w:after="200" w:line="276" w:lineRule="auto"/>
        <w:rPr>
          <w:rFonts w:ascii="Arial" w:eastAsia="Arial" w:hAnsi="Arial" w:cs="Arial"/>
          <w:b/>
          <w:smallCaps/>
          <w:sz w:val="22"/>
          <w:szCs w:val="22"/>
        </w:rPr>
      </w:pPr>
      <w:r>
        <w:rPr>
          <w:rFonts w:ascii="Arial" w:eastAsia="Arial" w:hAnsi="Arial" w:cs="Arial"/>
        </w:rPr>
        <w:t xml:space="preserve">Collaborative Reporting significantly improves speaking proficiency among </w:t>
      </w:r>
      <w:r>
        <w:rPr>
          <w:rFonts w:ascii="Arial" w:eastAsia="Arial" w:hAnsi="Arial" w:cs="Arial"/>
        </w:rPr>
        <w:t>senior high school students. It offers a viable alternative to traditional instruction by fostering engagement, interaction, and communicative competence. Language educators are encouraged to integrate collaborative methods into their teaching strategies t</w:t>
      </w:r>
      <w:r>
        <w:rPr>
          <w:rFonts w:ascii="Arial" w:eastAsia="Arial" w:hAnsi="Arial" w:cs="Arial"/>
        </w:rPr>
        <w:t>o enhance learner outcomes.</w:t>
      </w:r>
    </w:p>
    <w:p w14:paraId="32F1A6B9" w14:textId="77777777" w:rsidR="00907C78" w:rsidRDefault="00907C78">
      <w:pPr>
        <w:rPr>
          <w:rFonts w:ascii="Arial" w:eastAsia="Arial" w:hAnsi="Arial" w:cs="Arial"/>
          <w:b/>
          <w:smallCaps/>
          <w:sz w:val="22"/>
          <w:szCs w:val="22"/>
        </w:rPr>
      </w:pPr>
      <w:bookmarkStart w:id="19" w:name="_pem1idzhu6as" w:colFirst="0" w:colLast="0"/>
      <w:bookmarkEnd w:id="19"/>
    </w:p>
    <w:p w14:paraId="7B95DD99" w14:textId="77777777" w:rsidR="00907C78" w:rsidRDefault="00634EC4">
      <w:pPr>
        <w:rPr>
          <w:rFonts w:ascii="Arial" w:eastAsia="Arial" w:hAnsi="Arial" w:cs="Arial"/>
          <w:b/>
          <w:smallCaps/>
          <w:sz w:val="22"/>
          <w:szCs w:val="22"/>
        </w:rPr>
      </w:pPr>
      <w:r>
        <w:rPr>
          <w:rFonts w:ascii="Arial" w:eastAsia="Arial" w:hAnsi="Arial" w:cs="Arial"/>
          <w:b/>
          <w:smallCaps/>
          <w:sz w:val="22"/>
          <w:szCs w:val="22"/>
        </w:rPr>
        <w:t>CONSENT</w:t>
      </w:r>
    </w:p>
    <w:p w14:paraId="3F6320FB" w14:textId="77777777" w:rsidR="00907C78" w:rsidRDefault="00907C78">
      <w:pPr>
        <w:rPr>
          <w:rFonts w:ascii="Arial" w:eastAsia="Arial" w:hAnsi="Arial" w:cs="Arial"/>
        </w:rPr>
      </w:pPr>
    </w:p>
    <w:p w14:paraId="58F51453" w14:textId="77777777" w:rsidR="00907C78" w:rsidRDefault="00634EC4">
      <w:pPr>
        <w:rPr>
          <w:rFonts w:ascii="Arial" w:eastAsia="Arial" w:hAnsi="Arial" w:cs="Arial"/>
        </w:rPr>
      </w:pPr>
      <w:r>
        <w:rPr>
          <w:rFonts w:ascii="Arial" w:eastAsia="Arial" w:hAnsi="Arial" w:cs="Arial"/>
        </w:rPr>
        <w:t>Not applicable.</w:t>
      </w:r>
    </w:p>
    <w:p w14:paraId="4D199782" w14:textId="77777777" w:rsidR="00907C78" w:rsidRDefault="00907C78">
      <w:pPr>
        <w:rPr>
          <w:rFonts w:ascii="Arial" w:eastAsia="Arial" w:hAnsi="Arial" w:cs="Arial"/>
          <w:b/>
          <w:smallCaps/>
          <w:color w:val="FF0000"/>
          <w:sz w:val="22"/>
          <w:szCs w:val="22"/>
        </w:rPr>
      </w:pPr>
    </w:p>
    <w:p w14:paraId="69D62A85" w14:textId="77777777" w:rsidR="00907C78" w:rsidRDefault="00634EC4">
      <w:pPr>
        <w:rPr>
          <w:rFonts w:ascii="Arial" w:eastAsia="Arial" w:hAnsi="Arial" w:cs="Arial"/>
          <w:b/>
          <w:smallCaps/>
          <w:sz w:val="22"/>
          <w:szCs w:val="22"/>
        </w:rPr>
      </w:pPr>
      <w:r>
        <w:rPr>
          <w:rFonts w:ascii="Arial" w:eastAsia="Arial" w:hAnsi="Arial" w:cs="Arial"/>
          <w:b/>
          <w:smallCaps/>
          <w:sz w:val="22"/>
          <w:szCs w:val="22"/>
        </w:rPr>
        <w:br/>
      </w:r>
      <w:r>
        <w:rPr>
          <w:rFonts w:ascii="Arial" w:eastAsia="Arial" w:hAnsi="Arial" w:cs="Arial"/>
          <w:b/>
          <w:smallCaps/>
          <w:sz w:val="22"/>
          <w:szCs w:val="22"/>
        </w:rPr>
        <w:t>REFERENCES</w:t>
      </w:r>
    </w:p>
    <w:p w14:paraId="582A176B" w14:textId="77777777" w:rsidR="00907C78" w:rsidRDefault="00907C78">
      <w:pPr>
        <w:rPr>
          <w:rFonts w:ascii="Arial" w:eastAsia="Arial" w:hAnsi="Arial" w:cs="Arial"/>
          <w:b/>
          <w:smallCaps/>
          <w:color w:val="FF0000"/>
          <w:sz w:val="22"/>
          <w:szCs w:val="22"/>
        </w:rPr>
      </w:pPr>
    </w:p>
    <w:p w14:paraId="61D13B50" w14:textId="77777777" w:rsidR="00907C78" w:rsidRDefault="00634EC4">
      <w:pPr>
        <w:spacing w:after="200" w:line="276" w:lineRule="auto"/>
        <w:rPr>
          <w:rFonts w:ascii="Cambria" w:eastAsia="Cambria" w:hAnsi="Cambria" w:cs="Cambria"/>
          <w:sz w:val="22"/>
          <w:szCs w:val="22"/>
        </w:rPr>
      </w:pPr>
      <w:r>
        <w:rPr>
          <w:rFonts w:ascii="Cambria" w:eastAsia="Cambria" w:hAnsi="Cambria" w:cs="Cambria"/>
          <w:sz w:val="22"/>
          <w:szCs w:val="22"/>
        </w:rPr>
        <w:t>Barkley, E. F., Cross, K. P., &amp; Major, C. H. (2014). Collaborative learning techniques: A handbook for college faculty. Jossey-Bass.</w:t>
      </w:r>
    </w:p>
    <w:p w14:paraId="32DD44EE" w14:textId="77777777" w:rsidR="00907C78" w:rsidRDefault="00634EC4">
      <w:pPr>
        <w:spacing w:after="200" w:line="276" w:lineRule="auto"/>
        <w:rPr>
          <w:rFonts w:ascii="Cambria" w:eastAsia="Cambria" w:hAnsi="Cambria" w:cs="Cambria"/>
          <w:sz w:val="22"/>
          <w:szCs w:val="22"/>
        </w:rPr>
      </w:pPr>
      <w:r>
        <w:rPr>
          <w:rFonts w:ascii="Cambria" w:eastAsia="Cambria" w:hAnsi="Cambria" w:cs="Cambria"/>
          <w:sz w:val="22"/>
          <w:szCs w:val="22"/>
        </w:rPr>
        <w:t>Gillies, R. M. (2016). Cooperative learning: Review of research and practice. Australian Journal of Teacher Edu</w:t>
      </w:r>
      <w:r>
        <w:rPr>
          <w:rFonts w:ascii="Cambria" w:eastAsia="Cambria" w:hAnsi="Cambria" w:cs="Cambria"/>
          <w:sz w:val="22"/>
          <w:szCs w:val="22"/>
        </w:rPr>
        <w:t>cation, 41(4), 1-13.</w:t>
      </w:r>
    </w:p>
    <w:p w14:paraId="6DAA2245" w14:textId="77777777" w:rsidR="00907C78" w:rsidRDefault="00634EC4">
      <w:pPr>
        <w:spacing w:after="200" w:line="276" w:lineRule="auto"/>
        <w:rPr>
          <w:rFonts w:ascii="Cambria" w:eastAsia="Cambria" w:hAnsi="Cambria" w:cs="Cambria"/>
          <w:sz w:val="22"/>
          <w:szCs w:val="22"/>
        </w:rPr>
      </w:pPr>
      <w:r>
        <w:rPr>
          <w:rFonts w:ascii="Cambria" w:eastAsia="Cambria" w:hAnsi="Cambria" w:cs="Cambria"/>
          <w:sz w:val="22"/>
          <w:szCs w:val="22"/>
        </w:rPr>
        <w:t>Hattie, J., &amp; Timperley, H. (2017). The power of feedback. Review of Educational Research, 77(1), 81-112.</w:t>
      </w:r>
    </w:p>
    <w:p w14:paraId="32F199AB" w14:textId="77777777" w:rsidR="00907C78" w:rsidRDefault="00634EC4">
      <w:pPr>
        <w:spacing w:after="200" w:line="276" w:lineRule="auto"/>
        <w:rPr>
          <w:rFonts w:ascii="Cambria" w:eastAsia="Cambria" w:hAnsi="Cambria" w:cs="Cambria"/>
          <w:sz w:val="22"/>
          <w:szCs w:val="22"/>
        </w:rPr>
      </w:pPr>
      <w:r>
        <w:rPr>
          <w:rFonts w:ascii="Cambria" w:eastAsia="Cambria" w:hAnsi="Cambria" w:cs="Cambria"/>
          <w:sz w:val="22"/>
          <w:szCs w:val="22"/>
        </w:rPr>
        <w:t>Johnson, D. W., &amp; Johnson, R. T. (2015). Cooperative learning and its impact on student achievement. International Journal of Edu</w:t>
      </w:r>
      <w:r>
        <w:rPr>
          <w:rFonts w:ascii="Cambria" w:eastAsia="Cambria" w:hAnsi="Cambria" w:cs="Cambria"/>
          <w:sz w:val="22"/>
          <w:szCs w:val="22"/>
        </w:rPr>
        <w:t>cational Research, 72, 43-56.</w:t>
      </w:r>
    </w:p>
    <w:p w14:paraId="79A0FE79" w14:textId="77777777" w:rsidR="00907C78" w:rsidRDefault="00634EC4">
      <w:pPr>
        <w:spacing w:after="200" w:line="276" w:lineRule="auto"/>
        <w:rPr>
          <w:rFonts w:ascii="Cambria" w:eastAsia="Cambria" w:hAnsi="Cambria" w:cs="Cambria"/>
          <w:sz w:val="22"/>
          <w:szCs w:val="22"/>
        </w:rPr>
      </w:pPr>
      <w:r>
        <w:rPr>
          <w:rFonts w:ascii="Cambria" w:eastAsia="Cambria" w:hAnsi="Cambria" w:cs="Cambria"/>
          <w:sz w:val="22"/>
          <w:szCs w:val="22"/>
        </w:rPr>
        <w:t>Khan, M. A. (2023). Role of Collaborative Learning in Language Acquisition. Journal of Language Education, 9(1), 56-67.</w:t>
      </w:r>
    </w:p>
    <w:p w14:paraId="304F617E" w14:textId="77777777" w:rsidR="00907C78" w:rsidRDefault="00634EC4">
      <w:pPr>
        <w:spacing w:after="200" w:line="276" w:lineRule="auto"/>
        <w:rPr>
          <w:rFonts w:ascii="Cambria" w:eastAsia="Cambria" w:hAnsi="Cambria" w:cs="Cambria"/>
          <w:sz w:val="22"/>
          <w:szCs w:val="22"/>
        </w:rPr>
      </w:pPr>
      <w:r>
        <w:rPr>
          <w:rFonts w:ascii="Cambria" w:eastAsia="Cambria" w:hAnsi="Cambria" w:cs="Cambria"/>
          <w:sz w:val="22"/>
          <w:szCs w:val="22"/>
        </w:rPr>
        <w:t>Lucena, J., &amp; San Jose, R. (2016). Enhancing speaking skills through cooperative learning in Davao City. P</w:t>
      </w:r>
      <w:r>
        <w:rPr>
          <w:rFonts w:ascii="Cambria" w:eastAsia="Cambria" w:hAnsi="Cambria" w:cs="Cambria"/>
          <w:sz w:val="22"/>
          <w:szCs w:val="22"/>
        </w:rPr>
        <w:t>hilippine ESL Journal, 17(2), 102-118.</w:t>
      </w:r>
    </w:p>
    <w:p w14:paraId="705BEA39" w14:textId="77777777" w:rsidR="00907C78" w:rsidRDefault="00634EC4">
      <w:pPr>
        <w:spacing w:after="200" w:line="276" w:lineRule="auto"/>
        <w:rPr>
          <w:rFonts w:ascii="Cambria" w:eastAsia="Cambria" w:hAnsi="Cambria" w:cs="Cambria"/>
          <w:sz w:val="22"/>
          <w:szCs w:val="22"/>
        </w:rPr>
      </w:pPr>
      <w:r>
        <w:rPr>
          <w:rFonts w:ascii="Cambria" w:eastAsia="Cambria" w:hAnsi="Cambria" w:cs="Cambria"/>
          <w:sz w:val="22"/>
          <w:szCs w:val="22"/>
        </w:rPr>
        <w:t>Schwartz, D., McGee, L., &amp; Beers, L. (2019). Social and emotional benefits of cooperative learning. Journal of Educational Psychology, 111(4), 683-697.</w:t>
      </w:r>
    </w:p>
    <w:p w14:paraId="1135898A" w14:textId="77777777" w:rsidR="00907C78" w:rsidRDefault="00634EC4">
      <w:pPr>
        <w:spacing w:after="200" w:line="276" w:lineRule="auto"/>
        <w:rPr>
          <w:rFonts w:ascii="Cambria" w:eastAsia="Cambria" w:hAnsi="Cambria" w:cs="Cambria"/>
          <w:sz w:val="22"/>
          <w:szCs w:val="22"/>
        </w:rPr>
      </w:pPr>
      <w:r>
        <w:rPr>
          <w:rFonts w:ascii="Cambria" w:eastAsia="Cambria" w:hAnsi="Cambria" w:cs="Cambria"/>
          <w:sz w:val="22"/>
          <w:szCs w:val="22"/>
        </w:rPr>
        <w:t>Storch, N. (2013). Collaborative writing: Product, process, and p</w:t>
      </w:r>
      <w:r>
        <w:rPr>
          <w:rFonts w:ascii="Cambria" w:eastAsia="Cambria" w:hAnsi="Cambria" w:cs="Cambria"/>
          <w:sz w:val="22"/>
          <w:szCs w:val="22"/>
        </w:rPr>
        <w:t>edagogy. Journal of Second Language Writing, 22(1), 31-45.</w:t>
      </w:r>
    </w:p>
    <w:p w14:paraId="4DEA3E49" w14:textId="77777777" w:rsidR="00907C78" w:rsidRDefault="00634EC4">
      <w:pPr>
        <w:spacing w:after="200" w:line="276" w:lineRule="auto"/>
        <w:rPr>
          <w:rFonts w:ascii="Cambria" w:eastAsia="Cambria" w:hAnsi="Cambria" w:cs="Cambria"/>
          <w:sz w:val="22"/>
          <w:szCs w:val="22"/>
        </w:rPr>
      </w:pPr>
      <w:r>
        <w:rPr>
          <w:rFonts w:ascii="Cambria" w:eastAsia="Cambria" w:hAnsi="Cambria" w:cs="Cambria"/>
          <w:sz w:val="22"/>
          <w:szCs w:val="22"/>
        </w:rPr>
        <w:t>Swain, M. (2005). The output hypothesis: Theory and research. In E. Hinkel (Ed.), Handbook of research in second language teaching and learning (pp. 471–483). Lawrence Erlbaum.</w:t>
      </w:r>
    </w:p>
    <w:p w14:paraId="2E64577A" w14:textId="77777777" w:rsidR="00907C78" w:rsidRDefault="00634EC4">
      <w:pPr>
        <w:spacing w:after="200" w:line="276" w:lineRule="auto"/>
        <w:rPr>
          <w:rFonts w:ascii="Cambria" w:eastAsia="Cambria" w:hAnsi="Cambria" w:cs="Cambria"/>
          <w:sz w:val="22"/>
          <w:szCs w:val="22"/>
        </w:rPr>
      </w:pPr>
      <w:r>
        <w:rPr>
          <w:rFonts w:ascii="Cambria" w:eastAsia="Cambria" w:hAnsi="Cambria" w:cs="Cambria"/>
          <w:sz w:val="22"/>
          <w:szCs w:val="22"/>
        </w:rPr>
        <w:t>Vygotsky, L. S. (197</w:t>
      </w:r>
      <w:r>
        <w:rPr>
          <w:rFonts w:ascii="Cambria" w:eastAsia="Cambria" w:hAnsi="Cambria" w:cs="Cambria"/>
          <w:sz w:val="22"/>
          <w:szCs w:val="22"/>
        </w:rPr>
        <w:t>8). Mind in society: The development of higher psychological processes. Harvard University Press.</w:t>
      </w:r>
    </w:p>
    <w:p w14:paraId="5A7CBECE" w14:textId="77777777" w:rsidR="00907C78" w:rsidRDefault="00907C78">
      <w:pPr>
        <w:rPr>
          <w:rFonts w:ascii="Arial" w:eastAsia="Arial" w:hAnsi="Arial" w:cs="Arial"/>
          <w:b/>
          <w:smallCaps/>
          <w:color w:val="FF0000"/>
          <w:sz w:val="22"/>
          <w:szCs w:val="22"/>
        </w:rPr>
      </w:pPr>
    </w:p>
    <w:p w14:paraId="7EB0DCB8" w14:textId="77777777" w:rsidR="00907C78" w:rsidRDefault="00907C78"/>
    <w:p w14:paraId="621070A8" w14:textId="77777777" w:rsidR="00907C78" w:rsidRDefault="00907C78"/>
    <w:p w14:paraId="2BBED9F0" w14:textId="77777777" w:rsidR="00907C78" w:rsidRDefault="00907C78">
      <w:pPr>
        <w:keepNext/>
        <w:pBdr>
          <w:top w:val="nil"/>
          <w:left w:val="nil"/>
          <w:bottom w:val="nil"/>
          <w:right w:val="nil"/>
          <w:between w:val="nil"/>
        </w:pBdr>
        <w:jc w:val="both"/>
        <w:rPr>
          <w:rFonts w:ascii="Arial" w:eastAsia="Arial" w:hAnsi="Arial" w:cs="Arial"/>
          <w:smallCaps/>
          <w:color w:val="000000"/>
          <w:sz w:val="22"/>
          <w:szCs w:val="22"/>
        </w:rPr>
      </w:pPr>
    </w:p>
    <w:sectPr w:rsidR="00907C78">
      <w:headerReference w:type="even" r:id="rId18"/>
      <w:headerReference w:type="default" r:id="rId19"/>
      <w:footerReference w:type="default" r:id="rId20"/>
      <w:headerReference w:type="first" r:id="rId21"/>
      <w:type w:val="continuous"/>
      <w:pgSz w:w="12240" w:h="15840"/>
      <w:pgMar w:top="1440" w:right="2016" w:bottom="2016" w:left="2016" w:header="720" w:footer="11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1F4E16" w14:textId="77777777" w:rsidR="00634EC4" w:rsidRDefault="00634EC4">
      <w:r>
        <w:separator/>
      </w:r>
    </w:p>
  </w:endnote>
  <w:endnote w:type="continuationSeparator" w:id="0">
    <w:p w14:paraId="41E5D2C7" w14:textId="77777777" w:rsidR="00634EC4" w:rsidRDefault="00634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SimSun"/>
    <w:charset w:val="00"/>
    <w:family w:val="auto"/>
    <w:pitch w:val="default"/>
    <w:embedRegular r:id="rId1" w:fontKey="{6A55AE55-8B35-4FB8-93FC-538391C47829}"/>
    <w:embedBold r:id="rId2" w:fontKey="{94B6D948-B83A-4DC8-ABDE-FE07D9E6ACE8}"/>
  </w:font>
  <w:font w:name="Georgia">
    <w:panose1 w:val="02040502050405020303"/>
    <w:charset w:val="00"/>
    <w:family w:val="roman"/>
    <w:pitch w:val="variable"/>
    <w:sig w:usb0="00000287" w:usb1="00000000" w:usb2="00000000" w:usb3="00000000" w:csb0="0000009F" w:csb1="00000000"/>
    <w:embedRegular r:id="rId3" w:fontKey="{25C85B8D-5E5F-4864-BF24-684973FFB9E3}"/>
    <w:embedItalic r:id="rId4" w:fontKey="{365C2F1B-FAF4-4BBF-B259-2374C0C866ED}"/>
  </w:font>
  <w:font w:name="Cambria">
    <w:panose1 w:val="02040503050406030204"/>
    <w:charset w:val="00"/>
    <w:family w:val="roman"/>
    <w:pitch w:val="variable"/>
    <w:sig w:usb0="E00006FF" w:usb1="420024FF" w:usb2="02000000" w:usb3="00000000" w:csb0="0000019F" w:csb1="00000000"/>
    <w:embedRegular r:id="rId5" w:fontKey="{836C1473-999D-478A-B09D-67D57C0BD3A9}"/>
  </w:font>
  <w:font w:name="Calibri">
    <w:panose1 w:val="020F0502020204030204"/>
    <w:charset w:val="00"/>
    <w:family w:val="swiss"/>
    <w:pitch w:val="variable"/>
    <w:sig w:usb0="E4002EFF" w:usb1="C000247B" w:usb2="00000009" w:usb3="00000000" w:csb0="000001FF" w:csb1="00000000"/>
    <w:embedRegular r:id="rId6" w:fontKey="{E1290FEE-1C43-4DEF-A195-9EC119E0A1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EF86F" w14:textId="77777777" w:rsidR="00907C78" w:rsidRDefault="00907C78">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C402B" w14:textId="77777777" w:rsidR="00907C78" w:rsidRDefault="00907C78">
    <w:pPr>
      <w:pBdr>
        <w:top w:val="nil"/>
        <w:left w:val="nil"/>
        <w:bottom w:val="nil"/>
        <w:right w:val="nil"/>
        <w:between w:val="nil"/>
      </w:pBdr>
      <w:tabs>
        <w:tab w:val="center" w:pos="4320"/>
        <w:tab w:val="right" w:pos="8640"/>
      </w:tabs>
      <w:rPr>
        <w:color w:val="FF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72747" w14:textId="77777777" w:rsidR="00907C78" w:rsidRDefault="00907C78">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793AA2DC" w14:textId="77777777" w:rsidR="00907C78" w:rsidRDefault="00634EC4">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5986CA7B" w14:textId="77777777" w:rsidR="00907C78" w:rsidRDefault="00907C78">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2312B491" w14:textId="77777777" w:rsidR="00907C78" w:rsidRDefault="00634EC4">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6CB6F" w14:textId="77777777" w:rsidR="00907C78" w:rsidRDefault="00907C78">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132CDD" w14:textId="77777777" w:rsidR="00634EC4" w:rsidRDefault="00634EC4">
      <w:r>
        <w:separator/>
      </w:r>
    </w:p>
  </w:footnote>
  <w:footnote w:type="continuationSeparator" w:id="0">
    <w:p w14:paraId="046E0FA4" w14:textId="77777777" w:rsidR="00634EC4" w:rsidRDefault="00634E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900C7" w14:textId="02919FDC" w:rsidR="00907C78" w:rsidRDefault="003256F6">
    <w:pPr>
      <w:pBdr>
        <w:top w:val="nil"/>
        <w:left w:val="nil"/>
        <w:bottom w:val="nil"/>
        <w:right w:val="nil"/>
        <w:between w:val="nil"/>
      </w:pBdr>
      <w:tabs>
        <w:tab w:val="center" w:pos="4320"/>
        <w:tab w:val="right" w:pos="8640"/>
      </w:tabs>
      <w:rPr>
        <w:color w:val="000000"/>
      </w:rPr>
    </w:pPr>
    <w:r>
      <w:rPr>
        <w:noProof/>
      </w:rPr>
      <w:pict w14:anchorId="1BAE23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517987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81A54" w14:textId="7FF7D7A8" w:rsidR="00907C78" w:rsidRDefault="003256F6">
    <w:pPr>
      <w:pBdr>
        <w:top w:val="nil"/>
        <w:left w:val="nil"/>
        <w:bottom w:val="nil"/>
        <w:right w:val="nil"/>
        <w:between w:val="nil"/>
      </w:pBdr>
      <w:tabs>
        <w:tab w:val="center" w:pos="4320"/>
        <w:tab w:val="right" w:pos="8640"/>
      </w:tabs>
      <w:rPr>
        <w:color w:val="000000"/>
      </w:rPr>
    </w:pPr>
    <w:r>
      <w:rPr>
        <w:noProof/>
      </w:rPr>
      <w:pict w14:anchorId="7D389D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517987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ABD44" w14:textId="08EC2570" w:rsidR="00907C78" w:rsidRDefault="003256F6">
    <w:pPr>
      <w:ind w:left="2160"/>
      <w:jc w:val="center"/>
      <w:rPr>
        <w:rFonts w:ascii="Times New Roman" w:eastAsia="Times New Roman" w:hAnsi="Times New Roman" w:cs="Times New Roman"/>
        <w:i/>
        <w:sz w:val="18"/>
        <w:szCs w:val="18"/>
      </w:rPr>
    </w:pPr>
    <w:r>
      <w:rPr>
        <w:noProof/>
      </w:rPr>
      <w:pict w14:anchorId="2E9443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517987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072BC78D" w14:textId="77777777" w:rsidR="00907C78" w:rsidRDefault="00634EC4">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5932AA4" w14:textId="77777777" w:rsidR="00907C78" w:rsidRDefault="00634EC4">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69D794D1" w14:textId="77777777" w:rsidR="00907C78" w:rsidRDefault="00634EC4">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0E74FB75" w14:textId="77777777" w:rsidR="00907C78" w:rsidRDefault="00634EC4">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8DF6FB3" w14:textId="77777777" w:rsidR="00907C78" w:rsidRDefault="00634EC4">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6ECD08B5" w14:textId="77777777" w:rsidR="00907C78" w:rsidRDefault="00634EC4">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E5929" w14:textId="6BBACB89" w:rsidR="003256F6" w:rsidRDefault="003256F6">
    <w:pPr>
      <w:pStyle w:val="Header"/>
    </w:pPr>
    <w:r>
      <w:rPr>
        <w:noProof/>
      </w:rPr>
      <w:pict w14:anchorId="0A9E08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517987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7DF20" w14:textId="7A9A4305" w:rsidR="003256F6" w:rsidRDefault="003256F6">
    <w:pPr>
      <w:pStyle w:val="Header"/>
    </w:pPr>
    <w:r>
      <w:rPr>
        <w:noProof/>
      </w:rPr>
      <w:pict w14:anchorId="63A2E0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517988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4E691" w14:textId="02669953" w:rsidR="003256F6" w:rsidRDefault="003256F6">
    <w:pPr>
      <w:pStyle w:val="Header"/>
    </w:pPr>
    <w:r>
      <w:rPr>
        <w:noProof/>
      </w:rPr>
      <w:pict w14:anchorId="1926D9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517987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F4D66"/>
    <w:multiLevelType w:val="multilevel"/>
    <w:tmpl w:val="0A887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1AB1ABC"/>
    <w:multiLevelType w:val="multilevel"/>
    <w:tmpl w:val="BC4C3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7ED17CB"/>
    <w:multiLevelType w:val="multilevel"/>
    <w:tmpl w:val="E4FE6F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6C314F60"/>
    <w:multiLevelType w:val="multilevel"/>
    <w:tmpl w:val="D848F014"/>
    <w:lvl w:ilvl="0">
      <w:start w:val="1"/>
      <w:numFmt w:val="decimal"/>
      <w:lvlText w:val="%1."/>
      <w:lvlJc w:val="left"/>
      <w:pPr>
        <w:ind w:left="36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CE43E57"/>
    <w:multiLevelType w:val="multilevel"/>
    <w:tmpl w:val="B590FD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C78"/>
    <w:rsid w:val="001B742F"/>
    <w:rsid w:val="002C2A78"/>
    <w:rsid w:val="003256F6"/>
    <w:rsid w:val="003E1E84"/>
    <w:rsid w:val="00557A87"/>
    <w:rsid w:val="00634EC4"/>
    <w:rsid w:val="007B74CD"/>
    <w:rsid w:val="00907C78"/>
    <w:rsid w:val="00C91F30"/>
    <w:rsid w:val="00CF1F58"/>
    <w:rsid w:val="00E726DF"/>
    <w:rsid w:val="00F67C6A"/>
    <w:rsid w:val="00FB14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FAD2408"/>
  <w15:docId w15:val="{43E52675-DADC-4660-932D-0A551878A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240"/>
      <w:ind w:left="360"/>
      <w:jc w:val="both"/>
      <w:outlineLvl w:val="0"/>
    </w:pPr>
    <w:rPr>
      <w:rFonts w:ascii="Arial" w:eastAsia="Arial" w:hAnsi="Arial" w:cs="Arial"/>
      <w:b/>
      <w:smallCaps/>
      <w:sz w:val="22"/>
      <w:szCs w:val="22"/>
    </w:rPr>
  </w:style>
  <w:style w:type="paragraph" w:styleId="Heading2">
    <w:name w:val="heading 2"/>
    <w:basedOn w:val="Normal"/>
    <w:next w:val="Normal"/>
    <w:uiPriority w:val="9"/>
    <w:unhideWhenUsed/>
    <w:qFormat/>
    <w:pPr>
      <w:keepNext/>
      <w:keepLines/>
      <w:jc w:val="both"/>
      <w:outlineLvl w:val="1"/>
    </w:pPr>
    <w:rPr>
      <w:rFonts w:ascii="Arial" w:eastAsia="Arial" w:hAnsi="Arial" w:cs="Arial"/>
      <w:b/>
      <w:sz w:val="22"/>
      <w:szCs w:val="22"/>
    </w:rPr>
  </w:style>
  <w:style w:type="paragraph" w:styleId="Heading3">
    <w:name w:val="heading 3"/>
    <w:basedOn w:val="Normal"/>
    <w:next w:val="Normal"/>
    <w:uiPriority w:val="9"/>
    <w:unhideWhenUsed/>
    <w:qFormat/>
    <w:pPr>
      <w:keepNext/>
      <w:keepLines/>
      <w:outlineLvl w:val="2"/>
    </w:pPr>
    <w:rPr>
      <w:rFonts w:ascii="Arial" w:eastAsia="Arial" w:hAnsi="Arial" w:cs="Arial"/>
      <w:b/>
      <w:u w:val="single"/>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character" w:styleId="Hyperlink">
    <w:name w:val="Hyperlink"/>
    <w:basedOn w:val="DefaultParagraphFont"/>
    <w:uiPriority w:val="99"/>
    <w:unhideWhenUsed/>
    <w:rsid w:val="003E1E84"/>
    <w:rPr>
      <w:color w:val="0000FF" w:themeColor="hyperlink"/>
      <w:u w:val="single"/>
    </w:rPr>
  </w:style>
  <w:style w:type="character" w:styleId="UnresolvedMention">
    <w:name w:val="Unresolved Mention"/>
    <w:basedOn w:val="DefaultParagraphFont"/>
    <w:uiPriority w:val="99"/>
    <w:semiHidden/>
    <w:unhideWhenUsed/>
    <w:rsid w:val="003E1E84"/>
    <w:rPr>
      <w:color w:val="605E5C"/>
      <w:shd w:val="clear" w:color="auto" w:fill="E1DFDD"/>
    </w:rPr>
  </w:style>
  <w:style w:type="paragraph" w:styleId="Header">
    <w:name w:val="header"/>
    <w:basedOn w:val="Normal"/>
    <w:link w:val="HeaderChar"/>
    <w:uiPriority w:val="99"/>
    <w:unhideWhenUsed/>
    <w:rsid w:val="003256F6"/>
    <w:pPr>
      <w:tabs>
        <w:tab w:val="center" w:pos="4680"/>
        <w:tab w:val="right" w:pos="9360"/>
      </w:tabs>
    </w:pPr>
  </w:style>
  <w:style w:type="character" w:customStyle="1" w:styleId="HeaderChar">
    <w:name w:val="Header Char"/>
    <w:basedOn w:val="DefaultParagraphFont"/>
    <w:link w:val="Header"/>
    <w:uiPriority w:val="99"/>
    <w:rsid w:val="003256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73856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1.png"/><Relationship Id="rId2" Type="http://schemas.openxmlformats.org/officeDocument/2006/relationships/styles" Target="styles.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Pages>
  <Words>2058</Words>
  <Characters>11734</Characters>
  <Application>Microsoft Office Word</Application>
  <DocSecurity>0</DocSecurity>
  <Lines>97</Lines>
  <Paragraphs>27</Paragraphs>
  <ScaleCrop>false</ScaleCrop>
  <Company/>
  <LinksUpToDate>false</LinksUpToDate>
  <CharactersWithSpaces>13765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11</cp:revision>
  <dcterms:created xsi:type="dcterms:W3CDTF">2025-05-28T12:01:00Z</dcterms:created>
  <dcterms:modified xsi:type="dcterms:W3CDTF">2025-05-29T08:08:00Z</dcterms:modified>
</cp:coreProperties>
</file>