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98945" w14:textId="77777777" w:rsidR="007115C0" w:rsidRPr="007115C0" w:rsidRDefault="007115C0" w:rsidP="007115C0">
      <w:pPr>
        <w:jc w:val="both"/>
        <w:rPr>
          <w:rFonts w:ascii="Arial" w:eastAsia="Times New Roman" w:hAnsi="Arial" w:cs="Arial"/>
          <w:b/>
          <w:kern w:val="28"/>
          <w:sz w:val="36"/>
          <w:szCs w:val="20"/>
          <w:lang w:val="en-US"/>
          <w14:ligatures w14:val="none"/>
        </w:rPr>
      </w:pPr>
    </w:p>
    <w:p w14:paraId="58C33F8A" w14:textId="7BDD8EDF" w:rsidR="00E124FE" w:rsidRDefault="00D218C4" w:rsidP="00D218C4">
      <w:pPr>
        <w:pStyle w:val="Author"/>
        <w:spacing w:line="240" w:lineRule="auto"/>
        <w:rPr>
          <w:rFonts w:ascii="Arial" w:hAnsi="Arial" w:cs="Arial"/>
          <w:bCs/>
          <w:iCs/>
          <w:kern w:val="28"/>
          <w:sz w:val="36"/>
          <w:lang w:val="en-PH"/>
        </w:rPr>
      </w:pPr>
      <w:bookmarkStart w:id="0" w:name="_Hlk187399927"/>
      <w:r w:rsidRPr="00D218C4">
        <w:rPr>
          <w:rFonts w:ascii="Arial" w:hAnsi="Arial" w:cs="Arial"/>
          <w:bCs/>
          <w:iCs/>
          <w:kern w:val="28"/>
          <w:sz w:val="36"/>
          <w:lang w:val="en-PH"/>
        </w:rPr>
        <w:t xml:space="preserve">Assessment of the Research Experiences of </w:t>
      </w:r>
      <w:r w:rsidR="00AB3181">
        <w:rPr>
          <w:rFonts w:ascii="Arial" w:hAnsi="Arial" w:cs="Arial"/>
          <w:bCs/>
          <w:iCs/>
          <w:kern w:val="28"/>
          <w:sz w:val="36"/>
          <w:lang w:val="en-PH"/>
        </w:rPr>
        <w:t>Higher Education</w:t>
      </w:r>
      <w:r w:rsidRPr="00D218C4">
        <w:rPr>
          <w:rFonts w:ascii="Arial" w:hAnsi="Arial" w:cs="Arial"/>
          <w:bCs/>
          <w:iCs/>
          <w:kern w:val="28"/>
          <w:sz w:val="36"/>
          <w:lang w:val="en-PH"/>
        </w:rPr>
        <w:t xml:space="preserve"> Students</w:t>
      </w:r>
    </w:p>
    <w:p w14:paraId="5CA5A64D" w14:textId="77777777" w:rsidR="00AE4669" w:rsidRPr="00790ADA" w:rsidRDefault="00AE4669" w:rsidP="00D218C4">
      <w:pPr>
        <w:pStyle w:val="Author"/>
        <w:spacing w:line="240" w:lineRule="auto"/>
        <w:rPr>
          <w:rFonts w:ascii="Arial" w:hAnsi="Arial" w:cs="Arial"/>
          <w:sz w:val="36"/>
        </w:rPr>
      </w:pPr>
    </w:p>
    <w:p w14:paraId="1EA28B75" w14:textId="65C353BB" w:rsidR="00926F92" w:rsidRDefault="00926F92" w:rsidP="00E124FE">
      <w:pPr>
        <w:pStyle w:val="Affiliation"/>
        <w:spacing w:after="0" w:line="240" w:lineRule="auto"/>
        <w:rPr>
          <w:rFonts w:ascii="Arial" w:hAnsi="Arial" w:cs="Arial"/>
        </w:rPr>
      </w:pPr>
      <w:r>
        <w:rPr>
          <w:rFonts w:ascii="Arial" w:hAnsi="Arial" w:cs="Arial"/>
        </w:rPr>
        <w:t xml:space="preserve"> </w:t>
      </w:r>
    </w:p>
    <w:bookmarkEnd w:id="0"/>
    <w:p w14:paraId="5B5AFD4D" w14:textId="77777777" w:rsidR="007115C0" w:rsidRPr="007115C0" w:rsidRDefault="007115C0" w:rsidP="007115C0">
      <w:pPr>
        <w:jc w:val="both"/>
        <w:rPr>
          <w:rFonts w:ascii="Arial" w:eastAsia="Times New Roman" w:hAnsi="Arial" w:cs="Arial"/>
          <w:kern w:val="0"/>
          <w:sz w:val="20"/>
          <w:szCs w:val="20"/>
          <w:lang w:val="en-US"/>
          <w14:ligatures w14:val="none"/>
        </w:rPr>
      </w:pPr>
    </w:p>
    <w:p w14:paraId="4CB4586D" w14:textId="77777777" w:rsidR="007115C0" w:rsidRPr="007115C0" w:rsidRDefault="007115C0" w:rsidP="007115C0">
      <w:pPr>
        <w:jc w:val="both"/>
        <w:rPr>
          <w:rFonts w:ascii="Arial" w:eastAsia="Times New Roman" w:hAnsi="Arial" w:cs="Arial"/>
          <w:kern w:val="0"/>
          <w:sz w:val="16"/>
          <w:szCs w:val="20"/>
          <w:lang w:val="en-US"/>
          <w14:ligatures w14:val="none"/>
        </w:rPr>
        <w:sectPr w:rsidR="007115C0" w:rsidRPr="007115C0" w:rsidSect="00342197">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326"/>
        </w:sectPr>
      </w:pPr>
      <w:r w:rsidRPr="007115C0">
        <w:rPr>
          <w:rFonts w:ascii="Arial" w:eastAsia="Times New Roman" w:hAnsi="Arial" w:cs="Arial"/>
          <w:noProof/>
          <w:kern w:val="0"/>
          <w:sz w:val="16"/>
          <w:szCs w:val="20"/>
          <w:lang w:val="en-US"/>
          <w14:ligatures w14:val="none"/>
        </w:rPr>
        <mc:AlternateContent>
          <mc:Choice Requires="wps">
            <w:drawing>
              <wp:inline distT="0" distB="0" distL="0" distR="0" wp14:anchorId="5A1C0637" wp14:editId="00274347">
                <wp:extent cx="5303520" cy="635"/>
                <wp:effectExtent l="11430" t="15240" r="9525" b="13335"/>
                <wp:docPr id="3581585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78610C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7115C0">
        <w:rPr>
          <w:rFonts w:ascii="Arial" w:eastAsia="Times New Roman" w:hAnsi="Arial" w:cs="Arial"/>
          <w:kern w:val="0"/>
          <w:sz w:val="16"/>
          <w:szCs w:val="20"/>
          <w:lang w:val="en-US"/>
          <w14:ligatures w14:val="none"/>
        </w:rPr>
        <w:t>.</w:t>
      </w:r>
    </w:p>
    <w:p w14:paraId="3DB1253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ABSTRACT </w:t>
      </w:r>
    </w:p>
    <w:p w14:paraId="4FEC893D"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15C0" w:rsidRPr="007115C0" w14:paraId="7F1CDFEA" w14:textId="77777777" w:rsidTr="00AD359B">
        <w:tc>
          <w:tcPr>
            <w:tcW w:w="9576" w:type="dxa"/>
            <w:shd w:val="clear" w:color="auto" w:fill="F2F2F2"/>
          </w:tcPr>
          <w:p w14:paraId="1E6199CF" w14:textId="77777777" w:rsidR="006F5864" w:rsidRPr="006F5864" w:rsidRDefault="00E124FE" w:rsidP="006F5864">
            <w:pPr>
              <w:pStyle w:val="Body"/>
              <w:rPr>
                <w:rFonts w:ascii="Arial" w:eastAsia="Calibri" w:hAnsi="Arial" w:cs="Arial"/>
                <w:b/>
                <w:lang w:val="en-PH"/>
              </w:rPr>
            </w:pPr>
            <w:r w:rsidRPr="00BA1B01">
              <w:rPr>
                <w:rFonts w:ascii="Arial" w:eastAsia="Calibri" w:hAnsi="Arial" w:cs="Arial"/>
                <w:b/>
                <w:szCs w:val="22"/>
              </w:rPr>
              <w:t xml:space="preserve">Aims: </w:t>
            </w:r>
            <w:r w:rsidR="006F5864" w:rsidRPr="006F5864">
              <w:rPr>
                <w:rFonts w:ascii="Arial" w:eastAsia="Calibri" w:hAnsi="Arial" w:cs="Arial"/>
                <w:bCs/>
                <w:lang w:val="en-PH"/>
              </w:rPr>
              <w:t>This study aimed to assess undergraduate students' satisfaction with their research experiences across various colleges, concentrating on critical aspects such as research mentorship, panel involvement, skills enhancement, collaboration, resource accessibility, and administrative procedures.</w:t>
            </w:r>
          </w:p>
          <w:p w14:paraId="2B9BBBFF" w14:textId="77777777" w:rsidR="006F5864" w:rsidRDefault="00E124FE" w:rsidP="006F5864">
            <w:pPr>
              <w:pStyle w:val="Body"/>
              <w:rPr>
                <w:rFonts w:ascii="Arial" w:eastAsia="Calibri" w:hAnsi="Arial" w:cs="Arial"/>
                <w:lang w:val="en-PH"/>
              </w:rPr>
            </w:pPr>
            <w:r w:rsidRPr="00BA1B01">
              <w:rPr>
                <w:rFonts w:ascii="Arial" w:eastAsia="Calibri" w:hAnsi="Arial" w:cs="Arial"/>
                <w:b/>
                <w:szCs w:val="22"/>
              </w:rPr>
              <w:t>Study design</w:t>
            </w:r>
            <w:r w:rsidR="006F5864" w:rsidRPr="00BA1B01">
              <w:rPr>
                <w:rFonts w:ascii="Arial" w:eastAsia="Calibri" w:hAnsi="Arial" w:cs="Arial"/>
                <w:b/>
                <w:szCs w:val="22"/>
              </w:rPr>
              <w:t>:</w:t>
            </w:r>
            <w:r w:rsidR="006F5864" w:rsidRPr="00BA1B01">
              <w:rPr>
                <w:rFonts w:ascii="Arial" w:eastAsia="Calibri" w:hAnsi="Arial" w:cs="Arial"/>
                <w:szCs w:val="22"/>
              </w:rPr>
              <w:t xml:space="preserve"> The</w:t>
            </w:r>
            <w:r w:rsidR="006F5864" w:rsidRPr="006F5864">
              <w:rPr>
                <w:rFonts w:ascii="Arial" w:eastAsia="Calibri" w:hAnsi="Arial" w:cs="Arial"/>
                <w:lang w:val="en-PH"/>
              </w:rPr>
              <w:t xml:space="preserve"> study utilized a quantitative-descriptive approach to collect data on graduating students' impressions of their undergraduate research experiences.</w:t>
            </w:r>
          </w:p>
          <w:p w14:paraId="55FA8D69" w14:textId="77777777" w:rsidR="006F5864" w:rsidRPr="006F5864" w:rsidRDefault="00E124FE" w:rsidP="006F5864">
            <w:pPr>
              <w:pStyle w:val="Body"/>
              <w:rPr>
                <w:rFonts w:ascii="Arial" w:eastAsia="Calibri" w:hAnsi="Arial" w:cs="Arial"/>
                <w:lang w:val="en-PH"/>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6F5864" w:rsidRPr="006F5864">
              <w:rPr>
                <w:rFonts w:ascii="Arial" w:eastAsia="Calibri" w:hAnsi="Arial" w:cs="Arial"/>
                <w:lang w:val="en-PH"/>
              </w:rPr>
              <w:t>The research was conducted performed at a higher education institution in the Philippines during the second semester of the 2024–2025 academic year.</w:t>
            </w:r>
          </w:p>
          <w:p w14:paraId="47F21479" w14:textId="77CC930F" w:rsidR="00E124FE" w:rsidRPr="006F5864" w:rsidRDefault="00E124FE" w:rsidP="006F5864">
            <w:pPr>
              <w:pStyle w:val="Body"/>
              <w:rPr>
                <w:rFonts w:ascii="Arial" w:eastAsia="Calibri" w:hAnsi="Arial" w:cs="Arial"/>
                <w:lang w:val="en-PH"/>
              </w:rPr>
            </w:pPr>
            <w:r w:rsidRPr="00BA1B01">
              <w:rPr>
                <w:rFonts w:ascii="Arial" w:eastAsia="Calibri" w:hAnsi="Arial" w:cs="Arial"/>
                <w:b/>
                <w:bCs/>
                <w:szCs w:val="22"/>
              </w:rPr>
              <w:t>Methodology:</w:t>
            </w:r>
            <w:r w:rsidRPr="00BA1B01">
              <w:rPr>
                <w:rFonts w:ascii="Arial" w:eastAsia="Calibri" w:hAnsi="Arial" w:cs="Arial"/>
                <w:szCs w:val="22"/>
              </w:rPr>
              <w:t xml:space="preserve"> </w:t>
            </w:r>
            <w:r w:rsidR="006F5864" w:rsidRPr="006F5864">
              <w:rPr>
                <w:rFonts w:ascii="Arial" w:eastAsia="Calibri" w:hAnsi="Arial" w:cs="Arial"/>
                <w:lang w:val="en-PH"/>
              </w:rPr>
              <w:t>A total of 408 graduating students from seven academic colleges engaged in the study by completing a researcher-designed survey. The instrument assessed satisfaction in six categories and had strong reliability across all domains. Data were examined utilizing weighted averages and descriptive statistics. Comparative outcomes were illustrated using summary tables and a line graph to emphasize differences among colleges.</w:t>
            </w:r>
          </w:p>
          <w:p w14:paraId="243A58DB" w14:textId="75029FDE" w:rsidR="006F5864" w:rsidRPr="006F5864" w:rsidRDefault="00E124FE" w:rsidP="006F5864">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F5864" w:rsidRPr="006F5864">
              <w:rPr>
                <w:rFonts w:ascii="Arial" w:eastAsia="Calibri" w:hAnsi="Arial" w:cs="Arial"/>
                <w:lang w:val="en-PH"/>
              </w:rPr>
              <w:t>The findings suggested that students were predominantly very satisfied with their research experiences, especially regarding panel guidance and competence enhancement. The College of Teacher Education demonstrated the highest overall satisfaction, whereas the College of Criminal Justice Education indicated intermediate levels across all domains, signifying areas for enhancement. The study emphasizes the significance of mentorship, organized assistance, and collaborative learning in enhancing student satisfaction and advocates for deliberate improvements in research infrastructure and supervision, particularly in programs exhibiting lower satisfaction levels.</w:t>
            </w:r>
          </w:p>
          <w:p w14:paraId="1EC82414" w14:textId="77777777" w:rsidR="007115C0" w:rsidRPr="007115C0" w:rsidRDefault="007115C0" w:rsidP="007115C0">
            <w:pPr>
              <w:jc w:val="both"/>
              <w:rPr>
                <w:rFonts w:ascii="Arial" w:eastAsia="Calibri" w:hAnsi="Arial" w:cs="Arial"/>
                <w:kern w:val="0"/>
                <w:sz w:val="20"/>
                <w:lang w:val="en-US"/>
                <w14:ligatures w14:val="none"/>
              </w:rPr>
            </w:pPr>
          </w:p>
        </w:tc>
      </w:tr>
    </w:tbl>
    <w:p w14:paraId="11C70D3F" w14:textId="77777777" w:rsidR="007115C0" w:rsidRPr="007115C0" w:rsidRDefault="007115C0" w:rsidP="007115C0">
      <w:pPr>
        <w:jc w:val="both"/>
        <w:rPr>
          <w:rFonts w:ascii="Arial" w:eastAsia="Times New Roman" w:hAnsi="Arial" w:cs="Arial"/>
          <w:i/>
          <w:kern w:val="0"/>
          <w:sz w:val="20"/>
          <w:szCs w:val="20"/>
          <w:lang w:val="en-US"/>
          <w14:ligatures w14:val="none"/>
        </w:rPr>
      </w:pPr>
    </w:p>
    <w:p w14:paraId="57CA912E" w14:textId="689817AA" w:rsidR="007115C0" w:rsidRPr="00E124FE" w:rsidRDefault="007115C0" w:rsidP="007115C0">
      <w:pPr>
        <w:jc w:val="both"/>
        <w:rPr>
          <w:rFonts w:ascii="Arial" w:eastAsia="Times New Roman" w:hAnsi="Arial" w:cs="Arial"/>
          <w:i/>
          <w:color w:val="FF0000"/>
          <w:kern w:val="0"/>
          <w:sz w:val="20"/>
          <w:szCs w:val="20"/>
          <w:lang w:val="en-US"/>
          <w14:ligatures w14:val="none"/>
        </w:rPr>
      </w:pPr>
      <w:r w:rsidRPr="00E124FE">
        <w:rPr>
          <w:rFonts w:ascii="Arial" w:eastAsia="Times New Roman" w:hAnsi="Arial" w:cs="Arial"/>
          <w:i/>
          <w:kern w:val="0"/>
          <w:sz w:val="20"/>
          <w:szCs w:val="20"/>
          <w:lang w:val="en-US"/>
          <w14:ligatures w14:val="none"/>
        </w:rPr>
        <w:t>Keywords</w:t>
      </w:r>
      <w:r w:rsidR="006F5864">
        <w:rPr>
          <w:rFonts w:ascii="Arial" w:eastAsia="Times New Roman" w:hAnsi="Arial" w:cs="Arial"/>
          <w:i/>
          <w:kern w:val="0"/>
          <w:sz w:val="20"/>
          <w:szCs w:val="20"/>
          <w:lang w:val="en-US"/>
          <w14:ligatures w14:val="none"/>
        </w:rPr>
        <w:t>: Research Experience, Descriptive Analysis, Higher Education, Student Satisfaction</w:t>
      </w:r>
    </w:p>
    <w:p w14:paraId="11308195" w14:textId="77777777" w:rsidR="007115C0" w:rsidRPr="007115C0" w:rsidRDefault="007115C0" w:rsidP="007115C0">
      <w:pPr>
        <w:jc w:val="both"/>
        <w:rPr>
          <w:rFonts w:ascii="Arial" w:eastAsia="Times New Roman" w:hAnsi="Arial" w:cs="Arial"/>
          <w:i/>
          <w:kern w:val="0"/>
          <w:sz w:val="20"/>
          <w:szCs w:val="20"/>
          <w:lang w:val="en-US"/>
          <w14:ligatures w14:val="none"/>
        </w:rPr>
      </w:pPr>
    </w:p>
    <w:p w14:paraId="0CE7EBE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1. INTRODUCTION </w:t>
      </w:r>
    </w:p>
    <w:p w14:paraId="3850B37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3F5184D8" w14:textId="490D1571" w:rsidR="00484AB7" w:rsidRPr="00484AB7" w:rsidRDefault="00484AB7" w:rsidP="00484AB7">
      <w:pPr>
        <w:keepNext/>
        <w:jc w:val="both"/>
        <w:rPr>
          <w:rFonts w:ascii="Arial" w:eastAsia="Times New Roman" w:hAnsi="Arial" w:cs="Arial"/>
          <w:kern w:val="0"/>
          <w:sz w:val="20"/>
          <w:szCs w:val="20"/>
          <w14:ligatures w14:val="none"/>
        </w:rPr>
      </w:pPr>
      <w:r w:rsidRPr="00484AB7">
        <w:rPr>
          <w:rFonts w:ascii="Arial" w:eastAsia="Times New Roman" w:hAnsi="Arial" w:cs="Arial"/>
          <w:kern w:val="0"/>
          <w:sz w:val="20"/>
          <w:szCs w:val="20"/>
          <w14:ligatures w14:val="none"/>
        </w:rPr>
        <w:t>The research area continues to grow rapidly, beyond its first evolutionary phases (Morris, 1967</w:t>
      </w:r>
      <w:r w:rsidR="006B78B2" w:rsidRPr="00484AB7">
        <w:rPr>
          <w:rFonts w:ascii="Arial" w:eastAsia="Times New Roman" w:hAnsi="Arial" w:cs="Arial"/>
          <w:kern w:val="0"/>
          <w:sz w:val="20"/>
          <w:szCs w:val="20"/>
          <w14:ligatures w14:val="none"/>
        </w:rPr>
        <w:t>) and</w:t>
      </w:r>
      <w:r w:rsidRPr="00484AB7">
        <w:rPr>
          <w:rFonts w:ascii="Arial" w:eastAsia="Times New Roman" w:hAnsi="Arial" w:cs="Arial"/>
          <w:kern w:val="0"/>
          <w:sz w:val="20"/>
          <w:szCs w:val="20"/>
          <w14:ligatures w14:val="none"/>
        </w:rPr>
        <w:t xml:space="preserve"> is now acknowledged as a fundamental component of undergraduate education. among the 21st-century educational framework, higher education institutions are anticipated to not only impart information but also to foster inquiry, creativity, and lifelong learning among students. Research engagement is crucial for attaining these objectives. Contemporary students are anticipated to develop research skills and participate in knowledge creation in </w:t>
      </w:r>
      <w:r w:rsidRPr="00484AB7">
        <w:rPr>
          <w:rFonts w:ascii="Arial" w:eastAsia="Times New Roman" w:hAnsi="Arial" w:cs="Arial"/>
          <w:kern w:val="0"/>
          <w:sz w:val="20"/>
          <w:szCs w:val="20"/>
          <w14:ligatures w14:val="none"/>
        </w:rPr>
        <w:lastRenderedPageBreak/>
        <w:t>accordance with global progress in methodologies, technologies, and problem-solving frameworks (Lopez &amp; Rios, 2019).</w:t>
      </w:r>
      <w:r w:rsidRPr="00484AB7">
        <w:rPr>
          <w:rFonts w:ascii="Arial" w:eastAsia="Times New Roman" w:hAnsi="Arial" w:cs="Arial"/>
          <w:kern w:val="0"/>
          <w:sz w:val="20"/>
          <w:szCs w:val="20"/>
          <w14:ligatures w14:val="none"/>
        </w:rPr>
        <w:br/>
      </w:r>
      <w:r w:rsidRPr="00484AB7">
        <w:rPr>
          <w:rFonts w:ascii="Arial" w:eastAsia="Times New Roman" w:hAnsi="Arial" w:cs="Arial"/>
          <w:kern w:val="0"/>
          <w:sz w:val="20"/>
          <w:szCs w:val="20"/>
          <w14:ligatures w14:val="none"/>
        </w:rPr>
        <w:br/>
        <w:t>Research is widely recognized as the foundation of innovation, problem-solving, and advancement. In the Philippine environment, research has traditionally been weak, especially at the undergraduate level. For decades, it was not comprehensively included into educational systems owing to insufficient finance, a scarcity of qualified teachers, and institutional limitations (Castillo &amp; Ancheta, 2020). This disconnection fostered a culture in which research was frequently perceived as a mere prerequisite for graduation rather than an essential academic endeavor.</w:t>
      </w:r>
      <w:r w:rsidRPr="00484AB7">
        <w:rPr>
          <w:rFonts w:ascii="Arial" w:eastAsia="Times New Roman" w:hAnsi="Arial" w:cs="Arial"/>
          <w:kern w:val="0"/>
          <w:sz w:val="20"/>
          <w:szCs w:val="20"/>
          <w14:ligatures w14:val="none"/>
        </w:rPr>
        <w:br/>
      </w:r>
      <w:r w:rsidRPr="00484AB7">
        <w:rPr>
          <w:rFonts w:ascii="Arial" w:eastAsia="Times New Roman" w:hAnsi="Arial" w:cs="Arial"/>
          <w:kern w:val="0"/>
          <w:sz w:val="20"/>
          <w:szCs w:val="20"/>
          <w14:ligatures w14:val="none"/>
        </w:rPr>
        <w:br/>
        <w:t>The contemporary educational paradigm of the 21st century prioritizes the transition of students from passive users of information to active creators of knowledge. Higher education institutions are responsible for providing students with both technical skills and the capacity to question, innovate, and engage in academic discourse (Bernardo et al., 2022). The Philippines is progressively acknowledging this change through the Commission on Higher Education's (CHED) promotion of research integration within academic programs (CHED Memo No. 15, s. 2019).</w:t>
      </w:r>
      <w:r w:rsidRPr="00484AB7">
        <w:rPr>
          <w:rFonts w:ascii="Arial" w:eastAsia="Times New Roman" w:hAnsi="Arial" w:cs="Arial"/>
          <w:kern w:val="0"/>
          <w:sz w:val="20"/>
          <w:szCs w:val="20"/>
          <w14:ligatures w14:val="none"/>
        </w:rPr>
        <w:br/>
      </w:r>
      <w:r w:rsidRPr="00484AB7">
        <w:rPr>
          <w:rFonts w:ascii="Arial" w:eastAsia="Times New Roman" w:hAnsi="Arial" w:cs="Arial"/>
          <w:kern w:val="0"/>
          <w:sz w:val="20"/>
          <w:szCs w:val="20"/>
          <w14:ligatures w14:val="none"/>
        </w:rPr>
        <w:br/>
        <w:t xml:space="preserve">Undergraduate Research Experiences (UREs) function as significant high-impact instructional approaches. They enable students to apply theoretical concepts to actual situations, refine analytical and methodological abilities, and prepare for future academic or professional endeavors (Kuh, 2008). </w:t>
      </w:r>
      <w:proofErr w:type="spellStart"/>
      <w:r w:rsidRPr="00484AB7">
        <w:rPr>
          <w:rFonts w:ascii="Arial" w:eastAsia="Times New Roman" w:hAnsi="Arial" w:cs="Arial"/>
          <w:kern w:val="0"/>
          <w:sz w:val="20"/>
          <w:szCs w:val="20"/>
          <w14:ligatures w14:val="none"/>
        </w:rPr>
        <w:t>Lopatto</w:t>
      </w:r>
      <w:proofErr w:type="spellEnd"/>
      <w:r w:rsidRPr="00484AB7">
        <w:rPr>
          <w:rFonts w:ascii="Arial" w:eastAsia="Times New Roman" w:hAnsi="Arial" w:cs="Arial"/>
          <w:kern w:val="0"/>
          <w:sz w:val="20"/>
          <w:szCs w:val="20"/>
          <w14:ligatures w14:val="none"/>
        </w:rPr>
        <w:t xml:space="preserve"> (2006) emphasizes that students participating in research frequently exhibit enhanced engagement, increased confidence, a sense of achievement, and the capacity for independent work. Healey and Jenkins (2009) further substantiate these gains, asserting that integrating research into the undergraduate curriculum enriches the learning experience, connects theory with practice, and improves student happiness and retention.</w:t>
      </w:r>
      <w:r w:rsidRPr="00484AB7">
        <w:rPr>
          <w:rFonts w:ascii="Arial" w:eastAsia="Times New Roman" w:hAnsi="Arial" w:cs="Arial"/>
          <w:kern w:val="0"/>
          <w:sz w:val="20"/>
          <w:szCs w:val="20"/>
          <w14:ligatures w14:val="none"/>
        </w:rPr>
        <w:br/>
      </w:r>
      <w:r w:rsidRPr="00484AB7">
        <w:rPr>
          <w:rFonts w:ascii="Arial" w:eastAsia="Times New Roman" w:hAnsi="Arial" w:cs="Arial"/>
          <w:kern w:val="0"/>
          <w:sz w:val="20"/>
          <w:szCs w:val="20"/>
          <w14:ligatures w14:val="none"/>
        </w:rPr>
        <w:br/>
        <w:t>Integrating research into undergraduate curricula has been demonstrated to improve academic satisfaction and retention (Healey &amp; Jenkins, 2009; Shanahan et al., 2015). Engagement cultivates an academic identity and enhances transferable abilities, including communication, collaboration, and ethical reasoning (Hunter, Laursen, &amp; Seymour, 2007). The advantages extend beyond STEM disciplines; students in social sciences and humanities also demonstrate significant enhancements in self-efficacy and academic maturity (Frantz et al., 2017; Bang &amp; Montgomery, 2023).</w:t>
      </w:r>
      <w:r w:rsidRPr="00484AB7">
        <w:rPr>
          <w:rFonts w:ascii="Arial" w:eastAsia="Times New Roman" w:hAnsi="Arial" w:cs="Arial"/>
          <w:kern w:val="0"/>
          <w:sz w:val="20"/>
          <w:szCs w:val="20"/>
          <w14:ligatures w14:val="none"/>
        </w:rPr>
        <w:br/>
      </w:r>
      <w:r w:rsidRPr="00484AB7">
        <w:rPr>
          <w:rFonts w:ascii="Arial" w:eastAsia="Times New Roman" w:hAnsi="Arial" w:cs="Arial"/>
          <w:kern w:val="0"/>
          <w:sz w:val="20"/>
          <w:szCs w:val="20"/>
          <w14:ligatures w14:val="none"/>
        </w:rPr>
        <w:br/>
        <w:t>Furthermore, engaging in research fosters critical thinking, problem-solving, teamwork, and ethical reasoning (Hunter, Laursen, &amp; Seymour, 2007). These encounters cultivate an academic identity and enhance students' comprehension of the research process. Undergraduate research has been associated with enhanced graduation rates, academic persistence, and the pursuit of postgraduate education (Thiry, Weston, Laursen, &amp; Hunter, 2012). The Council on Undergraduate Research (2020) indicates that early and continuous engagement in research is positively associated with student success across various fields.</w:t>
      </w:r>
      <w:r w:rsidRPr="00484AB7">
        <w:rPr>
          <w:rFonts w:ascii="Arial" w:eastAsia="Times New Roman" w:hAnsi="Arial" w:cs="Arial"/>
          <w:kern w:val="0"/>
          <w:sz w:val="20"/>
          <w:szCs w:val="20"/>
          <w14:ligatures w14:val="none"/>
        </w:rPr>
        <w:br/>
      </w:r>
      <w:r w:rsidRPr="00484AB7">
        <w:rPr>
          <w:rFonts w:ascii="Arial" w:eastAsia="Times New Roman" w:hAnsi="Arial" w:cs="Arial"/>
          <w:kern w:val="0"/>
          <w:sz w:val="20"/>
          <w:szCs w:val="20"/>
          <w14:ligatures w14:val="none"/>
        </w:rPr>
        <w:br/>
        <w:t xml:space="preserve">Notwithstanding these encouraging results, numerous undergraduate students face considerable challenges in their research endeavors. Restricted access to research resources, time limitations, insufficient faculty assistance, and a deficiency in enthusiasm or readiness can profoundly affect the quality of the research experience. </w:t>
      </w:r>
      <w:proofErr w:type="spellStart"/>
      <w:r w:rsidRPr="00484AB7">
        <w:rPr>
          <w:rFonts w:ascii="Arial" w:eastAsia="Times New Roman" w:hAnsi="Arial" w:cs="Arial"/>
          <w:kern w:val="0"/>
          <w:sz w:val="20"/>
          <w:szCs w:val="20"/>
          <w14:ligatures w14:val="none"/>
        </w:rPr>
        <w:t>Mapolisa</w:t>
      </w:r>
      <w:proofErr w:type="spellEnd"/>
      <w:r w:rsidRPr="00484AB7">
        <w:rPr>
          <w:rFonts w:ascii="Arial" w:eastAsia="Times New Roman" w:hAnsi="Arial" w:cs="Arial"/>
          <w:kern w:val="0"/>
          <w:sz w:val="20"/>
          <w:szCs w:val="20"/>
          <w14:ligatures w14:val="none"/>
        </w:rPr>
        <w:t xml:space="preserve"> and Mafa (2012) classified these problems into three dimensions: mentor-student, student-related, and institutional. Ineffective mentoring partnerships characterized by infrequent communication or misplaced expectations can undermine students' confidence and advancement. Factors associated to students, like financial difficulties, part-time employment, or conflicting academic </w:t>
      </w:r>
      <w:r w:rsidRPr="00484AB7">
        <w:rPr>
          <w:rFonts w:ascii="Arial" w:eastAsia="Times New Roman" w:hAnsi="Arial" w:cs="Arial"/>
          <w:kern w:val="0"/>
          <w:sz w:val="20"/>
          <w:szCs w:val="20"/>
          <w14:ligatures w14:val="none"/>
        </w:rPr>
        <w:lastRenderedPageBreak/>
        <w:t>obligations, can hinder their involvement in research (Brew &amp; Saunders, 2020).</w:t>
      </w:r>
      <w:r w:rsidRPr="00484AB7">
        <w:rPr>
          <w:rFonts w:ascii="Arial" w:eastAsia="Times New Roman" w:hAnsi="Arial" w:cs="Arial"/>
          <w:kern w:val="0"/>
          <w:sz w:val="20"/>
          <w:szCs w:val="20"/>
          <w14:ligatures w14:val="none"/>
        </w:rPr>
        <w:br/>
      </w:r>
      <w:r w:rsidRPr="00484AB7">
        <w:rPr>
          <w:rFonts w:ascii="Arial" w:eastAsia="Times New Roman" w:hAnsi="Arial" w:cs="Arial"/>
          <w:kern w:val="0"/>
          <w:sz w:val="20"/>
          <w:szCs w:val="20"/>
          <w14:ligatures w14:val="none"/>
        </w:rPr>
        <w:br/>
        <w:t>Institutional barriers continue to be notably enduring. Numerous institutions face challenges in delivering sufficient research infrastructure, financing, and capacity-building initiatives. This disparity is particularly pronounced in developing nations, where access to research laboratories, software tools, academic journals, and faculty development initiatives is constrained (Delgado &amp; Weidman, 2012). The absence of a systematic research framework, variable criteria for thesis oversight, and administrative inefficiencies contribute to students' discontent. Alvior (2021) highlighted a substantial disparity between research aims and their execution, especially in remote and resource-constrained universities.</w:t>
      </w:r>
      <w:r w:rsidRPr="00484AB7">
        <w:rPr>
          <w:rFonts w:ascii="Arial" w:eastAsia="Times New Roman" w:hAnsi="Arial" w:cs="Arial"/>
          <w:kern w:val="0"/>
          <w:sz w:val="20"/>
          <w:szCs w:val="20"/>
          <w14:ligatures w14:val="none"/>
        </w:rPr>
        <w:br/>
      </w:r>
      <w:r w:rsidRPr="00484AB7">
        <w:rPr>
          <w:rFonts w:ascii="Arial" w:eastAsia="Times New Roman" w:hAnsi="Arial" w:cs="Arial"/>
          <w:kern w:val="0"/>
          <w:sz w:val="20"/>
          <w:szCs w:val="20"/>
          <w14:ligatures w14:val="none"/>
        </w:rPr>
        <w:br/>
        <w:t>Moreover, the recent digital shift in education has rendered access to online resources, mentor availability, and flexible learning environments essential determinants of research success. Research conducted by Nguyen et al. (2021) and Garcia et al. (2022) underscores the role of hybrid and online support systems in addressing research deficiencies, particularly during the pandemic. Nonetheless, inequities persist among pupils from marginalized or rural regions who may be deficient in technological infrastructure or internet reliability.</w:t>
      </w:r>
      <w:r w:rsidRPr="00484AB7">
        <w:rPr>
          <w:rFonts w:ascii="Arial" w:eastAsia="Times New Roman" w:hAnsi="Arial" w:cs="Arial"/>
          <w:kern w:val="0"/>
          <w:sz w:val="20"/>
          <w:szCs w:val="20"/>
          <w14:ligatures w14:val="none"/>
        </w:rPr>
        <w:br/>
      </w:r>
      <w:r w:rsidRPr="00484AB7">
        <w:rPr>
          <w:rFonts w:ascii="Arial" w:eastAsia="Times New Roman" w:hAnsi="Arial" w:cs="Arial"/>
          <w:kern w:val="0"/>
          <w:sz w:val="20"/>
          <w:szCs w:val="20"/>
          <w14:ligatures w14:val="none"/>
        </w:rPr>
        <w:br/>
        <w:t>Therefore, evaluating the satisfaction levels of students facing these problems is crucial. Gonzales et al. (2023) emphasized the necessity of institutional audits to assess the impact of academic policies and mentorship models on undergraduate research outcomes. Likewise, Lee &amp; Ahn (2022) emphasized that happiness is intricately linked to organized support networks, prompt feedback, and fair access to research resources.</w:t>
      </w:r>
      <w:r w:rsidRPr="00484AB7">
        <w:rPr>
          <w:rFonts w:ascii="Arial" w:eastAsia="Times New Roman" w:hAnsi="Arial" w:cs="Arial"/>
          <w:kern w:val="0"/>
          <w:sz w:val="20"/>
          <w:szCs w:val="20"/>
          <w14:ligatures w14:val="none"/>
        </w:rPr>
        <w:br/>
      </w:r>
      <w:r w:rsidRPr="00484AB7">
        <w:rPr>
          <w:rFonts w:ascii="Arial" w:eastAsia="Times New Roman" w:hAnsi="Arial" w:cs="Arial"/>
          <w:kern w:val="0"/>
          <w:sz w:val="20"/>
          <w:szCs w:val="20"/>
          <w14:ligatures w14:val="none"/>
        </w:rPr>
        <w:br/>
        <w:t>The study examines graduating students' satisfaction with their undergraduate research experiences. It examines critical domains including adviser efficacy, procedural efficiency, resource accessibility, and perceived educational outcomes. The findings seek to guide institutional enhancements that foster a research culture rooted in excellence, inclusivity, and student-focused mentorship.</w:t>
      </w:r>
    </w:p>
    <w:p w14:paraId="1B027554" w14:textId="77777777" w:rsidR="00A026A5" w:rsidRDefault="00A026A5" w:rsidP="003532F3">
      <w:pPr>
        <w:keepNext/>
        <w:jc w:val="both"/>
        <w:rPr>
          <w:rFonts w:ascii="Arial" w:eastAsia="Times New Roman" w:hAnsi="Arial" w:cs="Arial"/>
          <w:kern w:val="0"/>
          <w:sz w:val="20"/>
          <w:szCs w:val="20"/>
          <w:lang w:val="en-US"/>
          <w14:ligatures w14:val="none"/>
        </w:rPr>
      </w:pPr>
    </w:p>
    <w:p w14:paraId="7A66BE86" w14:textId="5D865C8E" w:rsidR="007115C0" w:rsidRPr="007115C0" w:rsidRDefault="007115C0" w:rsidP="003532F3">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2. methodology </w:t>
      </w:r>
    </w:p>
    <w:p w14:paraId="52A821D9" w14:textId="77777777" w:rsidR="007115C0" w:rsidRDefault="007115C0" w:rsidP="007115C0">
      <w:pPr>
        <w:jc w:val="both"/>
        <w:rPr>
          <w:rFonts w:ascii="Arial" w:eastAsia="Times New Roman" w:hAnsi="Arial" w:cs="Arial"/>
          <w:kern w:val="0"/>
          <w:sz w:val="20"/>
          <w:szCs w:val="20"/>
          <w:lang w:val="en-US"/>
          <w14:ligatures w14:val="none"/>
        </w:rPr>
      </w:pPr>
    </w:p>
    <w:p w14:paraId="078AB0C4" w14:textId="77777777" w:rsidR="00D218C4" w:rsidRPr="007115C0" w:rsidRDefault="00D218C4" w:rsidP="007115C0">
      <w:pPr>
        <w:jc w:val="both"/>
        <w:rPr>
          <w:rFonts w:ascii="Arial" w:eastAsia="Times New Roman" w:hAnsi="Arial" w:cs="Arial"/>
          <w:kern w:val="0"/>
          <w:sz w:val="20"/>
          <w:szCs w:val="20"/>
          <w:lang w:val="en-US"/>
          <w14:ligatures w14:val="none"/>
        </w:rPr>
      </w:pPr>
    </w:p>
    <w:p w14:paraId="3323C1EF" w14:textId="77777777" w:rsidR="003532F3" w:rsidRPr="004830A4" w:rsidRDefault="003532F3" w:rsidP="003532F3">
      <w:pPr>
        <w:pStyle w:val="AbstHead"/>
        <w:spacing w:after="0"/>
        <w:jc w:val="both"/>
        <w:rPr>
          <w:rFonts w:ascii="Arial" w:hAnsi="Arial" w:cs="Arial"/>
          <w:caps w:val="0"/>
          <w:szCs w:val="22"/>
        </w:rPr>
      </w:pPr>
      <w:r w:rsidRPr="004830A4">
        <w:rPr>
          <w:rFonts w:ascii="Arial" w:hAnsi="Arial" w:cs="Arial"/>
          <w:szCs w:val="22"/>
        </w:rPr>
        <w:t>2.1 R</w:t>
      </w:r>
      <w:r w:rsidRPr="004830A4">
        <w:rPr>
          <w:rFonts w:ascii="Arial" w:hAnsi="Arial" w:cs="Arial"/>
          <w:caps w:val="0"/>
          <w:szCs w:val="22"/>
        </w:rPr>
        <w:t>esearch Design</w:t>
      </w:r>
    </w:p>
    <w:p w14:paraId="7DD3C317" w14:textId="77777777" w:rsidR="003532F3" w:rsidRDefault="003532F3" w:rsidP="003532F3">
      <w:pPr>
        <w:pStyle w:val="AbstHead"/>
        <w:spacing w:after="0"/>
        <w:jc w:val="both"/>
        <w:rPr>
          <w:rFonts w:ascii="Arial" w:hAnsi="Arial" w:cs="Arial"/>
          <w:caps w:val="0"/>
        </w:rPr>
      </w:pPr>
    </w:p>
    <w:p w14:paraId="73ED04D7" w14:textId="77777777" w:rsidR="00AB3181" w:rsidRPr="00AB3181" w:rsidRDefault="00AB3181" w:rsidP="00AB3181">
      <w:pPr>
        <w:pStyle w:val="Body"/>
        <w:rPr>
          <w:rFonts w:ascii="Arial" w:hAnsi="Arial" w:cs="Arial"/>
          <w:lang w:val="en-PH"/>
        </w:rPr>
      </w:pPr>
      <w:r w:rsidRPr="00AB3181">
        <w:rPr>
          <w:rFonts w:ascii="Arial" w:hAnsi="Arial" w:cs="Arial"/>
          <w:lang w:val="en-PH"/>
        </w:rPr>
        <w:t>This study used a quantitative-descriptive research methodology to assess undergraduate students' satisfaction with their research activities. This design effectively captures the current condition of a phenomenon through numerical data without modifying variables. It enabled the researchers to quantify the perceptions and experiences of students from several universities who fulfilled their undergraduate research obligations.</w:t>
      </w:r>
    </w:p>
    <w:p w14:paraId="7E939817" w14:textId="77777777" w:rsidR="003532F3" w:rsidRDefault="003532F3" w:rsidP="003532F3">
      <w:pPr>
        <w:pStyle w:val="Body"/>
        <w:spacing w:after="0"/>
        <w:rPr>
          <w:rFonts w:ascii="Arial" w:hAnsi="Arial" w:cs="Arial"/>
        </w:rPr>
      </w:pPr>
    </w:p>
    <w:p w14:paraId="7F3EB56B" w14:textId="77777777" w:rsidR="003532F3" w:rsidRDefault="003532F3" w:rsidP="003532F3">
      <w:pPr>
        <w:pStyle w:val="Body"/>
        <w:spacing w:after="0"/>
        <w:rPr>
          <w:rFonts w:ascii="Arial" w:hAnsi="Arial" w:cs="Arial"/>
          <w:b/>
          <w:bCs/>
          <w:sz w:val="22"/>
          <w:szCs w:val="22"/>
        </w:rPr>
      </w:pPr>
      <w:r w:rsidRPr="004830A4">
        <w:rPr>
          <w:rFonts w:ascii="Arial" w:hAnsi="Arial" w:cs="Arial"/>
          <w:b/>
          <w:bCs/>
          <w:sz w:val="22"/>
          <w:szCs w:val="22"/>
        </w:rPr>
        <w:t>2.2 Research Respondents</w:t>
      </w:r>
    </w:p>
    <w:p w14:paraId="51129C44" w14:textId="77777777" w:rsidR="00AB3181" w:rsidRDefault="00AB3181" w:rsidP="003532F3">
      <w:pPr>
        <w:pStyle w:val="Body"/>
        <w:spacing w:after="0"/>
        <w:rPr>
          <w:rFonts w:ascii="Arial" w:hAnsi="Arial" w:cs="Arial"/>
          <w:b/>
          <w:bCs/>
          <w:sz w:val="22"/>
          <w:szCs w:val="22"/>
        </w:rPr>
      </w:pPr>
    </w:p>
    <w:p w14:paraId="6C79BC5A" w14:textId="77777777" w:rsidR="00831ADB" w:rsidRDefault="00831ADB" w:rsidP="00831ADB">
      <w:pPr>
        <w:pStyle w:val="Body"/>
        <w:rPr>
          <w:rFonts w:ascii="Arial" w:hAnsi="Arial" w:cs="Arial"/>
          <w:sz w:val="22"/>
        </w:rPr>
      </w:pPr>
      <w:r w:rsidRPr="00831ADB">
        <w:rPr>
          <w:rFonts w:ascii="Arial" w:hAnsi="Arial" w:cs="Arial"/>
          <w:sz w:val="22"/>
        </w:rPr>
        <w:t>The research examined 408 undergraduate students registered in several colleges within a higher education institution. The academic sections comprised the College of Arts and Sciences (CAS), College of Business and Accountancy (CBA), College of Criminal Justice Education (CCJE), College of Computer Studies, Engineering and Architecture (CCSEA), College of Nursing (CON), College of Teacher Education (CTE), and College of Tourism and Hotel Management (CTHM).</w:t>
      </w:r>
    </w:p>
    <w:p w14:paraId="6AC24626" w14:textId="26D7F72D" w:rsidR="00831ADB" w:rsidRDefault="00831ADB" w:rsidP="00831ADB">
      <w:pPr>
        <w:pStyle w:val="Body"/>
        <w:rPr>
          <w:rFonts w:ascii="Arial" w:hAnsi="Arial" w:cs="Arial"/>
          <w:sz w:val="22"/>
        </w:rPr>
      </w:pPr>
      <w:r w:rsidRPr="00831ADB">
        <w:rPr>
          <w:rFonts w:ascii="Arial" w:hAnsi="Arial" w:cs="Arial"/>
          <w:sz w:val="22"/>
        </w:rPr>
        <w:lastRenderedPageBreak/>
        <w:t>The College of Computer Studies, Engineering and Architecture (CCSEA) had the most representation among these academic institutions, comprising 33.0% of the total participants. The College of Business and Accountancy (CBA) recorded 17.0%, while the College of Teacher Education (CTE) accounted for 15.0%. Conversely, the College of Criminal Justice Education (CCJE) accounted for the smallest proportion of respondents, with merely 1.0% of the whole sample. This distribution illustrates the varying enrollment sizes among the institution's colleges.</w:t>
      </w:r>
    </w:p>
    <w:p w14:paraId="7B6D46A8" w14:textId="3ED74EB0" w:rsidR="004C6D66" w:rsidRDefault="000B5B63" w:rsidP="00831ADB">
      <w:pPr>
        <w:pStyle w:val="Body"/>
        <w:rPr>
          <w:rFonts w:ascii="Arial" w:hAnsi="Arial" w:cs="Arial"/>
          <w:sz w:val="22"/>
        </w:rPr>
      </w:pPr>
      <w:r>
        <w:rPr>
          <w:rFonts w:ascii="Arial" w:hAnsi="Arial" w:cs="Arial"/>
          <w:sz w:val="22"/>
        </w:rPr>
        <w:t>Fig 1-</w:t>
      </w:r>
      <w:r w:rsidR="00EE4B8F">
        <w:rPr>
          <w:rFonts w:ascii="Arial" w:hAnsi="Arial" w:cs="Arial"/>
          <w:sz w:val="22"/>
        </w:rPr>
        <w:t xml:space="preserve"> distribution of respondents by college</w:t>
      </w:r>
    </w:p>
    <w:p w14:paraId="1378ADE6" w14:textId="0E0DBFD2" w:rsidR="009805C0" w:rsidRPr="009805C0" w:rsidRDefault="009805C0" w:rsidP="009805C0">
      <w:pPr>
        <w:pStyle w:val="Body"/>
        <w:rPr>
          <w:rFonts w:ascii="Arial" w:hAnsi="Arial" w:cs="Arial"/>
          <w:sz w:val="22"/>
          <w:lang w:val="en-PH"/>
        </w:rPr>
      </w:pPr>
      <w:r>
        <w:rPr>
          <w:noProof/>
        </w:rPr>
        <w:drawing>
          <wp:inline distT="0" distB="0" distL="0" distR="0" wp14:anchorId="6E81CF56" wp14:editId="51128A7D">
            <wp:extent cx="5212080" cy="3107690"/>
            <wp:effectExtent l="0" t="0" r="7620" b="0"/>
            <wp:docPr id="157363319" name="Picture 4"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utput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2080" cy="3107690"/>
                    </a:xfrm>
                    <a:prstGeom prst="rect">
                      <a:avLst/>
                    </a:prstGeom>
                    <a:noFill/>
                    <a:ln>
                      <a:noFill/>
                    </a:ln>
                  </pic:spPr>
                </pic:pic>
              </a:graphicData>
            </a:graphic>
          </wp:inline>
        </w:drawing>
      </w:r>
    </w:p>
    <w:p w14:paraId="1C51F14F" w14:textId="77777777" w:rsidR="004C6D66" w:rsidRPr="00831ADB" w:rsidRDefault="004C6D66" w:rsidP="00831ADB">
      <w:pPr>
        <w:pStyle w:val="Body"/>
        <w:rPr>
          <w:rFonts w:ascii="Arial" w:hAnsi="Arial" w:cs="Arial"/>
          <w:sz w:val="22"/>
        </w:rPr>
      </w:pPr>
    </w:p>
    <w:p w14:paraId="40E10A45" w14:textId="77777777" w:rsidR="00AB3181" w:rsidRPr="004830A4" w:rsidRDefault="00AB3181" w:rsidP="003532F3">
      <w:pPr>
        <w:pStyle w:val="Body"/>
        <w:spacing w:after="0"/>
        <w:rPr>
          <w:rFonts w:ascii="Arial" w:hAnsi="Arial" w:cs="Arial"/>
          <w:b/>
          <w:bCs/>
          <w:sz w:val="22"/>
          <w:szCs w:val="22"/>
        </w:rPr>
      </w:pPr>
    </w:p>
    <w:p w14:paraId="639CDD79" w14:textId="1CC04993" w:rsidR="003532F3" w:rsidRPr="006A63B6" w:rsidRDefault="003532F3" w:rsidP="006A63B6">
      <w:pPr>
        <w:pStyle w:val="Body"/>
        <w:rPr>
          <w:rFonts w:ascii="Arial" w:hAnsi="Arial" w:cs="Arial"/>
          <w:b/>
          <w:bCs/>
          <w:sz w:val="22"/>
          <w:szCs w:val="22"/>
        </w:rPr>
      </w:pPr>
      <w:r w:rsidRPr="004830A4">
        <w:rPr>
          <w:rFonts w:ascii="Arial" w:hAnsi="Arial" w:cs="Arial"/>
          <w:b/>
          <w:bCs/>
          <w:sz w:val="22"/>
          <w:szCs w:val="22"/>
        </w:rPr>
        <w:t>2.3 Instrument of the Study</w:t>
      </w:r>
    </w:p>
    <w:p w14:paraId="1C20BC1D" w14:textId="77777777" w:rsidR="00B424EA" w:rsidRDefault="00B424EA" w:rsidP="00B424EA">
      <w:pPr>
        <w:pStyle w:val="Body"/>
        <w:rPr>
          <w:rFonts w:ascii="Arial" w:hAnsi="Arial" w:cs="Arial"/>
          <w:lang w:val="en-PH"/>
        </w:rPr>
      </w:pPr>
      <w:r w:rsidRPr="00B424EA">
        <w:rPr>
          <w:rFonts w:ascii="Arial" w:hAnsi="Arial" w:cs="Arial"/>
          <w:lang w:val="en-PH"/>
        </w:rPr>
        <w:t>A researcher-developed questionnaire was utilized as the principal data collection tool. It was categorized into six distinct areas: research mentorship, panel membership, research skills, research collaboration, research resources, and proposal application and final hearings. Each category comprised four to five items, evaluated using a four-point Likert scale.</w:t>
      </w:r>
    </w:p>
    <w:p w14:paraId="28D36607" w14:textId="34B18173" w:rsidR="00B424EA" w:rsidRPr="00B424EA" w:rsidRDefault="00B424EA" w:rsidP="00B424EA">
      <w:pPr>
        <w:pStyle w:val="Body"/>
        <w:rPr>
          <w:rFonts w:ascii="Arial" w:hAnsi="Arial" w:cs="Arial"/>
          <w:lang w:val="en-PH"/>
        </w:rPr>
      </w:pPr>
      <w:r w:rsidRPr="00B424EA">
        <w:rPr>
          <w:rFonts w:ascii="Arial" w:hAnsi="Arial" w:cs="Arial"/>
          <w:lang w:val="en-PH"/>
        </w:rPr>
        <w:t>The instrument was tested by reliability testing with Cronbach’s alpha to verify consistency. The resulting dependability coefficients are as follows: research mentorship (0.9774), panel participation (0.9613), research talents (0.9458), research collaboration (0.8853), research resources (0.8646), and application for proposal and final hearings (0.9438). The values demonstrated that the instrument exhibited great reliability across all dimensions.</w:t>
      </w:r>
    </w:p>
    <w:p w14:paraId="6F2894CA" w14:textId="77777777" w:rsidR="003532F3" w:rsidRPr="00F32EA9" w:rsidRDefault="003532F3" w:rsidP="003532F3">
      <w:pPr>
        <w:pStyle w:val="Body"/>
        <w:spacing w:after="0"/>
        <w:rPr>
          <w:rFonts w:ascii="Arial" w:hAnsi="Arial" w:cs="Arial"/>
        </w:rPr>
      </w:pPr>
    </w:p>
    <w:p w14:paraId="37802E9A" w14:textId="77777777" w:rsidR="003532F3" w:rsidRDefault="003532F3" w:rsidP="003532F3">
      <w:pPr>
        <w:pStyle w:val="Head1"/>
        <w:spacing w:after="0"/>
        <w:jc w:val="both"/>
        <w:rPr>
          <w:rFonts w:ascii="Arial" w:hAnsi="Arial" w:cs="Arial"/>
          <w:caps w:val="0"/>
          <w:sz w:val="20"/>
        </w:rPr>
      </w:pPr>
      <w:r>
        <w:rPr>
          <w:rFonts w:ascii="Arial" w:hAnsi="Arial" w:cs="Arial"/>
          <w:sz w:val="20"/>
        </w:rPr>
        <w:lastRenderedPageBreak/>
        <w:t xml:space="preserve">2.4 </w:t>
      </w:r>
      <w:r>
        <w:rPr>
          <w:rFonts w:ascii="Arial" w:hAnsi="Arial" w:cs="Arial"/>
          <w:caps w:val="0"/>
        </w:rPr>
        <w:t>Data</w:t>
      </w:r>
      <w:r w:rsidRPr="00513CEE">
        <w:rPr>
          <w:rFonts w:ascii="Arial" w:hAnsi="Arial" w:cs="Arial"/>
          <w:caps w:val="0"/>
        </w:rPr>
        <w:t xml:space="preserve"> </w:t>
      </w:r>
      <w:r>
        <w:rPr>
          <w:rFonts w:ascii="Arial" w:hAnsi="Arial" w:cs="Arial"/>
          <w:caps w:val="0"/>
        </w:rPr>
        <w:t>G</w:t>
      </w:r>
      <w:r w:rsidRPr="00513CEE">
        <w:rPr>
          <w:rFonts w:ascii="Arial" w:hAnsi="Arial" w:cs="Arial"/>
          <w:caps w:val="0"/>
        </w:rPr>
        <w:t>athering</w:t>
      </w:r>
      <w:r>
        <w:rPr>
          <w:rFonts w:ascii="Arial" w:hAnsi="Arial" w:cs="Arial"/>
          <w:caps w:val="0"/>
          <w:sz w:val="20"/>
        </w:rPr>
        <w:t xml:space="preserve"> Procedure</w:t>
      </w:r>
    </w:p>
    <w:p w14:paraId="1B7D1660" w14:textId="77777777" w:rsidR="003532F3" w:rsidRDefault="003532F3" w:rsidP="003532F3">
      <w:pPr>
        <w:pStyle w:val="Head1"/>
        <w:spacing w:after="0"/>
        <w:jc w:val="both"/>
        <w:rPr>
          <w:rFonts w:ascii="Arial" w:hAnsi="Arial" w:cs="Arial"/>
          <w:sz w:val="20"/>
        </w:rPr>
      </w:pPr>
    </w:p>
    <w:p w14:paraId="1632AEA4" w14:textId="77777777" w:rsidR="00B424EA" w:rsidRPr="00513CEE" w:rsidRDefault="00B424EA" w:rsidP="003532F3">
      <w:pPr>
        <w:pStyle w:val="Head1"/>
        <w:spacing w:after="0"/>
        <w:jc w:val="both"/>
        <w:rPr>
          <w:rFonts w:ascii="Arial" w:hAnsi="Arial" w:cs="Arial"/>
          <w:sz w:val="20"/>
        </w:rPr>
      </w:pPr>
    </w:p>
    <w:p w14:paraId="01F9EFB0" w14:textId="77777777" w:rsidR="00B424EA" w:rsidRPr="00B424EA" w:rsidRDefault="00B424EA" w:rsidP="00B424EA">
      <w:pPr>
        <w:pStyle w:val="NoSpacing"/>
        <w:jc w:val="both"/>
        <w:rPr>
          <w:rFonts w:ascii="Arial" w:hAnsi="Arial" w:cs="Arial"/>
          <w:sz w:val="22"/>
        </w:rPr>
      </w:pPr>
      <w:r w:rsidRPr="00B424EA">
        <w:rPr>
          <w:rFonts w:ascii="Arial" w:hAnsi="Arial" w:cs="Arial"/>
          <w:sz w:val="22"/>
        </w:rPr>
        <w:t>The questionnaire was distributed through an internet platform throughout the clearance procedure for graduating students. Students were apprised of the study's nature and objective, and their participation was optional. A two-week period was allocated to guarantee sufficient time for completion. All responses were gathered anonymously and maintained confidentially to adhere to study ethics and data protection standards.</w:t>
      </w:r>
    </w:p>
    <w:p w14:paraId="2B798FB3" w14:textId="77777777" w:rsidR="00B424EA" w:rsidRDefault="00B424EA" w:rsidP="003532F3">
      <w:pPr>
        <w:spacing w:line="480" w:lineRule="auto"/>
        <w:ind w:left="11" w:hanging="10"/>
        <w:jc w:val="both"/>
        <w:rPr>
          <w:rFonts w:ascii="Arial" w:hAnsi="Arial" w:cs="Arial"/>
          <w:b/>
          <w:bCs/>
          <w:sz w:val="22"/>
        </w:rPr>
      </w:pPr>
    </w:p>
    <w:p w14:paraId="28D01208" w14:textId="50BADB3D" w:rsidR="003532F3" w:rsidRPr="00F32EA9" w:rsidRDefault="003532F3" w:rsidP="003532F3">
      <w:pPr>
        <w:spacing w:line="480" w:lineRule="auto"/>
        <w:ind w:left="11" w:hanging="10"/>
        <w:jc w:val="both"/>
        <w:rPr>
          <w:rFonts w:ascii="Arial" w:hAnsi="Arial" w:cs="Arial"/>
          <w:b/>
          <w:bCs/>
          <w:sz w:val="22"/>
          <w:lang w:eastAsia="en-PH"/>
        </w:rPr>
      </w:pPr>
      <w:r w:rsidRPr="00F32EA9">
        <w:rPr>
          <w:rFonts w:ascii="Arial" w:hAnsi="Arial" w:cs="Arial"/>
          <w:b/>
          <w:bCs/>
          <w:sz w:val="22"/>
        </w:rPr>
        <w:t xml:space="preserve">2.5 </w:t>
      </w:r>
      <w:r w:rsidRPr="00F32EA9">
        <w:rPr>
          <w:rFonts w:ascii="Arial" w:hAnsi="Arial" w:cs="Arial"/>
          <w:b/>
          <w:bCs/>
          <w:color w:val="000000"/>
          <w:sz w:val="22"/>
          <w:lang w:eastAsia="en-PH"/>
        </w:rPr>
        <w:t>Statistical Treatment of Data</w:t>
      </w:r>
    </w:p>
    <w:p w14:paraId="1AF3F35B" w14:textId="5F021053" w:rsidR="00A026A5" w:rsidRDefault="00B424EA" w:rsidP="00A026A5">
      <w:pPr>
        <w:jc w:val="both"/>
        <w:rPr>
          <w:rFonts w:ascii="Arial" w:hAnsi="Arial" w:cs="Arial"/>
          <w:sz w:val="22"/>
        </w:rPr>
      </w:pPr>
      <w:r w:rsidRPr="00B424EA">
        <w:rPr>
          <w:rFonts w:ascii="Arial" w:hAnsi="Arial" w:cs="Arial"/>
          <w:sz w:val="22"/>
        </w:rPr>
        <w:t xml:space="preserve">The responses were analyzed using the </w:t>
      </w:r>
      <w:r w:rsidRPr="00B424EA">
        <w:rPr>
          <w:rFonts w:ascii="Arial" w:hAnsi="Arial" w:cs="Arial"/>
          <w:b/>
          <w:bCs/>
          <w:sz w:val="22"/>
        </w:rPr>
        <w:t>weighted mean</w:t>
      </w:r>
      <w:r w:rsidRPr="00B424EA">
        <w:rPr>
          <w:rFonts w:ascii="Arial" w:hAnsi="Arial" w:cs="Arial"/>
          <w:sz w:val="22"/>
        </w:rPr>
        <w:t xml:space="preserve"> to determine the level of satisfaction of students with their undergraduate research experiences. The following scale and interpretation were applied:</w:t>
      </w:r>
    </w:p>
    <w:p w14:paraId="20EF3F1B" w14:textId="77777777" w:rsidR="00B424EA" w:rsidRDefault="00B424EA" w:rsidP="00A026A5">
      <w:pPr>
        <w:jc w:val="both"/>
        <w:rPr>
          <w:rFonts w:ascii="Arial" w:hAnsi="Arial" w:cs="Arial"/>
          <w:sz w:val="22"/>
        </w:rPr>
      </w:pPr>
    </w:p>
    <w:tbl>
      <w:tblPr>
        <w:tblStyle w:val="TableGrid"/>
        <w:tblW w:w="0" w:type="auto"/>
        <w:tblLook w:val="04A0" w:firstRow="1" w:lastRow="0" w:firstColumn="1" w:lastColumn="0" w:noHBand="0" w:noVBand="1"/>
      </w:tblPr>
      <w:tblGrid>
        <w:gridCol w:w="1129"/>
        <w:gridCol w:w="2356"/>
        <w:gridCol w:w="2356"/>
        <w:gridCol w:w="2357"/>
      </w:tblGrid>
      <w:tr w:rsidR="00B424EA" w14:paraId="3D167771" w14:textId="77777777" w:rsidTr="00B424EA">
        <w:tc>
          <w:tcPr>
            <w:tcW w:w="1129" w:type="dxa"/>
          </w:tcPr>
          <w:p w14:paraId="1FD86821" w14:textId="582DA45D" w:rsidR="00B424EA" w:rsidRDefault="00B424EA" w:rsidP="00A026A5">
            <w:pPr>
              <w:jc w:val="both"/>
              <w:rPr>
                <w:rFonts w:ascii="Arial" w:hAnsi="Arial" w:cs="Arial"/>
              </w:rPr>
            </w:pPr>
            <w:r>
              <w:rPr>
                <w:rFonts w:ascii="Arial" w:hAnsi="Arial" w:cs="Arial"/>
              </w:rPr>
              <w:t xml:space="preserve">Scale </w:t>
            </w:r>
          </w:p>
        </w:tc>
        <w:tc>
          <w:tcPr>
            <w:tcW w:w="2356" w:type="dxa"/>
          </w:tcPr>
          <w:p w14:paraId="4C1F7974" w14:textId="79BD97D9" w:rsidR="00B424EA" w:rsidRDefault="00B424EA" w:rsidP="00B424EA">
            <w:pPr>
              <w:rPr>
                <w:rFonts w:ascii="Arial" w:hAnsi="Arial" w:cs="Arial"/>
              </w:rPr>
            </w:pPr>
            <w:r>
              <w:rPr>
                <w:rFonts w:ascii="Arial" w:hAnsi="Arial" w:cs="Arial"/>
              </w:rPr>
              <w:t>Mean Range</w:t>
            </w:r>
          </w:p>
        </w:tc>
        <w:tc>
          <w:tcPr>
            <w:tcW w:w="2356" w:type="dxa"/>
          </w:tcPr>
          <w:p w14:paraId="6E832B35" w14:textId="300DF067" w:rsidR="00B424EA" w:rsidRDefault="00B424EA" w:rsidP="00B424EA">
            <w:pPr>
              <w:rPr>
                <w:rFonts w:ascii="Arial" w:hAnsi="Arial" w:cs="Arial"/>
              </w:rPr>
            </w:pPr>
            <w:r>
              <w:rPr>
                <w:rFonts w:ascii="Arial" w:hAnsi="Arial" w:cs="Arial"/>
              </w:rPr>
              <w:t>Verbal Description</w:t>
            </w:r>
          </w:p>
        </w:tc>
        <w:tc>
          <w:tcPr>
            <w:tcW w:w="2357" w:type="dxa"/>
          </w:tcPr>
          <w:p w14:paraId="391D88D0" w14:textId="0D5E80A3" w:rsidR="00B424EA" w:rsidRDefault="00B424EA" w:rsidP="00B424EA">
            <w:pPr>
              <w:rPr>
                <w:rFonts w:ascii="Arial" w:hAnsi="Arial" w:cs="Arial"/>
              </w:rPr>
            </w:pPr>
            <w:r>
              <w:rPr>
                <w:rFonts w:ascii="Arial" w:hAnsi="Arial" w:cs="Arial"/>
              </w:rPr>
              <w:t>Verbal Interpretation</w:t>
            </w:r>
          </w:p>
        </w:tc>
      </w:tr>
      <w:tr w:rsidR="00B424EA" w14:paraId="4BFFE6D3" w14:textId="77777777" w:rsidTr="00B424EA">
        <w:tc>
          <w:tcPr>
            <w:tcW w:w="1129" w:type="dxa"/>
          </w:tcPr>
          <w:p w14:paraId="21F108C3" w14:textId="6042A119" w:rsidR="00B424EA" w:rsidRDefault="00B424EA" w:rsidP="00A026A5">
            <w:pPr>
              <w:jc w:val="both"/>
              <w:rPr>
                <w:rFonts w:ascii="Arial" w:hAnsi="Arial" w:cs="Arial"/>
              </w:rPr>
            </w:pPr>
            <w:r>
              <w:rPr>
                <w:rFonts w:ascii="Arial" w:hAnsi="Arial" w:cs="Arial"/>
              </w:rPr>
              <w:t>4</w:t>
            </w:r>
          </w:p>
        </w:tc>
        <w:tc>
          <w:tcPr>
            <w:tcW w:w="2356" w:type="dxa"/>
          </w:tcPr>
          <w:p w14:paraId="36E9EB18" w14:textId="13242D2B" w:rsidR="00B424EA" w:rsidRDefault="00B424EA" w:rsidP="00B424EA">
            <w:pPr>
              <w:rPr>
                <w:rFonts w:ascii="Arial" w:hAnsi="Arial" w:cs="Arial"/>
              </w:rPr>
            </w:pPr>
            <w:r>
              <w:rPr>
                <w:rFonts w:ascii="Arial" w:hAnsi="Arial" w:cs="Arial"/>
              </w:rPr>
              <w:t>3.26 – 4.00</w:t>
            </w:r>
          </w:p>
        </w:tc>
        <w:tc>
          <w:tcPr>
            <w:tcW w:w="2356" w:type="dxa"/>
          </w:tcPr>
          <w:p w14:paraId="46ECD1C8" w14:textId="1BDD423F" w:rsidR="00B424EA" w:rsidRDefault="00B424EA" w:rsidP="00B424EA">
            <w:pPr>
              <w:rPr>
                <w:rFonts w:ascii="Arial" w:hAnsi="Arial" w:cs="Arial"/>
              </w:rPr>
            </w:pPr>
            <w:r>
              <w:rPr>
                <w:rFonts w:ascii="Arial" w:hAnsi="Arial" w:cs="Arial"/>
              </w:rPr>
              <w:t>Strongly Agree</w:t>
            </w:r>
          </w:p>
        </w:tc>
        <w:tc>
          <w:tcPr>
            <w:tcW w:w="2357" w:type="dxa"/>
          </w:tcPr>
          <w:p w14:paraId="0638CC3D" w14:textId="0C776D0E" w:rsidR="00B424EA" w:rsidRDefault="00B424EA" w:rsidP="00B424EA">
            <w:pPr>
              <w:rPr>
                <w:rFonts w:ascii="Arial" w:hAnsi="Arial" w:cs="Arial"/>
              </w:rPr>
            </w:pPr>
            <w:r>
              <w:rPr>
                <w:rFonts w:ascii="Arial" w:hAnsi="Arial" w:cs="Arial"/>
              </w:rPr>
              <w:t>Highly Satisfied</w:t>
            </w:r>
          </w:p>
        </w:tc>
      </w:tr>
      <w:tr w:rsidR="00B424EA" w14:paraId="4FB785E8" w14:textId="77777777" w:rsidTr="00B424EA">
        <w:tc>
          <w:tcPr>
            <w:tcW w:w="1129" w:type="dxa"/>
          </w:tcPr>
          <w:p w14:paraId="3346FC01" w14:textId="772B371D" w:rsidR="00B424EA" w:rsidRDefault="00B424EA" w:rsidP="00A026A5">
            <w:pPr>
              <w:jc w:val="both"/>
              <w:rPr>
                <w:rFonts w:ascii="Arial" w:hAnsi="Arial" w:cs="Arial"/>
              </w:rPr>
            </w:pPr>
            <w:r>
              <w:rPr>
                <w:rFonts w:ascii="Arial" w:hAnsi="Arial" w:cs="Arial"/>
              </w:rPr>
              <w:t>3</w:t>
            </w:r>
          </w:p>
        </w:tc>
        <w:tc>
          <w:tcPr>
            <w:tcW w:w="2356" w:type="dxa"/>
          </w:tcPr>
          <w:p w14:paraId="453E738D" w14:textId="47A08F4D" w:rsidR="00B424EA" w:rsidRDefault="00B424EA" w:rsidP="00B424EA">
            <w:pPr>
              <w:rPr>
                <w:rFonts w:ascii="Arial" w:hAnsi="Arial" w:cs="Arial"/>
              </w:rPr>
            </w:pPr>
            <w:r>
              <w:rPr>
                <w:rFonts w:ascii="Arial" w:hAnsi="Arial" w:cs="Arial"/>
              </w:rPr>
              <w:t xml:space="preserve">2.26 – 3.25 </w:t>
            </w:r>
          </w:p>
        </w:tc>
        <w:tc>
          <w:tcPr>
            <w:tcW w:w="2356" w:type="dxa"/>
          </w:tcPr>
          <w:p w14:paraId="07E3C31D" w14:textId="01B1881C" w:rsidR="00B424EA" w:rsidRDefault="00B424EA" w:rsidP="00B424EA">
            <w:pPr>
              <w:rPr>
                <w:rFonts w:ascii="Arial" w:hAnsi="Arial" w:cs="Arial"/>
              </w:rPr>
            </w:pPr>
            <w:r>
              <w:rPr>
                <w:rFonts w:ascii="Arial" w:hAnsi="Arial" w:cs="Arial"/>
              </w:rPr>
              <w:t>Agree</w:t>
            </w:r>
          </w:p>
        </w:tc>
        <w:tc>
          <w:tcPr>
            <w:tcW w:w="2357" w:type="dxa"/>
          </w:tcPr>
          <w:p w14:paraId="47C0EFAC" w14:textId="05B8EEDB" w:rsidR="00B424EA" w:rsidRDefault="00B424EA" w:rsidP="00B424EA">
            <w:pPr>
              <w:rPr>
                <w:rFonts w:ascii="Arial" w:hAnsi="Arial" w:cs="Arial"/>
              </w:rPr>
            </w:pPr>
            <w:r>
              <w:rPr>
                <w:rFonts w:ascii="Arial" w:hAnsi="Arial" w:cs="Arial"/>
              </w:rPr>
              <w:t>Moderately Satisfied</w:t>
            </w:r>
          </w:p>
        </w:tc>
      </w:tr>
      <w:tr w:rsidR="00B424EA" w14:paraId="7B5D7DA3" w14:textId="77777777" w:rsidTr="00B424EA">
        <w:tc>
          <w:tcPr>
            <w:tcW w:w="1129" w:type="dxa"/>
          </w:tcPr>
          <w:p w14:paraId="4E98E8C0" w14:textId="4FEE4E1E" w:rsidR="00B424EA" w:rsidRDefault="00B424EA" w:rsidP="00A026A5">
            <w:pPr>
              <w:jc w:val="both"/>
              <w:rPr>
                <w:rFonts w:ascii="Arial" w:hAnsi="Arial" w:cs="Arial"/>
              </w:rPr>
            </w:pPr>
            <w:r>
              <w:rPr>
                <w:rFonts w:ascii="Arial" w:hAnsi="Arial" w:cs="Arial"/>
              </w:rPr>
              <w:t>2</w:t>
            </w:r>
          </w:p>
        </w:tc>
        <w:tc>
          <w:tcPr>
            <w:tcW w:w="2356" w:type="dxa"/>
          </w:tcPr>
          <w:p w14:paraId="5B25F4ED" w14:textId="25BD6FF1" w:rsidR="00B424EA" w:rsidRDefault="00B424EA" w:rsidP="00B424EA">
            <w:pPr>
              <w:rPr>
                <w:rFonts w:ascii="Arial" w:hAnsi="Arial" w:cs="Arial"/>
              </w:rPr>
            </w:pPr>
            <w:r>
              <w:rPr>
                <w:rFonts w:ascii="Arial" w:hAnsi="Arial" w:cs="Arial"/>
              </w:rPr>
              <w:t xml:space="preserve">1.76 – 2.25 </w:t>
            </w:r>
          </w:p>
        </w:tc>
        <w:tc>
          <w:tcPr>
            <w:tcW w:w="2356" w:type="dxa"/>
          </w:tcPr>
          <w:p w14:paraId="5A320682" w14:textId="53F7B5B7" w:rsidR="00B424EA" w:rsidRDefault="00B424EA" w:rsidP="00B424EA">
            <w:pPr>
              <w:rPr>
                <w:rFonts w:ascii="Arial" w:hAnsi="Arial" w:cs="Arial"/>
              </w:rPr>
            </w:pPr>
            <w:r>
              <w:rPr>
                <w:rFonts w:ascii="Arial" w:hAnsi="Arial" w:cs="Arial"/>
              </w:rPr>
              <w:t>Disagree</w:t>
            </w:r>
          </w:p>
        </w:tc>
        <w:tc>
          <w:tcPr>
            <w:tcW w:w="2357" w:type="dxa"/>
          </w:tcPr>
          <w:p w14:paraId="4C307DF8" w14:textId="33AE0FAE" w:rsidR="00B424EA" w:rsidRDefault="00B424EA" w:rsidP="00B424EA">
            <w:pPr>
              <w:rPr>
                <w:rFonts w:ascii="Arial" w:hAnsi="Arial" w:cs="Arial"/>
              </w:rPr>
            </w:pPr>
            <w:r>
              <w:rPr>
                <w:rFonts w:ascii="Arial" w:hAnsi="Arial" w:cs="Arial"/>
              </w:rPr>
              <w:t>Slightly Satisfied</w:t>
            </w:r>
          </w:p>
        </w:tc>
      </w:tr>
      <w:tr w:rsidR="00B424EA" w14:paraId="7CABEA9A" w14:textId="77777777" w:rsidTr="00B424EA">
        <w:tc>
          <w:tcPr>
            <w:tcW w:w="1129" w:type="dxa"/>
          </w:tcPr>
          <w:p w14:paraId="4CA9E1A8" w14:textId="0437B509" w:rsidR="00B424EA" w:rsidRDefault="00B424EA" w:rsidP="00A026A5">
            <w:pPr>
              <w:jc w:val="both"/>
              <w:rPr>
                <w:rFonts w:ascii="Arial" w:hAnsi="Arial" w:cs="Arial"/>
              </w:rPr>
            </w:pPr>
            <w:r>
              <w:rPr>
                <w:rFonts w:ascii="Arial" w:hAnsi="Arial" w:cs="Arial"/>
              </w:rPr>
              <w:t>1</w:t>
            </w:r>
          </w:p>
        </w:tc>
        <w:tc>
          <w:tcPr>
            <w:tcW w:w="2356" w:type="dxa"/>
          </w:tcPr>
          <w:p w14:paraId="2C42C538" w14:textId="2A3CDBBF" w:rsidR="00B424EA" w:rsidRDefault="00B424EA" w:rsidP="00B424EA">
            <w:pPr>
              <w:rPr>
                <w:rFonts w:ascii="Arial" w:hAnsi="Arial" w:cs="Arial"/>
              </w:rPr>
            </w:pPr>
            <w:r>
              <w:rPr>
                <w:rFonts w:ascii="Arial" w:hAnsi="Arial" w:cs="Arial"/>
              </w:rPr>
              <w:t xml:space="preserve">1.00 – 1.75 </w:t>
            </w:r>
          </w:p>
        </w:tc>
        <w:tc>
          <w:tcPr>
            <w:tcW w:w="2356" w:type="dxa"/>
          </w:tcPr>
          <w:p w14:paraId="1894D15C" w14:textId="0BA20BDC" w:rsidR="00B424EA" w:rsidRDefault="00B424EA" w:rsidP="00B424EA">
            <w:pPr>
              <w:rPr>
                <w:rFonts w:ascii="Arial" w:hAnsi="Arial" w:cs="Arial"/>
              </w:rPr>
            </w:pPr>
            <w:r>
              <w:rPr>
                <w:rFonts w:ascii="Arial" w:hAnsi="Arial" w:cs="Arial"/>
              </w:rPr>
              <w:t>Strongly Disagree</w:t>
            </w:r>
          </w:p>
        </w:tc>
        <w:tc>
          <w:tcPr>
            <w:tcW w:w="2357" w:type="dxa"/>
          </w:tcPr>
          <w:p w14:paraId="20306BFF" w14:textId="28CAB129" w:rsidR="00B424EA" w:rsidRDefault="00B424EA" w:rsidP="00B424EA">
            <w:pPr>
              <w:rPr>
                <w:rFonts w:ascii="Arial" w:hAnsi="Arial" w:cs="Arial"/>
              </w:rPr>
            </w:pPr>
            <w:r>
              <w:rPr>
                <w:rFonts w:ascii="Arial" w:hAnsi="Arial" w:cs="Arial"/>
              </w:rPr>
              <w:t>Not Satisfied at All</w:t>
            </w:r>
          </w:p>
        </w:tc>
      </w:tr>
    </w:tbl>
    <w:p w14:paraId="5EC99E29" w14:textId="77777777" w:rsidR="00B424EA" w:rsidRDefault="00B424EA" w:rsidP="00A026A5">
      <w:pPr>
        <w:jc w:val="both"/>
        <w:rPr>
          <w:rFonts w:ascii="Arial" w:hAnsi="Arial" w:cs="Arial"/>
          <w:sz w:val="22"/>
        </w:rPr>
      </w:pPr>
    </w:p>
    <w:p w14:paraId="288D9F6B" w14:textId="7D80AB8E" w:rsidR="00694E37" w:rsidRDefault="00F90AF5" w:rsidP="00A026A5">
      <w:pPr>
        <w:jc w:val="both"/>
        <w:rPr>
          <w:rFonts w:ascii="Arial" w:eastAsia="Times New Roman" w:hAnsi="Arial" w:cs="Arial"/>
          <w:b/>
          <w:caps/>
          <w:kern w:val="0"/>
          <w:sz w:val="22"/>
          <w:szCs w:val="20"/>
          <w:lang w:val="en-US"/>
          <w14:ligatures w14:val="none"/>
        </w:rPr>
      </w:pPr>
      <w:r>
        <w:rPr>
          <w:rFonts w:ascii="Arial" w:eastAsia="Times New Roman" w:hAnsi="Arial" w:cs="Arial"/>
          <w:b/>
          <w:caps/>
          <w:kern w:val="0"/>
          <w:sz w:val="22"/>
          <w:szCs w:val="20"/>
          <w:lang w:val="en-US"/>
          <w14:ligatures w14:val="none"/>
        </w:rPr>
        <w:t xml:space="preserve">table </w:t>
      </w:r>
      <w:r w:rsidR="00694E37">
        <w:rPr>
          <w:rFonts w:ascii="Arial" w:eastAsia="Times New Roman" w:hAnsi="Arial" w:cs="Arial"/>
          <w:b/>
          <w:caps/>
          <w:kern w:val="0"/>
          <w:sz w:val="22"/>
          <w:szCs w:val="20"/>
          <w:lang w:val="en-US"/>
          <w14:ligatures w14:val="none"/>
        </w:rPr>
        <w:t>1-</w:t>
      </w:r>
      <w:r w:rsidR="00324D54">
        <w:rPr>
          <w:rFonts w:ascii="Arial" w:eastAsia="Times New Roman" w:hAnsi="Arial" w:cs="Arial"/>
          <w:b/>
          <w:caps/>
          <w:kern w:val="0"/>
          <w:sz w:val="22"/>
          <w:szCs w:val="20"/>
          <w:lang w:val="en-US"/>
          <w14:ligatures w14:val="none"/>
        </w:rPr>
        <w:t xml:space="preserve"> Scale and interpretation Used in the study  </w:t>
      </w:r>
    </w:p>
    <w:p w14:paraId="082D60AD" w14:textId="77777777" w:rsidR="00451557" w:rsidRDefault="00451557" w:rsidP="00A026A5">
      <w:pPr>
        <w:jc w:val="both"/>
        <w:rPr>
          <w:rFonts w:ascii="Arial" w:eastAsia="Times New Roman" w:hAnsi="Arial" w:cs="Arial"/>
          <w:b/>
          <w:caps/>
          <w:kern w:val="0"/>
          <w:sz w:val="22"/>
          <w:szCs w:val="20"/>
          <w:lang w:val="en-US"/>
          <w14:ligatures w14:val="none"/>
        </w:rPr>
      </w:pPr>
    </w:p>
    <w:p w14:paraId="4C26A57A" w14:textId="2EF282B8" w:rsidR="007115C0" w:rsidRPr="007115C0" w:rsidRDefault="007115C0" w:rsidP="00A026A5">
      <w:pPr>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3. results and discussion</w:t>
      </w:r>
    </w:p>
    <w:p w14:paraId="01A70F7E" w14:textId="77777777" w:rsidR="007115C0" w:rsidRDefault="007115C0" w:rsidP="007115C0">
      <w:pPr>
        <w:keepNext/>
        <w:jc w:val="both"/>
        <w:rPr>
          <w:rFonts w:ascii="Arial" w:eastAsia="Times New Roman" w:hAnsi="Arial" w:cs="Arial"/>
          <w:b/>
          <w:caps/>
          <w:kern w:val="0"/>
          <w:sz w:val="22"/>
          <w:szCs w:val="20"/>
          <w:lang w:val="en-US"/>
          <w14:ligatures w14:val="none"/>
        </w:rPr>
      </w:pPr>
    </w:p>
    <w:p w14:paraId="2A07D737" w14:textId="5D1EB3A2" w:rsidR="00D54228" w:rsidRPr="00B05724" w:rsidRDefault="00D54228" w:rsidP="007115C0">
      <w:pPr>
        <w:keepNext/>
        <w:jc w:val="both"/>
        <w:rPr>
          <w:rFonts w:ascii="Arial" w:eastAsia="Times New Roman" w:hAnsi="Arial" w:cs="Arial"/>
          <w:b/>
          <w:i/>
          <w:iCs/>
          <w:caps/>
          <w:kern w:val="0"/>
          <w:sz w:val="18"/>
          <w:szCs w:val="18"/>
          <w:lang w:val="en-US"/>
          <w14:ligatures w14:val="none"/>
        </w:rPr>
      </w:pPr>
    </w:p>
    <w:p w14:paraId="631AA574" w14:textId="05CECBE9" w:rsidR="003125EB" w:rsidRPr="003125EB" w:rsidRDefault="003125EB" w:rsidP="003125EB">
      <w:pPr>
        <w:keepNext/>
        <w:jc w:val="both"/>
        <w:rPr>
          <w:rFonts w:ascii="Arial" w:eastAsia="Times New Roman" w:hAnsi="Arial" w:cs="Arial"/>
          <w:b/>
          <w:bCs/>
          <w:caps/>
          <w:kern w:val="0"/>
          <w:sz w:val="22"/>
          <w:szCs w:val="20"/>
          <w14:ligatures w14:val="none"/>
        </w:rPr>
      </w:pPr>
      <w:r w:rsidRPr="003125EB">
        <w:rPr>
          <w:rFonts w:ascii="Arial" w:eastAsia="Times New Roman" w:hAnsi="Arial" w:cs="Arial"/>
          <w:b/>
          <w:bCs/>
          <w:caps/>
          <w:kern w:val="0"/>
          <w:sz w:val="22"/>
          <w:szCs w:val="20"/>
          <w14:ligatures w14:val="none"/>
        </w:rPr>
        <w:t xml:space="preserve">3.1 </w:t>
      </w:r>
      <w:r w:rsidRPr="003125EB">
        <w:rPr>
          <w:rFonts w:ascii="Arial" w:eastAsia="Times New Roman" w:hAnsi="Arial" w:cs="Arial"/>
          <w:b/>
          <w:bCs/>
          <w:kern w:val="0"/>
          <w:sz w:val="22"/>
          <w:szCs w:val="20"/>
          <w14:ligatures w14:val="none"/>
        </w:rPr>
        <w:t xml:space="preserve">Descriptive Analysis </w:t>
      </w:r>
      <w:r w:rsidR="00B9611E" w:rsidRPr="003125EB">
        <w:rPr>
          <w:rFonts w:ascii="Arial" w:eastAsia="Times New Roman" w:hAnsi="Arial" w:cs="Arial"/>
          <w:b/>
          <w:bCs/>
          <w:kern w:val="0"/>
          <w:sz w:val="22"/>
          <w:szCs w:val="20"/>
          <w14:ligatures w14:val="none"/>
        </w:rPr>
        <w:t>of</w:t>
      </w:r>
      <w:r w:rsidRPr="003125EB">
        <w:rPr>
          <w:rFonts w:ascii="Arial" w:eastAsia="Times New Roman" w:hAnsi="Arial" w:cs="Arial"/>
          <w:b/>
          <w:bCs/>
          <w:kern w:val="0"/>
          <w:sz w:val="22"/>
          <w:szCs w:val="20"/>
          <w14:ligatures w14:val="none"/>
        </w:rPr>
        <w:t xml:space="preserve"> Student Satisfaction</w:t>
      </w:r>
    </w:p>
    <w:p w14:paraId="48DF5B61" w14:textId="77777777" w:rsidR="00D54228" w:rsidRDefault="00D54228" w:rsidP="007115C0">
      <w:pPr>
        <w:keepNext/>
        <w:jc w:val="both"/>
        <w:rPr>
          <w:rFonts w:ascii="Arial" w:eastAsia="Times New Roman" w:hAnsi="Arial" w:cs="Arial"/>
          <w:b/>
          <w:caps/>
          <w:kern w:val="0"/>
          <w:sz w:val="22"/>
          <w:szCs w:val="20"/>
          <w:lang w:val="en-US"/>
          <w14:ligatures w14:val="none"/>
        </w:rPr>
      </w:pPr>
    </w:p>
    <w:p w14:paraId="46342748" w14:textId="77777777" w:rsidR="003125EB" w:rsidRDefault="003125EB" w:rsidP="003125EB">
      <w:pPr>
        <w:jc w:val="both"/>
        <w:rPr>
          <w:rFonts w:ascii="Arial" w:hAnsi="Arial" w:cs="Arial"/>
          <w:sz w:val="22"/>
        </w:rPr>
      </w:pPr>
      <w:r w:rsidRPr="003125EB">
        <w:rPr>
          <w:rFonts w:ascii="Arial" w:hAnsi="Arial" w:cs="Arial"/>
          <w:sz w:val="22"/>
        </w:rPr>
        <w:t>This chapter summarizes the study's results and shows how satisfied undergraduate students was with their research experiences. The objective is to investigate students' perceptions of their involvement in research activities across diverse academic fields and to pinpoint strengths and areas for enhancement in institutional research procedures. The findings are organized into distinct categories: research mentorship, panel membership, research skills, collaboration, resources and services, and the application process for research defenses. Each section includes a discussion of the results, substantiated by pertinent literature, succeeded by the presentation of consolidated data in tabular format. This method facilitates an extensive analysis of the data, placing the results into the wider framework of higher education research involvement.</w:t>
      </w:r>
    </w:p>
    <w:p w14:paraId="29BB6FF0" w14:textId="77777777" w:rsidR="00B9611E" w:rsidRDefault="00B9611E" w:rsidP="003125EB">
      <w:pPr>
        <w:jc w:val="both"/>
        <w:rPr>
          <w:rFonts w:ascii="Arial" w:hAnsi="Arial" w:cs="Arial"/>
          <w:sz w:val="22"/>
        </w:rPr>
      </w:pPr>
    </w:p>
    <w:p w14:paraId="391168DB" w14:textId="6306ADE0" w:rsidR="00B9611E" w:rsidRDefault="00B9611E" w:rsidP="003125EB">
      <w:pPr>
        <w:jc w:val="both"/>
        <w:rPr>
          <w:rFonts w:ascii="Arial" w:hAnsi="Arial" w:cs="Arial"/>
          <w:b/>
          <w:bCs/>
          <w:sz w:val="22"/>
        </w:rPr>
      </w:pPr>
      <w:r w:rsidRPr="00B9611E">
        <w:rPr>
          <w:rFonts w:ascii="Arial" w:hAnsi="Arial" w:cs="Arial"/>
          <w:b/>
          <w:bCs/>
          <w:sz w:val="22"/>
        </w:rPr>
        <w:t xml:space="preserve">3.1.1 </w:t>
      </w:r>
      <w:r w:rsidR="009A17BD">
        <w:rPr>
          <w:rFonts w:ascii="Arial" w:hAnsi="Arial" w:cs="Arial"/>
          <w:b/>
          <w:bCs/>
          <w:sz w:val="22"/>
        </w:rPr>
        <w:t>Satisfaction Results from CAS, CBA, and CCSEA</w:t>
      </w:r>
    </w:p>
    <w:p w14:paraId="7E171E71" w14:textId="77777777" w:rsidR="00B9611E" w:rsidRPr="00B9611E" w:rsidRDefault="00B9611E" w:rsidP="003125EB">
      <w:pPr>
        <w:jc w:val="both"/>
        <w:rPr>
          <w:rFonts w:ascii="Arial" w:hAnsi="Arial" w:cs="Arial"/>
          <w:b/>
          <w:bCs/>
          <w:sz w:val="22"/>
        </w:rPr>
      </w:pPr>
    </w:p>
    <w:p w14:paraId="79228BC6" w14:textId="77777777" w:rsidR="009A17BD" w:rsidRDefault="009A17BD" w:rsidP="009A17BD">
      <w:pPr>
        <w:jc w:val="both"/>
        <w:rPr>
          <w:rFonts w:ascii="Arial" w:hAnsi="Arial" w:cs="Arial"/>
          <w:sz w:val="22"/>
        </w:rPr>
      </w:pPr>
      <w:r w:rsidRPr="009A17BD">
        <w:rPr>
          <w:rFonts w:ascii="Arial" w:hAnsi="Arial" w:cs="Arial"/>
          <w:sz w:val="22"/>
        </w:rPr>
        <w:t xml:space="preserve">Students from the College of Arts and Sciences (CAS), College of Business and Accountancy (CBA), and College of Computer Studies, Engineering and Architecture (CCSEA) exhibited uniformly elevated satisfaction levels across all research disciplines. The Panel Member domain received the highest ratings across all colleges (CAS = 3.72, CBA = 3.81, CCSEA = 3.81), underscoring the essential role </w:t>
      </w:r>
      <w:r w:rsidRPr="009A17BD">
        <w:rPr>
          <w:rFonts w:ascii="Arial" w:hAnsi="Arial" w:cs="Arial"/>
          <w:sz w:val="22"/>
        </w:rPr>
        <w:lastRenderedPageBreak/>
        <w:t>of expert feedback and guidance in enhancing student research. Thiry and Laursen (2011) assert that mentorship from research panelists fosters intellectual growth and motivation through the provision of critical feedback and scaffolding of student learning.</w:t>
      </w:r>
      <w:r w:rsidRPr="009A17BD">
        <w:rPr>
          <w:rFonts w:ascii="Arial" w:hAnsi="Arial" w:cs="Arial"/>
          <w:sz w:val="22"/>
        </w:rPr>
        <w:br/>
      </w:r>
      <w:r w:rsidRPr="009A17BD">
        <w:rPr>
          <w:rFonts w:ascii="Arial" w:hAnsi="Arial" w:cs="Arial"/>
          <w:sz w:val="22"/>
        </w:rPr>
        <w:br/>
        <w:t>Research Skills, Application, and the Schedule of Proposal and Final Defense received good rankings across the three universities, indicating that students believe they are well-equipped to undertake and present research. This corresponds with Kuh (2008), who highlighted that involvement in research enhances transferable skills including critical thinking, writing, and presentation abilities.</w:t>
      </w:r>
    </w:p>
    <w:p w14:paraId="21C0A531" w14:textId="1B1E6C04" w:rsidR="009A17BD" w:rsidRPr="009A17BD" w:rsidRDefault="009A17BD" w:rsidP="009A17BD">
      <w:pPr>
        <w:jc w:val="both"/>
        <w:rPr>
          <w:rFonts w:ascii="Arial" w:hAnsi="Arial" w:cs="Arial"/>
          <w:sz w:val="22"/>
        </w:rPr>
      </w:pPr>
      <w:r w:rsidRPr="009A17BD">
        <w:rPr>
          <w:rFonts w:ascii="Arial" w:hAnsi="Arial" w:cs="Arial"/>
          <w:sz w:val="22"/>
        </w:rPr>
        <w:br/>
      </w:r>
      <w:r w:rsidRPr="009A17BD">
        <w:rPr>
          <w:rFonts w:ascii="Arial" w:hAnsi="Arial" w:cs="Arial"/>
          <w:sz w:val="22"/>
        </w:rPr>
        <w:br/>
        <w:t>Notwithstanding these favorable assessments, Research Collaboration in CAS got the lowest mean score (3.55), but remaining within the "Highly Satisfied" category. This indicates a possible domain for institutional enhancement. O'Donnell et al. (2021) assert that cultivating collaborative research teams enhances communication abilities and accountability in students.</w:t>
      </w:r>
    </w:p>
    <w:p w14:paraId="0007E42E" w14:textId="77777777" w:rsidR="009A17BD" w:rsidRDefault="009A17BD" w:rsidP="00B9611E">
      <w:pPr>
        <w:jc w:val="both"/>
        <w:rPr>
          <w:rFonts w:ascii="Arial" w:hAnsi="Arial" w:cs="Arial"/>
          <w:sz w:val="22"/>
        </w:rPr>
      </w:pPr>
    </w:p>
    <w:p w14:paraId="0162B3E2" w14:textId="72D2EABC" w:rsidR="00B9611E" w:rsidRPr="00733AD7" w:rsidRDefault="009A17BD" w:rsidP="003125EB">
      <w:pPr>
        <w:jc w:val="both"/>
        <w:rPr>
          <w:rFonts w:ascii="Arial" w:hAnsi="Arial" w:cs="Arial"/>
          <w:b/>
          <w:bCs/>
          <w:sz w:val="22"/>
        </w:rPr>
      </w:pPr>
      <w:r w:rsidRPr="00733AD7">
        <w:rPr>
          <w:rFonts w:ascii="Arial" w:hAnsi="Arial" w:cs="Arial"/>
          <w:b/>
          <w:bCs/>
          <w:sz w:val="22"/>
        </w:rPr>
        <w:t>Table</w:t>
      </w:r>
      <w:r w:rsidR="00730756">
        <w:rPr>
          <w:rFonts w:ascii="Arial" w:hAnsi="Arial" w:cs="Arial"/>
          <w:b/>
          <w:bCs/>
          <w:sz w:val="22"/>
        </w:rPr>
        <w:t xml:space="preserve"> 2</w:t>
      </w:r>
      <w:r w:rsidRPr="00733AD7">
        <w:rPr>
          <w:rFonts w:ascii="Arial" w:hAnsi="Arial" w:cs="Arial"/>
          <w:b/>
          <w:bCs/>
          <w:sz w:val="22"/>
        </w:rPr>
        <w:t>: Level of Satisfaction with Research Experiences: CAS, CBA, CCSEA</w:t>
      </w:r>
    </w:p>
    <w:p w14:paraId="0E065810" w14:textId="77777777" w:rsidR="009A17BD" w:rsidRDefault="009A17BD" w:rsidP="003125EB">
      <w:pPr>
        <w:jc w:val="both"/>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961"/>
        <w:gridCol w:w="971"/>
        <w:gridCol w:w="987"/>
        <w:gridCol w:w="2099"/>
      </w:tblGrid>
      <w:tr w:rsidR="009A17BD" w14:paraId="77C75D59" w14:textId="77777777" w:rsidTr="00733AD7">
        <w:tc>
          <w:tcPr>
            <w:tcW w:w="2348" w:type="dxa"/>
            <w:vMerge w:val="restart"/>
            <w:tcBorders>
              <w:top w:val="single" w:sz="4" w:space="0" w:color="auto"/>
            </w:tcBorders>
          </w:tcPr>
          <w:p w14:paraId="117DC762" w14:textId="664A517D" w:rsidR="009A17BD" w:rsidRPr="009A17BD" w:rsidRDefault="009A17BD" w:rsidP="00733AD7">
            <w:pPr>
              <w:rPr>
                <w:rFonts w:ascii="Arial" w:hAnsi="Arial" w:cs="Arial"/>
                <w:b/>
                <w:bCs/>
              </w:rPr>
            </w:pPr>
            <w:r w:rsidRPr="009A17BD">
              <w:rPr>
                <w:rFonts w:ascii="Arial" w:hAnsi="Arial" w:cs="Arial"/>
                <w:b/>
                <w:bCs/>
              </w:rPr>
              <w:t xml:space="preserve">Domain </w:t>
            </w:r>
          </w:p>
        </w:tc>
        <w:tc>
          <w:tcPr>
            <w:tcW w:w="2919" w:type="dxa"/>
            <w:gridSpan w:val="3"/>
            <w:tcBorders>
              <w:top w:val="single" w:sz="4" w:space="0" w:color="auto"/>
            </w:tcBorders>
          </w:tcPr>
          <w:p w14:paraId="343D1126" w14:textId="40C56CE6" w:rsidR="009A17BD" w:rsidRPr="009A17BD" w:rsidRDefault="009A17BD" w:rsidP="00733AD7">
            <w:pPr>
              <w:jc w:val="center"/>
              <w:rPr>
                <w:rFonts w:ascii="Arial" w:hAnsi="Arial" w:cs="Arial"/>
                <w:b/>
                <w:bCs/>
              </w:rPr>
            </w:pPr>
            <w:r w:rsidRPr="009A17BD">
              <w:rPr>
                <w:rFonts w:ascii="Arial" w:hAnsi="Arial" w:cs="Arial"/>
                <w:b/>
                <w:bCs/>
              </w:rPr>
              <w:t>Mean</w:t>
            </w:r>
          </w:p>
        </w:tc>
        <w:tc>
          <w:tcPr>
            <w:tcW w:w="2099" w:type="dxa"/>
            <w:vMerge w:val="restart"/>
            <w:tcBorders>
              <w:top w:val="single" w:sz="4" w:space="0" w:color="auto"/>
            </w:tcBorders>
          </w:tcPr>
          <w:p w14:paraId="25C7A9BC" w14:textId="55F9FC5B" w:rsidR="009A17BD" w:rsidRPr="009A17BD" w:rsidRDefault="009A17BD" w:rsidP="00733AD7">
            <w:pPr>
              <w:rPr>
                <w:rFonts w:ascii="Arial" w:hAnsi="Arial" w:cs="Arial"/>
                <w:b/>
                <w:bCs/>
              </w:rPr>
            </w:pPr>
            <w:r w:rsidRPr="009A17BD">
              <w:rPr>
                <w:rFonts w:ascii="Arial" w:hAnsi="Arial" w:cs="Arial"/>
                <w:b/>
                <w:bCs/>
              </w:rPr>
              <w:t xml:space="preserve">Interpretation </w:t>
            </w:r>
          </w:p>
        </w:tc>
      </w:tr>
      <w:tr w:rsidR="009A17BD" w14:paraId="656C54E9" w14:textId="77777777" w:rsidTr="00733AD7">
        <w:tc>
          <w:tcPr>
            <w:tcW w:w="2348" w:type="dxa"/>
            <w:vMerge/>
            <w:tcBorders>
              <w:bottom w:val="single" w:sz="4" w:space="0" w:color="auto"/>
            </w:tcBorders>
          </w:tcPr>
          <w:p w14:paraId="3655072F" w14:textId="77777777" w:rsidR="009A17BD" w:rsidRPr="009A17BD" w:rsidRDefault="009A17BD" w:rsidP="00733AD7">
            <w:pPr>
              <w:rPr>
                <w:rFonts w:ascii="Arial" w:hAnsi="Arial" w:cs="Arial"/>
                <w:b/>
                <w:bCs/>
              </w:rPr>
            </w:pPr>
          </w:p>
        </w:tc>
        <w:tc>
          <w:tcPr>
            <w:tcW w:w="961" w:type="dxa"/>
            <w:tcBorders>
              <w:bottom w:val="single" w:sz="4" w:space="0" w:color="auto"/>
            </w:tcBorders>
          </w:tcPr>
          <w:p w14:paraId="7701669E" w14:textId="15E5B00D" w:rsidR="009A17BD" w:rsidRPr="009A17BD" w:rsidRDefault="009A17BD" w:rsidP="00733AD7">
            <w:pPr>
              <w:rPr>
                <w:rFonts w:ascii="Arial" w:hAnsi="Arial" w:cs="Arial"/>
                <w:b/>
                <w:bCs/>
              </w:rPr>
            </w:pPr>
            <w:r w:rsidRPr="009A17BD">
              <w:rPr>
                <w:rFonts w:ascii="Arial" w:hAnsi="Arial" w:cs="Arial"/>
                <w:b/>
                <w:bCs/>
              </w:rPr>
              <w:t>CAS</w:t>
            </w:r>
          </w:p>
        </w:tc>
        <w:tc>
          <w:tcPr>
            <w:tcW w:w="971" w:type="dxa"/>
            <w:tcBorders>
              <w:bottom w:val="single" w:sz="4" w:space="0" w:color="auto"/>
            </w:tcBorders>
          </w:tcPr>
          <w:p w14:paraId="0BCAC5B8" w14:textId="6C2B158E" w:rsidR="009A17BD" w:rsidRPr="009A17BD" w:rsidRDefault="009A17BD" w:rsidP="00733AD7">
            <w:pPr>
              <w:rPr>
                <w:rFonts w:ascii="Arial" w:hAnsi="Arial" w:cs="Arial"/>
                <w:b/>
                <w:bCs/>
              </w:rPr>
            </w:pPr>
            <w:r w:rsidRPr="009A17BD">
              <w:rPr>
                <w:rFonts w:ascii="Arial" w:hAnsi="Arial" w:cs="Arial"/>
                <w:b/>
                <w:bCs/>
              </w:rPr>
              <w:t>CBA</w:t>
            </w:r>
          </w:p>
        </w:tc>
        <w:tc>
          <w:tcPr>
            <w:tcW w:w="987" w:type="dxa"/>
            <w:tcBorders>
              <w:bottom w:val="single" w:sz="4" w:space="0" w:color="auto"/>
            </w:tcBorders>
          </w:tcPr>
          <w:p w14:paraId="7D0FE34E" w14:textId="7D6E09D2" w:rsidR="009A17BD" w:rsidRPr="009A17BD" w:rsidRDefault="009A17BD" w:rsidP="00733AD7">
            <w:pPr>
              <w:rPr>
                <w:rFonts w:ascii="Arial" w:hAnsi="Arial" w:cs="Arial"/>
                <w:b/>
                <w:bCs/>
              </w:rPr>
            </w:pPr>
            <w:r w:rsidRPr="009A17BD">
              <w:rPr>
                <w:rFonts w:ascii="Arial" w:hAnsi="Arial" w:cs="Arial"/>
                <w:b/>
                <w:bCs/>
              </w:rPr>
              <w:t>CCSEA</w:t>
            </w:r>
          </w:p>
        </w:tc>
        <w:tc>
          <w:tcPr>
            <w:tcW w:w="2099" w:type="dxa"/>
            <w:vMerge/>
            <w:tcBorders>
              <w:bottom w:val="single" w:sz="4" w:space="0" w:color="auto"/>
            </w:tcBorders>
          </w:tcPr>
          <w:p w14:paraId="659021C4" w14:textId="77777777" w:rsidR="009A17BD" w:rsidRPr="009A17BD" w:rsidRDefault="009A17BD" w:rsidP="00733AD7">
            <w:pPr>
              <w:rPr>
                <w:rFonts w:ascii="Arial" w:hAnsi="Arial" w:cs="Arial"/>
                <w:b/>
                <w:bCs/>
              </w:rPr>
            </w:pPr>
          </w:p>
        </w:tc>
      </w:tr>
      <w:tr w:rsidR="009A17BD" w14:paraId="6C697F1B" w14:textId="77777777" w:rsidTr="00733AD7">
        <w:tc>
          <w:tcPr>
            <w:tcW w:w="2348" w:type="dxa"/>
            <w:tcBorders>
              <w:top w:val="single" w:sz="4" w:space="0" w:color="auto"/>
            </w:tcBorders>
          </w:tcPr>
          <w:p w14:paraId="08026064" w14:textId="2E7E8E80" w:rsidR="009A17BD" w:rsidRDefault="00733AD7" w:rsidP="00733AD7">
            <w:pPr>
              <w:rPr>
                <w:rFonts w:ascii="Arial" w:hAnsi="Arial" w:cs="Arial"/>
              </w:rPr>
            </w:pPr>
            <w:r>
              <w:rPr>
                <w:rFonts w:ascii="Arial" w:hAnsi="Arial" w:cs="Arial"/>
              </w:rPr>
              <w:t>Research Mentorship</w:t>
            </w:r>
          </w:p>
        </w:tc>
        <w:tc>
          <w:tcPr>
            <w:tcW w:w="961" w:type="dxa"/>
            <w:tcBorders>
              <w:top w:val="single" w:sz="4" w:space="0" w:color="auto"/>
            </w:tcBorders>
          </w:tcPr>
          <w:p w14:paraId="5E388576" w14:textId="7C2F48A3" w:rsidR="009A17BD" w:rsidRDefault="00733AD7" w:rsidP="00733AD7">
            <w:pPr>
              <w:rPr>
                <w:rFonts w:ascii="Arial" w:hAnsi="Arial" w:cs="Arial"/>
              </w:rPr>
            </w:pPr>
            <w:r>
              <w:rPr>
                <w:rFonts w:ascii="Arial" w:hAnsi="Arial" w:cs="Arial"/>
              </w:rPr>
              <w:t>3.56</w:t>
            </w:r>
          </w:p>
        </w:tc>
        <w:tc>
          <w:tcPr>
            <w:tcW w:w="971" w:type="dxa"/>
            <w:tcBorders>
              <w:top w:val="single" w:sz="4" w:space="0" w:color="auto"/>
            </w:tcBorders>
          </w:tcPr>
          <w:p w14:paraId="3964F55B" w14:textId="40644EE3" w:rsidR="009A17BD" w:rsidRDefault="00733AD7" w:rsidP="00733AD7">
            <w:pPr>
              <w:rPr>
                <w:rFonts w:ascii="Arial" w:hAnsi="Arial" w:cs="Arial"/>
              </w:rPr>
            </w:pPr>
            <w:r>
              <w:rPr>
                <w:rFonts w:ascii="Arial" w:hAnsi="Arial" w:cs="Arial"/>
              </w:rPr>
              <w:t>3.71</w:t>
            </w:r>
          </w:p>
        </w:tc>
        <w:tc>
          <w:tcPr>
            <w:tcW w:w="987" w:type="dxa"/>
            <w:tcBorders>
              <w:top w:val="single" w:sz="4" w:space="0" w:color="auto"/>
            </w:tcBorders>
          </w:tcPr>
          <w:p w14:paraId="712576B4" w14:textId="3219D37F" w:rsidR="009A17BD" w:rsidRDefault="00733AD7" w:rsidP="00733AD7">
            <w:pPr>
              <w:rPr>
                <w:rFonts w:ascii="Arial" w:hAnsi="Arial" w:cs="Arial"/>
              </w:rPr>
            </w:pPr>
            <w:r>
              <w:rPr>
                <w:rFonts w:ascii="Arial" w:hAnsi="Arial" w:cs="Arial"/>
              </w:rPr>
              <w:t>3.70</w:t>
            </w:r>
          </w:p>
        </w:tc>
        <w:tc>
          <w:tcPr>
            <w:tcW w:w="2099" w:type="dxa"/>
            <w:tcBorders>
              <w:top w:val="single" w:sz="4" w:space="0" w:color="auto"/>
            </w:tcBorders>
          </w:tcPr>
          <w:p w14:paraId="4547BEA4" w14:textId="5D6A3ABC" w:rsidR="009A17BD" w:rsidRDefault="00733AD7" w:rsidP="00733AD7">
            <w:pPr>
              <w:rPr>
                <w:rFonts w:ascii="Arial" w:hAnsi="Arial" w:cs="Arial"/>
              </w:rPr>
            </w:pPr>
            <w:r>
              <w:rPr>
                <w:rFonts w:ascii="Arial" w:hAnsi="Arial" w:cs="Arial"/>
              </w:rPr>
              <w:t xml:space="preserve">Highly Satisfied </w:t>
            </w:r>
          </w:p>
        </w:tc>
      </w:tr>
      <w:tr w:rsidR="009A17BD" w14:paraId="3866E466" w14:textId="77777777" w:rsidTr="00733AD7">
        <w:tc>
          <w:tcPr>
            <w:tcW w:w="2348" w:type="dxa"/>
          </w:tcPr>
          <w:p w14:paraId="263E0D5F" w14:textId="7E413D9C" w:rsidR="009A17BD" w:rsidRDefault="00733AD7" w:rsidP="00733AD7">
            <w:pPr>
              <w:rPr>
                <w:rFonts w:ascii="Arial" w:hAnsi="Arial" w:cs="Arial"/>
              </w:rPr>
            </w:pPr>
            <w:r>
              <w:rPr>
                <w:rFonts w:ascii="Arial" w:hAnsi="Arial" w:cs="Arial"/>
              </w:rPr>
              <w:t xml:space="preserve">Panel Member </w:t>
            </w:r>
          </w:p>
        </w:tc>
        <w:tc>
          <w:tcPr>
            <w:tcW w:w="961" w:type="dxa"/>
          </w:tcPr>
          <w:p w14:paraId="3593B1FB" w14:textId="637EFE22" w:rsidR="009A17BD" w:rsidRDefault="00733AD7" w:rsidP="00733AD7">
            <w:pPr>
              <w:rPr>
                <w:rFonts w:ascii="Arial" w:hAnsi="Arial" w:cs="Arial"/>
              </w:rPr>
            </w:pPr>
            <w:r>
              <w:rPr>
                <w:rFonts w:ascii="Arial" w:hAnsi="Arial" w:cs="Arial"/>
              </w:rPr>
              <w:t>3.72</w:t>
            </w:r>
          </w:p>
        </w:tc>
        <w:tc>
          <w:tcPr>
            <w:tcW w:w="971" w:type="dxa"/>
          </w:tcPr>
          <w:p w14:paraId="7E1FB40F" w14:textId="2952A3AA" w:rsidR="009A17BD" w:rsidRDefault="00733AD7" w:rsidP="00733AD7">
            <w:pPr>
              <w:rPr>
                <w:rFonts w:ascii="Arial" w:hAnsi="Arial" w:cs="Arial"/>
              </w:rPr>
            </w:pPr>
            <w:r>
              <w:rPr>
                <w:rFonts w:ascii="Arial" w:hAnsi="Arial" w:cs="Arial"/>
              </w:rPr>
              <w:t>3.81</w:t>
            </w:r>
          </w:p>
        </w:tc>
        <w:tc>
          <w:tcPr>
            <w:tcW w:w="987" w:type="dxa"/>
          </w:tcPr>
          <w:p w14:paraId="214BA766" w14:textId="714F4A37" w:rsidR="009A17BD" w:rsidRDefault="00733AD7" w:rsidP="00733AD7">
            <w:pPr>
              <w:rPr>
                <w:rFonts w:ascii="Arial" w:hAnsi="Arial" w:cs="Arial"/>
              </w:rPr>
            </w:pPr>
            <w:r>
              <w:rPr>
                <w:rFonts w:ascii="Arial" w:hAnsi="Arial" w:cs="Arial"/>
              </w:rPr>
              <w:t>3.81</w:t>
            </w:r>
          </w:p>
        </w:tc>
        <w:tc>
          <w:tcPr>
            <w:tcW w:w="2099" w:type="dxa"/>
          </w:tcPr>
          <w:p w14:paraId="6E61C8F2" w14:textId="1C3BFB33" w:rsidR="009A17BD" w:rsidRDefault="00733AD7" w:rsidP="00733AD7">
            <w:pPr>
              <w:rPr>
                <w:rFonts w:ascii="Arial" w:hAnsi="Arial" w:cs="Arial"/>
              </w:rPr>
            </w:pPr>
            <w:r>
              <w:rPr>
                <w:rFonts w:ascii="Arial" w:hAnsi="Arial" w:cs="Arial"/>
              </w:rPr>
              <w:t>Highly Satisfied</w:t>
            </w:r>
          </w:p>
        </w:tc>
      </w:tr>
      <w:tr w:rsidR="009A17BD" w14:paraId="4A3B9128" w14:textId="77777777" w:rsidTr="00733AD7">
        <w:tc>
          <w:tcPr>
            <w:tcW w:w="2348" w:type="dxa"/>
          </w:tcPr>
          <w:p w14:paraId="5E54F9E4" w14:textId="27BC0101" w:rsidR="009A17BD" w:rsidRDefault="00733AD7" w:rsidP="00733AD7">
            <w:pPr>
              <w:rPr>
                <w:rFonts w:ascii="Arial" w:hAnsi="Arial" w:cs="Arial"/>
              </w:rPr>
            </w:pPr>
            <w:r>
              <w:rPr>
                <w:rFonts w:ascii="Arial" w:hAnsi="Arial" w:cs="Arial"/>
              </w:rPr>
              <w:t>Research Skills</w:t>
            </w:r>
          </w:p>
        </w:tc>
        <w:tc>
          <w:tcPr>
            <w:tcW w:w="961" w:type="dxa"/>
          </w:tcPr>
          <w:p w14:paraId="7D037BB0" w14:textId="7F8F162D" w:rsidR="009A17BD" w:rsidRDefault="00733AD7" w:rsidP="00733AD7">
            <w:pPr>
              <w:rPr>
                <w:rFonts w:ascii="Arial" w:hAnsi="Arial" w:cs="Arial"/>
              </w:rPr>
            </w:pPr>
            <w:r>
              <w:rPr>
                <w:rFonts w:ascii="Arial" w:hAnsi="Arial" w:cs="Arial"/>
              </w:rPr>
              <w:t>3.71</w:t>
            </w:r>
          </w:p>
        </w:tc>
        <w:tc>
          <w:tcPr>
            <w:tcW w:w="971" w:type="dxa"/>
          </w:tcPr>
          <w:p w14:paraId="09AD034E" w14:textId="03D14584" w:rsidR="009A17BD" w:rsidRDefault="00733AD7" w:rsidP="00733AD7">
            <w:pPr>
              <w:rPr>
                <w:rFonts w:ascii="Arial" w:hAnsi="Arial" w:cs="Arial"/>
              </w:rPr>
            </w:pPr>
            <w:r>
              <w:rPr>
                <w:rFonts w:ascii="Arial" w:hAnsi="Arial" w:cs="Arial"/>
              </w:rPr>
              <w:t>3.79</w:t>
            </w:r>
          </w:p>
        </w:tc>
        <w:tc>
          <w:tcPr>
            <w:tcW w:w="987" w:type="dxa"/>
          </w:tcPr>
          <w:p w14:paraId="4D647E42" w14:textId="551B7CB6" w:rsidR="009A17BD" w:rsidRDefault="00733AD7" w:rsidP="00733AD7">
            <w:pPr>
              <w:rPr>
                <w:rFonts w:ascii="Arial" w:hAnsi="Arial" w:cs="Arial"/>
              </w:rPr>
            </w:pPr>
            <w:r>
              <w:rPr>
                <w:rFonts w:ascii="Arial" w:hAnsi="Arial" w:cs="Arial"/>
              </w:rPr>
              <w:t>3.73</w:t>
            </w:r>
          </w:p>
        </w:tc>
        <w:tc>
          <w:tcPr>
            <w:tcW w:w="2099" w:type="dxa"/>
          </w:tcPr>
          <w:p w14:paraId="234C894A" w14:textId="603CE4BD" w:rsidR="009A17BD" w:rsidRDefault="00733AD7" w:rsidP="00733AD7">
            <w:pPr>
              <w:rPr>
                <w:rFonts w:ascii="Arial" w:hAnsi="Arial" w:cs="Arial"/>
              </w:rPr>
            </w:pPr>
            <w:r>
              <w:rPr>
                <w:rFonts w:ascii="Arial" w:hAnsi="Arial" w:cs="Arial"/>
              </w:rPr>
              <w:t>Highly Satisfied</w:t>
            </w:r>
          </w:p>
        </w:tc>
      </w:tr>
      <w:tr w:rsidR="009A17BD" w14:paraId="24DCCBF0" w14:textId="77777777" w:rsidTr="00733AD7">
        <w:tc>
          <w:tcPr>
            <w:tcW w:w="2348" w:type="dxa"/>
          </w:tcPr>
          <w:p w14:paraId="6A3C8AFD" w14:textId="57A542DA" w:rsidR="009A17BD" w:rsidRDefault="00733AD7" w:rsidP="00733AD7">
            <w:pPr>
              <w:rPr>
                <w:rFonts w:ascii="Arial" w:hAnsi="Arial" w:cs="Arial"/>
              </w:rPr>
            </w:pPr>
            <w:r>
              <w:rPr>
                <w:rFonts w:ascii="Arial" w:hAnsi="Arial" w:cs="Arial"/>
              </w:rPr>
              <w:t>Research Collaboration</w:t>
            </w:r>
          </w:p>
        </w:tc>
        <w:tc>
          <w:tcPr>
            <w:tcW w:w="961" w:type="dxa"/>
          </w:tcPr>
          <w:p w14:paraId="2FACF57C" w14:textId="69B8AFE2" w:rsidR="009A17BD" w:rsidRDefault="00733AD7" w:rsidP="00733AD7">
            <w:pPr>
              <w:rPr>
                <w:rFonts w:ascii="Arial" w:hAnsi="Arial" w:cs="Arial"/>
              </w:rPr>
            </w:pPr>
            <w:r>
              <w:rPr>
                <w:rFonts w:ascii="Arial" w:hAnsi="Arial" w:cs="Arial"/>
              </w:rPr>
              <w:t>3.55</w:t>
            </w:r>
          </w:p>
        </w:tc>
        <w:tc>
          <w:tcPr>
            <w:tcW w:w="971" w:type="dxa"/>
          </w:tcPr>
          <w:p w14:paraId="19526D44" w14:textId="7D6BF074" w:rsidR="009A17BD" w:rsidRDefault="00733AD7" w:rsidP="00733AD7">
            <w:pPr>
              <w:rPr>
                <w:rFonts w:ascii="Arial" w:hAnsi="Arial" w:cs="Arial"/>
              </w:rPr>
            </w:pPr>
            <w:r>
              <w:rPr>
                <w:rFonts w:ascii="Arial" w:hAnsi="Arial" w:cs="Arial"/>
              </w:rPr>
              <w:t>3.79</w:t>
            </w:r>
          </w:p>
        </w:tc>
        <w:tc>
          <w:tcPr>
            <w:tcW w:w="987" w:type="dxa"/>
          </w:tcPr>
          <w:p w14:paraId="0A368DAB" w14:textId="1DEA3755" w:rsidR="009A17BD" w:rsidRDefault="00733AD7" w:rsidP="00733AD7">
            <w:pPr>
              <w:rPr>
                <w:rFonts w:ascii="Arial" w:hAnsi="Arial" w:cs="Arial"/>
              </w:rPr>
            </w:pPr>
            <w:r>
              <w:rPr>
                <w:rFonts w:ascii="Arial" w:hAnsi="Arial" w:cs="Arial"/>
              </w:rPr>
              <w:t>3.75</w:t>
            </w:r>
          </w:p>
        </w:tc>
        <w:tc>
          <w:tcPr>
            <w:tcW w:w="2099" w:type="dxa"/>
          </w:tcPr>
          <w:p w14:paraId="69E582EE" w14:textId="6E111EAE" w:rsidR="009A17BD" w:rsidRDefault="00733AD7" w:rsidP="00733AD7">
            <w:pPr>
              <w:rPr>
                <w:rFonts w:ascii="Arial" w:hAnsi="Arial" w:cs="Arial"/>
              </w:rPr>
            </w:pPr>
            <w:r>
              <w:rPr>
                <w:rFonts w:ascii="Arial" w:hAnsi="Arial" w:cs="Arial"/>
              </w:rPr>
              <w:t>Highly Satisfied</w:t>
            </w:r>
          </w:p>
        </w:tc>
      </w:tr>
      <w:tr w:rsidR="00733AD7" w14:paraId="46954ABE" w14:textId="77777777" w:rsidTr="00733AD7">
        <w:tc>
          <w:tcPr>
            <w:tcW w:w="2348" w:type="dxa"/>
          </w:tcPr>
          <w:p w14:paraId="171F7CAF" w14:textId="3B456545" w:rsidR="00733AD7" w:rsidRDefault="00733AD7" w:rsidP="00733AD7">
            <w:pPr>
              <w:rPr>
                <w:rFonts w:ascii="Arial" w:hAnsi="Arial" w:cs="Arial"/>
              </w:rPr>
            </w:pPr>
            <w:r>
              <w:rPr>
                <w:rFonts w:ascii="Arial" w:hAnsi="Arial" w:cs="Arial"/>
              </w:rPr>
              <w:t xml:space="preserve">Research Resources and Services </w:t>
            </w:r>
          </w:p>
        </w:tc>
        <w:tc>
          <w:tcPr>
            <w:tcW w:w="961" w:type="dxa"/>
          </w:tcPr>
          <w:p w14:paraId="2DFEF3A8" w14:textId="525C5163" w:rsidR="00733AD7" w:rsidRDefault="00733AD7" w:rsidP="00733AD7">
            <w:pPr>
              <w:rPr>
                <w:rFonts w:ascii="Arial" w:hAnsi="Arial" w:cs="Arial"/>
              </w:rPr>
            </w:pPr>
            <w:r>
              <w:rPr>
                <w:rFonts w:ascii="Arial" w:hAnsi="Arial" w:cs="Arial"/>
              </w:rPr>
              <w:t>3.60</w:t>
            </w:r>
          </w:p>
        </w:tc>
        <w:tc>
          <w:tcPr>
            <w:tcW w:w="971" w:type="dxa"/>
          </w:tcPr>
          <w:p w14:paraId="28D642B5" w14:textId="57D31D99" w:rsidR="00733AD7" w:rsidRDefault="00733AD7" w:rsidP="00733AD7">
            <w:pPr>
              <w:rPr>
                <w:rFonts w:ascii="Arial" w:hAnsi="Arial" w:cs="Arial"/>
              </w:rPr>
            </w:pPr>
            <w:r>
              <w:rPr>
                <w:rFonts w:ascii="Arial" w:hAnsi="Arial" w:cs="Arial"/>
              </w:rPr>
              <w:t>3.68</w:t>
            </w:r>
          </w:p>
        </w:tc>
        <w:tc>
          <w:tcPr>
            <w:tcW w:w="987" w:type="dxa"/>
          </w:tcPr>
          <w:p w14:paraId="3EC9E8F4" w14:textId="4390755B" w:rsidR="00733AD7" w:rsidRDefault="00733AD7" w:rsidP="00733AD7">
            <w:pPr>
              <w:rPr>
                <w:rFonts w:ascii="Arial" w:hAnsi="Arial" w:cs="Arial"/>
              </w:rPr>
            </w:pPr>
            <w:r>
              <w:rPr>
                <w:rFonts w:ascii="Arial" w:hAnsi="Arial" w:cs="Arial"/>
              </w:rPr>
              <w:t>3.71</w:t>
            </w:r>
          </w:p>
        </w:tc>
        <w:tc>
          <w:tcPr>
            <w:tcW w:w="2099" w:type="dxa"/>
          </w:tcPr>
          <w:p w14:paraId="62FAB241" w14:textId="60CD7066" w:rsidR="00733AD7" w:rsidRDefault="00733AD7" w:rsidP="00733AD7">
            <w:pPr>
              <w:rPr>
                <w:rFonts w:ascii="Arial" w:hAnsi="Arial" w:cs="Arial"/>
              </w:rPr>
            </w:pPr>
            <w:r>
              <w:rPr>
                <w:rFonts w:ascii="Arial" w:hAnsi="Arial" w:cs="Arial"/>
              </w:rPr>
              <w:t>Highly Satisfied</w:t>
            </w:r>
          </w:p>
        </w:tc>
      </w:tr>
      <w:tr w:rsidR="00733AD7" w14:paraId="3FB539BD" w14:textId="77777777" w:rsidTr="00733AD7">
        <w:tc>
          <w:tcPr>
            <w:tcW w:w="2348" w:type="dxa"/>
            <w:tcBorders>
              <w:bottom w:val="single" w:sz="4" w:space="0" w:color="auto"/>
            </w:tcBorders>
          </w:tcPr>
          <w:p w14:paraId="366D4FBD" w14:textId="0A7C6C3A" w:rsidR="00733AD7" w:rsidRDefault="00733AD7" w:rsidP="00733AD7">
            <w:pPr>
              <w:rPr>
                <w:rFonts w:ascii="Arial" w:hAnsi="Arial" w:cs="Arial"/>
              </w:rPr>
            </w:pPr>
            <w:r>
              <w:rPr>
                <w:rFonts w:ascii="Arial" w:hAnsi="Arial" w:cs="Arial"/>
              </w:rPr>
              <w:t xml:space="preserve">Application and Schedule of Proposal and Final Defense </w:t>
            </w:r>
          </w:p>
        </w:tc>
        <w:tc>
          <w:tcPr>
            <w:tcW w:w="961" w:type="dxa"/>
            <w:tcBorders>
              <w:bottom w:val="single" w:sz="4" w:space="0" w:color="auto"/>
            </w:tcBorders>
          </w:tcPr>
          <w:p w14:paraId="1A98DA55" w14:textId="46006759" w:rsidR="00733AD7" w:rsidRDefault="00733AD7" w:rsidP="00733AD7">
            <w:pPr>
              <w:rPr>
                <w:rFonts w:ascii="Arial" w:hAnsi="Arial" w:cs="Arial"/>
              </w:rPr>
            </w:pPr>
            <w:r>
              <w:rPr>
                <w:rFonts w:ascii="Arial" w:hAnsi="Arial" w:cs="Arial"/>
              </w:rPr>
              <w:t>3.69</w:t>
            </w:r>
          </w:p>
        </w:tc>
        <w:tc>
          <w:tcPr>
            <w:tcW w:w="971" w:type="dxa"/>
            <w:tcBorders>
              <w:bottom w:val="single" w:sz="4" w:space="0" w:color="auto"/>
            </w:tcBorders>
          </w:tcPr>
          <w:p w14:paraId="74FCAC18" w14:textId="22D0A804" w:rsidR="00733AD7" w:rsidRDefault="00733AD7" w:rsidP="00733AD7">
            <w:pPr>
              <w:rPr>
                <w:rFonts w:ascii="Arial" w:hAnsi="Arial" w:cs="Arial"/>
              </w:rPr>
            </w:pPr>
            <w:r>
              <w:rPr>
                <w:rFonts w:ascii="Arial" w:hAnsi="Arial" w:cs="Arial"/>
              </w:rPr>
              <w:t>3.74</w:t>
            </w:r>
          </w:p>
        </w:tc>
        <w:tc>
          <w:tcPr>
            <w:tcW w:w="987" w:type="dxa"/>
            <w:tcBorders>
              <w:bottom w:val="single" w:sz="4" w:space="0" w:color="auto"/>
            </w:tcBorders>
          </w:tcPr>
          <w:p w14:paraId="1C62FDEC" w14:textId="22683078" w:rsidR="00733AD7" w:rsidRDefault="00733AD7" w:rsidP="00733AD7">
            <w:pPr>
              <w:rPr>
                <w:rFonts w:ascii="Arial" w:hAnsi="Arial" w:cs="Arial"/>
              </w:rPr>
            </w:pPr>
            <w:r>
              <w:rPr>
                <w:rFonts w:ascii="Arial" w:hAnsi="Arial" w:cs="Arial"/>
              </w:rPr>
              <w:t>3.71</w:t>
            </w:r>
          </w:p>
        </w:tc>
        <w:tc>
          <w:tcPr>
            <w:tcW w:w="2099" w:type="dxa"/>
            <w:tcBorders>
              <w:bottom w:val="single" w:sz="4" w:space="0" w:color="auto"/>
            </w:tcBorders>
          </w:tcPr>
          <w:p w14:paraId="1CB3FB1D" w14:textId="253851D9" w:rsidR="00733AD7" w:rsidRDefault="00733AD7" w:rsidP="00733AD7">
            <w:pPr>
              <w:rPr>
                <w:rFonts w:ascii="Arial" w:hAnsi="Arial" w:cs="Arial"/>
              </w:rPr>
            </w:pPr>
            <w:r>
              <w:rPr>
                <w:rFonts w:ascii="Arial" w:hAnsi="Arial" w:cs="Arial"/>
              </w:rPr>
              <w:t>Highly Satisfied</w:t>
            </w:r>
          </w:p>
        </w:tc>
      </w:tr>
    </w:tbl>
    <w:p w14:paraId="23A521EF" w14:textId="77777777" w:rsidR="009A17BD" w:rsidRDefault="009A17BD" w:rsidP="003125EB">
      <w:pPr>
        <w:jc w:val="both"/>
        <w:rPr>
          <w:rFonts w:ascii="Arial" w:hAnsi="Arial" w:cs="Arial"/>
          <w:sz w:val="22"/>
        </w:rPr>
      </w:pPr>
    </w:p>
    <w:p w14:paraId="4E695DE6" w14:textId="1175B931" w:rsidR="00733AD7" w:rsidRPr="00733AD7" w:rsidRDefault="00733AD7" w:rsidP="003125EB">
      <w:pPr>
        <w:jc w:val="both"/>
        <w:rPr>
          <w:rFonts w:ascii="Arial" w:hAnsi="Arial" w:cs="Arial"/>
          <w:b/>
          <w:bCs/>
          <w:sz w:val="22"/>
        </w:rPr>
      </w:pPr>
      <w:r w:rsidRPr="00733AD7">
        <w:rPr>
          <w:rFonts w:ascii="Arial" w:hAnsi="Arial" w:cs="Arial"/>
          <w:b/>
          <w:bCs/>
          <w:sz w:val="22"/>
        </w:rPr>
        <w:t>3.1.2 Satisfaction Results from CON, CTE and CTHM</w:t>
      </w:r>
    </w:p>
    <w:p w14:paraId="27080381" w14:textId="77777777" w:rsidR="00B9611E" w:rsidRDefault="00B9611E" w:rsidP="003125EB">
      <w:pPr>
        <w:jc w:val="both"/>
        <w:rPr>
          <w:rFonts w:ascii="Arial" w:hAnsi="Arial" w:cs="Arial"/>
          <w:sz w:val="22"/>
        </w:rPr>
      </w:pPr>
    </w:p>
    <w:p w14:paraId="3CE8FE65" w14:textId="77777777" w:rsidR="00733AD7" w:rsidRDefault="00733AD7" w:rsidP="00733AD7">
      <w:pPr>
        <w:jc w:val="both"/>
        <w:rPr>
          <w:rFonts w:ascii="Arial" w:hAnsi="Arial" w:cs="Arial"/>
          <w:sz w:val="22"/>
        </w:rPr>
      </w:pPr>
      <w:r w:rsidRPr="00733AD7">
        <w:rPr>
          <w:rFonts w:ascii="Arial" w:hAnsi="Arial" w:cs="Arial"/>
          <w:sz w:val="22"/>
        </w:rPr>
        <w:t>The Colleges of Nursing (CON), Teacher Education (CTE), and Tourism and Hotel Management (CTHM) had elevated satisfaction rates. The College of Teacher Education (CTE) demonstrated notably high results in Panel Member (3.87) and Research Collaboration (3.83), indicating that mentorship and collaboration were key characteristics of the curriculum. Dolan and Johnson (2009) assert that active mentoring and collaboration promote higher-order thinking and enhance persistence in research.</w:t>
      </w:r>
    </w:p>
    <w:p w14:paraId="2B6E386C" w14:textId="77777777" w:rsidR="00733AD7" w:rsidRDefault="00733AD7" w:rsidP="00733AD7">
      <w:pPr>
        <w:jc w:val="both"/>
        <w:rPr>
          <w:rFonts w:ascii="Arial" w:hAnsi="Arial" w:cs="Arial"/>
          <w:sz w:val="22"/>
        </w:rPr>
      </w:pPr>
      <w:r w:rsidRPr="00733AD7">
        <w:rPr>
          <w:rFonts w:ascii="Arial" w:hAnsi="Arial" w:cs="Arial"/>
          <w:sz w:val="22"/>
        </w:rPr>
        <w:br/>
        <w:t>Research Skills received the highest mean from CON (3.75), underscoring the significance of experiential learning. Linn et al. (2015) assert that participation in actual research enables students to acquire procedures, confront problems, and enhance self-efficacy.</w:t>
      </w:r>
    </w:p>
    <w:p w14:paraId="0AE1F102" w14:textId="6B868F11" w:rsidR="00733AD7" w:rsidRPr="00733AD7" w:rsidRDefault="00733AD7" w:rsidP="00733AD7">
      <w:pPr>
        <w:jc w:val="both"/>
        <w:rPr>
          <w:rFonts w:ascii="Arial" w:hAnsi="Arial" w:cs="Arial"/>
          <w:sz w:val="22"/>
        </w:rPr>
      </w:pPr>
      <w:r w:rsidRPr="00733AD7">
        <w:rPr>
          <w:rFonts w:ascii="Arial" w:hAnsi="Arial" w:cs="Arial"/>
          <w:sz w:val="22"/>
        </w:rPr>
        <w:lastRenderedPageBreak/>
        <w:br/>
        <w:t>CTHM received marginally lower scores in Research Resources (3.56) and Application Procedures (3.58), which, although still classified as “Highly Satisfied,” may suggest potential enhancements in facility accessibility or procedural efficiency. Shanahan et al. (2015) corroborated these findings, highlighting the necessity for explicit standards and institutional frameworks to facilitate undergraduate research.</w:t>
      </w:r>
    </w:p>
    <w:p w14:paraId="3E8CA3D6" w14:textId="77777777" w:rsidR="00733AD7" w:rsidRDefault="00733AD7" w:rsidP="003125EB">
      <w:pPr>
        <w:jc w:val="both"/>
        <w:rPr>
          <w:rFonts w:ascii="Arial" w:hAnsi="Arial" w:cs="Arial"/>
          <w:sz w:val="22"/>
        </w:rPr>
      </w:pPr>
    </w:p>
    <w:p w14:paraId="33C0EC86" w14:textId="6A5265FB" w:rsidR="00733AD7" w:rsidRPr="00733AD7" w:rsidRDefault="00733AD7" w:rsidP="00733AD7">
      <w:pPr>
        <w:jc w:val="both"/>
        <w:rPr>
          <w:rFonts w:ascii="Arial" w:hAnsi="Arial" w:cs="Arial"/>
          <w:b/>
          <w:bCs/>
          <w:sz w:val="22"/>
        </w:rPr>
      </w:pPr>
      <w:r w:rsidRPr="00733AD7">
        <w:rPr>
          <w:rFonts w:ascii="Arial" w:hAnsi="Arial" w:cs="Arial"/>
          <w:b/>
          <w:bCs/>
          <w:sz w:val="22"/>
        </w:rPr>
        <w:t xml:space="preserve">Table </w:t>
      </w:r>
      <w:r w:rsidR="00730756">
        <w:rPr>
          <w:rFonts w:ascii="Arial" w:hAnsi="Arial" w:cs="Arial"/>
          <w:b/>
          <w:bCs/>
          <w:sz w:val="22"/>
        </w:rPr>
        <w:t>3</w:t>
      </w:r>
      <w:r w:rsidRPr="00733AD7">
        <w:rPr>
          <w:rFonts w:ascii="Arial" w:hAnsi="Arial" w:cs="Arial"/>
          <w:b/>
          <w:bCs/>
          <w:sz w:val="22"/>
        </w:rPr>
        <w:t>: Level of Satisfaction with Research Experiences: C</w:t>
      </w:r>
      <w:r w:rsidR="00D66258">
        <w:rPr>
          <w:rFonts w:ascii="Arial" w:hAnsi="Arial" w:cs="Arial"/>
          <w:b/>
          <w:bCs/>
          <w:sz w:val="22"/>
        </w:rPr>
        <w:t>ON</w:t>
      </w:r>
      <w:r w:rsidRPr="00733AD7">
        <w:rPr>
          <w:rFonts w:ascii="Arial" w:hAnsi="Arial" w:cs="Arial"/>
          <w:b/>
          <w:bCs/>
          <w:sz w:val="22"/>
        </w:rPr>
        <w:t>, C</w:t>
      </w:r>
      <w:r w:rsidR="00D66258">
        <w:rPr>
          <w:rFonts w:ascii="Arial" w:hAnsi="Arial" w:cs="Arial"/>
          <w:b/>
          <w:bCs/>
          <w:sz w:val="22"/>
        </w:rPr>
        <w:t>TE</w:t>
      </w:r>
      <w:r w:rsidRPr="00733AD7">
        <w:rPr>
          <w:rFonts w:ascii="Arial" w:hAnsi="Arial" w:cs="Arial"/>
          <w:b/>
          <w:bCs/>
          <w:sz w:val="22"/>
        </w:rPr>
        <w:t>, C</w:t>
      </w:r>
      <w:r w:rsidR="00D66258">
        <w:rPr>
          <w:rFonts w:ascii="Arial" w:hAnsi="Arial" w:cs="Arial"/>
          <w:b/>
          <w:bCs/>
          <w:sz w:val="22"/>
        </w:rPr>
        <w:t>THM</w:t>
      </w:r>
    </w:p>
    <w:p w14:paraId="4C8ED547" w14:textId="77777777" w:rsidR="00733AD7" w:rsidRDefault="00733AD7" w:rsidP="003125EB">
      <w:pPr>
        <w:jc w:val="both"/>
        <w:rPr>
          <w:rFonts w:ascii="Arial" w:hAnsi="Arial" w:cs="Arial"/>
          <w:sz w:val="22"/>
        </w:rPr>
      </w:pPr>
    </w:p>
    <w:p w14:paraId="2B03855F" w14:textId="77777777" w:rsidR="00733AD7" w:rsidRDefault="00733AD7" w:rsidP="003125EB">
      <w:pPr>
        <w:jc w:val="both"/>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961"/>
        <w:gridCol w:w="971"/>
        <w:gridCol w:w="987"/>
        <w:gridCol w:w="2099"/>
      </w:tblGrid>
      <w:tr w:rsidR="00733AD7" w14:paraId="31D36128" w14:textId="77777777" w:rsidTr="00ED4F1D">
        <w:tc>
          <w:tcPr>
            <w:tcW w:w="2348" w:type="dxa"/>
            <w:vMerge w:val="restart"/>
            <w:tcBorders>
              <w:top w:val="single" w:sz="4" w:space="0" w:color="auto"/>
            </w:tcBorders>
          </w:tcPr>
          <w:p w14:paraId="6E8276B9" w14:textId="77777777" w:rsidR="00733AD7" w:rsidRPr="009A17BD" w:rsidRDefault="00733AD7" w:rsidP="00ED4F1D">
            <w:pPr>
              <w:rPr>
                <w:rFonts w:ascii="Arial" w:hAnsi="Arial" w:cs="Arial"/>
                <w:b/>
                <w:bCs/>
              </w:rPr>
            </w:pPr>
            <w:r w:rsidRPr="009A17BD">
              <w:rPr>
                <w:rFonts w:ascii="Arial" w:hAnsi="Arial" w:cs="Arial"/>
                <w:b/>
                <w:bCs/>
              </w:rPr>
              <w:t xml:space="preserve">Domain </w:t>
            </w:r>
          </w:p>
        </w:tc>
        <w:tc>
          <w:tcPr>
            <w:tcW w:w="2919" w:type="dxa"/>
            <w:gridSpan w:val="3"/>
            <w:tcBorders>
              <w:top w:val="single" w:sz="4" w:space="0" w:color="auto"/>
            </w:tcBorders>
          </w:tcPr>
          <w:p w14:paraId="1E119610" w14:textId="77777777" w:rsidR="00733AD7" w:rsidRPr="009A17BD" w:rsidRDefault="00733AD7" w:rsidP="00ED4F1D">
            <w:pPr>
              <w:jc w:val="center"/>
              <w:rPr>
                <w:rFonts w:ascii="Arial" w:hAnsi="Arial" w:cs="Arial"/>
                <w:b/>
                <w:bCs/>
              </w:rPr>
            </w:pPr>
            <w:r w:rsidRPr="009A17BD">
              <w:rPr>
                <w:rFonts w:ascii="Arial" w:hAnsi="Arial" w:cs="Arial"/>
                <w:b/>
                <w:bCs/>
              </w:rPr>
              <w:t>Mean</w:t>
            </w:r>
          </w:p>
        </w:tc>
        <w:tc>
          <w:tcPr>
            <w:tcW w:w="2099" w:type="dxa"/>
            <w:vMerge w:val="restart"/>
            <w:tcBorders>
              <w:top w:val="single" w:sz="4" w:space="0" w:color="auto"/>
            </w:tcBorders>
          </w:tcPr>
          <w:p w14:paraId="23B6AB39" w14:textId="77777777" w:rsidR="00733AD7" w:rsidRPr="009A17BD" w:rsidRDefault="00733AD7" w:rsidP="00ED4F1D">
            <w:pPr>
              <w:rPr>
                <w:rFonts w:ascii="Arial" w:hAnsi="Arial" w:cs="Arial"/>
                <w:b/>
                <w:bCs/>
              </w:rPr>
            </w:pPr>
            <w:r w:rsidRPr="009A17BD">
              <w:rPr>
                <w:rFonts w:ascii="Arial" w:hAnsi="Arial" w:cs="Arial"/>
                <w:b/>
                <w:bCs/>
              </w:rPr>
              <w:t xml:space="preserve">Interpretation </w:t>
            </w:r>
          </w:p>
        </w:tc>
      </w:tr>
      <w:tr w:rsidR="00733AD7" w14:paraId="1DE41A06" w14:textId="77777777" w:rsidTr="00ED4F1D">
        <w:tc>
          <w:tcPr>
            <w:tcW w:w="2348" w:type="dxa"/>
            <w:vMerge/>
            <w:tcBorders>
              <w:bottom w:val="single" w:sz="4" w:space="0" w:color="auto"/>
            </w:tcBorders>
          </w:tcPr>
          <w:p w14:paraId="1542FEE5" w14:textId="77777777" w:rsidR="00733AD7" w:rsidRPr="009A17BD" w:rsidRDefault="00733AD7" w:rsidP="00ED4F1D">
            <w:pPr>
              <w:rPr>
                <w:rFonts w:ascii="Arial" w:hAnsi="Arial" w:cs="Arial"/>
                <w:b/>
                <w:bCs/>
              </w:rPr>
            </w:pPr>
          </w:p>
        </w:tc>
        <w:tc>
          <w:tcPr>
            <w:tcW w:w="961" w:type="dxa"/>
            <w:tcBorders>
              <w:bottom w:val="single" w:sz="4" w:space="0" w:color="auto"/>
            </w:tcBorders>
          </w:tcPr>
          <w:p w14:paraId="463955FB" w14:textId="289E57DB" w:rsidR="00733AD7" w:rsidRPr="009A17BD" w:rsidRDefault="00733AD7" w:rsidP="00ED4F1D">
            <w:pPr>
              <w:rPr>
                <w:rFonts w:ascii="Arial" w:hAnsi="Arial" w:cs="Arial"/>
                <w:b/>
                <w:bCs/>
              </w:rPr>
            </w:pPr>
            <w:r w:rsidRPr="009A17BD">
              <w:rPr>
                <w:rFonts w:ascii="Arial" w:hAnsi="Arial" w:cs="Arial"/>
                <w:b/>
                <w:bCs/>
              </w:rPr>
              <w:t>C</w:t>
            </w:r>
            <w:r w:rsidR="00D66258">
              <w:rPr>
                <w:rFonts w:ascii="Arial" w:hAnsi="Arial" w:cs="Arial"/>
                <w:b/>
                <w:bCs/>
              </w:rPr>
              <w:t>ON</w:t>
            </w:r>
          </w:p>
        </w:tc>
        <w:tc>
          <w:tcPr>
            <w:tcW w:w="971" w:type="dxa"/>
            <w:tcBorders>
              <w:bottom w:val="single" w:sz="4" w:space="0" w:color="auto"/>
            </w:tcBorders>
          </w:tcPr>
          <w:p w14:paraId="20A46044" w14:textId="479F2B39" w:rsidR="00733AD7" w:rsidRPr="009A17BD" w:rsidRDefault="00733AD7" w:rsidP="00ED4F1D">
            <w:pPr>
              <w:rPr>
                <w:rFonts w:ascii="Arial" w:hAnsi="Arial" w:cs="Arial"/>
                <w:b/>
                <w:bCs/>
              </w:rPr>
            </w:pPr>
            <w:r w:rsidRPr="009A17BD">
              <w:rPr>
                <w:rFonts w:ascii="Arial" w:hAnsi="Arial" w:cs="Arial"/>
                <w:b/>
                <w:bCs/>
              </w:rPr>
              <w:t>C</w:t>
            </w:r>
            <w:r w:rsidR="00D66258">
              <w:rPr>
                <w:rFonts w:ascii="Arial" w:hAnsi="Arial" w:cs="Arial"/>
                <w:b/>
                <w:bCs/>
              </w:rPr>
              <w:t>TE</w:t>
            </w:r>
          </w:p>
        </w:tc>
        <w:tc>
          <w:tcPr>
            <w:tcW w:w="987" w:type="dxa"/>
            <w:tcBorders>
              <w:bottom w:val="single" w:sz="4" w:space="0" w:color="auto"/>
            </w:tcBorders>
          </w:tcPr>
          <w:p w14:paraId="5D0DE1A0" w14:textId="1418A905" w:rsidR="00733AD7" w:rsidRPr="009A17BD" w:rsidRDefault="00733AD7" w:rsidP="00ED4F1D">
            <w:pPr>
              <w:rPr>
                <w:rFonts w:ascii="Arial" w:hAnsi="Arial" w:cs="Arial"/>
                <w:b/>
                <w:bCs/>
              </w:rPr>
            </w:pPr>
            <w:r w:rsidRPr="009A17BD">
              <w:rPr>
                <w:rFonts w:ascii="Arial" w:hAnsi="Arial" w:cs="Arial"/>
                <w:b/>
                <w:bCs/>
              </w:rPr>
              <w:t>C</w:t>
            </w:r>
            <w:r w:rsidR="00D66258">
              <w:rPr>
                <w:rFonts w:ascii="Arial" w:hAnsi="Arial" w:cs="Arial"/>
                <w:b/>
                <w:bCs/>
              </w:rPr>
              <w:t>THM</w:t>
            </w:r>
          </w:p>
        </w:tc>
        <w:tc>
          <w:tcPr>
            <w:tcW w:w="2099" w:type="dxa"/>
            <w:vMerge/>
            <w:tcBorders>
              <w:bottom w:val="single" w:sz="4" w:space="0" w:color="auto"/>
            </w:tcBorders>
          </w:tcPr>
          <w:p w14:paraId="7895978E" w14:textId="77777777" w:rsidR="00733AD7" w:rsidRPr="009A17BD" w:rsidRDefault="00733AD7" w:rsidP="00ED4F1D">
            <w:pPr>
              <w:rPr>
                <w:rFonts w:ascii="Arial" w:hAnsi="Arial" w:cs="Arial"/>
                <w:b/>
                <w:bCs/>
              </w:rPr>
            </w:pPr>
          </w:p>
        </w:tc>
      </w:tr>
      <w:tr w:rsidR="00733AD7" w14:paraId="4EA141CA" w14:textId="77777777" w:rsidTr="00ED4F1D">
        <w:tc>
          <w:tcPr>
            <w:tcW w:w="2348" w:type="dxa"/>
            <w:tcBorders>
              <w:top w:val="single" w:sz="4" w:space="0" w:color="auto"/>
            </w:tcBorders>
          </w:tcPr>
          <w:p w14:paraId="52C72056" w14:textId="77777777" w:rsidR="00733AD7" w:rsidRDefault="00733AD7" w:rsidP="00ED4F1D">
            <w:pPr>
              <w:rPr>
                <w:rFonts w:ascii="Arial" w:hAnsi="Arial" w:cs="Arial"/>
              </w:rPr>
            </w:pPr>
            <w:r>
              <w:rPr>
                <w:rFonts w:ascii="Arial" w:hAnsi="Arial" w:cs="Arial"/>
              </w:rPr>
              <w:t>Research Mentorship</w:t>
            </w:r>
          </w:p>
        </w:tc>
        <w:tc>
          <w:tcPr>
            <w:tcW w:w="961" w:type="dxa"/>
            <w:tcBorders>
              <w:top w:val="single" w:sz="4" w:space="0" w:color="auto"/>
            </w:tcBorders>
          </w:tcPr>
          <w:p w14:paraId="3C305A02" w14:textId="0C736C32" w:rsidR="00733AD7" w:rsidRDefault="00D66258" w:rsidP="00ED4F1D">
            <w:pPr>
              <w:rPr>
                <w:rFonts w:ascii="Arial" w:hAnsi="Arial" w:cs="Arial"/>
              </w:rPr>
            </w:pPr>
            <w:r>
              <w:rPr>
                <w:rFonts w:ascii="Arial" w:hAnsi="Arial" w:cs="Arial"/>
              </w:rPr>
              <w:t>3.62</w:t>
            </w:r>
          </w:p>
        </w:tc>
        <w:tc>
          <w:tcPr>
            <w:tcW w:w="971" w:type="dxa"/>
            <w:tcBorders>
              <w:top w:val="single" w:sz="4" w:space="0" w:color="auto"/>
            </w:tcBorders>
          </w:tcPr>
          <w:p w14:paraId="25F9E59B" w14:textId="215E379A" w:rsidR="00733AD7" w:rsidRDefault="00D66258" w:rsidP="00ED4F1D">
            <w:pPr>
              <w:rPr>
                <w:rFonts w:ascii="Arial" w:hAnsi="Arial" w:cs="Arial"/>
              </w:rPr>
            </w:pPr>
            <w:r>
              <w:rPr>
                <w:rFonts w:ascii="Arial" w:hAnsi="Arial" w:cs="Arial"/>
              </w:rPr>
              <w:t>3.77</w:t>
            </w:r>
          </w:p>
        </w:tc>
        <w:tc>
          <w:tcPr>
            <w:tcW w:w="987" w:type="dxa"/>
            <w:tcBorders>
              <w:top w:val="single" w:sz="4" w:space="0" w:color="auto"/>
            </w:tcBorders>
          </w:tcPr>
          <w:p w14:paraId="7EEA2DD7" w14:textId="377AFC7E" w:rsidR="00733AD7" w:rsidRDefault="00D66258" w:rsidP="00ED4F1D">
            <w:pPr>
              <w:rPr>
                <w:rFonts w:ascii="Arial" w:hAnsi="Arial" w:cs="Arial"/>
              </w:rPr>
            </w:pPr>
            <w:r>
              <w:rPr>
                <w:rFonts w:ascii="Arial" w:hAnsi="Arial" w:cs="Arial"/>
              </w:rPr>
              <w:t>3.65</w:t>
            </w:r>
          </w:p>
        </w:tc>
        <w:tc>
          <w:tcPr>
            <w:tcW w:w="2099" w:type="dxa"/>
            <w:tcBorders>
              <w:top w:val="single" w:sz="4" w:space="0" w:color="auto"/>
            </w:tcBorders>
          </w:tcPr>
          <w:p w14:paraId="78ED9CB2" w14:textId="77777777" w:rsidR="00733AD7" w:rsidRDefault="00733AD7" w:rsidP="00ED4F1D">
            <w:pPr>
              <w:rPr>
                <w:rFonts w:ascii="Arial" w:hAnsi="Arial" w:cs="Arial"/>
              </w:rPr>
            </w:pPr>
            <w:r>
              <w:rPr>
                <w:rFonts w:ascii="Arial" w:hAnsi="Arial" w:cs="Arial"/>
              </w:rPr>
              <w:t xml:space="preserve">Highly Satisfied </w:t>
            </w:r>
          </w:p>
        </w:tc>
      </w:tr>
      <w:tr w:rsidR="00733AD7" w14:paraId="388E2942" w14:textId="77777777" w:rsidTr="00ED4F1D">
        <w:tc>
          <w:tcPr>
            <w:tcW w:w="2348" w:type="dxa"/>
          </w:tcPr>
          <w:p w14:paraId="1B65B63B" w14:textId="77777777" w:rsidR="00733AD7" w:rsidRDefault="00733AD7" w:rsidP="00ED4F1D">
            <w:pPr>
              <w:rPr>
                <w:rFonts w:ascii="Arial" w:hAnsi="Arial" w:cs="Arial"/>
              </w:rPr>
            </w:pPr>
            <w:r>
              <w:rPr>
                <w:rFonts w:ascii="Arial" w:hAnsi="Arial" w:cs="Arial"/>
              </w:rPr>
              <w:t xml:space="preserve">Panel Member </w:t>
            </w:r>
          </w:p>
        </w:tc>
        <w:tc>
          <w:tcPr>
            <w:tcW w:w="961" w:type="dxa"/>
          </w:tcPr>
          <w:p w14:paraId="280CB2BA" w14:textId="6CD4285B" w:rsidR="00733AD7" w:rsidRDefault="00D66258" w:rsidP="00ED4F1D">
            <w:pPr>
              <w:rPr>
                <w:rFonts w:ascii="Arial" w:hAnsi="Arial" w:cs="Arial"/>
              </w:rPr>
            </w:pPr>
            <w:r>
              <w:rPr>
                <w:rFonts w:ascii="Arial" w:hAnsi="Arial" w:cs="Arial"/>
              </w:rPr>
              <w:t>3.71</w:t>
            </w:r>
          </w:p>
        </w:tc>
        <w:tc>
          <w:tcPr>
            <w:tcW w:w="971" w:type="dxa"/>
          </w:tcPr>
          <w:p w14:paraId="0A315361" w14:textId="26A1ED68" w:rsidR="00733AD7" w:rsidRDefault="00D66258" w:rsidP="00ED4F1D">
            <w:pPr>
              <w:rPr>
                <w:rFonts w:ascii="Arial" w:hAnsi="Arial" w:cs="Arial"/>
              </w:rPr>
            </w:pPr>
            <w:r>
              <w:rPr>
                <w:rFonts w:ascii="Arial" w:hAnsi="Arial" w:cs="Arial"/>
              </w:rPr>
              <w:t>3.87</w:t>
            </w:r>
          </w:p>
        </w:tc>
        <w:tc>
          <w:tcPr>
            <w:tcW w:w="987" w:type="dxa"/>
          </w:tcPr>
          <w:p w14:paraId="2158607F" w14:textId="0B401B7F" w:rsidR="00733AD7" w:rsidRDefault="00D66258" w:rsidP="00ED4F1D">
            <w:pPr>
              <w:rPr>
                <w:rFonts w:ascii="Arial" w:hAnsi="Arial" w:cs="Arial"/>
              </w:rPr>
            </w:pPr>
            <w:r>
              <w:rPr>
                <w:rFonts w:ascii="Arial" w:hAnsi="Arial" w:cs="Arial"/>
              </w:rPr>
              <w:t>3.74</w:t>
            </w:r>
          </w:p>
        </w:tc>
        <w:tc>
          <w:tcPr>
            <w:tcW w:w="2099" w:type="dxa"/>
          </w:tcPr>
          <w:p w14:paraId="567A9AB6" w14:textId="77777777" w:rsidR="00733AD7" w:rsidRDefault="00733AD7" w:rsidP="00ED4F1D">
            <w:pPr>
              <w:rPr>
                <w:rFonts w:ascii="Arial" w:hAnsi="Arial" w:cs="Arial"/>
              </w:rPr>
            </w:pPr>
            <w:r>
              <w:rPr>
                <w:rFonts w:ascii="Arial" w:hAnsi="Arial" w:cs="Arial"/>
              </w:rPr>
              <w:t>Highly Satisfied</w:t>
            </w:r>
          </w:p>
        </w:tc>
      </w:tr>
      <w:tr w:rsidR="00733AD7" w14:paraId="36C84935" w14:textId="77777777" w:rsidTr="00ED4F1D">
        <w:tc>
          <w:tcPr>
            <w:tcW w:w="2348" w:type="dxa"/>
          </w:tcPr>
          <w:p w14:paraId="40D1AD75" w14:textId="77777777" w:rsidR="00733AD7" w:rsidRDefault="00733AD7" w:rsidP="00ED4F1D">
            <w:pPr>
              <w:rPr>
                <w:rFonts w:ascii="Arial" w:hAnsi="Arial" w:cs="Arial"/>
              </w:rPr>
            </w:pPr>
            <w:r>
              <w:rPr>
                <w:rFonts w:ascii="Arial" w:hAnsi="Arial" w:cs="Arial"/>
              </w:rPr>
              <w:t>Research Skills</w:t>
            </w:r>
          </w:p>
        </w:tc>
        <w:tc>
          <w:tcPr>
            <w:tcW w:w="961" w:type="dxa"/>
          </w:tcPr>
          <w:p w14:paraId="46F82B3C" w14:textId="3A264A5F" w:rsidR="00733AD7" w:rsidRDefault="00D66258" w:rsidP="00ED4F1D">
            <w:pPr>
              <w:rPr>
                <w:rFonts w:ascii="Arial" w:hAnsi="Arial" w:cs="Arial"/>
              </w:rPr>
            </w:pPr>
            <w:r>
              <w:rPr>
                <w:rFonts w:ascii="Arial" w:hAnsi="Arial" w:cs="Arial"/>
              </w:rPr>
              <w:t>3.75</w:t>
            </w:r>
          </w:p>
        </w:tc>
        <w:tc>
          <w:tcPr>
            <w:tcW w:w="971" w:type="dxa"/>
          </w:tcPr>
          <w:p w14:paraId="399F6C72" w14:textId="199FBB0A" w:rsidR="00733AD7" w:rsidRDefault="00D66258" w:rsidP="00ED4F1D">
            <w:pPr>
              <w:rPr>
                <w:rFonts w:ascii="Arial" w:hAnsi="Arial" w:cs="Arial"/>
              </w:rPr>
            </w:pPr>
            <w:r>
              <w:rPr>
                <w:rFonts w:ascii="Arial" w:hAnsi="Arial" w:cs="Arial"/>
              </w:rPr>
              <w:t>3.80</w:t>
            </w:r>
          </w:p>
        </w:tc>
        <w:tc>
          <w:tcPr>
            <w:tcW w:w="987" w:type="dxa"/>
          </w:tcPr>
          <w:p w14:paraId="34102E7A" w14:textId="3A7594BE" w:rsidR="00733AD7" w:rsidRDefault="00D66258" w:rsidP="00ED4F1D">
            <w:pPr>
              <w:rPr>
                <w:rFonts w:ascii="Arial" w:hAnsi="Arial" w:cs="Arial"/>
              </w:rPr>
            </w:pPr>
            <w:r>
              <w:rPr>
                <w:rFonts w:ascii="Arial" w:hAnsi="Arial" w:cs="Arial"/>
              </w:rPr>
              <w:t>3.67</w:t>
            </w:r>
          </w:p>
        </w:tc>
        <w:tc>
          <w:tcPr>
            <w:tcW w:w="2099" w:type="dxa"/>
          </w:tcPr>
          <w:p w14:paraId="6BD3C8B9" w14:textId="77777777" w:rsidR="00733AD7" w:rsidRDefault="00733AD7" w:rsidP="00ED4F1D">
            <w:pPr>
              <w:rPr>
                <w:rFonts w:ascii="Arial" w:hAnsi="Arial" w:cs="Arial"/>
              </w:rPr>
            </w:pPr>
            <w:r>
              <w:rPr>
                <w:rFonts w:ascii="Arial" w:hAnsi="Arial" w:cs="Arial"/>
              </w:rPr>
              <w:t>Highly Satisfied</w:t>
            </w:r>
          </w:p>
        </w:tc>
      </w:tr>
      <w:tr w:rsidR="00733AD7" w14:paraId="50E87513" w14:textId="77777777" w:rsidTr="00ED4F1D">
        <w:tc>
          <w:tcPr>
            <w:tcW w:w="2348" w:type="dxa"/>
          </w:tcPr>
          <w:p w14:paraId="3CAD5497" w14:textId="77777777" w:rsidR="00733AD7" w:rsidRDefault="00733AD7" w:rsidP="00ED4F1D">
            <w:pPr>
              <w:rPr>
                <w:rFonts w:ascii="Arial" w:hAnsi="Arial" w:cs="Arial"/>
              </w:rPr>
            </w:pPr>
            <w:r>
              <w:rPr>
                <w:rFonts w:ascii="Arial" w:hAnsi="Arial" w:cs="Arial"/>
              </w:rPr>
              <w:t>Research Collaboration</w:t>
            </w:r>
          </w:p>
        </w:tc>
        <w:tc>
          <w:tcPr>
            <w:tcW w:w="961" w:type="dxa"/>
          </w:tcPr>
          <w:p w14:paraId="6092F2A1" w14:textId="6EC82FDD" w:rsidR="00733AD7" w:rsidRDefault="00D66258" w:rsidP="00ED4F1D">
            <w:pPr>
              <w:rPr>
                <w:rFonts w:ascii="Arial" w:hAnsi="Arial" w:cs="Arial"/>
              </w:rPr>
            </w:pPr>
            <w:r>
              <w:rPr>
                <w:rFonts w:ascii="Arial" w:hAnsi="Arial" w:cs="Arial"/>
              </w:rPr>
              <w:t>3.61</w:t>
            </w:r>
          </w:p>
        </w:tc>
        <w:tc>
          <w:tcPr>
            <w:tcW w:w="971" w:type="dxa"/>
          </w:tcPr>
          <w:p w14:paraId="0072F929" w14:textId="0014EDE9" w:rsidR="00733AD7" w:rsidRDefault="00D66258" w:rsidP="00ED4F1D">
            <w:pPr>
              <w:rPr>
                <w:rFonts w:ascii="Arial" w:hAnsi="Arial" w:cs="Arial"/>
              </w:rPr>
            </w:pPr>
            <w:r>
              <w:rPr>
                <w:rFonts w:ascii="Arial" w:hAnsi="Arial" w:cs="Arial"/>
              </w:rPr>
              <w:t>3.83</w:t>
            </w:r>
          </w:p>
        </w:tc>
        <w:tc>
          <w:tcPr>
            <w:tcW w:w="987" w:type="dxa"/>
          </w:tcPr>
          <w:p w14:paraId="55CD583C" w14:textId="653ACEA2" w:rsidR="00733AD7" w:rsidRDefault="00D66258" w:rsidP="00ED4F1D">
            <w:pPr>
              <w:rPr>
                <w:rFonts w:ascii="Arial" w:hAnsi="Arial" w:cs="Arial"/>
              </w:rPr>
            </w:pPr>
            <w:r>
              <w:rPr>
                <w:rFonts w:ascii="Arial" w:hAnsi="Arial" w:cs="Arial"/>
              </w:rPr>
              <w:t>3.64</w:t>
            </w:r>
          </w:p>
        </w:tc>
        <w:tc>
          <w:tcPr>
            <w:tcW w:w="2099" w:type="dxa"/>
          </w:tcPr>
          <w:p w14:paraId="41BED46F" w14:textId="77777777" w:rsidR="00733AD7" w:rsidRDefault="00733AD7" w:rsidP="00ED4F1D">
            <w:pPr>
              <w:rPr>
                <w:rFonts w:ascii="Arial" w:hAnsi="Arial" w:cs="Arial"/>
              </w:rPr>
            </w:pPr>
            <w:r>
              <w:rPr>
                <w:rFonts w:ascii="Arial" w:hAnsi="Arial" w:cs="Arial"/>
              </w:rPr>
              <w:t>Highly Satisfied</w:t>
            </w:r>
          </w:p>
        </w:tc>
      </w:tr>
      <w:tr w:rsidR="00733AD7" w14:paraId="7FB683C9" w14:textId="77777777" w:rsidTr="00ED4F1D">
        <w:tc>
          <w:tcPr>
            <w:tcW w:w="2348" w:type="dxa"/>
          </w:tcPr>
          <w:p w14:paraId="00E03013" w14:textId="77777777" w:rsidR="00733AD7" w:rsidRDefault="00733AD7" w:rsidP="00ED4F1D">
            <w:pPr>
              <w:rPr>
                <w:rFonts w:ascii="Arial" w:hAnsi="Arial" w:cs="Arial"/>
              </w:rPr>
            </w:pPr>
            <w:r>
              <w:rPr>
                <w:rFonts w:ascii="Arial" w:hAnsi="Arial" w:cs="Arial"/>
              </w:rPr>
              <w:t xml:space="preserve">Research Resources and Services </w:t>
            </w:r>
          </w:p>
        </w:tc>
        <w:tc>
          <w:tcPr>
            <w:tcW w:w="961" w:type="dxa"/>
          </w:tcPr>
          <w:p w14:paraId="33A0F809" w14:textId="00F4C33D" w:rsidR="00733AD7" w:rsidRDefault="00D66258" w:rsidP="00ED4F1D">
            <w:pPr>
              <w:rPr>
                <w:rFonts w:ascii="Arial" w:hAnsi="Arial" w:cs="Arial"/>
              </w:rPr>
            </w:pPr>
            <w:r>
              <w:rPr>
                <w:rFonts w:ascii="Arial" w:hAnsi="Arial" w:cs="Arial"/>
              </w:rPr>
              <w:t>3.73</w:t>
            </w:r>
          </w:p>
        </w:tc>
        <w:tc>
          <w:tcPr>
            <w:tcW w:w="971" w:type="dxa"/>
          </w:tcPr>
          <w:p w14:paraId="41582E6A" w14:textId="07FE8806" w:rsidR="00733AD7" w:rsidRDefault="00D66258" w:rsidP="00ED4F1D">
            <w:pPr>
              <w:rPr>
                <w:rFonts w:ascii="Arial" w:hAnsi="Arial" w:cs="Arial"/>
              </w:rPr>
            </w:pPr>
            <w:r>
              <w:rPr>
                <w:rFonts w:ascii="Arial" w:hAnsi="Arial" w:cs="Arial"/>
              </w:rPr>
              <w:t>3.82</w:t>
            </w:r>
          </w:p>
        </w:tc>
        <w:tc>
          <w:tcPr>
            <w:tcW w:w="987" w:type="dxa"/>
          </w:tcPr>
          <w:p w14:paraId="6EF95FE0" w14:textId="30DA4C3B" w:rsidR="00733AD7" w:rsidRDefault="00D66258" w:rsidP="00ED4F1D">
            <w:pPr>
              <w:rPr>
                <w:rFonts w:ascii="Arial" w:hAnsi="Arial" w:cs="Arial"/>
              </w:rPr>
            </w:pPr>
            <w:r>
              <w:rPr>
                <w:rFonts w:ascii="Arial" w:hAnsi="Arial" w:cs="Arial"/>
              </w:rPr>
              <w:t>3.56</w:t>
            </w:r>
          </w:p>
        </w:tc>
        <w:tc>
          <w:tcPr>
            <w:tcW w:w="2099" w:type="dxa"/>
          </w:tcPr>
          <w:p w14:paraId="6FE001EB" w14:textId="77777777" w:rsidR="00733AD7" w:rsidRDefault="00733AD7" w:rsidP="00ED4F1D">
            <w:pPr>
              <w:rPr>
                <w:rFonts w:ascii="Arial" w:hAnsi="Arial" w:cs="Arial"/>
              </w:rPr>
            </w:pPr>
            <w:r>
              <w:rPr>
                <w:rFonts w:ascii="Arial" w:hAnsi="Arial" w:cs="Arial"/>
              </w:rPr>
              <w:t>Highly Satisfied</w:t>
            </w:r>
          </w:p>
        </w:tc>
      </w:tr>
      <w:tr w:rsidR="00733AD7" w14:paraId="6E9CF247" w14:textId="77777777" w:rsidTr="00ED4F1D">
        <w:tc>
          <w:tcPr>
            <w:tcW w:w="2348" w:type="dxa"/>
            <w:tcBorders>
              <w:bottom w:val="single" w:sz="4" w:space="0" w:color="auto"/>
            </w:tcBorders>
          </w:tcPr>
          <w:p w14:paraId="17EABA1F" w14:textId="77777777" w:rsidR="00733AD7" w:rsidRDefault="00733AD7" w:rsidP="00ED4F1D">
            <w:pPr>
              <w:rPr>
                <w:rFonts w:ascii="Arial" w:hAnsi="Arial" w:cs="Arial"/>
              </w:rPr>
            </w:pPr>
            <w:r>
              <w:rPr>
                <w:rFonts w:ascii="Arial" w:hAnsi="Arial" w:cs="Arial"/>
              </w:rPr>
              <w:t xml:space="preserve">Application and Schedule of Proposal and Final Defense </w:t>
            </w:r>
          </w:p>
        </w:tc>
        <w:tc>
          <w:tcPr>
            <w:tcW w:w="961" w:type="dxa"/>
            <w:tcBorders>
              <w:bottom w:val="single" w:sz="4" w:space="0" w:color="auto"/>
            </w:tcBorders>
          </w:tcPr>
          <w:p w14:paraId="22F2F3BB" w14:textId="1344F784" w:rsidR="00733AD7" w:rsidRDefault="00D66258" w:rsidP="00ED4F1D">
            <w:pPr>
              <w:rPr>
                <w:rFonts w:ascii="Arial" w:hAnsi="Arial" w:cs="Arial"/>
              </w:rPr>
            </w:pPr>
            <w:r>
              <w:rPr>
                <w:rFonts w:ascii="Arial" w:hAnsi="Arial" w:cs="Arial"/>
              </w:rPr>
              <w:t>3.70</w:t>
            </w:r>
          </w:p>
        </w:tc>
        <w:tc>
          <w:tcPr>
            <w:tcW w:w="971" w:type="dxa"/>
            <w:tcBorders>
              <w:bottom w:val="single" w:sz="4" w:space="0" w:color="auto"/>
            </w:tcBorders>
          </w:tcPr>
          <w:p w14:paraId="5D7D16D0" w14:textId="3927C09F" w:rsidR="00733AD7" w:rsidRDefault="00D66258" w:rsidP="00ED4F1D">
            <w:pPr>
              <w:rPr>
                <w:rFonts w:ascii="Arial" w:hAnsi="Arial" w:cs="Arial"/>
              </w:rPr>
            </w:pPr>
            <w:r>
              <w:rPr>
                <w:rFonts w:ascii="Arial" w:hAnsi="Arial" w:cs="Arial"/>
              </w:rPr>
              <w:t>3.81</w:t>
            </w:r>
          </w:p>
        </w:tc>
        <w:tc>
          <w:tcPr>
            <w:tcW w:w="987" w:type="dxa"/>
            <w:tcBorders>
              <w:bottom w:val="single" w:sz="4" w:space="0" w:color="auto"/>
            </w:tcBorders>
          </w:tcPr>
          <w:p w14:paraId="22E10726" w14:textId="0ADC20F0" w:rsidR="00733AD7" w:rsidRDefault="00D66258" w:rsidP="00ED4F1D">
            <w:pPr>
              <w:rPr>
                <w:rFonts w:ascii="Arial" w:hAnsi="Arial" w:cs="Arial"/>
              </w:rPr>
            </w:pPr>
            <w:r>
              <w:rPr>
                <w:rFonts w:ascii="Arial" w:hAnsi="Arial" w:cs="Arial"/>
              </w:rPr>
              <w:t>3.58</w:t>
            </w:r>
          </w:p>
        </w:tc>
        <w:tc>
          <w:tcPr>
            <w:tcW w:w="2099" w:type="dxa"/>
            <w:tcBorders>
              <w:bottom w:val="single" w:sz="4" w:space="0" w:color="auto"/>
            </w:tcBorders>
          </w:tcPr>
          <w:p w14:paraId="2DDC11A0" w14:textId="77777777" w:rsidR="00733AD7" w:rsidRDefault="00733AD7" w:rsidP="00ED4F1D">
            <w:pPr>
              <w:rPr>
                <w:rFonts w:ascii="Arial" w:hAnsi="Arial" w:cs="Arial"/>
              </w:rPr>
            </w:pPr>
            <w:r>
              <w:rPr>
                <w:rFonts w:ascii="Arial" w:hAnsi="Arial" w:cs="Arial"/>
              </w:rPr>
              <w:t>Highly Satisfied</w:t>
            </w:r>
          </w:p>
        </w:tc>
      </w:tr>
    </w:tbl>
    <w:p w14:paraId="1FBAE4FE" w14:textId="77777777" w:rsidR="00733AD7" w:rsidRDefault="00733AD7" w:rsidP="003125EB">
      <w:pPr>
        <w:jc w:val="both"/>
        <w:rPr>
          <w:rFonts w:ascii="Arial" w:hAnsi="Arial" w:cs="Arial"/>
          <w:sz w:val="22"/>
        </w:rPr>
      </w:pPr>
    </w:p>
    <w:p w14:paraId="3D5AB381" w14:textId="2B9A8719" w:rsidR="00D66258" w:rsidRDefault="00D66258" w:rsidP="003125EB">
      <w:pPr>
        <w:jc w:val="both"/>
        <w:rPr>
          <w:rFonts w:ascii="Arial" w:hAnsi="Arial" w:cs="Arial"/>
          <w:b/>
          <w:bCs/>
          <w:sz w:val="22"/>
        </w:rPr>
      </w:pPr>
      <w:r w:rsidRPr="009C1D3F">
        <w:rPr>
          <w:rFonts w:ascii="Arial" w:hAnsi="Arial" w:cs="Arial"/>
          <w:b/>
          <w:bCs/>
          <w:sz w:val="22"/>
        </w:rPr>
        <w:t>3.1.3 Satisfaction Results from CCJE</w:t>
      </w:r>
    </w:p>
    <w:p w14:paraId="3B86F4D5" w14:textId="77777777" w:rsidR="009C1D3F" w:rsidRPr="009C1D3F" w:rsidRDefault="009C1D3F" w:rsidP="003125EB">
      <w:pPr>
        <w:jc w:val="both"/>
        <w:rPr>
          <w:rFonts w:ascii="Arial" w:hAnsi="Arial" w:cs="Arial"/>
          <w:b/>
          <w:bCs/>
          <w:sz w:val="22"/>
        </w:rPr>
      </w:pPr>
    </w:p>
    <w:p w14:paraId="62525D75" w14:textId="77777777" w:rsidR="00D66258" w:rsidRDefault="00D66258" w:rsidP="00D66258">
      <w:pPr>
        <w:jc w:val="both"/>
        <w:rPr>
          <w:rFonts w:ascii="Arial" w:hAnsi="Arial" w:cs="Arial"/>
          <w:sz w:val="22"/>
        </w:rPr>
      </w:pPr>
      <w:r w:rsidRPr="00D66258">
        <w:rPr>
          <w:rFonts w:ascii="Arial" w:hAnsi="Arial" w:cs="Arial"/>
          <w:sz w:val="22"/>
        </w:rPr>
        <w:t>The College of Criminal Justice Education (CCJE) had a distinct trend, with all domain scores averaging about 3.20, indicating "Moderately Satisfied." This lower range indicates difficulties in Mentorship, Collaboration, and Resource Availability.</w:t>
      </w:r>
      <w:r w:rsidRPr="00D66258">
        <w:rPr>
          <w:rFonts w:ascii="Arial" w:hAnsi="Arial" w:cs="Arial"/>
          <w:sz w:val="22"/>
        </w:rPr>
        <w:br/>
      </w:r>
      <w:r w:rsidRPr="00D66258">
        <w:rPr>
          <w:rFonts w:ascii="Arial" w:hAnsi="Arial" w:cs="Arial"/>
          <w:sz w:val="22"/>
        </w:rPr>
        <w:br/>
        <w:t>Wayment and Dickson (2021) contended that underdeveloped research infrastructures may result in reduced involvement and a weakened academic identity. The consistency in CCJE's scores indicates systemic problems rather than individual deficiencies.</w:t>
      </w:r>
      <w:r w:rsidRPr="00D66258">
        <w:rPr>
          <w:rFonts w:ascii="Arial" w:hAnsi="Arial" w:cs="Arial"/>
          <w:sz w:val="22"/>
        </w:rPr>
        <w:br/>
      </w:r>
      <w:r w:rsidRPr="00D66258">
        <w:rPr>
          <w:rFonts w:ascii="Arial" w:hAnsi="Arial" w:cs="Arial"/>
          <w:sz w:val="22"/>
        </w:rPr>
        <w:br/>
        <w:t>Adams &amp; Forrester (2022) advocate for enhancing satisfaction through faculty capacity-building, systematic mentorship, and the establishment of discipline-specific collaboration centers.</w:t>
      </w:r>
    </w:p>
    <w:p w14:paraId="0A35DF8A" w14:textId="77777777" w:rsidR="00D66258" w:rsidRDefault="00D66258" w:rsidP="00D66258">
      <w:pPr>
        <w:jc w:val="both"/>
        <w:rPr>
          <w:rFonts w:ascii="Arial" w:hAnsi="Arial" w:cs="Arial"/>
          <w:sz w:val="22"/>
        </w:rPr>
      </w:pPr>
    </w:p>
    <w:p w14:paraId="7D964CDD" w14:textId="6A68F3FE" w:rsidR="00D66258" w:rsidRPr="00733AD7" w:rsidRDefault="00D66258" w:rsidP="00D66258">
      <w:pPr>
        <w:jc w:val="both"/>
        <w:rPr>
          <w:rFonts w:ascii="Arial" w:hAnsi="Arial" w:cs="Arial"/>
          <w:b/>
          <w:bCs/>
          <w:sz w:val="22"/>
        </w:rPr>
      </w:pPr>
      <w:r w:rsidRPr="00733AD7">
        <w:rPr>
          <w:rFonts w:ascii="Arial" w:hAnsi="Arial" w:cs="Arial"/>
          <w:b/>
          <w:bCs/>
          <w:sz w:val="22"/>
        </w:rPr>
        <w:t xml:space="preserve">Table </w:t>
      </w:r>
      <w:r w:rsidR="00730756">
        <w:rPr>
          <w:rFonts w:ascii="Arial" w:hAnsi="Arial" w:cs="Arial"/>
          <w:b/>
          <w:bCs/>
          <w:sz w:val="22"/>
        </w:rPr>
        <w:t>4</w:t>
      </w:r>
      <w:r w:rsidRPr="00733AD7">
        <w:rPr>
          <w:rFonts w:ascii="Arial" w:hAnsi="Arial" w:cs="Arial"/>
          <w:b/>
          <w:bCs/>
          <w:sz w:val="22"/>
        </w:rPr>
        <w:t>: Level of Satisfaction with Research Experiences: C</w:t>
      </w:r>
      <w:r>
        <w:rPr>
          <w:rFonts w:ascii="Arial" w:hAnsi="Arial" w:cs="Arial"/>
          <w:b/>
          <w:bCs/>
          <w:sz w:val="22"/>
        </w:rPr>
        <w:t>CJE</w:t>
      </w:r>
    </w:p>
    <w:p w14:paraId="69FB4F08" w14:textId="77777777" w:rsidR="00D66258" w:rsidRPr="00D66258" w:rsidRDefault="00D66258" w:rsidP="00D66258">
      <w:pPr>
        <w:jc w:val="both"/>
        <w:rPr>
          <w:rFonts w:ascii="Arial" w:hAnsi="Arial" w:cs="Arial"/>
          <w:sz w:val="22"/>
        </w:rPr>
      </w:pPr>
    </w:p>
    <w:p w14:paraId="240BF5C7" w14:textId="77777777" w:rsidR="00D66258" w:rsidRDefault="00D66258" w:rsidP="003125EB">
      <w:pPr>
        <w:jc w:val="both"/>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99"/>
        <w:gridCol w:w="2099"/>
      </w:tblGrid>
      <w:tr w:rsidR="00D66258" w14:paraId="1E7C4952" w14:textId="77777777" w:rsidTr="00D66258">
        <w:trPr>
          <w:trHeight w:val="516"/>
        </w:trPr>
        <w:tc>
          <w:tcPr>
            <w:tcW w:w="2348" w:type="dxa"/>
            <w:tcBorders>
              <w:top w:val="single" w:sz="4" w:space="0" w:color="auto"/>
              <w:bottom w:val="single" w:sz="4" w:space="0" w:color="auto"/>
            </w:tcBorders>
          </w:tcPr>
          <w:p w14:paraId="30DA6B8B" w14:textId="4D6D0611" w:rsidR="00D66258" w:rsidRPr="009A17BD" w:rsidRDefault="00D66258" w:rsidP="00D66258">
            <w:pPr>
              <w:jc w:val="center"/>
              <w:rPr>
                <w:rFonts w:ascii="Arial" w:hAnsi="Arial" w:cs="Arial"/>
                <w:b/>
                <w:bCs/>
              </w:rPr>
            </w:pPr>
            <w:r w:rsidRPr="009A17BD">
              <w:rPr>
                <w:rFonts w:ascii="Arial" w:hAnsi="Arial" w:cs="Arial"/>
                <w:b/>
                <w:bCs/>
              </w:rPr>
              <w:t>Domain</w:t>
            </w:r>
          </w:p>
        </w:tc>
        <w:tc>
          <w:tcPr>
            <w:tcW w:w="2099" w:type="dxa"/>
            <w:tcBorders>
              <w:top w:val="single" w:sz="4" w:space="0" w:color="auto"/>
              <w:bottom w:val="single" w:sz="4" w:space="0" w:color="auto"/>
            </w:tcBorders>
          </w:tcPr>
          <w:p w14:paraId="00EF2B82" w14:textId="04EAB887" w:rsidR="00D66258" w:rsidRDefault="00D66258" w:rsidP="00D66258">
            <w:pPr>
              <w:jc w:val="center"/>
              <w:rPr>
                <w:rFonts w:ascii="Arial" w:hAnsi="Arial" w:cs="Arial"/>
                <w:b/>
                <w:bCs/>
              </w:rPr>
            </w:pPr>
            <w:r>
              <w:rPr>
                <w:rFonts w:ascii="Arial" w:hAnsi="Arial" w:cs="Arial"/>
                <w:b/>
                <w:bCs/>
              </w:rPr>
              <w:t>Mean</w:t>
            </w:r>
          </w:p>
          <w:p w14:paraId="3C1AD808" w14:textId="08FEB207" w:rsidR="00D66258" w:rsidRPr="009A17BD" w:rsidRDefault="00D66258" w:rsidP="00D66258">
            <w:pPr>
              <w:jc w:val="center"/>
              <w:rPr>
                <w:rFonts w:ascii="Arial" w:hAnsi="Arial" w:cs="Arial"/>
                <w:b/>
                <w:bCs/>
              </w:rPr>
            </w:pPr>
          </w:p>
        </w:tc>
        <w:tc>
          <w:tcPr>
            <w:tcW w:w="2099" w:type="dxa"/>
            <w:tcBorders>
              <w:top w:val="single" w:sz="4" w:space="0" w:color="auto"/>
              <w:bottom w:val="single" w:sz="4" w:space="0" w:color="auto"/>
            </w:tcBorders>
          </w:tcPr>
          <w:p w14:paraId="62EFA43B" w14:textId="6A8EA878" w:rsidR="00D66258" w:rsidRPr="009A17BD" w:rsidRDefault="00D66258" w:rsidP="00D66258">
            <w:pPr>
              <w:jc w:val="center"/>
              <w:rPr>
                <w:rFonts w:ascii="Arial" w:hAnsi="Arial" w:cs="Arial"/>
                <w:b/>
                <w:bCs/>
              </w:rPr>
            </w:pPr>
            <w:r w:rsidRPr="009A17BD">
              <w:rPr>
                <w:rFonts w:ascii="Arial" w:hAnsi="Arial" w:cs="Arial"/>
                <w:b/>
                <w:bCs/>
              </w:rPr>
              <w:t>Interpretation</w:t>
            </w:r>
          </w:p>
        </w:tc>
      </w:tr>
      <w:tr w:rsidR="00D66258" w14:paraId="1FC5D7DB" w14:textId="77777777" w:rsidTr="00D66258">
        <w:tc>
          <w:tcPr>
            <w:tcW w:w="2348" w:type="dxa"/>
            <w:tcBorders>
              <w:top w:val="single" w:sz="4" w:space="0" w:color="auto"/>
            </w:tcBorders>
          </w:tcPr>
          <w:p w14:paraId="61D0F012" w14:textId="77777777" w:rsidR="00D66258" w:rsidRDefault="00D66258" w:rsidP="00D66258">
            <w:pPr>
              <w:rPr>
                <w:rFonts w:ascii="Arial" w:hAnsi="Arial" w:cs="Arial"/>
              </w:rPr>
            </w:pPr>
            <w:r>
              <w:rPr>
                <w:rFonts w:ascii="Arial" w:hAnsi="Arial" w:cs="Arial"/>
              </w:rPr>
              <w:t>Research Mentorship</w:t>
            </w:r>
          </w:p>
        </w:tc>
        <w:tc>
          <w:tcPr>
            <w:tcW w:w="2099" w:type="dxa"/>
            <w:tcBorders>
              <w:top w:val="single" w:sz="4" w:space="0" w:color="auto"/>
            </w:tcBorders>
          </w:tcPr>
          <w:p w14:paraId="3B856470" w14:textId="2EA81A75" w:rsidR="00D66258" w:rsidRDefault="00D66258" w:rsidP="00D66258">
            <w:pPr>
              <w:jc w:val="center"/>
              <w:rPr>
                <w:rFonts w:ascii="Arial" w:hAnsi="Arial" w:cs="Arial"/>
              </w:rPr>
            </w:pPr>
            <w:r>
              <w:rPr>
                <w:rFonts w:ascii="Arial" w:hAnsi="Arial" w:cs="Arial"/>
              </w:rPr>
              <w:t>3.20</w:t>
            </w:r>
          </w:p>
        </w:tc>
        <w:tc>
          <w:tcPr>
            <w:tcW w:w="2099" w:type="dxa"/>
            <w:tcBorders>
              <w:top w:val="single" w:sz="4" w:space="0" w:color="auto"/>
            </w:tcBorders>
          </w:tcPr>
          <w:p w14:paraId="084A26F9" w14:textId="7DE1EBD1" w:rsidR="00D66258" w:rsidRDefault="00D66258" w:rsidP="00D66258">
            <w:pPr>
              <w:jc w:val="center"/>
              <w:rPr>
                <w:rFonts w:ascii="Arial" w:hAnsi="Arial" w:cs="Arial"/>
              </w:rPr>
            </w:pPr>
            <w:r>
              <w:rPr>
                <w:rFonts w:ascii="Arial" w:hAnsi="Arial" w:cs="Arial"/>
              </w:rPr>
              <w:t>Highly Satisfied</w:t>
            </w:r>
          </w:p>
        </w:tc>
      </w:tr>
      <w:tr w:rsidR="00D66258" w14:paraId="014904CB" w14:textId="77777777" w:rsidTr="00D66258">
        <w:tc>
          <w:tcPr>
            <w:tcW w:w="2348" w:type="dxa"/>
          </w:tcPr>
          <w:p w14:paraId="03F6A549" w14:textId="5F20A42A" w:rsidR="00D66258" w:rsidRDefault="00D66258" w:rsidP="00D66258">
            <w:pPr>
              <w:rPr>
                <w:rFonts w:ascii="Arial" w:hAnsi="Arial" w:cs="Arial"/>
              </w:rPr>
            </w:pPr>
            <w:r>
              <w:rPr>
                <w:rFonts w:ascii="Arial" w:hAnsi="Arial" w:cs="Arial"/>
              </w:rPr>
              <w:t>Panel Member</w:t>
            </w:r>
          </w:p>
        </w:tc>
        <w:tc>
          <w:tcPr>
            <w:tcW w:w="2099" w:type="dxa"/>
          </w:tcPr>
          <w:p w14:paraId="2C163B03" w14:textId="3946B90A" w:rsidR="00D66258" w:rsidRDefault="00D66258" w:rsidP="00D66258">
            <w:pPr>
              <w:jc w:val="center"/>
              <w:rPr>
                <w:rFonts w:ascii="Arial" w:hAnsi="Arial" w:cs="Arial"/>
              </w:rPr>
            </w:pPr>
            <w:r>
              <w:rPr>
                <w:rFonts w:ascii="Arial" w:hAnsi="Arial" w:cs="Arial"/>
              </w:rPr>
              <w:t>3.20</w:t>
            </w:r>
          </w:p>
        </w:tc>
        <w:tc>
          <w:tcPr>
            <w:tcW w:w="2099" w:type="dxa"/>
          </w:tcPr>
          <w:p w14:paraId="44AB78E0" w14:textId="076AED17" w:rsidR="00D66258" w:rsidRDefault="00D66258" w:rsidP="00D66258">
            <w:pPr>
              <w:jc w:val="center"/>
              <w:rPr>
                <w:rFonts w:ascii="Arial" w:hAnsi="Arial" w:cs="Arial"/>
              </w:rPr>
            </w:pPr>
            <w:r>
              <w:rPr>
                <w:rFonts w:ascii="Arial" w:hAnsi="Arial" w:cs="Arial"/>
              </w:rPr>
              <w:t>Highly Satisfied</w:t>
            </w:r>
          </w:p>
        </w:tc>
      </w:tr>
      <w:tr w:rsidR="00D66258" w14:paraId="2F73BAE3" w14:textId="77777777" w:rsidTr="00D66258">
        <w:tc>
          <w:tcPr>
            <w:tcW w:w="2348" w:type="dxa"/>
          </w:tcPr>
          <w:p w14:paraId="694983EF" w14:textId="77777777" w:rsidR="00D66258" w:rsidRDefault="00D66258" w:rsidP="00D66258">
            <w:pPr>
              <w:rPr>
                <w:rFonts w:ascii="Arial" w:hAnsi="Arial" w:cs="Arial"/>
              </w:rPr>
            </w:pPr>
            <w:r>
              <w:rPr>
                <w:rFonts w:ascii="Arial" w:hAnsi="Arial" w:cs="Arial"/>
              </w:rPr>
              <w:t>Research Skills</w:t>
            </w:r>
          </w:p>
        </w:tc>
        <w:tc>
          <w:tcPr>
            <w:tcW w:w="2099" w:type="dxa"/>
          </w:tcPr>
          <w:p w14:paraId="71930AB0" w14:textId="3D60E9F9" w:rsidR="00D66258" w:rsidRDefault="00D66258" w:rsidP="00D66258">
            <w:pPr>
              <w:jc w:val="center"/>
              <w:rPr>
                <w:rFonts w:ascii="Arial" w:hAnsi="Arial" w:cs="Arial"/>
              </w:rPr>
            </w:pPr>
            <w:r>
              <w:rPr>
                <w:rFonts w:ascii="Arial" w:hAnsi="Arial" w:cs="Arial"/>
              </w:rPr>
              <w:t>3.16</w:t>
            </w:r>
          </w:p>
        </w:tc>
        <w:tc>
          <w:tcPr>
            <w:tcW w:w="2099" w:type="dxa"/>
          </w:tcPr>
          <w:p w14:paraId="2B2B193B" w14:textId="6BE2A9A5" w:rsidR="00D66258" w:rsidRDefault="00D66258" w:rsidP="00D66258">
            <w:pPr>
              <w:jc w:val="center"/>
              <w:rPr>
                <w:rFonts w:ascii="Arial" w:hAnsi="Arial" w:cs="Arial"/>
              </w:rPr>
            </w:pPr>
            <w:r>
              <w:rPr>
                <w:rFonts w:ascii="Arial" w:hAnsi="Arial" w:cs="Arial"/>
              </w:rPr>
              <w:t>Highly Satisfied</w:t>
            </w:r>
          </w:p>
        </w:tc>
      </w:tr>
      <w:tr w:rsidR="00D66258" w14:paraId="15490D8D" w14:textId="77777777" w:rsidTr="00D66258">
        <w:tc>
          <w:tcPr>
            <w:tcW w:w="2348" w:type="dxa"/>
          </w:tcPr>
          <w:p w14:paraId="05D550C3" w14:textId="77777777" w:rsidR="00D66258" w:rsidRDefault="00D66258" w:rsidP="00D66258">
            <w:pPr>
              <w:rPr>
                <w:rFonts w:ascii="Arial" w:hAnsi="Arial" w:cs="Arial"/>
              </w:rPr>
            </w:pPr>
            <w:r>
              <w:rPr>
                <w:rFonts w:ascii="Arial" w:hAnsi="Arial" w:cs="Arial"/>
              </w:rPr>
              <w:t>Research Collaboration</w:t>
            </w:r>
          </w:p>
        </w:tc>
        <w:tc>
          <w:tcPr>
            <w:tcW w:w="2099" w:type="dxa"/>
          </w:tcPr>
          <w:p w14:paraId="7CE02596" w14:textId="1DDE80DB" w:rsidR="00D66258" w:rsidRDefault="00D66258" w:rsidP="00D66258">
            <w:pPr>
              <w:jc w:val="center"/>
              <w:rPr>
                <w:rFonts w:ascii="Arial" w:hAnsi="Arial" w:cs="Arial"/>
              </w:rPr>
            </w:pPr>
            <w:r>
              <w:rPr>
                <w:rFonts w:ascii="Arial" w:hAnsi="Arial" w:cs="Arial"/>
              </w:rPr>
              <w:t>3.20</w:t>
            </w:r>
          </w:p>
        </w:tc>
        <w:tc>
          <w:tcPr>
            <w:tcW w:w="2099" w:type="dxa"/>
          </w:tcPr>
          <w:p w14:paraId="5E02321B" w14:textId="310DE392" w:rsidR="00D66258" w:rsidRDefault="00D66258" w:rsidP="00D66258">
            <w:pPr>
              <w:jc w:val="center"/>
              <w:rPr>
                <w:rFonts w:ascii="Arial" w:hAnsi="Arial" w:cs="Arial"/>
              </w:rPr>
            </w:pPr>
            <w:r>
              <w:rPr>
                <w:rFonts w:ascii="Arial" w:hAnsi="Arial" w:cs="Arial"/>
              </w:rPr>
              <w:t>Highly Satisfied</w:t>
            </w:r>
          </w:p>
        </w:tc>
      </w:tr>
      <w:tr w:rsidR="00D66258" w14:paraId="0FA56B23" w14:textId="77777777" w:rsidTr="00D66258">
        <w:tc>
          <w:tcPr>
            <w:tcW w:w="2348" w:type="dxa"/>
          </w:tcPr>
          <w:p w14:paraId="2E99A899" w14:textId="0246C730" w:rsidR="00D66258" w:rsidRDefault="00D66258" w:rsidP="00D66258">
            <w:pPr>
              <w:rPr>
                <w:rFonts w:ascii="Arial" w:hAnsi="Arial" w:cs="Arial"/>
              </w:rPr>
            </w:pPr>
            <w:r>
              <w:rPr>
                <w:rFonts w:ascii="Arial" w:hAnsi="Arial" w:cs="Arial"/>
              </w:rPr>
              <w:lastRenderedPageBreak/>
              <w:t>Research Resources and Services</w:t>
            </w:r>
          </w:p>
        </w:tc>
        <w:tc>
          <w:tcPr>
            <w:tcW w:w="2099" w:type="dxa"/>
          </w:tcPr>
          <w:p w14:paraId="5D71FD9D" w14:textId="672ACB87" w:rsidR="00D66258" w:rsidRDefault="00D66258" w:rsidP="00D66258">
            <w:pPr>
              <w:jc w:val="center"/>
              <w:rPr>
                <w:rFonts w:ascii="Arial" w:hAnsi="Arial" w:cs="Arial"/>
              </w:rPr>
            </w:pPr>
            <w:r>
              <w:rPr>
                <w:rFonts w:ascii="Arial" w:hAnsi="Arial" w:cs="Arial"/>
              </w:rPr>
              <w:t>3.20</w:t>
            </w:r>
          </w:p>
        </w:tc>
        <w:tc>
          <w:tcPr>
            <w:tcW w:w="2099" w:type="dxa"/>
          </w:tcPr>
          <w:p w14:paraId="1722084F" w14:textId="3E0EEB9F" w:rsidR="00D66258" w:rsidRDefault="00D66258" w:rsidP="00D66258">
            <w:pPr>
              <w:jc w:val="center"/>
              <w:rPr>
                <w:rFonts w:ascii="Arial" w:hAnsi="Arial" w:cs="Arial"/>
              </w:rPr>
            </w:pPr>
            <w:r>
              <w:rPr>
                <w:rFonts w:ascii="Arial" w:hAnsi="Arial" w:cs="Arial"/>
              </w:rPr>
              <w:t>Highly Satisfied</w:t>
            </w:r>
          </w:p>
        </w:tc>
      </w:tr>
      <w:tr w:rsidR="00D66258" w14:paraId="1B823020" w14:textId="77777777" w:rsidTr="00D66258">
        <w:tc>
          <w:tcPr>
            <w:tcW w:w="2348" w:type="dxa"/>
            <w:tcBorders>
              <w:bottom w:val="single" w:sz="4" w:space="0" w:color="auto"/>
            </w:tcBorders>
          </w:tcPr>
          <w:p w14:paraId="580BC62D" w14:textId="70542D70" w:rsidR="00D66258" w:rsidRDefault="00D66258" w:rsidP="00D66258">
            <w:pPr>
              <w:rPr>
                <w:rFonts w:ascii="Arial" w:hAnsi="Arial" w:cs="Arial"/>
              </w:rPr>
            </w:pPr>
            <w:r>
              <w:rPr>
                <w:rFonts w:ascii="Arial" w:hAnsi="Arial" w:cs="Arial"/>
              </w:rPr>
              <w:t>Application and Schedule of Proposal and Final Defense</w:t>
            </w:r>
          </w:p>
        </w:tc>
        <w:tc>
          <w:tcPr>
            <w:tcW w:w="2099" w:type="dxa"/>
            <w:tcBorders>
              <w:bottom w:val="single" w:sz="4" w:space="0" w:color="auto"/>
            </w:tcBorders>
          </w:tcPr>
          <w:p w14:paraId="299169A8" w14:textId="1C44B8A2" w:rsidR="00D66258" w:rsidRDefault="00D66258" w:rsidP="00D66258">
            <w:pPr>
              <w:jc w:val="center"/>
              <w:rPr>
                <w:rFonts w:ascii="Arial" w:hAnsi="Arial" w:cs="Arial"/>
              </w:rPr>
            </w:pPr>
            <w:r>
              <w:rPr>
                <w:rFonts w:ascii="Arial" w:hAnsi="Arial" w:cs="Arial"/>
              </w:rPr>
              <w:t>3.20</w:t>
            </w:r>
          </w:p>
        </w:tc>
        <w:tc>
          <w:tcPr>
            <w:tcW w:w="2099" w:type="dxa"/>
            <w:tcBorders>
              <w:bottom w:val="single" w:sz="4" w:space="0" w:color="auto"/>
            </w:tcBorders>
          </w:tcPr>
          <w:p w14:paraId="4B692376" w14:textId="791B5B7B" w:rsidR="00D66258" w:rsidRDefault="00D66258" w:rsidP="00D66258">
            <w:pPr>
              <w:jc w:val="center"/>
              <w:rPr>
                <w:rFonts w:ascii="Arial" w:hAnsi="Arial" w:cs="Arial"/>
              </w:rPr>
            </w:pPr>
            <w:r>
              <w:rPr>
                <w:rFonts w:ascii="Arial" w:hAnsi="Arial" w:cs="Arial"/>
              </w:rPr>
              <w:t>Highly Satisfied</w:t>
            </w:r>
          </w:p>
        </w:tc>
      </w:tr>
    </w:tbl>
    <w:p w14:paraId="33E995FC" w14:textId="77777777" w:rsidR="00D66258" w:rsidRDefault="00D66258" w:rsidP="003125EB">
      <w:pPr>
        <w:jc w:val="both"/>
        <w:rPr>
          <w:rFonts w:ascii="Arial" w:hAnsi="Arial" w:cs="Arial"/>
          <w:sz w:val="22"/>
        </w:rPr>
      </w:pPr>
    </w:p>
    <w:p w14:paraId="07294F59" w14:textId="77777777" w:rsidR="00BC22D9" w:rsidRPr="00B05724" w:rsidRDefault="00BC22D9" w:rsidP="00BC22D9">
      <w:pPr>
        <w:keepNext/>
        <w:jc w:val="both"/>
        <w:rPr>
          <w:rFonts w:ascii="Arial" w:eastAsia="Times New Roman" w:hAnsi="Arial" w:cs="Arial"/>
          <w:b/>
          <w:i/>
          <w:iCs/>
          <w:caps/>
          <w:kern w:val="0"/>
          <w:sz w:val="18"/>
          <w:szCs w:val="18"/>
          <w:lang w:val="en-US"/>
          <w14:ligatures w14:val="none"/>
        </w:rPr>
      </w:pPr>
    </w:p>
    <w:p w14:paraId="56D5BF48" w14:textId="49C18018" w:rsidR="00BC22D9" w:rsidRDefault="00BC22D9" w:rsidP="00BC22D9">
      <w:pPr>
        <w:keepNext/>
        <w:jc w:val="both"/>
        <w:rPr>
          <w:rFonts w:ascii="Arial" w:eastAsia="Times New Roman" w:hAnsi="Arial" w:cs="Arial"/>
          <w:b/>
          <w:bCs/>
          <w:kern w:val="0"/>
          <w:sz w:val="22"/>
          <w:szCs w:val="20"/>
          <w14:ligatures w14:val="none"/>
        </w:rPr>
      </w:pPr>
      <w:r w:rsidRPr="003125EB">
        <w:rPr>
          <w:rFonts w:ascii="Arial" w:eastAsia="Times New Roman" w:hAnsi="Arial" w:cs="Arial"/>
          <w:b/>
          <w:bCs/>
          <w:caps/>
          <w:kern w:val="0"/>
          <w:sz w:val="22"/>
          <w:szCs w:val="20"/>
          <w14:ligatures w14:val="none"/>
        </w:rPr>
        <w:t>3.</w:t>
      </w:r>
      <w:r>
        <w:rPr>
          <w:rFonts w:ascii="Arial" w:eastAsia="Times New Roman" w:hAnsi="Arial" w:cs="Arial"/>
          <w:b/>
          <w:bCs/>
          <w:caps/>
          <w:kern w:val="0"/>
          <w:sz w:val="22"/>
          <w:szCs w:val="20"/>
          <w14:ligatures w14:val="none"/>
        </w:rPr>
        <w:t>2</w:t>
      </w:r>
      <w:r w:rsidRPr="003125EB">
        <w:rPr>
          <w:rFonts w:ascii="Arial" w:eastAsia="Times New Roman" w:hAnsi="Arial" w:cs="Arial"/>
          <w:b/>
          <w:bCs/>
          <w:caps/>
          <w:kern w:val="0"/>
          <w:sz w:val="22"/>
          <w:szCs w:val="20"/>
          <w14:ligatures w14:val="none"/>
        </w:rPr>
        <w:t xml:space="preserve"> </w:t>
      </w:r>
      <w:r>
        <w:rPr>
          <w:rFonts w:ascii="Arial" w:eastAsia="Times New Roman" w:hAnsi="Arial" w:cs="Arial"/>
          <w:b/>
          <w:bCs/>
          <w:kern w:val="0"/>
          <w:sz w:val="22"/>
          <w:szCs w:val="20"/>
          <w14:ligatures w14:val="none"/>
        </w:rPr>
        <w:t xml:space="preserve">Comparative Overview of all Colleges’ Research Experiences </w:t>
      </w:r>
    </w:p>
    <w:p w14:paraId="0C266973" w14:textId="77777777" w:rsidR="00BC22D9" w:rsidRDefault="00BC22D9" w:rsidP="00BC22D9">
      <w:pPr>
        <w:keepNext/>
        <w:jc w:val="both"/>
        <w:rPr>
          <w:rFonts w:ascii="Arial" w:eastAsia="Times New Roman" w:hAnsi="Arial" w:cs="Arial"/>
          <w:b/>
          <w:bCs/>
          <w:kern w:val="0"/>
          <w:sz w:val="22"/>
          <w:szCs w:val="20"/>
          <w14:ligatures w14:val="none"/>
        </w:rPr>
      </w:pPr>
    </w:p>
    <w:p w14:paraId="79AD4F87" w14:textId="77777777" w:rsidR="00BC22D9" w:rsidRPr="00BC22D9" w:rsidRDefault="00BC22D9" w:rsidP="00BC22D9">
      <w:pPr>
        <w:jc w:val="both"/>
        <w:rPr>
          <w:rFonts w:ascii="Arial" w:hAnsi="Arial" w:cs="Arial"/>
          <w:sz w:val="20"/>
          <w:szCs w:val="20"/>
        </w:rPr>
      </w:pPr>
      <w:r w:rsidRPr="00BC22D9">
        <w:rPr>
          <w:rFonts w:ascii="Arial" w:hAnsi="Arial" w:cs="Arial"/>
          <w:sz w:val="20"/>
          <w:szCs w:val="20"/>
        </w:rPr>
        <w:t>The line graph illustrates the comparative research experiences of various colleges, specifically: CAS (College of Arts and Sciences), CBA (College of Business Administration), CCJE (College of Criminal Justice Education), CCSEA (College of Computer Studies, Engineering, and Architecture), CON (College of Nursing), CTE (College of Teacher Education), and CTHM (College of Tourism and Hospitality Management). We categorize these research experiences into six domains: research mentoring, panel membership, research skills, research collaboration, research resources, facilities, and services, along with the application and timeline of concepts, proposals, and final hearings. The graph spans from 3.2 to 3.87, with the majority of categories exhibiting strong performance.</w:t>
      </w:r>
      <w:r w:rsidRPr="00BC22D9">
        <w:rPr>
          <w:rFonts w:ascii="Arial" w:hAnsi="Arial" w:cs="Arial"/>
          <w:sz w:val="20"/>
          <w:szCs w:val="20"/>
        </w:rPr>
        <w:br/>
      </w:r>
      <w:r w:rsidRPr="00BC22D9">
        <w:rPr>
          <w:rFonts w:ascii="Arial" w:hAnsi="Arial" w:cs="Arial"/>
          <w:sz w:val="20"/>
          <w:szCs w:val="20"/>
        </w:rPr>
        <w:br/>
        <w:t>CTE distinguishes itself among universities, achieving the highest mean ratings, peaking at 3.87 in the Panel Member criterion, indicating remarkable proficiency in this domain. CBA and CCSEA demonstrate exceptional performance, particularly in the Panel Member category. Nonetheless, CCJE generally attains the lowest mean score across all parameters, averaging around 3.2, which is significantly inferior to the other categories. This discrepancy may be ascribed to the limited number of respondents and underdeveloped research infrastructure, as observed by Wayment and Dickson (2021).</w:t>
      </w:r>
      <w:r w:rsidRPr="00BC22D9">
        <w:rPr>
          <w:rFonts w:ascii="Arial" w:hAnsi="Arial" w:cs="Arial"/>
          <w:sz w:val="20"/>
          <w:szCs w:val="20"/>
        </w:rPr>
        <w:br/>
      </w:r>
      <w:r w:rsidRPr="00BC22D9">
        <w:rPr>
          <w:rFonts w:ascii="Arial" w:hAnsi="Arial" w:cs="Arial"/>
          <w:sz w:val="20"/>
          <w:szCs w:val="20"/>
        </w:rPr>
        <w:br/>
        <w:t>Conversely, CAS and CTHM demonstrate a moderate level of performance devoid of any notable peaks, signifying a steady, unexceptional performance in the research experience criterion. CON and CCSEA demonstrate similar trends, with slightly higher scores in research skills and teamwork, indicating competence in these areas. Linn et al. (2015) indicate that student confidence in practical and collaborative research assignments signifies effective instructional design and support.</w:t>
      </w:r>
      <w:r w:rsidRPr="00BC22D9">
        <w:rPr>
          <w:rFonts w:ascii="Arial" w:hAnsi="Arial" w:cs="Arial"/>
          <w:sz w:val="20"/>
          <w:szCs w:val="20"/>
        </w:rPr>
        <w:br/>
      </w:r>
      <w:r w:rsidRPr="00BC22D9">
        <w:rPr>
          <w:rFonts w:ascii="Arial" w:hAnsi="Arial" w:cs="Arial"/>
          <w:sz w:val="20"/>
          <w:szCs w:val="20"/>
        </w:rPr>
        <w:br/>
        <w:t>The graph illustrates the remarkable accomplishment of CTE, demonstrating exemplary approaches that other categories could emulate. Moreover, it underscores the imperative for improvement in CCJE, given that the evaluations in this domain are markedly inferior. The ongoing performance of CAS and CTHM signifies that these categories maintain a consistent quality level, while CON and CCSEA exhibit considerable proficiency in particular areas. Healey et al. (2020) assert that enhancing student satisfaction in undergraduate research experiences necessitates intentional design of support networks, incorporation of research into curricula, and proactive mentorship frameworks. This study can aid in the execution of targeted improvements and the distribution of superior tactics across various categories.</w:t>
      </w:r>
    </w:p>
    <w:p w14:paraId="067E2731" w14:textId="2907184F" w:rsidR="003125EB" w:rsidRDefault="00BC22D9" w:rsidP="00E96EBE">
      <w:pPr>
        <w:rPr>
          <w:rFonts w:ascii="Arial" w:hAnsi="Arial" w:cs="Arial"/>
          <w:sz w:val="20"/>
          <w:szCs w:val="20"/>
        </w:rPr>
      </w:pPr>
      <w:r>
        <w:rPr>
          <w:rFonts w:ascii="Calibri" w:hAnsi="Calibri" w:cs="Calibri"/>
          <w:noProof/>
          <w:color w:val="000000"/>
          <w:sz w:val="22"/>
          <w:bdr w:val="none" w:sz="0" w:space="0" w:color="auto" w:frame="1"/>
          <w:lang w:val="en-US"/>
        </w:rPr>
        <w:lastRenderedPageBreak/>
        <w:drawing>
          <wp:inline distT="0" distB="0" distL="0" distR="0" wp14:anchorId="103C5775" wp14:editId="35DCF501">
            <wp:extent cx="5705157" cy="3191774"/>
            <wp:effectExtent l="0" t="0" r="0" b="8890"/>
            <wp:docPr id="2078845025" name="Picture 5" descr="A graph with colorful lines an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45025" name="Picture 5" descr="A graph with colorful lines and arrow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9929" cy="3211228"/>
                    </a:xfrm>
                    <a:prstGeom prst="rect">
                      <a:avLst/>
                    </a:prstGeom>
                    <a:noFill/>
                    <a:ln>
                      <a:noFill/>
                    </a:ln>
                  </pic:spPr>
                </pic:pic>
              </a:graphicData>
            </a:graphic>
          </wp:inline>
        </w:drawing>
      </w:r>
    </w:p>
    <w:p w14:paraId="171878DA" w14:textId="77777777" w:rsidR="00E96EBE" w:rsidRDefault="00E96EBE" w:rsidP="00E96EBE"/>
    <w:p w14:paraId="3A336808" w14:textId="38677D7F" w:rsidR="00B954DB" w:rsidRPr="00315186" w:rsidRDefault="00B954DB" w:rsidP="00E96EBE">
      <w:r>
        <w:t>Fig 2-</w:t>
      </w:r>
      <w:r w:rsidR="00A66C1D">
        <w:t xml:space="preserve"> </w:t>
      </w:r>
      <w:r w:rsidR="00A66C1D" w:rsidRPr="003125EB">
        <w:rPr>
          <w:rFonts w:ascii="Arial" w:eastAsia="Times New Roman" w:hAnsi="Arial" w:cs="Arial"/>
          <w:b/>
          <w:bCs/>
          <w:kern w:val="0"/>
          <w:sz w:val="22"/>
          <w:szCs w:val="20"/>
          <w14:ligatures w14:val="none"/>
        </w:rPr>
        <w:t>Student Satisfaction</w:t>
      </w:r>
      <w:r w:rsidR="00A66C1D">
        <w:rPr>
          <w:rFonts w:ascii="Arial" w:eastAsia="Times New Roman" w:hAnsi="Arial" w:cs="Arial"/>
          <w:b/>
          <w:bCs/>
          <w:kern w:val="0"/>
          <w:sz w:val="22"/>
          <w:szCs w:val="20"/>
          <w14:ligatures w14:val="none"/>
        </w:rPr>
        <w:t xml:space="preserve"> levels </w:t>
      </w:r>
    </w:p>
    <w:p w14:paraId="624A1FC4" w14:textId="77777777" w:rsidR="00BC22D9" w:rsidRPr="007115C0" w:rsidRDefault="00BC22D9" w:rsidP="00BC22D9">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4. Conclusion</w:t>
      </w:r>
    </w:p>
    <w:p w14:paraId="50B17DB1" w14:textId="77777777" w:rsidR="00BC22D9" w:rsidRPr="007115C0" w:rsidRDefault="00BC22D9" w:rsidP="00BC22D9">
      <w:pPr>
        <w:keepNext/>
        <w:jc w:val="both"/>
        <w:rPr>
          <w:rFonts w:ascii="Arial" w:eastAsia="Times New Roman" w:hAnsi="Arial" w:cs="Arial"/>
          <w:b/>
          <w:caps/>
          <w:kern w:val="0"/>
          <w:sz w:val="22"/>
          <w:szCs w:val="20"/>
          <w:lang w:val="en-US"/>
          <w14:ligatures w14:val="none"/>
        </w:rPr>
      </w:pPr>
    </w:p>
    <w:p w14:paraId="145C0485" w14:textId="77777777" w:rsidR="006F5864" w:rsidRDefault="006F5864" w:rsidP="006F5864">
      <w:pPr>
        <w:jc w:val="both"/>
        <w:rPr>
          <w:rFonts w:ascii="Arial" w:hAnsi="Arial" w:cs="Arial"/>
          <w:sz w:val="22"/>
        </w:rPr>
      </w:pPr>
      <w:r w:rsidRPr="006F5864">
        <w:rPr>
          <w:rFonts w:ascii="Arial" w:hAnsi="Arial" w:cs="Arial"/>
          <w:sz w:val="22"/>
        </w:rPr>
        <w:t>The results of this investigation indicate that undergraduate students typically demonstrate a high degree of satisfaction with their research experiences across various universities. The Colleges of Teacher Education, Business Administration, Computer Studies, Engineering, and Architecture consistently achieved good scores across all study disciplines, indicating effective research mentorship, organized panel interactions, and strong support systems. In contrast, the College of Criminal Justice Education demonstrated low satisfaction, suggesting possible deficiencies in infrastructure, mentorship, and resource availability.</w:t>
      </w:r>
    </w:p>
    <w:p w14:paraId="76BB641A" w14:textId="6C8ABDB2" w:rsidR="006F5864" w:rsidRPr="006F5864" w:rsidRDefault="006F5864" w:rsidP="006F5864">
      <w:pPr>
        <w:jc w:val="both"/>
        <w:rPr>
          <w:rFonts w:ascii="Arial" w:hAnsi="Arial" w:cs="Arial"/>
          <w:sz w:val="22"/>
        </w:rPr>
      </w:pPr>
      <w:r w:rsidRPr="006F5864">
        <w:rPr>
          <w:rFonts w:ascii="Arial" w:hAnsi="Arial" w:cs="Arial"/>
          <w:sz w:val="22"/>
        </w:rPr>
        <w:br/>
        <w:t>The study highlights the essential importance of teacher mentorship, panel discussions, and collaborative learning in improving student research satisfaction. This is consistent with the literature (Kuh, 2008; Linn et al., 2015; Healey et al., 2020), which underscores that active research experiences enhance students' academic achievement, professional readiness, and personal development. Moreover, guaranteeing equitable access to resources, augmenting collaborative chances, and optimizing administrative processes can elevate the entire research experience.</w:t>
      </w:r>
      <w:r w:rsidRPr="006F5864">
        <w:rPr>
          <w:rFonts w:ascii="Arial" w:hAnsi="Arial" w:cs="Arial"/>
          <w:sz w:val="22"/>
        </w:rPr>
        <w:br/>
      </w:r>
      <w:r w:rsidRPr="006F5864">
        <w:rPr>
          <w:rFonts w:ascii="Arial" w:hAnsi="Arial" w:cs="Arial"/>
          <w:sz w:val="22"/>
        </w:rPr>
        <w:br/>
        <w:t>Institutions seeking to cultivate a culture of inquiry can achieve significant gains through data-informed targeted enhancements, as demonstrated by this study. Improving regions of poor satisfaction might enhance student retention and academic achievement, hence reinforcing institutional research initiatives across all disciplines.</w:t>
      </w:r>
    </w:p>
    <w:p w14:paraId="20E0F6F9" w14:textId="77777777" w:rsidR="00E96EBE" w:rsidRPr="00315186" w:rsidRDefault="00E96EBE" w:rsidP="00E96EBE"/>
    <w:p w14:paraId="5C00DD7B" w14:textId="77777777" w:rsidR="00E96EBE" w:rsidRDefault="00E96EBE" w:rsidP="00E96EBE">
      <w:pPr>
        <w:pStyle w:val="ReferHead"/>
        <w:spacing w:after="0"/>
        <w:jc w:val="both"/>
        <w:rPr>
          <w:rFonts w:ascii="Arial" w:hAnsi="Arial" w:cs="Arial"/>
        </w:rPr>
      </w:pPr>
    </w:p>
    <w:p w14:paraId="1527A46B" w14:textId="77777777" w:rsidR="00342197" w:rsidRPr="00786D36" w:rsidRDefault="00342197" w:rsidP="00E96EBE">
      <w:pPr>
        <w:pStyle w:val="ReferHead"/>
        <w:spacing w:after="0"/>
        <w:jc w:val="both"/>
        <w:rPr>
          <w:rFonts w:ascii="Arial" w:hAnsi="Arial" w:cs="Arial"/>
        </w:rPr>
      </w:pPr>
    </w:p>
    <w:p w14:paraId="65578477"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References</w:t>
      </w:r>
    </w:p>
    <w:p w14:paraId="6981C011" w14:textId="77777777" w:rsidR="007115C0" w:rsidRDefault="007115C0" w:rsidP="007115C0">
      <w:pPr>
        <w:jc w:val="both"/>
        <w:rPr>
          <w:rFonts w:ascii="Helvetica" w:eastAsia="Times New Roman" w:hAnsi="Helvetica" w:cs="Times New Roman"/>
          <w:kern w:val="0"/>
          <w:sz w:val="20"/>
          <w:szCs w:val="20"/>
          <w:lang w:val="en-US"/>
          <w14:ligatures w14:val="none"/>
        </w:rPr>
      </w:pPr>
    </w:p>
    <w:p w14:paraId="539FB236"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Adams, R., &amp; Forrester, D. (2022). Enhancing undergraduate research: Faculty capacity-building and structured mentorship. </w:t>
      </w:r>
      <w:r w:rsidRPr="00946798">
        <w:rPr>
          <w:rFonts w:ascii="Helvetica" w:eastAsia="Times New Roman" w:hAnsi="Helvetica" w:cs="Helvetica"/>
          <w:i/>
          <w:iCs/>
          <w:color w:val="000000"/>
          <w:kern w:val="0"/>
          <w:sz w:val="20"/>
          <w:szCs w:val="20"/>
          <w:shd w:val="clear" w:color="auto" w:fill="FFFFFF"/>
          <w14:ligatures w14:val="none"/>
        </w:rPr>
        <w:t>Journal of Higher Education Research and Development</w:t>
      </w:r>
      <w:r w:rsidRPr="00946798">
        <w:rPr>
          <w:rFonts w:ascii="Helvetica" w:eastAsia="Times New Roman" w:hAnsi="Helvetica" w:cs="Helvetica"/>
          <w:color w:val="000000"/>
          <w:kern w:val="0"/>
          <w:sz w:val="20"/>
          <w:szCs w:val="20"/>
          <w:shd w:val="clear" w:color="auto" w:fill="FFFFFF"/>
          <w14:ligatures w14:val="none"/>
        </w:rPr>
        <w:t>, 41(3), 345–360. https://doi.org/10.1080/07294360.2022.1989247</w:t>
      </w:r>
    </w:p>
    <w:p w14:paraId="3084B276"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Alvior, M. G. (2021). Bridging the gap: Research implementation and challenges in Philippine HEIs. </w:t>
      </w:r>
      <w:r w:rsidRPr="00946798">
        <w:rPr>
          <w:rFonts w:ascii="Helvetica" w:eastAsia="Times New Roman" w:hAnsi="Helvetica" w:cs="Helvetica"/>
          <w:i/>
          <w:iCs/>
          <w:color w:val="000000"/>
          <w:kern w:val="0"/>
          <w:sz w:val="20"/>
          <w:szCs w:val="20"/>
          <w:shd w:val="clear" w:color="auto" w:fill="FFFFFF"/>
          <w14:ligatures w14:val="none"/>
        </w:rPr>
        <w:t>International Journal of Educational Development</w:t>
      </w:r>
      <w:r w:rsidRPr="00946798">
        <w:rPr>
          <w:rFonts w:ascii="Helvetica" w:eastAsia="Times New Roman" w:hAnsi="Helvetica" w:cs="Helvetica"/>
          <w:color w:val="000000"/>
          <w:kern w:val="0"/>
          <w:sz w:val="20"/>
          <w:szCs w:val="20"/>
          <w:shd w:val="clear" w:color="auto" w:fill="FFFFFF"/>
          <w14:ligatures w14:val="none"/>
        </w:rPr>
        <w:t>, 84, 102440. https://doi.org/10.1016/j.ijedudev.2021.102440</w:t>
      </w:r>
    </w:p>
    <w:p w14:paraId="6DBF2178"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Bang, J., &amp; Montgomery, L. (2023). Broadening participation in undergraduate research: Lessons from humanities programs. </w:t>
      </w:r>
      <w:r w:rsidRPr="00946798">
        <w:rPr>
          <w:rFonts w:ascii="Helvetica" w:eastAsia="Times New Roman" w:hAnsi="Helvetica" w:cs="Helvetica"/>
          <w:i/>
          <w:iCs/>
          <w:color w:val="000000"/>
          <w:kern w:val="0"/>
          <w:sz w:val="20"/>
          <w:szCs w:val="20"/>
          <w:shd w:val="clear" w:color="auto" w:fill="FFFFFF"/>
          <w14:ligatures w14:val="none"/>
        </w:rPr>
        <w:t>Teaching in Higher Education</w:t>
      </w:r>
      <w:r w:rsidRPr="00946798">
        <w:rPr>
          <w:rFonts w:ascii="Helvetica" w:eastAsia="Times New Roman" w:hAnsi="Helvetica" w:cs="Helvetica"/>
          <w:color w:val="000000"/>
          <w:kern w:val="0"/>
          <w:sz w:val="20"/>
          <w:szCs w:val="20"/>
          <w:shd w:val="clear" w:color="auto" w:fill="FFFFFF"/>
          <w14:ligatures w14:val="none"/>
        </w:rPr>
        <w:t>, 28(1), 1–15. https://doi.org/10.1080/13562517.2022.2106522</w:t>
      </w:r>
    </w:p>
    <w:p w14:paraId="5873F92B"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Bernardo, A. B. I., Reyes, M. E. S., &amp; Villanueva, A. S. (2022). Philippine higher education in transition: Student agency, global shifts, and the research imperative. </w:t>
      </w:r>
      <w:r w:rsidRPr="00946798">
        <w:rPr>
          <w:rFonts w:ascii="Helvetica" w:eastAsia="Times New Roman" w:hAnsi="Helvetica" w:cs="Helvetica"/>
          <w:i/>
          <w:iCs/>
          <w:color w:val="000000"/>
          <w:kern w:val="0"/>
          <w:sz w:val="20"/>
          <w:szCs w:val="20"/>
          <w:shd w:val="clear" w:color="auto" w:fill="FFFFFF"/>
          <w14:ligatures w14:val="none"/>
        </w:rPr>
        <w:t>Asia Pacific Education Review</w:t>
      </w:r>
      <w:r w:rsidRPr="00946798">
        <w:rPr>
          <w:rFonts w:ascii="Helvetica" w:eastAsia="Times New Roman" w:hAnsi="Helvetica" w:cs="Helvetica"/>
          <w:color w:val="000000"/>
          <w:kern w:val="0"/>
          <w:sz w:val="20"/>
          <w:szCs w:val="20"/>
          <w:shd w:val="clear" w:color="auto" w:fill="FFFFFF"/>
          <w14:ligatures w14:val="none"/>
        </w:rPr>
        <w:t>, 23(4), 529–543. https://doi.org/10.1007/s12564-022-09773-3</w:t>
      </w:r>
    </w:p>
    <w:p w14:paraId="742ADB22"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Brew, A., &amp; Saunders, C. (2020). Making research education inclusive: Institutional strategies for supporting diverse students. </w:t>
      </w:r>
      <w:r w:rsidRPr="00946798">
        <w:rPr>
          <w:rFonts w:ascii="Helvetica" w:eastAsia="Times New Roman" w:hAnsi="Helvetica" w:cs="Helvetica"/>
          <w:i/>
          <w:iCs/>
          <w:color w:val="000000"/>
          <w:kern w:val="0"/>
          <w:sz w:val="20"/>
          <w:szCs w:val="20"/>
          <w:shd w:val="clear" w:color="auto" w:fill="FFFFFF"/>
          <w14:ligatures w14:val="none"/>
        </w:rPr>
        <w:t>Studies in Higher Education</w:t>
      </w:r>
      <w:r w:rsidRPr="00946798">
        <w:rPr>
          <w:rFonts w:ascii="Helvetica" w:eastAsia="Times New Roman" w:hAnsi="Helvetica" w:cs="Helvetica"/>
          <w:color w:val="000000"/>
          <w:kern w:val="0"/>
          <w:sz w:val="20"/>
          <w:szCs w:val="20"/>
          <w:shd w:val="clear" w:color="auto" w:fill="FFFFFF"/>
          <w14:ligatures w14:val="none"/>
        </w:rPr>
        <w:t>, 45(12), 2334–2347. https://doi.org/10.1080/03075079.2019.1610859</w:t>
      </w:r>
    </w:p>
    <w:p w14:paraId="2B259280"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Castillo, A. L., &amp; Ancheta, C. J. (2020). Revitalizing research culture in Philippine higher education: Issues and challenges. </w:t>
      </w:r>
      <w:r w:rsidRPr="00946798">
        <w:rPr>
          <w:rFonts w:ascii="Helvetica" w:eastAsia="Times New Roman" w:hAnsi="Helvetica" w:cs="Helvetica"/>
          <w:i/>
          <w:iCs/>
          <w:color w:val="000000"/>
          <w:kern w:val="0"/>
          <w:sz w:val="20"/>
          <w:szCs w:val="20"/>
          <w:shd w:val="clear" w:color="auto" w:fill="FFFFFF"/>
          <w14:ligatures w14:val="none"/>
        </w:rPr>
        <w:t>Philippine Journal of Education, Culture and Society</w:t>
      </w:r>
      <w:r w:rsidRPr="00946798">
        <w:rPr>
          <w:rFonts w:ascii="Helvetica" w:eastAsia="Times New Roman" w:hAnsi="Helvetica" w:cs="Helvetica"/>
          <w:color w:val="000000"/>
          <w:kern w:val="0"/>
          <w:sz w:val="20"/>
          <w:szCs w:val="20"/>
          <w:shd w:val="clear" w:color="auto" w:fill="FFFFFF"/>
          <w14:ligatures w14:val="none"/>
        </w:rPr>
        <w:t>, 18(1), 45–58.</w:t>
      </w:r>
    </w:p>
    <w:p w14:paraId="5B7208BF"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CHED. (2019). </w:t>
      </w:r>
      <w:r w:rsidRPr="00946798">
        <w:rPr>
          <w:rFonts w:ascii="Helvetica" w:eastAsia="Times New Roman" w:hAnsi="Helvetica" w:cs="Helvetica"/>
          <w:i/>
          <w:iCs/>
          <w:color w:val="000000"/>
          <w:kern w:val="0"/>
          <w:sz w:val="20"/>
          <w:szCs w:val="20"/>
          <w:shd w:val="clear" w:color="auto" w:fill="FFFFFF"/>
          <w14:ligatures w14:val="none"/>
        </w:rPr>
        <w:t>CHED Memorandum Order No. 15, series of 2019: Policies and guidelines for the conduct of research among undergraduate students</w:t>
      </w:r>
      <w:r w:rsidRPr="00946798">
        <w:rPr>
          <w:rFonts w:ascii="Helvetica" w:eastAsia="Times New Roman" w:hAnsi="Helvetica" w:cs="Helvetica"/>
          <w:color w:val="000000"/>
          <w:kern w:val="0"/>
          <w:sz w:val="20"/>
          <w:szCs w:val="20"/>
          <w:shd w:val="clear" w:color="auto" w:fill="FFFFFF"/>
          <w14:ligatures w14:val="none"/>
        </w:rPr>
        <w:t xml:space="preserve">. Commission on Higher Education. </w:t>
      </w:r>
      <w:hyperlink r:id="rId15" w:tgtFrame="_new" w:history="1">
        <w:r w:rsidRPr="00946798">
          <w:rPr>
            <w:rStyle w:val="Hyperlink"/>
            <w:rFonts w:ascii="Helvetica" w:eastAsia="Times New Roman" w:hAnsi="Helvetica" w:cs="Helvetica"/>
            <w:kern w:val="0"/>
            <w:sz w:val="20"/>
            <w:szCs w:val="20"/>
            <w:shd w:val="clear" w:color="auto" w:fill="FFFFFF"/>
            <w14:ligatures w14:val="none"/>
          </w:rPr>
          <w:t>https://ched.gov.ph</w:t>
        </w:r>
      </w:hyperlink>
    </w:p>
    <w:p w14:paraId="40C675D5"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Council on Undergraduate Research. (2020). </w:t>
      </w:r>
      <w:r w:rsidRPr="00946798">
        <w:rPr>
          <w:rFonts w:ascii="Helvetica" w:eastAsia="Times New Roman" w:hAnsi="Helvetica" w:cs="Helvetica"/>
          <w:i/>
          <w:iCs/>
          <w:color w:val="000000"/>
          <w:kern w:val="0"/>
          <w:sz w:val="20"/>
          <w:szCs w:val="20"/>
          <w:shd w:val="clear" w:color="auto" w:fill="FFFFFF"/>
          <w14:ligatures w14:val="none"/>
        </w:rPr>
        <w:t>Trends in undergraduate research 2020</w:t>
      </w:r>
      <w:r w:rsidRPr="00946798">
        <w:rPr>
          <w:rFonts w:ascii="Helvetica" w:eastAsia="Times New Roman" w:hAnsi="Helvetica" w:cs="Helvetica"/>
          <w:color w:val="000000"/>
          <w:kern w:val="0"/>
          <w:sz w:val="20"/>
          <w:szCs w:val="20"/>
          <w:shd w:val="clear" w:color="auto" w:fill="FFFFFF"/>
          <w14:ligatures w14:val="none"/>
        </w:rPr>
        <w:t xml:space="preserve">. </w:t>
      </w:r>
      <w:hyperlink r:id="rId16" w:tgtFrame="_new" w:history="1">
        <w:r w:rsidRPr="00946798">
          <w:rPr>
            <w:rStyle w:val="Hyperlink"/>
            <w:rFonts w:ascii="Helvetica" w:eastAsia="Times New Roman" w:hAnsi="Helvetica" w:cs="Helvetica"/>
            <w:kern w:val="0"/>
            <w:sz w:val="20"/>
            <w:szCs w:val="20"/>
            <w:shd w:val="clear" w:color="auto" w:fill="FFFFFF"/>
            <w14:ligatures w14:val="none"/>
          </w:rPr>
          <w:t>https://www.cur.org</w:t>
        </w:r>
      </w:hyperlink>
    </w:p>
    <w:p w14:paraId="18A33C2E"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Delgado, M. J., &amp; Weidman, J. C. (2012). Challenges of research capacity-building in developing country higher education: A case study. </w:t>
      </w:r>
      <w:r w:rsidRPr="00946798">
        <w:rPr>
          <w:rFonts w:ascii="Helvetica" w:eastAsia="Times New Roman" w:hAnsi="Helvetica" w:cs="Helvetica"/>
          <w:i/>
          <w:iCs/>
          <w:color w:val="000000"/>
          <w:kern w:val="0"/>
          <w:sz w:val="20"/>
          <w:szCs w:val="20"/>
          <w:shd w:val="clear" w:color="auto" w:fill="FFFFFF"/>
          <w14:ligatures w14:val="none"/>
        </w:rPr>
        <w:t>Journal of International and Comparative Education</w:t>
      </w:r>
      <w:r w:rsidRPr="00946798">
        <w:rPr>
          <w:rFonts w:ascii="Helvetica" w:eastAsia="Times New Roman" w:hAnsi="Helvetica" w:cs="Helvetica"/>
          <w:color w:val="000000"/>
          <w:kern w:val="0"/>
          <w:sz w:val="20"/>
          <w:szCs w:val="20"/>
          <w:shd w:val="clear" w:color="auto" w:fill="FFFFFF"/>
          <w14:ligatures w14:val="none"/>
        </w:rPr>
        <w:t>, 1(1), 45–59.</w:t>
      </w:r>
    </w:p>
    <w:p w14:paraId="49487558"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Frantz, J., Wathen, C. N., &amp; Heale, R. (2017). Undergraduate research in the social sciences: Development of scholarly identity and competence. </w:t>
      </w:r>
      <w:r w:rsidRPr="00946798">
        <w:rPr>
          <w:rFonts w:ascii="Helvetica" w:eastAsia="Times New Roman" w:hAnsi="Helvetica" w:cs="Helvetica"/>
          <w:i/>
          <w:iCs/>
          <w:color w:val="000000"/>
          <w:kern w:val="0"/>
          <w:sz w:val="20"/>
          <w:szCs w:val="20"/>
          <w:shd w:val="clear" w:color="auto" w:fill="FFFFFF"/>
          <w14:ligatures w14:val="none"/>
        </w:rPr>
        <w:t>Innovative Higher Education</w:t>
      </w:r>
      <w:r w:rsidRPr="00946798">
        <w:rPr>
          <w:rFonts w:ascii="Helvetica" w:eastAsia="Times New Roman" w:hAnsi="Helvetica" w:cs="Helvetica"/>
          <w:color w:val="000000"/>
          <w:kern w:val="0"/>
          <w:sz w:val="20"/>
          <w:szCs w:val="20"/>
          <w:shd w:val="clear" w:color="auto" w:fill="FFFFFF"/>
          <w14:ligatures w14:val="none"/>
        </w:rPr>
        <w:t>, 42(4), 329–342. https://doi.org/10.1007/s10755-017-9395-y</w:t>
      </w:r>
    </w:p>
    <w:p w14:paraId="7BCA997E"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Garcia, R. B., Villanueva, R. M., &amp; Santos, E. C. (2022). Digital mentorship in Philippine undergraduate research: A pandemic case study. </w:t>
      </w:r>
      <w:r w:rsidRPr="00946798">
        <w:rPr>
          <w:rFonts w:ascii="Helvetica" w:eastAsia="Times New Roman" w:hAnsi="Helvetica" w:cs="Helvetica"/>
          <w:i/>
          <w:iCs/>
          <w:color w:val="000000"/>
          <w:kern w:val="0"/>
          <w:sz w:val="20"/>
          <w:szCs w:val="20"/>
          <w:shd w:val="clear" w:color="auto" w:fill="FFFFFF"/>
          <w14:ligatures w14:val="none"/>
        </w:rPr>
        <w:t>Journal of Educational Technology and Online Learning</w:t>
      </w:r>
      <w:r w:rsidRPr="00946798">
        <w:rPr>
          <w:rFonts w:ascii="Helvetica" w:eastAsia="Times New Roman" w:hAnsi="Helvetica" w:cs="Helvetica"/>
          <w:color w:val="000000"/>
          <w:kern w:val="0"/>
          <w:sz w:val="20"/>
          <w:szCs w:val="20"/>
          <w:shd w:val="clear" w:color="auto" w:fill="FFFFFF"/>
          <w14:ligatures w14:val="none"/>
        </w:rPr>
        <w:t>, 5(2), 112–129.</w:t>
      </w:r>
    </w:p>
    <w:p w14:paraId="266F5F86"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Gonzales, J. B., Ramos, P. M., &amp; Lardizabal, A. S. (2023). Institutional factors affecting undergraduate research productivity in the Philippines. </w:t>
      </w:r>
      <w:r w:rsidRPr="00946798">
        <w:rPr>
          <w:rFonts w:ascii="Helvetica" w:eastAsia="Times New Roman" w:hAnsi="Helvetica" w:cs="Helvetica"/>
          <w:i/>
          <w:iCs/>
          <w:color w:val="000000"/>
          <w:kern w:val="0"/>
          <w:sz w:val="20"/>
          <w:szCs w:val="20"/>
          <w:shd w:val="clear" w:color="auto" w:fill="FFFFFF"/>
          <w14:ligatures w14:val="none"/>
        </w:rPr>
        <w:t>Asia Pacific Education Review</w:t>
      </w:r>
      <w:r w:rsidRPr="00946798">
        <w:rPr>
          <w:rFonts w:ascii="Helvetica" w:eastAsia="Times New Roman" w:hAnsi="Helvetica" w:cs="Helvetica"/>
          <w:color w:val="000000"/>
          <w:kern w:val="0"/>
          <w:sz w:val="20"/>
          <w:szCs w:val="20"/>
          <w:shd w:val="clear" w:color="auto" w:fill="FFFFFF"/>
          <w14:ligatures w14:val="none"/>
        </w:rPr>
        <w:t>, 24(1), 61–77. https://doi.org/10.1007/s12564-023-09876-1</w:t>
      </w:r>
    </w:p>
    <w:p w14:paraId="19B06F20"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Hako, H., &amp; Shikongo, I. (2019). Student research completion delays: Causes and institutional responses. </w:t>
      </w:r>
      <w:r w:rsidRPr="00946798">
        <w:rPr>
          <w:rFonts w:ascii="Helvetica" w:eastAsia="Times New Roman" w:hAnsi="Helvetica" w:cs="Helvetica"/>
          <w:i/>
          <w:iCs/>
          <w:color w:val="000000"/>
          <w:kern w:val="0"/>
          <w:sz w:val="20"/>
          <w:szCs w:val="20"/>
          <w:shd w:val="clear" w:color="auto" w:fill="FFFFFF"/>
          <w14:ligatures w14:val="none"/>
        </w:rPr>
        <w:t>International Journal of Higher Education</w:t>
      </w:r>
      <w:r w:rsidRPr="00946798">
        <w:rPr>
          <w:rFonts w:ascii="Helvetica" w:eastAsia="Times New Roman" w:hAnsi="Helvetica" w:cs="Helvetica"/>
          <w:color w:val="000000"/>
          <w:kern w:val="0"/>
          <w:sz w:val="20"/>
          <w:szCs w:val="20"/>
          <w:shd w:val="clear" w:color="auto" w:fill="FFFFFF"/>
          <w14:ligatures w14:val="none"/>
        </w:rPr>
        <w:t>, 8(5), 104–113. https://doi.org/10.5430/ijhe.v8n5p104</w:t>
      </w:r>
    </w:p>
    <w:p w14:paraId="20A3D121"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Healey, M., &amp; Jenkins, A. (2009). </w:t>
      </w:r>
      <w:r w:rsidRPr="00946798">
        <w:rPr>
          <w:rFonts w:ascii="Helvetica" w:eastAsia="Times New Roman" w:hAnsi="Helvetica" w:cs="Helvetica"/>
          <w:i/>
          <w:iCs/>
          <w:color w:val="000000"/>
          <w:kern w:val="0"/>
          <w:sz w:val="20"/>
          <w:szCs w:val="20"/>
          <w:shd w:val="clear" w:color="auto" w:fill="FFFFFF"/>
          <w14:ligatures w14:val="none"/>
        </w:rPr>
        <w:t>Developing undergraduate research and inquiry</w:t>
      </w:r>
      <w:r w:rsidRPr="00946798">
        <w:rPr>
          <w:rFonts w:ascii="Helvetica" w:eastAsia="Times New Roman" w:hAnsi="Helvetica" w:cs="Helvetica"/>
          <w:color w:val="000000"/>
          <w:kern w:val="0"/>
          <w:sz w:val="20"/>
          <w:szCs w:val="20"/>
          <w:shd w:val="clear" w:color="auto" w:fill="FFFFFF"/>
          <w14:ligatures w14:val="none"/>
        </w:rPr>
        <w:t>. Higher Education Academy.</w:t>
      </w:r>
    </w:p>
    <w:p w14:paraId="479AA2CC"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Healey, M., Flint, A., &amp; Harrington, K. (2020). </w:t>
      </w:r>
      <w:r w:rsidRPr="00946798">
        <w:rPr>
          <w:rFonts w:ascii="Helvetica" w:eastAsia="Times New Roman" w:hAnsi="Helvetica" w:cs="Helvetica"/>
          <w:i/>
          <w:iCs/>
          <w:color w:val="000000"/>
          <w:kern w:val="0"/>
          <w:sz w:val="20"/>
          <w:szCs w:val="20"/>
          <w:shd w:val="clear" w:color="auto" w:fill="FFFFFF"/>
          <w14:ligatures w14:val="none"/>
        </w:rPr>
        <w:t>Students as partners in learning and teaching in higher education: A guide for faculty</w:t>
      </w:r>
      <w:r w:rsidRPr="00946798">
        <w:rPr>
          <w:rFonts w:ascii="Helvetica" w:eastAsia="Times New Roman" w:hAnsi="Helvetica" w:cs="Helvetica"/>
          <w:color w:val="000000"/>
          <w:kern w:val="0"/>
          <w:sz w:val="20"/>
          <w:szCs w:val="20"/>
          <w:shd w:val="clear" w:color="auto" w:fill="FFFFFF"/>
          <w14:ligatures w14:val="none"/>
        </w:rPr>
        <w:t>. Routledge.</w:t>
      </w:r>
    </w:p>
    <w:p w14:paraId="126454B6"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lastRenderedPageBreak/>
        <w:t xml:space="preserve">Hunter, A.-B., Laursen, S. L., &amp; Seymour, E. (2007). Becoming a scientist: The role of undergraduate research in students’ cognitive, personal, and professional development. </w:t>
      </w:r>
      <w:r w:rsidRPr="00946798">
        <w:rPr>
          <w:rFonts w:ascii="Helvetica" w:eastAsia="Times New Roman" w:hAnsi="Helvetica" w:cs="Helvetica"/>
          <w:i/>
          <w:iCs/>
          <w:color w:val="000000"/>
          <w:kern w:val="0"/>
          <w:sz w:val="20"/>
          <w:szCs w:val="20"/>
          <w:shd w:val="clear" w:color="auto" w:fill="FFFFFF"/>
          <w14:ligatures w14:val="none"/>
        </w:rPr>
        <w:t>Science Education</w:t>
      </w:r>
      <w:r w:rsidRPr="00946798">
        <w:rPr>
          <w:rFonts w:ascii="Helvetica" w:eastAsia="Times New Roman" w:hAnsi="Helvetica" w:cs="Helvetica"/>
          <w:color w:val="000000"/>
          <w:kern w:val="0"/>
          <w:sz w:val="20"/>
          <w:szCs w:val="20"/>
          <w:shd w:val="clear" w:color="auto" w:fill="FFFFFF"/>
          <w14:ligatures w14:val="none"/>
        </w:rPr>
        <w:t xml:space="preserve">, 91(1), 36–74. </w:t>
      </w:r>
      <w:hyperlink r:id="rId17" w:tgtFrame="_new" w:history="1">
        <w:r w:rsidRPr="00946798">
          <w:rPr>
            <w:rStyle w:val="Hyperlink"/>
            <w:rFonts w:ascii="Helvetica" w:eastAsia="Times New Roman" w:hAnsi="Helvetica" w:cs="Helvetica"/>
            <w:kern w:val="0"/>
            <w:sz w:val="20"/>
            <w:szCs w:val="20"/>
            <w:shd w:val="clear" w:color="auto" w:fill="FFFFFF"/>
            <w14:ligatures w14:val="none"/>
          </w:rPr>
          <w:t>https://doi.org/10.1002/sce.20173</w:t>
        </w:r>
      </w:hyperlink>
    </w:p>
    <w:p w14:paraId="2E129379"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Kuh, G. D. (2008). </w:t>
      </w:r>
      <w:r w:rsidRPr="00946798">
        <w:rPr>
          <w:rFonts w:ascii="Helvetica" w:eastAsia="Times New Roman" w:hAnsi="Helvetica" w:cs="Helvetica"/>
          <w:i/>
          <w:iCs/>
          <w:color w:val="000000"/>
          <w:kern w:val="0"/>
          <w:sz w:val="20"/>
          <w:szCs w:val="20"/>
          <w:shd w:val="clear" w:color="auto" w:fill="FFFFFF"/>
          <w14:ligatures w14:val="none"/>
        </w:rPr>
        <w:t>High-impact educational practices: What they are, who has access to them, and why they matter</w:t>
      </w:r>
      <w:r w:rsidRPr="00946798">
        <w:rPr>
          <w:rFonts w:ascii="Helvetica" w:eastAsia="Times New Roman" w:hAnsi="Helvetica" w:cs="Helvetica"/>
          <w:color w:val="000000"/>
          <w:kern w:val="0"/>
          <w:sz w:val="20"/>
          <w:szCs w:val="20"/>
          <w:shd w:val="clear" w:color="auto" w:fill="FFFFFF"/>
          <w14:ligatures w14:val="none"/>
        </w:rPr>
        <w:t>. AAC&amp;U.</w:t>
      </w:r>
    </w:p>
    <w:p w14:paraId="19B05C21"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Lee, H., &amp; Ahn, M. (2022). Structuring undergraduate research programs for greater engagement. </w:t>
      </w:r>
      <w:r w:rsidRPr="00946798">
        <w:rPr>
          <w:rFonts w:ascii="Helvetica" w:eastAsia="Times New Roman" w:hAnsi="Helvetica" w:cs="Helvetica"/>
          <w:i/>
          <w:iCs/>
          <w:color w:val="000000"/>
          <w:kern w:val="0"/>
          <w:sz w:val="20"/>
          <w:szCs w:val="20"/>
          <w:shd w:val="clear" w:color="auto" w:fill="FFFFFF"/>
          <w14:ligatures w14:val="none"/>
        </w:rPr>
        <w:t>Higher Education Studies</w:t>
      </w:r>
      <w:r w:rsidRPr="00946798">
        <w:rPr>
          <w:rFonts w:ascii="Helvetica" w:eastAsia="Times New Roman" w:hAnsi="Helvetica" w:cs="Helvetica"/>
          <w:color w:val="000000"/>
          <w:kern w:val="0"/>
          <w:sz w:val="20"/>
          <w:szCs w:val="20"/>
          <w:shd w:val="clear" w:color="auto" w:fill="FFFFFF"/>
          <w14:ligatures w14:val="none"/>
        </w:rPr>
        <w:t>, 12(2), 55–63. https://doi.org/10.5539/hes.v12n2p55</w:t>
      </w:r>
    </w:p>
    <w:p w14:paraId="1DCB294B"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Linn, M. C., Palmer, E., </w:t>
      </w:r>
      <w:proofErr w:type="spellStart"/>
      <w:r w:rsidRPr="00946798">
        <w:rPr>
          <w:rFonts w:ascii="Helvetica" w:eastAsia="Times New Roman" w:hAnsi="Helvetica" w:cs="Helvetica"/>
          <w:color w:val="000000"/>
          <w:kern w:val="0"/>
          <w:sz w:val="20"/>
          <w:szCs w:val="20"/>
          <w:shd w:val="clear" w:color="auto" w:fill="FFFFFF"/>
          <w14:ligatures w14:val="none"/>
        </w:rPr>
        <w:t>Baranger</w:t>
      </w:r>
      <w:proofErr w:type="spellEnd"/>
      <w:r w:rsidRPr="00946798">
        <w:rPr>
          <w:rFonts w:ascii="Helvetica" w:eastAsia="Times New Roman" w:hAnsi="Helvetica" w:cs="Helvetica"/>
          <w:color w:val="000000"/>
          <w:kern w:val="0"/>
          <w:sz w:val="20"/>
          <w:szCs w:val="20"/>
          <w:shd w:val="clear" w:color="auto" w:fill="FFFFFF"/>
          <w14:ligatures w14:val="none"/>
        </w:rPr>
        <w:t xml:space="preserve">, A., Gerard, E., &amp; Stone, E. (2015). Undergraduate research experiences: Impacts and opportunities. </w:t>
      </w:r>
      <w:r w:rsidRPr="00946798">
        <w:rPr>
          <w:rFonts w:ascii="Helvetica" w:eastAsia="Times New Roman" w:hAnsi="Helvetica" w:cs="Helvetica"/>
          <w:i/>
          <w:iCs/>
          <w:color w:val="000000"/>
          <w:kern w:val="0"/>
          <w:sz w:val="20"/>
          <w:szCs w:val="20"/>
          <w:shd w:val="clear" w:color="auto" w:fill="FFFFFF"/>
          <w14:ligatures w14:val="none"/>
        </w:rPr>
        <w:t>Science</w:t>
      </w:r>
      <w:r w:rsidRPr="00946798">
        <w:rPr>
          <w:rFonts w:ascii="Helvetica" w:eastAsia="Times New Roman" w:hAnsi="Helvetica" w:cs="Helvetica"/>
          <w:color w:val="000000"/>
          <w:kern w:val="0"/>
          <w:sz w:val="20"/>
          <w:szCs w:val="20"/>
          <w:shd w:val="clear" w:color="auto" w:fill="FFFFFF"/>
          <w14:ligatures w14:val="none"/>
        </w:rPr>
        <w:t xml:space="preserve">, 347(6222), 1261757. </w:t>
      </w:r>
      <w:hyperlink r:id="rId18" w:tgtFrame="_new" w:history="1">
        <w:r w:rsidRPr="00946798">
          <w:rPr>
            <w:rStyle w:val="Hyperlink"/>
            <w:rFonts w:ascii="Helvetica" w:eastAsia="Times New Roman" w:hAnsi="Helvetica" w:cs="Helvetica"/>
            <w:kern w:val="0"/>
            <w:sz w:val="20"/>
            <w:szCs w:val="20"/>
            <w:shd w:val="clear" w:color="auto" w:fill="FFFFFF"/>
            <w14:ligatures w14:val="none"/>
          </w:rPr>
          <w:t>https://doi.org/10.1126/science.1261757</w:t>
        </w:r>
      </w:hyperlink>
    </w:p>
    <w:p w14:paraId="15FBEAC8"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Lopez, G. &amp; Rios, A. (2019). Research capacity in Philippine higher education: Current status and challenges. </w:t>
      </w:r>
      <w:r w:rsidRPr="00946798">
        <w:rPr>
          <w:rFonts w:ascii="Helvetica" w:eastAsia="Times New Roman" w:hAnsi="Helvetica" w:cs="Helvetica"/>
          <w:i/>
          <w:iCs/>
          <w:color w:val="000000"/>
          <w:kern w:val="0"/>
          <w:sz w:val="20"/>
          <w:szCs w:val="20"/>
          <w:shd w:val="clear" w:color="auto" w:fill="FFFFFF"/>
          <w14:ligatures w14:val="none"/>
        </w:rPr>
        <w:t>Philippine Social Science Review</w:t>
      </w:r>
      <w:r w:rsidRPr="00946798">
        <w:rPr>
          <w:rFonts w:ascii="Helvetica" w:eastAsia="Times New Roman" w:hAnsi="Helvetica" w:cs="Helvetica"/>
          <w:color w:val="000000"/>
          <w:kern w:val="0"/>
          <w:sz w:val="20"/>
          <w:szCs w:val="20"/>
          <w:shd w:val="clear" w:color="auto" w:fill="FFFFFF"/>
          <w14:ligatures w14:val="none"/>
        </w:rPr>
        <w:t>, 71(1), 91–109.</w:t>
      </w:r>
    </w:p>
    <w:p w14:paraId="7C6AA789"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proofErr w:type="spellStart"/>
      <w:r w:rsidRPr="00946798">
        <w:rPr>
          <w:rFonts w:ascii="Helvetica" w:eastAsia="Times New Roman" w:hAnsi="Helvetica" w:cs="Helvetica"/>
          <w:color w:val="000000"/>
          <w:kern w:val="0"/>
          <w:sz w:val="20"/>
          <w:szCs w:val="20"/>
          <w:shd w:val="clear" w:color="auto" w:fill="FFFFFF"/>
          <w14:ligatures w14:val="none"/>
        </w:rPr>
        <w:t>Lopatto</w:t>
      </w:r>
      <w:proofErr w:type="spellEnd"/>
      <w:r w:rsidRPr="00946798">
        <w:rPr>
          <w:rFonts w:ascii="Helvetica" w:eastAsia="Times New Roman" w:hAnsi="Helvetica" w:cs="Helvetica"/>
          <w:color w:val="000000"/>
          <w:kern w:val="0"/>
          <w:sz w:val="20"/>
          <w:szCs w:val="20"/>
          <w:shd w:val="clear" w:color="auto" w:fill="FFFFFF"/>
          <w14:ligatures w14:val="none"/>
        </w:rPr>
        <w:t xml:space="preserve">, D. (2006). Undergraduate research as a catalyst for liberal learning. </w:t>
      </w:r>
      <w:r w:rsidRPr="00946798">
        <w:rPr>
          <w:rFonts w:ascii="Helvetica" w:eastAsia="Times New Roman" w:hAnsi="Helvetica" w:cs="Helvetica"/>
          <w:i/>
          <w:iCs/>
          <w:color w:val="000000"/>
          <w:kern w:val="0"/>
          <w:sz w:val="20"/>
          <w:szCs w:val="20"/>
          <w:shd w:val="clear" w:color="auto" w:fill="FFFFFF"/>
          <w14:ligatures w14:val="none"/>
        </w:rPr>
        <w:t>Peer Review</w:t>
      </w:r>
      <w:r w:rsidRPr="00946798">
        <w:rPr>
          <w:rFonts w:ascii="Helvetica" w:eastAsia="Times New Roman" w:hAnsi="Helvetica" w:cs="Helvetica"/>
          <w:color w:val="000000"/>
          <w:kern w:val="0"/>
          <w:sz w:val="20"/>
          <w:szCs w:val="20"/>
          <w:shd w:val="clear" w:color="auto" w:fill="FFFFFF"/>
          <w14:ligatures w14:val="none"/>
        </w:rPr>
        <w:t>, 8(1), 22–25.</w:t>
      </w:r>
    </w:p>
    <w:p w14:paraId="22AA2B68"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proofErr w:type="spellStart"/>
      <w:r w:rsidRPr="00946798">
        <w:rPr>
          <w:rFonts w:ascii="Helvetica" w:eastAsia="Times New Roman" w:hAnsi="Helvetica" w:cs="Helvetica"/>
          <w:color w:val="000000"/>
          <w:kern w:val="0"/>
          <w:sz w:val="20"/>
          <w:szCs w:val="20"/>
          <w:shd w:val="clear" w:color="auto" w:fill="FFFFFF"/>
          <w14:ligatures w14:val="none"/>
        </w:rPr>
        <w:t>Mapolisa</w:t>
      </w:r>
      <w:proofErr w:type="spellEnd"/>
      <w:r w:rsidRPr="00946798">
        <w:rPr>
          <w:rFonts w:ascii="Helvetica" w:eastAsia="Times New Roman" w:hAnsi="Helvetica" w:cs="Helvetica"/>
          <w:color w:val="000000"/>
          <w:kern w:val="0"/>
          <w:sz w:val="20"/>
          <w:szCs w:val="20"/>
          <w:shd w:val="clear" w:color="auto" w:fill="FFFFFF"/>
          <w14:ligatures w14:val="none"/>
        </w:rPr>
        <w:t xml:space="preserve">, T., &amp; Mafa, O. (2012). Challenges faced by students in writing research projects at Zimbabwe Open University. </w:t>
      </w:r>
      <w:r w:rsidRPr="00946798">
        <w:rPr>
          <w:rFonts w:ascii="Helvetica" w:eastAsia="Times New Roman" w:hAnsi="Helvetica" w:cs="Helvetica"/>
          <w:i/>
          <w:iCs/>
          <w:color w:val="000000"/>
          <w:kern w:val="0"/>
          <w:sz w:val="20"/>
          <w:szCs w:val="20"/>
          <w:shd w:val="clear" w:color="auto" w:fill="FFFFFF"/>
          <w14:ligatures w14:val="none"/>
        </w:rPr>
        <w:t>International Journal of Asian Social Science</w:t>
      </w:r>
      <w:r w:rsidRPr="00946798">
        <w:rPr>
          <w:rFonts w:ascii="Helvetica" w:eastAsia="Times New Roman" w:hAnsi="Helvetica" w:cs="Helvetica"/>
          <w:color w:val="000000"/>
          <w:kern w:val="0"/>
          <w:sz w:val="20"/>
          <w:szCs w:val="20"/>
          <w:shd w:val="clear" w:color="auto" w:fill="FFFFFF"/>
          <w14:ligatures w14:val="none"/>
        </w:rPr>
        <w:t>, 2(10), 1681–1690.</w:t>
      </w:r>
    </w:p>
    <w:p w14:paraId="754FF956"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Morris, L. (1967). The emergence of research culture in higher education. </w:t>
      </w:r>
      <w:r w:rsidRPr="00946798">
        <w:rPr>
          <w:rFonts w:ascii="Helvetica" w:eastAsia="Times New Roman" w:hAnsi="Helvetica" w:cs="Helvetica"/>
          <w:i/>
          <w:iCs/>
          <w:color w:val="000000"/>
          <w:kern w:val="0"/>
          <w:sz w:val="20"/>
          <w:szCs w:val="20"/>
          <w:shd w:val="clear" w:color="auto" w:fill="FFFFFF"/>
          <w14:ligatures w14:val="none"/>
        </w:rPr>
        <w:t>Educational Forum</w:t>
      </w:r>
      <w:r w:rsidRPr="00946798">
        <w:rPr>
          <w:rFonts w:ascii="Helvetica" w:eastAsia="Times New Roman" w:hAnsi="Helvetica" w:cs="Helvetica"/>
          <w:color w:val="000000"/>
          <w:kern w:val="0"/>
          <w:sz w:val="20"/>
          <w:szCs w:val="20"/>
          <w:shd w:val="clear" w:color="auto" w:fill="FFFFFF"/>
          <w14:ligatures w14:val="none"/>
        </w:rPr>
        <w:t>, 31(3), 261–270.</w:t>
      </w:r>
    </w:p>
    <w:p w14:paraId="181D602A"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Nguyen, T., Le, Q., &amp; Pham, H. (2021). Online research supervision and learning outcomes during COVID-19: A student perspective. </w:t>
      </w:r>
      <w:r w:rsidRPr="00946798">
        <w:rPr>
          <w:rFonts w:ascii="Helvetica" w:eastAsia="Times New Roman" w:hAnsi="Helvetica" w:cs="Helvetica"/>
          <w:i/>
          <w:iCs/>
          <w:color w:val="000000"/>
          <w:kern w:val="0"/>
          <w:sz w:val="20"/>
          <w:szCs w:val="20"/>
          <w:shd w:val="clear" w:color="auto" w:fill="FFFFFF"/>
          <w14:ligatures w14:val="none"/>
        </w:rPr>
        <w:t>Journal of University Teaching and Learning Practice</w:t>
      </w:r>
      <w:r w:rsidRPr="00946798">
        <w:rPr>
          <w:rFonts w:ascii="Helvetica" w:eastAsia="Times New Roman" w:hAnsi="Helvetica" w:cs="Helvetica"/>
          <w:color w:val="000000"/>
          <w:kern w:val="0"/>
          <w:sz w:val="20"/>
          <w:szCs w:val="20"/>
          <w:shd w:val="clear" w:color="auto" w:fill="FFFFFF"/>
          <w14:ligatures w14:val="none"/>
        </w:rPr>
        <w:t>, 18(4), 1–17.</w:t>
      </w:r>
    </w:p>
    <w:p w14:paraId="39FEF1EA"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O'Donnell, M., Lyons, B., &amp; Bentley, P. (2021). Team-based undergraduate research: Building collaborative capacity. </w:t>
      </w:r>
      <w:r w:rsidRPr="00946798">
        <w:rPr>
          <w:rFonts w:ascii="Helvetica" w:eastAsia="Times New Roman" w:hAnsi="Helvetica" w:cs="Helvetica"/>
          <w:i/>
          <w:iCs/>
          <w:color w:val="000000"/>
          <w:kern w:val="0"/>
          <w:sz w:val="20"/>
          <w:szCs w:val="20"/>
          <w:shd w:val="clear" w:color="auto" w:fill="FFFFFF"/>
          <w14:ligatures w14:val="none"/>
        </w:rPr>
        <w:t>Journal of the Scholarship of Teaching and Learning</w:t>
      </w:r>
      <w:r w:rsidRPr="00946798">
        <w:rPr>
          <w:rFonts w:ascii="Helvetica" w:eastAsia="Times New Roman" w:hAnsi="Helvetica" w:cs="Helvetica"/>
          <w:color w:val="000000"/>
          <w:kern w:val="0"/>
          <w:sz w:val="20"/>
          <w:szCs w:val="20"/>
          <w:shd w:val="clear" w:color="auto" w:fill="FFFFFF"/>
          <w14:ligatures w14:val="none"/>
        </w:rPr>
        <w:t>, 21(1), 93–106.</w:t>
      </w:r>
    </w:p>
    <w:p w14:paraId="049382DE"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Shanahan, J. O., Ackley-Holbrook, E., Hall, E., Stewart, K., &amp; Walkington, H. (2015). Ten salient practices of undergraduate research mentors: A review of the literature. </w:t>
      </w:r>
      <w:r w:rsidRPr="00946798">
        <w:rPr>
          <w:rFonts w:ascii="Helvetica" w:eastAsia="Times New Roman" w:hAnsi="Helvetica" w:cs="Helvetica"/>
          <w:i/>
          <w:iCs/>
          <w:color w:val="000000"/>
          <w:kern w:val="0"/>
          <w:sz w:val="20"/>
          <w:szCs w:val="20"/>
          <w:shd w:val="clear" w:color="auto" w:fill="FFFFFF"/>
          <w14:ligatures w14:val="none"/>
        </w:rPr>
        <w:t>Mentoring &amp; Tutoring: Partnership in Learning</w:t>
      </w:r>
      <w:r w:rsidRPr="00946798">
        <w:rPr>
          <w:rFonts w:ascii="Helvetica" w:eastAsia="Times New Roman" w:hAnsi="Helvetica" w:cs="Helvetica"/>
          <w:color w:val="000000"/>
          <w:kern w:val="0"/>
          <w:sz w:val="20"/>
          <w:szCs w:val="20"/>
          <w:shd w:val="clear" w:color="auto" w:fill="FFFFFF"/>
          <w14:ligatures w14:val="none"/>
        </w:rPr>
        <w:t xml:space="preserve">, 23(5), 359–376. </w:t>
      </w:r>
      <w:hyperlink r:id="rId19" w:tgtFrame="_new" w:history="1">
        <w:r w:rsidRPr="00946798">
          <w:rPr>
            <w:rStyle w:val="Hyperlink"/>
            <w:rFonts w:ascii="Helvetica" w:eastAsia="Times New Roman" w:hAnsi="Helvetica" w:cs="Helvetica"/>
            <w:kern w:val="0"/>
            <w:sz w:val="20"/>
            <w:szCs w:val="20"/>
            <w:shd w:val="clear" w:color="auto" w:fill="FFFFFF"/>
            <w14:ligatures w14:val="none"/>
          </w:rPr>
          <w:t>https://doi.org/10.1080/13611267.2015.1126162</w:t>
        </w:r>
      </w:hyperlink>
    </w:p>
    <w:p w14:paraId="2A101E7F"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Thiry, H., Weston, T. J., Laursen, S. L., &amp; Hunter, A.-B. (2012). The benefits of multi-year research experiences: Differences in novice and experienced students’ reported gains from undergraduate research. </w:t>
      </w:r>
      <w:r w:rsidRPr="00946798">
        <w:rPr>
          <w:rFonts w:ascii="Helvetica" w:eastAsia="Times New Roman" w:hAnsi="Helvetica" w:cs="Helvetica"/>
          <w:i/>
          <w:iCs/>
          <w:color w:val="000000"/>
          <w:kern w:val="0"/>
          <w:sz w:val="20"/>
          <w:szCs w:val="20"/>
          <w:shd w:val="clear" w:color="auto" w:fill="FFFFFF"/>
          <w14:ligatures w14:val="none"/>
        </w:rPr>
        <w:t>CBE—Life Sciences Education</w:t>
      </w:r>
      <w:r w:rsidRPr="00946798">
        <w:rPr>
          <w:rFonts w:ascii="Helvetica" w:eastAsia="Times New Roman" w:hAnsi="Helvetica" w:cs="Helvetica"/>
          <w:color w:val="000000"/>
          <w:kern w:val="0"/>
          <w:sz w:val="20"/>
          <w:szCs w:val="20"/>
          <w:shd w:val="clear" w:color="auto" w:fill="FFFFFF"/>
          <w14:ligatures w14:val="none"/>
        </w:rPr>
        <w:t xml:space="preserve">, 11(3), 260–272. </w:t>
      </w:r>
      <w:hyperlink r:id="rId20" w:tgtFrame="_new" w:history="1">
        <w:r w:rsidRPr="00946798">
          <w:rPr>
            <w:rStyle w:val="Hyperlink"/>
            <w:rFonts w:ascii="Helvetica" w:eastAsia="Times New Roman" w:hAnsi="Helvetica" w:cs="Helvetica"/>
            <w:kern w:val="0"/>
            <w:sz w:val="20"/>
            <w:szCs w:val="20"/>
            <w:shd w:val="clear" w:color="auto" w:fill="FFFFFF"/>
            <w14:ligatures w14:val="none"/>
          </w:rPr>
          <w:t>https://doi.org/10.1187/cbe.11-11-0098</w:t>
        </w:r>
      </w:hyperlink>
    </w:p>
    <w:p w14:paraId="25ABB6B5"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p>
    <w:p w14:paraId="7E700FB3" w14:textId="77777777" w:rsidR="00E96EBE" w:rsidRDefault="00E96EBE" w:rsidP="007115C0">
      <w:pPr>
        <w:jc w:val="both"/>
        <w:rPr>
          <w:rFonts w:ascii="Helvetica" w:eastAsia="Times New Roman" w:hAnsi="Helvetica" w:cs="Times New Roman"/>
          <w:kern w:val="0"/>
          <w:sz w:val="20"/>
          <w:szCs w:val="20"/>
          <w:lang w:val="en-US"/>
          <w14:ligatures w14:val="none"/>
        </w:rPr>
      </w:pPr>
    </w:p>
    <w:p w14:paraId="4FE38C12" w14:textId="77777777" w:rsidR="00E96EBE" w:rsidRDefault="00E96EBE" w:rsidP="007115C0">
      <w:pPr>
        <w:jc w:val="both"/>
        <w:rPr>
          <w:rFonts w:ascii="Arial" w:eastAsia="Times New Roman" w:hAnsi="Arial" w:cs="Arial"/>
          <w:b/>
          <w:bCs/>
          <w:kern w:val="0"/>
          <w:sz w:val="20"/>
          <w:szCs w:val="20"/>
          <w:lang w:val="en-US"/>
          <w14:ligatures w14:val="none"/>
        </w:rPr>
      </w:pPr>
    </w:p>
    <w:p w14:paraId="755E1D0A" w14:textId="77777777" w:rsidR="00E96EBE" w:rsidRDefault="00E96EBE" w:rsidP="007115C0">
      <w:pPr>
        <w:jc w:val="both"/>
        <w:rPr>
          <w:rFonts w:ascii="Arial" w:eastAsia="Times New Roman" w:hAnsi="Arial" w:cs="Arial"/>
          <w:b/>
          <w:bCs/>
          <w:kern w:val="0"/>
          <w:sz w:val="20"/>
          <w:szCs w:val="20"/>
          <w:lang w:val="en-US"/>
          <w14:ligatures w14:val="none"/>
        </w:rPr>
      </w:pPr>
    </w:p>
    <w:p w14:paraId="7A19E4D9" w14:textId="77777777" w:rsidR="00E96EBE" w:rsidRDefault="00E96EBE" w:rsidP="007115C0">
      <w:pPr>
        <w:jc w:val="both"/>
        <w:rPr>
          <w:rFonts w:ascii="Arial" w:eastAsia="Times New Roman" w:hAnsi="Arial" w:cs="Arial"/>
          <w:b/>
          <w:bCs/>
          <w:kern w:val="0"/>
          <w:sz w:val="20"/>
          <w:szCs w:val="20"/>
          <w:lang w:val="en-US"/>
          <w14:ligatures w14:val="none"/>
        </w:rPr>
      </w:pPr>
    </w:p>
    <w:p w14:paraId="7894A3A3" w14:textId="77777777" w:rsidR="00E96EBE" w:rsidRDefault="00E96EBE" w:rsidP="007115C0">
      <w:pPr>
        <w:jc w:val="both"/>
        <w:rPr>
          <w:rFonts w:ascii="Arial" w:eastAsia="Times New Roman" w:hAnsi="Arial" w:cs="Arial"/>
          <w:b/>
          <w:bCs/>
          <w:kern w:val="0"/>
          <w:sz w:val="20"/>
          <w:szCs w:val="20"/>
          <w:lang w:val="en-US"/>
          <w14:ligatures w14:val="none"/>
        </w:rPr>
      </w:pPr>
    </w:p>
    <w:p w14:paraId="09E5C2A3" w14:textId="77777777" w:rsidR="00E96EBE" w:rsidRPr="00E96EBE" w:rsidRDefault="00E96EBE" w:rsidP="00E96EBE">
      <w:pPr>
        <w:rPr>
          <w:rFonts w:ascii="Arial" w:eastAsia="Arial" w:hAnsi="Arial" w:cs="Arial"/>
          <w:kern w:val="0"/>
          <w:sz w:val="22"/>
          <w:lang w:val="en-US"/>
          <w14:ligatures w14:val="none"/>
        </w:rPr>
      </w:pPr>
    </w:p>
    <w:p w14:paraId="212A7DAB" w14:textId="433265FF" w:rsidR="00E96EBE" w:rsidRPr="00E96EBE" w:rsidRDefault="00E96EBE" w:rsidP="00E04A52">
      <w:pPr>
        <w:rPr>
          <w:rFonts w:ascii="Arial" w:eastAsia="Times New Roman" w:hAnsi="Arial" w:cs="Arial"/>
          <w:b/>
          <w:bCs/>
          <w:kern w:val="0"/>
          <w:sz w:val="22"/>
          <w:lang w:val="en-US"/>
          <w14:ligatures w14:val="none"/>
        </w:rPr>
      </w:pPr>
      <w:r w:rsidRPr="00E96EBE">
        <w:rPr>
          <w:rFonts w:ascii="Arial" w:eastAsia="Arial" w:hAnsi="Arial" w:cs="Arial"/>
          <w:kern w:val="0"/>
          <w:sz w:val="22"/>
          <w:lang w:val="en-US"/>
          <w14:ligatures w14:val="none"/>
        </w:rPr>
        <w:tab/>
      </w:r>
    </w:p>
    <w:p w14:paraId="7623C73C" w14:textId="77777777" w:rsidR="00E96EBE" w:rsidRPr="00E96EBE" w:rsidRDefault="00E96EBE" w:rsidP="00E96EBE">
      <w:pPr>
        <w:keepNext/>
        <w:jc w:val="both"/>
        <w:rPr>
          <w:rFonts w:ascii="Arial" w:eastAsia="Times New Roman" w:hAnsi="Arial" w:cs="Arial"/>
          <w:caps/>
          <w:kern w:val="0"/>
          <w:sz w:val="22"/>
          <w:szCs w:val="20"/>
          <w:lang w:val="en-US"/>
          <w14:ligatures w14:val="none"/>
        </w:rPr>
      </w:pPr>
    </w:p>
    <w:p w14:paraId="559F38E3" w14:textId="77777777" w:rsidR="00E96EBE" w:rsidRPr="00E96EBE" w:rsidRDefault="00E96EBE" w:rsidP="00E96EBE">
      <w:pPr>
        <w:keepNext/>
        <w:jc w:val="both"/>
        <w:rPr>
          <w:rFonts w:ascii="Arial" w:eastAsia="Times New Roman" w:hAnsi="Arial" w:cs="Arial"/>
          <w:caps/>
          <w:kern w:val="0"/>
          <w:sz w:val="22"/>
          <w:szCs w:val="20"/>
          <w:lang w:val="en-US"/>
          <w14:ligatures w14:val="none"/>
        </w:rPr>
      </w:pPr>
    </w:p>
    <w:p w14:paraId="4E64F561" w14:textId="77777777" w:rsidR="00E96EBE" w:rsidRDefault="00E96EBE" w:rsidP="00E96EBE">
      <w:pPr>
        <w:jc w:val="both"/>
        <w:rPr>
          <w:rFonts w:ascii="Arial" w:eastAsia="Times New Roman" w:hAnsi="Arial" w:cs="Arial"/>
          <w:b/>
          <w:bCs/>
          <w:kern w:val="0"/>
          <w:sz w:val="20"/>
          <w:szCs w:val="20"/>
          <w:lang w:val="en-US"/>
          <w14:ligatures w14:val="none"/>
        </w:rPr>
      </w:pPr>
    </w:p>
    <w:p w14:paraId="30DE98AE" w14:textId="77777777" w:rsidR="00E96EBE" w:rsidRDefault="00E96EBE" w:rsidP="00E96EBE">
      <w:pPr>
        <w:jc w:val="both"/>
        <w:rPr>
          <w:rFonts w:ascii="Arial" w:eastAsia="Times New Roman" w:hAnsi="Arial" w:cs="Arial"/>
          <w:b/>
          <w:bCs/>
          <w:kern w:val="0"/>
          <w:sz w:val="20"/>
          <w:szCs w:val="20"/>
          <w:lang w:val="en-US"/>
          <w14:ligatures w14:val="none"/>
        </w:rPr>
      </w:pPr>
    </w:p>
    <w:p w14:paraId="4B9359C8" w14:textId="77777777" w:rsidR="00E96EBE" w:rsidRDefault="00E96EBE" w:rsidP="00E96EBE">
      <w:pPr>
        <w:jc w:val="both"/>
        <w:rPr>
          <w:rFonts w:ascii="Arial" w:eastAsia="Times New Roman" w:hAnsi="Arial" w:cs="Arial"/>
          <w:b/>
          <w:bCs/>
          <w:kern w:val="0"/>
          <w:sz w:val="20"/>
          <w:szCs w:val="20"/>
          <w:lang w:val="en-US"/>
          <w14:ligatures w14:val="none"/>
        </w:rPr>
      </w:pPr>
    </w:p>
    <w:p w14:paraId="7DBEA089" w14:textId="77777777" w:rsidR="00E96EBE" w:rsidRDefault="00E96EBE" w:rsidP="00E96EBE">
      <w:pPr>
        <w:jc w:val="both"/>
        <w:rPr>
          <w:rFonts w:ascii="Arial" w:eastAsia="Times New Roman" w:hAnsi="Arial" w:cs="Arial"/>
          <w:b/>
          <w:bCs/>
          <w:kern w:val="0"/>
          <w:sz w:val="20"/>
          <w:szCs w:val="20"/>
          <w:lang w:val="en-US"/>
          <w14:ligatures w14:val="none"/>
        </w:rPr>
      </w:pPr>
    </w:p>
    <w:p w14:paraId="248ED884" w14:textId="77777777" w:rsidR="00E96EBE" w:rsidRDefault="00E96EBE" w:rsidP="00E96EBE">
      <w:pPr>
        <w:jc w:val="both"/>
        <w:rPr>
          <w:rFonts w:ascii="Arial" w:eastAsia="Times New Roman" w:hAnsi="Arial" w:cs="Arial"/>
          <w:b/>
          <w:bCs/>
          <w:kern w:val="0"/>
          <w:sz w:val="20"/>
          <w:szCs w:val="20"/>
          <w:lang w:val="en-US"/>
          <w14:ligatures w14:val="none"/>
        </w:rPr>
      </w:pPr>
    </w:p>
    <w:p w14:paraId="72697975" w14:textId="77777777" w:rsidR="00E96EBE" w:rsidRDefault="00E96EBE" w:rsidP="00E96EBE">
      <w:pPr>
        <w:jc w:val="both"/>
        <w:rPr>
          <w:rFonts w:ascii="Arial" w:eastAsia="Times New Roman" w:hAnsi="Arial" w:cs="Arial"/>
          <w:b/>
          <w:bCs/>
          <w:kern w:val="0"/>
          <w:sz w:val="20"/>
          <w:szCs w:val="20"/>
          <w:lang w:val="en-US"/>
          <w14:ligatures w14:val="none"/>
        </w:rPr>
      </w:pPr>
    </w:p>
    <w:p w14:paraId="67294C8C" w14:textId="77777777" w:rsidR="00E96EBE" w:rsidRDefault="00E96EBE" w:rsidP="00E96EBE">
      <w:pPr>
        <w:jc w:val="both"/>
        <w:rPr>
          <w:rFonts w:ascii="Arial" w:eastAsia="Times New Roman" w:hAnsi="Arial" w:cs="Arial"/>
          <w:b/>
          <w:bCs/>
          <w:kern w:val="0"/>
          <w:sz w:val="20"/>
          <w:szCs w:val="20"/>
          <w:lang w:val="en-US"/>
          <w14:ligatures w14:val="none"/>
        </w:rPr>
      </w:pPr>
    </w:p>
    <w:p w14:paraId="3FEDA962" w14:textId="77777777" w:rsidR="00E96EBE" w:rsidRDefault="00E96EBE" w:rsidP="00E96EBE">
      <w:pPr>
        <w:jc w:val="both"/>
        <w:rPr>
          <w:rFonts w:ascii="Arial" w:eastAsia="Times New Roman" w:hAnsi="Arial" w:cs="Arial"/>
          <w:b/>
          <w:bCs/>
          <w:kern w:val="0"/>
          <w:sz w:val="20"/>
          <w:szCs w:val="20"/>
          <w:lang w:val="en-US"/>
          <w14:ligatures w14:val="none"/>
        </w:rPr>
      </w:pPr>
    </w:p>
    <w:p w14:paraId="6C4889A8" w14:textId="77777777" w:rsidR="00E96EBE" w:rsidRDefault="00E96EBE" w:rsidP="00E96EBE">
      <w:pPr>
        <w:jc w:val="both"/>
        <w:rPr>
          <w:rFonts w:ascii="Arial" w:eastAsia="Times New Roman" w:hAnsi="Arial" w:cs="Arial"/>
          <w:b/>
          <w:bCs/>
          <w:kern w:val="0"/>
          <w:sz w:val="20"/>
          <w:szCs w:val="20"/>
          <w:lang w:val="en-US"/>
          <w14:ligatures w14:val="none"/>
        </w:rPr>
      </w:pPr>
    </w:p>
    <w:p w14:paraId="5B660E4D" w14:textId="3086D781" w:rsidR="00E96EBE" w:rsidRPr="00E96EBE" w:rsidRDefault="00E96EBE" w:rsidP="00E04A52">
      <w:pPr>
        <w:jc w:val="both"/>
        <w:rPr>
          <w:rFonts w:ascii="Arial" w:eastAsia="Times New Roman" w:hAnsi="Arial" w:cs="Arial"/>
          <w:b/>
          <w:bCs/>
          <w:kern w:val="0"/>
          <w:sz w:val="22"/>
          <w:lang w:val="en-US"/>
          <w14:ligatures w14:val="none"/>
        </w:rPr>
      </w:pPr>
    </w:p>
    <w:sectPr w:rsidR="00E96EBE" w:rsidRPr="00E96EBE" w:rsidSect="00342197">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628D5" w14:textId="77777777" w:rsidR="00D2796A" w:rsidRDefault="00D2796A">
      <w:r>
        <w:separator/>
      </w:r>
    </w:p>
  </w:endnote>
  <w:endnote w:type="continuationSeparator" w:id="0">
    <w:p w14:paraId="0DE026A1" w14:textId="77777777" w:rsidR="00D2796A" w:rsidRDefault="00D2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62FE7" w14:textId="77777777" w:rsidR="00342197" w:rsidRDefault="00342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4B22D" w14:textId="77777777" w:rsidR="00342197" w:rsidRDefault="00342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827DC" w14:textId="6E604C00" w:rsidR="007115C0" w:rsidRPr="00342197" w:rsidRDefault="007115C0" w:rsidP="00342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96C28" w14:textId="77777777" w:rsidR="00D2796A" w:rsidRDefault="00D2796A">
      <w:r>
        <w:separator/>
      </w:r>
    </w:p>
  </w:footnote>
  <w:footnote w:type="continuationSeparator" w:id="0">
    <w:p w14:paraId="12E99CCB" w14:textId="77777777" w:rsidR="00D2796A" w:rsidRDefault="00D27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1F4D6" w14:textId="6194A91D" w:rsidR="00342197" w:rsidRDefault="00342197">
    <w:pPr>
      <w:pStyle w:val="Header"/>
    </w:pPr>
    <w:r>
      <w:rPr>
        <w:noProof/>
      </w:rPr>
      <w:pict w14:anchorId="4FF41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71610" o:spid="_x0000_s1026" type="#_x0000_t136" style="position:absolute;margin-left:0;margin-top:0;width:503.1pt;height:75.45pt;rotation:315;z-index:-251655168;mso-position-horizontal:center;mso-position-horizontal-relative:margin;mso-position-vertical:center;mso-position-vertical-relative:margin" o:allowincell="f" fillcolor="silver" stroked="f">
          <v:fill opacity=".5"/>
          <v:textpath style="font-family:&quot;Garamond&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EE313" w14:textId="6BF9EF5A" w:rsidR="00342197" w:rsidRDefault="00342197">
    <w:pPr>
      <w:pStyle w:val="Header"/>
    </w:pPr>
    <w:r>
      <w:rPr>
        <w:noProof/>
      </w:rPr>
      <w:pict w14:anchorId="27D33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71611" o:spid="_x0000_s1027" type="#_x0000_t136" style="position:absolute;margin-left:0;margin-top:0;width:503.1pt;height:75.45pt;rotation:315;z-index:-251653120;mso-position-horizontal:center;mso-position-horizontal-relative:margin;mso-position-vertical:center;mso-position-vertical-relative:margin" o:allowincell="f" fillcolor="silver" stroked="f">
          <v:fill opacity=".5"/>
          <v:textpath style="font-family:&quot;Garamond&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9F9B7" w14:textId="4A3FEAA2" w:rsidR="007115C0" w:rsidRPr="00296529" w:rsidRDefault="00342197" w:rsidP="00AD359B">
    <w:pPr>
      <w:ind w:left="2160"/>
      <w:jc w:val="center"/>
      <w:rPr>
        <w:rFonts w:ascii="Times New Roman" w:eastAsia="Calibri" w:hAnsi="Times New Roman"/>
        <w:i/>
        <w:sz w:val="18"/>
      </w:rPr>
    </w:pPr>
    <w:r>
      <w:rPr>
        <w:noProof/>
      </w:rPr>
      <w:pict w14:anchorId="0739A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71609" o:spid="_x0000_s1025" type="#_x0000_t136" style="position:absolute;left:0;text-align:left;margin-left:0;margin-top:0;width:503.1pt;height:75.45pt;rotation:315;z-index:-251657216;mso-position-horizontal:center;mso-position-horizontal-relative:margin;mso-position-vertical:center;mso-position-vertical-relative:margin" o:allowincell="f" fillcolor="silver" stroked="f">
          <v:fill opacity=".5"/>
          <v:textpath style="font-family:&quot;Garamond&quot;;font-size:1pt" string="UNDER PEER REVIEW"/>
        </v:shape>
      </w:pict>
    </w:r>
  </w:p>
  <w:p w14:paraId="253DA272" w14:textId="77777777" w:rsidR="007115C0" w:rsidRPr="00296529" w:rsidRDefault="007115C0" w:rsidP="00AD359B">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488DB566" w14:textId="77777777" w:rsidR="007115C0" w:rsidRPr="00296529" w:rsidRDefault="007115C0" w:rsidP="00AD359B">
    <w:pPr>
      <w:jc w:val="center"/>
      <w:rPr>
        <w:rFonts w:ascii="Times New Roman" w:eastAsia="Calibri" w:hAnsi="Times New Roman"/>
        <w:i/>
        <w:sz w:val="18"/>
      </w:rPr>
    </w:pPr>
    <w:r>
      <w:rPr>
        <w:rFonts w:ascii="Times New Roman" w:eastAsia="Calibri" w:hAnsi="Times New Roman"/>
        <w:i/>
        <w:sz w:val="18"/>
      </w:rPr>
      <w:t>.</w:t>
    </w:r>
  </w:p>
  <w:p w14:paraId="7F74E20E" w14:textId="77777777" w:rsidR="007115C0" w:rsidRPr="00296529" w:rsidRDefault="007115C0" w:rsidP="00AD359B">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42112D12" w14:textId="77777777" w:rsidR="007115C0" w:rsidRDefault="007115C0" w:rsidP="00AD359B">
    <w:pPr>
      <w:jc w:val="center"/>
      <w:rPr>
        <w:rFonts w:ascii="Times New Roman" w:eastAsia="Calibri" w:hAnsi="Times New Roman"/>
        <w:i/>
        <w:sz w:val="18"/>
      </w:rPr>
    </w:pPr>
    <w:r w:rsidRPr="00296529">
      <w:rPr>
        <w:rFonts w:ascii="Times New Roman" w:eastAsia="Calibri" w:hAnsi="Times New Roman"/>
        <w:i/>
        <w:sz w:val="18"/>
      </w:rPr>
      <w:t xml:space="preserve">                     </w:t>
    </w:r>
  </w:p>
  <w:p w14:paraId="27FADA4A" w14:textId="77777777" w:rsidR="007115C0" w:rsidRDefault="007115C0" w:rsidP="00AD359B">
    <w:pPr>
      <w:tabs>
        <w:tab w:val="left" w:pos="2145"/>
      </w:tabs>
      <w:rPr>
        <w:rFonts w:ascii="Times New Roman" w:eastAsia="Calibri" w:hAnsi="Times New Roman"/>
        <w:i/>
        <w:sz w:val="18"/>
      </w:rPr>
    </w:pPr>
    <w:r>
      <w:rPr>
        <w:rFonts w:ascii="Times New Roman" w:eastAsia="Calibri" w:hAnsi="Times New Roman"/>
        <w:i/>
        <w:sz w:val="18"/>
      </w:rPr>
      <w:tab/>
      <w:t>.</w:t>
    </w:r>
  </w:p>
  <w:p w14:paraId="5D951F0D" w14:textId="77777777" w:rsidR="007115C0" w:rsidRDefault="007115C0">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F34BF"/>
    <w:multiLevelType w:val="multilevel"/>
    <w:tmpl w:val="721AE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140A54"/>
    <w:multiLevelType w:val="hybridMultilevel"/>
    <w:tmpl w:val="A484FEF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572085329">
    <w:abstractNumId w:val="1"/>
  </w:num>
  <w:num w:numId="2" w16cid:durableId="1104039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I0MDY1tTA3NTK3NDNV0lEKTi0uzszPAykwrAUAjrZcGCwAAAA="/>
  </w:docVars>
  <w:rsids>
    <w:rsidRoot w:val="007115C0"/>
    <w:rsid w:val="000A51B5"/>
    <w:rsid w:val="000B5B63"/>
    <w:rsid w:val="000F28C1"/>
    <w:rsid w:val="0010490B"/>
    <w:rsid w:val="001D0E98"/>
    <w:rsid w:val="002250E2"/>
    <w:rsid w:val="00293860"/>
    <w:rsid w:val="002C4C5C"/>
    <w:rsid w:val="00300469"/>
    <w:rsid w:val="003125EB"/>
    <w:rsid w:val="00324D54"/>
    <w:rsid w:val="00342197"/>
    <w:rsid w:val="003532F3"/>
    <w:rsid w:val="003A517E"/>
    <w:rsid w:val="00451557"/>
    <w:rsid w:val="00484AB7"/>
    <w:rsid w:val="004A2E29"/>
    <w:rsid w:val="004C6D66"/>
    <w:rsid w:val="004E5600"/>
    <w:rsid w:val="00694E37"/>
    <w:rsid w:val="006A63B6"/>
    <w:rsid w:val="006B78B2"/>
    <w:rsid w:val="006D1CC1"/>
    <w:rsid w:val="006F40BE"/>
    <w:rsid w:val="006F5864"/>
    <w:rsid w:val="006F6807"/>
    <w:rsid w:val="006F7192"/>
    <w:rsid w:val="007010D7"/>
    <w:rsid w:val="007115C0"/>
    <w:rsid w:val="00730756"/>
    <w:rsid w:val="00733AD7"/>
    <w:rsid w:val="007B74CD"/>
    <w:rsid w:val="00831ADB"/>
    <w:rsid w:val="0083233C"/>
    <w:rsid w:val="008531E4"/>
    <w:rsid w:val="0088079E"/>
    <w:rsid w:val="008E4186"/>
    <w:rsid w:val="00926F92"/>
    <w:rsid w:val="00946798"/>
    <w:rsid w:val="009805C0"/>
    <w:rsid w:val="009A17BD"/>
    <w:rsid w:val="009B0CCC"/>
    <w:rsid w:val="009C1319"/>
    <w:rsid w:val="009C1D3F"/>
    <w:rsid w:val="009F586B"/>
    <w:rsid w:val="00A026A5"/>
    <w:rsid w:val="00A164A4"/>
    <w:rsid w:val="00A47351"/>
    <w:rsid w:val="00A66C1D"/>
    <w:rsid w:val="00A80E69"/>
    <w:rsid w:val="00AB3181"/>
    <w:rsid w:val="00AC1B22"/>
    <w:rsid w:val="00AD359B"/>
    <w:rsid w:val="00AE4669"/>
    <w:rsid w:val="00B05724"/>
    <w:rsid w:val="00B233C5"/>
    <w:rsid w:val="00B424EA"/>
    <w:rsid w:val="00B954DB"/>
    <w:rsid w:val="00B9611E"/>
    <w:rsid w:val="00BA662D"/>
    <w:rsid w:val="00BC22D9"/>
    <w:rsid w:val="00BE371C"/>
    <w:rsid w:val="00C20BE9"/>
    <w:rsid w:val="00C803CC"/>
    <w:rsid w:val="00C80902"/>
    <w:rsid w:val="00C92A51"/>
    <w:rsid w:val="00CA15E3"/>
    <w:rsid w:val="00CB1F37"/>
    <w:rsid w:val="00D218C4"/>
    <w:rsid w:val="00D2796A"/>
    <w:rsid w:val="00D54228"/>
    <w:rsid w:val="00D66258"/>
    <w:rsid w:val="00D81B2E"/>
    <w:rsid w:val="00DC60BD"/>
    <w:rsid w:val="00E04A52"/>
    <w:rsid w:val="00E124FE"/>
    <w:rsid w:val="00E54238"/>
    <w:rsid w:val="00E711F1"/>
    <w:rsid w:val="00E864E4"/>
    <w:rsid w:val="00E96EBE"/>
    <w:rsid w:val="00EB4F93"/>
    <w:rsid w:val="00EC5829"/>
    <w:rsid w:val="00EE4B8F"/>
    <w:rsid w:val="00EF2B82"/>
    <w:rsid w:val="00F3657E"/>
    <w:rsid w:val="00F561AF"/>
    <w:rsid w:val="00F90AF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4C2E9"/>
  <w15:chartTrackingRefBased/>
  <w15:docId w15:val="{D9FD69EE-D4B9-4880-B2F3-CEBD00F1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kern w:val="2"/>
        <w:sz w:val="24"/>
        <w:szCs w:val="22"/>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5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5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15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15C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15C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15C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15C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5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5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15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15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15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15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15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15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5C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5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15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15C0"/>
    <w:rPr>
      <w:i/>
      <w:iCs/>
      <w:color w:val="404040" w:themeColor="text1" w:themeTint="BF"/>
    </w:rPr>
  </w:style>
  <w:style w:type="paragraph" w:styleId="ListParagraph">
    <w:name w:val="List Paragraph"/>
    <w:basedOn w:val="Normal"/>
    <w:uiPriority w:val="34"/>
    <w:qFormat/>
    <w:rsid w:val="007115C0"/>
    <w:pPr>
      <w:ind w:left="720"/>
      <w:contextualSpacing/>
    </w:pPr>
  </w:style>
  <w:style w:type="character" w:styleId="IntenseEmphasis">
    <w:name w:val="Intense Emphasis"/>
    <w:basedOn w:val="DefaultParagraphFont"/>
    <w:uiPriority w:val="21"/>
    <w:qFormat/>
    <w:rsid w:val="007115C0"/>
    <w:rPr>
      <w:i/>
      <w:iCs/>
      <w:color w:val="0F4761" w:themeColor="accent1" w:themeShade="BF"/>
    </w:rPr>
  </w:style>
  <w:style w:type="paragraph" w:styleId="IntenseQuote">
    <w:name w:val="Intense Quote"/>
    <w:basedOn w:val="Normal"/>
    <w:next w:val="Normal"/>
    <w:link w:val="IntenseQuoteChar"/>
    <w:uiPriority w:val="30"/>
    <w:qFormat/>
    <w:rsid w:val="00711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5C0"/>
    <w:rPr>
      <w:i/>
      <w:iCs/>
      <w:color w:val="0F4761" w:themeColor="accent1" w:themeShade="BF"/>
    </w:rPr>
  </w:style>
  <w:style w:type="character" w:styleId="IntenseReference">
    <w:name w:val="Intense Reference"/>
    <w:basedOn w:val="DefaultParagraphFont"/>
    <w:uiPriority w:val="32"/>
    <w:qFormat/>
    <w:rsid w:val="007115C0"/>
    <w:rPr>
      <w:b/>
      <w:bCs/>
      <w:smallCaps/>
      <w:color w:val="0F4761" w:themeColor="accent1" w:themeShade="BF"/>
      <w:spacing w:val="5"/>
    </w:rPr>
  </w:style>
  <w:style w:type="paragraph" w:styleId="Footer">
    <w:name w:val="footer"/>
    <w:basedOn w:val="Normal"/>
    <w:link w:val="FooterChar"/>
    <w:uiPriority w:val="99"/>
    <w:unhideWhenUsed/>
    <w:rsid w:val="007115C0"/>
    <w:pPr>
      <w:tabs>
        <w:tab w:val="center" w:pos="4680"/>
        <w:tab w:val="right" w:pos="9360"/>
      </w:tabs>
    </w:pPr>
  </w:style>
  <w:style w:type="character" w:customStyle="1" w:styleId="FooterChar">
    <w:name w:val="Footer Char"/>
    <w:basedOn w:val="DefaultParagraphFont"/>
    <w:link w:val="Footer"/>
    <w:uiPriority w:val="99"/>
    <w:rsid w:val="007115C0"/>
  </w:style>
  <w:style w:type="paragraph" w:styleId="Header">
    <w:name w:val="header"/>
    <w:basedOn w:val="Normal"/>
    <w:link w:val="HeaderChar"/>
    <w:uiPriority w:val="99"/>
    <w:unhideWhenUsed/>
    <w:rsid w:val="007115C0"/>
    <w:pPr>
      <w:tabs>
        <w:tab w:val="center" w:pos="4680"/>
        <w:tab w:val="right" w:pos="9360"/>
      </w:tabs>
    </w:pPr>
  </w:style>
  <w:style w:type="character" w:customStyle="1" w:styleId="HeaderChar">
    <w:name w:val="Header Char"/>
    <w:basedOn w:val="DefaultParagraphFont"/>
    <w:link w:val="Header"/>
    <w:uiPriority w:val="99"/>
    <w:rsid w:val="007115C0"/>
  </w:style>
  <w:style w:type="character" w:styleId="LineNumber">
    <w:name w:val="line number"/>
    <w:basedOn w:val="DefaultParagraphFont"/>
    <w:uiPriority w:val="99"/>
    <w:semiHidden/>
    <w:unhideWhenUsed/>
    <w:rsid w:val="007115C0"/>
  </w:style>
  <w:style w:type="paragraph" w:styleId="NormalWeb">
    <w:name w:val="Normal (Web)"/>
    <w:basedOn w:val="Normal"/>
    <w:uiPriority w:val="99"/>
    <w:semiHidden/>
    <w:unhideWhenUsed/>
    <w:rsid w:val="006F6807"/>
    <w:pPr>
      <w:spacing w:before="100" w:beforeAutospacing="1" w:after="100" w:afterAutospacing="1"/>
    </w:pPr>
    <w:rPr>
      <w:rFonts w:ascii="Times New Roman" w:eastAsia="Times New Roman" w:hAnsi="Times New Roman" w:cs="Times New Roman"/>
      <w:kern w:val="0"/>
      <w:szCs w:val="24"/>
      <w:lang w:eastAsia="en-PH"/>
      <w14:ligatures w14:val="none"/>
    </w:rPr>
  </w:style>
  <w:style w:type="paragraph" w:customStyle="1" w:styleId="Author">
    <w:name w:val="Author"/>
    <w:basedOn w:val="Normal"/>
    <w:rsid w:val="00AD359B"/>
    <w:pPr>
      <w:spacing w:line="280" w:lineRule="exact"/>
      <w:jc w:val="right"/>
    </w:pPr>
    <w:rPr>
      <w:rFonts w:ascii="Helvetica" w:eastAsia="Times New Roman" w:hAnsi="Helvetica" w:cs="Times New Roman"/>
      <w:b/>
      <w:kern w:val="0"/>
      <w:szCs w:val="20"/>
      <w:lang w:val="en-US"/>
      <w14:ligatures w14:val="none"/>
    </w:rPr>
  </w:style>
  <w:style w:type="paragraph" w:customStyle="1" w:styleId="Affiliation">
    <w:name w:val="Affiliation"/>
    <w:basedOn w:val="Normal"/>
    <w:rsid w:val="00E124FE"/>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E124FE"/>
    <w:pPr>
      <w:spacing w:after="240"/>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3532F3"/>
    <w:pPr>
      <w:keepNext/>
      <w:spacing w:after="240"/>
    </w:pPr>
    <w:rPr>
      <w:rFonts w:ascii="Helvetica" w:eastAsia="Times New Roman" w:hAnsi="Helvetica" w:cs="Times New Roman"/>
      <w:b/>
      <w:caps/>
      <w:kern w:val="0"/>
      <w:sz w:val="22"/>
      <w:szCs w:val="20"/>
      <w:lang w:val="en-US"/>
      <w14:ligatures w14:val="none"/>
    </w:rPr>
  </w:style>
  <w:style w:type="paragraph" w:customStyle="1" w:styleId="Head1">
    <w:name w:val="Head1"/>
    <w:basedOn w:val="Normal"/>
    <w:rsid w:val="003532F3"/>
    <w:pPr>
      <w:keepNext/>
      <w:spacing w:after="240"/>
    </w:pPr>
    <w:rPr>
      <w:rFonts w:ascii="Helvetica" w:eastAsia="Times New Roman" w:hAnsi="Helvetica" w:cs="Times New Roman"/>
      <w:b/>
      <w:caps/>
      <w:kern w:val="0"/>
      <w:sz w:val="22"/>
      <w:szCs w:val="20"/>
      <w:lang w:val="en-US"/>
      <w14:ligatures w14:val="none"/>
    </w:rPr>
  </w:style>
  <w:style w:type="table" w:styleId="TableGrid">
    <w:name w:val="Table Grid"/>
    <w:basedOn w:val="TableNormal"/>
    <w:uiPriority w:val="39"/>
    <w:rsid w:val="00B05724"/>
    <w:rPr>
      <w:rFonts w:ascii="Calibri" w:eastAsia="Calibri" w:hAnsi="Calibri" w:cs="Calibri"/>
      <w:kern w:val="0"/>
      <w:sz w:val="22"/>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knHead">
    <w:name w:val="Ackn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paragraph" w:customStyle="1" w:styleId="ReferHead">
    <w:name w:val="Refer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character" w:styleId="Hyperlink">
    <w:name w:val="Hyperlink"/>
    <w:basedOn w:val="DefaultParagraphFont"/>
    <w:uiPriority w:val="99"/>
    <w:unhideWhenUsed/>
    <w:rsid w:val="006F40BE"/>
    <w:rPr>
      <w:color w:val="467886" w:themeColor="hyperlink"/>
      <w:u w:val="single"/>
    </w:rPr>
  </w:style>
  <w:style w:type="character" w:customStyle="1" w:styleId="UnresolvedMention1">
    <w:name w:val="Unresolved Mention1"/>
    <w:basedOn w:val="DefaultParagraphFont"/>
    <w:uiPriority w:val="99"/>
    <w:semiHidden/>
    <w:unhideWhenUsed/>
    <w:rsid w:val="006F40BE"/>
    <w:rPr>
      <w:color w:val="605E5C"/>
      <w:shd w:val="clear" w:color="auto" w:fill="E1DFDD"/>
    </w:rPr>
  </w:style>
  <w:style w:type="paragraph" w:styleId="NoSpacing">
    <w:name w:val="No Spacing"/>
    <w:uiPriority w:val="1"/>
    <w:qFormat/>
    <w:rsid w:val="00B42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360">
      <w:bodyDiv w:val="1"/>
      <w:marLeft w:val="0"/>
      <w:marRight w:val="0"/>
      <w:marTop w:val="0"/>
      <w:marBottom w:val="0"/>
      <w:divBdr>
        <w:top w:val="none" w:sz="0" w:space="0" w:color="auto"/>
        <w:left w:val="none" w:sz="0" w:space="0" w:color="auto"/>
        <w:bottom w:val="none" w:sz="0" w:space="0" w:color="auto"/>
        <w:right w:val="none" w:sz="0" w:space="0" w:color="auto"/>
      </w:divBdr>
    </w:div>
    <w:div w:id="5444699">
      <w:bodyDiv w:val="1"/>
      <w:marLeft w:val="0"/>
      <w:marRight w:val="0"/>
      <w:marTop w:val="0"/>
      <w:marBottom w:val="0"/>
      <w:divBdr>
        <w:top w:val="none" w:sz="0" w:space="0" w:color="auto"/>
        <w:left w:val="none" w:sz="0" w:space="0" w:color="auto"/>
        <w:bottom w:val="none" w:sz="0" w:space="0" w:color="auto"/>
        <w:right w:val="none" w:sz="0" w:space="0" w:color="auto"/>
      </w:divBdr>
    </w:div>
    <w:div w:id="14696869">
      <w:bodyDiv w:val="1"/>
      <w:marLeft w:val="0"/>
      <w:marRight w:val="0"/>
      <w:marTop w:val="0"/>
      <w:marBottom w:val="0"/>
      <w:divBdr>
        <w:top w:val="none" w:sz="0" w:space="0" w:color="auto"/>
        <w:left w:val="none" w:sz="0" w:space="0" w:color="auto"/>
        <w:bottom w:val="none" w:sz="0" w:space="0" w:color="auto"/>
        <w:right w:val="none" w:sz="0" w:space="0" w:color="auto"/>
      </w:divBdr>
    </w:div>
    <w:div w:id="25254925">
      <w:bodyDiv w:val="1"/>
      <w:marLeft w:val="0"/>
      <w:marRight w:val="0"/>
      <w:marTop w:val="0"/>
      <w:marBottom w:val="0"/>
      <w:divBdr>
        <w:top w:val="none" w:sz="0" w:space="0" w:color="auto"/>
        <w:left w:val="none" w:sz="0" w:space="0" w:color="auto"/>
        <w:bottom w:val="none" w:sz="0" w:space="0" w:color="auto"/>
        <w:right w:val="none" w:sz="0" w:space="0" w:color="auto"/>
      </w:divBdr>
    </w:div>
    <w:div w:id="33118851">
      <w:bodyDiv w:val="1"/>
      <w:marLeft w:val="0"/>
      <w:marRight w:val="0"/>
      <w:marTop w:val="0"/>
      <w:marBottom w:val="0"/>
      <w:divBdr>
        <w:top w:val="none" w:sz="0" w:space="0" w:color="auto"/>
        <w:left w:val="none" w:sz="0" w:space="0" w:color="auto"/>
        <w:bottom w:val="none" w:sz="0" w:space="0" w:color="auto"/>
        <w:right w:val="none" w:sz="0" w:space="0" w:color="auto"/>
      </w:divBdr>
    </w:div>
    <w:div w:id="68768822">
      <w:bodyDiv w:val="1"/>
      <w:marLeft w:val="0"/>
      <w:marRight w:val="0"/>
      <w:marTop w:val="0"/>
      <w:marBottom w:val="0"/>
      <w:divBdr>
        <w:top w:val="none" w:sz="0" w:space="0" w:color="auto"/>
        <w:left w:val="none" w:sz="0" w:space="0" w:color="auto"/>
        <w:bottom w:val="none" w:sz="0" w:space="0" w:color="auto"/>
        <w:right w:val="none" w:sz="0" w:space="0" w:color="auto"/>
      </w:divBdr>
    </w:div>
    <w:div w:id="92406914">
      <w:bodyDiv w:val="1"/>
      <w:marLeft w:val="0"/>
      <w:marRight w:val="0"/>
      <w:marTop w:val="0"/>
      <w:marBottom w:val="0"/>
      <w:divBdr>
        <w:top w:val="none" w:sz="0" w:space="0" w:color="auto"/>
        <w:left w:val="none" w:sz="0" w:space="0" w:color="auto"/>
        <w:bottom w:val="none" w:sz="0" w:space="0" w:color="auto"/>
        <w:right w:val="none" w:sz="0" w:space="0" w:color="auto"/>
      </w:divBdr>
    </w:div>
    <w:div w:id="133841973">
      <w:bodyDiv w:val="1"/>
      <w:marLeft w:val="0"/>
      <w:marRight w:val="0"/>
      <w:marTop w:val="0"/>
      <w:marBottom w:val="0"/>
      <w:divBdr>
        <w:top w:val="none" w:sz="0" w:space="0" w:color="auto"/>
        <w:left w:val="none" w:sz="0" w:space="0" w:color="auto"/>
        <w:bottom w:val="none" w:sz="0" w:space="0" w:color="auto"/>
        <w:right w:val="none" w:sz="0" w:space="0" w:color="auto"/>
      </w:divBdr>
    </w:div>
    <w:div w:id="134182535">
      <w:bodyDiv w:val="1"/>
      <w:marLeft w:val="0"/>
      <w:marRight w:val="0"/>
      <w:marTop w:val="0"/>
      <w:marBottom w:val="0"/>
      <w:divBdr>
        <w:top w:val="none" w:sz="0" w:space="0" w:color="auto"/>
        <w:left w:val="none" w:sz="0" w:space="0" w:color="auto"/>
        <w:bottom w:val="none" w:sz="0" w:space="0" w:color="auto"/>
        <w:right w:val="none" w:sz="0" w:space="0" w:color="auto"/>
      </w:divBdr>
    </w:div>
    <w:div w:id="137694223">
      <w:bodyDiv w:val="1"/>
      <w:marLeft w:val="0"/>
      <w:marRight w:val="0"/>
      <w:marTop w:val="0"/>
      <w:marBottom w:val="0"/>
      <w:divBdr>
        <w:top w:val="none" w:sz="0" w:space="0" w:color="auto"/>
        <w:left w:val="none" w:sz="0" w:space="0" w:color="auto"/>
        <w:bottom w:val="none" w:sz="0" w:space="0" w:color="auto"/>
        <w:right w:val="none" w:sz="0" w:space="0" w:color="auto"/>
      </w:divBdr>
    </w:div>
    <w:div w:id="166749781">
      <w:bodyDiv w:val="1"/>
      <w:marLeft w:val="0"/>
      <w:marRight w:val="0"/>
      <w:marTop w:val="0"/>
      <w:marBottom w:val="0"/>
      <w:divBdr>
        <w:top w:val="none" w:sz="0" w:space="0" w:color="auto"/>
        <w:left w:val="none" w:sz="0" w:space="0" w:color="auto"/>
        <w:bottom w:val="none" w:sz="0" w:space="0" w:color="auto"/>
        <w:right w:val="none" w:sz="0" w:space="0" w:color="auto"/>
      </w:divBdr>
    </w:div>
    <w:div w:id="243804925">
      <w:bodyDiv w:val="1"/>
      <w:marLeft w:val="0"/>
      <w:marRight w:val="0"/>
      <w:marTop w:val="0"/>
      <w:marBottom w:val="0"/>
      <w:divBdr>
        <w:top w:val="none" w:sz="0" w:space="0" w:color="auto"/>
        <w:left w:val="none" w:sz="0" w:space="0" w:color="auto"/>
        <w:bottom w:val="none" w:sz="0" w:space="0" w:color="auto"/>
        <w:right w:val="none" w:sz="0" w:space="0" w:color="auto"/>
      </w:divBdr>
    </w:div>
    <w:div w:id="263267048">
      <w:bodyDiv w:val="1"/>
      <w:marLeft w:val="0"/>
      <w:marRight w:val="0"/>
      <w:marTop w:val="0"/>
      <w:marBottom w:val="0"/>
      <w:divBdr>
        <w:top w:val="none" w:sz="0" w:space="0" w:color="auto"/>
        <w:left w:val="none" w:sz="0" w:space="0" w:color="auto"/>
        <w:bottom w:val="none" w:sz="0" w:space="0" w:color="auto"/>
        <w:right w:val="none" w:sz="0" w:space="0" w:color="auto"/>
      </w:divBdr>
    </w:div>
    <w:div w:id="264385853">
      <w:bodyDiv w:val="1"/>
      <w:marLeft w:val="0"/>
      <w:marRight w:val="0"/>
      <w:marTop w:val="0"/>
      <w:marBottom w:val="0"/>
      <w:divBdr>
        <w:top w:val="none" w:sz="0" w:space="0" w:color="auto"/>
        <w:left w:val="none" w:sz="0" w:space="0" w:color="auto"/>
        <w:bottom w:val="none" w:sz="0" w:space="0" w:color="auto"/>
        <w:right w:val="none" w:sz="0" w:space="0" w:color="auto"/>
      </w:divBdr>
    </w:div>
    <w:div w:id="328411316">
      <w:bodyDiv w:val="1"/>
      <w:marLeft w:val="0"/>
      <w:marRight w:val="0"/>
      <w:marTop w:val="0"/>
      <w:marBottom w:val="0"/>
      <w:divBdr>
        <w:top w:val="none" w:sz="0" w:space="0" w:color="auto"/>
        <w:left w:val="none" w:sz="0" w:space="0" w:color="auto"/>
        <w:bottom w:val="none" w:sz="0" w:space="0" w:color="auto"/>
        <w:right w:val="none" w:sz="0" w:space="0" w:color="auto"/>
      </w:divBdr>
    </w:div>
    <w:div w:id="354582283">
      <w:bodyDiv w:val="1"/>
      <w:marLeft w:val="0"/>
      <w:marRight w:val="0"/>
      <w:marTop w:val="0"/>
      <w:marBottom w:val="0"/>
      <w:divBdr>
        <w:top w:val="none" w:sz="0" w:space="0" w:color="auto"/>
        <w:left w:val="none" w:sz="0" w:space="0" w:color="auto"/>
        <w:bottom w:val="none" w:sz="0" w:space="0" w:color="auto"/>
        <w:right w:val="none" w:sz="0" w:space="0" w:color="auto"/>
      </w:divBdr>
    </w:div>
    <w:div w:id="395662786">
      <w:bodyDiv w:val="1"/>
      <w:marLeft w:val="0"/>
      <w:marRight w:val="0"/>
      <w:marTop w:val="0"/>
      <w:marBottom w:val="0"/>
      <w:divBdr>
        <w:top w:val="none" w:sz="0" w:space="0" w:color="auto"/>
        <w:left w:val="none" w:sz="0" w:space="0" w:color="auto"/>
        <w:bottom w:val="none" w:sz="0" w:space="0" w:color="auto"/>
        <w:right w:val="none" w:sz="0" w:space="0" w:color="auto"/>
      </w:divBdr>
    </w:div>
    <w:div w:id="408889940">
      <w:bodyDiv w:val="1"/>
      <w:marLeft w:val="0"/>
      <w:marRight w:val="0"/>
      <w:marTop w:val="0"/>
      <w:marBottom w:val="0"/>
      <w:divBdr>
        <w:top w:val="none" w:sz="0" w:space="0" w:color="auto"/>
        <w:left w:val="none" w:sz="0" w:space="0" w:color="auto"/>
        <w:bottom w:val="none" w:sz="0" w:space="0" w:color="auto"/>
        <w:right w:val="none" w:sz="0" w:space="0" w:color="auto"/>
      </w:divBdr>
    </w:div>
    <w:div w:id="414207294">
      <w:bodyDiv w:val="1"/>
      <w:marLeft w:val="0"/>
      <w:marRight w:val="0"/>
      <w:marTop w:val="0"/>
      <w:marBottom w:val="0"/>
      <w:divBdr>
        <w:top w:val="none" w:sz="0" w:space="0" w:color="auto"/>
        <w:left w:val="none" w:sz="0" w:space="0" w:color="auto"/>
        <w:bottom w:val="none" w:sz="0" w:space="0" w:color="auto"/>
        <w:right w:val="none" w:sz="0" w:space="0" w:color="auto"/>
      </w:divBdr>
    </w:div>
    <w:div w:id="428278409">
      <w:bodyDiv w:val="1"/>
      <w:marLeft w:val="0"/>
      <w:marRight w:val="0"/>
      <w:marTop w:val="0"/>
      <w:marBottom w:val="0"/>
      <w:divBdr>
        <w:top w:val="none" w:sz="0" w:space="0" w:color="auto"/>
        <w:left w:val="none" w:sz="0" w:space="0" w:color="auto"/>
        <w:bottom w:val="none" w:sz="0" w:space="0" w:color="auto"/>
        <w:right w:val="none" w:sz="0" w:space="0" w:color="auto"/>
      </w:divBdr>
    </w:div>
    <w:div w:id="472526375">
      <w:bodyDiv w:val="1"/>
      <w:marLeft w:val="0"/>
      <w:marRight w:val="0"/>
      <w:marTop w:val="0"/>
      <w:marBottom w:val="0"/>
      <w:divBdr>
        <w:top w:val="none" w:sz="0" w:space="0" w:color="auto"/>
        <w:left w:val="none" w:sz="0" w:space="0" w:color="auto"/>
        <w:bottom w:val="none" w:sz="0" w:space="0" w:color="auto"/>
        <w:right w:val="none" w:sz="0" w:space="0" w:color="auto"/>
      </w:divBdr>
    </w:div>
    <w:div w:id="524753768">
      <w:bodyDiv w:val="1"/>
      <w:marLeft w:val="0"/>
      <w:marRight w:val="0"/>
      <w:marTop w:val="0"/>
      <w:marBottom w:val="0"/>
      <w:divBdr>
        <w:top w:val="none" w:sz="0" w:space="0" w:color="auto"/>
        <w:left w:val="none" w:sz="0" w:space="0" w:color="auto"/>
        <w:bottom w:val="none" w:sz="0" w:space="0" w:color="auto"/>
        <w:right w:val="none" w:sz="0" w:space="0" w:color="auto"/>
      </w:divBdr>
    </w:div>
    <w:div w:id="548155787">
      <w:bodyDiv w:val="1"/>
      <w:marLeft w:val="0"/>
      <w:marRight w:val="0"/>
      <w:marTop w:val="0"/>
      <w:marBottom w:val="0"/>
      <w:divBdr>
        <w:top w:val="none" w:sz="0" w:space="0" w:color="auto"/>
        <w:left w:val="none" w:sz="0" w:space="0" w:color="auto"/>
        <w:bottom w:val="none" w:sz="0" w:space="0" w:color="auto"/>
        <w:right w:val="none" w:sz="0" w:space="0" w:color="auto"/>
      </w:divBdr>
    </w:div>
    <w:div w:id="583295934">
      <w:bodyDiv w:val="1"/>
      <w:marLeft w:val="0"/>
      <w:marRight w:val="0"/>
      <w:marTop w:val="0"/>
      <w:marBottom w:val="0"/>
      <w:divBdr>
        <w:top w:val="none" w:sz="0" w:space="0" w:color="auto"/>
        <w:left w:val="none" w:sz="0" w:space="0" w:color="auto"/>
        <w:bottom w:val="none" w:sz="0" w:space="0" w:color="auto"/>
        <w:right w:val="none" w:sz="0" w:space="0" w:color="auto"/>
      </w:divBdr>
    </w:div>
    <w:div w:id="633292707">
      <w:bodyDiv w:val="1"/>
      <w:marLeft w:val="0"/>
      <w:marRight w:val="0"/>
      <w:marTop w:val="0"/>
      <w:marBottom w:val="0"/>
      <w:divBdr>
        <w:top w:val="none" w:sz="0" w:space="0" w:color="auto"/>
        <w:left w:val="none" w:sz="0" w:space="0" w:color="auto"/>
        <w:bottom w:val="none" w:sz="0" w:space="0" w:color="auto"/>
        <w:right w:val="none" w:sz="0" w:space="0" w:color="auto"/>
      </w:divBdr>
    </w:div>
    <w:div w:id="660694281">
      <w:bodyDiv w:val="1"/>
      <w:marLeft w:val="0"/>
      <w:marRight w:val="0"/>
      <w:marTop w:val="0"/>
      <w:marBottom w:val="0"/>
      <w:divBdr>
        <w:top w:val="none" w:sz="0" w:space="0" w:color="auto"/>
        <w:left w:val="none" w:sz="0" w:space="0" w:color="auto"/>
        <w:bottom w:val="none" w:sz="0" w:space="0" w:color="auto"/>
        <w:right w:val="none" w:sz="0" w:space="0" w:color="auto"/>
      </w:divBdr>
    </w:div>
    <w:div w:id="663977192">
      <w:bodyDiv w:val="1"/>
      <w:marLeft w:val="0"/>
      <w:marRight w:val="0"/>
      <w:marTop w:val="0"/>
      <w:marBottom w:val="0"/>
      <w:divBdr>
        <w:top w:val="none" w:sz="0" w:space="0" w:color="auto"/>
        <w:left w:val="none" w:sz="0" w:space="0" w:color="auto"/>
        <w:bottom w:val="none" w:sz="0" w:space="0" w:color="auto"/>
        <w:right w:val="none" w:sz="0" w:space="0" w:color="auto"/>
      </w:divBdr>
    </w:div>
    <w:div w:id="737440723">
      <w:bodyDiv w:val="1"/>
      <w:marLeft w:val="0"/>
      <w:marRight w:val="0"/>
      <w:marTop w:val="0"/>
      <w:marBottom w:val="0"/>
      <w:divBdr>
        <w:top w:val="none" w:sz="0" w:space="0" w:color="auto"/>
        <w:left w:val="none" w:sz="0" w:space="0" w:color="auto"/>
        <w:bottom w:val="none" w:sz="0" w:space="0" w:color="auto"/>
        <w:right w:val="none" w:sz="0" w:space="0" w:color="auto"/>
      </w:divBdr>
    </w:div>
    <w:div w:id="756445529">
      <w:bodyDiv w:val="1"/>
      <w:marLeft w:val="0"/>
      <w:marRight w:val="0"/>
      <w:marTop w:val="0"/>
      <w:marBottom w:val="0"/>
      <w:divBdr>
        <w:top w:val="none" w:sz="0" w:space="0" w:color="auto"/>
        <w:left w:val="none" w:sz="0" w:space="0" w:color="auto"/>
        <w:bottom w:val="none" w:sz="0" w:space="0" w:color="auto"/>
        <w:right w:val="none" w:sz="0" w:space="0" w:color="auto"/>
      </w:divBdr>
    </w:div>
    <w:div w:id="779420675">
      <w:bodyDiv w:val="1"/>
      <w:marLeft w:val="0"/>
      <w:marRight w:val="0"/>
      <w:marTop w:val="0"/>
      <w:marBottom w:val="0"/>
      <w:divBdr>
        <w:top w:val="none" w:sz="0" w:space="0" w:color="auto"/>
        <w:left w:val="none" w:sz="0" w:space="0" w:color="auto"/>
        <w:bottom w:val="none" w:sz="0" w:space="0" w:color="auto"/>
        <w:right w:val="none" w:sz="0" w:space="0" w:color="auto"/>
      </w:divBdr>
    </w:div>
    <w:div w:id="793452500">
      <w:bodyDiv w:val="1"/>
      <w:marLeft w:val="360"/>
      <w:marRight w:val="360"/>
      <w:marTop w:val="360"/>
      <w:marBottom w:val="360"/>
      <w:divBdr>
        <w:top w:val="none" w:sz="0" w:space="0" w:color="auto"/>
        <w:left w:val="none" w:sz="0" w:space="0" w:color="auto"/>
        <w:bottom w:val="none" w:sz="0" w:space="0" w:color="auto"/>
        <w:right w:val="none" w:sz="0" w:space="0" w:color="auto"/>
      </w:divBdr>
    </w:div>
    <w:div w:id="818880579">
      <w:bodyDiv w:val="1"/>
      <w:marLeft w:val="0"/>
      <w:marRight w:val="0"/>
      <w:marTop w:val="0"/>
      <w:marBottom w:val="0"/>
      <w:divBdr>
        <w:top w:val="none" w:sz="0" w:space="0" w:color="auto"/>
        <w:left w:val="none" w:sz="0" w:space="0" w:color="auto"/>
        <w:bottom w:val="none" w:sz="0" w:space="0" w:color="auto"/>
        <w:right w:val="none" w:sz="0" w:space="0" w:color="auto"/>
      </w:divBdr>
    </w:div>
    <w:div w:id="847016143">
      <w:bodyDiv w:val="1"/>
      <w:marLeft w:val="0"/>
      <w:marRight w:val="0"/>
      <w:marTop w:val="0"/>
      <w:marBottom w:val="0"/>
      <w:divBdr>
        <w:top w:val="none" w:sz="0" w:space="0" w:color="auto"/>
        <w:left w:val="none" w:sz="0" w:space="0" w:color="auto"/>
        <w:bottom w:val="none" w:sz="0" w:space="0" w:color="auto"/>
        <w:right w:val="none" w:sz="0" w:space="0" w:color="auto"/>
      </w:divBdr>
    </w:div>
    <w:div w:id="903373316">
      <w:bodyDiv w:val="1"/>
      <w:marLeft w:val="0"/>
      <w:marRight w:val="0"/>
      <w:marTop w:val="0"/>
      <w:marBottom w:val="0"/>
      <w:divBdr>
        <w:top w:val="none" w:sz="0" w:space="0" w:color="auto"/>
        <w:left w:val="none" w:sz="0" w:space="0" w:color="auto"/>
        <w:bottom w:val="none" w:sz="0" w:space="0" w:color="auto"/>
        <w:right w:val="none" w:sz="0" w:space="0" w:color="auto"/>
      </w:divBdr>
    </w:div>
    <w:div w:id="1017923741">
      <w:bodyDiv w:val="1"/>
      <w:marLeft w:val="0"/>
      <w:marRight w:val="0"/>
      <w:marTop w:val="0"/>
      <w:marBottom w:val="0"/>
      <w:divBdr>
        <w:top w:val="none" w:sz="0" w:space="0" w:color="auto"/>
        <w:left w:val="none" w:sz="0" w:space="0" w:color="auto"/>
        <w:bottom w:val="none" w:sz="0" w:space="0" w:color="auto"/>
        <w:right w:val="none" w:sz="0" w:space="0" w:color="auto"/>
      </w:divBdr>
    </w:div>
    <w:div w:id="1020473903">
      <w:bodyDiv w:val="1"/>
      <w:marLeft w:val="0"/>
      <w:marRight w:val="0"/>
      <w:marTop w:val="0"/>
      <w:marBottom w:val="0"/>
      <w:divBdr>
        <w:top w:val="none" w:sz="0" w:space="0" w:color="auto"/>
        <w:left w:val="none" w:sz="0" w:space="0" w:color="auto"/>
        <w:bottom w:val="none" w:sz="0" w:space="0" w:color="auto"/>
        <w:right w:val="none" w:sz="0" w:space="0" w:color="auto"/>
      </w:divBdr>
    </w:div>
    <w:div w:id="1065647912">
      <w:bodyDiv w:val="1"/>
      <w:marLeft w:val="0"/>
      <w:marRight w:val="0"/>
      <w:marTop w:val="0"/>
      <w:marBottom w:val="0"/>
      <w:divBdr>
        <w:top w:val="none" w:sz="0" w:space="0" w:color="auto"/>
        <w:left w:val="none" w:sz="0" w:space="0" w:color="auto"/>
        <w:bottom w:val="none" w:sz="0" w:space="0" w:color="auto"/>
        <w:right w:val="none" w:sz="0" w:space="0" w:color="auto"/>
      </w:divBdr>
    </w:div>
    <w:div w:id="1087340150">
      <w:bodyDiv w:val="1"/>
      <w:marLeft w:val="0"/>
      <w:marRight w:val="0"/>
      <w:marTop w:val="0"/>
      <w:marBottom w:val="0"/>
      <w:divBdr>
        <w:top w:val="none" w:sz="0" w:space="0" w:color="auto"/>
        <w:left w:val="none" w:sz="0" w:space="0" w:color="auto"/>
        <w:bottom w:val="none" w:sz="0" w:space="0" w:color="auto"/>
        <w:right w:val="none" w:sz="0" w:space="0" w:color="auto"/>
      </w:divBdr>
    </w:div>
    <w:div w:id="1119102859">
      <w:bodyDiv w:val="1"/>
      <w:marLeft w:val="0"/>
      <w:marRight w:val="0"/>
      <w:marTop w:val="0"/>
      <w:marBottom w:val="0"/>
      <w:divBdr>
        <w:top w:val="none" w:sz="0" w:space="0" w:color="auto"/>
        <w:left w:val="none" w:sz="0" w:space="0" w:color="auto"/>
        <w:bottom w:val="none" w:sz="0" w:space="0" w:color="auto"/>
        <w:right w:val="none" w:sz="0" w:space="0" w:color="auto"/>
      </w:divBdr>
    </w:div>
    <w:div w:id="1121729639">
      <w:bodyDiv w:val="1"/>
      <w:marLeft w:val="0"/>
      <w:marRight w:val="0"/>
      <w:marTop w:val="0"/>
      <w:marBottom w:val="0"/>
      <w:divBdr>
        <w:top w:val="none" w:sz="0" w:space="0" w:color="auto"/>
        <w:left w:val="none" w:sz="0" w:space="0" w:color="auto"/>
        <w:bottom w:val="none" w:sz="0" w:space="0" w:color="auto"/>
        <w:right w:val="none" w:sz="0" w:space="0" w:color="auto"/>
      </w:divBdr>
    </w:div>
    <w:div w:id="1137381739">
      <w:bodyDiv w:val="1"/>
      <w:marLeft w:val="0"/>
      <w:marRight w:val="0"/>
      <w:marTop w:val="0"/>
      <w:marBottom w:val="0"/>
      <w:divBdr>
        <w:top w:val="none" w:sz="0" w:space="0" w:color="auto"/>
        <w:left w:val="none" w:sz="0" w:space="0" w:color="auto"/>
        <w:bottom w:val="none" w:sz="0" w:space="0" w:color="auto"/>
        <w:right w:val="none" w:sz="0" w:space="0" w:color="auto"/>
      </w:divBdr>
    </w:div>
    <w:div w:id="1153257262">
      <w:bodyDiv w:val="1"/>
      <w:marLeft w:val="0"/>
      <w:marRight w:val="0"/>
      <w:marTop w:val="0"/>
      <w:marBottom w:val="0"/>
      <w:divBdr>
        <w:top w:val="none" w:sz="0" w:space="0" w:color="auto"/>
        <w:left w:val="none" w:sz="0" w:space="0" w:color="auto"/>
        <w:bottom w:val="none" w:sz="0" w:space="0" w:color="auto"/>
        <w:right w:val="none" w:sz="0" w:space="0" w:color="auto"/>
      </w:divBdr>
    </w:div>
    <w:div w:id="1160579185">
      <w:bodyDiv w:val="1"/>
      <w:marLeft w:val="0"/>
      <w:marRight w:val="0"/>
      <w:marTop w:val="0"/>
      <w:marBottom w:val="0"/>
      <w:divBdr>
        <w:top w:val="none" w:sz="0" w:space="0" w:color="auto"/>
        <w:left w:val="none" w:sz="0" w:space="0" w:color="auto"/>
        <w:bottom w:val="none" w:sz="0" w:space="0" w:color="auto"/>
        <w:right w:val="none" w:sz="0" w:space="0" w:color="auto"/>
      </w:divBdr>
    </w:div>
    <w:div w:id="1186792152">
      <w:bodyDiv w:val="1"/>
      <w:marLeft w:val="0"/>
      <w:marRight w:val="0"/>
      <w:marTop w:val="0"/>
      <w:marBottom w:val="0"/>
      <w:divBdr>
        <w:top w:val="none" w:sz="0" w:space="0" w:color="auto"/>
        <w:left w:val="none" w:sz="0" w:space="0" w:color="auto"/>
        <w:bottom w:val="none" w:sz="0" w:space="0" w:color="auto"/>
        <w:right w:val="none" w:sz="0" w:space="0" w:color="auto"/>
      </w:divBdr>
    </w:div>
    <w:div w:id="1273633222">
      <w:bodyDiv w:val="1"/>
      <w:marLeft w:val="0"/>
      <w:marRight w:val="0"/>
      <w:marTop w:val="0"/>
      <w:marBottom w:val="0"/>
      <w:divBdr>
        <w:top w:val="none" w:sz="0" w:space="0" w:color="auto"/>
        <w:left w:val="none" w:sz="0" w:space="0" w:color="auto"/>
        <w:bottom w:val="none" w:sz="0" w:space="0" w:color="auto"/>
        <w:right w:val="none" w:sz="0" w:space="0" w:color="auto"/>
      </w:divBdr>
    </w:div>
    <w:div w:id="1296132677">
      <w:bodyDiv w:val="1"/>
      <w:marLeft w:val="0"/>
      <w:marRight w:val="0"/>
      <w:marTop w:val="0"/>
      <w:marBottom w:val="0"/>
      <w:divBdr>
        <w:top w:val="none" w:sz="0" w:space="0" w:color="auto"/>
        <w:left w:val="none" w:sz="0" w:space="0" w:color="auto"/>
        <w:bottom w:val="none" w:sz="0" w:space="0" w:color="auto"/>
        <w:right w:val="none" w:sz="0" w:space="0" w:color="auto"/>
      </w:divBdr>
    </w:div>
    <w:div w:id="1320689414">
      <w:bodyDiv w:val="1"/>
      <w:marLeft w:val="0"/>
      <w:marRight w:val="0"/>
      <w:marTop w:val="0"/>
      <w:marBottom w:val="0"/>
      <w:divBdr>
        <w:top w:val="none" w:sz="0" w:space="0" w:color="auto"/>
        <w:left w:val="none" w:sz="0" w:space="0" w:color="auto"/>
        <w:bottom w:val="none" w:sz="0" w:space="0" w:color="auto"/>
        <w:right w:val="none" w:sz="0" w:space="0" w:color="auto"/>
      </w:divBdr>
    </w:div>
    <w:div w:id="1341859702">
      <w:bodyDiv w:val="1"/>
      <w:marLeft w:val="0"/>
      <w:marRight w:val="0"/>
      <w:marTop w:val="0"/>
      <w:marBottom w:val="0"/>
      <w:divBdr>
        <w:top w:val="none" w:sz="0" w:space="0" w:color="auto"/>
        <w:left w:val="none" w:sz="0" w:space="0" w:color="auto"/>
        <w:bottom w:val="none" w:sz="0" w:space="0" w:color="auto"/>
        <w:right w:val="none" w:sz="0" w:space="0" w:color="auto"/>
      </w:divBdr>
    </w:div>
    <w:div w:id="1403068305">
      <w:bodyDiv w:val="1"/>
      <w:marLeft w:val="0"/>
      <w:marRight w:val="0"/>
      <w:marTop w:val="0"/>
      <w:marBottom w:val="0"/>
      <w:divBdr>
        <w:top w:val="none" w:sz="0" w:space="0" w:color="auto"/>
        <w:left w:val="none" w:sz="0" w:space="0" w:color="auto"/>
        <w:bottom w:val="none" w:sz="0" w:space="0" w:color="auto"/>
        <w:right w:val="none" w:sz="0" w:space="0" w:color="auto"/>
      </w:divBdr>
    </w:div>
    <w:div w:id="1469471038">
      <w:bodyDiv w:val="1"/>
      <w:marLeft w:val="0"/>
      <w:marRight w:val="0"/>
      <w:marTop w:val="0"/>
      <w:marBottom w:val="0"/>
      <w:divBdr>
        <w:top w:val="none" w:sz="0" w:space="0" w:color="auto"/>
        <w:left w:val="none" w:sz="0" w:space="0" w:color="auto"/>
        <w:bottom w:val="none" w:sz="0" w:space="0" w:color="auto"/>
        <w:right w:val="none" w:sz="0" w:space="0" w:color="auto"/>
      </w:divBdr>
    </w:div>
    <w:div w:id="1530875391">
      <w:bodyDiv w:val="1"/>
      <w:marLeft w:val="0"/>
      <w:marRight w:val="0"/>
      <w:marTop w:val="0"/>
      <w:marBottom w:val="0"/>
      <w:divBdr>
        <w:top w:val="none" w:sz="0" w:space="0" w:color="auto"/>
        <w:left w:val="none" w:sz="0" w:space="0" w:color="auto"/>
        <w:bottom w:val="none" w:sz="0" w:space="0" w:color="auto"/>
        <w:right w:val="none" w:sz="0" w:space="0" w:color="auto"/>
      </w:divBdr>
    </w:div>
    <w:div w:id="1540629464">
      <w:bodyDiv w:val="1"/>
      <w:marLeft w:val="0"/>
      <w:marRight w:val="0"/>
      <w:marTop w:val="0"/>
      <w:marBottom w:val="0"/>
      <w:divBdr>
        <w:top w:val="none" w:sz="0" w:space="0" w:color="auto"/>
        <w:left w:val="none" w:sz="0" w:space="0" w:color="auto"/>
        <w:bottom w:val="none" w:sz="0" w:space="0" w:color="auto"/>
        <w:right w:val="none" w:sz="0" w:space="0" w:color="auto"/>
      </w:divBdr>
    </w:div>
    <w:div w:id="1562331341">
      <w:bodyDiv w:val="1"/>
      <w:marLeft w:val="0"/>
      <w:marRight w:val="0"/>
      <w:marTop w:val="0"/>
      <w:marBottom w:val="0"/>
      <w:divBdr>
        <w:top w:val="none" w:sz="0" w:space="0" w:color="auto"/>
        <w:left w:val="none" w:sz="0" w:space="0" w:color="auto"/>
        <w:bottom w:val="none" w:sz="0" w:space="0" w:color="auto"/>
        <w:right w:val="none" w:sz="0" w:space="0" w:color="auto"/>
      </w:divBdr>
    </w:div>
    <w:div w:id="1589070523">
      <w:bodyDiv w:val="1"/>
      <w:marLeft w:val="0"/>
      <w:marRight w:val="0"/>
      <w:marTop w:val="0"/>
      <w:marBottom w:val="0"/>
      <w:divBdr>
        <w:top w:val="none" w:sz="0" w:space="0" w:color="auto"/>
        <w:left w:val="none" w:sz="0" w:space="0" w:color="auto"/>
        <w:bottom w:val="none" w:sz="0" w:space="0" w:color="auto"/>
        <w:right w:val="none" w:sz="0" w:space="0" w:color="auto"/>
      </w:divBdr>
    </w:div>
    <w:div w:id="1593859900">
      <w:bodyDiv w:val="1"/>
      <w:marLeft w:val="0"/>
      <w:marRight w:val="0"/>
      <w:marTop w:val="0"/>
      <w:marBottom w:val="0"/>
      <w:divBdr>
        <w:top w:val="none" w:sz="0" w:space="0" w:color="auto"/>
        <w:left w:val="none" w:sz="0" w:space="0" w:color="auto"/>
        <w:bottom w:val="none" w:sz="0" w:space="0" w:color="auto"/>
        <w:right w:val="none" w:sz="0" w:space="0" w:color="auto"/>
      </w:divBdr>
    </w:div>
    <w:div w:id="1659797213">
      <w:bodyDiv w:val="1"/>
      <w:marLeft w:val="0"/>
      <w:marRight w:val="0"/>
      <w:marTop w:val="0"/>
      <w:marBottom w:val="0"/>
      <w:divBdr>
        <w:top w:val="none" w:sz="0" w:space="0" w:color="auto"/>
        <w:left w:val="none" w:sz="0" w:space="0" w:color="auto"/>
        <w:bottom w:val="none" w:sz="0" w:space="0" w:color="auto"/>
        <w:right w:val="none" w:sz="0" w:space="0" w:color="auto"/>
      </w:divBdr>
    </w:div>
    <w:div w:id="1675571908">
      <w:bodyDiv w:val="1"/>
      <w:marLeft w:val="0"/>
      <w:marRight w:val="0"/>
      <w:marTop w:val="0"/>
      <w:marBottom w:val="0"/>
      <w:divBdr>
        <w:top w:val="none" w:sz="0" w:space="0" w:color="auto"/>
        <w:left w:val="none" w:sz="0" w:space="0" w:color="auto"/>
        <w:bottom w:val="none" w:sz="0" w:space="0" w:color="auto"/>
        <w:right w:val="none" w:sz="0" w:space="0" w:color="auto"/>
      </w:divBdr>
    </w:div>
    <w:div w:id="1679576308">
      <w:bodyDiv w:val="1"/>
      <w:marLeft w:val="0"/>
      <w:marRight w:val="0"/>
      <w:marTop w:val="0"/>
      <w:marBottom w:val="0"/>
      <w:divBdr>
        <w:top w:val="none" w:sz="0" w:space="0" w:color="auto"/>
        <w:left w:val="none" w:sz="0" w:space="0" w:color="auto"/>
        <w:bottom w:val="none" w:sz="0" w:space="0" w:color="auto"/>
        <w:right w:val="none" w:sz="0" w:space="0" w:color="auto"/>
      </w:divBdr>
    </w:div>
    <w:div w:id="1694576008">
      <w:bodyDiv w:val="1"/>
      <w:marLeft w:val="0"/>
      <w:marRight w:val="0"/>
      <w:marTop w:val="0"/>
      <w:marBottom w:val="0"/>
      <w:divBdr>
        <w:top w:val="none" w:sz="0" w:space="0" w:color="auto"/>
        <w:left w:val="none" w:sz="0" w:space="0" w:color="auto"/>
        <w:bottom w:val="none" w:sz="0" w:space="0" w:color="auto"/>
        <w:right w:val="none" w:sz="0" w:space="0" w:color="auto"/>
      </w:divBdr>
    </w:div>
    <w:div w:id="1797488266">
      <w:bodyDiv w:val="1"/>
      <w:marLeft w:val="0"/>
      <w:marRight w:val="0"/>
      <w:marTop w:val="0"/>
      <w:marBottom w:val="0"/>
      <w:divBdr>
        <w:top w:val="none" w:sz="0" w:space="0" w:color="auto"/>
        <w:left w:val="none" w:sz="0" w:space="0" w:color="auto"/>
        <w:bottom w:val="none" w:sz="0" w:space="0" w:color="auto"/>
        <w:right w:val="none" w:sz="0" w:space="0" w:color="auto"/>
      </w:divBdr>
    </w:div>
    <w:div w:id="1838111160">
      <w:bodyDiv w:val="1"/>
      <w:marLeft w:val="0"/>
      <w:marRight w:val="0"/>
      <w:marTop w:val="0"/>
      <w:marBottom w:val="0"/>
      <w:divBdr>
        <w:top w:val="none" w:sz="0" w:space="0" w:color="auto"/>
        <w:left w:val="none" w:sz="0" w:space="0" w:color="auto"/>
        <w:bottom w:val="none" w:sz="0" w:space="0" w:color="auto"/>
        <w:right w:val="none" w:sz="0" w:space="0" w:color="auto"/>
      </w:divBdr>
    </w:div>
    <w:div w:id="1851211230">
      <w:bodyDiv w:val="1"/>
      <w:marLeft w:val="0"/>
      <w:marRight w:val="0"/>
      <w:marTop w:val="0"/>
      <w:marBottom w:val="0"/>
      <w:divBdr>
        <w:top w:val="none" w:sz="0" w:space="0" w:color="auto"/>
        <w:left w:val="none" w:sz="0" w:space="0" w:color="auto"/>
        <w:bottom w:val="none" w:sz="0" w:space="0" w:color="auto"/>
        <w:right w:val="none" w:sz="0" w:space="0" w:color="auto"/>
      </w:divBdr>
    </w:div>
    <w:div w:id="1974479502">
      <w:bodyDiv w:val="1"/>
      <w:marLeft w:val="0"/>
      <w:marRight w:val="0"/>
      <w:marTop w:val="0"/>
      <w:marBottom w:val="0"/>
      <w:divBdr>
        <w:top w:val="none" w:sz="0" w:space="0" w:color="auto"/>
        <w:left w:val="none" w:sz="0" w:space="0" w:color="auto"/>
        <w:bottom w:val="none" w:sz="0" w:space="0" w:color="auto"/>
        <w:right w:val="none" w:sz="0" w:space="0" w:color="auto"/>
      </w:divBdr>
    </w:div>
    <w:div w:id="1984774092">
      <w:bodyDiv w:val="1"/>
      <w:marLeft w:val="0"/>
      <w:marRight w:val="0"/>
      <w:marTop w:val="0"/>
      <w:marBottom w:val="0"/>
      <w:divBdr>
        <w:top w:val="none" w:sz="0" w:space="0" w:color="auto"/>
        <w:left w:val="none" w:sz="0" w:space="0" w:color="auto"/>
        <w:bottom w:val="none" w:sz="0" w:space="0" w:color="auto"/>
        <w:right w:val="none" w:sz="0" w:space="0" w:color="auto"/>
      </w:divBdr>
    </w:div>
    <w:div w:id="2039625420">
      <w:bodyDiv w:val="1"/>
      <w:marLeft w:val="360"/>
      <w:marRight w:val="360"/>
      <w:marTop w:val="360"/>
      <w:marBottom w:val="360"/>
      <w:divBdr>
        <w:top w:val="none" w:sz="0" w:space="0" w:color="auto"/>
        <w:left w:val="none" w:sz="0" w:space="0" w:color="auto"/>
        <w:bottom w:val="none" w:sz="0" w:space="0" w:color="auto"/>
        <w:right w:val="none" w:sz="0" w:space="0" w:color="auto"/>
      </w:divBdr>
    </w:div>
    <w:div w:id="2049211971">
      <w:bodyDiv w:val="1"/>
      <w:marLeft w:val="0"/>
      <w:marRight w:val="0"/>
      <w:marTop w:val="0"/>
      <w:marBottom w:val="0"/>
      <w:divBdr>
        <w:top w:val="none" w:sz="0" w:space="0" w:color="auto"/>
        <w:left w:val="none" w:sz="0" w:space="0" w:color="auto"/>
        <w:bottom w:val="none" w:sz="0" w:space="0" w:color="auto"/>
        <w:right w:val="none" w:sz="0" w:space="0" w:color="auto"/>
      </w:divBdr>
    </w:div>
    <w:div w:id="2055156737">
      <w:bodyDiv w:val="1"/>
      <w:marLeft w:val="0"/>
      <w:marRight w:val="0"/>
      <w:marTop w:val="0"/>
      <w:marBottom w:val="0"/>
      <w:divBdr>
        <w:top w:val="none" w:sz="0" w:space="0" w:color="auto"/>
        <w:left w:val="none" w:sz="0" w:space="0" w:color="auto"/>
        <w:bottom w:val="none" w:sz="0" w:space="0" w:color="auto"/>
        <w:right w:val="none" w:sz="0" w:space="0" w:color="auto"/>
      </w:divBdr>
    </w:div>
    <w:div w:id="2089034529">
      <w:bodyDiv w:val="1"/>
      <w:marLeft w:val="0"/>
      <w:marRight w:val="0"/>
      <w:marTop w:val="0"/>
      <w:marBottom w:val="0"/>
      <w:divBdr>
        <w:top w:val="none" w:sz="0" w:space="0" w:color="auto"/>
        <w:left w:val="none" w:sz="0" w:space="0" w:color="auto"/>
        <w:bottom w:val="none" w:sz="0" w:space="0" w:color="auto"/>
        <w:right w:val="none" w:sz="0" w:space="0" w:color="auto"/>
      </w:divBdr>
    </w:div>
    <w:div w:id="2111315804">
      <w:bodyDiv w:val="1"/>
      <w:marLeft w:val="0"/>
      <w:marRight w:val="0"/>
      <w:marTop w:val="0"/>
      <w:marBottom w:val="0"/>
      <w:divBdr>
        <w:top w:val="none" w:sz="0" w:space="0" w:color="auto"/>
        <w:left w:val="none" w:sz="0" w:space="0" w:color="auto"/>
        <w:bottom w:val="none" w:sz="0" w:space="0" w:color="auto"/>
        <w:right w:val="none" w:sz="0" w:space="0" w:color="auto"/>
      </w:divBdr>
    </w:div>
    <w:div w:id="213774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s://doi.org/10.1126/science.126175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02/sce.20173" TargetMode="External"/><Relationship Id="rId2" Type="http://schemas.openxmlformats.org/officeDocument/2006/relationships/styles" Target="styles.xml"/><Relationship Id="rId16" Type="http://schemas.openxmlformats.org/officeDocument/2006/relationships/hyperlink" Target="https://www.cur.org" TargetMode="External"/><Relationship Id="rId20" Type="http://schemas.openxmlformats.org/officeDocument/2006/relationships/hyperlink" Target="https://doi.org/10.1187/cbe.11-11-00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ched.gov.ph" TargetMode="External"/><Relationship Id="rId10" Type="http://schemas.openxmlformats.org/officeDocument/2006/relationships/footer" Target="footer2.xml"/><Relationship Id="rId19" Type="http://schemas.openxmlformats.org/officeDocument/2006/relationships/hyperlink" Target="https://doi.org/10.1080/13611267.2015.1126162"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4111</Words>
  <Characters>23439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Tools</dc:creator>
  <cp:keywords/>
  <dc:description/>
  <cp:lastModifiedBy>Editor-22</cp:lastModifiedBy>
  <cp:revision>27</cp:revision>
  <dcterms:created xsi:type="dcterms:W3CDTF">2025-05-28T05:07:00Z</dcterms:created>
  <dcterms:modified xsi:type="dcterms:W3CDTF">2025-05-28T12:25:00Z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ba29b4458acd4138e17681ffcc9962bba4ae3ff0f75965a3e59f930bf0966adb</vt:lpwstr>
  </property>
</Properties>
</file>