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B7F60" w14:textId="12977AF6" w:rsidR="00754C9A" w:rsidRDefault="00EC2A69" w:rsidP="00441B6F">
      <w:pPr>
        <w:pStyle w:val="Title"/>
        <w:spacing w:after="0"/>
        <w:jc w:val="both"/>
        <w:rPr>
          <w:rFonts w:ascii="Arial" w:hAnsi="Arial" w:cs="Arial"/>
        </w:rPr>
      </w:pPr>
      <w:bookmarkStart w:id="0" w:name="_GoBack"/>
      <w:bookmarkEnd w:id="0"/>
      <w:r w:rsidRPr="00EC2A69">
        <w:rPr>
          <w:rFonts w:ascii="Arial" w:hAnsi="Arial" w:cs="Arial"/>
          <w:bCs/>
          <w:i/>
          <w:iCs/>
          <w:u w:val="single"/>
        </w:rPr>
        <w:t>Original Research Article</w:t>
      </w:r>
    </w:p>
    <w:p w14:paraId="59FB09A1" w14:textId="4DF6026F" w:rsidR="00A258C3" w:rsidRDefault="007B30E2" w:rsidP="00CA1EC2">
      <w:pPr>
        <w:pStyle w:val="Author"/>
        <w:spacing w:line="240" w:lineRule="auto"/>
        <w:rPr>
          <w:rFonts w:ascii="Arial" w:hAnsi="Arial" w:cs="Arial"/>
          <w:bCs/>
          <w:iCs/>
          <w:kern w:val="28"/>
          <w:sz w:val="36"/>
        </w:rPr>
      </w:pPr>
      <w:bookmarkStart w:id="1" w:name="_Hlk198831274"/>
      <w:r>
        <w:rPr>
          <w:rFonts w:ascii="Arial" w:hAnsi="Arial" w:cs="Arial"/>
          <w:bCs/>
          <w:iCs/>
          <w:kern w:val="28"/>
          <w:sz w:val="36"/>
        </w:rPr>
        <w:t>Classroom Environment, Teaching Attitude, and Utilization of Vocabulary Retention Strategies of English Teachers</w:t>
      </w:r>
      <w:r w:rsidR="00CA1EC2" w:rsidRPr="00CA1EC2">
        <w:rPr>
          <w:rFonts w:ascii="Arial" w:hAnsi="Arial" w:cs="Arial"/>
          <w:bCs/>
          <w:iCs/>
          <w:kern w:val="28"/>
          <w:sz w:val="36"/>
        </w:rPr>
        <w:t xml:space="preserve"> </w:t>
      </w:r>
    </w:p>
    <w:bookmarkEnd w:id="1"/>
    <w:p w14:paraId="5ECFB33C" w14:textId="77777777" w:rsidR="00516ED9" w:rsidRPr="00790ADA" w:rsidRDefault="00516ED9" w:rsidP="00CA1EC2">
      <w:pPr>
        <w:pStyle w:val="Author"/>
        <w:spacing w:line="240" w:lineRule="auto"/>
        <w:rPr>
          <w:rFonts w:ascii="Arial" w:hAnsi="Arial" w:cs="Arial"/>
          <w:sz w:val="36"/>
        </w:rPr>
      </w:pPr>
    </w:p>
    <w:p w14:paraId="1F7BD1B0" w14:textId="77777777" w:rsidR="002C57D2" w:rsidRPr="00FB3A86" w:rsidRDefault="002C57D2" w:rsidP="00441B6F">
      <w:pPr>
        <w:pStyle w:val="Affiliation"/>
        <w:spacing w:after="0" w:line="240" w:lineRule="auto"/>
        <w:jc w:val="both"/>
        <w:rPr>
          <w:rFonts w:ascii="Arial" w:hAnsi="Arial" w:cs="Arial"/>
        </w:rPr>
      </w:pPr>
    </w:p>
    <w:p w14:paraId="1ECFF237" w14:textId="77777777" w:rsidR="00B01FCD" w:rsidRDefault="00683752"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5BDEF05" wp14:editId="702512EF">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A8AF9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68820BA" w14:textId="77777777" w:rsidR="007B30E2" w:rsidRDefault="007B30E2" w:rsidP="00441B6F">
      <w:pPr>
        <w:pStyle w:val="Copyright"/>
        <w:spacing w:after="0" w:line="240" w:lineRule="auto"/>
        <w:jc w:val="both"/>
        <w:rPr>
          <w:rFonts w:ascii="Arial" w:hAnsi="Arial" w:cs="Arial"/>
        </w:rPr>
      </w:pPr>
    </w:p>
    <w:p w14:paraId="6C28086E" w14:textId="012C5B8D" w:rsidR="007B30E2" w:rsidRPr="00FB3A86" w:rsidRDefault="007B30E2" w:rsidP="00441B6F">
      <w:pPr>
        <w:pStyle w:val="Copyright"/>
        <w:spacing w:after="0" w:line="240" w:lineRule="auto"/>
        <w:jc w:val="both"/>
        <w:rPr>
          <w:rFonts w:ascii="Arial" w:hAnsi="Arial" w:cs="Arial"/>
        </w:rPr>
        <w:sectPr w:rsidR="007B30E2" w:rsidRPr="00FB3A86" w:rsidSect="00AC02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6D84657" w14:textId="292BFE6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20F64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F137472" w14:textId="77777777" w:rsidTr="001E44FE">
        <w:tc>
          <w:tcPr>
            <w:tcW w:w="9576" w:type="dxa"/>
            <w:shd w:val="clear" w:color="auto" w:fill="F2F2F2"/>
          </w:tcPr>
          <w:p w14:paraId="17ABBBE5" w14:textId="77777777" w:rsidR="004471C3" w:rsidRDefault="004471C3" w:rsidP="00441B6F">
            <w:pPr>
              <w:pStyle w:val="Body"/>
              <w:spacing w:after="0"/>
              <w:rPr>
                <w:rFonts w:ascii="Arial" w:eastAsia="Calibri" w:hAnsi="Arial" w:cs="Arial"/>
                <w:szCs w:val="22"/>
              </w:rPr>
            </w:pPr>
          </w:p>
          <w:p w14:paraId="4FEDFB73" w14:textId="000D8F1F" w:rsidR="007B30E2" w:rsidRPr="00CB21EA" w:rsidRDefault="007B30E2" w:rsidP="007B30E2">
            <w:pPr>
              <w:jc w:val="both"/>
              <w:rPr>
                <w:rFonts w:ascii="Arial" w:hAnsi="Arial" w:cs="Arial"/>
              </w:rPr>
            </w:pPr>
            <w:r w:rsidRPr="00CB21EA">
              <w:rPr>
                <w:rFonts w:ascii="Arial" w:hAnsi="Arial" w:cs="Arial"/>
              </w:rPr>
              <w:t xml:space="preserve">Low </w:t>
            </w:r>
            <w:r w:rsidRPr="00330305">
              <w:rPr>
                <w:rFonts w:ascii="Arial" w:hAnsi="Arial" w:cs="Arial"/>
              </w:rPr>
              <w:t>Ineffective Utilization of Vocabulary Retention Strategies of English Teachers is a global concern. This study determined the significance of classroom environment and teaching attitude as predictors of utilization of vocabulary retention strategies. A multiple linear regression analysis was utilized, involving 100 samples selected through convenience sampling. It is concluded that classroom environment and teaching attitude significantly predict (72.7% combined degree of influence) the utilization of vocabulary retention strategies, supporting the expectancy-value theory. Further research may explore other variables not covered in the study to account for the 27.3% variance in the criterion variable to further support or deny the theory. Likewise, semi-annual vocabulary retention evaluations and training can improve classroom environment and teaching attitude.</w:t>
            </w:r>
          </w:p>
          <w:p w14:paraId="1B3B5AB4" w14:textId="67D5D154" w:rsidR="00505F06" w:rsidRPr="00BA1B01" w:rsidRDefault="00505F06" w:rsidP="00441B6F">
            <w:pPr>
              <w:pStyle w:val="Body"/>
              <w:spacing w:after="0"/>
              <w:rPr>
                <w:rFonts w:ascii="Arial" w:eastAsia="Calibri" w:hAnsi="Arial" w:cs="Arial"/>
                <w:szCs w:val="22"/>
              </w:rPr>
            </w:pPr>
          </w:p>
        </w:tc>
      </w:tr>
    </w:tbl>
    <w:p w14:paraId="38671713" w14:textId="77777777" w:rsidR="00636EB2" w:rsidRDefault="00636EB2" w:rsidP="00441B6F">
      <w:pPr>
        <w:pStyle w:val="Body"/>
        <w:spacing w:after="0"/>
        <w:rPr>
          <w:rFonts w:ascii="Arial" w:hAnsi="Arial" w:cs="Arial"/>
          <w:i/>
        </w:rPr>
      </w:pPr>
    </w:p>
    <w:p w14:paraId="3F700179" w14:textId="79F68AE2" w:rsidR="0024282C" w:rsidRPr="003D7A09" w:rsidRDefault="00A24E7E" w:rsidP="00441B6F">
      <w:pPr>
        <w:pStyle w:val="Body"/>
        <w:spacing w:after="0"/>
        <w:rPr>
          <w:rFonts w:ascii="Arial" w:hAnsi="Arial" w:cs="Arial"/>
          <w:i/>
        </w:rPr>
      </w:pPr>
      <w:r>
        <w:rPr>
          <w:rFonts w:ascii="Arial" w:hAnsi="Arial" w:cs="Arial"/>
          <w:i/>
        </w:rPr>
        <w:t xml:space="preserve">Keywords: </w:t>
      </w:r>
      <w:r w:rsidR="007B30E2" w:rsidRPr="007B30E2">
        <w:rPr>
          <w:rFonts w:ascii="Arial" w:hAnsi="Arial" w:cs="Arial"/>
          <w:i/>
        </w:rPr>
        <w:t>Classroom environment, teaching attitude, utilization of vocabulary retention strategies, English teachers</w:t>
      </w:r>
    </w:p>
    <w:p w14:paraId="46F543D1" w14:textId="77777777" w:rsidR="00505F06" w:rsidRPr="00A24E7E" w:rsidRDefault="00505F06" w:rsidP="00441B6F">
      <w:pPr>
        <w:pStyle w:val="Body"/>
        <w:spacing w:after="0"/>
        <w:rPr>
          <w:rFonts w:ascii="Arial" w:hAnsi="Arial" w:cs="Arial"/>
          <w:i/>
        </w:rPr>
      </w:pPr>
    </w:p>
    <w:p w14:paraId="4A377FFE" w14:textId="08E5118F" w:rsidR="007F7B32" w:rsidRDefault="00902823" w:rsidP="003D7A09">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E360FA9" w14:textId="77777777" w:rsidR="00790ADA" w:rsidRPr="00FB3A86" w:rsidRDefault="00790ADA" w:rsidP="00441B6F">
      <w:pPr>
        <w:pStyle w:val="AbstHead"/>
        <w:spacing w:after="0"/>
        <w:jc w:val="both"/>
        <w:rPr>
          <w:rFonts w:ascii="Arial" w:hAnsi="Arial" w:cs="Arial"/>
        </w:rPr>
      </w:pPr>
    </w:p>
    <w:p w14:paraId="3397318F" w14:textId="313655BA" w:rsidR="00AA48DA" w:rsidRPr="00AA48DA" w:rsidRDefault="00AA48DA" w:rsidP="00AA48DA">
      <w:pPr>
        <w:pStyle w:val="Body"/>
        <w:rPr>
          <w:rFonts w:ascii="Arial" w:hAnsi="Arial" w:cs="Arial"/>
        </w:rPr>
      </w:pPr>
      <w:r w:rsidRPr="00AA48DA">
        <w:rPr>
          <w:rFonts w:ascii="Arial" w:hAnsi="Arial" w:cs="Arial"/>
        </w:rPr>
        <w:t xml:space="preserve">The ineffective utilization of vocabulary retention strategies in classrooms has become a significant concern in a global context (Saadi &amp; Hamouda, 2023). Chiang et al. (2021) found that many English teachers struggle to utilize vocabulary retention strategies in class effectively despite their relevance. </w:t>
      </w:r>
    </w:p>
    <w:p w14:paraId="4A550966" w14:textId="77777777" w:rsidR="00AA48DA" w:rsidRPr="00AA48DA" w:rsidRDefault="00AA48DA" w:rsidP="00AA48DA">
      <w:pPr>
        <w:pStyle w:val="Body"/>
        <w:rPr>
          <w:rFonts w:ascii="Arial" w:hAnsi="Arial" w:cs="Arial"/>
        </w:rPr>
      </w:pPr>
      <w:r w:rsidRPr="00AA48DA">
        <w:rPr>
          <w:rFonts w:ascii="Arial" w:hAnsi="Arial" w:cs="Arial"/>
        </w:rPr>
        <w:t xml:space="preserve">In Ethiopia, Mohammed (2023) found that ineffective utilization of vocabulary retention strategies occurred in the sampled schools tested in their study. In Turkey, Bostanci (2022) discovered that there is an ineffective utilization of vocabulary retention strategies with their traditional methods. Moreover, in Indonesia, ineffective utilization of vocabulary retention strategies by the teachers was reported (Putri et al., 2022; Amalia et al., 2023). In the Philippines, Ramos and </w:t>
      </w:r>
      <w:proofErr w:type="spellStart"/>
      <w:r w:rsidRPr="00AA48DA">
        <w:rPr>
          <w:rFonts w:ascii="Arial" w:hAnsi="Arial" w:cs="Arial"/>
        </w:rPr>
        <w:t>Baldespiñosa</w:t>
      </w:r>
      <w:proofErr w:type="spellEnd"/>
      <w:r w:rsidRPr="00AA48DA">
        <w:rPr>
          <w:rFonts w:ascii="Arial" w:hAnsi="Arial" w:cs="Arial"/>
        </w:rPr>
        <w:t xml:space="preserve"> (2021) discovered that there is a general problem of ineffective utilization of vocabulary retention strategies, especially in environments without encouragement for innovation. </w:t>
      </w:r>
    </w:p>
    <w:p w14:paraId="2933B248" w14:textId="7AE0FEBD" w:rsidR="003D7A09" w:rsidRDefault="00AA48DA" w:rsidP="0074335A">
      <w:pPr>
        <w:pStyle w:val="Body"/>
        <w:rPr>
          <w:rFonts w:ascii="Arial" w:hAnsi="Arial" w:cs="Arial"/>
        </w:rPr>
      </w:pPr>
      <w:r w:rsidRPr="00AA48DA">
        <w:rPr>
          <w:rFonts w:ascii="Arial" w:hAnsi="Arial" w:cs="Arial"/>
        </w:rPr>
        <w:t>According to Nguyen (2022), the absence of effective retention strategies reduces vocabulary retention, which has a negative effect on learners' overall language development. Despite this urgency, there is a noticeable lack of locally published research specifically focusing on the ineffective utilization of vocabulary retention strategies of English teachers. Thus, this research is conducted.</w:t>
      </w:r>
    </w:p>
    <w:p w14:paraId="3574E77C" w14:textId="6FED8C96" w:rsidR="003D7A09" w:rsidRPr="003D7A09" w:rsidRDefault="0074335A" w:rsidP="003D7A09">
      <w:pPr>
        <w:pStyle w:val="Body"/>
        <w:jc w:val="left"/>
        <w:rPr>
          <w:rFonts w:ascii="Arial" w:hAnsi="Arial" w:cs="Arial"/>
          <w:b/>
          <w:bCs/>
          <w:sz w:val="22"/>
          <w:szCs w:val="22"/>
        </w:rPr>
      </w:pPr>
      <w:r>
        <w:rPr>
          <w:rFonts w:ascii="Arial" w:hAnsi="Arial" w:cs="Arial"/>
          <w:b/>
          <w:bCs/>
          <w:sz w:val="22"/>
          <w:szCs w:val="22"/>
        </w:rPr>
        <w:t>1</w:t>
      </w:r>
      <w:r w:rsidR="003D7A09" w:rsidRPr="003D7A09">
        <w:rPr>
          <w:rFonts w:ascii="Arial" w:hAnsi="Arial" w:cs="Arial"/>
          <w:b/>
          <w:bCs/>
          <w:sz w:val="22"/>
          <w:szCs w:val="22"/>
        </w:rPr>
        <w:t xml:space="preserve">.1 </w:t>
      </w:r>
      <w:r w:rsidR="00047501">
        <w:rPr>
          <w:rFonts w:ascii="Arial" w:hAnsi="Arial" w:cs="Arial"/>
          <w:b/>
          <w:bCs/>
          <w:sz w:val="22"/>
          <w:szCs w:val="22"/>
        </w:rPr>
        <w:t>SIGNIFICANCE OF THE STUDY</w:t>
      </w:r>
    </w:p>
    <w:p w14:paraId="3593D8E2" w14:textId="75F729C1" w:rsidR="00047501" w:rsidRPr="00047501" w:rsidRDefault="00047501" w:rsidP="00047501">
      <w:pPr>
        <w:pStyle w:val="Body"/>
        <w:rPr>
          <w:rFonts w:ascii="Arial" w:hAnsi="Arial" w:cs="Arial"/>
        </w:rPr>
      </w:pPr>
      <w:r w:rsidRPr="00047501">
        <w:rPr>
          <w:rFonts w:ascii="Arial" w:hAnsi="Arial" w:cs="Arial"/>
        </w:rPr>
        <w:lastRenderedPageBreak/>
        <w:t xml:space="preserve">This study was highly beneficial to educators, administrators, and lawmakers. Based on the findings, the Department of Education could utilize the results of the study to improve the quality of education in the Philippines by crafting a curriculum that addresses the ineffective utilization of vocabulary retention strategies by English teachers and providing them with training to maximize student engagement and learning outcomes. </w:t>
      </w:r>
    </w:p>
    <w:p w14:paraId="284749DF" w14:textId="141FCCF5" w:rsidR="003D7A09" w:rsidRDefault="00047501" w:rsidP="00047501">
      <w:pPr>
        <w:pStyle w:val="Body"/>
        <w:rPr>
          <w:rFonts w:ascii="Arial" w:hAnsi="Arial" w:cs="Arial"/>
        </w:rPr>
      </w:pPr>
      <w:r w:rsidRPr="00047501">
        <w:rPr>
          <w:rFonts w:ascii="Arial" w:hAnsi="Arial" w:cs="Arial"/>
        </w:rPr>
        <w:t>The results also offered teachers evidence-based strategies to enhance their use of vocabulary retention techniques. By creating a positive classroom environment, teachers could better support students in developing and maintaining their English language proficiency, ultimately improving overall student outcomes. This study contributed to the existing literature by offering new perspectives on improving the utilization of vocabulary retention strategies among English teachers, particularly emphasizing the need for positive teaching attitudes and a supportive classroom environment to implement these strategies effectively.</w:t>
      </w:r>
    </w:p>
    <w:p w14:paraId="0E11AC5D" w14:textId="1F758A5A" w:rsidR="003D7A09" w:rsidRPr="003D7A09" w:rsidRDefault="0074335A" w:rsidP="003D7A09">
      <w:pPr>
        <w:pStyle w:val="Body"/>
        <w:jc w:val="left"/>
        <w:rPr>
          <w:rFonts w:ascii="Arial" w:hAnsi="Arial" w:cs="Arial"/>
          <w:b/>
          <w:bCs/>
          <w:sz w:val="22"/>
          <w:szCs w:val="22"/>
        </w:rPr>
      </w:pPr>
      <w:r>
        <w:rPr>
          <w:rFonts w:ascii="Arial" w:hAnsi="Arial" w:cs="Arial"/>
          <w:b/>
          <w:bCs/>
          <w:sz w:val="22"/>
          <w:szCs w:val="22"/>
        </w:rPr>
        <w:t>1</w:t>
      </w:r>
      <w:r w:rsidR="003D7A09" w:rsidRPr="003D7A09">
        <w:rPr>
          <w:rFonts w:ascii="Arial" w:hAnsi="Arial" w:cs="Arial"/>
          <w:b/>
          <w:bCs/>
          <w:sz w:val="22"/>
          <w:szCs w:val="22"/>
        </w:rPr>
        <w:t>.</w:t>
      </w:r>
      <w:r w:rsidR="003D7A09">
        <w:rPr>
          <w:rFonts w:ascii="Arial" w:hAnsi="Arial" w:cs="Arial"/>
          <w:b/>
          <w:bCs/>
          <w:sz w:val="22"/>
          <w:szCs w:val="22"/>
        </w:rPr>
        <w:t>2</w:t>
      </w:r>
      <w:r w:rsidR="003D7A09" w:rsidRPr="003D7A09">
        <w:rPr>
          <w:rFonts w:ascii="Arial" w:hAnsi="Arial" w:cs="Arial"/>
          <w:b/>
          <w:bCs/>
          <w:sz w:val="22"/>
          <w:szCs w:val="22"/>
        </w:rPr>
        <w:t xml:space="preserve"> </w:t>
      </w:r>
      <w:r w:rsidR="00047501">
        <w:rPr>
          <w:rFonts w:ascii="Arial" w:hAnsi="Arial" w:cs="Arial"/>
          <w:b/>
          <w:bCs/>
          <w:sz w:val="22"/>
          <w:szCs w:val="22"/>
        </w:rPr>
        <w:t>STATEMENT OF THE PROBLEM</w:t>
      </w:r>
    </w:p>
    <w:p w14:paraId="276703E2" w14:textId="1F47B1F1" w:rsidR="00BD5A33" w:rsidRPr="00BD5A33" w:rsidRDefault="00BD5A33" w:rsidP="00BD5A33">
      <w:pPr>
        <w:pStyle w:val="Body"/>
        <w:rPr>
          <w:rFonts w:ascii="Arial" w:hAnsi="Arial" w:cs="Arial"/>
        </w:rPr>
      </w:pPr>
      <w:r w:rsidRPr="00BD5A33">
        <w:rPr>
          <w:rFonts w:ascii="Arial" w:hAnsi="Arial" w:cs="Arial"/>
        </w:rPr>
        <w:t xml:space="preserve">This study determined the significance of classroom environment and attitude as predictors of utilization of vocabulary retention strategies of English teachers. Specifically, it pursued the following objectives: </w:t>
      </w:r>
    </w:p>
    <w:p w14:paraId="360CC354" w14:textId="7FBBB018" w:rsidR="00BD5A33" w:rsidRPr="00BD5A33" w:rsidRDefault="00BD5A33" w:rsidP="00BD5A33">
      <w:pPr>
        <w:pStyle w:val="Body"/>
        <w:ind w:left="284"/>
        <w:rPr>
          <w:rFonts w:ascii="Arial" w:hAnsi="Arial" w:cs="Arial"/>
        </w:rPr>
      </w:pPr>
      <w:r w:rsidRPr="00BD5A33">
        <w:rPr>
          <w:rFonts w:ascii="Arial" w:hAnsi="Arial" w:cs="Arial"/>
        </w:rPr>
        <w:t>1.</w:t>
      </w:r>
      <w:r>
        <w:rPr>
          <w:rFonts w:ascii="Arial" w:hAnsi="Arial" w:cs="Arial"/>
        </w:rPr>
        <w:t xml:space="preserve"> </w:t>
      </w:r>
      <w:r w:rsidRPr="00BD5A33">
        <w:rPr>
          <w:rFonts w:ascii="Arial" w:hAnsi="Arial" w:cs="Arial"/>
        </w:rPr>
        <w:t>To determine the levels of classroom environment in terms of engagement, student-teacher relationship, opportunity to understand, socio-emotional climate, and teacher attitude; teaching attitude in terms of cognitive, affective, and behavioral; and utilization of vocabulary retention strategies of English teachers in terms of beliefs about vocabulary learning, metacognitive strategies, rehearsal, encoding, and activation.</w:t>
      </w:r>
    </w:p>
    <w:p w14:paraId="22AE3945" w14:textId="7533E784" w:rsidR="00BD5A33" w:rsidRPr="00BD5A33" w:rsidRDefault="00BD5A33" w:rsidP="00BD5A33">
      <w:pPr>
        <w:pStyle w:val="Body"/>
        <w:ind w:left="284"/>
        <w:rPr>
          <w:rFonts w:ascii="Arial" w:hAnsi="Arial" w:cs="Arial"/>
        </w:rPr>
      </w:pPr>
      <w:r w:rsidRPr="00BD5A33">
        <w:rPr>
          <w:rFonts w:ascii="Arial" w:hAnsi="Arial" w:cs="Arial"/>
        </w:rPr>
        <w:t>2.</w:t>
      </w:r>
      <w:r>
        <w:rPr>
          <w:rFonts w:ascii="Arial" w:hAnsi="Arial" w:cs="Arial"/>
        </w:rPr>
        <w:t xml:space="preserve"> </w:t>
      </w:r>
      <w:r w:rsidRPr="00BD5A33">
        <w:rPr>
          <w:rFonts w:ascii="Arial" w:hAnsi="Arial" w:cs="Arial"/>
        </w:rPr>
        <w:t>To determine the significance of the correlation between classroom environment, and teaching attitude, and the utilization of vocabulary retention strategies of English teachers.</w:t>
      </w:r>
    </w:p>
    <w:p w14:paraId="6872A6DE" w14:textId="2AFDC312" w:rsidR="003D7A09" w:rsidRPr="003D7A09" w:rsidRDefault="00BD5A33" w:rsidP="00BD5A33">
      <w:pPr>
        <w:pStyle w:val="Body"/>
        <w:ind w:left="284"/>
        <w:rPr>
          <w:rFonts w:ascii="Arial" w:hAnsi="Arial" w:cs="Arial"/>
        </w:rPr>
      </w:pPr>
      <w:r w:rsidRPr="00BD5A33">
        <w:rPr>
          <w:rFonts w:ascii="Arial" w:hAnsi="Arial" w:cs="Arial"/>
        </w:rPr>
        <w:t>3.</w:t>
      </w:r>
      <w:r>
        <w:rPr>
          <w:rFonts w:ascii="Arial" w:hAnsi="Arial" w:cs="Arial"/>
        </w:rPr>
        <w:t xml:space="preserve"> </w:t>
      </w:r>
      <w:r w:rsidRPr="00BD5A33">
        <w:rPr>
          <w:rFonts w:ascii="Arial" w:hAnsi="Arial" w:cs="Arial"/>
        </w:rPr>
        <w:t>To determine the significance of the individual and combined degree of influence of classroom environment and teaching attitude on utilization of vocabulary retention strategies of English teachers</w:t>
      </w:r>
      <w:r w:rsidR="00047501" w:rsidRPr="00047501">
        <w:rPr>
          <w:rFonts w:ascii="Arial" w:hAnsi="Arial" w:cs="Arial"/>
        </w:rPr>
        <w:t>.</w:t>
      </w:r>
    </w:p>
    <w:p w14:paraId="24F6F6F0" w14:textId="59E1C41F" w:rsidR="00047501" w:rsidRPr="003D7A09" w:rsidRDefault="0074335A" w:rsidP="00047501">
      <w:pPr>
        <w:pStyle w:val="Body"/>
        <w:jc w:val="left"/>
        <w:rPr>
          <w:rFonts w:ascii="Arial" w:hAnsi="Arial" w:cs="Arial"/>
          <w:b/>
          <w:bCs/>
          <w:sz w:val="22"/>
          <w:szCs w:val="22"/>
        </w:rPr>
      </w:pPr>
      <w:r>
        <w:rPr>
          <w:rFonts w:ascii="Arial" w:hAnsi="Arial" w:cs="Arial"/>
          <w:b/>
          <w:bCs/>
          <w:sz w:val="22"/>
          <w:szCs w:val="22"/>
        </w:rPr>
        <w:t>1</w:t>
      </w:r>
      <w:r w:rsidR="00047501" w:rsidRPr="003D7A09">
        <w:rPr>
          <w:rFonts w:ascii="Arial" w:hAnsi="Arial" w:cs="Arial"/>
          <w:b/>
          <w:bCs/>
          <w:sz w:val="22"/>
          <w:szCs w:val="22"/>
        </w:rPr>
        <w:t>.</w:t>
      </w:r>
      <w:r w:rsidR="00047501">
        <w:rPr>
          <w:rFonts w:ascii="Arial" w:hAnsi="Arial" w:cs="Arial"/>
          <w:b/>
          <w:bCs/>
          <w:sz w:val="22"/>
          <w:szCs w:val="22"/>
        </w:rPr>
        <w:t>3</w:t>
      </w:r>
      <w:r w:rsidR="00047501" w:rsidRPr="003D7A09">
        <w:rPr>
          <w:rFonts w:ascii="Arial" w:hAnsi="Arial" w:cs="Arial"/>
          <w:b/>
          <w:bCs/>
          <w:sz w:val="22"/>
          <w:szCs w:val="22"/>
        </w:rPr>
        <w:t xml:space="preserve"> </w:t>
      </w:r>
      <w:r w:rsidR="00047501">
        <w:rPr>
          <w:rFonts w:ascii="Arial" w:hAnsi="Arial" w:cs="Arial"/>
          <w:b/>
          <w:bCs/>
          <w:sz w:val="22"/>
          <w:szCs w:val="22"/>
        </w:rPr>
        <w:t>HYPOTHESES</w:t>
      </w:r>
    </w:p>
    <w:p w14:paraId="2F660F74" w14:textId="092FDD40" w:rsidR="00BD5A33" w:rsidRPr="00BD5A33" w:rsidRDefault="00BD5A33" w:rsidP="00BD5A33">
      <w:pPr>
        <w:pStyle w:val="Body"/>
        <w:rPr>
          <w:rFonts w:ascii="Arial" w:hAnsi="Arial" w:cs="Arial"/>
        </w:rPr>
      </w:pPr>
      <w:r w:rsidRPr="00BD5A33">
        <w:rPr>
          <w:rFonts w:ascii="Arial" w:hAnsi="Arial" w:cs="Arial"/>
        </w:rPr>
        <w:t xml:space="preserve">The following null hypotheses were tested at a significance level of 0.5 </w:t>
      </w:r>
    </w:p>
    <w:p w14:paraId="796BA3F6" w14:textId="77777777" w:rsidR="00BD5A33" w:rsidRPr="00BD5A33" w:rsidRDefault="00BD5A33" w:rsidP="00BD5A33">
      <w:pPr>
        <w:pStyle w:val="Body"/>
        <w:rPr>
          <w:rFonts w:ascii="Arial" w:hAnsi="Arial" w:cs="Arial"/>
        </w:rPr>
      </w:pPr>
      <w:r w:rsidRPr="00BD5A33">
        <w:rPr>
          <w:rFonts w:ascii="Arial" w:hAnsi="Arial" w:cs="Arial"/>
        </w:rPr>
        <w:t>Ho1: Classroom environment and teaching attitude are not significantly correlated with the utilization of vocabulary retention strategies.</w:t>
      </w:r>
    </w:p>
    <w:p w14:paraId="11786E97" w14:textId="317E17DE" w:rsidR="003D7A09" w:rsidRPr="003D7A09" w:rsidRDefault="00BD5A33" w:rsidP="00BD5A33">
      <w:pPr>
        <w:pStyle w:val="Body"/>
        <w:rPr>
          <w:rFonts w:ascii="Arial" w:hAnsi="Arial" w:cs="Arial"/>
        </w:rPr>
      </w:pPr>
      <w:r w:rsidRPr="00BD5A33">
        <w:rPr>
          <w:rFonts w:ascii="Arial" w:hAnsi="Arial" w:cs="Arial"/>
        </w:rPr>
        <w:t>Ho2: Classroom environment and teaching attitude do not significantly influence the utilization of vocabulary retention strategies.</w:t>
      </w:r>
    </w:p>
    <w:p w14:paraId="78F7A382" w14:textId="3DB39D30" w:rsidR="00047501" w:rsidRPr="003D7A09" w:rsidRDefault="0074335A" w:rsidP="00047501">
      <w:pPr>
        <w:pStyle w:val="Body"/>
        <w:jc w:val="left"/>
        <w:rPr>
          <w:rFonts w:ascii="Arial" w:hAnsi="Arial" w:cs="Arial"/>
          <w:b/>
          <w:bCs/>
          <w:sz w:val="22"/>
          <w:szCs w:val="22"/>
        </w:rPr>
      </w:pPr>
      <w:r>
        <w:rPr>
          <w:rFonts w:ascii="Arial" w:hAnsi="Arial" w:cs="Arial"/>
          <w:b/>
          <w:bCs/>
          <w:sz w:val="22"/>
          <w:szCs w:val="22"/>
        </w:rPr>
        <w:t>1</w:t>
      </w:r>
      <w:r w:rsidR="00047501" w:rsidRPr="003D7A09">
        <w:rPr>
          <w:rFonts w:ascii="Arial" w:hAnsi="Arial" w:cs="Arial"/>
          <w:b/>
          <w:bCs/>
          <w:sz w:val="22"/>
          <w:szCs w:val="22"/>
        </w:rPr>
        <w:t>.</w:t>
      </w:r>
      <w:r w:rsidR="00047501">
        <w:rPr>
          <w:rFonts w:ascii="Arial" w:hAnsi="Arial" w:cs="Arial"/>
          <w:b/>
          <w:bCs/>
          <w:sz w:val="22"/>
          <w:szCs w:val="22"/>
        </w:rPr>
        <w:t>4</w:t>
      </w:r>
      <w:r w:rsidR="00047501" w:rsidRPr="003D7A09">
        <w:rPr>
          <w:rFonts w:ascii="Arial" w:hAnsi="Arial" w:cs="Arial"/>
          <w:b/>
          <w:bCs/>
          <w:sz w:val="22"/>
          <w:szCs w:val="22"/>
        </w:rPr>
        <w:t xml:space="preserve"> </w:t>
      </w:r>
      <w:r w:rsidR="00047501">
        <w:rPr>
          <w:rFonts w:ascii="Arial" w:hAnsi="Arial" w:cs="Arial"/>
          <w:b/>
          <w:bCs/>
          <w:sz w:val="22"/>
          <w:szCs w:val="22"/>
        </w:rPr>
        <w:t>THEORETICAL FRAMEWORK</w:t>
      </w:r>
    </w:p>
    <w:p w14:paraId="2BDBBF7D" w14:textId="4754D7BF" w:rsidR="003D7A09" w:rsidRDefault="00047501" w:rsidP="003D7A09">
      <w:pPr>
        <w:pStyle w:val="Body"/>
        <w:spacing w:after="0"/>
        <w:rPr>
          <w:rFonts w:ascii="Arial" w:hAnsi="Arial" w:cs="Arial"/>
        </w:rPr>
      </w:pPr>
      <w:r w:rsidRPr="00047501">
        <w:rPr>
          <w:rFonts w:ascii="Arial" w:hAnsi="Arial" w:cs="Arial"/>
        </w:rPr>
        <w:t>This study is anchored on the Expectancy-Value Theory (EVT) of Eccles and Wigfield (2002). This theory posits that an individual’s choice, persistence, and performance can be explained by their beliefs about how well they will do on the activity (expectancy beliefs) and the extent to which they value the activity (Roberts, 2007). In this study, the classroom environment indicated by engagement, student-teacher relationship, opportunity to understand, socio-emotional climate, and teacher attitude (</w:t>
      </w:r>
      <w:proofErr w:type="spellStart"/>
      <w:r w:rsidRPr="00047501">
        <w:rPr>
          <w:rFonts w:ascii="Arial" w:hAnsi="Arial" w:cs="Arial"/>
        </w:rPr>
        <w:t>Wanderi</w:t>
      </w:r>
      <w:proofErr w:type="spellEnd"/>
      <w:r w:rsidRPr="00047501">
        <w:rPr>
          <w:rFonts w:ascii="Arial" w:hAnsi="Arial" w:cs="Arial"/>
        </w:rPr>
        <w:t xml:space="preserve">, 2015) stands for value ideas presented in the theory. The teaching attitude indicated by cognitive, affective and behavioral (Ford, 1995) </w:t>
      </w:r>
      <w:r w:rsidRPr="00047501">
        <w:rPr>
          <w:rFonts w:ascii="Arial" w:hAnsi="Arial" w:cs="Arial"/>
        </w:rPr>
        <w:lastRenderedPageBreak/>
        <w:t>stands for expectancy beliefs idea presented in the theory. Finally, utilization of vocabulary retention strategies of English teachers indicated by beliefs about vocabulary learning, metacognitive strategies, rehearsal, encoding, and activation (Gu, 2018) stands for the choice, persistence and performance idea presented in the theory.</w:t>
      </w:r>
    </w:p>
    <w:p w14:paraId="183EA37A" w14:textId="478F6BDB" w:rsidR="003D7A09" w:rsidRDefault="003D7A09" w:rsidP="003D7A09">
      <w:pPr>
        <w:pStyle w:val="Body"/>
        <w:spacing w:after="0"/>
        <w:rPr>
          <w:rFonts w:ascii="Arial" w:hAnsi="Arial" w:cs="Arial"/>
        </w:rPr>
      </w:pPr>
    </w:p>
    <w:p w14:paraId="3D839E6F" w14:textId="31D26A71" w:rsidR="00047501" w:rsidRDefault="0074335A" w:rsidP="00047501">
      <w:pPr>
        <w:pStyle w:val="Body"/>
        <w:jc w:val="left"/>
        <w:rPr>
          <w:rFonts w:ascii="Arial" w:hAnsi="Arial" w:cs="Arial"/>
          <w:b/>
          <w:bCs/>
          <w:sz w:val="22"/>
          <w:szCs w:val="22"/>
        </w:rPr>
      </w:pPr>
      <w:r>
        <w:rPr>
          <w:rFonts w:ascii="Arial" w:hAnsi="Arial" w:cs="Arial"/>
          <w:b/>
          <w:bCs/>
          <w:sz w:val="22"/>
          <w:szCs w:val="22"/>
        </w:rPr>
        <w:t>1</w:t>
      </w:r>
      <w:r w:rsidR="00047501" w:rsidRPr="003D7A09">
        <w:rPr>
          <w:rFonts w:ascii="Arial" w:hAnsi="Arial" w:cs="Arial"/>
          <w:b/>
          <w:bCs/>
          <w:sz w:val="22"/>
          <w:szCs w:val="22"/>
        </w:rPr>
        <w:t>.</w:t>
      </w:r>
      <w:r>
        <w:rPr>
          <w:rFonts w:ascii="Arial" w:hAnsi="Arial" w:cs="Arial"/>
          <w:b/>
          <w:bCs/>
          <w:sz w:val="22"/>
          <w:szCs w:val="22"/>
        </w:rPr>
        <w:t>4.1</w:t>
      </w:r>
      <w:r w:rsidR="00047501" w:rsidRPr="003D7A09">
        <w:rPr>
          <w:rFonts w:ascii="Arial" w:hAnsi="Arial" w:cs="Arial"/>
          <w:b/>
          <w:bCs/>
          <w:sz w:val="22"/>
          <w:szCs w:val="22"/>
        </w:rPr>
        <w:t xml:space="preserve"> </w:t>
      </w:r>
      <w:r w:rsidR="00047501">
        <w:rPr>
          <w:rFonts w:ascii="Arial" w:hAnsi="Arial" w:cs="Arial"/>
          <w:b/>
          <w:bCs/>
          <w:sz w:val="22"/>
          <w:szCs w:val="22"/>
        </w:rPr>
        <w:t>CONCEPTUAL FRAMEWORK</w:t>
      </w:r>
    </w:p>
    <w:p w14:paraId="52FFB268" w14:textId="56295C02" w:rsidR="007D1A88" w:rsidRPr="00AC0D21" w:rsidRDefault="007D1A88" w:rsidP="007D1A88">
      <w:pPr>
        <w:pStyle w:val="NoSpacing"/>
        <w:widowControl w:val="0"/>
        <w:spacing w:line="480" w:lineRule="auto"/>
        <w:ind w:firstLine="720"/>
        <w:jc w:val="center"/>
        <w:rPr>
          <w:rFonts w:ascii="Arial" w:hAnsi="Arial" w:cs="Arial"/>
          <w:b/>
          <w:bCs/>
          <w:sz w:val="24"/>
          <w:szCs w:val="24"/>
        </w:rPr>
      </w:pPr>
      <w:r w:rsidRPr="00AC0D21">
        <w:rPr>
          <w:rFonts w:ascii="Arial" w:hAnsi="Arial" w:cs="Arial"/>
          <w:b/>
          <w:bCs/>
          <w:i/>
          <w:iCs/>
          <w:noProof/>
          <w:sz w:val="24"/>
          <w:szCs w:val="24"/>
          <w:lang w:val="en-US"/>
        </w:rPr>
        <mc:AlternateContent>
          <mc:Choice Requires="wps">
            <w:drawing>
              <wp:anchor distT="0" distB="0" distL="114300" distR="114300" simplePos="0" relativeHeight="251660288" behindDoc="0" locked="0" layoutInCell="1" allowOverlap="1" wp14:anchorId="3B7DBC6B" wp14:editId="7B7008C0">
                <wp:simplePos x="0" y="0"/>
                <wp:positionH relativeFrom="margin">
                  <wp:posOffset>182935</wp:posOffset>
                </wp:positionH>
                <wp:positionV relativeFrom="paragraph">
                  <wp:posOffset>9111</wp:posOffset>
                </wp:positionV>
                <wp:extent cx="2080895" cy="1470991"/>
                <wp:effectExtent l="0" t="0" r="14605" b="15240"/>
                <wp:wrapNone/>
                <wp:docPr id="949710550" name="Rectangle 1"/>
                <wp:cNvGraphicFramePr/>
                <a:graphic xmlns:a="http://schemas.openxmlformats.org/drawingml/2006/main">
                  <a:graphicData uri="http://schemas.microsoft.com/office/word/2010/wordprocessingShape">
                    <wps:wsp>
                      <wps:cNvSpPr/>
                      <wps:spPr>
                        <a:xfrm>
                          <a:off x="0" y="0"/>
                          <a:ext cx="2080895" cy="147099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91AE99" w14:textId="77777777" w:rsidR="007D1A88" w:rsidRPr="007D1A88" w:rsidRDefault="007D1A88" w:rsidP="007D1A88">
                            <w:pPr>
                              <w:jc w:val="center"/>
                              <w:rPr>
                                <w:rFonts w:ascii="Arial" w:hAnsi="Arial" w:cs="Arial"/>
                                <w:b/>
                                <w:bCs/>
                                <w:color w:val="000000" w:themeColor="text1"/>
                              </w:rPr>
                            </w:pPr>
                            <w:r w:rsidRPr="007D1A88">
                              <w:rPr>
                                <w:rFonts w:ascii="Arial" w:hAnsi="Arial" w:cs="Arial"/>
                                <w:b/>
                                <w:bCs/>
                                <w:color w:val="000000" w:themeColor="text1"/>
                              </w:rPr>
                              <w:t>CLASSROOM ENVIRONMENT</w:t>
                            </w:r>
                          </w:p>
                          <w:p w14:paraId="41E426C8"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Engagement</w:t>
                            </w:r>
                          </w:p>
                          <w:p w14:paraId="68B0A297"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Student-Teacher Relationship</w:t>
                            </w:r>
                          </w:p>
                          <w:p w14:paraId="5B5A7630"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Opportunity to Understand</w:t>
                            </w:r>
                          </w:p>
                          <w:p w14:paraId="3874E887"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Socio-emotional Climate</w:t>
                            </w:r>
                          </w:p>
                          <w:p w14:paraId="78095BC1"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Teacher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DBC6B" id="Rectangle 1" o:spid="_x0000_s1026" style="position:absolute;left:0;text-align:left;margin-left:14.4pt;margin-top:.7pt;width:163.85pt;height:11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" filled="f" strokecolor="black [3213]" strokeweight="2pt">
                <v:textbox>
                  <w:txbxContent>
                    <w:p w14:paraId="7A91AE99" w14:textId="77777777" w:rsidR="007D1A88" w:rsidRPr="007D1A88" w:rsidRDefault="007D1A88" w:rsidP="007D1A88">
                      <w:pPr>
                        <w:jc w:val="center"/>
                        <w:rPr>
                          <w:rFonts w:ascii="Arial" w:hAnsi="Arial" w:cs="Arial"/>
                          <w:b/>
                          <w:bCs/>
                          <w:color w:val="000000" w:themeColor="text1"/>
                        </w:rPr>
                      </w:pPr>
                      <w:r w:rsidRPr="007D1A88">
                        <w:rPr>
                          <w:rFonts w:ascii="Arial" w:hAnsi="Arial" w:cs="Arial"/>
                          <w:b/>
                          <w:bCs/>
                          <w:color w:val="000000" w:themeColor="text1"/>
                        </w:rPr>
                        <w:t>CLASSROOM ENVIRONMENT</w:t>
                      </w:r>
                    </w:p>
                    <w:p w14:paraId="41E426C8"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Engagement</w:t>
                      </w:r>
                    </w:p>
                    <w:p w14:paraId="68B0A297"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Student-Teacher Relationship</w:t>
                      </w:r>
                    </w:p>
                    <w:p w14:paraId="5B5A7630"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Opportunity to Understand</w:t>
                      </w:r>
                    </w:p>
                    <w:p w14:paraId="3874E887"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Socio-emotional Climate</w:t>
                      </w:r>
                    </w:p>
                    <w:p w14:paraId="78095BC1" w14:textId="77777777" w:rsidR="007D1A88" w:rsidRPr="007D1A88" w:rsidRDefault="007D1A88" w:rsidP="007D1A88">
                      <w:pPr>
                        <w:pStyle w:val="ListParagraph"/>
                        <w:numPr>
                          <w:ilvl w:val="0"/>
                          <w:numId w:val="43"/>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Teacher Attitude</w:t>
                      </w:r>
                    </w:p>
                  </w:txbxContent>
                </v:textbox>
                <w10:wrap anchorx="margin"/>
              </v:rect>
            </w:pict>
          </mc:Fallback>
        </mc:AlternateContent>
      </w:r>
    </w:p>
    <w:p w14:paraId="366C22EA" w14:textId="1DA9CE48" w:rsidR="007D1A88" w:rsidRPr="00AC0D21" w:rsidRDefault="007D1A88" w:rsidP="007D1A88">
      <w:pPr>
        <w:pStyle w:val="NoSpacing"/>
        <w:widowControl w:val="0"/>
        <w:spacing w:line="480" w:lineRule="auto"/>
        <w:ind w:firstLine="720"/>
        <w:jc w:val="both"/>
        <w:rPr>
          <w:rFonts w:ascii="Arial" w:hAnsi="Arial" w:cs="Arial"/>
          <w:sz w:val="24"/>
          <w:szCs w:val="24"/>
        </w:rPr>
      </w:pPr>
      <w:r w:rsidRPr="00AC0D21">
        <w:rPr>
          <w:rFonts w:ascii="Arial" w:hAnsi="Arial" w:cs="Arial"/>
          <w:b/>
          <w:bCs/>
          <w:i/>
          <w:iCs/>
          <w:noProof/>
          <w:sz w:val="24"/>
          <w:szCs w:val="24"/>
          <w:lang w:val="en-US"/>
        </w:rPr>
        <mc:AlternateContent>
          <mc:Choice Requires="wps">
            <w:drawing>
              <wp:anchor distT="0" distB="0" distL="114300" distR="114300" simplePos="0" relativeHeight="251661312" behindDoc="0" locked="0" layoutInCell="1" allowOverlap="1" wp14:anchorId="0CBF41E5" wp14:editId="429CB6C3">
                <wp:simplePos x="0" y="0"/>
                <wp:positionH relativeFrom="margin">
                  <wp:posOffset>3126105</wp:posOffset>
                </wp:positionH>
                <wp:positionV relativeFrom="paragraph">
                  <wp:posOffset>127000</wp:posOffset>
                </wp:positionV>
                <wp:extent cx="1981200" cy="2059388"/>
                <wp:effectExtent l="0" t="0" r="19050" b="17145"/>
                <wp:wrapNone/>
                <wp:docPr id="464698344" name="Rectangle 1"/>
                <wp:cNvGraphicFramePr/>
                <a:graphic xmlns:a="http://schemas.openxmlformats.org/drawingml/2006/main">
                  <a:graphicData uri="http://schemas.microsoft.com/office/word/2010/wordprocessingShape">
                    <wps:wsp>
                      <wps:cNvSpPr/>
                      <wps:spPr>
                        <a:xfrm>
                          <a:off x="0" y="0"/>
                          <a:ext cx="1981200" cy="205938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3F2009" w14:textId="77777777" w:rsidR="007D1A88" w:rsidRPr="007D1A88" w:rsidRDefault="007D1A88" w:rsidP="007D1A88">
                            <w:pPr>
                              <w:jc w:val="center"/>
                              <w:rPr>
                                <w:rFonts w:ascii="Arial" w:hAnsi="Arial" w:cs="Arial"/>
                                <w:b/>
                                <w:bCs/>
                                <w:color w:val="000000" w:themeColor="text1"/>
                              </w:rPr>
                            </w:pPr>
                            <w:r w:rsidRPr="007D1A88">
                              <w:rPr>
                                <w:rFonts w:ascii="Arial" w:hAnsi="Arial" w:cs="Arial"/>
                                <w:b/>
                                <w:bCs/>
                                <w:color w:val="000000" w:themeColor="text1"/>
                              </w:rPr>
                              <w:t>UTILIZATION OF VOCABULARY RETENTION STRATEGIES OF ENGLISH TEACHERS</w:t>
                            </w:r>
                          </w:p>
                          <w:p w14:paraId="73BCC8D7"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bookmarkStart w:id="2" w:name="_Hlk186724268"/>
                            <w:bookmarkStart w:id="3" w:name="_Hlk186724269"/>
                            <w:bookmarkStart w:id="4" w:name="_Hlk186724272"/>
                            <w:bookmarkStart w:id="5" w:name="_Hlk186724273"/>
                            <w:r w:rsidRPr="007D1A88">
                              <w:rPr>
                                <w:rFonts w:ascii="Arial" w:hAnsi="Arial" w:cs="Arial"/>
                                <w:color w:val="000000" w:themeColor="text1"/>
                                <w:sz w:val="20"/>
                                <w:szCs w:val="20"/>
                              </w:rPr>
                              <w:t>Beliefs about vocabulary learning</w:t>
                            </w:r>
                          </w:p>
                          <w:p w14:paraId="2C71DC90"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Metacognitive Strategies</w:t>
                            </w:r>
                          </w:p>
                          <w:p w14:paraId="27274EEA"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Rehearsal</w:t>
                            </w:r>
                          </w:p>
                          <w:p w14:paraId="2A0B2F3E"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Encoding</w:t>
                            </w:r>
                          </w:p>
                          <w:p w14:paraId="0A2014E6"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Activation</w:t>
                            </w:r>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F41E5" id="_x0000_s1027" style="position:absolute;left:0;text-align:left;margin-left:246.15pt;margin-top:10pt;width:156pt;height:16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" filled="f" strokecolor="black [3213]" strokeweight="2pt">
                <v:textbox>
                  <w:txbxContent>
                    <w:p w14:paraId="3F3F2009" w14:textId="77777777" w:rsidR="007D1A88" w:rsidRPr="007D1A88" w:rsidRDefault="007D1A88" w:rsidP="007D1A88">
                      <w:pPr>
                        <w:jc w:val="center"/>
                        <w:rPr>
                          <w:rFonts w:ascii="Arial" w:hAnsi="Arial" w:cs="Arial"/>
                          <w:b/>
                          <w:bCs/>
                          <w:color w:val="000000" w:themeColor="text1"/>
                        </w:rPr>
                      </w:pPr>
                      <w:r w:rsidRPr="007D1A88">
                        <w:rPr>
                          <w:rFonts w:ascii="Arial" w:hAnsi="Arial" w:cs="Arial"/>
                          <w:b/>
                          <w:bCs/>
                          <w:color w:val="000000" w:themeColor="text1"/>
                        </w:rPr>
                        <w:t>UTILIZATION OF VOCABULARY RETENTION STRATEGIES OF ENGLISH TEACHERS</w:t>
                      </w:r>
                    </w:p>
                    <w:p w14:paraId="73BCC8D7"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bookmarkStart w:id="6" w:name="_Hlk186724268"/>
                      <w:bookmarkStart w:id="7" w:name="_Hlk186724269"/>
                      <w:bookmarkStart w:id="8" w:name="_Hlk186724272"/>
                      <w:bookmarkStart w:id="9" w:name="_Hlk186724273"/>
                      <w:r w:rsidRPr="007D1A88">
                        <w:rPr>
                          <w:rFonts w:ascii="Arial" w:hAnsi="Arial" w:cs="Arial"/>
                          <w:color w:val="000000" w:themeColor="text1"/>
                          <w:sz w:val="20"/>
                          <w:szCs w:val="20"/>
                        </w:rPr>
                        <w:t>Beliefs about vocabulary learning</w:t>
                      </w:r>
                    </w:p>
                    <w:p w14:paraId="2C71DC90"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Metacognitive Strategies</w:t>
                      </w:r>
                    </w:p>
                    <w:p w14:paraId="27274EEA"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Rehearsal</w:t>
                      </w:r>
                    </w:p>
                    <w:p w14:paraId="2A0B2F3E"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Encoding</w:t>
                      </w:r>
                    </w:p>
                    <w:p w14:paraId="0A2014E6" w14:textId="77777777" w:rsidR="007D1A88" w:rsidRPr="007D1A88" w:rsidRDefault="007D1A88" w:rsidP="007D1A88">
                      <w:pPr>
                        <w:pStyle w:val="ListParagraph"/>
                        <w:numPr>
                          <w:ilvl w:val="0"/>
                          <w:numId w:val="42"/>
                        </w:numPr>
                        <w:spacing w:after="0"/>
                        <w:ind w:left="426" w:hanging="284"/>
                        <w:rPr>
                          <w:rFonts w:ascii="Arial" w:hAnsi="Arial" w:cs="Arial"/>
                          <w:b/>
                          <w:bCs/>
                          <w:color w:val="000000" w:themeColor="text1"/>
                          <w:sz w:val="20"/>
                          <w:szCs w:val="20"/>
                        </w:rPr>
                      </w:pPr>
                      <w:r w:rsidRPr="007D1A88">
                        <w:rPr>
                          <w:rFonts w:ascii="Arial" w:hAnsi="Arial" w:cs="Arial"/>
                          <w:color w:val="000000" w:themeColor="text1"/>
                          <w:sz w:val="20"/>
                          <w:szCs w:val="20"/>
                        </w:rPr>
                        <w:t>Activation</w:t>
                      </w:r>
                      <w:bookmarkEnd w:id="6"/>
                      <w:bookmarkEnd w:id="7"/>
                      <w:bookmarkEnd w:id="8"/>
                      <w:bookmarkEnd w:id="9"/>
                    </w:p>
                  </w:txbxContent>
                </v:textbox>
                <w10:wrap anchorx="margin"/>
              </v:rect>
            </w:pict>
          </mc:Fallback>
        </mc:AlternateContent>
      </w:r>
      <w:r w:rsidRPr="00AC0D21">
        <w:rPr>
          <w:rFonts w:ascii="Arial" w:hAnsi="Arial" w:cs="Arial"/>
          <w:b/>
          <w:bCs/>
          <w:i/>
          <w:iCs/>
          <w:noProof/>
          <w:sz w:val="24"/>
          <w:szCs w:val="24"/>
          <w:lang w:val="en-US"/>
        </w:rPr>
        <mc:AlternateContent>
          <mc:Choice Requires="wps">
            <w:drawing>
              <wp:anchor distT="0" distB="0" distL="114300" distR="114300" simplePos="0" relativeHeight="251662336" behindDoc="0" locked="0" layoutInCell="1" allowOverlap="1" wp14:anchorId="2A9527D0" wp14:editId="03C0873D">
                <wp:simplePos x="0" y="0"/>
                <wp:positionH relativeFrom="column">
                  <wp:posOffset>2272666</wp:posOffset>
                </wp:positionH>
                <wp:positionV relativeFrom="paragraph">
                  <wp:posOffset>346075</wp:posOffset>
                </wp:positionV>
                <wp:extent cx="247650" cy="1422400"/>
                <wp:effectExtent l="0" t="19050" r="19050" b="25400"/>
                <wp:wrapNone/>
                <wp:docPr id="638811470" name="Right Bracket 6"/>
                <wp:cNvGraphicFramePr/>
                <a:graphic xmlns:a="http://schemas.openxmlformats.org/drawingml/2006/main">
                  <a:graphicData uri="http://schemas.microsoft.com/office/word/2010/wordprocessingShape">
                    <wps:wsp>
                      <wps:cNvSpPr/>
                      <wps:spPr>
                        <a:xfrm>
                          <a:off x="0" y="0"/>
                          <a:ext cx="247650" cy="1422400"/>
                        </a:xfrm>
                        <a:prstGeom prst="rightBracket">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CBB21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 o:spid="_x0000_s1026" type="#_x0000_t86" style="position:absolute;margin-left:178.95pt;margin-top:27.25pt;width:19.5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" adj="313" strokecolor="black [3040]" strokeweight="2.25pt"/>
            </w:pict>
          </mc:Fallback>
        </mc:AlternateContent>
      </w:r>
    </w:p>
    <w:p w14:paraId="6D842A65" w14:textId="3B1D390B" w:rsidR="007D1A88" w:rsidRPr="00AC0D21" w:rsidRDefault="007D1A88" w:rsidP="007D1A88">
      <w:pPr>
        <w:jc w:val="center"/>
        <w:rPr>
          <w:rFonts w:ascii="Arial" w:hAnsi="Arial" w:cs="Arial"/>
          <w:b/>
          <w:bCs/>
          <w:i/>
          <w:iCs/>
          <w:sz w:val="24"/>
          <w:szCs w:val="24"/>
        </w:rPr>
      </w:pPr>
    </w:p>
    <w:p w14:paraId="025B5829" w14:textId="003CFC71" w:rsidR="007D1A88" w:rsidRPr="00AC0D21" w:rsidRDefault="007D1A88" w:rsidP="007D1A88">
      <w:pPr>
        <w:jc w:val="center"/>
        <w:rPr>
          <w:rFonts w:ascii="Arial" w:hAnsi="Arial" w:cs="Arial"/>
          <w:b/>
          <w:bCs/>
          <w:i/>
          <w:iCs/>
          <w:sz w:val="24"/>
          <w:szCs w:val="24"/>
        </w:rPr>
      </w:pPr>
    </w:p>
    <w:p w14:paraId="0551CCED" w14:textId="77777777" w:rsidR="007D1A88" w:rsidRPr="00AC0D21" w:rsidRDefault="007D1A88" w:rsidP="007D1A88">
      <w:pPr>
        <w:jc w:val="center"/>
        <w:rPr>
          <w:rFonts w:ascii="Arial" w:hAnsi="Arial" w:cs="Arial"/>
          <w:b/>
          <w:bCs/>
          <w:i/>
          <w:iCs/>
          <w:sz w:val="24"/>
          <w:szCs w:val="24"/>
        </w:rPr>
      </w:pPr>
    </w:p>
    <w:p w14:paraId="2E2F6423" w14:textId="38D5BB8F" w:rsidR="007D1A88" w:rsidRPr="00AC0D21" w:rsidRDefault="007D1A88" w:rsidP="007D1A88">
      <w:pPr>
        <w:rPr>
          <w:rFonts w:ascii="Arial" w:hAnsi="Arial" w:cs="Arial"/>
          <w:b/>
          <w:bCs/>
          <w:i/>
          <w:iCs/>
          <w:sz w:val="24"/>
          <w:szCs w:val="24"/>
        </w:rPr>
      </w:pPr>
    </w:p>
    <w:p w14:paraId="4E367CBA" w14:textId="508C96A3" w:rsidR="007D1A88" w:rsidRPr="007D1A88" w:rsidRDefault="007D1A88" w:rsidP="007D1A88">
      <w:pPr>
        <w:rPr>
          <w:rFonts w:ascii="Arial" w:hAnsi="Arial" w:cs="Arial"/>
          <w:b/>
          <w:bCs/>
          <w:i/>
          <w:iCs/>
          <w:sz w:val="24"/>
          <w:szCs w:val="24"/>
        </w:rPr>
      </w:pPr>
      <w:r>
        <w:rPr>
          <w:rFonts w:ascii="Arial" w:hAnsi="Arial" w:cs="Arial"/>
          <w:b/>
          <w:bCs/>
          <w:i/>
          <w:iCs/>
          <w:noProof/>
          <w:sz w:val="24"/>
          <w:szCs w:val="24"/>
        </w:rPr>
        <mc:AlternateContent>
          <mc:Choice Requires="wps">
            <w:drawing>
              <wp:anchor distT="0" distB="0" distL="114300" distR="114300" simplePos="0" relativeHeight="251663360" behindDoc="0" locked="0" layoutInCell="1" allowOverlap="1" wp14:anchorId="3C7BC342" wp14:editId="695D52F9">
                <wp:simplePos x="0" y="0"/>
                <wp:positionH relativeFrom="column">
                  <wp:posOffset>2519680</wp:posOffset>
                </wp:positionH>
                <wp:positionV relativeFrom="paragraph">
                  <wp:posOffset>93345</wp:posOffset>
                </wp:positionV>
                <wp:extent cx="535206" cy="4334"/>
                <wp:effectExtent l="0" t="95250" r="0" b="110490"/>
                <wp:wrapNone/>
                <wp:docPr id="1063709381" name="Straight Arrow Connector 2"/>
                <wp:cNvGraphicFramePr/>
                <a:graphic xmlns:a="http://schemas.openxmlformats.org/drawingml/2006/main">
                  <a:graphicData uri="http://schemas.microsoft.com/office/word/2010/wordprocessingShape">
                    <wps:wsp>
                      <wps:cNvCnPr/>
                      <wps:spPr>
                        <a:xfrm flipV="1">
                          <a:off x="0" y="0"/>
                          <a:ext cx="535206" cy="4334"/>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4846EE" id="_x0000_t32" coordsize="21600,21600" o:spt="32" o:oned="t" path="m,l21600,21600e" filled="f">
                <v:path arrowok="t" fillok="f" o:connecttype="none"/>
                <o:lock v:ext="edit" shapetype="t"/>
              </v:shapetype>
              <v:shape id="Straight Arrow Connector 2" o:spid="_x0000_s1026" type="#_x0000_t32" style="position:absolute;margin-left:198.4pt;margin-top:7.35pt;width:42.15pt;height:.3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" strokecolor="black [3040]" strokeweight="3pt">
                <v:stroke endarrow="block"/>
              </v:shape>
            </w:pict>
          </mc:Fallback>
        </mc:AlternateContent>
      </w:r>
    </w:p>
    <w:p w14:paraId="1B5BD49F" w14:textId="6CA76850" w:rsidR="007D1A88" w:rsidRPr="00AC0D21" w:rsidRDefault="007D1A88" w:rsidP="007D1A88">
      <w:pPr>
        <w:pStyle w:val="NoSpacing"/>
        <w:ind w:firstLine="720"/>
        <w:jc w:val="center"/>
        <w:rPr>
          <w:rFonts w:ascii="Arial" w:hAnsi="Arial" w:cs="Arial"/>
          <w:i/>
          <w:iCs/>
          <w:sz w:val="24"/>
          <w:szCs w:val="24"/>
        </w:rPr>
      </w:pPr>
      <w:r w:rsidRPr="00AC0D21">
        <w:rPr>
          <w:rFonts w:ascii="Arial" w:hAnsi="Arial" w:cs="Arial"/>
          <w:b/>
          <w:bCs/>
          <w:i/>
          <w:iCs/>
          <w:noProof/>
          <w:sz w:val="24"/>
          <w:szCs w:val="24"/>
          <w:lang w:val="en-US"/>
        </w:rPr>
        <mc:AlternateContent>
          <mc:Choice Requires="wps">
            <w:drawing>
              <wp:anchor distT="0" distB="0" distL="114300" distR="114300" simplePos="0" relativeHeight="251659264" behindDoc="0" locked="0" layoutInCell="1" allowOverlap="1" wp14:anchorId="549A5143" wp14:editId="0D0B8B4E">
                <wp:simplePos x="0" y="0"/>
                <wp:positionH relativeFrom="margin">
                  <wp:posOffset>182880</wp:posOffset>
                </wp:positionH>
                <wp:positionV relativeFrom="paragraph">
                  <wp:posOffset>6654</wp:posOffset>
                </wp:positionV>
                <wp:extent cx="2079625" cy="1041621"/>
                <wp:effectExtent l="0" t="0" r="15875" b="25400"/>
                <wp:wrapNone/>
                <wp:docPr id="1127047077" name="Rectangle 1"/>
                <wp:cNvGraphicFramePr/>
                <a:graphic xmlns:a="http://schemas.openxmlformats.org/drawingml/2006/main">
                  <a:graphicData uri="http://schemas.microsoft.com/office/word/2010/wordprocessingShape">
                    <wps:wsp>
                      <wps:cNvSpPr/>
                      <wps:spPr>
                        <a:xfrm>
                          <a:off x="0" y="0"/>
                          <a:ext cx="2079625" cy="104162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DC6831" w14:textId="77777777" w:rsidR="007D1A88" w:rsidRPr="007D1A88" w:rsidRDefault="007D1A88" w:rsidP="007D1A88">
                            <w:pPr>
                              <w:jc w:val="center"/>
                              <w:rPr>
                                <w:rFonts w:ascii="Arial" w:hAnsi="Arial" w:cs="Arial"/>
                                <w:b/>
                                <w:bCs/>
                                <w:color w:val="000000" w:themeColor="text1"/>
                              </w:rPr>
                            </w:pPr>
                            <w:r w:rsidRPr="00280D8C">
                              <w:rPr>
                                <w:rFonts w:ascii="Arial" w:hAnsi="Arial" w:cs="Arial"/>
                                <w:b/>
                                <w:bCs/>
                                <w:color w:val="000000" w:themeColor="text1"/>
                                <w:sz w:val="24"/>
                                <w:szCs w:val="24"/>
                              </w:rPr>
                              <w:t>TE</w:t>
                            </w:r>
                            <w:r w:rsidRPr="007D1A88">
                              <w:rPr>
                                <w:rFonts w:ascii="Arial" w:hAnsi="Arial" w:cs="Arial"/>
                                <w:b/>
                                <w:bCs/>
                                <w:color w:val="000000" w:themeColor="text1"/>
                              </w:rPr>
                              <w:t>ACHING ATTITUDE</w:t>
                            </w:r>
                          </w:p>
                          <w:p w14:paraId="4495DB25"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Cognitive</w:t>
                            </w:r>
                          </w:p>
                          <w:p w14:paraId="4404EEE3"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Affective</w:t>
                            </w:r>
                          </w:p>
                          <w:p w14:paraId="0C4D4925"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Behavioral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A5143" id="_x0000_s1028" style="position:absolute;left:0;text-align:left;margin-left:14.4pt;margin-top:.5pt;width:163.75pt;height: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" filled="f" strokecolor="black [3213]" strokeweight="2pt">
                <v:textbox>
                  <w:txbxContent>
                    <w:p w14:paraId="0ADC6831" w14:textId="77777777" w:rsidR="007D1A88" w:rsidRPr="007D1A88" w:rsidRDefault="007D1A88" w:rsidP="007D1A88">
                      <w:pPr>
                        <w:jc w:val="center"/>
                        <w:rPr>
                          <w:rFonts w:ascii="Arial" w:hAnsi="Arial" w:cs="Arial"/>
                          <w:b/>
                          <w:bCs/>
                          <w:color w:val="000000" w:themeColor="text1"/>
                        </w:rPr>
                      </w:pPr>
                      <w:r w:rsidRPr="00280D8C">
                        <w:rPr>
                          <w:rFonts w:ascii="Arial" w:hAnsi="Arial" w:cs="Arial"/>
                          <w:b/>
                          <w:bCs/>
                          <w:color w:val="000000" w:themeColor="text1"/>
                          <w:sz w:val="24"/>
                          <w:szCs w:val="24"/>
                        </w:rPr>
                        <w:t>TE</w:t>
                      </w:r>
                      <w:r w:rsidRPr="007D1A88">
                        <w:rPr>
                          <w:rFonts w:ascii="Arial" w:hAnsi="Arial" w:cs="Arial"/>
                          <w:b/>
                          <w:bCs/>
                          <w:color w:val="000000" w:themeColor="text1"/>
                        </w:rPr>
                        <w:t>ACHING ATTITUDE</w:t>
                      </w:r>
                    </w:p>
                    <w:p w14:paraId="4495DB25"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Cognitive</w:t>
                      </w:r>
                    </w:p>
                    <w:p w14:paraId="4404EEE3"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Affective</w:t>
                      </w:r>
                    </w:p>
                    <w:p w14:paraId="0C4D4925" w14:textId="77777777" w:rsidR="007D1A88" w:rsidRPr="007D1A88" w:rsidRDefault="007D1A88" w:rsidP="007D1A88">
                      <w:pPr>
                        <w:pStyle w:val="ListParagraph"/>
                        <w:numPr>
                          <w:ilvl w:val="0"/>
                          <w:numId w:val="41"/>
                        </w:numPr>
                        <w:spacing w:after="0"/>
                        <w:ind w:left="567" w:hanging="283"/>
                        <w:rPr>
                          <w:rFonts w:ascii="Arial" w:hAnsi="Arial" w:cs="Arial"/>
                          <w:color w:val="000000" w:themeColor="text1"/>
                          <w:sz w:val="20"/>
                          <w:szCs w:val="20"/>
                        </w:rPr>
                      </w:pPr>
                      <w:r w:rsidRPr="007D1A88">
                        <w:rPr>
                          <w:rFonts w:ascii="Arial" w:hAnsi="Arial" w:cs="Arial"/>
                          <w:color w:val="000000" w:themeColor="text1"/>
                          <w:sz w:val="20"/>
                          <w:szCs w:val="20"/>
                        </w:rPr>
                        <w:t>Behavioral</w:t>
                      </w:r>
                    </w:p>
                  </w:txbxContent>
                </v:textbox>
                <w10:wrap anchorx="margin"/>
              </v:rect>
            </w:pict>
          </mc:Fallback>
        </mc:AlternateContent>
      </w:r>
    </w:p>
    <w:p w14:paraId="2CF8A491" w14:textId="681444FC" w:rsidR="007D1A88" w:rsidRPr="00AC0D21" w:rsidRDefault="007D1A88" w:rsidP="007D1A88">
      <w:pPr>
        <w:pStyle w:val="NoSpacing"/>
        <w:ind w:firstLine="720"/>
        <w:jc w:val="center"/>
        <w:rPr>
          <w:rFonts w:ascii="Arial" w:hAnsi="Arial" w:cs="Arial"/>
          <w:i/>
          <w:iCs/>
          <w:sz w:val="24"/>
          <w:szCs w:val="24"/>
        </w:rPr>
      </w:pPr>
    </w:p>
    <w:p w14:paraId="59CE091E" w14:textId="77777777" w:rsidR="007D1A88" w:rsidRPr="00AC0D21" w:rsidRDefault="007D1A88" w:rsidP="007D1A88">
      <w:pPr>
        <w:pStyle w:val="NoSpacing"/>
        <w:rPr>
          <w:rFonts w:ascii="Arial" w:hAnsi="Arial" w:cs="Arial"/>
          <w:i/>
          <w:iCs/>
          <w:sz w:val="24"/>
          <w:szCs w:val="24"/>
        </w:rPr>
      </w:pPr>
    </w:p>
    <w:p w14:paraId="5040B7D0" w14:textId="77777777" w:rsidR="007D1A88" w:rsidRPr="00AC0D21" w:rsidRDefault="007D1A88" w:rsidP="007D1A88">
      <w:pPr>
        <w:pStyle w:val="NoSpacing"/>
        <w:ind w:firstLine="720"/>
        <w:jc w:val="center"/>
        <w:rPr>
          <w:rFonts w:ascii="Arial" w:hAnsi="Arial" w:cs="Arial"/>
          <w:i/>
          <w:iCs/>
          <w:sz w:val="24"/>
          <w:szCs w:val="24"/>
        </w:rPr>
      </w:pPr>
    </w:p>
    <w:p w14:paraId="5DD88053" w14:textId="77777777" w:rsidR="007D1A88" w:rsidRDefault="007D1A88" w:rsidP="007D1A88">
      <w:pPr>
        <w:pStyle w:val="NoSpacing"/>
        <w:ind w:firstLine="720"/>
        <w:jc w:val="center"/>
        <w:rPr>
          <w:rFonts w:ascii="Arial" w:hAnsi="Arial" w:cs="Arial"/>
          <w:i/>
          <w:iCs/>
          <w:sz w:val="24"/>
          <w:szCs w:val="24"/>
        </w:rPr>
      </w:pPr>
    </w:p>
    <w:p w14:paraId="576C5510" w14:textId="77777777" w:rsidR="007D1A88" w:rsidRPr="003D7A09" w:rsidRDefault="007D1A88" w:rsidP="00047501">
      <w:pPr>
        <w:pStyle w:val="Body"/>
        <w:jc w:val="left"/>
        <w:rPr>
          <w:rFonts w:ascii="Arial" w:hAnsi="Arial" w:cs="Arial"/>
          <w:b/>
          <w:bCs/>
          <w:sz w:val="22"/>
          <w:szCs w:val="22"/>
        </w:rPr>
      </w:pPr>
    </w:p>
    <w:p w14:paraId="75B363A7" w14:textId="01206E37" w:rsidR="00047501" w:rsidRDefault="00AF7CC7" w:rsidP="0074335A">
      <w:pPr>
        <w:pStyle w:val="NoSpacing"/>
        <w:ind w:firstLine="720"/>
        <w:rPr>
          <w:rFonts w:ascii="Arial" w:hAnsi="Arial" w:cs="Arial"/>
          <w:i/>
          <w:iCs/>
          <w:sz w:val="20"/>
          <w:szCs w:val="20"/>
        </w:rPr>
      </w:pPr>
      <w:r>
        <w:rPr>
          <w:rFonts w:ascii="Arial" w:hAnsi="Arial" w:cs="Arial"/>
          <w:i/>
          <w:iCs/>
          <w:sz w:val="20"/>
          <w:szCs w:val="20"/>
        </w:rPr>
        <w:t xml:space="preserve">         </w:t>
      </w:r>
      <w:r w:rsidR="0074335A">
        <w:rPr>
          <w:rFonts w:ascii="Arial" w:hAnsi="Arial" w:cs="Arial"/>
          <w:i/>
          <w:iCs/>
          <w:sz w:val="20"/>
          <w:szCs w:val="20"/>
        </w:rPr>
        <w:tab/>
        <w:t xml:space="preserve">      </w:t>
      </w:r>
      <w:r w:rsidRPr="00AF7CC7">
        <w:rPr>
          <w:rFonts w:ascii="Arial" w:hAnsi="Arial" w:cs="Arial"/>
          <w:i/>
          <w:iCs/>
          <w:sz w:val="20"/>
          <w:szCs w:val="20"/>
        </w:rPr>
        <w:t>Figure 1. Conceptual Framework of the Study</w:t>
      </w:r>
    </w:p>
    <w:p w14:paraId="33D1C957" w14:textId="77777777" w:rsidR="0074335A" w:rsidRPr="0074335A" w:rsidRDefault="0074335A" w:rsidP="0074335A">
      <w:pPr>
        <w:pStyle w:val="NoSpacing"/>
        <w:ind w:firstLine="720"/>
        <w:rPr>
          <w:rFonts w:ascii="Arial" w:hAnsi="Arial" w:cs="Arial"/>
          <w:i/>
          <w:iCs/>
          <w:sz w:val="20"/>
          <w:szCs w:val="20"/>
        </w:rPr>
      </w:pPr>
    </w:p>
    <w:p w14:paraId="6459F519" w14:textId="45A4C20D" w:rsidR="0074335A" w:rsidRPr="003D7A09" w:rsidRDefault="0074335A" w:rsidP="0074335A">
      <w:pPr>
        <w:pStyle w:val="Body"/>
        <w:jc w:val="left"/>
        <w:rPr>
          <w:rFonts w:ascii="Arial" w:hAnsi="Arial" w:cs="Arial"/>
          <w:b/>
          <w:bCs/>
          <w:sz w:val="22"/>
          <w:szCs w:val="22"/>
        </w:rPr>
      </w:pPr>
      <w:r w:rsidRPr="003D7A09">
        <w:rPr>
          <w:rFonts w:ascii="Arial" w:hAnsi="Arial" w:cs="Arial"/>
          <w:b/>
          <w:bCs/>
          <w:sz w:val="22"/>
          <w:szCs w:val="22"/>
        </w:rPr>
        <w:t xml:space="preserve">2. </w:t>
      </w:r>
      <w:r>
        <w:rPr>
          <w:rFonts w:ascii="Arial" w:hAnsi="Arial" w:cs="Arial"/>
          <w:b/>
          <w:bCs/>
          <w:sz w:val="22"/>
          <w:szCs w:val="22"/>
        </w:rPr>
        <w:t>METHODOLOGY</w:t>
      </w:r>
    </w:p>
    <w:p w14:paraId="53E20CC0" w14:textId="340486B0" w:rsidR="003D7A09" w:rsidRPr="003D7A09" w:rsidRDefault="003D7A09" w:rsidP="003D7A09">
      <w:pPr>
        <w:pStyle w:val="Body"/>
        <w:jc w:val="left"/>
        <w:rPr>
          <w:rFonts w:ascii="Arial" w:hAnsi="Arial" w:cs="Arial"/>
          <w:b/>
          <w:bCs/>
          <w:sz w:val="22"/>
          <w:szCs w:val="22"/>
        </w:rPr>
      </w:pPr>
      <w:r w:rsidRPr="003D7A09">
        <w:rPr>
          <w:rFonts w:ascii="Arial" w:hAnsi="Arial" w:cs="Arial"/>
          <w:b/>
          <w:bCs/>
          <w:sz w:val="22"/>
          <w:szCs w:val="22"/>
        </w:rPr>
        <w:t>2.</w:t>
      </w:r>
      <w:r w:rsidR="0074335A">
        <w:rPr>
          <w:rFonts w:ascii="Arial" w:hAnsi="Arial" w:cs="Arial"/>
          <w:b/>
          <w:bCs/>
          <w:sz w:val="22"/>
          <w:szCs w:val="22"/>
        </w:rPr>
        <w:t>1</w:t>
      </w:r>
      <w:r w:rsidRPr="003D7A09">
        <w:rPr>
          <w:rFonts w:ascii="Arial" w:hAnsi="Arial" w:cs="Arial"/>
          <w:b/>
          <w:bCs/>
          <w:sz w:val="22"/>
          <w:szCs w:val="22"/>
        </w:rPr>
        <w:t xml:space="preserve"> </w:t>
      </w:r>
      <w:r w:rsidR="0074335A">
        <w:rPr>
          <w:rFonts w:ascii="Arial" w:hAnsi="Arial" w:cs="Arial"/>
          <w:b/>
          <w:bCs/>
          <w:sz w:val="22"/>
          <w:szCs w:val="22"/>
        </w:rPr>
        <w:t>RESEARCH DESIGN</w:t>
      </w:r>
    </w:p>
    <w:p w14:paraId="2CD9124C" w14:textId="7B69625F" w:rsidR="003D7A09" w:rsidRPr="003D7A09" w:rsidRDefault="0074335A" w:rsidP="003D7A09">
      <w:pPr>
        <w:pStyle w:val="Body"/>
        <w:rPr>
          <w:rFonts w:ascii="Arial" w:hAnsi="Arial" w:cs="Arial"/>
        </w:rPr>
      </w:pPr>
      <w:r w:rsidRPr="0074335A">
        <w:rPr>
          <w:rFonts w:ascii="Arial" w:hAnsi="Arial" w:cs="Arial"/>
        </w:rPr>
        <w:t xml:space="preserve">This research utilized predictive research design. </w:t>
      </w:r>
      <w:proofErr w:type="spellStart"/>
      <w:r w:rsidRPr="0074335A">
        <w:rPr>
          <w:rFonts w:ascii="Arial" w:hAnsi="Arial" w:cs="Arial"/>
        </w:rPr>
        <w:t>Ghanad</w:t>
      </w:r>
      <w:proofErr w:type="spellEnd"/>
      <w:r w:rsidRPr="0074335A">
        <w:rPr>
          <w:rFonts w:ascii="Arial" w:hAnsi="Arial" w:cs="Arial"/>
        </w:rPr>
        <w:t xml:space="preserve"> (2023) defines quantitative research that seeks to quantify the data and derive conclusions from a study's sample from various perspectives. Meanwhile, according to </w:t>
      </w:r>
      <w:proofErr w:type="spellStart"/>
      <w:r w:rsidRPr="0074335A">
        <w:rPr>
          <w:rFonts w:ascii="Arial" w:hAnsi="Arial" w:cs="Arial"/>
        </w:rPr>
        <w:t>Zohuri</w:t>
      </w:r>
      <w:proofErr w:type="spellEnd"/>
      <w:r w:rsidRPr="0074335A">
        <w:rPr>
          <w:rFonts w:ascii="Arial" w:hAnsi="Arial" w:cs="Arial"/>
        </w:rPr>
        <w:t xml:space="preserve"> et al. (2022) predictive design is defined as forecasting future outcomes based on current and historical data where it identifies patterns and trends, enabling researchers and practitioners to make informed predictions.</w:t>
      </w:r>
    </w:p>
    <w:p w14:paraId="7C189CDE" w14:textId="173470EB" w:rsidR="0074335A" w:rsidRPr="003D7A09" w:rsidRDefault="0074335A" w:rsidP="0074335A">
      <w:pPr>
        <w:pStyle w:val="Body"/>
        <w:jc w:val="left"/>
        <w:rPr>
          <w:rFonts w:ascii="Arial" w:hAnsi="Arial" w:cs="Arial"/>
          <w:b/>
          <w:bCs/>
          <w:sz w:val="22"/>
          <w:szCs w:val="22"/>
        </w:rPr>
      </w:pPr>
      <w:r w:rsidRPr="003D7A09">
        <w:rPr>
          <w:rFonts w:ascii="Arial" w:hAnsi="Arial" w:cs="Arial"/>
          <w:b/>
          <w:bCs/>
          <w:sz w:val="22"/>
          <w:szCs w:val="22"/>
        </w:rPr>
        <w:t>2.</w:t>
      </w:r>
      <w:r>
        <w:rPr>
          <w:rFonts w:ascii="Arial" w:hAnsi="Arial" w:cs="Arial"/>
          <w:b/>
          <w:bCs/>
          <w:sz w:val="22"/>
          <w:szCs w:val="22"/>
        </w:rPr>
        <w:t>2</w:t>
      </w:r>
      <w:r w:rsidRPr="003D7A09">
        <w:rPr>
          <w:rFonts w:ascii="Arial" w:hAnsi="Arial" w:cs="Arial"/>
          <w:b/>
          <w:bCs/>
          <w:sz w:val="22"/>
          <w:szCs w:val="22"/>
        </w:rPr>
        <w:t xml:space="preserve"> </w:t>
      </w:r>
      <w:r>
        <w:rPr>
          <w:rFonts w:ascii="Arial" w:hAnsi="Arial" w:cs="Arial"/>
          <w:b/>
          <w:bCs/>
          <w:sz w:val="22"/>
          <w:szCs w:val="22"/>
        </w:rPr>
        <w:t>LOCALE OF THE STUDY</w:t>
      </w:r>
    </w:p>
    <w:p w14:paraId="1E9FC8A6" w14:textId="7A8A9541" w:rsidR="003D7A09" w:rsidRPr="003D7A09" w:rsidRDefault="0074335A" w:rsidP="003D7A09">
      <w:pPr>
        <w:pStyle w:val="Body"/>
        <w:rPr>
          <w:rFonts w:ascii="Arial" w:hAnsi="Arial" w:cs="Arial"/>
        </w:rPr>
      </w:pPr>
      <w:r w:rsidRPr="0074335A">
        <w:rPr>
          <w:rFonts w:ascii="Arial" w:hAnsi="Arial" w:cs="Arial"/>
        </w:rPr>
        <w:t>The participants in this study were from Davao del Sur, a province in Region XI known for its diverse educational environment and vibrant local culture. Specifically, the study was conducted in various elementary schools within the province, which served a diverse teacher population with varying experiences in the utilization of vocabulary retention strategies.</w:t>
      </w:r>
      <w:r w:rsidR="003D7A09" w:rsidRPr="003D7A09">
        <w:rPr>
          <w:rFonts w:ascii="Arial" w:hAnsi="Arial" w:cs="Arial"/>
        </w:rPr>
        <w:t xml:space="preserve"> </w:t>
      </w:r>
    </w:p>
    <w:p w14:paraId="2B35BB30" w14:textId="64BB39B1" w:rsidR="0074335A" w:rsidRPr="003D7A09" w:rsidRDefault="0074335A" w:rsidP="0074335A">
      <w:pPr>
        <w:pStyle w:val="Body"/>
        <w:jc w:val="left"/>
        <w:rPr>
          <w:rFonts w:ascii="Arial" w:hAnsi="Arial" w:cs="Arial"/>
          <w:b/>
          <w:bCs/>
          <w:sz w:val="22"/>
          <w:szCs w:val="22"/>
        </w:rPr>
      </w:pPr>
      <w:r w:rsidRPr="003D7A09">
        <w:rPr>
          <w:rFonts w:ascii="Arial" w:hAnsi="Arial" w:cs="Arial"/>
          <w:b/>
          <w:bCs/>
          <w:sz w:val="22"/>
          <w:szCs w:val="22"/>
        </w:rPr>
        <w:t>2.</w:t>
      </w:r>
      <w:r>
        <w:rPr>
          <w:rFonts w:ascii="Arial" w:hAnsi="Arial" w:cs="Arial"/>
          <w:b/>
          <w:bCs/>
          <w:sz w:val="22"/>
          <w:szCs w:val="22"/>
        </w:rPr>
        <w:t>3</w:t>
      </w:r>
      <w:r w:rsidRPr="003D7A09">
        <w:rPr>
          <w:rFonts w:ascii="Arial" w:hAnsi="Arial" w:cs="Arial"/>
          <w:b/>
          <w:bCs/>
          <w:sz w:val="22"/>
          <w:szCs w:val="22"/>
        </w:rPr>
        <w:t xml:space="preserve"> </w:t>
      </w:r>
      <w:r>
        <w:rPr>
          <w:rFonts w:ascii="Arial" w:hAnsi="Arial" w:cs="Arial"/>
          <w:b/>
          <w:bCs/>
          <w:sz w:val="22"/>
          <w:szCs w:val="22"/>
        </w:rPr>
        <w:t>SAMPLE AND SAMPLING</w:t>
      </w:r>
    </w:p>
    <w:p w14:paraId="72E15661" w14:textId="4D96DD94" w:rsidR="003D7A09" w:rsidRPr="003D7A09" w:rsidRDefault="0074335A" w:rsidP="003D7A09">
      <w:pPr>
        <w:pStyle w:val="Body"/>
        <w:rPr>
          <w:rFonts w:ascii="Arial" w:hAnsi="Arial" w:cs="Arial"/>
        </w:rPr>
      </w:pPr>
      <w:r w:rsidRPr="0074335A">
        <w:rPr>
          <w:rFonts w:ascii="Arial" w:hAnsi="Arial" w:cs="Arial"/>
        </w:rPr>
        <w:t>The respondents of this study were 100 Grade 3 English Teachers. The research employed a convenience sampling technique, which involves gathering data from a readily accessible population (Rahi, 2017)</w:t>
      </w:r>
      <w:r w:rsidR="003D7A09" w:rsidRPr="003D7A09">
        <w:rPr>
          <w:rFonts w:ascii="Arial" w:hAnsi="Arial" w:cs="Arial"/>
        </w:rPr>
        <w:t>.</w:t>
      </w:r>
    </w:p>
    <w:p w14:paraId="0965E3CC" w14:textId="25498D2E" w:rsidR="0074335A" w:rsidRPr="003D7A09" w:rsidRDefault="0074335A" w:rsidP="0074335A">
      <w:pPr>
        <w:pStyle w:val="Body"/>
        <w:jc w:val="left"/>
        <w:rPr>
          <w:rFonts w:ascii="Arial" w:hAnsi="Arial" w:cs="Arial"/>
          <w:b/>
          <w:bCs/>
          <w:sz w:val="22"/>
          <w:szCs w:val="22"/>
        </w:rPr>
      </w:pPr>
      <w:r w:rsidRPr="003D7A09">
        <w:rPr>
          <w:rFonts w:ascii="Arial" w:hAnsi="Arial" w:cs="Arial"/>
          <w:b/>
          <w:bCs/>
          <w:sz w:val="22"/>
          <w:szCs w:val="22"/>
        </w:rPr>
        <w:t>2.</w:t>
      </w:r>
      <w:r w:rsidR="004E6394">
        <w:rPr>
          <w:rFonts w:ascii="Arial" w:hAnsi="Arial" w:cs="Arial"/>
          <w:b/>
          <w:bCs/>
          <w:sz w:val="22"/>
          <w:szCs w:val="22"/>
        </w:rPr>
        <w:t>4</w:t>
      </w:r>
      <w:r w:rsidRPr="003D7A09">
        <w:rPr>
          <w:rFonts w:ascii="Arial" w:hAnsi="Arial" w:cs="Arial"/>
          <w:b/>
          <w:bCs/>
          <w:sz w:val="22"/>
          <w:szCs w:val="22"/>
        </w:rPr>
        <w:t xml:space="preserve"> </w:t>
      </w:r>
      <w:r>
        <w:rPr>
          <w:rFonts w:ascii="Arial" w:hAnsi="Arial" w:cs="Arial"/>
          <w:b/>
          <w:bCs/>
          <w:sz w:val="22"/>
          <w:szCs w:val="22"/>
        </w:rPr>
        <w:t xml:space="preserve">RESEARCH INSTRUMENT </w:t>
      </w:r>
    </w:p>
    <w:p w14:paraId="15668D3A" w14:textId="77777777" w:rsidR="00736CE8" w:rsidRPr="00736CE8" w:rsidRDefault="00736CE8" w:rsidP="00736CE8">
      <w:pPr>
        <w:pStyle w:val="Body"/>
        <w:rPr>
          <w:rFonts w:ascii="Arial" w:hAnsi="Arial" w:cs="Arial"/>
        </w:rPr>
      </w:pPr>
      <w:r w:rsidRPr="00736CE8">
        <w:rPr>
          <w:rFonts w:ascii="Arial" w:hAnsi="Arial" w:cs="Arial"/>
        </w:rPr>
        <w:lastRenderedPageBreak/>
        <w:t xml:space="preserve">In gathering data for this study, the researcher adapted the Survey Questionnaire from Gu, P. Y. (2018), Ford, D.Y. (1995), and </w:t>
      </w:r>
      <w:proofErr w:type="spellStart"/>
      <w:r w:rsidRPr="00736CE8">
        <w:rPr>
          <w:rFonts w:ascii="Arial" w:hAnsi="Arial" w:cs="Arial"/>
        </w:rPr>
        <w:t>Wanderi</w:t>
      </w:r>
      <w:proofErr w:type="spellEnd"/>
      <w:r w:rsidRPr="00736CE8">
        <w:rPr>
          <w:rFonts w:ascii="Arial" w:hAnsi="Arial" w:cs="Arial"/>
        </w:rPr>
        <w:t>, P.G. (2015). The questionnaire was validated by three experts. For reliability, statistical analysis indicated excellent internal consistency across all items, as demonstrated by the Cronbach's Alpha values for each variable: Classroom Environment (.983), Teacher Attitude (.959), and Utilization of Vocabulary Retention Strategies of English Teachers (.985).</w:t>
      </w:r>
    </w:p>
    <w:p w14:paraId="3C8E2841" w14:textId="5FAC0783" w:rsidR="003D7A09" w:rsidRDefault="00736CE8" w:rsidP="00736CE8">
      <w:pPr>
        <w:pStyle w:val="Body"/>
        <w:spacing w:after="0"/>
        <w:rPr>
          <w:rFonts w:ascii="Arial" w:hAnsi="Arial" w:cs="Arial"/>
        </w:rPr>
      </w:pPr>
      <w:r w:rsidRPr="00736CE8">
        <w:rPr>
          <w:rFonts w:ascii="Arial" w:hAnsi="Arial" w:cs="Arial"/>
        </w:rPr>
        <w:t>In evaluating the classroom environment, the adapted Learning Environment Scale of Ford, D.Y. (1995) is used. In the questionnaire, the respondent rated the questionnaire using the following: 5 as Strongly Agree, 4 as Agree, 3 as Neither Agree nor Disagree, 2 as Disagree, and 1 as Strongly Disagree. The Likert scale below is used for the analysis of results:</w:t>
      </w:r>
    </w:p>
    <w:p w14:paraId="3C8ADC46" w14:textId="77777777" w:rsidR="00736CE8" w:rsidRDefault="00736CE8" w:rsidP="00736CE8">
      <w:pPr>
        <w:pStyle w:val="Body"/>
        <w:spacing w:after="0"/>
        <w:rPr>
          <w:rFonts w:ascii="Arial" w:hAnsi="Arial" w:cs="Arial"/>
        </w:rPr>
      </w:pPr>
    </w:p>
    <w:tbl>
      <w:tblPr>
        <w:tblStyle w:val="TableGrid"/>
        <w:tblW w:w="76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1984"/>
        <w:gridCol w:w="3685"/>
      </w:tblGrid>
      <w:tr w:rsidR="00736CE8" w:rsidRPr="00736CE8" w14:paraId="160B24B7" w14:textId="77777777" w:rsidTr="00736CE8">
        <w:trPr>
          <w:trHeight w:val="585"/>
          <w:jc w:val="center"/>
        </w:trPr>
        <w:tc>
          <w:tcPr>
            <w:tcW w:w="1701" w:type="dxa"/>
          </w:tcPr>
          <w:p w14:paraId="0E46B991" w14:textId="77777777" w:rsidR="00736CE8" w:rsidRPr="00736CE8" w:rsidRDefault="00736CE8" w:rsidP="00D062BF">
            <w:pPr>
              <w:pStyle w:val="NoSpacing"/>
              <w:jc w:val="center"/>
              <w:rPr>
                <w:rFonts w:ascii="Arial" w:hAnsi="Arial" w:cs="Arial"/>
                <w:i/>
                <w:iCs/>
                <w:sz w:val="20"/>
                <w:szCs w:val="20"/>
              </w:rPr>
            </w:pPr>
            <w:r w:rsidRPr="00736CE8">
              <w:rPr>
                <w:rFonts w:ascii="Arial" w:hAnsi="Arial" w:cs="Arial"/>
                <w:i/>
                <w:iCs/>
                <w:sz w:val="20"/>
                <w:szCs w:val="20"/>
              </w:rPr>
              <w:t>Range of Means</w:t>
            </w:r>
          </w:p>
        </w:tc>
        <w:tc>
          <w:tcPr>
            <w:tcW w:w="2268" w:type="dxa"/>
            <w:gridSpan w:val="2"/>
          </w:tcPr>
          <w:p w14:paraId="4A499E35" w14:textId="77777777" w:rsidR="00736CE8" w:rsidRPr="00736CE8" w:rsidRDefault="00736CE8" w:rsidP="00D062BF">
            <w:pPr>
              <w:pStyle w:val="NoSpacing"/>
              <w:jc w:val="center"/>
              <w:rPr>
                <w:rFonts w:ascii="Arial" w:hAnsi="Arial" w:cs="Arial"/>
                <w:i/>
                <w:iCs/>
                <w:sz w:val="20"/>
                <w:szCs w:val="20"/>
              </w:rPr>
            </w:pPr>
            <w:r w:rsidRPr="00736CE8">
              <w:rPr>
                <w:rFonts w:ascii="Arial" w:hAnsi="Arial" w:cs="Arial"/>
                <w:i/>
                <w:iCs/>
                <w:sz w:val="20"/>
                <w:szCs w:val="20"/>
              </w:rPr>
              <w:t>Descriptive Level</w:t>
            </w:r>
          </w:p>
        </w:tc>
        <w:tc>
          <w:tcPr>
            <w:tcW w:w="3685" w:type="dxa"/>
          </w:tcPr>
          <w:p w14:paraId="05472961" w14:textId="77777777" w:rsidR="00736CE8" w:rsidRPr="00736CE8" w:rsidRDefault="00736CE8" w:rsidP="00D062BF">
            <w:pPr>
              <w:pStyle w:val="NoSpacing"/>
              <w:jc w:val="center"/>
              <w:rPr>
                <w:rFonts w:ascii="Arial" w:hAnsi="Arial" w:cs="Arial"/>
                <w:i/>
                <w:iCs/>
                <w:sz w:val="20"/>
                <w:szCs w:val="20"/>
              </w:rPr>
            </w:pPr>
            <w:r w:rsidRPr="00736CE8">
              <w:rPr>
                <w:rFonts w:ascii="Arial" w:hAnsi="Arial" w:cs="Arial"/>
                <w:i/>
                <w:iCs/>
                <w:sz w:val="20"/>
                <w:szCs w:val="20"/>
              </w:rPr>
              <w:t>Interpretation</w:t>
            </w:r>
          </w:p>
        </w:tc>
      </w:tr>
      <w:tr w:rsidR="00736CE8" w:rsidRPr="00736CE8" w14:paraId="5D7D1CDC" w14:textId="77777777" w:rsidTr="004E6394">
        <w:trPr>
          <w:trHeight w:val="389"/>
          <w:jc w:val="center"/>
        </w:trPr>
        <w:tc>
          <w:tcPr>
            <w:tcW w:w="1985" w:type="dxa"/>
            <w:gridSpan w:val="2"/>
          </w:tcPr>
          <w:p w14:paraId="448C35FB"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4.20 – 5.00</w:t>
            </w:r>
          </w:p>
        </w:tc>
        <w:tc>
          <w:tcPr>
            <w:tcW w:w="1984" w:type="dxa"/>
          </w:tcPr>
          <w:p w14:paraId="51FFAC2F" w14:textId="7D300BB7" w:rsidR="00736CE8" w:rsidRPr="00736CE8" w:rsidRDefault="00736CE8" w:rsidP="00736CE8">
            <w:pPr>
              <w:pStyle w:val="NoSpacing"/>
              <w:rPr>
                <w:rFonts w:ascii="Arial" w:hAnsi="Arial" w:cs="Arial"/>
                <w:sz w:val="20"/>
                <w:szCs w:val="20"/>
              </w:rPr>
            </w:pPr>
            <w:r w:rsidRPr="00736CE8">
              <w:rPr>
                <w:rFonts w:ascii="Arial" w:hAnsi="Arial" w:cs="Arial"/>
                <w:sz w:val="20"/>
                <w:szCs w:val="20"/>
              </w:rPr>
              <w:t>Very High</w:t>
            </w:r>
          </w:p>
        </w:tc>
        <w:tc>
          <w:tcPr>
            <w:tcW w:w="3685" w:type="dxa"/>
          </w:tcPr>
          <w:p w14:paraId="587D6449"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Classroom environment is excellent.</w:t>
            </w:r>
          </w:p>
        </w:tc>
      </w:tr>
      <w:tr w:rsidR="00736CE8" w:rsidRPr="00736CE8" w14:paraId="5FA0486D" w14:textId="77777777" w:rsidTr="004E6394">
        <w:trPr>
          <w:trHeight w:val="437"/>
          <w:jc w:val="center"/>
        </w:trPr>
        <w:tc>
          <w:tcPr>
            <w:tcW w:w="1985" w:type="dxa"/>
            <w:gridSpan w:val="2"/>
          </w:tcPr>
          <w:p w14:paraId="23C903AF"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3.40 – 4.19</w:t>
            </w:r>
          </w:p>
        </w:tc>
        <w:tc>
          <w:tcPr>
            <w:tcW w:w="1984" w:type="dxa"/>
          </w:tcPr>
          <w:p w14:paraId="719F094B"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High</w:t>
            </w:r>
          </w:p>
        </w:tc>
        <w:tc>
          <w:tcPr>
            <w:tcW w:w="3685" w:type="dxa"/>
          </w:tcPr>
          <w:p w14:paraId="7D346F57"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Classroom environment is very good</w:t>
            </w:r>
          </w:p>
        </w:tc>
      </w:tr>
      <w:tr w:rsidR="00736CE8" w:rsidRPr="00736CE8" w14:paraId="195ED89C" w14:textId="77777777" w:rsidTr="004E6394">
        <w:trPr>
          <w:trHeight w:val="415"/>
          <w:jc w:val="center"/>
        </w:trPr>
        <w:tc>
          <w:tcPr>
            <w:tcW w:w="1985" w:type="dxa"/>
            <w:gridSpan w:val="2"/>
          </w:tcPr>
          <w:p w14:paraId="23076620"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2.60 – 3.39</w:t>
            </w:r>
          </w:p>
        </w:tc>
        <w:tc>
          <w:tcPr>
            <w:tcW w:w="1984" w:type="dxa"/>
          </w:tcPr>
          <w:p w14:paraId="6DE59C02"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Moderate</w:t>
            </w:r>
          </w:p>
        </w:tc>
        <w:tc>
          <w:tcPr>
            <w:tcW w:w="3685" w:type="dxa"/>
          </w:tcPr>
          <w:p w14:paraId="1C9EF662"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Classroom environment is good.</w:t>
            </w:r>
          </w:p>
        </w:tc>
      </w:tr>
      <w:tr w:rsidR="00736CE8" w:rsidRPr="00736CE8" w14:paraId="242725E5" w14:textId="77777777" w:rsidTr="004E6394">
        <w:trPr>
          <w:trHeight w:val="434"/>
          <w:jc w:val="center"/>
        </w:trPr>
        <w:tc>
          <w:tcPr>
            <w:tcW w:w="1985" w:type="dxa"/>
            <w:gridSpan w:val="2"/>
          </w:tcPr>
          <w:p w14:paraId="66A88554"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1.80 – 2.59</w:t>
            </w:r>
          </w:p>
        </w:tc>
        <w:tc>
          <w:tcPr>
            <w:tcW w:w="1984" w:type="dxa"/>
          </w:tcPr>
          <w:p w14:paraId="6A0FCB3E"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Low</w:t>
            </w:r>
          </w:p>
        </w:tc>
        <w:tc>
          <w:tcPr>
            <w:tcW w:w="3685" w:type="dxa"/>
          </w:tcPr>
          <w:p w14:paraId="7AF500A8"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Classroom environment is poor.</w:t>
            </w:r>
          </w:p>
        </w:tc>
      </w:tr>
      <w:tr w:rsidR="00736CE8" w:rsidRPr="00736CE8" w14:paraId="46BD3EB9" w14:textId="77777777" w:rsidTr="00736CE8">
        <w:trPr>
          <w:trHeight w:val="426"/>
          <w:jc w:val="center"/>
        </w:trPr>
        <w:tc>
          <w:tcPr>
            <w:tcW w:w="1985" w:type="dxa"/>
            <w:gridSpan w:val="2"/>
          </w:tcPr>
          <w:p w14:paraId="0CE57539"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1.00 – 1.79</w:t>
            </w:r>
          </w:p>
        </w:tc>
        <w:tc>
          <w:tcPr>
            <w:tcW w:w="1984" w:type="dxa"/>
          </w:tcPr>
          <w:p w14:paraId="59CEB391"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Very Low</w:t>
            </w:r>
          </w:p>
        </w:tc>
        <w:tc>
          <w:tcPr>
            <w:tcW w:w="3685" w:type="dxa"/>
          </w:tcPr>
          <w:p w14:paraId="69CBB3CA"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Classroom environment is very poor.</w:t>
            </w:r>
          </w:p>
        </w:tc>
      </w:tr>
    </w:tbl>
    <w:p w14:paraId="364EB9BD" w14:textId="1D234FE0" w:rsidR="003D7A09" w:rsidRDefault="00736CE8" w:rsidP="003D7A09">
      <w:pPr>
        <w:pStyle w:val="Body"/>
        <w:spacing w:after="0"/>
        <w:rPr>
          <w:rFonts w:ascii="Arial" w:hAnsi="Arial" w:cs="Arial"/>
        </w:rPr>
      </w:pPr>
      <w:r w:rsidRPr="00736CE8">
        <w:rPr>
          <w:rFonts w:ascii="Arial" w:hAnsi="Arial" w:cs="Arial"/>
        </w:rPr>
        <w:t xml:space="preserve">Moreover, in evaluation of the teacher attitude, the adapted and modified survey questionnaire of </w:t>
      </w:r>
      <w:proofErr w:type="spellStart"/>
      <w:r w:rsidRPr="00736CE8">
        <w:rPr>
          <w:rFonts w:ascii="Arial" w:hAnsi="Arial" w:cs="Arial"/>
        </w:rPr>
        <w:t>Wanderi</w:t>
      </w:r>
      <w:proofErr w:type="spellEnd"/>
      <w:r w:rsidRPr="00736CE8">
        <w:rPr>
          <w:rFonts w:ascii="Arial" w:hAnsi="Arial" w:cs="Arial"/>
        </w:rPr>
        <w:t>, P.G. (2015) is utilized. In the questionnaire, the respondent rated the questionnaire using the following: 5 as Strongly Agree, 4 as Agree, 3 as Neither Agree nor Disagree, 2 as Disagree, and 1 as Strongly Disagree. The Likert scale below is used for the analysis of results:</w:t>
      </w:r>
    </w:p>
    <w:p w14:paraId="527D7DCC" w14:textId="77777777" w:rsidR="00736CE8" w:rsidRDefault="00736CE8" w:rsidP="003D7A09">
      <w:pPr>
        <w:pStyle w:val="Body"/>
        <w:spacing w:after="0"/>
        <w:rPr>
          <w:rFonts w:ascii="Arial" w:hAnsi="Arial" w:cs="Arial"/>
        </w:rPr>
      </w:pPr>
    </w:p>
    <w:tbl>
      <w:tblPr>
        <w:tblStyle w:val="TableGrid"/>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701"/>
        <w:gridCol w:w="283"/>
        <w:gridCol w:w="2127"/>
        <w:gridCol w:w="3827"/>
      </w:tblGrid>
      <w:tr w:rsidR="00736CE8" w:rsidRPr="00AC0D21" w14:paraId="28BBE627" w14:textId="77777777" w:rsidTr="00736CE8">
        <w:trPr>
          <w:trHeight w:val="488"/>
          <w:jc w:val="center"/>
        </w:trPr>
        <w:tc>
          <w:tcPr>
            <w:tcW w:w="1985" w:type="dxa"/>
            <w:gridSpan w:val="2"/>
          </w:tcPr>
          <w:p w14:paraId="0E33AF74" w14:textId="77777777" w:rsidR="00736CE8" w:rsidRPr="00736CE8" w:rsidRDefault="00736CE8" w:rsidP="00736CE8">
            <w:pPr>
              <w:pStyle w:val="NoSpacing"/>
              <w:jc w:val="center"/>
              <w:rPr>
                <w:rFonts w:ascii="Arial" w:hAnsi="Arial" w:cs="Arial"/>
                <w:i/>
                <w:iCs/>
                <w:sz w:val="20"/>
                <w:szCs w:val="20"/>
              </w:rPr>
            </w:pPr>
            <w:r w:rsidRPr="00736CE8">
              <w:rPr>
                <w:rFonts w:ascii="Arial" w:hAnsi="Arial" w:cs="Arial"/>
                <w:i/>
                <w:iCs/>
                <w:sz w:val="20"/>
                <w:szCs w:val="20"/>
              </w:rPr>
              <w:t>Range of Means</w:t>
            </w:r>
          </w:p>
        </w:tc>
        <w:tc>
          <w:tcPr>
            <w:tcW w:w="2410" w:type="dxa"/>
            <w:gridSpan w:val="2"/>
          </w:tcPr>
          <w:p w14:paraId="6FDEB9B3" w14:textId="4851EA70" w:rsidR="00736CE8" w:rsidRPr="00736CE8" w:rsidRDefault="00736CE8" w:rsidP="00736CE8">
            <w:pPr>
              <w:pStyle w:val="NoSpacing"/>
              <w:rPr>
                <w:rFonts w:ascii="Arial" w:hAnsi="Arial" w:cs="Arial"/>
                <w:i/>
                <w:iCs/>
                <w:sz w:val="20"/>
                <w:szCs w:val="20"/>
              </w:rPr>
            </w:pPr>
            <w:r>
              <w:rPr>
                <w:rFonts w:ascii="Arial" w:hAnsi="Arial" w:cs="Arial"/>
                <w:i/>
                <w:iCs/>
                <w:sz w:val="20"/>
                <w:szCs w:val="20"/>
              </w:rPr>
              <w:t xml:space="preserve">    </w:t>
            </w:r>
            <w:r w:rsidRPr="00736CE8">
              <w:rPr>
                <w:rFonts w:ascii="Arial" w:hAnsi="Arial" w:cs="Arial"/>
                <w:i/>
                <w:iCs/>
                <w:sz w:val="20"/>
                <w:szCs w:val="20"/>
              </w:rPr>
              <w:t>Descriptive Level</w:t>
            </w:r>
          </w:p>
        </w:tc>
        <w:tc>
          <w:tcPr>
            <w:tcW w:w="3827" w:type="dxa"/>
          </w:tcPr>
          <w:p w14:paraId="4E86E995" w14:textId="1710B57F" w:rsidR="00736CE8" w:rsidRPr="00736CE8" w:rsidRDefault="00736CE8" w:rsidP="00736CE8">
            <w:pPr>
              <w:pStyle w:val="NoSpacing"/>
              <w:rPr>
                <w:rFonts w:ascii="Arial" w:hAnsi="Arial" w:cs="Arial"/>
                <w:i/>
                <w:iCs/>
                <w:sz w:val="20"/>
                <w:szCs w:val="20"/>
              </w:rPr>
            </w:pPr>
            <w:r>
              <w:rPr>
                <w:rFonts w:ascii="Arial" w:hAnsi="Arial" w:cs="Arial"/>
                <w:i/>
                <w:iCs/>
                <w:sz w:val="20"/>
                <w:szCs w:val="20"/>
              </w:rPr>
              <w:t xml:space="preserve">            </w:t>
            </w:r>
            <w:r w:rsidRPr="00736CE8">
              <w:rPr>
                <w:rFonts w:ascii="Arial" w:hAnsi="Arial" w:cs="Arial"/>
                <w:i/>
                <w:iCs/>
                <w:sz w:val="20"/>
                <w:szCs w:val="20"/>
              </w:rPr>
              <w:t>Interpretation</w:t>
            </w:r>
          </w:p>
        </w:tc>
      </w:tr>
      <w:tr w:rsidR="00736CE8" w:rsidRPr="00AC0D21" w14:paraId="2F64B1A2" w14:textId="77777777" w:rsidTr="004E6394">
        <w:trPr>
          <w:gridBefore w:val="1"/>
          <w:wBefore w:w="284" w:type="dxa"/>
          <w:trHeight w:val="381"/>
          <w:jc w:val="center"/>
        </w:trPr>
        <w:tc>
          <w:tcPr>
            <w:tcW w:w="1984" w:type="dxa"/>
            <w:gridSpan w:val="2"/>
          </w:tcPr>
          <w:p w14:paraId="4B7924A8"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4.20 – 5.00</w:t>
            </w:r>
          </w:p>
        </w:tc>
        <w:tc>
          <w:tcPr>
            <w:tcW w:w="2127" w:type="dxa"/>
          </w:tcPr>
          <w:p w14:paraId="01802D9B"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 xml:space="preserve">Very High </w:t>
            </w:r>
          </w:p>
        </w:tc>
        <w:tc>
          <w:tcPr>
            <w:tcW w:w="3827" w:type="dxa"/>
          </w:tcPr>
          <w:p w14:paraId="2D624E5B" w14:textId="77777777" w:rsidR="00736CE8" w:rsidRPr="00736CE8" w:rsidRDefault="00736CE8" w:rsidP="00736CE8">
            <w:pPr>
              <w:pStyle w:val="NoSpacing"/>
              <w:jc w:val="both"/>
              <w:rPr>
                <w:rFonts w:ascii="Arial" w:hAnsi="Arial" w:cs="Arial"/>
                <w:sz w:val="20"/>
                <w:szCs w:val="20"/>
              </w:rPr>
            </w:pPr>
            <w:bookmarkStart w:id="10" w:name="_Hlk191727924"/>
            <w:r w:rsidRPr="00736CE8">
              <w:rPr>
                <w:rFonts w:ascii="Arial" w:hAnsi="Arial" w:cs="Arial"/>
                <w:sz w:val="20"/>
                <w:szCs w:val="20"/>
              </w:rPr>
              <w:t xml:space="preserve">Teaching attitude is </w:t>
            </w:r>
            <w:bookmarkEnd w:id="10"/>
            <w:r w:rsidRPr="00736CE8">
              <w:rPr>
                <w:rFonts w:ascii="Arial" w:hAnsi="Arial" w:cs="Arial"/>
                <w:sz w:val="20"/>
                <w:szCs w:val="20"/>
              </w:rPr>
              <w:t>excellent.</w:t>
            </w:r>
          </w:p>
        </w:tc>
      </w:tr>
      <w:tr w:rsidR="00736CE8" w:rsidRPr="00AC0D21" w14:paraId="7D8D05B2" w14:textId="77777777" w:rsidTr="004E6394">
        <w:trPr>
          <w:gridBefore w:val="1"/>
          <w:wBefore w:w="284" w:type="dxa"/>
          <w:trHeight w:val="429"/>
          <w:jc w:val="center"/>
        </w:trPr>
        <w:tc>
          <w:tcPr>
            <w:tcW w:w="1984" w:type="dxa"/>
            <w:gridSpan w:val="2"/>
          </w:tcPr>
          <w:p w14:paraId="44FF5826"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3.40 – 4.19</w:t>
            </w:r>
          </w:p>
        </w:tc>
        <w:tc>
          <w:tcPr>
            <w:tcW w:w="2127" w:type="dxa"/>
          </w:tcPr>
          <w:p w14:paraId="12E58628"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High</w:t>
            </w:r>
          </w:p>
        </w:tc>
        <w:tc>
          <w:tcPr>
            <w:tcW w:w="3827" w:type="dxa"/>
          </w:tcPr>
          <w:p w14:paraId="0A586E52"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Teaching attitude is very good.</w:t>
            </w:r>
          </w:p>
        </w:tc>
      </w:tr>
      <w:tr w:rsidR="00736CE8" w:rsidRPr="00AC0D21" w14:paraId="1F5639FD" w14:textId="77777777" w:rsidTr="004E6394">
        <w:trPr>
          <w:gridBefore w:val="1"/>
          <w:wBefore w:w="284" w:type="dxa"/>
          <w:trHeight w:val="420"/>
          <w:jc w:val="center"/>
        </w:trPr>
        <w:tc>
          <w:tcPr>
            <w:tcW w:w="1984" w:type="dxa"/>
            <w:gridSpan w:val="2"/>
          </w:tcPr>
          <w:p w14:paraId="26206990"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2.60 – 3.39</w:t>
            </w:r>
          </w:p>
        </w:tc>
        <w:tc>
          <w:tcPr>
            <w:tcW w:w="2127" w:type="dxa"/>
          </w:tcPr>
          <w:p w14:paraId="447E825E"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Moderate</w:t>
            </w:r>
          </w:p>
        </w:tc>
        <w:tc>
          <w:tcPr>
            <w:tcW w:w="3827" w:type="dxa"/>
          </w:tcPr>
          <w:p w14:paraId="445C2DCF"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Teaching attitude is good.</w:t>
            </w:r>
          </w:p>
        </w:tc>
      </w:tr>
      <w:tr w:rsidR="00736CE8" w:rsidRPr="00AC0D21" w14:paraId="08D9F476" w14:textId="77777777" w:rsidTr="004E6394">
        <w:trPr>
          <w:gridBefore w:val="1"/>
          <w:wBefore w:w="284" w:type="dxa"/>
          <w:trHeight w:val="426"/>
          <w:jc w:val="center"/>
        </w:trPr>
        <w:tc>
          <w:tcPr>
            <w:tcW w:w="1984" w:type="dxa"/>
            <w:gridSpan w:val="2"/>
          </w:tcPr>
          <w:p w14:paraId="49FB65F1"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1.80 – 2.59</w:t>
            </w:r>
          </w:p>
        </w:tc>
        <w:tc>
          <w:tcPr>
            <w:tcW w:w="2127" w:type="dxa"/>
          </w:tcPr>
          <w:p w14:paraId="4C82AFE2"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Low</w:t>
            </w:r>
          </w:p>
        </w:tc>
        <w:tc>
          <w:tcPr>
            <w:tcW w:w="3827" w:type="dxa"/>
          </w:tcPr>
          <w:p w14:paraId="4CA24911"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Teaching attitude is poor.</w:t>
            </w:r>
          </w:p>
        </w:tc>
      </w:tr>
      <w:tr w:rsidR="00736CE8" w:rsidRPr="00AC0D21" w14:paraId="0D75C976" w14:textId="77777777" w:rsidTr="00736CE8">
        <w:trPr>
          <w:gridBefore w:val="1"/>
          <w:wBefore w:w="284" w:type="dxa"/>
          <w:trHeight w:val="563"/>
          <w:jc w:val="center"/>
        </w:trPr>
        <w:tc>
          <w:tcPr>
            <w:tcW w:w="1984" w:type="dxa"/>
            <w:gridSpan w:val="2"/>
          </w:tcPr>
          <w:p w14:paraId="2C83F9D5" w14:textId="77777777" w:rsidR="00736CE8" w:rsidRPr="00736CE8" w:rsidRDefault="00736CE8" w:rsidP="00736CE8">
            <w:pPr>
              <w:pStyle w:val="NoSpacing"/>
              <w:rPr>
                <w:rFonts w:ascii="Arial" w:hAnsi="Arial" w:cs="Arial"/>
                <w:sz w:val="20"/>
                <w:szCs w:val="20"/>
              </w:rPr>
            </w:pPr>
            <w:r w:rsidRPr="00736CE8">
              <w:rPr>
                <w:rFonts w:ascii="Arial" w:hAnsi="Arial" w:cs="Arial"/>
                <w:sz w:val="20"/>
                <w:szCs w:val="20"/>
              </w:rPr>
              <w:t>1.00 – 1.79</w:t>
            </w:r>
          </w:p>
        </w:tc>
        <w:tc>
          <w:tcPr>
            <w:tcW w:w="2127" w:type="dxa"/>
          </w:tcPr>
          <w:p w14:paraId="5E14253D"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Very Low</w:t>
            </w:r>
          </w:p>
        </w:tc>
        <w:tc>
          <w:tcPr>
            <w:tcW w:w="3827" w:type="dxa"/>
          </w:tcPr>
          <w:p w14:paraId="45E56C3A" w14:textId="77777777" w:rsidR="00736CE8" w:rsidRPr="00736CE8" w:rsidRDefault="00736CE8" w:rsidP="00736CE8">
            <w:pPr>
              <w:pStyle w:val="NoSpacing"/>
              <w:jc w:val="both"/>
              <w:rPr>
                <w:rFonts w:ascii="Arial" w:hAnsi="Arial" w:cs="Arial"/>
                <w:sz w:val="20"/>
                <w:szCs w:val="20"/>
              </w:rPr>
            </w:pPr>
            <w:r w:rsidRPr="00736CE8">
              <w:rPr>
                <w:rFonts w:ascii="Arial" w:hAnsi="Arial" w:cs="Arial"/>
                <w:sz w:val="20"/>
                <w:szCs w:val="20"/>
              </w:rPr>
              <w:t>Teaching attitude is very poor.</w:t>
            </w:r>
          </w:p>
        </w:tc>
      </w:tr>
    </w:tbl>
    <w:p w14:paraId="5D1C285D" w14:textId="122B1178" w:rsidR="00736CE8" w:rsidRDefault="00736CE8" w:rsidP="003D7A09">
      <w:pPr>
        <w:pStyle w:val="Body"/>
        <w:spacing w:after="0"/>
        <w:rPr>
          <w:rFonts w:ascii="Arial" w:hAnsi="Arial" w:cs="Arial"/>
        </w:rPr>
      </w:pPr>
      <w:r w:rsidRPr="00736CE8">
        <w:rPr>
          <w:rFonts w:ascii="Arial" w:hAnsi="Arial" w:cs="Arial"/>
        </w:rPr>
        <w:t>Furthermore, in evaluating the utilization of vocabulary retention strategies of English teachers, the Vocabulary Learning Questionnaire of Gu, P.Y. (2018) is adapted. In the questionnaire, the respondent rated the questionnaire using the following: 5 as Strongly Agree, 4 as Agree, 3 as Neither Agree nor Disagree, 2 as Disagree, and 1 as Strongly Disagree. The Likert scale below is used for the analysis of results:</w:t>
      </w:r>
    </w:p>
    <w:p w14:paraId="50EB3EDC" w14:textId="77777777" w:rsidR="00736CE8" w:rsidRDefault="00736CE8" w:rsidP="003D7A09">
      <w:pPr>
        <w:pStyle w:val="Body"/>
        <w:spacing w:after="0"/>
        <w:rPr>
          <w:rFonts w:ascii="Arial" w:hAnsi="Arial" w:cs="Arial"/>
        </w:rPr>
      </w:pPr>
    </w:p>
    <w:tbl>
      <w:tblPr>
        <w:tblStyle w:val="TableGri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126"/>
        <w:gridCol w:w="284"/>
        <w:gridCol w:w="1984"/>
        <w:gridCol w:w="4111"/>
      </w:tblGrid>
      <w:tr w:rsidR="00736CE8" w:rsidRPr="00AC0D21" w14:paraId="06B74CF5" w14:textId="77777777" w:rsidTr="004E6394">
        <w:trPr>
          <w:gridBefore w:val="1"/>
          <w:wBefore w:w="142" w:type="dxa"/>
          <w:trHeight w:val="426"/>
          <w:jc w:val="center"/>
        </w:trPr>
        <w:tc>
          <w:tcPr>
            <w:tcW w:w="2126" w:type="dxa"/>
          </w:tcPr>
          <w:p w14:paraId="5570A304" w14:textId="77777777" w:rsidR="00736CE8" w:rsidRPr="00736CE8" w:rsidRDefault="00736CE8" w:rsidP="00D062BF">
            <w:pPr>
              <w:pStyle w:val="NoSpacing"/>
              <w:jc w:val="center"/>
              <w:rPr>
                <w:rFonts w:ascii="Arial" w:hAnsi="Arial" w:cs="Arial"/>
                <w:i/>
                <w:iCs/>
                <w:sz w:val="20"/>
                <w:szCs w:val="20"/>
              </w:rPr>
            </w:pPr>
            <w:r w:rsidRPr="00736CE8">
              <w:rPr>
                <w:rFonts w:ascii="Arial" w:hAnsi="Arial" w:cs="Arial"/>
                <w:i/>
                <w:iCs/>
                <w:sz w:val="20"/>
                <w:szCs w:val="20"/>
              </w:rPr>
              <w:t>Range of Means</w:t>
            </w:r>
          </w:p>
        </w:tc>
        <w:tc>
          <w:tcPr>
            <w:tcW w:w="2268" w:type="dxa"/>
            <w:gridSpan w:val="2"/>
          </w:tcPr>
          <w:p w14:paraId="5D2AB262" w14:textId="339AB19D" w:rsidR="00736CE8" w:rsidRPr="00736CE8" w:rsidRDefault="00736CE8" w:rsidP="00736CE8">
            <w:pPr>
              <w:pStyle w:val="NoSpacing"/>
              <w:rPr>
                <w:rFonts w:ascii="Arial" w:hAnsi="Arial" w:cs="Arial"/>
                <w:i/>
                <w:iCs/>
                <w:sz w:val="20"/>
                <w:szCs w:val="20"/>
              </w:rPr>
            </w:pPr>
            <w:r>
              <w:rPr>
                <w:rFonts w:ascii="Arial" w:hAnsi="Arial" w:cs="Arial"/>
                <w:i/>
                <w:iCs/>
                <w:sz w:val="20"/>
                <w:szCs w:val="20"/>
              </w:rPr>
              <w:t xml:space="preserve">    </w:t>
            </w:r>
            <w:r w:rsidRPr="00736CE8">
              <w:rPr>
                <w:rFonts w:ascii="Arial" w:hAnsi="Arial" w:cs="Arial"/>
                <w:i/>
                <w:iCs/>
                <w:sz w:val="20"/>
                <w:szCs w:val="20"/>
              </w:rPr>
              <w:t>Descriptive Level</w:t>
            </w:r>
          </w:p>
        </w:tc>
        <w:tc>
          <w:tcPr>
            <w:tcW w:w="4111" w:type="dxa"/>
          </w:tcPr>
          <w:p w14:paraId="4A0A42F3" w14:textId="77777777" w:rsidR="00736CE8" w:rsidRPr="00736CE8" w:rsidRDefault="00736CE8" w:rsidP="00D062BF">
            <w:pPr>
              <w:pStyle w:val="NoSpacing"/>
              <w:jc w:val="center"/>
              <w:rPr>
                <w:rFonts w:ascii="Arial" w:hAnsi="Arial" w:cs="Arial"/>
                <w:i/>
                <w:iCs/>
                <w:sz w:val="20"/>
                <w:szCs w:val="20"/>
              </w:rPr>
            </w:pPr>
            <w:r w:rsidRPr="00736CE8">
              <w:rPr>
                <w:rFonts w:ascii="Arial" w:hAnsi="Arial" w:cs="Arial"/>
                <w:i/>
                <w:iCs/>
                <w:sz w:val="20"/>
                <w:szCs w:val="20"/>
              </w:rPr>
              <w:t>Interpretation</w:t>
            </w:r>
          </w:p>
        </w:tc>
      </w:tr>
      <w:tr w:rsidR="00736CE8" w:rsidRPr="00AC0D21" w14:paraId="7C1A3E40" w14:textId="77777777" w:rsidTr="004E6394">
        <w:trPr>
          <w:trHeight w:val="568"/>
          <w:jc w:val="center"/>
        </w:trPr>
        <w:tc>
          <w:tcPr>
            <w:tcW w:w="2552" w:type="dxa"/>
            <w:gridSpan w:val="3"/>
          </w:tcPr>
          <w:p w14:paraId="410FFCF7" w14:textId="77777777" w:rsidR="00736CE8" w:rsidRPr="00736CE8" w:rsidRDefault="00736CE8" w:rsidP="00D062BF">
            <w:pPr>
              <w:pStyle w:val="NoSpacing"/>
              <w:jc w:val="center"/>
              <w:rPr>
                <w:rFonts w:ascii="Arial" w:hAnsi="Arial" w:cs="Arial"/>
                <w:sz w:val="20"/>
                <w:szCs w:val="20"/>
              </w:rPr>
            </w:pPr>
            <w:r w:rsidRPr="00736CE8">
              <w:rPr>
                <w:rFonts w:ascii="Arial" w:hAnsi="Arial" w:cs="Arial"/>
                <w:sz w:val="20"/>
                <w:szCs w:val="20"/>
              </w:rPr>
              <w:t>4.20 – 5.00</w:t>
            </w:r>
          </w:p>
        </w:tc>
        <w:tc>
          <w:tcPr>
            <w:tcW w:w="1984" w:type="dxa"/>
          </w:tcPr>
          <w:p w14:paraId="1D685EC8"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 xml:space="preserve">Very High </w:t>
            </w:r>
          </w:p>
        </w:tc>
        <w:tc>
          <w:tcPr>
            <w:tcW w:w="4111" w:type="dxa"/>
          </w:tcPr>
          <w:p w14:paraId="1912AA41" w14:textId="71EFC9B8" w:rsidR="00736CE8" w:rsidRPr="00736CE8" w:rsidRDefault="00736CE8" w:rsidP="00D062BF">
            <w:pPr>
              <w:pStyle w:val="NoSpacing"/>
              <w:jc w:val="both"/>
              <w:rPr>
                <w:rFonts w:ascii="Arial" w:hAnsi="Arial" w:cs="Arial"/>
                <w:sz w:val="20"/>
                <w:szCs w:val="20"/>
              </w:rPr>
            </w:pPr>
            <w:bookmarkStart w:id="11" w:name="_Hlk191728232"/>
            <w:r w:rsidRPr="00736CE8">
              <w:rPr>
                <w:rFonts w:ascii="Arial" w:hAnsi="Arial" w:cs="Arial"/>
                <w:sz w:val="20"/>
                <w:szCs w:val="20"/>
              </w:rPr>
              <w:t xml:space="preserve">The utilization of vocabulary retention strategies of English teachers is excellent. </w:t>
            </w:r>
            <w:bookmarkEnd w:id="11"/>
          </w:p>
        </w:tc>
      </w:tr>
      <w:tr w:rsidR="00736CE8" w:rsidRPr="00AC0D21" w14:paraId="5C8A0958" w14:textId="77777777" w:rsidTr="004E6394">
        <w:trPr>
          <w:trHeight w:val="567"/>
          <w:jc w:val="center"/>
        </w:trPr>
        <w:tc>
          <w:tcPr>
            <w:tcW w:w="2552" w:type="dxa"/>
            <w:gridSpan w:val="3"/>
          </w:tcPr>
          <w:p w14:paraId="15D317C3" w14:textId="77777777" w:rsidR="00736CE8" w:rsidRPr="00736CE8" w:rsidRDefault="00736CE8" w:rsidP="00D062BF">
            <w:pPr>
              <w:pStyle w:val="NoSpacing"/>
              <w:jc w:val="center"/>
              <w:rPr>
                <w:rFonts w:ascii="Arial" w:hAnsi="Arial" w:cs="Arial"/>
                <w:sz w:val="20"/>
                <w:szCs w:val="20"/>
              </w:rPr>
            </w:pPr>
            <w:r w:rsidRPr="00736CE8">
              <w:rPr>
                <w:rFonts w:ascii="Arial" w:hAnsi="Arial" w:cs="Arial"/>
                <w:sz w:val="20"/>
                <w:szCs w:val="20"/>
              </w:rPr>
              <w:lastRenderedPageBreak/>
              <w:t>3.40 – 4.19</w:t>
            </w:r>
          </w:p>
        </w:tc>
        <w:tc>
          <w:tcPr>
            <w:tcW w:w="1984" w:type="dxa"/>
          </w:tcPr>
          <w:p w14:paraId="5E4346B7"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High</w:t>
            </w:r>
          </w:p>
        </w:tc>
        <w:tc>
          <w:tcPr>
            <w:tcW w:w="4111" w:type="dxa"/>
          </w:tcPr>
          <w:p w14:paraId="55FCC122"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The utilization of vocabulary retention strategies of English teachers is very good.</w:t>
            </w:r>
          </w:p>
        </w:tc>
      </w:tr>
      <w:tr w:rsidR="00736CE8" w:rsidRPr="00AC0D21" w14:paraId="21799EAB" w14:textId="77777777" w:rsidTr="004E6394">
        <w:trPr>
          <w:trHeight w:val="561"/>
          <w:jc w:val="center"/>
        </w:trPr>
        <w:tc>
          <w:tcPr>
            <w:tcW w:w="2552" w:type="dxa"/>
            <w:gridSpan w:val="3"/>
          </w:tcPr>
          <w:p w14:paraId="36956690" w14:textId="77777777" w:rsidR="00736CE8" w:rsidRPr="00736CE8" w:rsidRDefault="00736CE8" w:rsidP="00D062BF">
            <w:pPr>
              <w:pStyle w:val="NoSpacing"/>
              <w:jc w:val="center"/>
              <w:rPr>
                <w:rFonts w:ascii="Arial" w:hAnsi="Arial" w:cs="Arial"/>
                <w:sz w:val="20"/>
                <w:szCs w:val="20"/>
              </w:rPr>
            </w:pPr>
            <w:r w:rsidRPr="00736CE8">
              <w:rPr>
                <w:rFonts w:ascii="Arial" w:hAnsi="Arial" w:cs="Arial"/>
                <w:sz w:val="20"/>
                <w:szCs w:val="20"/>
              </w:rPr>
              <w:t>2.60 – 3.39</w:t>
            </w:r>
          </w:p>
        </w:tc>
        <w:tc>
          <w:tcPr>
            <w:tcW w:w="1984" w:type="dxa"/>
          </w:tcPr>
          <w:p w14:paraId="1C8C63E1"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Moderate</w:t>
            </w:r>
          </w:p>
        </w:tc>
        <w:tc>
          <w:tcPr>
            <w:tcW w:w="4111" w:type="dxa"/>
          </w:tcPr>
          <w:p w14:paraId="4AC5CDEB" w14:textId="454185F1"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The utilization of vocabulary retention strategies of English teachers is good.</w:t>
            </w:r>
          </w:p>
        </w:tc>
      </w:tr>
      <w:tr w:rsidR="00736CE8" w:rsidRPr="00AC0D21" w14:paraId="7821EA74" w14:textId="77777777" w:rsidTr="004E6394">
        <w:trPr>
          <w:trHeight w:val="569"/>
          <w:jc w:val="center"/>
        </w:trPr>
        <w:tc>
          <w:tcPr>
            <w:tcW w:w="2552" w:type="dxa"/>
            <w:gridSpan w:val="3"/>
          </w:tcPr>
          <w:p w14:paraId="51C8C7FB" w14:textId="77777777" w:rsidR="00736CE8" w:rsidRPr="00736CE8" w:rsidRDefault="00736CE8" w:rsidP="00D062BF">
            <w:pPr>
              <w:pStyle w:val="NoSpacing"/>
              <w:jc w:val="center"/>
              <w:rPr>
                <w:rFonts w:ascii="Arial" w:hAnsi="Arial" w:cs="Arial"/>
                <w:sz w:val="20"/>
                <w:szCs w:val="20"/>
              </w:rPr>
            </w:pPr>
            <w:r w:rsidRPr="00736CE8">
              <w:rPr>
                <w:rFonts w:ascii="Arial" w:hAnsi="Arial" w:cs="Arial"/>
                <w:sz w:val="20"/>
                <w:szCs w:val="20"/>
              </w:rPr>
              <w:t>1.80 – 2.59</w:t>
            </w:r>
          </w:p>
        </w:tc>
        <w:tc>
          <w:tcPr>
            <w:tcW w:w="1984" w:type="dxa"/>
          </w:tcPr>
          <w:p w14:paraId="1EACDB6D"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 xml:space="preserve"> Low</w:t>
            </w:r>
          </w:p>
        </w:tc>
        <w:tc>
          <w:tcPr>
            <w:tcW w:w="4111" w:type="dxa"/>
          </w:tcPr>
          <w:p w14:paraId="5E6F8A85" w14:textId="79BE19AD"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The utilization of vocabulary retention strategies of English teachers is poor.</w:t>
            </w:r>
          </w:p>
        </w:tc>
      </w:tr>
      <w:tr w:rsidR="00736CE8" w:rsidRPr="00AC0D21" w14:paraId="694AC29C" w14:textId="77777777" w:rsidTr="004E6394">
        <w:trPr>
          <w:trHeight w:val="272"/>
          <w:jc w:val="center"/>
        </w:trPr>
        <w:tc>
          <w:tcPr>
            <w:tcW w:w="2552" w:type="dxa"/>
            <w:gridSpan w:val="3"/>
          </w:tcPr>
          <w:p w14:paraId="482C51B0" w14:textId="77777777" w:rsidR="00736CE8" w:rsidRPr="00736CE8" w:rsidRDefault="00736CE8" w:rsidP="00D062BF">
            <w:pPr>
              <w:pStyle w:val="NoSpacing"/>
              <w:jc w:val="center"/>
              <w:rPr>
                <w:rFonts w:ascii="Arial" w:hAnsi="Arial" w:cs="Arial"/>
                <w:sz w:val="20"/>
                <w:szCs w:val="20"/>
              </w:rPr>
            </w:pPr>
            <w:r w:rsidRPr="00736CE8">
              <w:rPr>
                <w:rFonts w:ascii="Arial" w:hAnsi="Arial" w:cs="Arial"/>
                <w:sz w:val="20"/>
                <w:szCs w:val="20"/>
              </w:rPr>
              <w:t>1.00 – 1.79</w:t>
            </w:r>
          </w:p>
        </w:tc>
        <w:tc>
          <w:tcPr>
            <w:tcW w:w="1984" w:type="dxa"/>
          </w:tcPr>
          <w:p w14:paraId="674695FE"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 xml:space="preserve"> Very Low</w:t>
            </w:r>
          </w:p>
        </w:tc>
        <w:tc>
          <w:tcPr>
            <w:tcW w:w="4111" w:type="dxa"/>
          </w:tcPr>
          <w:p w14:paraId="19F50EF0" w14:textId="77777777" w:rsidR="00736CE8" w:rsidRPr="00736CE8" w:rsidRDefault="00736CE8" w:rsidP="00D062BF">
            <w:pPr>
              <w:pStyle w:val="NoSpacing"/>
              <w:jc w:val="both"/>
              <w:rPr>
                <w:rFonts w:ascii="Arial" w:hAnsi="Arial" w:cs="Arial"/>
                <w:sz w:val="20"/>
                <w:szCs w:val="20"/>
              </w:rPr>
            </w:pPr>
            <w:r w:rsidRPr="00736CE8">
              <w:rPr>
                <w:rFonts w:ascii="Arial" w:hAnsi="Arial" w:cs="Arial"/>
                <w:sz w:val="20"/>
                <w:szCs w:val="20"/>
              </w:rPr>
              <w:t>The utilization of vocabulary retention strategies of English teachers is very poor.</w:t>
            </w:r>
          </w:p>
        </w:tc>
      </w:tr>
    </w:tbl>
    <w:p w14:paraId="5A38DB5E" w14:textId="77777777" w:rsidR="00736CE8" w:rsidRDefault="00736CE8" w:rsidP="003D7A09">
      <w:pPr>
        <w:pStyle w:val="Body"/>
        <w:spacing w:after="0"/>
        <w:rPr>
          <w:rFonts w:ascii="Arial" w:hAnsi="Arial" w:cs="Arial"/>
        </w:rPr>
      </w:pPr>
    </w:p>
    <w:p w14:paraId="7519A485" w14:textId="77777777" w:rsidR="004E6394" w:rsidRPr="004E6394" w:rsidRDefault="004E6394" w:rsidP="004E6394">
      <w:pPr>
        <w:pStyle w:val="Body"/>
        <w:rPr>
          <w:rFonts w:ascii="Arial" w:hAnsi="Arial" w:cs="Arial"/>
        </w:rPr>
      </w:pPr>
      <w:r w:rsidRPr="004E6394">
        <w:rPr>
          <w:rFonts w:ascii="Arial" w:hAnsi="Arial" w:cs="Arial"/>
        </w:rPr>
        <w:t xml:space="preserve">The questionnaire for evaluating teacher attitude contained 30 items, while the classroom environment and utilization of vocabulary retention strategies of English teachers’ questionnaires contained 50 items each variable. These instruments have undergone expert validation to ensure reliability before full-scale administration. The Likert scales provided consistent scoring methods for accurate data analysis. </w:t>
      </w:r>
    </w:p>
    <w:p w14:paraId="0522A32F" w14:textId="73C977E0" w:rsidR="004E6394" w:rsidRDefault="004E6394" w:rsidP="004E6394">
      <w:pPr>
        <w:pStyle w:val="Body"/>
        <w:spacing w:after="0"/>
        <w:rPr>
          <w:rFonts w:ascii="Arial" w:hAnsi="Arial" w:cs="Arial"/>
        </w:rPr>
      </w:pPr>
      <w:r w:rsidRPr="004E6394">
        <w:rPr>
          <w:rFonts w:ascii="Arial" w:hAnsi="Arial" w:cs="Arial"/>
        </w:rPr>
        <w:t xml:space="preserve">In measuring the strength of correlation, the study utilized the standard scheme in determining the strength and the significant measure of the correlation. For the </w:t>
      </w:r>
      <w:proofErr w:type="spellStart"/>
      <w:r w:rsidRPr="004E6394">
        <w:rPr>
          <w:rFonts w:ascii="Arial" w:hAnsi="Arial" w:cs="Arial"/>
        </w:rPr>
        <w:t>r-value</w:t>
      </w:r>
      <w:proofErr w:type="spellEnd"/>
      <w:r w:rsidRPr="004E6394">
        <w:rPr>
          <w:rFonts w:ascii="Arial" w:hAnsi="Arial" w:cs="Arial"/>
        </w:rPr>
        <w:t>, the following scheme is used:</w:t>
      </w:r>
    </w:p>
    <w:p w14:paraId="052FA1DB" w14:textId="77777777" w:rsidR="004E6394" w:rsidRDefault="004E6394" w:rsidP="004E6394">
      <w:pPr>
        <w:pStyle w:val="Body"/>
        <w:spacing w:after="0"/>
        <w:rPr>
          <w:rFonts w:ascii="Arial" w:hAnsi="Arial" w:cs="Arial"/>
        </w:rPr>
      </w:pPr>
    </w:p>
    <w:tbl>
      <w:tblPr>
        <w:tblStyle w:val="TableGrid"/>
        <w:tblW w:w="85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969"/>
        <w:gridCol w:w="426"/>
        <w:gridCol w:w="3686"/>
      </w:tblGrid>
      <w:tr w:rsidR="004E6394" w:rsidRPr="00AC0D21" w14:paraId="47FFF4DD" w14:textId="77777777" w:rsidTr="00D062BF">
        <w:trPr>
          <w:gridBefore w:val="1"/>
          <w:wBefore w:w="426" w:type="dxa"/>
          <w:trHeight w:val="515"/>
          <w:jc w:val="center"/>
        </w:trPr>
        <w:tc>
          <w:tcPr>
            <w:tcW w:w="3969" w:type="dxa"/>
          </w:tcPr>
          <w:p w14:paraId="72CD3CB2" w14:textId="77777777" w:rsidR="004E6394" w:rsidRPr="004E6394" w:rsidRDefault="004E6394" w:rsidP="00D062BF">
            <w:pPr>
              <w:pStyle w:val="NoSpacing"/>
              <w:jc w:val="center"/>
              <w:rPr>
                <w:rFonts w:ascii="Arial" w:hAnsi="Arial" w:cs="Arial"/>
                <w:b/>
                <w:bCs/>
                <w:sz w:val="20"/>
                <w:szCs w:val="20"/>
              </w:rPr>
            </w:pPr>
            <w:r w:rsidRPr="004E6394">
              <w:rPr>
                <w:rFonts w:ascii="Arial" w:hAnsi="Arial" w:cs="Arial"/>
                <w:b/>
                <w:bCs/>
                <w:i/>
                <w:iCs/>
                <w:sz w:val="20"/>
                <w:szCs w:val="20"/>
              </w:rPr>
              <w:t xml:space="preserve">Computed r </w:t>
            </w:r>
          </w:p>
        </w:tc>
        <w:tc>
          <w:tcPr>
            <w:tcW w:w="4112" w:type="dxa"/>
            <w:gridSpan w:val="2"/>
          </w:tcPr>
          <w:p w14:paraId="469E751F" w14:textId="77777777" w:rsidR="004E6394" w:rsidRPr="004E6394" w:rsidRDefault="004E6394" w:rsidP="00D062BF">
            <w:pPr>
              <w:pStyle w:val="NoSpacing"/>
              <w:rPr>
                <w:rFonts w:ascii="Arial" w:hAnsi="Arial" w:cs="Arial"/>
                <w:b/>
                <w:bCs/>
                <w:i/>
                <w:iCs/>
                <w:sz w:val="20"/>
                <w:szCs w:val="20"/>
              </w:rPr>
            </w:pPr>
            <w:r w:rsidRPr="004E6394">
              <w:rPr>
                <w:rFonts w:ascii="Arial" w:hAnsi="Arial" w:cs="Arial"/>
                <w:b/>
                <w:bCs/>
                <w:i/>
                <w:iCs/>
                <w:sz w:val="20"/>
                <w:szCs w:val="20"/>
              </w:rPr>
              <w:t>Descriptive Interpretation</w:t>
            </w:r>
          </w:p>
        </w:tc>
      </w:tr>
      <w:tr w:rsidR="004E6394" w:rsidRPr="00AC0D21" w14:paraId="1CF88DB2" w14:textId="77777777" w:rsidTr="004E6394">
        <w:trPr>
          <w:trHeight w:val="457"/>
          <w:jc w:val="center"/>
        </w:trPr>
        <w:tc>
          <w:tcPr>
            <w:tcW w:w="4821" w:type="dxa"/>
            <w:gridSpan w:val="3"/>
          </w:tcPr>
          <w:p w14:paraId="41618A84"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+/- 1.00</w:t>
            </w:r>
          </w:p>
        </w:tc>
        <w:tc>
          <w:tcPr>
            <w:tcW w:w="3686" w:type="dxa"/>
          </w:tcPr>
          <w:p w14:paraId="560BC7B0"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Perfect correlation</w:t>
            </w:r>
          </w:p>
        </w:tc>
      </w:tr>
      <w:tr w:rsidR="004E6394" w:rsidRPr="00AC0D21" w14:paraId="5B41939D" w14:textId="77777777" w:rsidTr="004E6394">
        <w:trPr>
          <w:trHeight w:val="419"/>
          <w:jc w:val="center"/>
        </w:trPr>
        <w:tc>
          <w:tcPr>
            <w:tcW w:w="4821" w:type="dxa"/>
            <w:gridSpan w:val="3"/>
          </w:tcPr>
          <w:p w14:paraId="0660A894"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Between +/- 0.75 – +/- 0.99</w:t>
            </w:r>
          </w:p>
        </w:tc>
        <w:tc>
          <w:tcPr>
            <w:tcW w:w="3686" w:type="dxa"/>
          </w:tcPr>
          <w:p w14:paraId="452FF11C"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High correlation</w:t>
            </w:r>
          </w:p>
        </w:tc>
      </w:tr>
      <w:tr w:rsidR="004E6394" w:rsidRPr="00AC0D21" w14:paraId="32020223" w14:textId="77777777" w:rsidTr="004E6394">
        <w:trPr>
          <w:trHeight w:val="424"/>
          <w:jc w:val="center"/>
        </w:trPr>
        <w:tc>
          <w:tcPr>
            <w:tcW w:w="4821" w:type="dxa"/>
            <w:gridSpan w:val="3"/>
          </w:tcPr>
          <w:p w14:paraId="7DC8E312"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Between +/- 0.51 – +/- 0.74</w:t>
            </w:r>
          </w:p>
        </w:tc>
        <w:tc>
          <w:tcPr>
            <w:tcW w:w="3686" w:type="dxa"/>
          </w:tcPr>
          <w:p w14:paraId="1EBC1F1B"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Moderately high correlation</w:t>
            </w:r>
          </w:p>
        </w:tc>
      </w:tr>
      <w:tr w:rsidR="004E6394" w:rsidRPr="00AC0D21" w14:paraId="2992AE9F" w14:textId="77777777" w:rsidTr="004E6394">
        <w:trPr>
          <w:trHeight w:val="431"/>
          <w:jc w:val="center"/>
        </w:trPr>
        <w:tc>
          <w:tcPr>
            <w:tcW w:w="4821" w:type="dxa"/>
            <w:gridSpan w:val="3"/>
          </w:tcPr>
          <w:p w14:paraId="1218BC74"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Between +/- 0.31 – +/- 0.50</w:t>
            </w:r>
          </w:p>
        </w:tc>
        <w:tc>
          <w:tcPr>
            <w:tcW w:w="3686" w:type="dxa"/>
          </w:tcPr>
          <w:p w14:paraId="5A026968"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Moderately low correlation</w:t>
            </w:r>
          </w:p>
        </w:tc>
      </w:tr>
      <w:tr w:rsidR="004E6394" w:rsidRPr="00AC0D21" w14:paraId="15A41112" w14:textId="77777777" w:rsidTr="004E6394">
        <w:trPr>
          <w:trHeight w:val="423"/>
          <w:jc w:val="center"/>
        </w:trPr>
        <w:tc>
          <w:tcPr>
            <w:tcW w:w="4821" w:type="dxa"/>
            <w:gridSpan w:val="3"/>
          </w:tcPr>
          <w:p w14:paraId="7B41DC8E"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Between +/- 0.01 – +/- 0.30</w:t>
            </w:r>
          </w:p>
        </w:tc>
        <w:tc>
          <w:tcPr>
            <w:tcW w:w="3686" w:type="dxa"/>
          </w:tcPr>
          <w:p w14:paraId="28B728C7"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Low correlation</w:t>
            </w:r>
          </w:p>
        </w:tc>
      </w:tr>
      <w:tr w:rsidR="004E6394" w:rsidRPr="00AC0D21" w14:paraId="13A0315F" w14:textId="77777777" w:rsidTr="00D062BF">
        <w:trPr>
          <w:trHeight w:val="425"/>
          <w:jc w:val="center"/>
        </w:trPr>
        <w:tc>
          <w:tcPr>
            <w:tcW w:w="4821" w:type="dxa"/>
            <w:gridSpan w:val="3"/>
          </w:tcPr>
          <w:p w14:paraId="522F8A8C" w14:textId="77777777" w:rsidR="004E6394" w:rsidRPr="004E6394" w:rsidRDefault="004E6394" w:rsidP="00D062BF">
            <w:pPr>
              <w:pStyle w:val="NoSpacing"/>
              <w:jc w:val="center"/>
              <w:rPr>
                <w:rFonts w:ascii="Arial" w:hAnsi="Arial" w:cs="Arial"/>
                <w:sz w:val="20"/>
                <w:szCs w:val="20"/>
              </w:rPr>
            </w:pPr>
            <w:r w:rsidRPr="004E6394">
              <w:rPr>
                <w:rFonts w:ascii="Arial" w:hAnsi="Arial" w:cs="Arial"/>
                <w:sz w:val="20"/>
                <w:szCs w:val="20"/>
              </w:rPr>
              <w:t>0.00</w:t>
            </w:r>
          </w:p>
        </w:tc>
        <w:tc>
          <w:tcPr>
            <w:tcW w:w="3686" w:type="dxa"/>
          </w:tcPr>
          <w:p w14:paraId="04E300BE" w14:textId="77777777" w:rsidR="004E6394" w:rsidRPr="004E6394" w:rsidRDefault="004E6394" w:rsidP="00D062BF">
            <w:pPr>
              <w:pStyle w:val="NoSpacing"/>
              <w:rPr>
                <w:rFonts w:ascii="Arial" w:hAnsi="Arial" w:cs="Arial"/>
                <w:sz w:val="20"/>
                <w:szCs w:val="20"/>
              </w:rPr>
            </w:pPr>
            <w:r w:rsidRPr="004E6394">
              <w:rPr>
                <w:rFonts w:ascii="Arial" w:hAnsi="Arial" w:cs="Arial"/>
                <w:sz w:val="20"/>
                <w:szCs w:val="20"/>
              </w:rPr>
              <w:t>No correlation</w:t>
            </w:r>
          </w:p>
        </w:tc>
      </w:tr>
    </w:tbl>
    <w:p w14:paraId="3CED8CD2" w14:textId="77777777" w:rsidR="004E6394" w:rsidRDefault="004E6394" w:rsidP="004E6394">
      <w:pPr>
        <w:pStyle w:val="Body"/>
        <w:spacing w:after="0"/>
        <w:rPr>
          <w:rFonts w:ascii="Arial" w:hAnsi="Arial" w:cs="Arial"/>
        </w:rPr>
      </w:pPr>
    </w:p>
    <w:p w14:paraId="2A73A82B" w14:textId="1E0C1150" w:rsidR="004E6394" w:rsidRPr="003D7A09" w:rsidRDefault="004E6394" w:rsidP="004E6394">
      <w:pPr>
        <w:pStyle w:val="Body"/>
        <w:jc w:val="left"/>
        <w:rPr>
          <w:rFonts w:ascii="Arial" w:hAnsi="Arial" w:cs="Arial"/>
          <w:b/>
          <w:bCs/>
          <w:sz w:val="22"/>
          <w:szCs w:val="22"/>
        </w:rPr>
      </w:pPr>
      <w:r w:rsidRPr="003D7A09">
        <w:rPr>
          <w:rFonts w:ascii="Arial" w:hAnsi="Arial" w:cs="Arial"/>
          <w:b/>
          <w:bCs/>
          <w:sz w:val="22"/>
          <w:szCs w:val="22"/>
        </w:rPr>
        <w:t>2.</w:t>
      </w:r>
      <w:r>
        <w:rPr>
          <w:rFonts w:ascii="Arial" w:hAnsi="Arial" w:cs="Arial"/>
          <w:b/>
          <w:bCs/>
          <w:sz w:val="22"/>
          <w:szCs w:val="22"/>
        </w:rPr>
        <w:t>5 DATA GATHERING PROCEDURE</w:t>
      </w:r>
    </w:p>
    <w:p w14:paraId="7CDB25A6" w14:textId="77777777" w:rsidR="004E6394" w:rsidRPr="004E6394" w:rsidRDefault="004E6394" w:rsidP="004E6394">
      <w:pPr>
        <w:pStyle w:val="Body"/>
        <w:rPr>
          <w:rFonts w:ascii="Arial" w:hAnsi="Arial" w:cs="Arial"/>
        </w:rPr>
      </w:pPr>
      <w:r w:rsidRPr="004E6394">
        <w:rPr>
          <w:rFonts w:ascii="Arial" w:hAnsi="Arial" w:cs="Arial"/>
        </w:rPr>
        <w:t xml:space="preserve">The researcher considered the following steps and procedures in collecting data for this study: </w:t>
      </w:r>
    </w:p>
    <w:p w14:paraId="7E4047D6" w14:textId="77777777" w:rsidR="004E6394" w:rsidRPr="004E6394" w:rsidRDefault="004E6394" w:rsidP="004E6394">
      <w:pPr>
        <w:pStyle w:val="Body"/>
        <w:rPr>
          <w:rFonts w:ascii="Arial" w:hAnsi="Arial" w:cs="Arial"/>
        </w:rPr>
      </w:pPr>
      <w:r w:rsidRPr="004E6394">
        <w:rPr>
          <w:rFonts w:ascii="Arial" w:hAnsi="Arial" w:cs="Arial"/>
          <w:i/>
          <w:iCs/>
        </w:rPr>
        <w:t>Asking Permission to Conduct the Study</w:t>
      </w:r>
      <w:r w:rsidRPr="004E6394">
        <w:rPr>
          <w:rFonts w:ascii="Arial" w:hAnsi="Arial" w:cs="Arial"/>
        </w:rPr>
        <w:t>. The researcher requested an endorsement letter from the Dean of the Graduate School at Holy Cross of Davao College, as well as consent from the thesis adviser, to undertake the study. After obtaining the endorsement, the researcher submitted an official request to the Schools Division Office, addressed to the Schools Division Superintendent (SDS), to seek permission to conduct the study. Approval was granted upon completion of the required procedures. Following that, the researcher also obtained permission from the appointed principals of the selected elementary schools to officially conduct the study on the teachers teaching English in Grade 3.</w:t>
      </w:r>
    </w:p>
    <w:p w14:paraId="0310EABC" w14:textId="77777777" w:rsidR="004E6394" w:rsidRPr="004E6394" w:rsidRDefault="004E6394" w:rsidP="004E6394">
      <w:pPr>
        <w:pStyle w:val="Body"/>
        <w:rPr>
          <w:rFonts w:ascii="Arial" w:hAnsi="Arial" w:cs="Arial"/>
        </w:rPr>
      </w:pPr>
      <w:r w:rsidRPr="004E6394">
        <w:rPr>
          <w:rFonts w:ascii="Arial" w:hAnsi="Arial" w:cs="Arial"/>
          <w:i/>
          <w:iCs/>
        </w:rPr>
        <w:t>Administration and Retrieval of Questionnaires</w:t>
      </w:r>
      <w:r w:rsidRPr="004E6394">
        <w:rPr>
          <w:rFonts w:ascii="Arial" w:hAnsi="Arial" w:cs="Arial"/>
        </w:rPr>
        <w:t>. With the approval and support of the SDS and the school principals, the researcher provided clear instructions to the respondents on properly completing the questionnaires. All Grade 3 teachers from the participating schools are invited to answer the survey questionnaire adapted by the researcher. Once the teachers had thoroughly and honestly completed the questionnaires, the researcher collected them.</w:t>
      </w:r>
    </w:p>
    <w:p w14:paraId="274DA373" w14:textId="3B09E9DE" w:rsidR="00736CE8" w:rsidRDefault="004E6394" w:rsidP="004E6394">
      <w:pPr>
        <w:pStyle w:val="Body"/>
        <w:spacing w:after="0"/>
        <w:rPr>
          <w:rFonts w:ascii="Arial" w:hAnsi="Arial" w:cs="Arial"/>
        </w:rPr>
      </w:pPr>
      <w:r w:rsidRPr="004E6394">
        <w:rPr>
          <w:rFonts w:ascii="Arial" w:hAnsi="Arial" w:cs="Arial"/>
          <w:i/>
          <w:iCs/>
        </w:rPr>
        <w:lastRenderedPageBreak/>
        <w:t>Gathering and Tabulation of Data</w:t>
      </w:r>
      <w:r w:rsidRPr="004E6394">
        <w:rPr>
          <w:rFonts w:ascii="Arial" w:hAnsi="Arial" w:cs="Arial"/>
        </w:rPr>
        <w:t>. The data was collected and tabulated systematically after the survey questionnaires had been administered and appropriately retrieved. Appropriate statistical tools were used to examine the data and derive valuable insights. The analyses helped interpret the correlations between the variables, giving a firm foundation for the study's conclusions and suggestions.</w:t>
      </w:r>
    </w:p>
    <w:p w14:paraId="490D59D5" w14:textId="77777777" w:rsidR="004E6394" w:rsidRDefault="004E6394" w:rsidP="003D7A09">
      <w:pPr>
        <w:pStyle w:val="Body"/>
        <w:spacing w:after="0"/>
        <w:rPr>
          <w:rFonts w:ascii="Arial" w:hAnsi="Arial" w:cs="Arial"/>
        </w:rPr>
      </w:pPr>
    </w:p>
    <w:p w14:paraId="1A449293" w14:textId="173AE3AB" w:rsidR="004E6394" w:rsidRPr="003D7A09" w:rsidRDefault="004E6394" w:rsidP="004E6394">
      <w:pPr>
        <w:pStyle w:val="Body"/>
        <w:jc w:val="left"/>
        <w:rPr>
          <w:rFonts w:ascii="Arial" w:hAnsi="Arial" w:cs="Arial"/>
          <w:b/>
          <w:bCs/>
          <w:sz w:val="22"/>
          <w:szCs w:val="22"/>
        </w:rPr>
      </w:pPr>
      <w:r w:rsidRPr="003D7A09">
        <w:rPr>
          <w:rFonts w:ascii="Arial" w:hAnsi="Arial" w:cs="Arial"/>
          <w:b/>
          <w:bCs/>
          <w:sz w:val="22"/>
          <w:szCs w:val="22"/>
        </w:rPr>
        <w:t>2.</w:t>
      </w:r>
      <w:r>
        <w:rPr>
          <w:rFonts w:ascii="Arial" w:hAnsi="Arial" w:cs="Arial"/>
          <w:b/>
          <w:bCs/>
          <w:sz w:val="22"/>
          <w:szCs w:val="22"/>
        </w:rPr>
        <w:t>6 DATA ANALYSIS</w:t>
      </w:r>
    </w:p>
    <w:p w14:paraId="6BF31201" w14:textId="77777777" w:rsidR="004E6394" w:rsidRPr="004E6394" w:rsidRDefault="004E6394" w:rsidP="004E6394">
      <w:pPr>
        <w:pStyle w:val="Body"/>
        <w:rPr>
          <w:rFonts w:ascii="Arial" w:hAnsi="Arial" w:cs="Arial"/>
        </w:rPr>
      </w:pPr>
      <w:r w:rsidRPr="004E6394">
        <w:rPr>
          <w:rFonts w:ascii="Arial" w:hAnsi="Arial" w:cs="Arial"/>
        </w:rPr>
        <w:t>The researcher used the following statistical tool in analyzing the result of the study:</w:t>
      </w:r>
    </w:p>
    <w:p w14:paraId="670693DE" w14:textId="77777777" w:rsidR="004E6394" w:rsidRPr="004E6394" w:rsidRDefault="004E6394" w:rsidP="004E6394">
      <w:pPr>
        <w:pStyle w:val="Body"/>
        <w:rPr>
          <w:rFonts w:ascii="Arial" w:hAnsi="Arial" w:cs="Arial"/>
        </w:rPr>
      </w:pPr>
      <w:r w:rsidRPr="004E6394">
        <w:rPr>
          <w:rFonts w:ascii="Arial" w:hAnsi="Arial" w:cs="Arial"/>
          <w:i/>
          <w:iCs/>
        </w:rPr>
        <w:t>Mean</w:t>
      </w:r>
      <w:r w:rsidRPr="004E6394">
        <w:rPr>
          <w:rFonts w:ascii="Arial" w:hAnsi="Arial" w:cs="Arial"/>
        </w:rPr>
        <w:t xml:space="preserve">. The mean was used to find the average responses and describe the levels of classroom environment, teaching attitude, and English vocabulary retention strategies of English teachers. </w:t>
      </w:r>
    </w:p>
    <w:p w14:paraId="02638DE2" w14:textId="77777777" w:rsidR="004E6394" w:rsidRPr="004E6394" w:rsidRDefault="004E6394" w:rsidP="004E6394">
      <w:pPr>
        <w:pStyle w:val="Body"/>
        <w:rPr>
          <w:rFonts w:ascii="Arial" w:hAnsi="Arial" w:cs="Arial"/>
        </w:rPr>
      </w:pPr>
      <w:r w:rsidRPr="004E6394">
        <w:rPr>
          <w:rFonts w:ascii="Arial" w:hAnsi="Arial" w:cs="Arial"/>
          <w:i/>
          <w:iCs/>
        </w:rPr>
        <w:t>Pearson Product Moment Correlation</w:t>
      </w:r>
      <w:r w:rsidRPr="004E6394">
        <w:rPr>
          <w:rFonts w:ascii="Arial" w:hAnsi="Arial" w:cs="Arial"/>
        </w:rPr>
        <w:t>. This statistical tool was used to investigate the relationships between classroom environment, teaching attitude, and English vocabulary retention strategies of English teachers. This sought to determine whether variables in the classroom environment and teacher attitude were significantly connected with the English teacher's utilization of vocabulary retention strategies.</w:t>
      </w:r>
    </w:p>
    <w:p w14:paraId="5FEB4826" w14:textId="56FA6CA7" w:rsidR="004E6394" w:rsidRDefault="004E6394" w:rsidP="004E6394">
      <w:pPr>
        <w:pStyle w:val="Body"/>
        <w:spacing w:after="0"/>
        <w:rPr>
          <w:rFonts w:ascii="Arial" w:hAnsi="Arial" w:cs="Arial"/>
        </w:rPr>
      </w:pPr>
      <w:r w:rsidRPr="004E6394">
        <w:rPr>
          <w:rFonts w:ascii="Arial" w:hAnsi="Arial" w:cs="Arial"/>
          <w:i/>
          <w:iCs/>
        </w:rPr>
        <w:t>Multiple Regression Analysis</w:t>
      </w:r>
      <w:r w:rsidRPr="004E6394">
        <w:rPr>
          <w:rFonts w:ascii="Arial" w:hAnsi="Arial" w:cs="Arial"/>
        </w:rPr>
        <w:t>. This statistical tool was utilized to examine how classroom environment and teacher attitude influence the vocabulary retention strategies of English teachers. This statistical technique assessed the combined influence of predictive variables (classroom environment and teaching attitude) on the criterion variable (utilization of vocabulary retention strategies of English teachers) and identified each predictor's individual contribution.</w:t>
      </w:r>
    </w:p>
    <w:p w14:paraId="62983C42" w14:textId="77777777" w:rsidR="004E6394" w:rsidRDefault="004E6394" w:rsidP="003D7A09">
      <w:pPr>
        <w:pStyle w:val="Body"/>
        <w:spacing w:after="0"/>
        <w:rPr>
          <w:rFonts w:ascii="Arial" w:hAnsi="Arial" w:cs="Arial"/>
        </w:rPr>
      </w:pPr>
    </w:p>
    <w:p w14:paraId="139EAC3B" w14:textId="649B41C9"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8C65BA" w14:textId="77777777" w:rsidR="004F0A90" w:rsidRPr="00FB3A86" w:rsidRDefault="004F0A90" w:rsidP="00441B6F">
      <w:pPr>
        <w:pStyle w:val="Head1"/>
        <w:spacing w:after="0"/>
        <w:jc w:val="both"/>
        <w:rPr>
          <w:rFonts w:ascii="Arial" w:hAnsi="Arial" w:cs="Arial"/>
        </w:rPr>
      </w:pPr>
    </w:p>
    <w:p w14:paraId="330DF7EC" w14:textId="63F5BBB7" w:rsidR="00954E92" w:rsidRPr="003D7A09" w:rsidRDefault="00954E92" w:rsidP="00954E92">
      <w:pPr>
        <w:pStyle w:val="Body"/>
        <w:jc w:val="left"/>
        <w:rPr>
          <w:rFonts w:ascii="Arial" w:hAnsi="Arial" w:cs="Arial"/>
          <w:b/>
          <w:bCs/>
          <w:sz w:val="22"/>
          <w:szCs w:val="22"/>
        </w:rPr>
      </w:pPr>
      <w:r>
        <w:rPr>
          <w:rFonts w:ascii="Arial" w:hAnsi="Arial" w:cs="Arial"/>
          <w:b/>
          <w:bCs/>
          <w:sz w:val="22"/>
          <w:szCs w:val="22"/>
        </w:rPr>
        <w:t>3.1 RESULTS</w:t>
      </w:r>
    </w:p>
    <w:p w14:paraId="413115F9" w14:textId="43109696" w:rsidR="007F3574" w:rsidRDefault="007F3574" w:rsidP="007F3574">
      <w:pPr>
        <w:pStyle w:val="Body"/>
        <w:rPr>
          <w:rFonts w:ascii="Arial" w:hAnsi="Arial" w:cs="Arial"/>
          <w:lang w:val="en-PH"/>
        </w:rPr>
      </w:pPr>
      <w:r w:rsidRPr="007F3574">
        <w:rPr>
          <w:rFonts w:ascii="Arial" w:hAnsi="Arial" w:cs="Arial"/>
          <w:lang w:val="en-PH"/>
        </w:rPr>
        <w:t>This chapter presents the findings and narrative presentation based on the data gathered. The presentation was organized based on the statement of the problem sequence in the first chapter</w:t>
      </w:r>
      <w:r w:rsidR="001E27E1" w:rsidRPr="001E27E1">
        <w:rPr>
          <w:rFonts w:ascii="Arial" w:hAnsi="Arial" w:cs="Arial"/>
          <w:lang w:val="en-PH"/>
        </w:rPr>
        <w:t>.</w:t>
      </w:r>
      <w:r w:rsidR="004F0A90">
        <w:rPr>
          <w:rFonts w:ascii="Arial" w:hAnsi="Arial" w:cs="Arial"/>
          <w:lang w:val="en-PH"/>
        </w:rPr>
        <w:t xml:space="preserve"> </w:t>
      </w:r>
    </w:p>
    <w:p w14:paraId="7FE11B4D" w14:textId="78C9A503" w:rsidR="007C1832" w:rsidRPr="007F3574" w:rsidRDefault="007F3574" w:rsidP="007F3574">
      <w:pPr>
        <w:pStyle w:val="Body"/>
        <w:rPr>
          <w:rFonts w:ascii="Arial" w:hAnsi="Arial" w:cs="Arial"/>
          <w:lang w:val="en-PH"/>
        </w:rPr>
      </w:pPr>
      <w:r>
        <w:rPr>
          <w:rFonts w:ascii="Arial" w:hAnsi="Arial" w:cs="Arial"/>
          <w:b/>
          <w:bCs/>
          <w:i/>
          <w:iCs/>
          <w:lang w:val="en-PH"/>
        </w:rPr>
        <w:t xml:space="preserve">Descriptive </w:t>
      </w:r>
      <w:r w:rsidR="00A36A1A">
        <w:rPr>
          <w:rFonts w:ascii="Arial" w:hAnsi="Arial" w:cs="Arial"/>
          <w:b/>
          <w:bCs/>
          <w:i/>
          <w:iCs/>
          <w:lang w:val="en-PH"/>
        </w:rPr>
        <w:t>Results</w:t>
      </w:r>
    </w:p>
    <w:p w14:paraId="35705842" w14:textId="19AE36E9" w:rsidR="007F3574" w:rsidRDefault="007F3574" w:rsidP="007F3574">
      <w:pPr>
        <w:pStyle w:val="Body"/>
        <w:rPr>
          <w:rFonts w:ascii="Arial" w:hAnsi="Arial" w:cs="Arial"/>
        </w:rPr>
      </w:pPr>
      <w:r w:rsidRPr="007F3574">
        <w:rPr>
          <w:rFonts w:ascii="Arial" w:hAnsi="Arial" w:cs="Arial"/>
        </w:rPr>
        <w:t>Table 1 is the descriptive table. It contains the variables involved in the study namely, classroom environment, teaching attitude, and utilization of vocabulary retention strategies of English teachers, and their corresponding indicators. Moreover, it contains the number of samples, standard deviation, the mean, and the corresponding descriptive level.</w:t>
      </w:r>
    </w:p>
    <w:p w14:paraId="6DAF0319" w14:textId="7687F291" w:rsidR="00A36A1A" w:rsidRPr="00A36A1A" w:rsidRDefault="00A36A1A" w:rsidP="00A36A1A">
      <w:pPr>
        <w:pStyle w:val="NoSpacing"/>
        <w:rPr>
          <w:rFonts w:ascii="Arial" w:hAnsi="Arial" w:cs="Arial"/>
          <w:b/>
          <w:bCs/>
          <w:sz w:val="20"/>
          <w:szCs w:val="20"/>
        </w:rPr>
      </w:pPr>
      <w:r w:rsidRPr="00A36A1A">
        <w:rPr>
          <w:rFonts w:ascii="Arial" w:hAnsi="Arial" w:cs="Arial"/>
          <w:b/>
          <w:bCs/>
          <w:sz w:val="20"/>
          <w:szCs w:val="20"/>
        </w:rPr>
        <w:t>Table 1. Descriptive Table</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850"/>
        <w:gridCol w:w="851"/>
        <w:gridCol w:w="992"/>
        <w:gridCol w:w="1985"/>
      </w:tblGrid>
      <w:tr w:rsidR="007F3574" w:rsidRPr="007F3574" w14:paraId="6C2EF389" w14:textId="77777777" w:rsidTr="007F3574">
        <w:tc>
          <w:tcPr>
            <w:tcW w:w="3686" w:type="dxa"/>
            <w:tcBorders>
              <w:top w:val="single" w:sz="4" w:space="0" w:color="auto"/>
              <w:bottom w:val="single" w:sz="4" w:space="0" w:color="auto"/>
            </w:tcBorders>
          </w:tcPr>
          <w:p w14:paraId="3098C340" w14:textId="77777777" w:rsidR="007F3574" w:rsidRPr="007F3574" w:rsidRDefault="007F3574" w:rsidP="00D062BF">
            <w:pPr>
              <w:pStyle w:val="NoSpacing"/>
              <w:jc w:val="center"/>
              <w:rPr>
                <w:rFonts w:ascii="Arial" w:hAnsi="Arial" w:cs="Arial"/>
                <w:b/>
                <w:bCs/>
                <w:sz w:val="20"/>
                <w:szCs w:val="20"/>
              </w:rPr>
            </w:pPr>
            <w:r w:rsidRPr="007F3574">
              <w:rPr>
                <w:rFonts w:ascii="Arial" w:hAnsi="Arial" w:cs="Arial"/>
                <w:b/>
                <w:bCs/>
                <w:sz w:val="20"/>
                <w:szCs w:val="20"/>
              </w:rPr>
              <w:t>Variables</w:t>
            </w:r>
          </w:p>
        </w:tc>
        <w:tc>
          <w:tcPr>
            <w:tcW w:w="850" w:type="dxa"/>
            <w:tcBorders>
              <w:top w:val="single" w:sz="4" w:space="0" w:color="auto"/>
              <w:bottom w:val="single" w:sz="4" w:space="0" w:color="auto"/>
            </w:tcBorders>
          </w:tcPr>
          <w:p w14:paraId="6F872E89" w14:textId="77777777" w:rsidR="007F3574" w:rsidRPr="007F3574" w:rsidRDefault="007F3574" w:rsidP="00D062BF">
            <w:pPr>
              <w:pStyle w:val="NoSpacing"/>
              <w:jc w:val="center"/>
              <w:rPr>
                <w:rFonts w:ascii="Arial" w:hAnsi="Arial" w:cs="Arial"/>
                <w:b/>
                <w:bCs/>
                <w:sz w:val="20"/>
                <w:szCs w:val="20"/>
              </w:rPr>
            </w:pPr>
            <w:r w:rsidRPr="007F3574">
              <w:rPr>
                <w:rFonts w:ascii="Arial" w:hAnsi="Arial" w:cs="Arial"/>
                <w:b/>
                <w:bCs/>
                <w:sz w:val="20"/>
                <w:szCs w:val="20"/>
              </w:rPr>
              <w:t>N</w:t>
            </w:r>
          </w:p>
        </w:tc>
        <w:tc>
          <w:tcPr>
            <w:tcW w:w="851" w:type="dxa"/>
            <w:tcBorders>
              <w:top w:val="single" w:sz="4" w:space="0" w:color="auto"/>
              <w:bottom w:val="single" w:sz="4" w:space="0" w:color="auto"/>
            </w:tcBorders>
          </w:tcPr>
          <w:p w14:paraId="30113821" w14:textId="77777777" w:rsidR="007F3574" w:rsidRPr="007F3574" w:rsidRDefault="007F3574" w:rsidP="00D062BF">
            <w:pPr>
              <w:pStyle w:val="NoSpacing"/>
              <w:jc w:val="center"/>
              <w:rPr>
                <w:rFonts w:ascii="Arial" w:hAnsi="Arial" w:cs="Arial"/>
                <w:b/>
                <w:bCs/>
                <w:sz w:val="20"/>
                <w:szCs w:val="20"/>
              </w:rPr>
            </w:pPr>
            <w:r w:rsidRPr="007F3574">
              <w:rPr>
                <w:rFonts w:ascii="Arial" w:hAnsi="Arial" w:cs="Arial"/>
                <w:b/>
                <w:bCs/>
                <w:sz w:val="20"/>
                <w:szCs w:val="20"/>
              </w:rPr>
              <w:t>SD</w:t>
            </w:r>
          </w:p>
        </w:tc>
        <w:tc>
          <w:tcPr>
            <w:tcW w:w="992" w:type="dxa"/>
            <w:tcBorders>
              <w:top w:val="single" w:sz="4" w:space="0" w:color="auto"/>
              <w:bottom w:val="single" w:sz="4" w:space="0" w:color="auto"/>
            </w:tcBorders>
          </w:tcPr>
          <w:p w14:paraId="1FA3154B" w14:textId="77777777" w:rsidR="007F3574" w:rsidRPr="007F3574" w:rsidRDefault="007F3574" w:rsidP="00D062BF">
            <w:pPr>
              <w:pStyle w:val="NoSpacing"/>
              <w:jc w:val="center"/>
              <w:rPr>
                <w:rFonts w:ascii="Arial" w:hAnsi="Arial" w:cs="Arial"/>
                <w:b/>
                <w:bCs/>
                <w:sz w:val="20"/>
                <w:szCs w:val="20"/>
              </w:rPr>
            </w:pPr>
            <w:r w:rsidRPr="007F3574">
              <w:rPr>
                <w:rFonts w:ascii="Arial" w:hAnsi="Arial" w:cs="Arial"/>
                <w:b/>
                <w:bCs/>
                <w:sz w:val="20"/>
                <w:szCs w:val="20"/>
              </w:rPr>
              <w:t>Mean</w:t>
            </w:r>
          </w:p>
        </w:tc>
        <w:tc>
          <w:tcPr>
            <w:tcW w:w="1985" w:type="dxa"/>
            <w:tcBorders>
              <w:top w:val="single" w:sz="4" w:space="0" w:color="auto"/>
              <w:bottom w:val="single" w:sz="4" w:space="0" w:color="auto"/>
            </w:tcBorders>
          </w:tcPr>
          <w:p w14:paraId="4E74A6C7" w14:textId="77777777" w:rsidR="007F3574" w:rsidRPr="007F3574" w:rsidRDefault="007F3574" w:rsidP="00D062BF">
            <w:pPr>
              <w:pStyle w:val="NoSpacing"/>
              <w:jc w:val="center"/>
              <w:rPr>
                <w:rFonts w:ascii="Arial" w:hAnsi="Arial" w:cs="Arial"/>
                <w:b/>
                <w:bCs/>
                <w:sz w:val="20"/>
                <w:szCs w:val="20"/>
              </w:rPr>
            </w:pPr>
            <w:r w:rsidRPr="007F3574">
              <w:rPr>
                <w:rFonts w:ascii="Arial" w:hAnsi="Arial" w:cs="Arial"/>
                <w:b/>
                <w:bCs/>
                <w:sz w:val="20"/>
                <w:szCs w:val="20"/>
              </w:rPr>
              <w:t>Descriptive Level</w:t>
            </w:r>
          </w:p>
        </w:tc>
      </w:tr>
      <w:tr w:rsidR="007F3574" w:rsidRPr="007F3574" w14:paraId="316EB6B6" w14:textId="77777777" w:rsidTr="007F3574">
        <w:tc>
          <w:tcPr>
            <w:tcW w:w="3686" w:type="dxa"/>
            <w:tcBorders>
              <w:top w:val="single" w:sz="4" w:space="0" w:color="auto"/>
            </w:tcBorders>
          </w:tcPr>
          <w:p w14:paraId="6041C767" w14:textId="77777777" w:rsidR="007F3574" w:rsidRPr="007F3574" w:rsidRDefault="007F3574" w:rsidP="00D062BF">
            <w:pPr>
              <w:pStyle w:val="NoSpacing"/>
              <w:spacing w:before="240"/>
              <w:jc w:val="both"/>
              <w:rPr>
                <w:rFonts w:ascii="Arial" w:hAnsi="Arial" w:cs="Arial"/>
                <w:b/>
                <w:bCs/>
                <w:sz w:val="20"/>
                <w:szCs w:val="20"/>
              </w:rPr>
            </w:pPr>
            <w:r w:rsidRPr="007F3574">
              <w:rPr>
                <w:rFonts w:ascii="Arial" w:hAnsi="Arial" w:cs="Arial"/>
                <w:b/>
                <w:bCs/>
                <w:sz w:val="20"/>
                <w:szCs w:val="20"/>
              </w:rPr>
              <w:t>Classroom Environment</w:t>
            </w:r>
          </w:p>
        </w:tc>
        <w:tc>
          <w:tcPr>
            <w:tcW w:w="850" w:type="dxa"/>
            <w:tcBorders>
              <w:top w:val="single" w:sz="4" w:space="0" w:color="auto"/>
            </w:tcBorders>
          </w:tcPr>
          <w:p w14:paraId="568BA557"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100</w:t>
            </w:r>
          </w:p>
        </w:tc>
        <w:tc>
          <w:tcPr>
            <w:tcW w:w="851" w:type="dxa"/>
            <w:tcBorders>
              <w:top w:val="single" w:sz="4" w:space="0" w:color="auto"/>
            </w:tcBorders>
          </w:tcPr>
          <w:p w14:paraId="4652DC29"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0.37</w:t>
            </w:r>
          </w:p>
        </w:tc>
        <w:tc>
          <w:tcPr>
            <w:tcW w:w="992" w:type="dxa"/>
            <w:tcBorders>
              <w:top w:val="single" w:sz="4" w:space="0" w:color="auto"/>
            </w:tcBorders>
          </w:tcPr>
          <w:p w14:paraId="73D4FDC3"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4.58</w:t>
            </w:r>
          </w:p>
        </w:tc>
        <w:tc>
          <w:tcPr>
            <w:tcW w:w="1985" w:type="dxa"/>
            <w:tcBorders>
              <w:top w:val="single" w:sz="4" w:space="0" w:color="auto"/>
            </w:tcBorders>
          </w:tcPr>
          <w:p w14:paraId="4D181F1F"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Very High</w:t>
            </w:r>
          </w:p>
        </w:tc>
      </w:tr>
      <w:tr w:rsidR="007F3574" w:rsidRPr="007F3574" w14:paraId="7BD55582" w14:textId="77777777" w:rsidTr="007F3574">
        <w:tc>
          <w:tcPr>
            <w:tcW w:w="3686" w:type="dxa"/>
          </w:tcPr>
          <w:p w14:paraId="7F6444C5" w14:textId="77777777" w:rsidR="007F3574" w:rsidRPr="007F3574" w:rsidRDefault="007F3574" w:rsidP="00D062BF">
            <w:pPr>
              <w:pStyle w:val="NoSpacing"/>
              <w:spacing w:before="240"/>
              <w:rPr>
                <w:rFonts w:ascii="Arial" w:hAnsi="Arial" w:cs="Arial"/>
                <w:sz w:val="20"/>
                <w:szCs w:val="20"/>
              </w:rPr>
            </w:pPr>
            <w:r w:rsidRPr="007F3574">
              <w:rPr>
                <w:rFonts w:ascii="Arial" w:hAnsi="Arial" w:cs="Arial"/>
                <w:sz w:val="20"/>
                <w:szCs w:val="20"/>
              </w:rPr>
              <w:t xml:space="preserve">     Engagement</w:t>
            </w:r>
          </w:p>
        </w:tc>
        <w:tc>
          <w:tcPr>
            <w:tcW w:w="850" w:type="dxa"/>
          </w:tcPr>
          <w:p w14:paraId="44AF45E8"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1319B75E"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0.43</w:t>
            </w:r>
          </w:p>
        </w:tc>
        <w:tc>
          <w:tcPr>
            <w:tcW w:w="992" w:type="dxa"/>
            <w:vAlign w:val="center"/>
          </w:tcPr>
          <w:p w14:paraId="5C9C3BB5"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4.51</w:t>
            </w:r>
          </w:p>
        </w:tc>
        <w:tc>
          <w:tcPr>
            <w:tcW w:w="1985" w:type="dxa"/>
          </w:tcPr>
          <w:p w14:paraId="70AB6F2F"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62A44C12" w14:textId="77777777" w:rsidTr="007F3574">
        <w:tc>
          <w:tcPr>
            <w:tcW w:w="3686" w:type="dxa"/>
          </w:tcPr>
          <w:p w14:paraId="423E4ABF"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Student-Teacher Relationship</w:t>
            </w:r>
          </w:p>
        </w:tc>
        <w:tc>
          <w:tcPr>
            <w:tcW w:w="850" w:type="dxa"/>
          </w:tcPr>
          <w:p w14:paraId="6AC6583A"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563396EA"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0.39</w:t>
            </w:r>
          </w:p>
        </w:tc>
        <w:tc>
          <w:tcPr>
            <w:tcW w:w="992" w:type="dxa"/>
            <w:vAlign w:val="center"/>
          </w:tcPr>
          <w:p w14:paraId="143173F0"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4.65</w:t>
            </w:r>
          </w:p>
        </w:tc>
        <w:tc>
          <w:tcPr>
            <w:tcW w:w="1985" w:type="dxa"/>
          </w:tcPr>
          <w:p w14:paraId="48398B5D"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21BAA6FA" w14:textId="77777777" w:rsidTr="007F3574">
        <w:tc>
          <w:tcPr>
            <w:tcW w:w="3686" w:type="dxa"/>
          </w:tcPr>
          <w:p w14:paraId="54072DD9"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Opportunity to Understand</w:t>
            </w:r>
          </w:p>
        </w:tc>
        <w:tc>
          <w:tcPr>
            <w:tcW w:w="850" w:type="dxa"/>
          </w:tcPr>
          <w:p w14:paraId="3276B978"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0FB6100E"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0.44</w:t>
            </w:r>
          </w:p>
        </w:tc>
        <w:tc>
          <w:tcPr>
            <w:tcW w:w="992" w:type="dxa"/>
            <w:vAlign w:val="center"/>
          </w:tcPr>
          <w:p w14:paraId="5692AC4C"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4.59</w:t>
            </w:r>
          </w:p>
        </w:tc>
        <w:tc>
          <w:tcPr>
            <w:tcW w:w="1985" w:type="dxa"/>
          </w:tcPr>
          <w:p w14:paraId="53E8B6D3"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6E9D3C87" w14:textId="77777777" w:rsidTr="007F3574">
        <w:tc>
          <w:tcPr>
            <w:tcW w:w="3686" w:type="dxa"/>
          </w:tcPr>
          <w:p w14:paraId="10A494FF"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lastRenderedPageBreak/>
              <w:t xml:space="preserve">     Socio-Emotional Climate</w:t>
            </w:r>
          </w:p>
        </w:tc>
        <w:tc>
          <w:tcPr>
            <w:tcW w:w="850" w:type="dxa"/>
          </w:tcPr>
          <w:p w14:paraId="14F4BBC1"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0BD388AC"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0.44</w:t>
            </w:r>
          </w:p>
        </w:tc>
        <w:tc>
          <w:tcPr>
            <w:tcW w:w="992" w:type="dxa"/>
            <w:vAlign w:val="center"/>
          </w:tcPr>
          <w:p w14:paraId="4D2EF2BE" w14:textId="77777777" w:rsidR="007F3574" w:rsidRPr="007F3574" w:rsidRDefault="007F3574" w:rsidP="00D062BF">
            <w:pPr>
              <w:pStyle w:val="NoSpacing"/>
              <w:spacing w:before="240"/>
              <w:jc w:val="center"/>
              <w:rPr>
                <w:rFonts w:ascii="Arial" w:hAnsi="Arial" w:cs="Arial"/>
                <w:sz w:val="20"/>
                <w:szCs w:val="20"/>
              </w:rPr>
            </w:pPr>
            <w:r w:rsidRPr="007F3574">
              <w:rPr>
                <w:rFonts w:ascii="Arial" w:eastAsia="SimSun" w:hAnsi="Arial" w:cs="Arial"/>
                <w:sz w:val="20"/>
                <w:szCs w:val="20"/>
                <w:lang w:eastAsia="zh-CN" w:bidi="ar"/>
              </w:rPr>
              <w:t>4.58</w:t>
            </w:r>
          </w:p>
        </w:tc>
        <w:tc>
          <w:tcPr>
            <w:tcW w:w="1985" w:type="dxa"/>
          </w:tcPr>
          <w:p w14:paraId="1D234F13"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30FD82DA" w14:textId="77777777" w:rsidTr="007F3574">
        <w:tc>
          <w:tcPr>
            <w:tcW w:w="3686" w:type="dxa"/>
          </w:tcPr>
          <w:p w14:paraId="212802D4"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Teacher Attitude</w:t>
            </w:r>
          </w:p>
        </w:tc>
        <w:tc>
          <w:tcPr>
            <w:tcW w:w="850" w:type="dxa"/>
          </w:tcPr>
          <w:p w14:paraId="17013531"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246258CB"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0.41</w:t>
            </w:r>
          </w:p>
        </w:tc>
        <w:tc>
          <w:tcPr>
            <w:tcW w:w="992" w:type="dxa"/>
            <w:vAlign w:val="center"/>
          </w:tcPr>
          <w:p w14:paraId="6BF51BDD" w14:textId="77777777" w:rsidR="007F3574" w:rsidRPr="007F3574" w:rsidRDefault="007F3574" w:rsidP="00D062BF">
            <w:pPr>
              <w:pStyle w:val="NoSpacing"/>
              <w:spacing w:before="240"/>
              <w:jc w:val="center"/>
              <w:rPr>
                <w:rFonts w:ascii="Arial" w:hAnsi="Arial" w:cs="Arial"/>
                <w:sz w:val="20"/>
                <w:szCs w:val="20"/>
              </w:rPr>
            </w:pPr>
            <w:r w:rsidRPr="007F3574">
              <w:rPr>
                <w:rFonts w:ascii="Arial" w:eastAsia="SimSun" w:hAnsi="Arial" w:cs="Arial"/>
                <w:sz w:val="20"/>
                <w:szCs w:val="20"/>
                <w:lang w:eastAsia="zh-CN" w:bidi="ar"/>
              </w:rPr>
              <w:t>4.58</w:t>
            </w:r>
          </w:p>
        </w:tc>
        <w:tc>
          <w:tcPr>
            <w:tcW w:w="1985" w:type="dxa"/>
          </w:tcPr>
          <w:p w14:paraId="353AEF5D"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7F171EBC" w14:textId="77777777" w:rsidTr="007F3574">
        <w:tc>
          <w:tcPr>
            <w:tcW w:w="3686" w:type="dxa"/>
          </w:tcPr>
          <w:p w14:paraId="0891A44A" w14:textId="77777777" w:rsidR="007F3574" w:rsidRPr="007F3574" w:rsidRDefault="007F3574" w:rsidP="00D062BF">
            <w:pPr>
              <w:pStyle w:val="NoSpacing"/>
              <w:spacing w:before="240"/>
              <w:jc w:val="both"/>
              <w:rPr>
                <w:rFonts w:ascii="Arial" w:hAnsi="Arial" w:cs="Arial"/>
                <w:b/>
                <w:bCs/>
                <w:sz w:val="20"/>
                <w:szCs w:val="20"/>
              </w:rPr>
            </w:pPr>
            <w:r w:rsidRPr="007F3574">
              <w:rPr>
                <w:rFonts w:ascii="Arial" w:hAnsi="Arial" w:cs="Arial"/>
                <w:b/>
                <w:bCs/>
                <w:sz w:val="20"/>
                <w:szCs w:val="20"/>
              </w:rPr>
              <w:t>Teaching Attitude</w:t>
            </w:r>
          </w:p>
        </w:tc>
        <w:tc>
          <w:tcPr>
            <w:tcW w:w="850" w:type="dxa"/>
          </w:tcPr>
          <w:p w14:paraId="56585C1C"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100</w:t>
            </w:r>
          </w:p>
        </w:tc>
        <w:tc>
          <w:tcPr>
            <w:tcW w:w="851" w:type="dxa"/>
          </w:tcPr>
          <w:p w14:paraId="16D284FA"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0.46</w:t>
            </w:r>
          </w:p>
        </w:tc>
        <w:tc>
          <w:tcPr>
            <w:tcW w:w="992" w:type="dxa"/>
          </w:tcPr>
          <w:p w14:paraId="25442664"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4.30</w:t>
            </w:r>
          </w:p>
        </w:tc>
        <w:tc>
          <w:tcPr>
            <w:tcW w:w="1985" w:type="dxa"/>
          </w:tcPr>
          <w:p w14:paraId="42818D50"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Very High</w:t>
            </w:r>
          </w:p>
        </w:tc>
      </w:tr>
      <w:tr w:rsidR="007F3574" w:rsidRPr="007F3574" w14:paraId="5B0EE463" w14:textId="77777777" w:rsidTr="007F3574">
        <w:tc>
          <w:tcPr>
            <w:tcW w:w="3686" w:type="dxa"/>
          </w:tcPr>
          <w:p w14:paraId="350308FC"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Cognitive</w:t>
            </w:r>
          </w:p>
        </w:tc>
        <w:tc>
          <w:tcPr>
            <w:tcW w:w="850" w:type="dxa"/>
          </w:tcPr>
          <w:p w14:paraId="507C7A98"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52780B42"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0.52</w:t>
            </w:r>
          </w:p>
        </w:tc>
        <w:tc>
          <w:tcPr>
            <w:tcW w:w="992" w:type="dxa"/>
          </w:tcPr>
          <w:p w14:paraId="6254CE59"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4.15</w:t>
            </w:r>
          </w:p>
        </w:tc>
        <w:tc>
          <w:tcPr>
            <w:tcW w:w="1985" w:type="dxa"/>
          </w:tcPr>
          <w:p w14:paraId="6A7D1155"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High</w:t>
            </w:r>
          </w:p>
        </w:tc>
      </w:tr>
      <w:tr w:rsidR="007F3574" w:rsidRPr="007F3574" w14:paraId="7D38E88E" w14:textId="77777777" w:rsidTr="007F3574">
        <w:tc>
          <w:tcPr>
            <w:tcW w:w="3686" w:type="dxa"/>
          </w:tcPr>
          <w:p w14:paraId="655C8321"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Affective</w:t>
            </w:r>
          </w:p>
        </w:tc>
        <w:tc>
          <w:tcPr>
            <w:tcW w:w="850" w:type="dxa"/>
          </w:tcPr>
          <w:p w14:paraId="291F68AC"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34FF669A"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0.47</w:t>
            </w:r>
          </w:p>
        </w:tc>
        <w:tc>
          <w:tcPr>
            <w:tcW w:w="992" w:type="dxa"/>
          </w:tcPr>
          <w:p w14:paraId="450FECCC"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4.40</w:t>
            </w:r>
          </w:p>
        </w:tc>
        <w:tc>
          <w:tcPr>
            <w:tcW w:w="1985" w:type="dxa"/>
          </w:tcPr>
          <w:p w14:paraId="0EFC398F"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0D64020E" w14:textId="77777777" w:rsidTr="007F3574">
        <w:tc>
          <w:tcPr>
            <w:tcW w:w="3686" w:type="dxa"/>
          </w:tcPr>
          <w:p w14:paraId="0B3E85FA"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Behavioral</w:t>
            </w:r>
          </w:p>
        </w:tc>
        <w:tc>
          <w:tcPr>
            <w:tcW w:w="850" w:type="dxa"/>
          </w:tcPr>
          <w:p w14:paraId="78A67AFE" w14:textId="77777777" w:rsidR="007F3574" w:rsidRPr="007F3574" w:rsidRDefault="007F3574" w:rsidP="00D062BF">
            <w:pPr>
              <w:pStyle w:val="NoSpacing"/>
              <w:spacing w:before="240"/>
              <w:jc w:val="center"/>
              <w:rPr>
                <w:rFonts w:ascii="Arial" w:hAnsi="Arial" w:cs="Arial"/>
                <w:sz w:val="20"/>
                <w:szCs w:val="20"/>
              </w:rPr>
            </w:pPr>
          </w:p>
        </w:tc>
        <w:tc>
          <w:tcPr>
            <w:tcW w:w="851" w:type="dxa"/>
          </w:tcPr>
          <w:p w14:paraId="25C964CD"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0.54</w:t>
            </w:r>
          </w:p>
        </w:tc>
        <w:tc>
          <w:tcPr>
            <w:tcW w:w="992" w:type="dxa"/>
          </w:tcPr>
          <w:p w14:paraId="3A2CD022"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4.36</w:t>
            </w:r>
          </w:p>
        </w:tc>
        <w:tc>
          <w:tcPr>
            <w:tcW w:w="1985" w:type="dxa"/>
          </w:tcPr>
          <w:p w14:paraId="64398303"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598E3C82" w14:textId="77777777" w:rsidTr="007F3574">
        <w:tc>
          <w:tcPr>
            <w:tcW w:w="3686" w:type="dxa"/>
          </w:tcPr>
          <w:p w14:paraId="50AF7F25" w14:textId="77777777" w:rsidR="007F3574" w:rsidRPr="007F3574" w:rsidRDefault="007F3574" w:rsidP="00D062BF">
            <w:pPr>
              <w:pStyle w:val="NoSpacing"/>
              <w:spacing w:before="240"/>
              <w:rPr>
                <w:rFonts w:ascii="Arial" w:hAnsi="Arial" w:cs="Arial"/>
                <w:b/>
                <w:bCs/>
                <w:sz w:val="20"/>
                <w:szCs w:val="20"/>
              </w:rPr>
            </w:pPr>
            <w:r w:rsidRPr="007F3574">
              <w:rPr>
                <w:rFonts w:ascii="Arial" w:hAnsi="Arial" w:cs="Arial"/>
                <w:b/>
                <w:bCs/>
                <w:iCs/>
                <w:sz w:val="20"/>
                <w:szCs w:val="20"/>
              </w:rPr>
              <w:t>Utilization of Vocabulary Retention Strategies of English Teachers</w:t>
            </w:r>
          </w:p>
        </w:tc>
        <w:tc>
          <w:tcPr>
            <w:tcW w:w="850" w:type="dxa"/>
          </w:tcPr>
          <w:p w14:paraId="77AD80C9"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100</w:t>
            </w:r>
          </w:p>
        </w:tc>
        <w:tc>
          <w:tcPr>
            <w:tcW w:w="851" w:type="dxa"/>
          </w:tcPr>
          <w:p w14:paraId="563290C2"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0.50</w:t>
            </w:r>
          </w:p>
        </w:tc>
        <w:tc>
          <w:tcPr>
            <w:tcW w:w="992" w:type="dxa"/>
          </w:tcPr>
          <w:p w14:paraId="6CE8587C"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4.38</w:t>
            </w:r>
          </w:p>
        </w:tc>
        <w:tc>
          <w:tcPr>
            <w:tcW w:w="1985" w:type="dxa"/>
          </w:tcPr>
          <w:p w14:paraId="28979079"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Very High</w:t>
            </w:r>
          </w:p>
        </w:tc>
      </w:tr>
      <w:tr w:rsidR="007F3574" w:rsidRPr="007F3574" w14:paraId="64C10FA8" w14:textId="77777777" w:rsidTr="007F3574">
        <w:tc>
          <w:tcPr>
            <w:tcW w:w="3686" w:type="dxa"/>
          </w:tcPr>
          <w:p w14:paraId="40B43D2A" w14:textId="77777777" w:rsidR="007F3574" w:rsidRPr="007F3574" w:rsidRDefault="007F3574" w:rsidP="00D062BF">
            <w:pPr>
              <w:pStyle w:val="NoSpacing"/>
              <w:spacing w:before="240"/>
              <w:ind w:right="-389"/>
              <w:rPr>
                <w:rFonts w:ascii="Arial" w:hAnsi="Arial" w:cs="Arial"/>
                <w:sz w:val="20"/>
                <w:szCs w:val="20"/>
              </w:rPr>
            </w:pPr>
            <w:r w:rsidRPr="007F3574">
              <w:rPr>
                <w:rFonts w:ascii="Arial" w:hAnsi="Arial" w:cs="Arial"/>
                <w:sz w:val="20"/>
                <w:szCs w:val="20"/>
              </w:rPr>
              <w:t xml:space="preserve">     Beliefs About Vocabulary Learning</w:t>
            </w:r>
          </w:p>
        </w:tc>
        <w:tc>
          <w:tcPr>
            <w:tcW w:w="850" w:type="dxa"/>
          </w:tcPr>
          <w:p w14:paraId="5D9B4A59" w14:textId="77777777" w:rsidR="007F3574" w:rsidRPr="007F3574" w:rsidRDefault="007F3574" w:rsidP="00D062BF">
            <w:pPr>
              <w:pStyle w:val="NoSpacing"/>
              <w:spacing w:before="240"/>
              <w:jc w:val="center"/>
              <w:rPr>
                <w:rFonts w:ascii="Arial" w:hAnsi="Arial" w:cs="Arial"/>
                <w:b/>
                <w:bCs/>
                <w:sz w:val="20"/>
                <w:szCs w:val="20"/>
              </w:rPr>
            </w:pPr>
          </w:p>
        </w:tc>
        <w:tc>
          <w:tcPr>
            <w:tcW w:w="851" w:type="dxa"/>
          </w:tcPr>
          <w:p w14:paraId="29802D39"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0.58</w:t>
            </w:r>
          </w:p>
        </w:tc>
        <w:tc>
          <w:tcPr>
            <w:tcW w:w="992" w:type="dxa"/>
            <w:vAlign w:val="center"/>
          </w:tcPr>
          <w:p w14:paraId="3553A4F8"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eastAsia="SimSun" w:hAnsi="Arial" w:cs="Arial"/>
                <w:sz w:val="20"/>
                <w:szCs w:val="20"/>
                <w:lang w:eastAsia="zh-CN" w:bidi="ar"/>
              </w:rPr>
              <w:t>4.22</w:t>
            </w:r>
          </w:p>
        </w:tc>
        <w:tc>
          <w:tcPr>
            <w:tcW w:w="1985" w:type="dxa"/>
          </w:tcPr>
          <w:p w14:paraId="64EC9FF3"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1ED57F91" w14:textId="77777777" w:rsidTr="007F3574">
        <w:tc>
          <w:tcPr>
            <w:tcW w:w="3686" w:type="dxa"/>
          </w:tcPr>
          <w:p w14:paraId="5D828CD3"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Metacognitive Strategies</w:t>
            </w:r>
          </w:p>
        </w:tc>
        <w:tc>
          <w:tcPr>
            <w:tcW w:w="850" w:type="dxa"/>
          </w:tcPr>
          <w:p w14:paraId="746170F6" w14:textId="77777777" w:rsidR="007F3574" w:rsidRPr="007F3574" w:rsidRDefault="007F3574" w:rsidP="00D062BF">
            <w:pPr>
              <w:pStyle w:val="NoSpacing"/>
              <w:spacing w:before="240"/>
              <w:jc w:val="center"/>
              <w:rPr>
                <w:rFonts w:ascii="Arial" w:hAnsi="Arial" w:cs="Arial"/>
                <w:b/>
                <w:bCs/>
                <w:sz w:val="20"/>
                <w:szCs w:val="20"/>
              </w:rPr>
            </w:pPr>
          </w:p>
        </w:tc>
        <w:tc>
          <w:tcPr>
            <w:tcW w:w="851" w:type="dxa"/>
          </w:tcPr>
          <w:p w14:paraId="5937864D"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0.53</w:t>
            </w:r>
          </w:p>
        </w:tc>
        <w:tc>
          <w:tcPr>
            <w:tcW w:w="992" w:type="dxa"/>
            <w:vAlign w:val="center"/>
          </w:tcPr>
          <w:p w14:paraId="42281868"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eastAsia="SimSun" w:hAnsi="Arial" w:cs="Arial"/>
                <w:sz w:val="20"/>
                <w:szCs w:val="20"/>
                <w:lang w:eastAsia="zh-CN" w:bidi="ar"/>
              </w:rPr>
              <w:t>4.39</w:t>
            </w:r>
          </w:p>
        </w:tc>
        <w:tc>
          <w:tcPr>
            <w:tcW w:w="1985" w:type="dxa"/>
          </w:tcPr>
          <w:p w14:paraId="173D1EDB"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1CD0C6A7" w14:textId="77777777" w:rsidTr="007F3574">
        <w:tc>
          <w:tcPr>
            <w:tcW w:w="3686" w:type="dxa"/>
          </w:tcPr>
          <w:p w14:paraId="7F8BA681"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Rehearsal</w:t>
            </w:r>
          </w:p>
        </w:tc>
        <w:tc>
          <w:tcPr>
            <w:tcW w:w="850" w:type="dxa"/>
          </w:tcPr>
          <w:p w14:paraId="2B7F91FC" w14:textId="77777777" w:rsidR="007F3574" w:rsidRPr="007F3574" w:rsidRDefault="007F3574" w:rsidP="00D062BF">
            <w:pPr>
              <w:pStyle w:val="NoSpacing"/>
              <w:spacing w:before="240"/>
              <w:jc w:val="center"/>
              <w:rPr>
                <w:rFonts w:ascii="Arial" w:hAnsi="Arial" w:cs="Arial"/>
                <w:b/>
                <w:bCs/>
                <w:sz w:val="20"/>
                <w:szCs w:val="20"/>
              </w:rPr>
            </w:pPr>
          </w:p>
        </w:tc>
        <w:tc>
          <w:tcPr>
            <w:tcW w:w="851" w:type="dxa"/>
          </w:tcPr>
          <w:p w14:paraId="58103268"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0.54</w:t>
            </w:r>
          </w:p>
        </w:tc>
        <w:tc>
          <w:tcPr>
            <w:tcW w:w="992" w:type="dxa"/>
            <w:vAlign w:val="center"/>
          </w:tcPr>
          <w:p w14:paraId="006AB306"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eastAsia="SimSun" w:hAnsi="Arial" w:cs="Arial"/>
                <w:sz w:val="20"/>
                <w:szCs w:val="20"/>
                <w:lang w:eastAsia="zh-CN" w:bidi="ar"/>
              </w:rPr>
              <w:t>4.43</w:t>
            </w:r>
          </w:p>
        </w:tc>
        <w:tc>
          <w:tcPr>
            <w:tcW w:w="1985" w:type="dxa"/>
          </w:tcPr>
          <w:p w14:paraId="1862AE98"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784E8516" w14:textId="77777777" w:rsidTr="007F3574">
        <w:tc>
          <w:tcPr>
            <w:tcW w:w="3686" w:type="dxa"/>
          </w:tcPr>
          <w:p w14:paraId="1061B3F3"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Encoding</w:t>
            </w:r>
          </w:p>
        </w:tc>
        <w:tc>
          <w:tcPr>
            <w:tcW w:w="850" w:type="dxa"/>
          </w:tcPr>
          <w:p w14:paraId="0F4120BF" w14:textId="77777777" w:rsidR="007F3574" w:rsidRPr="007F3574" w:rsidRDefault="007F3574" w:rsidP="00D062BF">
            <w:pPr>
              <w:pStyle w:val="NoSpacing"/>
              <w:spacing w:before="240"/>
              <w:jc w:val="center"/>
              <w:rPr>
                <w:rFonts w:ascii="Arial" w:hAnsi="Arial" w:cs="Arial"/>
                <w:b/>
                <w:bCs/>
                <w:sz w:val="20"/>
                <w:szCs w:val="20"/>
              </w:rPr>
            </w:pPr>
          </w:p>
        </w:tc>
        <w:tc>
          <w:tcPr>
            <w:tcW w:w="851" w:type="dxa"/>
          </w:tcPr>
          <w:p w14:paraId="509208B4"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0.59</w:t>
            </w:r>
          </w:p>
        </w:tc>
        <w:tc>
          <w:tcPr>
            <w:tcW w:w="992" w:type="dxa"/>
            <w:vAlign w:val="center"/>
          </w:tcPr>
          <w:p w14:paraId="0D64C443"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eastAsia="SimSun" w:hAnsi="Arial" w:cs="Arial"/>
                <w:sz w:val="20"/>
                <w:szCs w:val="20"/>
                <w:lang w:eastAsia="zh-CN" w:bidi="ar"/>
              </w:rPr>
              <w:t>4.40</w:t>
            </w:r>
          </w:p>
        </w:tc>
        <w:tc>
          <w:tcPr>
            <w:tcW w:w="1985" w:type="dxa"/>
          </w:tcPr>
          <w:p w14:paraId="6DC9F87B"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r w:rsidR="007F3574" w:rsidRPr="007F3574" w14:paraId="7B21B744" w14:textId="77777777" w:rsidTr="007F3574">
        <w:tc>
          <w:tcPr>
            <w:tcW w:w="3686" w:type="dxa"/>
            <w:tcBorders>
              <w:bottom w:val="single" w:sz="4" w:space="0" w:color="auto"/>
            </w:tcBorders>
          </w:tcPr>
          <w:p w14:paraId="77548750" w14:textId="77777777" w:rsidR="007F3574" w:rsidRPr="007F3574" w:rsidRDefault="007F3574" w:rsidP="00D062BF">
            <w:pPr>
              <w:pStyle w:val="NoSpacing"/>
              <w:spacing w:before="240"/>
              <w:jc w:val="both"/>
              <w:rPr>
                <w:rFonts w:ascii="Arial" w:hAnsi="Arial" w:cs="Arial"/>
                <w:sz w:val="20"/>
                <w:szCs w:val="20"/>
              </w:rPr>
            </w:pPr>
            <w:r w:rsidRPr="007F3574">
              <w:rPr>
                <w:rFonts w:ascii="Arial" w:hAnsi="Arial" w:cs="Arial"/>
                <w:sz w:val="20"/>
                <w:szCs w:val="20"/>
              </w:rPr>
              <w:t xml:space="preserve">     Activation</w:t>
            </w:r>
          </w:p>
        </w:tc>
        <w:tc>
          <w:tcPr>
            <w:tcW w:w="850" w:type="dxa"/>
            <w:tcBorders>
              <w:bottom w:val="single" w:sz="4" w:space="0" w:color="auto"/>
            </w:tcBorders>
          </w:tcPr>
          <w:p w14:paraId="00D7FEAE" w14:textId="77777777" w:rsidR="007F3574" w:rsidRPr="007F3574" w:rsidRDefault="007F3574" w:rsidP="00D062BF">
            <w:pPr>
              <w:pStyle w:val="NoSpacing"/>
              <w:spacing w:before="240"/>
              <w:jc w:val="center"/>
              <w:rPr>
                <w:rFonts w:ascii="Arial" w:hAnsi="Arial" w:cs="Arial"/>
                <w:b/>
                <w:bCs/>
                <w:sz w:val="20"/>
                <w:szCs w:val="20"/>
              </w:rPr>
            </w:pPr>
          </w:p>
        </w:tc>
        <w:tc>
          <w:tcPr>
            <w:tcW w:w="851" w:type="dxa"/>
            <w:tcBorders>
              <w:bottom w:val="single" w:sz="4" w:space="0" w:color="auto"/>
            </w:tcBorders>
          </w:tcPr>
          <w:p w14:paraId="7951FB00" w14:textId="77777777" w:rsidR="007F3574" w:rsidRPr="007F3574" w:rsidRDefault="007F3574" w:rsidP="00D062BF">
            <w:pPr>
              <w:pStyle w:val="NoSpacing"/>
              <w:spacing w:before="240"/>
              <w:jc w:val="center"/>
              <w:rPr>
                <w:rFonts w:ascii="Arial" w:hAnsi="Arial" w:cs="Arial"/>
                <w:b/>
                <w:bCs/>
                <w:sz w:val="20"/>
                <w:szCs w:val="20"/>
              </w:rPr>
            </w:pPr>
            <w:r w:rsidRPr="007F3574">
              <w:rPr>
                <w:rFonts w:ascii="Arial" w:hAnsi="Arial" w:cs="Arial"/>
                <w:b/>
                <w:bCs/>
                <w:sz w:val="20"/>
                <w:szCs w:val="20"/>
              </w:rPr>
              <w:t>0.58</w:t>
            </w:r>
          </w:p>
        </w:tc>
        <w:tc>
          <w:tcPr>
            <w:tcW w:w="992" w:type="dxa"/>
            <w:tcBorders>
              <w:bottom w:val="single" w:sz="4" w:space="0" w:color="auto"/>
            </w:tcBorders>
            <w:vAlign w:val="center"/>
          </w:tcPr>
          <w:p w14:paraId="59172C21" w14:textId="6528180A" w:rsidR="00A36A1A" w:rsidRPr="00A36A1A" w:rsidRDefault="007F3574" w:rsidP="00A36A1A">
            <w:pPr>
              <w:pStyle w:val="NoSpacing"/>
              <w:spacing w:before="240"/>
              <w:jc w:val="center"/>
              <w:rPr>
                <w:rFonts w:ascii="Arial" w:eastAsia="Aptos Narrow" w:hAnsi="Arial" w:cs="Arial"/>
                <w:sz w:val="20"/>
                <w:szCs w:val="20"/>
                <w:lang w:eastAsia="zh-CN" w:bidi="ar"/>
              </w:rPr>
            </w:pPr>
            <w:r w:rsidRPr="007F3574">
              <w:rPr>
                <w:rFonts w:ascii="Arial" w:eastAsia="Aptos Narrow" w:hAnsi="Arial" w:cs="Arial"/>
                <w:sz w:val="20"/>
                <w:szCs w:val="20"/>
                <w:lang w:eastAsia="zh-CN" w:bidi="ar"/>
              </w:rPr>
              <w:t>4.45</w:t>
            </w:r>
            <w:r w:rsidR="00A36A1A">
              <w:rPr>
                <w:rFonts w:ascii="Arial" w:eastAsia="Aptos Narrow" w:hAnsi="Arial" w:cs="Arial"/>
                <w:sz w:val="20"/>
                <w:szCs w:val="20"/>
                <w:lang w:eastAsia="zh-CN" w:bidi="ar"/>
              </w:rPr>
              <w:br/>
            </w:r>
          </w:p>
        </w:tc>
        <w:tc>
          <w:tcPr>
            <w:tcW w:w="1985" w:type="dxa"/>
            <w:tcBorders>
              <w:bottom w:val="single" w:sz="4" w:space="0" w:color="auto"/>
            </w:tcBorders>
          </w:tcPr>
          <w:p w14:paraId="6904E067" w14:textId="77777777" w:rsidR="007F3574" w:rsidRPr="007F3574" w:rsidRDefault="007F3574" w:rsidP="00D062BF">
            <w:pPr>
              <w:pStyle w:val="NoSpacing"/>
              <w:spacing w:before="240"/>
              <w:jc w:val="center"/>
              <w:rPr>
                <w:rFonts w:ascii="Arial" w:hAnsi="Arial" w:cs="Arial"/>
                <w:sz w:val="20"/>
                <w:szCs w:val="20"/>
              </w:rPr>
            </w:pPr>
            <w:r w:rsidRPr="007F3574">
              <w:rPr>
                <w:rFonts w:ascii="Arial" w:hAnsi="Arial" w:cs="Arial"/>
                <w:sz w:val="20"/>
                <w:szCs w:val="20"/>
              </w:rPr>
              <w:t>Very High</w:t>
            </w:r>
          </w:p>
        </w:tc>
      </w:tr>
    </w:tbl>
    <w:p w14:paraId="2F6BBB37" w14:textId="77777777" w:rsidR="007F3574" w:rsidRDefault="007F3574" w:rsidP="007F3574">
      <w:pPr>
        <w:pStyle w:val="Body"/>
        <w:spacing w:after="0"/>
        <w:rPr>
          <w:rFonts w:ascii="Arial" w:hAnsi="Arial" w:cs="Arial"/>
        </w:rPr>
      </w:pPr>
    </w:p>
    <w:p w14:paraId="53B1DE7A" w14:textId="34F04F1F" w:rsidR="007F3574" w:rsidRPr="007F3574" w:rsidRDefault="007F3574" w:rsidP="007F3574">
      <w:pPr>
        <w:pStyle w:val="Body"/>
        <w:rPr>
          <w:rFonts w:ascii="Arial" w:hAnsi="Arial" w:cs="Arial"/>
        </w:rPr>
      </w:pPr>
      <w:r w:rsidRPr="007F3574">
        <w:rPr>
          <w:rFonts w:ascii="Arial" w:hAnsi="Arial" w:cs="Arial"/>
        </w:rPr>
        <w:t>The classroom environment variable obtained an overall mean of 4.58, which was described as very high, indicating that the classroom environment was perceived as excellent. All its indicators also obtained mean scores described as very high.</w:t>
      </w:r>
    </w:p>
    <w:p w14:paraId="69B0CDDA" w14:textId="77777777" w:rsidR="007F3574" w:rsidRPr="007F3574" w:rsidRDefault="007F3574" w:rsidP="007F3574">
      <w:pPr>
        <w:pStyle w:val="Body"/>
        <w:rPr>
          <w:rFonts w:ascii="Arial" w:hAnsi="Arial" w:cs="Arial"/>
        </w:rPr>
      </w:pPr>
      <w:r w:rsidRPr="007F3574">
        <w:rPr>
          <w:rFonts w:ascii="Arial" w:hAnsi="Arial" w:cs="Arial"/>
        </w:rPr>
        <w:t>The teaching attitude variable obtained an overall mean of 4.30, also categorized as very high, indicating that the teaching attitude was considered excellent. Two out of its three indicators were rated as very high, while the remaining one was described as high.</w:t>
      </w:r>
    </w:p>
    <w:p w14:paraId="5371566C" w14:textId="13BC2F54" w:rsidR="00954E92" w:rsidRPr="007F3574" w:rsidRDefault="007F3574" w:rsidP="007F3574">
      <w:pPr>
        <w:pStyle w:val="Body"/>
        <w:rPr>
          <w:rFonts w:ascii="Arial" w:hAnsi="Arial" w:cs="Arial"/>
        </w:rPr>
      </w:pPr>
      <w:r w:rsidRPr="007F3574">
        <w:rPr>
          <w:rFonts w:ascii="Arial" w:hAnsi="Arial" w:cs="Arial"/>
        </w:rPr>
        <w:t>Finally, the utilization of vocabulary retention strategies among English teachers obtained an overall mean of 4.38, likewise described as very high. This indicates that English teachers' use of vocabulary retention strategies was also perceived to be excellent.</w:t>
      </w:r>
    </w:p>
    <w:p w14:paraId="2307BC8E" w14:textId="6689563C" w:rsidR="00927834" w:rsidRDefault="00954E92" w:rsidP="00441B6F">
      <w:pPr>
        <w:autoSpaceDE w:val="0"/>
        <w:autoSpaceDN w:val="0"/>
        <w:adjustRightInd w:val="0"/>
        <w:jc w:val="both"/>
        <w:rPr>
          <w:rFonts w:ascii="Arial" w:hAnsi="Arial" w:cs="Arial"/>
          <w:b/>
          <w:bCs/>
          <w:i/>
          <w:iCs/>
          <w:lang w:val="en-PH"/>
        </w:rPr>
      </w:pPr>
      <w:r>
        <w:rPr>
          <w:rFonts w:ascii="Arial" w:hAnsi="Arial" w:cs="Arial"/>
          <w:b/>
          <w:bCs/>
          <w:i/>
          <w:iCs/>
          <w:lang w:val="en-PH"/>
        </w:rPr>
        <w:t xml:space="preserve">Correlation </w:t>
      </w:r>
      <w:r w:rsidR="00A36A1A">
        <w:rPr>
          <w:rFonts w:ascii="Arial" w:hAnsi="Arial" w:cs="Arial"/>
          <w:b/>
          <w:bCs/>
          <w:i/>
          <w:iCs/>
          <w:lang w:val="en-PH"/>
        </w:rPr>
        <w:t>Results</w:t>
      </w:r>
    </w:p>
    <w:p w14:paraId="162079CA" w14:textId="77777777" w:rsidR="007C1832" w:rsidRDefault="007C1832" w:rsidP="00441B6F">
      <w:pPr>
        <w:autoSpaceDE w:val="0"/>
        <w:autoSpaceDN w:val="0"/>
        <w:adjustRightInd w:val="0"/>
        <w:jc w:val="both"/>
        <w:rPr>
          <w:rFonts w:ascii="Arial" w:hAnsi="Arial" w:cs="Arial"/>
          <w:szCs w:val="22"/>
          <w:lang w:val="en-PH"/>
        </w:rPr>
      </w:pPr>
    </w:p>
    <w:p w14:paraId="6F5098E5" w14:textId="537670F8" w:rsidR="00954E92" w:rsidRDefault="00954E92" w:rsidP="007C1832">
      <w:pPr>
        <w:autoSpaceDE w:val="0"/>
        <w:autoSpaceDN w:val="0"/>
        <w:adjustRightInd w:val="0"/>
        <w:jc w:val="both"/>
        <w:rPr>
          <w:rFonts w:ascii="Arial" w:hAnsi="Arial" w:cs="Arial"/>
          <w:szCs w:val="22"/>
        </w:rPr>
      </w:pPr>
      <w:r w:rsidRPr="00954E92">
        <w:rPr>
          <w:rFonts w:ascii="Arial" w:hAnsi="Arial" w:cs="Arial"/>
          <w:szCs w:val="22"/>
        </w:rPr>
        <w:t xml:space="preserve">Table 2 is the correlation table. It contains the predictive variables namely, classroom environment and teaching attitude, and the criterion variable which is the utilization of Vocabulary Retention Strategies of English Teachers. It also contains the </w:t>
      </w:r>
      <w:proofErr w:type="spellStart"/>
      <w:r w:rsidRPr="00954E92">
        <w:rPr>
          <w:rFonts w:ascii="Arial" w:hAnsi="Arial" w:cs="Arial"/>
          <w:szCs w:val="22"/>
        </w:rPr>
        <w:t>r-value</w:t>
      </w:r>
      <w:proofErr w:type="spellEnd"/>
      <w:r w:rsidRPr="00954E92">
        <w:rPr>
          <w:rFonts w:ascii="Arial" w:hAnsi="Arial" w:cs="Arial"/>
          <w:szCs w:val="22"/>
        </w:rPr>
        <w:t>, p-value, the decision for the hypothesis, and the corresponding interpretation</w:t>
      </w:r>
      <w:r w:rsidR="007C1832" w:rsidRPr="007C1832">
        <w:rPr>
          <w:rFonts w:ascii="Arial" w:hAnsi="Arial" w:cs="Arial"/>
          <w:szCs w:val="22"/>
        </w:rPr>
        <w:t>.</w:t>
      </w:r>
      <w:r w:rsidR="007C1832" w:rsidRPr="007C1832">
        <w:rPr>
          <w:rFonts w:ascii="Arial" w:hAnsi="Arial" w:cs="Arial"/>
          <w:szCs w:val="22"/>
        </w:rPr>
        <w:tab/>
      </w:r>
    </w:p>
    <w:p w14:paraId="7F8AC6C4" w14:textId="77777777" w:rsidR="00A36A1A" w:rsidRDefault="00A36A1A" w:rsidP="007C1832">
      <w:pPr>
        <w:autoSpaceDE w:val="0"/>
        <w:autoSpaceDN w:val="0"/>
        <w:adjustRightInd w:val="0"/>
        <w:jc w:val="both"/>
        <w:rPr>
          <w:rFonts w:ascii="Arial" w:hAnsi="Arial" w:cs="Arial"/>
          <w:szCs w:val="22"/>
        </w:rPr>
      </w:pPr>
    </w:p>
    <w:p w14:paraId="7B9DB4B9" w14:textId="77777777" w:rsidR="00A36A1A" w:rsidRDefault="00A36A1A" w:rsidP="007C1832">
      <w:pPr>
        <w:autoSpaceDE w:val="0"/>
        <w:autoSpaceDN w:val="0"/>
        <w:adjustRightInd w:val="0"/>
        <w:jc w:val="both"/>
        <w:rPr>
          <w:rFonts w:ascii="Arial" w:hAnsi="Arial" w:cs="Arial"/>
          <w:szCs w:val="22"/>
        </w:rPr>
      </w:pPr>
    </w:p>
    <w:p w14:paraId="3E31AD22" w14:textId="1EFEC606" w:rsidR="00A36A1A" w:rsidRPr="00A36A1A" w:rsidRDefault="00A36A1A" w:rsidP="007C1832">
      <w:pPr>
        <w:autoSpaceDE w:val="0"/>
        <w:autoSpaceDN w:val="0"/>
        <w:adjustRightInd w:val="0"/>
        <w:jc w:val="both"/>
        <w:rPr>
          <w:rFonts w:ascii="Arial" w:hAnsi="Arial" w:cs="Arial"/>
          <w:b/>
          <w:bCs/>
          <w:szCs w:val="22"/>
        </w:rPr>
      </w:pPr>
      <w:r w:rsidRPr="00A36A1A">
        <w:rPr>
          <w:rFonts w:ascii="Arial" w:hAnsi="Arial" w:cs="Arial"/>
          <w:b/>
          <w:bCs/>
          <w:szCs w:val="22"/>
        </w:rPr>
        <w:t>Table 2. Correlation Table</w:t>
      </w: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1180"/>
        <w:gridCol w:w="139"/>
        <w:gridCol w:w="1102"/>
        <w:gridCol w:w="139"/>
        <w:gridCol w:w="1629"/>
        <w:gridCol w:w="1505"/>
      </w:tblGrid>
      <w:tr w:rsidR="00954E92" w:rsidRPr="00AC0D21" w14:paraId="7C912795" w14:textId="77777777" w:rsidTr="00954E92">
        <w:trPr>
          <w:trHeight w:val="284"/>
        </w:trPr>
        <w:tc>
          <w:tcPr>
            <w:tcW w:w="2612" w:type="dxa"/>
            <w:vMerge w:val="restart"/>
            <w:tcBorders>
              <w:top w:val="single" w:sz="18" w:space="0" w:color="auto"/>
              <w:bottom w:val="single" w:sz="4" w:space="0" w:color="auto"/>
            </w:tcBorders>
          </w:tcPr>
          <w:p w14:paraId="44DDBA5E" w14:textId="77777777" w:rsidR="00954E92" w:rsidRPr="00954E92" w:rsidRDefault="00954E92" w:rsidP="00D062BF">
            <w:pPr>
              <w:pStyle w:val="NoSpacing"/>
              <w:rPr>
                <w:rFonts w:ascii="Arial" w:hAnsi="Arial" w:cs="Arial"/>
                <w:sz w:val="20"/>
                <w:szCs w:val="20"/>
              </w:rPr>
            </w:pPr>
          </w:p>
        </w:tc>
        <w:tc>
          <w:tcPr>
            <w:tcW w:w="5610" w:type="dxa"/>
            <w:gridSpan w:val="6"/>
            <w:tcBorders>
              <w:top w:val="single" w:sz="18" w:space="0" w:color="auto"/>
              <w:bottom w:val="single" w:sz="12" w:space="0" w:color="auto"/>
            </w:tcBorders>
          </w:tcPr>
          <w:p w14:paraId="0943794D" w14:textId="77777777" w:rsidR="00954E92" w:rsidRPr="00954E92" w:rsidRDefault="00954E92" w:rsidP="00D062BF">
            <w:pPr>
              <w:pStyle w:val="NoSpacing"/>
              <w:jc w:val="center"/>
              <w:rPr>
                <w:rFonts w:ascii="Arial" w:hAnsi="Arial" w:cs="Arial"/>
                <w:sz w:val="20"/>
                <w:szCs w:val="20"/>
              </w:rPr>
            </w:pPr>
            <w:r w:rsidRPr="00954E92">
              <w:rPr>
                <w:rFonts w:ascii="Arial" w:hAnsi="Arial" w:cs="Arial"/>
                <w:sz w:val="20"/>
                <w:szCs w:val="20"/>
              </w:rPr>
              <w:t>Utilization of Vocabulary Retention Strategies of English Teachers</w:t>
            </w:r>
          </w:p>
        </w:tc>
      </w:tr>
      <w:tr w:rsidR="00954E92" w:rsidRPr="00AC0D21" w14:paraId="789D6672" w14:textId="77777777" w:rsidTr="00954E92">
        <w:trPr>
          <w:trHeight w:val="148"/>
        </w:trPr>
        <w:tc>
          <w:tcPr>
            <w:tcW w:w="2612" w:type="dxa"/>
            <w:vMerge/>
            <w:tcBorders>
              <w:top w:val="single" w:sz="4" w:space="0" w:color="auto"/>
            </w:tcBorders>
          </w:tcPr>
          <w:p w14:paraId="67A86A33" w14:textId="77777777" w:rsidR="00954E92" w:rsidRPr="00954E92" w:rsidRDefault="00954E92" w:rsidP="00D062BF">
            <w:pPr>
              <w:pStyle w:val="NoSpacing"/>
              <w:rPr>
                <w:rFonts w:ascii="Arial" w:hAnsi="Arial" w:cs="Arial"/>
                <w:sz w:val="20"/>
                <w:szCs w:val="20"/>
              </w:rPr>
            </w:pPr>
          </w:p>
        </w:tc>
        <w:tc>
          <w:tcPr>
            <w:tcW w:w="1344" w:type="dxa"/>
            <w:gridSpan w:val="2"/>
            <w:tcBorders>
              <w:top w:val="single" w:sz="12" w:space="0" w:color="auto"/>
              <w:bottom w:val="single" w:sz="12" w:space="0" w:color="auto"/>
            </w:tcBorders>
          </w:tcPr>
          <w:p w14:paraId="42FF1619" w14:textId="77777777" w:rsidR="00954E92" w:rsidRPr="00954E92" w:rsidRDefault="00954E92" w:rsidP="00D062BF">
            <w:pPr>
              <w:pStyle w:val="NoSpacing"/>
              <w:jc w:val="center"/>
              <w:rPr>
                <w:rFonts w:ascii="Arial" w:hAnsi="Arial" w:cs="Arial"/>
                <w:b/>
                <w:bCs/>
                <w:sz w:val="20"/>
                <w:szCs w:val="20"/>
              </w:rPr>
            </w:pPr>
            <m:oMathPara>
              <m:oMath>
                <m:r>
                  <m:rPr>
                    <m:sty m:val="bi"/>
                  </m:rPr>
                  <w:rPr>
                    <w:rFonts w:ascii="Cambria Math" w:hAnsi="Cambria Math" w:cs="Arial"/>
                    <w:sz w:val="20"/>
                    <w:szCs w:val="20"/>
                  </w:rPr>
                  <m:t>r-Value</m:t>
                </m:r>
              </m:oMath>
            </m:oMathPara>
          </w:p>
        </w:tc>
        <w:tc>
          <w:tcPr>
            <w:tcW w:w="1260" w:type="dxa"/>
            <w:gridSpan w:val="2"/>
            <w:tcBorders>
              <w:top w:val="single" w:sz="12" w:space="0" w:color="auto"/>
              <w:bottom w:val="single" w:sz="12" w:space="0" w:color="auto"/>
            </w:tcBorders>
          </w:tcPr>
          <w:p w14:paraId="4EFF8251" w14:textId="77777777" w:rsidR="00954E92" w:rsidRPr="00954E92" w:rsidRDefault="00954E92" w:rsidP="00D062BF">
            <w:pPr>
              <w:pStyle w:val="NoSpacing"/>
              <w:jc w:val="center"/>
              <w:rPr>
                <w:rFonts w:ascii="Arial" w:hAnsi="Arial" w:cs="Arial"/>
                <w:b/>
                <w:bCs/>
                <w:sz w:val="20"/>
                <w:szCs w:val="20"/>
              </w:rPr>
            </w:pPr>
            <m:oMathPara>
              <m:oMath>
                <m:r>
                  <m:rPr>
                    <m:sty m:val="bi"/>
                  </m:rPr>
                  <w:rPr>
                    <w:rFonts w:ascii="Cambria Math" w:hAnsi="Cambria Math" w:cs="Arial"/>
                    <w:sz w:val="20"/>
                    <w:szCs w:val="20"/>
                  </w:rPr>
                  <m:t>p-Value</m:t>
                </m:r>
              </m:oMath>
            </m:oMathPara>
          </w:p>
        </w:tc>
        <w:tc>
          <w:tcPr>
            <w:tcW w:w="1671" w:type="dxa"/>
            <w:tcBorders>
              <w:top w:val="single" w:sz="12" w:space="0" w:color="auto"/>
              <w:bottom w:val="single" w:sz="12" w:space="0" w:color="auto"/>
            </w:tcBorders>
          </w:tcPr>
          <w:p w14:paraId="3B3730F9" w14:textId="77777777" w:rsidR="00954E92" w:rsidRPr="00954E92" w:rsidRDefault="00954E92" w:rsidP="00D062BF">
            <w:pPr>
              <w:pStyle w:val="NoSpacing"/>
              <w:jc w:val="center"/>
              <w:rPr>
                <w:rFonts w:ascii="Arial" w:hAnsi="Arial" w:cs="Arial"/>
                <w:b/>
                <w:bCs/>
                <w:sz w:val="20"/>
                <w:szCs w:val="20"/>
              </w:rPr>
            </w:pPr>
            <w:r w:rsidRPr="00954E92">
              <w:rPr>
                <w:rFonts w:ascii="Arial" w:hAnsi="Arial" w:cs="Arial"/>
                <w:b/>
                <w:bCs/>
                <w:sz w:val="20"/>
                <w:szCs w:val="20"/>
              </w:rPr>
              <w:t xml:space="preserve">Decision on </w:t>
            </w:r>
            <m:oMath>
              <m:sSub>
                <m:sSubPr>
                  <m:ctrlPr>
                    <w:rPr>
                      <w:rFonts w:ascii="Cambria Math" w:hAnsi="Cambria Math" w:cs="Arial"/>
                      <w:b/>
                      <w:bCs/>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o</m:t>
                  </m:r>
                  <m:r>
                    <m:rPr>
                      <m:sty m:val="bi"/>
                    </m:rPr>
                    <w:rPr>
                      <w:rFonts w:ascii="Cambria Math" w:hAnsi="Cambria Math" w:cs="Arial"/>
                      <w:sz w:val="20"/>
                      <w:szCs w:val="20"/>
                    </w:rPr>
                    <m:t>1</m:t>
                  </m:r>
                </m:sub>
              </m:sSub>
            </m:oMath>
            <w:r w:rsidRPr="00954E92">
              <w:rPr>
                <w:rFonts w:ascii="Arial" w:hAnsi="Arial" w:cs="Arial"/>
                <w:sz w:val="20"/>
                <w:szCs w:val="20"/>
              </w:rPr>
              <w:t xml:space="preserve"> </w:t>
            </w:r>
          </w:p>
        </w:tc>
        <w:tc>
          <w:tcPr>
            <w:tcW w:w="1335" w:type="dxa"/>
            <w:tcBorders>
              <w:top w:val="single" w:sz="12" w:space="0" w:color="auto"/>
              <w:bottom w:val="single" w:sz="12" w:space="0" w:color="auto"/>
            </w:tcBorders>
          </w:tcPr>
          <w:p w14:paraId="4F5E883D" w14:textId="77777777" w:rsidR="00954E92" w:rsidRPr="00954E92" w:rsidRDefault="00954E92" w:rsidP="00D062BF">
            <w:pPr>
              <w:pStyle w:val="NoSpacing"/>
              <w:jc w:val="center"/>
              <w:rPr>
                <w:rFonts w:ascii="Arial" w:hAnsi="Arial" w:cs="Arial"/>
                <w:b/>
                <w:bCs/>
                <w:sz w:val="20"/>
                <w:szCs w:val="20"/>
              </w:rPr>
            </w:pPr>
            <w:r w:rsidRPr="00954E92">
              <w:rPr>
                <w:rFonts w:ascii="Arial" w:hAnsi="Arial" w:cs="Arial"/>
                <w:b/>
                <w:bCs/>
                <w:sz w:val="20"/>
                <w:szCs w:val="20"/>
              </w:rPr>
              <w:t>Interpretation</w:t>
            </w:r>
          </w:p>
        </w:tc>
      </w:tr>
      <w:tr w:rsidR="00954E92" w:rsidRPr="00AC0D21" w14:paraId="75BD5319" w14:textId="77777777" w:rsidTr="00954E92">
        <w:trPr>
          <w:trHeight w:val="600"/>
        </w:trPr>
        <w:tc>
          <w:tcPr>
            <w:tcW w:w="2612" w:type="dxa"/>
          </w:tcPr>
          <w:p w14:paraId="49701EE5" w14:textId="77777777" w:rsidR="00954E92" w:rsidRPr="00954E92" w:rsidRDefault="00954E92" w:rsidP="00D062BF">
            <w:pPr>
              <w:rPr>
                <w:rFonts w:ascii="Arial" w:hAnsi="Arial" w:cs="Arial"/>
                <w:sz w:val="20"/>
                <w:szCs w:val="20"/>
              </w:rPr>
            </w:pPr>
          </w:p>
          <w:p w14:paraId="6D5E1E37" w14:textId="77777777" w:rsidR="00954E92" w:rsidRPr="00954E92" w:rsidRDefault="00954E92" w:rsidP="00D062BF">
            <w:pPr>
              <w:rPr>
                <w:rFonts w:ascii="Arial" w:hAnsi="Arial" w:cs="Arial"/>
                <w:sz w:val="20"/>
                <w:szCs w:val="20"/>
              </w:rPr>
            </w:pPr>
            <w:r w:rsidRPr="00954E92">
              <w:rPr>
                <w:rFonts w:ascii="Arial" w:hAnsi="Arial" w:cs="Arial"/>
                <w:sz w:val="20"/>
                <w:szCs w:val="20"/>
              </w:rPr>
              <w:t>Classroom Environment</w:t>
            </w:r>
          </w:p>
        </w:tc>
        <w:tc>
          <w:tcPr>
            <w:tcW w:w="1196" w:type="dxa"/>
            <w:tcBorders>
              <w:top w:val="single" w:sz="12" w:space="0" w:color="auto"/>
            </w:tcBorders>
          </w:tcPr>
          <w:p w14:paraId="4EBA1AD1" w14:textId="77777777" w:rsidR="00954E92" w:rsidRPr="00954E92" w:rsidRDefault="00954E92" w:rsidP="00D062BF">
            <w:pPr>
              <w:jc w:val="center"/>
              <w:rPr>
                <w:rFonts w:ascii="Cambria Math" w:eastAsiaTheme="minorEastAsia" w:hAnsi="Cambria Math" w:cs="Arial"/>
                <w:sz w:val="20"/>
                <w:szCs w:val="20"/>
                <w:oMath/>
              </w:rPr>
            </w:pPr>
          </w:p>
          <w:p w14:paraId="54A3A110" w14:textId="77777777" w:rsidR="00954E92" w:rsidRPr="00954E92" w:rsidRDefault="00954E92" w:rsidP="00D062BF">
            <w:pPr>
              <w:jc w:val="center"/>
              <w:rPr>
                <w:rFonts w:ascii="Cambria Math" w:hAnsi="Cambria Math" w:cs="Arial"/>
                <w:sz w:val="20"/>
                <w:szCs w:val="20"/>
                <w:oMath/>
              </w:rPr>
            </w:pPr>
            <m:oMathPara>
              <m:oMath>
                <m:r>
                  <w:rPr>
                    <w:rFonts w:ascii="Cambria Math" w:eastAsiaTheme="minorEastAsia" w:hAnsi="Cambria Math" w:cs="Arial"/>
                    <w:sz w:val="20"/>
                    <w:szCs w:val="20"/>
                  </w:rPr>
                  <m:t>.660</m:t>
                </m:r>
              </m:oMath>
            </m:oMathPara>
          </w:p>
        </w:tc>
        <w:tc>
          <w:tcPr>
            <w:tcW w:w="1264" w:type="dxa"/>
            <w:gridSpan w:val="2"/>
            <w:tcBorders>
              <w:top w:val="single" w:sz="12" w:space="0" w:color="auto"/>
            </w:tcBorders>
          </w:tcPr>
          <w:p w14:paraId="2466B430" w14:textId="77777777" w:rsidR="00954E92" w:rsidRPr="00954E92" w:rsidRDefault="00954E92" w:rsidP="00D062BF">
            <w:pPr>
              <w:jc w:val="center"/>
              <w:rPr>
                <w:rFonts w:ascii="Cambria Math" w:eastAsiaTheme="minorEastAsia" w:hAnsi="Cambria Math" w:cs="Arial"/>
                <w:sz w:val="20"/>
                <w:szCs w:val="20"/>
                <w:oMath/>
              </w:rPr>
            </w:pPr>
          </w:p>
          <w:p w14:paraId="131B52F5" w14:textId="77777777" w:rsidR="00954E92" w:rsidRPr="00954E92" w:rsidRDefault="00954E92" w:rsidP="00D062BF">
            <w:pPr>
              <w:jc w:val="center"/>
              <w:rPr>
                <w:rFonts w:ascii="Cambria Math" w:hAnsi="Cambria Math" w:cs="Arial"/>
                <w:sz w:val="20"/>
                <w:szCs w:val="20"/>
                <w:oMath/>
              </w:rPr>
            </w:pPr>
            <m:oMathPara>
              <m:oMath>
                <m:r>
                  <w:rPr>
                    <w:rFonts w:ascii="Cambria Math" w:eastAsiaTheme="minorEastAsia" w:hAnsi="Cambria Math" w:cs="Arial"/>
                    <w:sz w:val="20"/>
                    <w:szCs w:val="20"/>
                  </w:rPr>
                  <m:t>.000</m:t>
                </m:r>
              </m:oMath>
            </m:oMathPara>
          </w:p>
        </w:tc>
        <w:tc>
          <w:tcPr>
            <w:tcW w:w="1815" w:type="dxa"/>
            <w:gridSpan w:val="2"/>
            <w:tcBorders>
              <w:top w:val="single" w:sz="12" w:space="0" w:color="auto"/>
            </w:tcBorders>
          </w:tcPr>
          <w:p w14:paraId="1A4A395A" w14:textId="77777777" w:rsidR="00954E92" w:rsidRPr="00954E92" w:rsidRDefault="00954E92" w:rsidP="00D062BF">
            <w:pPr>
              <w:rPr>
                <w:rFonts w:ascii="Arial" w:eastAsiaTheme="minorEastAsia" w:hAnsi="Arial" w:cs="Arial"/>
                <w:sz w:val="20"/>
                <w:szCs w:val="20"/>
              </w:rPr>
            </w:pPr>
          </w:p>
          <w:p w14:paraId="2C86FBF3" w14:textId="77777777" w:rsidR="00954E92" w:rsidRPr="00954E92" w:rsidRDefault="00954E92" w:rsidP="00D062BF">
            <w:pPr>
              <w:jc w:val="center"/>
              <w:rPr>
                <w:rFonts w:ascii="Arial" w:eastAsiaTheme="minorEastAsia" w:hAnsi="Arial" w:cs="Arial"/>
                <w:sz w:val="20"/>
                <w:szCs w:val="20"/>
              </w:rPr>
            </w:pPr>
            <w:r w:rsidRPr="00954E92">
              <w:rPr>
                <w:rFonts w:ascii="Arial" w:eastAsiaTheme="minorEastAsia" w:hAnsi="Arial" w:cs="Arial"/>
                <w:sz w:val="20"/>
                <w:szCs w:val="20"/>
              </w:rPr>
              <w:t>Reject</w:t>
            </w:r>
          </w:p>
        </w:tc>
        <w:tc>
          <w:tcPr>
            <w:tcW w:w="1335" w:type="dxa"/>
            <w:tcBorders>
              <w:top w:val="single" w:sz="12" w:space="0" w:color="auto"/>
            </w:tcBorders>
          </w:tcPr>
          <w:p w14:paraId="517C7357" w14:textId="77777777" w:rsidR="00954E92" w:rsidRPr="00954E92" w:rsidRDefault="00954E92" w:rsidP="00D062BF">
            <w:pPr>
              <w:rPr>
                <w:rFonts w:ascii="Arial" w:eastAsiaTheme="minorEastAsia" w:hAnsi="Arial" w:cs="Arial"/>
                <w:sz w:val="20"/>
                <w:szCs w:val="20"/>
              </w:rPr>
            </w:pPr>
          </w:p>
          <w:p w14:paraId="2E61B72F" w14:textId="77777777" w:rsidR="00954E92" w:rsidRPr="00954E92" w:rsidRDefault="00954E92" w:rsidP="00D062BF">
            <w:pPr>
              <w:jc w:val="center"/>
              <w:rPr>
                <w:rFonts w:ascii="Arial" w:eastAsiaTheme="minorEastAsia" w:hAnsi="Arial" w:cs="Arial"/>
                <w:sz w:val="20"/>
                <w:szCs w:val="20"/>
              </w:rPr>
            </w:pPr>
            <w:r w:rsidRPr="00954E92">
              <w:rPr>
                <w:rFonts w:ascii="Arial" w:eastAsiaTheme="minorEastAsia" w:hAnsi="Arial" w:cs="Arial"/>
                <w:sz w:val="20"/>
                <w:szCs w:val="20"/>
              </w:rPr>
              <w:t>Significant</w:t>
            </w:r>
          </w:p>
        </w:tc>
      </w:tr>
      <w:tr w:rsidR="00954E92" w:rsidRPr="00AC0D21" w14:paraId="28E25342" w14:textId="77777777" w:rsidTr="00954E92">
        <w:trPr>
          <w:trHeight w:val="513"/>
        </w:trPr>
        <w:tc>
          <w:tcPr>
            <w:tcW w:w="2612" w:type="dxa"/>
            <w:tcBorders>
              <w:bottom w:val="single" w:sz="18" w:space="0" w:color="auto"/>
            </w:tcBorders>
          </w:tcPr>
          <w:p w14:paraId="7B29DBCB" w14:textId="77777777" w:rsidR="00954E92" w:rsidRPr="00954E92" w:rsidRDefault="00954E92" w:rsidP="00D062BF">
            <w:pPr>
              <w:rPr>
                <w:rFonts w:ascii="Arial" w:hAnsi="Arial" w:cs="Arial"/>
                <w:sz w:val="20"/>
                <w:szCs w:val="20"/>
              </w:rPr>
            </w:pPr>
            <w:r w:rsidRPr="00954E92">
              <w:rPr>
                <w:rFonts w:ascii="Arial" w:hAnsi="Arial" w:cs="Arial"/>
                <w:sz w:val="20"/>
                <w:szCs w:val="20"/>
              </w:rPr>
              <w:t>Teaching Attitude</w:t>
            </w:r>
          </w:p>
        </w:tc>
        <w:tc>
          <w:tcPr>
            <w:tcW w:w="1196" w:type="dxa"/>
            <w:tcBorders>
              <w:bottom w:val="single" w:sz="18" w:space="0" w:color="auto"/>
            </w:tcBorders>
          </w:tcPr>
          <w:p w14:paraId="0FE1E260" w14:textId="77777777" w:rsidR="00954E92" w:rsidRPr="00954E92" w:rsidRDefault="00954E92" w:rsidP="00D062BF">
            <w:pPr>
              <w:jc w:val="center"/>
              <w:rPr>
                <w:rFonts w:ascii="Cambria Math" w:hAnsi="Cambria Math" w:cs="Arial"/>
                <w:sz w:val="20"/>
                <w:szCs w:val="20"/>
                <w:oMath/>
              </w:rPr>
            </w:pPr>
            <m:oMathPara>
              <m:oMath>
                <m:r>
                  <w:rPr>
                    <w:rFonts w:ascii="Cambria Math" w:eastAsiaTheme="minorEastAsia" w:hAnsi="Cambria Math" w:cs="Arial"/>
                    <w:sz w:val="20"/>
                    <w:szCs w:val="20"/>
                  </w:rPr>
                  <m:t>.654</m:t>
                </m:r>
              </m:oMath>
            </m:oMathPara>
          </w:p>
        </w:tc>
        <w:tc>
          <w:tcPr>
            <w:tcW w:w="1264" w:type="dxa"/>
            <w:gridSpan w:val="2"/>
            <w:tcBorders>
              <w:bottom w:val="single" w:sz="18" w:space="0" w:color="auto"/>
            </w:tcBorders>
          </w:tcPr>
          <w:p w14:paraId="67B63871" w14:textId="77777777" w:rsidR="00954E92" w:rsidRPr="00954E92" w:rsidRDefault="00954E92" w:rsidP="00D062BF">
            <w:pPr>
              <w:jc w:val="center"/>
              <w:rPr>
                <w:rFonts w:ascii="Cambria Math" w:hAnsi="Cambria Math" w:cs="Arial"/>
                <w:sz w:val="20"/>
                <w:szCs w:val="20"/>
                <w:oMath/>
              </w:rPr>
            </w:pPr>
            <m:oMathPara>
              <m:oMath>
                <m:r>
                  <w:rPr>
                    <w:rFonts w:ascii="Cambria Math" w:eastAsiaTheme="minorEastAsia" w:hAnsi="Cambria Math" w:cs="Arial"/>
                    <w:sz w:val="20"/>
                    <w:szCs w:val="20"/>
                  </w:rPr>
                  <m:t>.000</m:t>
                </m:r>
              </m:oMath>
            </m:oMathPara>
          </w:p>
        </w:tc>
        <w:tc>
          <w:tcPr>
            <w:tcW w:w="1815" w:type="dxa"/>
            <w:gridSpan w:val="2"/>
            <w:tcBorders>
              <w:bottom w:val="single" w:sz="18" w:space="0" w:color="auto"/>
            </w:tcBorders>
          </w:tcPr>
          <w:p w14:paraId="54A03066" w14:textId="77777777" w:rsidR="00954E92" w:rsidRPr="00954E92" w:rsidRDefault="00954E92" w:rsidP="00D062BF">
            <w:pPr>
              <w:jc w:val="center"/>
              <w:rPr>
                <w:rFonts w:ascii="Arial" w:eastAsiaTheme="minorEastAsia" w:hAnsi="Arial" w:cs="Arial"/>
                <w:sz w:val="20"/>
                <w:szCs w:val="20"/>
              </w:rPr>
            </w:pPr>
            <w:r w:rsidRPr="00954E92">
              <w:rPr>
                <w:rFonts w:ascii="Arial" w:eastAsiaTheme="minorEastAsia" w:hAnsi="Arial" w:cs="Arial"/>
                <w:sz w:val="20"/>
                <w:szCs w:val="20"/>
              </w:rPr>
              <w:t>Reject</w:t>
            </w:r>
          </w:p>
        </w:tc>
        <w:tc>
          <w:tcPr>
            <w:tcW w:w="1335" w:type="dxa"/>
            <w:tcBorders>
              <w:bottom w:val="single" w:sz="18" w:space="0" w:color="auto"/>
            </w:tcBorders>
          </w:tcPr>
          <w:p w14:paraId="206DA1BB" w14:textId="77777777" w:rsidR="00954E92" w:rsidRPr="00954E92" w:rsidRDefault="00954E92" w:rsidP="00D062BF">
            <w:pPr>
              <w:jc w:val="center"/>
              <w:rPr>
                <w:rFonts w:ascii="Arial" w:eastAsiaTheme="minorEastAsia" w:hAnsi="Arial" w:cs="Arial"/>
                <w:sz w:val="20"/>
                <w:szCs w:val="20"/>
              </w:rPr>
            </w:pPr>
            <w:r w:rsidRPr="00954E92">
              <w:rPr>
                <w:rFonts w:ascii="Arial" w:eastAsiaTheme="minorEastAsia" w:hAnsi="Arial" w:cs="Arial"/>
                <w:sz w:val="20"/>
                <w:szCs w:val="20"/>
              </w:rPr>
              <w:t>Significant</w:t>
            </w:r>
          </w:p>
        </w:tc>
      </w:tr>
    </w:tbl>
    <w:p w14:paraId="4D53438F" w14:textId="77777777" w:rsidR="007C1832" w:rsidRPr="007C1832" w:rsidRDefault="007C1832" w:rsidP="007C1832">
      <w:pPr>
        <w:autoSpaceDE w:val="0"/>
        <w:autoSpaceDN w:val="0"/>
        <w:adjustRightInd w:val="0"/>
        <w:jc w:val="both"/>
        <w:rPr>
          <w:rFonts w:ascii="Arial" w:hAnsi="Arial" w:cs="Arial"/>
          <w:szCs w:val="22"/>
        </w:rPr>
      </w:pPr>
    </w:p>
    <w:p w14:paraId="4578E59A" w14:textId="75306FBD" w:rsidR="00954E92" w:rsidRDefault="00954E92" w:rsidP="00954E92">
      <w:pPr>
        <w:autoSpaceDE w:val="0"/>
        <w:autoSpaceDN w:val="0"/>
        <w:adjustRightInd w:val="0"/>
        <w:jc w:val="both"/>
        <w:rPr>
          <w:rFonts w:ascii="Arial" w:hAnsi="Arial" w:cs="Arial"/>
          <w:szCs w:val="22"/>
        </w:rPr>
      </w:pPr>
      <w:r w:rsidRPr="00954E92">
        <w:rPr>
          <w:rFonts w:ascii="Arial" w:hAnsi="Arial" w:cs="Arial"/>
          <w:szCs w:val="22"/>
        </w:rPr>
        <w:t xml:space="preserve">The correlation between classroom environment and the utilization of vocabulary retention strategies obtained a p-value of 0.000, which was less than the 0.05 level of significance. Hence, the null hypothesis was rejected. This indicated that the correlation between classroom environment and the utilization of vocabulary retention strategies was significant. Furthermore, the correlation strength, with an </w:t>
      </w:r>
      <w:proofErr w:type="spellStart"/>
      <w:r w:rsidRPr="00954E92">
        <w:rPr>
          <w:rFonts w:ascii="Arial" w:hAnsi="Arial" w:cs="Arial"/>
          <w:szCs w:val="22"/>
        </w:rPr>
        <w:t>r-value</w:t>
      </w:r>
      <w:proofErr w:type="spellEnd"/>
      <w:r w:rsidRPr="00954E92">
        <w:rPr>
          <w:rFonts w:ascii="Arial" w:hAnsi="Arial" w:cs="Arial"/>
          <w:szCs w:val="22"/>
        </w:rPr>
        <w:t xml:space="preserve"> of 0.660, was interpreted as a moderately high correlation.</w:t>
      </w:r>
    </w:p>
    <w:p w14:paraId="35AEBF78" w14:textId="77777777" w:rsidR="00954E92" w:rsidRPr="00954E92" w:rsidRDefault="00954E92" w:rsidP="00954E92">
      <w:pPr>
        <w:autoSpaceDE w:val="0"/>
        <w:autoSpaceDN w:val="0"/>
        <w:adjustRightInd w:val="0"/>
        <w:jc w:val="both"/>
        <w:rPr>
          <w:rFonts w:ascii="Arial" w:hAnsi="Arial" w:cs="Arial"/>
          <w:szCs w:val="22"/>
        </w:rPr>
      </w:pPr>
    </w:p>
    <w:p w14:paraId="79E40CEE" w14:textId="4C36C975" w:rsidR="007C1832" w:rsidRDefault="00954E92" w:rsidP="00954E92">
      <w:pPr>
        <w:autoSpaceDE w:val="0"/>
        <w:autoSpaceDN w:val="0"/>
        <w:adjustRightInd w:val="0"/>
        <w:jc w:val="both"/>
        <w:rPr>
          <w:rFonts w:ascii="Arial" w:hAnsi="Arial" w:cs="Arial"/>
          <w:szCs w:val="22"/>
        </w:rPr>
      </w:pPr>
      <w:r w:rsidRPr="00954E92">
        <w:rPr>
          <w:rFonts w:ascii="Arial" w:hAnsi="Arial" w:cs="Arial"/>
          <w:szCs w:val="22"/>
        </w:rPr>
        <w:t xml:space="preserve">Similarly, the correlation between teaching attitude and the utilization of vocabulary retention strategies obtained a p-value of 0.000, which was also less than the 0.05 level of significance. Thus, the null hypothesis was rejected. This indicated that the correlation between teaching attitude and the utilization of vocabulary retention strategies was significant. Moreover, the strength of the correlation, with an </w:t>
      </w:r>
      <w:proofErr w:type="spellStart"/>
      <w:r w:rsidRPr="00954E92">
        <w:rPr>
          <w:rFonts w:ascii="Arial" w:hAnsi="Arial" w:cs="Arial"/>
          <w:szCs w:val="22"/>
        </w:rPr>
        <w:t>r-value</w:t>
      </w:r>
      <w:proofErr w:type="spellEnd"/>
      <w:r w:rsidRPr="00954E92">
        <w:rPr>
          <w:rFonts w:ascii="Arial" w:hAnsi="Arial" w:cs="Arial"/>
          <w:szCs w:val="22"/>
        </w:rPr>
        <w:t xml:space="preserve"> of 0.654, was likewise interpreted as moderately high</w:t>
      </w:r>
      <w:r w:rsidR="007C1832" w:rsidRPr="007C1832">
        <w:rPr>
          <w:rFonts w:ascii="Arial" w:hAnsi="Arial" w:cs="Arial"/>
          <w:szCs w:val="22"/>
        </w:rPr>
        <w:t>.</w:t>
      </w:r>
      <w:r w:rsidR="007C1832" w:rsidRPr="007C1832">
        <w:rPr>
          <w:rFonts w:ascii="Arial" w:hAnsi="Arial" w:cs="Arial"/>
          <w:szCs w:val="22"/>
        </w:rPr>
        <w:tab/>
      </w:r>
    </w:p>
    <w:p w14:paraId="125A3012" w14:textId="77777777" w:rsidR="00954E92" w:rsidRDefault="00954E92" w:rsidP="00954E92">
      <w:pPr>
        <w:autoSpaceDE w:val="0"/>
        <w:autoSpaceDN w:val="0"/>
        <w:adjustRightInd w:val="0"/>
        <w:jc w:val="both"/>
        <w:rPr>
          <w:rFonts w:ascii="Arial" w:hAnsi="Arial" w:cs="Arial"/>
          <w:szCs w:val="22"/>
        </w:rPr>
      </w:pPr>
    </w:p>
    <w:p w14:paraId="3AB308DA" w14:textId="7DAA898A" w:rsidR="00954E92" w:rsidRPr="00954E92" w:rsidRDefault="00954E92" w:rsidP="00954E92">
      <w:pPr>
        <w:autoSpaceDE w:val="0"/>
        <w:autoSpaceDN w:val="0"/>
        <w:adjustRightInd w:val="0"/>
        <w:jc w:val="both"/>
        <w:rPr>
          <w:rFonts w:ascii="Arial" w:hAnsi="Arial" w:cs="Arial"/>
          <w:b/>
          <w:bCs/>
          <w:i/>
          <w:iCs/>
          <w:lang w:val="en-PH"/>
        </w:rPr>
      </w:pPr>
      <w:r>
        <w:rPr>
          <w:rFonts w:ascii="Arial" w:hAnsi="Arial" w:cs="Arial"/>
          <w:b/>
          <w:bCs/>
          <w:i/>
          <w:iCs/>
          <w:lang w:val="en-PH"/>
        </w:rPr>
        <w:t xml:space="preserve">Regression </w:t>
      </w:r>
      <w:r w:rsidR="00A36A1A">
        <w:rPr>
          <w:rFonts w:ascii="Arial" w:hAnsi="Arial" w:cs="Arial"/>
          <w:b/>
          <w:bCs/>
          <w:i/>
          <w:iCs/>
          <w:lang w:val="en-PH"/>
        </w:rPr>
        <w:t>Results</w:t>
      </w:r>
    </w:p>
    <w:p w14:paraId="598EF119" w14:textId="77777777" w:rsidR="00954E92" w:rsidRPr="007C1832" w:rsidRDefault="00954E92" w:rsidP="00954E92">
      <w:pPr>
        <w:autoSpaceDE w:val="0"/>
        <w:autoSpaceDN w:val="0"/>
        <w:adjustRightInd w:val="0"/>
        <w:jc w:val="both"/>
        <w:rPr>
          <w:rFonts w:ascii="Arial" w:hAnsi="Arial" w:cs="Arial"/>
          <w:szCs w:val="22"/>
        </w:rPr>
      </w:pPr>
    </w:p>
    <w:p w14:paraId="3CD0EE04" w14:textId="6B1C045D" w:rsidR="007C1832" w:rsidRDefault="00954E92" w:rsidP="007C1832">
      <w:pPr>
        <w:autoSpaceDE w:val="0"/>
        <w:autoSpaceDN w:val="0"/>
        <w:adjustRightInd w:val="0"/>
        <w:jc w:val="both"/>
        <w:rPr>
          <w:rFonts w:ascii="Arial" w:hAnsi="Arial" w:cs="Arial"/>
          <w:szCs w:val="22"/>
        </w:rPr>
      </w:pPr>
      <w:r w:rsidRPr="00954E92">
        <w:rPr>
          <w:rFonts w:ascii="Arial" w:hAnsi="Arial" w:cs="Arial"/>
          <w:szCs w:val="22"/>
        </w:rPr>
        <w:t>Table 3 is the regression table. It contains the predictors namely classroom environment and teaching attitude. It also contains the criterion variable which is the utilization of vocabulary retention strategies of English teachers. Finally, it contains the coefficients β, t-value, p-value, the decision on the hypotheses, and the corresponding interpretation</w:t>
      </w:r>
      <w:r w:rsidR="007C1832" w:rsidRPr="007C1832">
        <w:rPr>
          <w:rFonts w:ascii="Arial" w:hAnsi="Arial" w:cs="Arial"/>
          <w:szCs w:val="22"/>
        </w:rPr>
        <w:t>.</w:t>
      </w:r>
    </w:p>
    <w:p w14:paraId="42FA9FD8" w14:textId="77777777" w:rsidR="00A36A1A" w:rsidRDefault="00A36A1A" w:rsidP="007C1832">
      <w:pPr>
        <w:autoSpaceDE w:val="0"/>
        <w:autoSpaceDN w:val="0"/>
        <w:adjustRightInd w:val="0"/>
        <w:jc w:val="both"/>
        <w:rPr>
          <w:rFonts w:ascii="Arial" w:hAnsi="Arial" w:cs="Arial"/>
          <w:szCs w:val="22"/>
        </w:rPr>
      </w:pPr>
    </w:p>
    <w:p w14:paraId="4C82136A" w14:textId="30167380" w:rsidR="007C1832" w:rsidRPr="00A36A1A" w:rsidRDefault="00A36A1A" w:rsidP="007C1832">
      <w:pPr>
        <w:autoSpaceDE w:val="0"/>
        <w:autoSpaceDN w:val="0"/>
        <w:adjustRightInd w:val="0"/>
        <w:jc w:val="both"/>
        <w:rPr>
          <w:rFonts w:ascii="Arial" w:hAnsi="Arial" w:cs="Arial"/>
          <w:b/>
          <w:bCs/>
          <w:szCs w:val="22"/>
        </w:rPr>
      </w:pPr>
      <w:r w:rsidRPr="00A36A1A">
        <w:rPr>
          <w:rFonts w:ascii="Arial" w:hAnsi="Arial" w:cs="Arial"/>
          <w:b/>
          <w:bCs/>
          <w:szCs w:val="22"/>
        </w:rPr>
        <w:t xml:space="preserve">Table </w:t>
      </w:r>
      <w:r>
        <w:rPr>
          <w:rFonts w:ascii="Arial" w:hAnsi="Arial" w:cs="Arial"/>
          <w:b/>
          <w:bCs/>
          <w:szCs w:val="22"/>
        </w:rPr>
        <w:t>3</w:t>
      </w:r>
      <w:r w:rsidRPr="00A36A1A">
        <w:rPr>
          <w:rFonts w:ascii="Arial" w:hAnsi="Arial" w:cs="Arial"/>
          <w:b/>
          <w:bCs/>
          <w:szCs w:val="22"/>
        </w:rPr>
        <w:t xml:space="preserve">. </w:t>
      </w:r>
      <w:r>
        <w:rPr>
          <w:rFonts w:ascii="Arial" w:hAnsi="Arial" w:cs="Arial"/>
          <w:b/>
          <w:bCs/>
          <w:szCs w:val="22"/>
        </w:rPr>
        <w:t>Regression</w:t>
      </w:r>
      <w:r w:rsidRPr="00A36A1A">
        <w:rPr>
          <w:rFonts w:ascii="Arial" w:hAnsi="Arial" w:cs="Arial"/>
          <w:b/>
          <w:bCs/>
          <w:szCs w:val="22"/>
        </w:rPr>
        <w:t xml:space="preserve"> Table</w:t>
      </w:r>
    </w:p>
    <w:tbl>
      <w:tblPr>
        <w:tblpPr w:leftFromText="180" w:rightFromText="180" w:vertAnchor="text" w:horzAnchor="margin" w:tblpY="6"/>
        <w:tblW w:w="8364" w:type="dxa"/>
        <w:tblLayout w:type="fixed"/>
        <w:tblCellMar>
          <w:top w:w="15" w:type="dxa"/>
          <w:left w:w="15" w:type="dxa"/>
          <w:bottom w:w="15" w:type="dxa"/>
          <w:right w:w="15" w:type="dxa"/>
        </w:tblCellMar>
        <w:tblLook w:val="04A0" w:firstRow="1" w:lastRow="0" w:firstColumn="1" w:lastColumn="0" w:noHBand="0" w:noVBand="1"/>
      </w:tblPr>
      <w:tblGrid>
        <w:gridCol w:w="932"/>
        <w:gridCol w:w="486"/>
        <w:gridCol w:w="992"/>
        <w:gridCol w:w="709"/>
        <w:gridCol w:w="850"/>
        <w:gridCol w:w="709"/>
        <w:gridCol w:w="992"/>
        <w:gridCol w:w="284"/>
        <w:gridCol w:w="850"/>
        <w:gridCol w:w="1560"/>
      </w:tblGrid>
      <w:tr w:rsidR="00BD5A33" w:rsidRPr="00BD5A33" w14:paraId="125748D9" w14:textId="77777777" w:rsidTr="00BD5A33">
        <w:trPr>
          <w:trHeight w:val="583"/>
        </w:trPr>
        <w:tc>
          <w:tcPr>
            <w:tcW w:w="932" w:type="dxa"/>
            <w:tcBorders>
              <w:top w:val="single" w:sz="18" w:space="0" w:color="auto"/>
              <w:bottom w:val="single" w:sz="18" w:space="0" w:color="auto"/>
            </w:tcBorders>
            <w:tcMar>
              <w:top w:w="0" w:type="dxa"/>
              <w:left w:w="108" w:type="dxa"/>
              <w:bottom w:w="0" w:type="dxa"/>
              <w:right w:w="108" w:type="dxa"/>
            </w:tcMar>
            <w:vAlign w:val="center"/>
            <w:hideMark/>
          </w:tcPr>
          <w:p w14:paraId="2BFB3709" w14:textId="77777777" w:rsidR="00BD5A33" w:rsidRPr="00BD5A33" w:rsidRDefault="00BD5A33" w:rsidP="00D062BF">
            <w:pPr>
              <w:pStyle w:val="NoSpacing"/>
              <w:rPr>
                <w:rFonts w:ascii="Arial" w:hAnsi="Arial" w:cs="Arial"/>
                <w:sz w:val="20"/>
                <w:szCs w:val="20"/>
              </w:rPr>
            </w:pPr>
          </w:p>
        </w:tc>
        <w:tc>
          <w:tcPr>
            <w:tcW w:w="7432" w:type="dxa"/>
            <w:gridSpan w:val="9"/>
            <w:tcBorders>
              <w:top w:val="single" w:sz="18" w:space="0" w:color="auto"/>
              <w:bottom w:val="single" w:sz="18" w:space="0" w:color="auto"/>
            </w:tcBorders>
            <w:tcMar>
              <w:top w:w="0" w:type="dxa"/>
              <w:left w:w="108" w:type="dxa"/>
              <w:bottom w:w="0" w:type="dxa"/>
              <w:right w:w="108" w:type="dxa"/>
            </w:tcMar>
            <w:vAlign w:val="center"/>
            <w:hideMark/>
          </w:tcPr>
          <w:p w14:paraId="5F7B256A" w14:textId="77777777" w:rsidR="00BD5A33" w:rsidRPr="00BD5A33" w:rsidRDefault="00BD5A33" w:rsidP="00D062BF">
            <w:pPr>
              <w:pStyle w:val="NoSpacing"/>
              <w:rPr>
                <w:rFonts w:ascii="Arial" w:hAnsi="Arial" w:cs="Arial"/>
                <w:sz w:val="20"/>
                <w:szCs w:val="20"/>
              </w:rPr>
            </w:pPr>
            <w:r w:rsidRPr="00BD5A33">
              <w:rPr>
                <w:rFonts w:ascii="Arial" w:hAnsi="Arial" w:cs="Arial"/>
                <w:sz w:val="20"/>
                <w:szCs w:val="20"/>
              </w:rPr>
              <w:t xml:space="preserve"> Utilization of Vocabulary Retention Strategies of English Teachers</w:t>
            </w:r>
          </w:p>
        </w:tc>
      </w:tr>
      <w:tr w:rsidR="00BD5A33" w:rsidRPr="00BD5A33" w14:paraId="7D3FD132" w14:textId="77777777" w:rsidTr="00BD5A33">
        <w:trPr>
          <w:trHeight w:val="583"/>
        </w:trPr>
        <w:tc>
          <w:tcPr>
            <w:tcW w:w="932" w:type="dxa"/>
            <w:tcBorders>
              <w:top w:val="single" w:sz="18" w:space="0" w:color="auto"/>
            </w:tcBorders>
            <w:tcMar>
              <w:top w:w="0" w:type="dxa"/>
              <w:left w:w="108" w:type="dxa"/>
              <w:bottom w:w="0" w:type="dxa"/>
              <w:right w:w="108" w:type="dxa"/>
            </w:tcMar>
            <w:vAlign w:val="center"/>
            <w:hideMark/>
          </w:tcPr>
          <w:p w14:paraId="3992718B" w14:textId="77777777" w:rsidR="00BD5A33" w:rsidRPr="00BD5A33" w:rsidRDefault="00BD5A33" w:rsidP="00D062BF">
            <w:pPr>
              <w:pStyle w:val="NoSpacing"/>
              <w:rPr>
                <w:rFonts w:ascii="Arial" w:hAnsi="Arial" w:cs="Arial"/>
                <w:sz w:val="20"/>
                <w:szCs w:val="20"/>
              </w:rPr>
            </w:pPr>
          </w:p>
        </w:tc>
        <w:tc>
          <w:tcPr>
            <w:tcW w:w="486" w:type="dxa"/>
            <w:tcBorders>
              <w:top w:val="single" w:sz="18" w:space="0" w:color="auto"/>
            </w:tcBorders>
            <w:tcMar>
              <w:top w:w="0" w:type="dxa"/>
              <w:left w:w="108" w:type="dxa"/>
              <w:bottom w:w="0" w:type="dxa"/>
              <w:right w:w="108" w:type="dxa"/>
            </w:tcMar>
            <w:vAlign w:val="center"/>
            <w:hideMark/>
          </w:tcPr>
          <w:p w14:paraId="421AAAA0" w14:textId="77777777" w:rsidR="00BD5A33" w:rsidRPr="00BD5A33" w:rsidRDefault="00BD5A33" w:rsidP="00D062BF">
            <w:pPr>
              <w:pStyle w:val="NoSpacing"/>
              <w:rPr>
                <w:rFonts w:ascii="Arial" w:hAnsi="Arial" w:cs="Arial"/>
                <w:sz w:val="20"/>
                <w:szCs w:val="20"/>
              </w:rPr>
            </w:pPr>
          </w:p>
        </w:tc>
        <w:tc>
          <w:tcPr>
            <w:tcW w:w="1701" w:type="dxa"/>
            <w:gridSpan w:val="2"/>
            <w:tcBorders>
              <w:top w:val="single" w:sz="18" w:space="0" w:color="auto"/>
            </w:tcBorders>
            <w:tcMar>
              <w:top w:w="0" w:type="dxa"/>
              <w:left w:w="108" w:type="dxa"/>
              <w:bottom w:w="0" w:type="dxa"/>
              <w:right w:w="108" w:type="dxa"/>
            </w:tcMar>
            <w:vAlign w:val="center"/>
            <w:hideMark/>
          </w:tcPr>
          <w:p w14:paraId="1410A0C2" w14:textId="77777777" w:rsidR="00BD5A33" w:rsidRPr="00BD5A33" w:rsidRDefault="00BD5A33" w:rsidP="00D062BF">
            <w:pPr>
              <w:pStyle w:val="NoSpacing"/>
              <w:rPr>
                <w:rFonts w:ascii="Arial" w:hAnsi="Arial" w:cs="Arial"/>
                <w:sz w:val="20"/>
                <w:szCs w:val="20"/>
              </w:rPr>
            </w:pPr>
            <w:r w:rsidRPr="00BD5A33">
              <w:rPr>
                <w:rFonts w:ascii="Arial" w:hAnsi="Arial" w:cs="Arial"/>
                <w:b/>
                <w:bCs/>
                <w:sz w:val="20"/>
                <w:szCs w:val="20"/>
              </w:rPr>
              <w:t>Unstandardized</w:t>
            </w:r>
          </w:p>
          <w:p w14:paraId="5CF3E3C7" w14:textId="77777777" w:rsidR="00BD5A33" w:rsidRPr="00BD5A33" w:rsidRDefault="00BD5A33" w:rsidP="00D062BF">
            <w:pPr>
              <w:pStyle w:val="NoSpacing"/>
              <w:rPr>
                <w:rFonts w:ascii="Arial" w:hAnsi="Arial" w:cs="Arial"/>
                <w:sz w:val="20"/>
                <w:szCs w:val="20"/>
              </w:rPr>
            </w:pPr>
            <w:r w:rsidRPr="00BD5A33">
              <w:rPr>
                <w:rFonts w:ascii="Arial" w:hAnsi="Arial" w:cs="Arial"/>
                <w:b/>
                <w:bCs/>
                <w:sz w:val="20"/>
                <w:szCs w:val="20"/>
              </w:rPr>
              <w:t>Coefficients</w:t>
            </w:r>
          </w:p>
        </w:tc>
        <w:tc>
          <w:tcPr>
            <w:tcW w:w="2835" w:type="dxa"/>
            <w:gridSpan w:val="4"/>
            <w:tcBorders>
              <w:top w:val="single" w:sz="18" w:space="0" w:color="auto"/>
            </w:tcBorders>
            <w:tcMar>
              <w:top w:w="0" w:type="dxa"/>
              <w:left w:w="108" w:type="dxa"/>
              <w:bottom w:w="0" w:type="dxa"/>
              <w:right w:w="108" w:type="dxa"/>
            </w:tcMar>
            <w:vAlign w:val="center"/>
            <w:hideMark/>
          </w:tcPr>
          <w:p w14:paraId="13763711" w14:textId="77777777" w:rsidR="00BD5A33" w:rsidRPr="00BD5A33" w:rsidRDefault="00BD5A33" w:rsidP="00D062BF">
            <w:pPr>
              <w:pStyle w:val="NoSpacing"/>
              <w:rPr>
                <w:rFonts w:ascii="Arial" w:hAnsi="Arial" w:cs="Arial"/>
                <w:sz w:val="20"/>
                <w:szCs w:val="20"/>
              </w:rPr>
            </w:pPr>
            <w:r w:rsidRPr="00BD5A33">
              <w:rPr>
                <w:rFonts w:ascii="Arial" w:hAnsi="Arial" w:cs="Arial"/>
                <w:b/>
                <w:bCs/>
                <w:sz w:val="20"/>
                <w:szCs w:val="20"/>
              </w:rPr>
              <w:t>Standardized Coefficients</w:t>
            </w:r>
          </w:p>
        </w:tc>
        <w:tc>
          <w:tcPr>
            <w:tcW w:w="850" w:type="dxa"/>
            <w:tcBorders>
              <w:top w:val="single" w:sz="18" w:space="0" w:color="auto"/>
            </w:tcBorders>
            <w:tcMar>
              <w:top w:w="0" w:type="dxa"/>
              <w:left w:w="108" w:type="dxa"/>
              <w:bottom w:w="0" w:type="dxa"/>
              <w:right w:w="108" w:type="dxa"/>
            </w:tcMar>
            <w:hideMark/>
          </w:tcPr>
          <w:p w14:paraId="392B3EA0" w14:textId="77777777" w:rsidR="00BD5A33" w:rsidRPr="00BD5A33" w:rsidRDefault="00BD5A33" w:rsidP="00D062BF">
            <w:pPr>
              <w:pStyle w:val="NoSpacing"/>
              <w:rPr>
                <w:rFonts w:ascii="Arial" w:hAnsi="Arial" w:cs="Arial"/>
                <w:sz w:val="20"/>
                <w:szCs w:val="20"/>
              </w:rPr>
            </w:pPr>
          </w:p>
        </w:tc>
        <w:tc>
          <w:tcPr>
            <w:tcW w:w="1560" w:type="dxa"/>
            <w:tcBorders>
              <w:top w:val="single" w:sz="18" w:space="0" w:color="auto"/>
            </w:tcBorders>
            <w:tcMar>
              <w:top w:w="0" w:type="dxa"/>
              <w:left w:w="108" w:type="dxa"/>
              <w:bottom w:w="0" w:type="dxa"/>
              <w:right w:w="108" w:type="dxa"/>
            </w:tcMar>
            <w:hideMark/>
          </w:tcPr>
          <w:p w14:paraId="4B0E437C" w14:textId="77777777" w:rsidR="00BD5A33" w:rsidRPr="00BD5A33" w:rsidRDefault="00BD5A33" w:rsidP="00D062BF">
            <w:pPr>
              <w:pStyle w:val="NoSpacing"/>
              <w:rPr>
                <w:rFonts w:ascii="Arial" w:hAnsi="Arial" w:cs="Arial"/>
                <w:sz w:val="20"/>
                <w:szCs w:val="20"/>
              </w:rPr>
            </w:pPr>
          </w:p>
        </w:tc>
      </w:tr>
      <w:tr w:rsidR="00BD5A33" w:rsidRPr="00BD5A33" w14:paraId="07A8B0AC" w14:textId="77777777" w:rsidTr="00BD5A33">
        <w:trPr>
          <w:trHeight w:val="757"/>
        </w:trPr>
        <w:tc>
          <w:tcPr>
            <w:tcW w:w="1418" w:type="dxa"/>
            <w:gridSpan w:val="2"/>
            <w:tcMar>
              <w:top w:w="0" w:type="dxa"/>
              <w:left w:w="108" w:type="dxa"/>
              <w:bottom w:w="0" w:type="dxa"/>
              <w:right w:w="108" w:type="dxa"/>
            </w:tcMar>
            <w:vAlign w:val="center"/>
            <w:hideMark/>
          </w:tcPr>
          <w:p w14:paraId="1449739D" w14:textId="77777777" w:rsidR="00BD5A33" w:rsidRPr="00BD5A33" w:rsidRDefault="00BD5A33" w:rsidP="00D062BF">
            <w:pPr>
              <w:pStyle w:val="NoSpacing"/>
              <w:rPr>
                <w:rFonts w:ascii="Arial" w:hAnsi="Arial" w:cs="Arial"/>
                <w:sz w:val="20"/>
                <w:szCs w:val="20"/>
              </w:rPr>
            </w:pPr>
          </w:p>
        </w:tc>
        <w:tc>
          <w:tcPr>
            <w:tcW w:w="992" w:type="dxa"/>
            <w:tcBorders>
              <w:bottom w:val="single" w:sz="18" w:space="0" w:color="auto"/>
            </w:tcBorders>
            <w:tcMar>
              <w:top w:w="0" w:type="dxa"/>
              <w:left w:w="108" w:type="dxa"/>
              <w:bottom w:w="0" w:type="dxa"/>
              <w:right w:w="108" w:type="dxa"/>
            </w:tcMar>
            <w:vAlign w:val="center"/>
            <w:hideMark/>
          </w:tcPr>
          <w:p w14:paraId="60E4F8AB"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B</w:t>
            </w:r>
          </w:p>
        </w:tc>
        <w:tc>
          <w:tcPr>
            <w:tcW w:w="709" w:type="dxa"/>
            <w:tcBorders>
              <w:bottom w:val="single" w:sz="18" w:space="0" w:color="auto"/>
            </w:tcBorders>
            <w:tcMar>
              <w:top w:w="0" w:type="dxa"/>
              <w:left w:w="108" w:type="dxa"/>
              <w:bottom w:w="0" w:type="dxa"/>
              <w:right w:w="108" w:type="dxa"/>
            </w:tcMar>
            <w:vAlign w:val="center"/>
            <w:hideMark/>
          </w:tcPr>
          <w:p w14:paraId="4B249F86"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Std. Error</w:t>
            </w:r>
          </w:p>
        </w:tc>
        <w:tc>
          <w:tcPr>
            <w:tcW w:w="850" w:type="dxa"/>
            <w:tcBorders>
              <w:bottom w:val="single" w:sz="18" w:space="0" w:color="auto"/>
            </w:tcBorders>
            <w:tcMar>
              <w:top w:w="0" w:type="dxa"/>
              <w:left w:w="108" w:type="dxa"/>
              <w:bottom w:w="0" w:type="dxa"/>
              <w:right w:w="108" w:type="dxa"/>
            </w:tcMar>
            <w:vAlign w:val="center"/>
            <w:hideMark/>
          </w:tcPr>
          <w:p w14:paraId="5708A4A1"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Beta</w:t>
            </w:r>
          </w:p>
        </w:tc>
        <w:tc>
          <w:tcPr>
            <w:tcW w:w="709" w:type="dxa"/>
            <w:tcBorders>
              <w:bottom w:val="single" w:sz="18" w:space="0" w:color="auto"/>
            </w:tcBorders>
            <w:tcMar>
              <w:top w:w="0" w:type="dxa"/>
              <w:left w:w="108" w:type="dxa"/>
              <w:bottom w:w="0" w:type="dxa"/>
              <w:right w:w="108" w:type="dxa"/>
            </w:tcMar>
            <w:vAlign w:val="center"/>
            <w:hideMark/>
          </w:tcPr>
          <w:p w14:paraId="01A0A33D"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t</w:t>
            </w:r>
          </w:p>
        </w:tc>
        <w:tc>
          <w:tcPr>
            <w:tcW w:w="992" w:type="dxa"/>
            <w:tcBorders>
              <w:bottom w:val="single" w:sz="18" w:space="0" w:color="auto"/>
            </w:tcBorders>
            <w:tcMar>
              <w:top w:w="0" w:type="dxa"/>
              <w:left w:w="108" w:type="dxa"/>
              <w:bottom w:w="0" w:type="dxa"/>
              <w:right w:w="108" w:type="dxa"/>
            </w:tcMar>
            <w:vAlign w:val="center"/>
            <w:hideMark/>
          </w:tcPr>
          <w:p w14:paraId="0AA2FA1C"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Sig.</w:t>
            </w:r>
          </w:p>
        </w:tc>
        <w:tc>
          <w:tcPr>
            <w:tcW w:w="1134" w:type="dxa"/>
            <w:gridSpan w:val="2"/>
            <w:tcBorders>
              <w:bottom w:val="single" w:sz="18" w:space="0" w:color="auto"/>
            </w:tcBorders>
            <w:tcMar>
              <w:top w:w="0" w:type="dxa"/>
              <w:left w:w="108" w:type="dxa"/>
              <w:bottom w:w="0" w:type="dxa"/>
              <w:right w:w="108" w:type="dxa"/>
            </w:tcMar>
            <w:hideMark/>
          </w:tcPr>
          <w:p w14:paraId="2961B853" w14:textId="77777777" w:rsidR="00BD5A33" w:rsidRPr="00BD5A33" w:rsidRDefault="00BD5A33" w:rsidP="00D062BF">
            <w:pPr>
              <w:pStyle w:val="NoSpacing"/>
              <w:rPr>
                <w:rFonts w:ascii="Arial" w:hAnsi="Arial" w:cs="Arial"/>
                <w:b/>
                <w:bCs/>
                <w:sz w:val="20"/>
                <w:szCs w:val="20"/>
              </w:rPr>
            </w:pPr>
          </w:p>
          <w:p w14:paraId="24E91751"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 xml:space="preserve">Decision on </w:t>
            </w:r>
            <m:oMath>
              <m:sSub>
                <m:sSubPr>
                  <m:ctrlPr>
                    <w:rPr>
                      <w:rFonts w:ascii="Cambria Math" w:hAnsi="Cambria Math" w:cs="Arial"/>
                      <w:b/>
                      <w:bCs/>
                      <w:i/>
                      <w:sz w:val="20"/>
                      <w:szCs w:val="20"/>
                    </w:rPr>
                  </m:ctrlPr>
                </m:sSubPr>
                <m:e>
                  <m:r>
                    <m:rPr>
                      <m:sty m:val="bi"/>
                    </m:rPr>
                    <w:rPr>
                      <w:rFonts w:ascii="Cambria Math" w:hAnsi="Cambria Math" w:cs="Arial"/>
                      <w:sz w:val="20"/>
                      <w:szCs w:val="20"/>
                    </w:rPr>
                    <m:t>H</m:t>
                  </m:r>
                </m:e>
                <m:sub>
                  <m:r>
                    <m:rPr>
                      <m:sty m:val="bi"/>
                    </m:rPr>
                    <w:rPr>
                      <w:rFonts w:ascii="Cambria Math" w:hAnsi="Cambria Math" w:cs="Arial"/>
                      <w:sz w:val="20"/>
                      <w:szCs w:val="20"/>
                    </w:rPr>
                    <m:t>o</m:t>
                  </m:r>
                  <m:r>
                    <m:rPr>
                      <m:sty m:val="bi"/>
                    </m:rPr>
                    <w:rPr>
                      <w:rFonts w:ascii="Cambria Math" w:hAnsi="Cambria Math" w:cs="Arial"/>
                      <w:sz w:val="20"/>
                      <w:szCs w:val="20"/>
                    </w:rPr>
                    <m:t>2</m:t>
                  </m:r>
                </m:sub>
              </m:sSub>
            </m:oMath>
          </w:p>
        </w:tc>
        <w:tc>
          <w:tcPr>
            <w:tcW w:w="1560" w:type="dxa"/>
            <w:tcBorders>
              <w:bottom w:val="single" w:sz="18" w:space="0" w:color="auto"/>
            </w:tcBorders>
            <w:tcMar>
              <w:top w:w="0" w:type="dxa"/>
              <w:left w:w="108" w:type="dxa"/>
              <w:bottom w:w="0" w:type="dxa"/>
              <w:right w:w="108" w:type="dxa"/>
            </w:tcMar>
            <w:hideMark/>
          </w:tcPr>
          <w:p w14:paraId="1D304160" w14:textId="77777777" w:rsidR="00BD5A33" w:rsidRPr="00BD5A33" w:rsidRDefault="00BD5A33" w:rsidP="00D062BF">
            <w:pPr>
              <w:pStyle w:val="NoSpacing"/>
              <w:rPr>
                <w:rFonts w:ascii="Arial" w:hAnsi="Arial" w:cs="Arial"/>
                <w:b/>
                <w:bCs/>
                <w:sz w:val="20"/>
                <w:szCs w:val="20"/>
              </w:rPr>
            </w:pPr>
          </w:p>
          <w:p w14:paraId="5F48D1E2" w14:textId="77777777" w:rsidR="00BD5A33" w:rsidRPr="00BD5A33" w:rsidRDefault="00BD5A33" w:rsidP="00D062BF">
            <w:pPr>
              <w:pStyle w:val="NoSpacing"/>
              <w:jc w:val="center"/>
              <w:rPr>
                <w:rFonts w:ascii="Arial" w:hAnsi="Arial" w:cs="Arial"/>
                <w:b/>
                <w:bCs/>
                <w:sz w:val="20"/>
                <w:szCs w:val="20"/>
              </w:rPr>
            </w:pPr>
            <w:r w:rsidRPr="00BD5A33">
              <w:rPr>
                <w:rFonts w:ascii="Arial" w:hAnsi="Arial" w:cs="Arial"/>
                <w:b/>
                <w:bCs/>
                <w:sz w:val="20"/>
                <w:szCs w:val="20"/>
              </w:rPr>
              <w:t>Interpretation</w:t>
            </w:r>
          </w:p>
        </w:tc>
      </w:tr>
      <w:tr w:rsidR="00BD5A33" w:rsidRPr="00BD5A33" w14:paraId="3B7D64D5" w14:textId="77777777" w:rsidTr="00BD5A33">
        <w:trPr>
          <w:trHeight w:val="323"/>
        </w:trPr>
        <w:tc>
          <w:tcPr>
            <w:tcW w:w="1418" w:type="dxa"/>
            <w:gridSpan w:val="2"/>
            <w:tcMar>
              <w:top w:w="0" w:type="dxa"/>
              <w:left w:w="108" w:type="dxa"/>
              <w:bottom w:w="0" w:type="dxa"/>
              <w:right w:w="108" w:type="dxa"/>
            </w:tcMar>
          </w:tcPr>
          <w:p w14:paraId="6D8E5EF1" w14:textId="77777777" w:rsidR="00BD5A33" w:rsidRPr="00BD5A33" w:rsidRDefault="00BD5A33" w:rsidP="00D062BF">
            <w:pPr>
              <w:pStyle w:val="NoSpacing"/>
              <w:rPr>
                <w:rFonts w:ascii="Arial" w:eastAsia="Times New Roman" w:hAnsi="Arial" w:cs="Arial"/>
                <w:sz w:val="20"/>
                <w:szCs w:val="20"/>
              </w:rPr>
            </w:pPr>
            <w:r w:rsidRPr="00BD5A33">
              <w:rPr>
                <w:rFonts w:ascii="Arial" w:eastAsia="Times New Roman" w:hAnsi="Arial" w:cs="Arial"/>
                <w:sz w:val="20"/>
                <w:szCs w:val="20"/>
              </w:rPr>
              <w:t>Constant</w:t>
            </w:r>
          </w:p>
        </w:tc>
        <w:tc>
          <w:tcPr>
            <w:tcW w:w="992" w:type="dxa"/>
            <w:tcMar>
              <w:top w:w="0" w:type="dxa"/>
              <w:left w:w="108" w:type="dxa"/>
              <w:bottom w:w="0" w:type="dxa"/>
              <w:right w:w="108" w:type="dxa"/>
            </w:tcMar>
          </w:tcPr>
          <w:p w14:paraId="09DD470E" w14:textId="77777777" w:rsidR="00BD5A33" w:rsidRPr="00BD5A33" w:rsidRDefault="00BD5A33" w:rsidP="00D062BF">
            <w:pPr>
              <w:pStyle w:val="NoSpacing"/>
              <w:jc w:val="center"/>
              <w:rPr>
                <w:rFonts w:ascii="Cambria Math" w:hAnsi="Cambria Math" w:cs="Arial"/>
                <w:sz w:val="20"/>
                <w:szCs w:val="20"/>
                <w:oMath/>
              </w:rPr>
            </w:pPr>
            <w:r w:rsidRPr="00BD5A33">
              <w:rPr>
                <w:rFonts w:ascii="Arial" w:eastAsia="Times New Roman" w:hAnsi="Arial" w:cs="Arial"/>
                <w:sz w:val="20"/>
                <w:szCs w:val="20"/>
              </w:rPr>
              <w:t>.128</w:t>
            </w:r>
          </w:p>
        </w:tc>
        <w:tc>
          <w:tcPr>
            <w:tcW w:w="709" w:type="dxa"/>
            <w:tcBorders>
              <w:top w:val="single" w:sz="18" w:space="0" w:color="auto"/>
            </w:tcBorders>
            <w:tcMar>
              <w:top w:w="0" w:type="dxa"/>
              <w:left w:w="108" w:type="dxa"/>
              <w:bottom w:w="0" w:type="dxa"/>
              <w:right w:w="108" w:type="dxa"/>
            </w:tcMar>
          </w:tcPr>
          <w:p w14:paraId="08FB8F2C" w14:textId="77777777" w:rsidR="00BD5A33" w:rsidRPr="00BD5A33" w:rsidRDefault="00BD5A33" w:rsidP="00D062BF">
            <w:pPr>
              <w:pStyle w:val="NoSpacing"/>
              <w:jc w:val="center"/>
              <w:rPr>
                <w:rFonts w:ascii="Cambria Math" w:hAnsi="Cambria Math" w:cs="Arial"/>
                <w:sz w:val="20"/>
                <w:szCs w:val="20"/>
                <w:oMath/>
              </w:rPr>
            </w:pPr>
            <w:r w:rsidRPr="00BD5A33">
              <w:rPr>
                <w:rFonts w:ascii="Arial" w:eastAsia="Times New Roman" w:hAnsi="Arial" w:cs="Arial"/>
                <w:sz w:val="20"/>
                <w:szCs w:val="20"/>
              </w:rPr>
              <w:t>.332</w:t>
            </w:r>
          </w:p>
        </w:tc>
        <w:tc>
          <w:tcPr>
            <w:tcW w:w="850" w:type="dxa"/>
            <w:tcBorders>
              <w:top w:val="single" w:sz="18" w:space="0" w:color="auto"/>
            </w:tcBorders>
            <w:tcMar>
              <w:top w:w="0" w:type="dxa"/>
              <w:left w:w="108" w:type="dxa"/>
              <w:bottom w:w="0" w:type="dxa"/>
              <w:right w:w="108" w:type="dxa"/>
            </w:tcMar>
          </w:tcPr>
          <w:p w14:paraId="35B04F78" w14:textId="77777777" w:rsidR="00BD5A33" w:rsidRPr="00BD5A33" w:rsidRDefault="00BD5A33" w:rsidP="00D062BF">
            <w:pPr>
              <w:pStyle w:val="NoSpacing"/>
              <w:jc w:val="center"/>
              <w:rPr>
                <w:rFonts w:ascii="Cambria Math" w:eastAsia="Times New Roman" w:hAnsi="Cambria Math" w:cs="Arial"/>
                <w:sz w:val="20"/>
                <w:szCs w:val="20"/>
                <w:oMath/>
              </w:rPr>
            </w:pPr>
          </w:p>
        </w:tc>
        <w:tc>
          <w:tcPr>
            <w:tcW w:w="709" w:type="dxa"/>
            <w:tcBorders>
              <w:top w:val="single" w:sz="18" w:space="0" w:color="auto"/>
            </w:tcBorders>
            <w:tcMar>
              <w:top w:w="0" w:type="dxa"/>
              <w:left w:w="108" w:type="dxa"/>
              <w:bottom w:w="0" w:type="dxa"/>
              <w:right w:w="108" w:type="dxa"/>
            </w:tcMar>
          </w:tcPr>
          <w:p w14:paraId="47E5892F" w14:textId="77777777" w:rsidR="00BD5A33" w:rsidRPr="00BD5A33" w:rsidRDefault="00BD5A33" w:rsidP="00D062BF">
            <w:pPr>
              <w:pStyle w:val="NoSpacing"/>
              <w:jc w:val="center"/>
              <w:rPr>
                <w:rFonts w:ascii="Cambria Math" w:hAnsi="Cambria Math" w:cs="Arial"/>
                <w:sz w:val="20"/>
                <w:szCs w:val="20"/>
                <w:oMath/>
              </w:rPr>
            </w:pPr>
            <w:r w:rsidRPr="00BD5A33">
              <w:rPr>
                <w:rFonts w:ascii="Arial" w:eastAsia="Times New Roman" w:hAnsi="Arial" w:cs="Arial"/>
                <w:sz w:val="20"/>
                <w:szCs w:val="20"/>
              </w:rPr>
              <w:t>.384</w:t>
            </w:r>
          </w:p>
        </w:tc>
        <w:tc>
          <w:tcPr>
            <w:tcW w:w="1276" w:type="dxa"/>
            <w:gridSpan w:val="2"/>
            <w:tcBorders>
              <w:top w:val="single" w:sz="18" w:space="0" w:color="auto"/>
            </w:tcBorders>
            <w:tcMar>
              <w:top w:w="0" w:type="dxa"/>
              <w:left w:w="108" w:type="dxa"/>
              <w:bottom w:w="0" w:type="dxa"/>
              <w:right w:w="108" w:type="dxa"/>
            </w:tcMar>
          </w:tcPr>
          <w:p w14:paraId="4BCC9AB4" w14:textId="77777777" w:rsidR="00BD5A33" w:rsidRPr="00BD5A33" w:rsidRDefault="00BD5A33" w:rsidP="00D062BF">
            <w:pPr>
              <w:pStyle w:val="NoSpacing"/>
              <w:jc w:val="center"/>
              <w:rPr>
                <w:rFonts w:ascii="Cambria Math" w:hAnsi="Cambria Math" w:cs="Arial"/>
                <w:sz w:val="20"/>
                <w:szCs w:val="20"/>
                <w:oMath/>
              </w:rPr>
            </w:pPr>
            <m:oMathPara>
              <m:oMath>
                <m:r>
                  <w:rPr>
                    <w:rFonts w:ascii="Cambria Math" w:hAnsi="Cambria Math" w:cs="Arial"/>
                    <w:sz w:val="20"/>
                    <w:szCs w:val="20"/>
                  </w:rPr>
                  <m:t>.702</m:t>
                </m:r>
              </m:oMath>
            </m:oMathPara>
          </w:p>
        </w:tc>
        <w:tc>
          <w:tcPr>
            <w:tcW w:w="850" w:type="dxa"/>
            <w:tcBorders>
              <w:top w:val="single" w:sz="18" w:space="0" w:color="auto"/>
            </w:tcBorders>
            <w:tcMar>
              <w:top w:w="0" w:type="dxa"/>
              <w:left w:w="108" w:type="dxa"/>
              <w:bottom w:w="0" w:type="dxa"/>
              <w:right w:w="108" w:type="dxa"/>
            </w:tcMar>
            <w:vAlign w:val="center"/>
          </w:tcPr>
          <w:p w14:paraId="0357C1F0" w14:textId="77777777" w:rsidR="00BD5A33" w:rsidRPr="00BD5A33" w:rsidRDefault="00BD5A33" w:rsidP="00D062BF">
            <w:pPr>
              <w:pStyle w:val="NoSpacing"/>
              <w:jc w:val="center"/>
              <w:rPr>
                <w:rFonts w:ascii="Arial" w:eastAsia="Times New Roman" w:hAnsi="Arial" w:cs="Arial"/>
                <w:sz w:val="20"/>
                <w:szCs w:val="20"/>
              </w:rPr>
            </w:pPr>
          </w:p>
          <w:p w14:paraId="58B7BFCB" w14:textId="77777777" w:rsidR="00BD5A33" w:rsidRPr="00BD5A33" w:rsidRDefault="00BD5A33" w:rsidP="00D062BF">
            <w:pPr>
              <w:pStyle w:val="NoSpacing"/>
              <w:jc w:val="center"/>
              <w:rPr>
                <w:rFonts w:ascii="Arial" w:eastAsia="Times New Roman" w:hAnsi="Arial" w:cs="Arial"/>
                <w:sz w:val="20"/>
                <w:szCs w:val="20"/>
              </w:rPr>
            </w:pPr>
          </w:p>
        </w:tc>
        <w:tc>
          <w:tcPr>
            <w:tcW w:w="1560" w:type="dxa"/>
            <w:tcBorders>
              <w:top w:val="single" w:sz="18" w:space="0" w:color="auto"/>
            </w:tcBorders>
            <w:tcMar>
              <w:top w:w="0" w:type="dxa"/>
              <w:left w:w="108" w:type="dxa"/>
              <w:bottom w:w="0" w:type="dxa"/>
              <w:right w:w="108" w:type="dxa"/>
            </w:tcMar>
            <w:vAlign w:val="center"/>
          </w:tcPr>
          <w:p w14:paraId="1C45C403" w14:textId="77777777" w:rsidR="00BD5A33" w:rsidRPr="00BD5A33" w:rsidRDefault="00BD5A33" w:rsidP="00D062BF">
            <w:pPr>
              <w:pStyle w:val="NoSpacing"/>
              <w:jc w:val="center"/>
              <w:rPr>
                <w:rFonts w:ascii="Arial" w:eastAsia="Times New Roman" w:hAnsi="Arial" w:cs="Arial"/>
                <w:sz w:val="20"/>
                <w:szCs w:val="20"/>
              </w:rPr>
            </w:pPr>
          </w:p>
        </w:tc>
      </w:tr>
      <w:tr w:rsidR="00BD5A33" w:rsidRPr="00BD5A33" w14:paraId="4EF631F4" w14:textId="77777777" w:rsidTr="00BD5A33">
        <w:trPr>
          <w:trHeight w:val="701"/>
        </w:trPr>
        <w:tc>
          <w:tcPr>
            <w:tcW w:w="1418" w:type="dxa"/>
            <w:gridSpan w:val="2"/>
            <w:tcMar>
              <w:top w:w="0" w:type="dxa"/>
              <w:left w:w="108" w:type="dxa"/>
              <w:bottom w:w="0" w:type="dxa"/>
              <w:right w:w="108" w:type="dxa"/>
            </w:tcMar>
          </w:tcPr>
          <w:p w14:paraId="54920CA1" w14:textId="77777777" w:rsidR="00BD5A33" w:rsidRPr="00BD5A33" w:rsidRDefault="00BD5A33" w:rsidP="00D062BF">
            <w:pPr>
              <w:pStyle w:val="NoSpacing"/>
              <w:rPr>
                <w:rFonts w:ascii="Arial" w:eastAsia="Times New Roman" w:hAnsi="Arial" w:cs="Arial"/>
                <w:sz w:val="20"/>
                <w:szCs w:val="20"/>
              </w:rPr>
            </w:pPr>
            <w:r w:rsidRPr="00BD5A33">
              <w:rPr>
                <w:rFonts w:ascii="Arial" w:hAnsi="Arial" w:cs="Arial"/>
                <w:sz w:val="20"/>
                <w:szCs w:val="20"/>
              </w:rPr>
              <w:t>Classroom Environment</w:t>
            </w:r>
            <w:r w:rsidRPr="00BD5A33">
              <w:rPr>
                <w:rFonts w:ascii="Arial" w:eastAsia="Times New Roman" w:hAnsi="Arial" w:cs="Arial"/>
                <w:sz w:val="20"/>
                <w:szCs w:val="20"/>
              </w:rPr>
              <w:t xml:space="preserve"> </w:t>
            </w:r>
          </w:p>
        </w:tc>
        <w:tc>
          <w:tcPr>
            <w:tcW w:w="992" w:type="dxa"/>
            <w:tcMar>
              <w:top w:w="0" w:type="dxa"/>
              <w:left w:w="108" w:type="dxa"/>
              <w:bottom w:w="0" w:type="dxa"/>
              <w:right w:w="108" w:type="dxa"/>
            </w:tcMar>
          </w:tcPr>
          <w:p w14:paraId="01FB60BF" w14:textId="77777777" w:rsidR="00BD5A33" w:rsidRPr="00BD5A33" w:rsidRDefault="00BD5A33" w:rsidP="00D062BF">
            <w:pPr>
              <w:pStyle w:val="NoSpacing"/>
              <w:jc w:val="center"/>
              <w:rPr>
                <w:rFonts w:ascii="Arial" w:eastAsia="Times New Roman" w:hAnsi="Arial" w:cs="Arial"/>
                <w:sz w:val="20"/>
                <w:szCs w:val="20"/>
              </w:rPr>
            </w:pPr>
          </w:p>
          <w:p w14:paraId="23BB3437" w14:textId="77777777" w:rsidR="00BD5A33" w:rsidRPr="00BD5A33" w:rsidRDefault="00BD5A33" w:rsidP="00D062BF">
            <w:pPr>
              <w:pStyle w:val="NoSpacing"/>
              <w:jc w:val="center"/>
              <w:rPr>
                <w:rFonts w:ascii="Cambria Math" w:hAnsi="Cambria Math" w:cs="Arial"/>
                <w:sz w:val="20"/>
                <w:szCs w:val="20"/>
                <w:oMath/>
              </w:rPr>
            </w:pPr>
            <m:oMathPara>
              <m:oMath>
                <m:r>
                  <w:rPr>
                    <w:rFonts w:ascii="Cambria Math" w:eastAsia="Times New Roman" w:hAnsi="Cambria Math" w:cs="Arial"/>
                    <w:sz w:val="20"/>
                    <w:szCs w:val="20"/>
                  </w:rPr>
                  <m:t>.234</m:t>
                </m:r>
              </m:oMath>
            </m:oMathPara>
          </w:p>
        </w:tc>
        <w:tc>
          <w:tcPr>
            <w:tcW w:w="709" w:type="dxa"/>
            <w:tcMar>
              <w:top w:w="0" w:type="dxa"/>
              <w:left w:w="108" w:type="dxa"/>
              <w:bottom w:w="0" w:type="dxa"/>
              <w:right w:w="108" w:type="dxa"/>
            </w:tcMar>
          </w:tcPr>
          <w:p w14:paraId="5FCED7A1" w14:textId="77777777" w:rsidR="00BD5A33" w:rsidRPr="00BD5A33" w:rsidRDefault="00BD5A33" w:rsidP="00D062BF">
            <w:pPr>
              <w:pStyle w:val="NoSpacing"/>
              <w:jc w:val="center"/>
              <w:rPr>
                <w:rFonts w:ascii="Arial" w:eastAsia="Times New Roman" w:hAnsi="Arial" w:cs="Arial"/>
                <w:sz w:val="20"/>
                <w:szCs w:val="20"/>
              </w:rPr>
            </w:pPr>
          </w:p>
          <w:p w14:paraId="1D332E6E" w14:textId="77777777" w:rsidR="00BD5A33" w:rsidRPr="00BD5A33" w:rsidRDefault="00BD5A33" w:rsidP="00D062BF">
            <w:pPr>
              <w:pStyle w:val="NoSpacing"/>
              <w:jc w:val="center"/>
              <w:rPr>
                <w:rFonts w:ascii="Cambria Math" w:hAnsi="Cambria Math" w:cs="Arial"/>
                <w:sz w:val="20"/>
                <w:szCs w:val="20"/>
                <w:oMath/>
              </w:rPr>
            </w:pPr>
            <m:oMathPara>
              <m:oMath>
                <m:r>
                  <w:rPr>
                    <w:rFonts w:ascii="Cambria Math" w:eastAsia="Times New Roman" w:hAnsi="Cambria Math" w:cs="Arial"/>
                    <w:sz w:val="20"/>
                    <w:szCs w:val="20"/>
                  </w:rPr>
                  <m:t>.095</m:t>
                </m:r>
              </m:oMath>
            </m:oMathPara>
          </w:p>
        </w:tc>
        <w:tc>
          <w:tcPr>
            <w:tcW w:w="850" w:type="dxa"/>
            <w:tcMar>
              <w:top w:w="0" w:type="dxa"/>
              <w:left w:w="108" w:type="dxa"/>
              <w:bottom w:w="0" w:type="dxa"/>
              <w:right w:w="108" w:type="dxa"/>
            </w:tcMar>
          </w:tcPr>
          <w:p w14:paraId="4F88FDDD" w14:textId="77777777" w:rsidR="00BD5A33" w:rsidRPr="00BD5A33" w:rsidRDefault="00BD5A33" w:rsidP="00D062BF">
            <w:pPr>
              <w:pStyle w:val="NoSpacing"/>
              <w:jc w:val="center"/>
              <w:rPr>
                <w:rFonts w:ascii="Arial" w:eastAsia="Times New Roman" w:hAnsi="Arial" w:cs="Arial"/>
                <w:sz w:val="20"/>
                <w:szCs w:val="20"/>
              </w:rPr>
            </w:pPr>
          </w:p>
          <w:p w14:paraId="557FE133" w14:textId="77777777" w:rsidR="00BD5A33" w:rsidRPr="00BD5A33" w:rsidRDefault="00BD5A33" w:rsidP="00D062BF">
            <w:pPr>
              <w:pStyle w:val="NoSpacing"/>
              <w:jc w:val="center"/>
              <w:rPr>
                <w:rFonts w:ascii="Cambria Math" w:eastAsia="Times New Roman" w:hAnsi="Cambria Math" w:cs="Arial"/>
                <w:sz w:val="20"/>
                <w:szCs w:val="20"/>
                <w:oMath/>
              </w:rPr>
            </w:pPr>
            <m:oMathPara>
              <m:oMath>
                <m:r>
                  <w:rPr>
                    <w:rFonts w:ascii="Cambria Math" w:eastAsia="Times New Roman" w:hAnsi="Cambria Math" w:cs="Arial"/>
                    <w:sz w:val="20"/>
                    <w:szCs w:val="20"/>
                  </w:rPr>
                  <m:t>.173</m:t>
                </m:r>
              </m:oMath>
            </m:oMathPara>
          </w:p>
        </w:tc>
        <w:tc>
          <w:tcPr>
            <w:tcW w:w="709" w:type="dxa"/>
            <w:tcMar>
              <w:top w:w="0" w:type="dxa"/>
              <w:left w:w="108" w:type="dxa"/>
              <w:bottom w:w="0" w:type="dxa"/>
              <w:right w:w="108" w:type="dxa"/>
            </w:tcMar>
          </w:tcPr>
          <w:p w14:paraId="25EF3A2B" w14:textId="77777777" w:rsidR="00BD5A33" w:rsidRPr="00BD5A33" w:rsidRDefault="00BD5A33" w:rsidP="00D062BF">
            <w:pPr>
              <w:pStyle w:val="NoSpacing"/>
              <w:jc w:val="center"/>
              <w:rPr>
                <w:rFonts w:ascii="Arial" w:eastAsia="Times New Roman" w:hAnsi="Arial" w:cs="Arial"/>
                <w:sz w:val="20"/>
                <w:szCs w:val="20"/>
              </w:rPr>
            </w:pPr>
          </w:p>
          <w:p w14:paraId="659758E3" w14:textId="77777777" w:rsidR="00BD5A33" w:rsidRPr="00BD5A33" w:rsidRDefault="00BD5A33" w:rsidP="00D062BF">
            <w:pPr>
              <w:pStyle w:val="NoSpacing"/>
              <w:jc w:val="center"/>
              <w:rPr>
                <w:rFonts w:ascii="Cambria Math" w:hAnsi="Cambria Math" w:cs="Arial"/>
                <w:sz w:val="20"/>
                <w:szCs w:val="20"/>
                <w:oMath/>
              </w:rPr>
            </w:pPr>
            <m:oMathPara>
              <m:oMath>
                <m:r>
                  <w:rPr>
                    <w:rFonts w:ascii="Cambria Math" w:eastAsia="Times New Roman" w:hAnsi="Cambria Math" w:cs="Arial"/>
                    <w:sz w:val="20"/>
                    <w:szCs w:val="20"/>
                  </w:rPr>
                  <m:t>2.456</m:t>
                </m:r>
              </m:oMath>
            </m:oMathPara>
          </w:p>
        </w:tc>
        <w:tc>
          <w:tcPr>
            <w:tcW w:w="1276" w:type="dxa"/>
            <w:gridSpan w:val="2"/>
            <w:tcMar>
              <w:top w:w="0" w:type="dxa"/>
              <w:left w:w="108" w:type="dxa"/>
              <w:bottom w:w="0" w:type="dxa"/>
              <w:right w:w="108" w:type="dxa"/>
            </w:tcMar>
          </w:tcPr>
          <w:p w14:paraId="7A39F16D" w14:textId="77777777" w:rsidR="00BD5A33" w:rsidRPr="00BD5A33" w:rsidRDefault="00BD5A33" w:rsidP="00D062BF">
            <w:pPr>
              <w:pStyle w:val="NoSpacing"/>
              <w:jc w:val="center"/>
              <w:rPr>
                <w:rFonts w:ascii="Arial" w:eastAsia="Times New Roman" w:hAnsi="Arial" w:cs="Arial"/>
                <w:sz w:val="20"/>
                <w:szCs w:val="20"/>
              </w:rPr>
            </w:pPr>
          </w:p>
          <w:p w14:paraId="1BEFD132" w14:textId="77777777" w:rsidR="00BD5A33" w:rsidRPr="00BD5A33" w:rsidRDefault="00BD5A33" w:rsidP="00D062BF">
            <w:pPr>
              <w:pStyle w:val="NoSpacing"/>
              <w:jc w:val="center"/>
              <w:rPr>
                <w:rFonts w:ascii="Cambria Math" w:hAnsi="Cambria Math" w:cs="Arial"/>
                <w:sz w:val="20"/>
                <w:szCs w:val="20"/>
                <w:oMath/>
              </w:rPr>
            </w:pPr>
            <m:oMathPara>
              <m:oMath>
                <m:r>
                  <w:rPr>
                    <w:rFonts w:ascii="Cambria Math" w:hAnsi="Cambria Math" w:cs="Arial"/>
                    <w:sz w:val="20"/>
                    <w:szCs w:val="20"/>
                  </w:rPr>
                  <m:t>.016</m:t>
                </m:r>
              </m:oMath>
            </m:oMathPara>
          </w:p>
        </w:tc>
        <w:tc>
          <w:tcPr>
            <w:tcW w:w="850" w:type="dxa"/>
            <w:tcMar>
              <w:top w:w="0" w:type="dxa"/>
              <w:left w:w="108" w:type="dxa"/>
              <w:bottom w:w="0" w:type="dxa"/>
              <w:right w:w="108" w:type="dxa"/>
            </w:tcMar>
            <w:vAlign w:val="center"/>
          </w:tcPr>
          <w:p w14:paraId="5A392289" w14:textId="77777777" w:rsidR="00BD5A33" w:rsidRPr="00BD5A33" w:rsidRDefault="00BD5A33" w:rsidP="00BD5A33">
            <w:pPr>
              <w:pStyle w:val="Quote"/>
              <w:jc w:val="left"/>
              <w:rPr>
                <w:rFonts w:ascii="Arial" w:hAnsi="Arial" w:cs="Arial"/>
                <w:i w:val="0"/>
                <w:iCs w:val="0"/>
                <w:color w:val="auto"/>
                <w:sz w:val="20"/>
                <w:szCs w:val="20"/>
              </w:rPr>
            </w:pPr>
            <w:r w:rsidRPr="00BD5A33">
              <w:rPr>
                <w:rFonts w:ascii="Arial" w:hAnsi="Arial" w:cs="Arial"/>
                <w:i w:val="0"/>
                <w:iCs w:val="0"/>
                <w:color w:val="auto"/>
                <w:sz w:val="20"/>
                <w:szCs w:val="20"/>
              </w:rPr>
              <w:t>Reject</w:t>
            </w:r>
          </w:p>
        </w:tc>
        <w:tc>
          <w:tcPr>
            <w:tcW w:w="1560" w:type="dxa"/>
            <w:tcMar>
              <w:top w:w="0" w:type="dxa"/>
              <w:left w:w="108" w:type="dxa"/>
              <w:bottom w:w="0" w:type="dxa"/>
              <w:right w:w="108" w:type="dxa"/>
            </w:tcMar>
            <w:vAlign w:val="center"/>
          </w:tcPr>
          <w:p w14:paraId="5CEEC486" w14:textId="77777777" w:rsidR="00BD5A33" w:rsidRPr="00BD5A33" w:rsidRDefault="00BD5A33" w:rsidP="00D062BF">
            <w:pPr>
              <w:pStyle w:val="Quote"/>
              <w:rPr>
                <w:rFonts w:ascii="Arial" w:hAnsi="Arial" w:cs="Arial"/>
                <w:i w:val="0"/>
                <w:iCs w:val="0"/>
                <w:color w:val="auto"/>
                <w:sz w:val="20"/>
                <w:szCs w:val="20"/>
              </w:rPr>
            </w:pPr>
            <w:r w:rsidRPr="00BD5A33">
              <w:rPr>
                <w:rFonts w:ascii="Arial" w:hAnsi="Arial" w:cs="Arial"/>
                <w:i w:val="0"/>
                <w:iCs w:val="0"/>
                <w:color w:val="auto"/>
                <w:sz w:val="20"/>
                <w:szCs w:val="20"/>
              </w:rPr>
              <w:t>Significant</w:t>
            </w:r>
          </w:p>
        </w:tc>
      </w:tr>
      <w:tr w:rsidR="00BD5A33" w:rsidRPr="00BD5A33" w14:paraId="79286F4D" w14:textId="77777777" w:rsidTr="00BD5A33">
        <w:trPr>
          <w:trHeight w:val="444"/>
        </w:trPr>
        <w:tc>
          <w:tcPr>
            <w:tcW w:w="1418" w:type="dxa"/>
            <w:gridSpan w:val="2"/>
            <w:tcBorders>
              <w:bottom w:val="single" w:sz="18" w:space="0" w:color="auto"/>
            </w:tcBorders>
            <w:tcMar>
              <w:top w:w="0" w:type="dxa"/>
              <w:left w:w="108" w:type="dxa"/>
              <w:bottom w:w="0" w:type="dxa"/>
              <w:right w:w="108" w:type="dxa"/>
            </w:tcMar>
          </w:tcPr>
          <w:p w14:paraId="55E73F59" w14:textId="77777777" w:rsidR="00BD5A33" w:rsidRPr="00BD5A33" w:rsidRDefault="00BD5A33" w:rsidP="00D062BF">
            <w:pPr>
              <w:pStyle w:val="NoSpacing"/>
              <w:jc w:val="both"/>
              <w:rPr>
                <w:rFonts w:ascii="Arial" w:eastAsia="Times New Roman" w:hAnsi="Arial" w:cs="Arial"/>
                <w:sz w:val="20"/>
                <w:szCs w:val="20"/>
              </w:rPr>
            </w:pPr>
            <w:r w:rsidRPr="00BD5A33">
              <w:rPr>
                <w:rFonts w:ascii="Arial" w:hAnsi="Arial" w:cs="Arial"/>
                <w:sz w:val="20"/>
                <w:szCs w:val="20"/>
              </w:rPr>
              <w:t>Teaching Attitude</w:t>
            </w:r>
            <w:r w:rsidRPr="00BD5A33">
              <w:rPr>
                <w:rFonts w:ascii="Arial" w:eastAsia="Times New Roman" w:hAnsi="Arial" w:cs="Arial"/>
                <w:sz w:val="20"/>
                <w:szCs w:val="20"/>
              </w:rPr>
              <w:t xml:space="preserve"> </w:t>
            </w:r>
          </w:p>
          <w:p w14:paraId="23760DC7" w14:textId="77777777" w:rsidR="00BD5A33" w:rsidRPr="00BD5A33" w:rsidRDefault="00BD5A33" w:rsidP="00D062BF">
            <w:pPr>
              <w:pStyle w:val="NoSpacing"/>
              <w:jc w:val="both"/>
              <w:rPr>
                <w:rFonts w:ascii="Arial" w:eastAsia="Times New Roman" w:hAnsi="Arial" w:cs="Arial"/>
                <w:sz w:val="20"/>
                <w:szCs w:val="20"/>
              </w:rPr>
            </w:pPr>
          </w:p>
        </w:tc>
        <w:tc>
          <w:tcPr>
            <w:tcW w:w="992" w:type="dxa"/>
            <w:tcBorders>
              <w:bottom w:val="single" w:sz="18" w:space="0" w:color="auto"/>
            </w:tcBorders>
            <w:tcMar>
              <w:top w:w="0" w:type="dxa"/>
              <w:left w:w="108" w:type="dxa"/>
              <w:bottom w:w="0" w:type="dxa"/>
              <w:right w:w="108" w:type="dxa"/>
            </w:tcMar>
          </w:tcPr>
          <w:p w14:paraId="02FB59F9" w14:textId="77777777" w:rsidR="00BD5A33" w:rsidRPr="00BD5A33" w:rsidRDefault="00BD5A33" w:rsidP="00D062BF">
            <w:pPr>
              <w:pStyle w:val="Quote"/>
              <w:rPr>
                <w:rFonts w:ascii="Cambria Math" w:hAnsi="Cambria Math" w:cs="Arial"/>
                <w:color w:val="auto"/>
                <w:sz w:val="20"/>
                <w:szCs w:val="20"/>
                <w:oMath/>
              </w:rPr>
            </w:pPr>
            <m:oMathPara>
              <m:oMath>
                <m:r>
                  <w:rPr>
                    <w:rFonts w:ascii="Cambria Math" w:hAnsi="Cambria Math" w:cs="Arial"/>
                    <w:color w:val="auto"/>
                    <w:sz w:val="20"/>
                    <w:szCs w:val="20"/>
                  </w:rPr>
                  <m:t>.798</m:t>
                </m:r>
              </m:oMath>
            </m:oMathPara>
          </w:p>
        </w:tc>
        <w:tc>
          <w:tcPr>
            <w:tcW w:w="709" w:type="dxa"/>
            <w:tcBorders>
              <w:bottom w:val="single" w:sz="18" w:space="0" w:color="auto"/>
            </w:tcBorders>
            <w:tcMar>
              <w:top w:w="0" w:type="dxa"/>
              <w:left w:w="108" w:type="dxa"/>
              <w:bottom w:w="0" w:type="dxa"/>
              <w:right w:w="108" w:type="dxa"/>
            </w:tcMar>
          </w:tcPr>
          <w:p w14:paraId="7FB74E4A" w14:textId="77777777" w:rsidR="00BD5A33" w:rsidRPr="00BD5A33" w:rsidRDefault="00BD5A33" w:rsidP="00D062BF">
            <w:pPr>
              <w:pStyle w:val="Quote"/>
              <w:rPr>
                <w:rFonts w:ascii="Cambria Math" w:hAnsi="Cambria Math" w:cs="Arial"/>
                <w:color w:val="auto"/>
                <w:sz w:val="20"/>
                <w:szCs w:val="20"/>
                <w:oMath/>
              </w:rPr>
            </w:pPr>
            <m:oMathPara>
              <m:oMath>
                <m:r>
                  <w:rPr>
                    <w:rFonts w:ascii="Cambria Math" w:hAnsi="Cambria Math" w:cs="Arial"/>
                    <w:color w:val="auto"/>
                    <w:sz w:val="20"/>
                    <w:szCs w:val="20"/>
                  </w:rPr>
                  <m:t>.077</m:t>
                </m:r>
              </m:oMath>
            </m:oMathPara>
          </w:p>
        </w:tc>
        <w:tc>
          <w:tcPr>
            <w:tcW w:w="850" w:type="dxa"/>
            <w:tcBorders>
              <w:bottom w:val="single" w:sz="18" w:space="0" w:color="auto"/>
            </w:tcBorders>
            <w:tcMar>
              <w:top w:w="0" w:type="dxa"/>
              <w:left w:w="108" w:type="dxa"/>
              <w:bottom w:w="0" w:type="dxa"/>
              <w:right w:w="108" w:type="dxa"/>
            </w:tcMar>
          </w:tcPr>
          <w:p w14:paraId="36436CDD" w14:textId="77777777" w:rsidR="00BD5A33" w:rsidRPr="00BD5A33" w:rsidRDefault="00BD5A33" w:rsidP="00D062BF">
            <w:pPr>
              <w:pStyle w:val="Quote"/>
              <w:rPr>
                <w:rFonts w:ascii="Cambria Math" w:hAnsi="Cambria Math" w:cs="Arial"/>
                <w:color w:val="auto"/>
                <w:sz w:val="20"/>
                <w:szCs w:val="20"/>
                <w:oMath/>
              </w:rPr>
            </w:pPr>
            <m:oMathPara>
              <m:oMath>
                <m:r>
                  <w:rPr>
                    <w:rFonts w:ascii="Cambria Math" w:hAnsi="Cambria Math" w:cs="Arial"/>
                    <w:color w:val="auto"/>
                    <w:sz w:val="20"/>
                    <w:szCs w:val="20"/>
                  </w:rPr>
                  <m:t>.728</m:t>
                </m:r>
              </m:oMath>
            </m:oMathPara>
          </w:p>
        </w:tc>
        <w:tc>
          <w:tcPr>
            <w:tcW w:w="709" w:type="dxa"/>
            <w:tcBorders>
              <w:bottom w:val="single" w:sz="18" w:space="0" w:color="auto"/>
            </w:tcBorders>
            <w:tcMar>
              <w:top w:w="0" w:type="dxa"/>
              <w:left w:w="108" w:type="dxa"/>
              <w:bottom w:w="0" w:type="dxa"/>
              <w:right w:w="108" w:type="dxa"/>
            </w:tcMar>
          </w:tcPr>
          <w:p w14:paraId="53B42E21" w14:textId="77777777" w:rsidR="00BD5A33" w:rsidRPr="00BD5A33" w:rsidRDefault="00BD5A33" w:rsidP="00D062BF">
            <w:pPr>
              <w:pStyle w:val="Quote"/>
              <w:rPr>
                <w:rFonts w:ascii="Cambria Math" w:hAnsi="Cambria Math" w:cs="Arial"/>
                <w:color w:val="auto"/>
                <w:sz w:val="20"/>
                <w:szCs w:val="20"/>
                <w:oMath/>
              </w:rPr>
            </w:pPr>
            <m:oMathPara>
              <m:oMath>
                <m:r>
                  <w:rPr>
                    <w:rFonts w:ascii="Cambria Math" w:hAnsi="Cambria Math" w:cs="Arial"/>
                    <w:color w:val="auto"/>
                    <w:sz w:val="20"/>
                    <w:szCs w:val="20"/>
                  </w:rPr>
                  <m:t>10.323</m:t>
                </m:r>
              </m:oMath>
            </m:oMathPara>
          </w:p>
        </w:tc>
        <w:tc>
          <w:tcPr>
            <w:tcW w:w="1276" w:type="dxa"/>
            <w:gridSpan w:val="2"/>
            <w:tcBorders>
              <w:bottom w:val="single" w:sz="18" w:space="0" w:color="auto"/>
            </w:tcBorders>
            <w:tcMar>
              <w:top w:w="0" w:type="dxa"/>
              <w:left w:w="108" w:type="dxa"/>
              <w:bottom w:w="0" w:type="dxa"/>
              <w:right w:w="108" w:type="dxa"/>
            </w:tcMar>
          </w:tcPr>
          <w:p w14:paraId="425A8BA5" w14:textId="77777777" w:rsidR="00BD5A33" w:rsidRPr="00BD5A33" w:rsidRDefault="00BD5A33" w:rsidP="00D062BF">
            <w:pPr>
              <w:pStyle w:val="Quote"/>
              <w:rPr>
                <w:rFonts w:ascii="Cambria Math" w:hAnsi="Cambria Math" w:cs="Arial"/>
                <w:color w:val="auto"/>
                <w:sz w:val="20"/>
                <w:szCs w:val="20"/>
                <w:oMath/>
              </w:rPr>
            </w:pPr>
            <m:oMathPara>
              <m:oMath>
                <m:r>
                  <w:rPr>
                    <w:rFonts w:ascii="Cambria Math" w:hAnsi="Cambria Math" w:cs="Arial"/>
                    <w:color w:val="auto"/>
                    <w:sz w:val="20"/>
                    <w:szCs w:val="20"/>
                  </w:rPr>
                  <m:t>.000</m:t>
                </m:r>
              </m:oMath>
            </m:oMathPara>
          </w:p>
        </w:tc>
        <w:tc>
          <w:tcPr>
            <w:tcW w:w="850" w:type="dxa"/>
            <w:tcBorders>
              <w:bottom w:val="single" w:sz="18" w:space="0" w:color="auto"/>
            </w:tcBorders>
            <w:tcMar>
              <w:top w:w="0" w:type="dxa"/>
              <w:left w:w="108" w:type="dxa"/>
              <w:bottom w:w="0" w:type="dxa"/>
              <w:right w:w="108" w:type="dxa"/>
            </w:tcMar>
            <w:vAlign w:val="center"/>
          </w:tcPr>
          <w:p w14:paraId="26AC02BF" w14:textId="77777777" w:rsidR="00BD5A33" w:rsidRPr="00BD5A33" w:rsidRDefault="00BD5A33" w:rsidP="00BD5A33">
            <w:pPr>
              <w:pStyle w:val="Quote"/>
              <w:jc w:val="left"/>
              <w:rPr>
                <w:rFonts w:ascii="Arial" w:hAnsi="Arial" w:cs="Arial"/>
                <w:i w:val="0"/>
                <w:iCs w:val="0"/>
                <w:color w:val="auto"/>
                <w:sz w:val="20"/>
                <w:szCs w:val="20"/>
              </w:rPr>
            </w:pPr>
            <w:r w:rsidRPr="00BD5A33">
              <w:rPr>
                <w:rFonts w:ascii="Arial" w:hAnsi="Arial" w:cs="Arial"/>
                <w:i w:val="0"/>
                <w:iCs w:val="0"/>
                <w:color w:val="auto"/>
                <w:sz w:val="20"/>
                <w:szCs w:val="20"/>
              </w:rPr>
              <w:t>Reject</w:t>
            </w:r>
          </w:p>
        </w:tc>
        <w:tc>
          <w:tcPr>
            <w:tcW w:w="1560" w:type="dxa"/>
            <w:tcBorders>
              <w:bottom w:val="single" w:sz="18" w:space="0" w:color="auto"/>
            </w:tcBorders>
            <w:tcMar>
              <w:top w:w="0" w:type="dxa"/>
              <w:left w:w="108" w:type="dxa"/>
              <w:bottom w:w="0" w:type="dxa"/>
              <w:right w:w="108" w:type="dxa"/>
            </w:tcMar>
            <w:vAlign w:val="center"/>
          </w:tcPr>
          <w:p w14:paraId="2FF23001" w14:textId="77777777" w:rsidR="00BD5A33" w:rsidRPr="00BD5A33" w:rsidRDefault="00BD5A33" w:rsidP="00D062BF">
            <w:pPr>
              <w:pStyle w:val="Quote"/>
              <w:rPr>
                <w:rFonts w:ascii="Arial" w:hAnsi="Arial" w:cs="Arial"/>
                <w:i w:val="0"/>
                <w:iCs w:val="0"/>
                <w:color w:val="auto"/>
                <w:sz w:val="20"/>
                <w:szCs w:val="20"/>
              </w:rPr>
            </w:pPr>
            <w:r w:rsidRPr="00BD5A33">
              <w:rPr>
                <w:rFonts w:ascii="Arial" w:hAnsi="Arial" w:cs="Arial"/>
                <w:i w:val="0"/>
                <w:iCs w:val="0"/>
                <w:color w:val="auto"/>
                <w:sz w:val="20"/>
                <w:szCs w:val="20"/>
              </w:rPr>
              <w:t>Significant</w:t>
            </w:r>
          </w:p>
        </w:tc>
      </w:tr>
    </w:tbl>
    <w:p w14:paraId="3D1D1545" w14:textId="77777777" w:rsidR="00BD5A33" w:rsidRPr="00BD5A33" w:rsidRDefault="00BD5A33" w:rsidP="00BD5A33">
      <w:pPr>
        <w:pStyle w:val="NoSpacing"/>
        <w:spacing w:line="480" w:lineRule="auto"/>
        <w:rPr>
          <w:rFonts w:ascii="Arial" w:eastAsia="Times New Roman" w:hAnsi="Arial" w:cs="Arial"/>
          <w:sz w:val="20"/>
          <w:szCs w:val="20"/>
        </w:rPr>
      </w:pPr>
      <m:oMath>
        <m:r>
          <w:rPr>
            <w:rFonts w:ascii="Cambria Math" w:eastAsiaTheme="minorEastAsia" w:hAnsi="Cambria Math" w:cs="Arial"/>
            <w:sz w:val="20"/>
            <w:szCs w:val="20"/>
          </w:rPr>
          <m:t>R</m:t>
        </m:r>
        <m:r>
          <w:rPr>
            <w:rFonts w:ascii="Cambria Math" w:eastAsia="Times New Roman" w:hAnsi="Cambria Math" w:cs="Arial"/>
            <w:sz w:val="20"/>
            <w:szCs w:val="20"/>
          </w:rPr>
          <m:t>=.853</m:t>
        </m:r>
      </m:oMath>
      <w:r w:rsidRPr="00BD5A33">
        <w:rPr>
          <w:rFonts w:ascii="Arial" w:eastAsia="Times New Roman" w:hAnsi="Arial" w:cs="Arial"/>
          <w:sz w:val="20"/>
          <w:szCs w:val="20"/>
        </w:rPr>
        <w:t xml:space="preserve">;  </w:t>
      </w:r>
      <m:oMath>
        <m:sSup>
          <m:sSupPr>
            <m:ctrlPr>
              <w:rPr>
                <w:rFonts w:ascii="Cambria Math" w:eastAsia="Times New Roman" w:hAnsi="Cambria Math" w:cs="Arial"/>
                <w:i/>
                <w:sz w:val="20"/>
                <w:szCs w:val="20"/>
              </w:rPr>
            </m:ctrlPr>
          </m:sSupPr>
          <m:e>
            <m:r>
              <w:rPr>
                <w:rFonts w:ascii="Cambria Math" w:eastAsia="Times New Roman" w:hAnsi="Cambria Math" w:cs="Arial"/>
                <w:sz w:val="20"/>
                <w:szCs w:val="20"/>
              </w:rPr>
              <m:t>R</m:t>
            </m:r>
          </m:e>
          <m:sup>
            <m:r>
              <w:rPr>
                <w:rFonts w:ascii="Cambria Math" w:eastAsia="Times New Roman" w:hAnsi="Cambria Math" w:cs="Arial"/>
                <w:sz w:val="20"/>
                <w:szCs w:val="20"/>
              </w:rPr>
              <m:t>2</m:t>
            </m:r>
          </m:sup>
        </m:sSup>
        <m:r>
          <w:rPr>
            <w:rFonts w:ascii="Cambria Math" w:eastAsia="Times New Roman" w:hAnsi="Cambria Math" w:cs="Arial"/>
            <w:sz w:val="20"/>
            <w:szCs w:val="20"/>
          </w:rPr>
          <m:t>=.727;  F-value = 129.363;</m:t>
        </m:r>
      </m:oMath>
      <w:r w:rsidRPr="00BD5A33">
        <w:rPr>
          <w:rFonts w:ascii="Arial" w:eastAsia="Times New Roman" w:hAnsi="Arial" w:cs="Arial"/>
          <w:sz w:val="20"/>
          <w:szCs w:val="20"/>
        </w:rPr>
        <w:t xml:space="preserve">  </w:t>
      </w:r>
      <m:oMath>
        <m:r>
          <w:rPr>
            <w:rFonts w:ascii="Cambria Math" w:eastAsia="Times New Roman" w:hAnsi="Cambria Math" w:cs="Arial"/>
            <w:sz w:val="20"/>
            <w:szCs w:val="20"/>
          </w:rPr>
          <m:t>p-value =.000</m:t>
        </m:r>
      </m:oMath>
    </w:p>
    <w:p w14:paraId="368A2189" w14:textId="77777777" w:rsidR="00BD5A33" w:rsidRPr="00BD5A33" w:rsidRDefault="00BD5A33" w:rsidP="00BD5A33">
      <w:pPr>
        <w:pStyle w:val="Body"/>
        <w:rPr>
          <w:rFonts w:ascii="Arial" w:hAnsi="Arial" w:cs="Arial"/>
        </w:rPr>
      </w:pPr>
      <w:r w:rsidRPr="00BD5A33">
        <w:rPr>
          <w:rFonts w:ascii="Arial" w:hAnsi="Arial" w:cs="Arial"/>
        </w:rPr>
        <w:t>The classroom environment variable obtained a standardized beta of 0.173 with a p-value of 0.016, which was less than the 0.05 level of significance. Thus, the null hypothesis was rejected. This indicated that classroom environment had a 17.3% degree of influence on the utilization of vocabulary retention strategies, which was considered statistically significant.</w:t>
      </w:r>
    </w:p>
    <w:p w14:paraId="6C3566B3" w14:textId="77777777" w:rsidR="00BD5A33" w:rsidRPr="00BD5A33" w:rsidRDefault="00BD5A33" w:rsidP="00BD5A33">
      <w:pPr>
        <w:pStyle w:val="Body"/>
        <w:rPr>
          <w:rFonts w:ascii="Arial" w:hAnsi="Arial" w:cs="Arial"/>
        </w:rPr>
      </w:pPr>
      <w:r w:rsidRPr="00BD5A33">
        <w:rPr>
          <w:rFonts w:ascii="Arial" w:hAnsi="Arial" w:cs="Arial"/>
        </w:rPr>
        <w:lastRenderedPageBreak/>
        <w:t>On the other hand, the teaching attitude variable obtained a standardized beta of 0.728 with a p-value of 0.000, which was also less than the 0.05 level of significance. Hence, the null hypothesis was rejected. This indicated that teaching attitude had a 72.8% degree of influence on the utilization of vocabulary retention strategies, a statistically significant result.</w:t>
      </w:r>
    </w:p>
    <w:p w14:paraId="3695DAF5" w14:textId="57B1CA60" w:rsidR="00790ADA" w:rsidRDefault="00BD5A33" w:rsidP="00BD5A33">
      <w:pPr>
        <w:pStyle w:val="Body"/>
        <w:spacing w:after="0"/>
        <w:rPr>
          <w:rFonts w:ascii="Arial" w:hAnsi="Arial" w:cs="Arial"/>
        </w:rPr>
      </w:pPr>
      <w:r w:rsidRPr="00BD5A33">
        <w:rPr>
          <w:rFonts w:ascii="Arial" w:hAnsi="Arial" w:cs="Arial"/>
        </w:rPr>
        <w:t>Both predictive variables, classroom environment and teaching attitude, obtained a combined R² value of 0.727 with a p-value of 0.000, which was less than the 0.05 level of significance. This indicated that together, they accounted for 72.7% of the variance in the utilization of vocabulary retention strategies, and this combined influence was statistically significant. Finally, the table presented the regression formula for the utilization of vocabulary retention strategies among English teachers: UVRS = 0.234(CE) + 0.798(TA) + 0.128 Constant.</w:t>
      </w:r>
    </w:p>
    <w:p w14:paraId="1B481611" w14:textId="77777777" w:rsidR="00BD5A33" w:rsidRDefault="00BD5A33" w:rsidP="00BD5A33">
      <w:pPr>
        <w:pStyle w:val="Body"/>
        <w:spacing w:after="0"/>
        <w:rPr>
          <w:rFonts w:ascii="Arial" w:hAnsi="Arial" w:cs="Arial"/>
        </w:rPr>
      </w:pPr>
    </w:p>
    <w:p w14:paraId="6435CC38" w14:textId="01B32037" w:rsidR="00BD5A33" w:rsidRPr="003D7A09" w:rsidRDefault="00BD5A33" w:rsidP="00BD5A33">
      <w:pPr>
        <w:pStyle w:val="Body"/>
        <w:jc w:val="left"/>
        <w:rPr>
          <w:rFonts w:ascii="Arial" w:hAnsi="Arial" w:cs="Arial"/>
          <w:b/>
          <w:bCs/>
          <w:sz w:val="22"/>
          <w:szCs w:val="22"/>
        </w:rPr>
      </w:pPr>
      <w:r>
        <w:rPr>
          <w:rFonts w:ascii="Arial" w:hAnsi="Arial" w:cs="Arial"/>
          <w:b/>
          <w:bCs/>
          <w:sz w:val="22"/>
          <w:szCs w:val="22"/>
        </w:rPr>
        <w:t>3.2 SUMMARY OF FINDINGS</w:t>
      </w:r>
    </w:p>
    <w:p w14:paraId="37255CA1" w14:textId="4DCBC1EE" w:rsidR="00BD5A33" w:rsidRPr="00BD5A33" w:rsidRDefault="00BD5A33" w:rsidP="00BD5A33">
      <w:pPr>
        <w:pStyle w:val="Body"/>
        <w:rPr>
          <w:rFonts w:ascii="Arial" w:hAnsi="Arial" w:cs="Arial"/>
        </w:rPr>
      </w:pPr>
      <w:r w:rsidRPr="00BD5A33">
        <w:rPr>
          <w:rFonts w:ascii="Arial" w:hAnsi="Arial" w:cs="Arial"/>
        </w:rPr>
        <w:t>1.The classroom environment, teaching attitude, and the utilization of vocabulary retention strategies of English teacher are excellent.</w:t>
      </w:r>
    </w:p>
    <w:p w14:paraId="2F5F5F96" w14:textId="19512BE5" w:rsidR="00BD5A33" w:rsidRPr="00BD5A33" w:rsidRDefault="00BD5A33" w:rsidP="00BD5A33">
      <w:pPr>
        <w:pStyle w:val="Body"/>
        <w:rPr>
          <w:rFonts w:ascii="Arial" w:hAnsi="Arial" w:cs="Arial"/>
        </w:rPr>
      </w:pPr>
      <w:r w:rsidRPr="00BD5A33">
        <w:rPr>
          <w:rFonts w:ascii="Arial" w:hAnsi="Arial" w:cs="Arial"/>
        </w:rPr>
        <w:t>2.The classroom environment and teaching attitude to utilization of vocabulary retention strategies of English teachers are significantly correlated at moderately high strength.</w:t>
      </w:r>
    </w:p>
    <w:p w14:paraId="13D3C68E" w14:textId="695EF909" w:rsidR="00BD5A33" w:rsidRDefault="00BD5A33" w:rsidP="00BD5A33">
      <w:pPr>
        <w:pStyle w:val="Body"/>
        <w:spacing w:after="0"/>
        <w:rPr>
          <w:rFonts w:ascii="Arial" w:hAnsi="Arial" w:cs="Arial"/>
        </w:rPr>
      </w:pPr>
      <w:r w:rsidRPr="00BD5A33">
        <w:rPr>
          <w:rFonts w:ascii="Arial" w:hAnsi="Arial" w:cs="Arial"/>
        </w:rPr>
        <w:t>3.The classroom environment and teaching attitude significantly influence the utilization of vocabulary retention strategies of English teachers. Nevertheless, the combined degree of influence of predictors (72.7%) significantly correlates with the criterion variable.</w:t>
      </w:r>
    </w:p>
    <w:p w14:paraId="77BFA86F" w14:textId="77777777" w:rsidR="00BD5A33" w:rsidRDefault="00BD5A33" w:rsidP="00BD5A33">
      <w:pPr>
        <w:pStyle w:val="Body"/>
        <w:spacing w:after="0"/>
        <w:rPr>
          <w:rFonts w:ascii="Arial" w:hAnsi="Arial" w:cs="Arial"/>
        </w:rPr>
      </w:pPr>
    </w:p>
    <w:p w14:paraId="5EB2926E" w14:textId="58CDE3FD" w:rsidR="00BD5A33" w:rsidRPr="003D7A09" w:rsidRDefault="00BD5A33" w:rsidP="00BD5A33">
      <w:pPr>
        <w:pStyle w:val="Body"/>
        <w:jc w:val="left"/>
        <w:rPr>
          <w:rFonts w:ascii="Arial" w:hAnsi="Arial" w:cs="Arial"/>
          <w:b/>
          <w:bCs/>
          <w:sz w:val="22"/>
          <w:szCs w:val="22"/>
        </w:rPr>
      </w:pPr>
      <w:r>
        <w:rPr>
          <w:rFonts w:ascii="Arial" w:hAnsi="Arial" w:cs="Arial"/>
          <w:b/>
          <w:bCs/>
          <w:sz w:val="22"/>
          <w:szCs w:val="22"/>
        </w:rPr>
        <w:t>3.3 DISCUSSION</w:t>
      </w:r>
    </w:p>
    <w:p w14:paraId="3A7E8BB2" w14:textId="2FC036BD" w:rsidR="00BD5A33" w:rsidRDefault="004F0A90" w:rsidP="00BD5A33">
      <w:pPr>
        <w:pStyle w:val="Body"/>
        <w:spacing w:after="0"/>
        <w:rPr>
          <w:rFonts w:ascii="Arial" w:hAnsi="Arial" w:cs="Arial"/>
          <w:b/>
          <w:bCs/>
          <w:i/>
          <w:iCs/>
          <w:lang w:val="en-PH"/>
        </w:rPr>
      </w:pPr>
      <w:r w:rsidRPr="004F0A90">
        <w:rPr>
          <w:rFonts w:ascii="Arial" w:hAnsi="Arial" w:cs="Arial"/>
          <w:b/>
          <w:bCs/>
          <w:i/>
          <w:iCs/>
          <w:lang w:val="en-PH"/>
        </w:rPr>
        <w:t>Excellent Classroom Environment</w:t>
      </w:r>
    </w:p>
    <w:p w14:paraId="497C6CC2" w14:textId="77777777" w:rsidR="00A36A1A" w:rsidRDefault="00A36A1A" w:rsidP="00BD5A33">
      <w:pPr>
        <w:pStyle w:val="Body"/>
        <w:spacing w:after="0"/>
        <w:rPr>
          <w:rFonts w:ascii="Arial" w:hAnsi="Arial" w:cs="Arial"/>
        </w:rPr>
      </w:pPr>
    </w:p>
    <w:p w14:paraId="5C993894" w14:textId="77777777" w:rsidR="004F0A90" w:rsidRPr="004F0A90" w:rsidRDefault="004F0A90" w:rsidP="004F0A90">
      <w:pPr>
        <w:pStyle w:val="Body"/>
        <w:rPr>
          <w:rFonts w:ascii="Arial" w:hAnsi="Arial" w:cs="Arial"/>
        </w:rPr>
      </w:pPr>
      <w:r w:rsidRPr="004F0A90">
        <w:rPr>
          <w:rFonts w:ascii="Arial" w:hAnsi="Arial" w:cs="Arial"/>
        </w:rPr>
        <w:t>The findings of this study, which revealed that the classroom environment was at an excellent level, affirmed the findings of Kumar and Kumari (2023), who emphasized that a highly positive classroom environment positively influenced teacher performance as demonstrated in this study through the effective utilization of vocabulary retention strategies. Similarly, the results aligned with Cambay and Paglinawan (2024), who asserted that an excellent classroom environment was crucial in enhancing students’ academic success and shaping teachers’ instructional strategies.</w:t>
      </w:r>
    </w:p>
    <w:p w14:paraId="7D1C6E96" w14:textId="77777777" w:rsidR="004F0A90" w:rsidRPr="004F0A90" w:rsidRDefault="004F0A90" w:rsidP="004F0A90">
      <w:pPr>
        <w:pStyle w:val="Body"/>
        <w:rPr>
          <w:rFonts w:ascii="Arial" w:hAnsi="Arial" w:cs="Arial"/>
        </w:rPr>
      </w:pPr>
      <w:r w:rsidRPr="004F0A90">
        <w:rPr>
          <w:rFonts w:ascii="Arial" w:hAnsi="Arial" w:cs="Arial"/>
        </w:rPr>
        <w:t xml:space="preserve">Furthermore, the findings corroborated Rajbhandari (2024), who found that a positive and well-structured classroom environment significantly impacted teacher motivation and efficiency, fostering the use of more dynamic and engaging teaching strategies. The results also affirmed Liaqat et al. (2023), who extensively demonstrated how classroom environment engagement influenced teacher effectiveness, enabling the adoption of more efficient teaching practices. Likewise, </w:t>
      </w:r>
      <w:proofErr w:type="spellStart"/>
      <w:r w:rsidRPr="004F0A90">
        <w:rPr>
          <w:rFonts w:ascii="Arial" w:hAnsi="Arial" w:cs="Arial"/>
        </w:rPr>
        <w:t>Goagoses</w:t>
      </w:r>
      <w:proofErr w:type="spellEnd"/>
      <w:r w:rsidRPr="004F0A90">
        <w:rPr>
          <w:rFonts w:ascii="Arial" w:hAnsi="Arial" w:cs="Arial"/>
        </w:rPr>
        <w:t xml:space="preserve"> et al. (2023) reported that an excellent and supportive classroom environment improved both student engagement and academic achievement.</w:t>
      </w:r>
    </w:p>
    <w:p w14:paraId="0658C6DC" w14:textId="08D2ADEC" w:rsidR="004F0A90" w:rsidRPr="004F0A90" w:rsidRDefault="004F0A90" w:rsidP="004F0A90">
      <w:pPr>
        <w:pStyle w:val="Body"/>
        <w:rPr>
          <w:rFonts w:ascii="Arial" w:hAnsi="Arial" w:cs="Arial"/>
        </w:rPr>
      </w:pPr>
      <w:r w:rsidRPr="004F0A90">
        <w:rPr>
          <w:rFonts w:ascii="Arial" w:hAnsi="Arial" w:cs="Arial"/>
        </w:rPr>
        <w:t xml:space="preserve">On the other hand, the results contradicted the findings of Apan (2024), who observed only moderate levels of classroom management and learner discipline, suggesting a relatively poor classroom environment. Additionally, the results opposed those of </w:t>
      </w:r>
      <w:proofErr w:type="spellStart"/>
      <w:r w:rsidRPr="004F0A90">
        <w:rPr>
          <w:rFonts w:ascii="Arial" w:hAnsi="Arial" w:cs="Arial"/>
        </w:rPr>
        <w:t>Sanlao</w:t>
      </w:r>
      <w:proofErr w:type="spellEnd"/>
      <w:r w:rsidRPr="004F0A90">
        <w:rPr>
          <w:rFonts w:ascii="Arial" w:hAnsi="Arial" w:cs="Arial"/>
        </w:rPr>
        <w:t xml:space="preserve"> et al. (2024), who emphasized that an excellent classroom environment alone does not necessarily guarantee the effective utilization of vocabulary retention strategies by English teachers.</w:t>
      </w:r>
    </w:p>
    <w:p w14:paraId="16D199ED" w14:textId="77777777" w:rsidR="004F0A90" w:rsidRPr="004F0A90" w:rsidRDefault="004F0A90" w:rsidP="004F0A90">
      <w:pPr>
        <w:pStyle w:val="Body"/>
        <w:rPr>
          <w:rFonts w:ascii="Arial" w:hAnsi="Arial" w:cs="Arial"/>
          <w:b/>
          <w:bCs/>
          <w:i/>
          <w:iCs/>
        </w:rPr>
      </w:pPr>
      <w:r w:rsidRPr="004F0A90">
        <w:rPr>
          <w:rFonts w:ascii="Arial" w:hAnsi="Arial" w:cs="Arial"/>
          <w:b/>
          <w:bCs/>
          <w:i/>
          <w:iCs/>
        </w:rPr>
        <w:t>Excellent Teaching Attitude</w:t>
      </w:r>
    </w:p>
    <w:p w14:paraId="020ACED3" w14:textId="77777777" w:rsidR="004F0A90" w:rsidRPr="004F0A90" w:rsidRDefault="004F0A90" w:rsidP="004F0A90">
      <w:pPr>
        <w:pStyle w:val="Body"/>
        <w:rPr>
          <w:rFonts w:ascii="Arial" w:hAnsi="Arial" w:cs="Arial"/>
        </w:rPr>
      </w:pPr>
      <w:r w:rsidRPr="004F0A90">
        <w:rPr>
          <w:rFonts w:ascii="Arial" w:hAnsi="Arial" w:cs="Arial"/>
        </w:rPr>
        <w:lastRenderedPageBreak/>
        <w:t xml:space="preserve">The results of this study, which showed that teaching attitude was at an excellent level, affirmed the concept of Li et al. (2019, as cited in Alanazi et al., 2023), which asserted that teachers with a highly positive attitude toward a specific strategy were more likely to utilize it effectively, leading to improved student learning outcomes. Similarly, </w:t>
      </w:r>
      <w:proofErr w:type="spellStart"/>
      <w:r w:rsidRPr="004F0A90">
        <w:rPr>
          <w:rFonts w:ascii="Arial" w:hAnsi="Arial" w:cs="Arial"/>
        </w:rPr>
        <w:t>Situmorang</w:t>
      </w:r>
      <w:proofErr w:type="spellEnd"/>
      <w:r w:rsidRPr="004F0A90">
        <w:rPr>
          <w:rFonts w:ascii="Arial" w:hAnsi="Arial" w:cs="Arial"/>
        </w:rPr>
        <w:t xml:space="preserve"> et al. (2022) emphasized that excellent teaching attitudes were critical to the efficient adoption and use of various teaching strategies.</w:t>
      </w:r>
    </w:p>
    <w:p w14:paraId="73AD3131" w14:textId="77777777" w:rsidR="004F0A90" w:rsidRPr="004F0A90" w:rsidRDefault="004F0A90" w:rsidP="004F0A90">
      <w:pPr>
        <w:pStyle w:val="Body"/>
        <w:rPr>
          <w:rFonts w:ascii="Arial" w:hAnsi="Arial" w:cs="Arial"/>
        </w:rPr>
      </w:pPr>
      <w:r w:rsidRPr="004F0A90">
        <w:rPr>
          <w:rFonts w:ascii="Arial" w:hAnsi="Arial" w:cs="Arial"/>
        </w:rPr>
        <w:t>Furthermore, the findings aligned with Huang et al. (2017, as cited in Alanazi et al., 2023), who found that strong teaching attitudes significantly influenced the use of cognitive presence strategies in online learning environments. Jimenez (2020) also supported the results of this study, highlighting the positive impact of excellent teaching attitudes on overall educational outcomes. Moreover, the findings were consistent with Daniel (2025), who emphasized that a teacher’s positive attitude significantly affected students’ perceptions of learning and motivation to acquire a language. Similarly, Haddad (2019) highlighted the importance of excellent teacher attitudes toward teaching English in enhancing the overall teaching and learning process.</w:t>
      </w:r>
    </w:p>
    <w:p w14:paraId="34508F8F" w14:textId="1A16BA40" w:rsidR="004F0A90" w:rsidRPr="004F0A90" w:rsidRDefault="004F0A90" w:rsidP="004F0A90">
      <w:pPr>
        <w:pStyle w:val="Body"/>
        <w:rPr>
          <w:rFonts w:ascii="Arial" w:hAnsi="Arial" w:cs="Arial"/>
        </w:rPr>
      </w:pPr>
      <w:r w:rsidRPr="004F0A90">
        <w:rPr>
          <w:rFonts w:ascii="Arial" w:hAnsi="Arial" w:cs="Arial"/>
        </w:rPr>
        <w:t>Conversely, the results contradicted the findings of Özcan (2020), who reported concerns about the effects of poor or insufficient attitudes toward teaching. The study also diverged from Chung’s (2022) findings, which suggested that while a positive teacher attitude promoted the use of vocabulary retention strategies, it did not necessarily guarantee their effectiveness across all teaching contexts. Similarly, Tang and Hu (2022) emphasized that discouraging teacher attitudes could influence students’ emotional responses and motivation levels.</w:t>
      </w:r>
    </w:p>
    <w:p w14:paraId="11A02D14" w14:textId="77777777" w:rsidR="004F0A90" w:rsidRPr="004F0A90" w:rsidRDefault="004F0A90" w:rsidP="004F0A90">
      <w:pPr>
        <w:pStyle w:val="Body"/>
        <w:rPr>
          <w:rFonts w:ascii="Arial" w:hAnsi="Arial" w:cs="Arial"/>
          <w:b/>
          <w:bCs/>
          <w:i/>
          <w:iCs/>
        </w:rPr>
      </w:pPr>
      <w:r w:rsidRPr="004F0A90">
        <w:rPr>
          <w:rFonts w:ascii="Arial" w:hAnsi="Arial" w:cs="Arial"/>
          <w:b/>
          <w:bCs/>
          <w:i/>
          <w:iCs/>
        </w:rPr>
        <w:t xml:space="preserve">Excellent Utilization of Vocabulary Retention Strategies of English Teachers </w:t>
      </w:r>
    </w:p>
    <w:p w14:paraId="48EE20B9" w14:textId="77777777" w:rsidR="004F0A90" w:rsidRPr="004F0A90" w:rsidRDefault="004F0A90" w:rsidP="004F0A90">
      <w:pPr>
        <w:pStyle w:val="Body"/>
        <w:rPr>
          <w:rFonts w:ascii="Arial" w:hAnsi="Arial" w:cs="Arial"/>
        </w:rPr>
      </w:pPr>
      <w:r w:rsidRPr="004F0A90">
        <w:rPr>
          <w:rFonts w:ascii="Arial" w:hAnsi="Arial" w:cs="Arial"/>
        </w:rPr>
        <w:t>The results of this study, which indicated that the utilization of vocabulary retention strategies among English teachers was at an excellent level, affirmed the findings of Le and Luong (2023), who reported that teachers effectively implemented vocabulary retention strategies, resulting in improved student vocabulary acquisition. Similarly, the findings aligned with Putri et al. (2022), who emphasized that the use of diversified and effective vocabulary teaching strategies significantly contributed to students’ vocabulary mastery, suggesting a high or exceptional level of strategy utilization.</w:t>
      </w:r>
    </w:p>
    <w:p w14:paraId="726A257B" w14:textId="77777777" w:rsidR="004F0A90" w:rsidRPr="004F0A90" w:rsidRDefault="004F0A90" w:rsidP="004F0A90">
      <w:pPr>
        <w:pStyle w:val="Body"/>
        <w:rPr>
          <w:rFonts w:ascii="Arial" w:hAnsi="Arial" w:cs="Arial"/>
        </w:rPr>
      </w:pPr>
      <w:r w:rsidRPr="004F0A90">
        <w:rPr>
          <w:rFonts w:ascii="Arial" w:hAnsi="Arial" w:cs="Arial"/>
        </w:rPr>
        <w:t>Furthermore, the results supported Shady’s (2022) claim that the adoption of vocabulary learning strategies positively influenced the vocabulary development and retention skills of EFL learners in the preparation stage. They also affirmed Al-Malki’s (2022) study, which demonstrated that using an integrated method based on the MMS and the KWS frameworks enhanced vocabulary development, enrichment, and retention. The present findings were likewise consistent with Putri et al. (2022), who found that teachers employed a variety of strategies to promote vocabulary mastery, further indicating a high level of strategic utilization.</w:t>
      </w:r>
    </w:p>
    <w:p w14:paraId="6D119F28" w14:textId="009BBF1A" w:rsidR="004F0A90" w:rsidRPr="004F0A90" w:rsidRDefault="004F0A90" w:rsidP="004F0A90">
      <w:pPr>
        <w:pStyle w:val="Body"/>
        <w:rPr>
          <w:rFonts w:ascii="Arial" w:hAnsi="Arial" w:cs="Arial"/>
        </w:rPr>
      </w:pPr>
      <w:r w:rsidRPr="004F0A90">
        <w:rPr>
          <w:rFonts w:ascii="Arial" w:hAnsi="Arial" w:cs="Arial"/>
        </w:rPr>
        <w:t>On the other hand, the findings contradicted those of Goundar (2019), who highlighted the difficulty in identifying a single most effective strategy for vocabulary learning, suggesting generally low levels of strategy utilization. Similarly, Reid (1987, as cited in Nguyễn Thị Hương, 2021) challenged the notion of a universally effective strategy, arguing that learners’ diverse learning styles necessitate varied approaches, and that no single strategy is ideally suited for all. These contrasting perspectives emphasize the importance of context and learner variability in the effectiveness of vocabulary retention strategies.</w:t>
      </w:r>
    </w:p>
    <w:p w14:paraId="5813C614" w14:textId="77777777" w:rsidR="004F0A90" w:rsidRPr="004F0A90" w:rsidRDefault="004F0A90" w:rsidP="004F0A90">
      <w:pPr>
        <w:pStyle w:val="Body"/>
        <w:rPr>
          <w:rFonts w:ascii="Arial" w:hAnsi="Arial" w:cs="Arial"/>
          <w:b/>
          <w:bCs/>
          <w:i/>
          <w:iCs/>
        </w:rPr>
      </w:pPr>
      <w:r w:rsidRPr="004F0A90">
        <w:rPr>
          <w:rFonts w:ascii="Arial" w:hAnsi="Arial" w:cs="Arial"/>
          <w:b/>
          <w:bCs/>
          <w:i/>
          <w:iCs/>
        </w:rPr>
        <w:t>Correlation Analysis</w:t>
      </w:r>
    </w:p>
    <w:p w14:paraId="09A2D38C" w14:textId="77777777" w:rsidR="004F0A90" w:rsidRPr="004F0A90" w:rsidRDefault="004F0A90" w:rsidP="004F0A90">
      <w:pPr>
        <w:pStyle w:val="Body"/>
        <w:rPr>
          <w:rFonts w:ascii="Arial" w:hAnsi="Arial" w:cs="Arial"/>
        </w:rPr>
      </w:pPr>
      <w:r w:rsidRPr="004F0A90">
        <w:rPr>
          <w:rFonts w:ascii="Arial" w:hAnsi="Arial" w:cs="Arial"/>
        </w:rPr>
        <w:lastRenderedPageBreak/>
        <w:t>The findings on the correlation between classroom environment and the utilization of vocabulary retention strategies among English teachers indicated a statistically significant relationship, confirming a meaningful positive correlation between the predictive and criterion variables. This suggested that a supportive and engaging classroom environment enhanced teachers’ perceived task value, making vocabulary learning more relevant and valuable to student learning, and encouraging teachers to consistently utilize vocabulary retention strategies.</w:t>
      </w:r>
    </w:p>
    <w:p w14:paraId="469A5303" w14:textId="77777777" w:rsidR="004F0A90" w:rsidRPr="004F0A90" w:rsidRDefault="004F0A90" w:rsidP="004F0A90">
      <w:pPr>
        <w:pStyle w:val="Body"/>
        <w:rPr>
          <w:rFonts w:ascii="Arial" w:hAnsi="Arial" w:cs="Arial"/>
        </w:rPr>
      </w:pPr>
      <w:r w:rsidRPr="004F0A90">
        <w:rPr>
          <w:rFonts w:ascii="Arial" w:hAnsi="Arial" w:cs="Arial"/>
        </w:rPr>
        <w:t>The results of this study aligned with Maing and Mahmud’s (2022) claim that a positive classroom environment significantly influenced teaching strategies. Similarly, Rajbhandari (2024) emphasized that a well-structured and supportive classroom environment improved teacher motivation, leading to the effective implementation of teaching strategies that enhanced overall teaching quality. Hence, creating a positive classroom environment was deemed vital for increasing teacher commitment to vocabulary retention strategies, ultimately contributing to improved student vocabulary retention and acquisition.</w:t>
      </w:r>
    </w:p>
    <w:p w14:paraId="296F79ED" w14:textId="77777777" w:rsidR="004F0A90" w:rsidRPr="004F0A90" w:rsidRDefault="004F0A90" w:rsidP="004F0A90">
      <w:pPr>
        <w:pStyle w:val="Body"/>
        <w:rPr>
          <w:rFonts w:ascii="Arial" w:hAnsi="Arial" w:cs="Arial"/>
        </w:rPr>
      </w:pPr>
      <w:r w:rsidRPr="004F0A90">
        <w:rPr>
          <w:rFonts w:ascii="Arial" w:hAnsi="Arial" w:cs="Arial"/>
        </w:rPr>
        <w:t>Meanwhile, the findings on the correlation between teaching attitude and the utilization of vocabulary retention strategies among English teachers also indicated a statistically significant relationship, confirming a meaningful positive correlation between the predictive and criterion variables. This suggested that teachers who were confident in their teaching abilities and had a positive attitude toward vocabulary instruction were more likely to adopt effective strategies and expect success in students’ vocabulary development.</w:t>
      </w:r>
    </w:p>
    <w:p w14:paraId="34A538CA" w14:textId="77777777" w:rsidR="004F0A90" w:rsidRPr="004F0A90" w:rsidRDefault="004F0A90" w:rsidP="004F0A90">
      <w:pPr>
        <w:pStyle w:val="Body"/>
        <w:rPr>
          <w:rFonts w:ascii="Arial" w:hAnsi="Arial" w:cs="Arial"/>
        </w:rPr>
      </w:pPr>
      <w:r w:rsidRPr="004F0A90">
        <w:rPr>
          <w:rFonts w:ascii="Arial" w:hAnsi="Arial" w:cs="Arial"/>
        </w:rPr>
        <w:t xml:space="preserve">These results aligned with Zhang’s (2022) assertion that teacher attitudes significantly affected how teaching strategies were utilized, influencing both their selection and efficiency. Likewise, </w:t>
      </w:r>
      <w:proofErr w:type="spellStart"/>
      <w:r w:rsidRPr="004F0A90">
        <w:rPr>
          <w:rFonts w:ascii="Arial" w:hAnsi="Arial" w:cs="Arial"/>
        </w:rPr>
        <w:t>Shuaibo</w:t>
      </w:r>
      <w:proofErr w:type="spellEnd"/>
      <w:r w:rsidRPr="004F0A90">
        <w:rPr>
          <w:rFonts w:ascii="Arial" w:hAnsi="Arial" w:cs="Arial"/>
        </w:rPr>
        <w:t xml:space="preserve"> and Ishak (2020) emphasized that a teacher’s attitude could either encourage or hinder the use of innovative strategies, thereby affecting student outcomes. Therefore, schools should promote positive teacher attitudes through recognition programs, mentoring, and support initiatives that build teacher confidence and interest in vocabulary instruction.</w:t>
      </w:r>
    </w:p>
    <w:p w14:paraId="74EF7F78" w14:textId="060BBEBA" w:rsidR="004F0A90" w:rsidRPr="004F0A90" w:rsidRDefault="004F0A90" w:rsidP="004F0A90">
      <w:pPr>
        <w:pStyle w:val="Body"/>
        <w:rPr>
          <w:rFonts w:ascii="Arial" w:hAnsi="Arial" w:cs="Arial"/>
        </w:rPr>
      </w:pPr>
      <w:r w:rsidRPr="004F0A90">
        <w:rPr>
          <w:rFonts w:ascii="Arial" w:hAnsi="Arial" w:cs="Arial"/>
        </w:rPr>
        <w:t>Ultimately, a supportive classroom environment and positive teaching attitudes were essential for the effective utilization of vocabulary retention strategies. A well-structured and engaging learning environment improved teachers' perceived task value, while a positive teaching attitude reinforced their expectancy beliefs.  Both of these factors significantly influenced teachers’ consistent use of vocabulary retention strategies.</w:t>
      </w:r>
    </w:p>
    <w:p w14:paraId="22FA0386" w14:textId="77777777" w:rsidR="004F0A90" w:rsidRPr="004F0A90" w:rsidRDefault="004F0A90" w:rsidP="004F0A90">
      <w:pPr>
        <w:pStyle w:val="Body"/>
        <w:rPr>
          <w:rFonts w:ascii="Arial" w:hAnsi="Arial" w:cs="Arial"/>
          <w:b/>
          <w:bCs/>
          <w:i/>
          <w:iCs/>
        </w:rPr>
      </w:pPr>
      <w:r w:rsidRPr="004F0A90">
        <w:rPr>
          <w:rFonts w:ascii="Arial" w:hAnsi="Arial" w:cs="Arial"/>
          <w:b/>
          <w:bCs/>
          <w:i/>
          <w:iCs/>
        </w:rPr>
        <w:t>Regression Analysis</w:t>
      </w:r>
    </w:p>
    <w:p w14:paraId="6C65F8EE" w14:textId="77777777" w:rsidR="004F0A90" w:rsidRPr="004F0A90" w:rsidRDefault="004F0A90" w:rsidP="004F0A90">
      <w:pPr>
        <w:pStyle w:val="Body"/>
        <w:rPr>
          <w:rFonts w:ascii="Arial" w:hAnsi="Arial" w:cs="Arial"/>
        </w:rPr>
      </w:pPr>
      <w:r w:rsidRPr="004F0A90">
        <w:rPr>
          <w:rFonts w:ascii="Arial" w:hAnsi="Arial" w:cs="Arial"/>
        </w:rPr>
        <w:t>The results of the regression analysis indicated that both classroom environment and teaching attitude significantly influenced the utilization of vocabulary retention strategies among English teachers. The findings revealed that teachers in well-structured classroom environments with positive teaching attitudes were more likely to implement vocabulary retention strategies effectively.</w:t>
      </w:r>
    </w:p>
    <w:p w14:paraId="1F0BA6B8" w14:textId="72DECC91" w:rsidR="004F0A90" w:rsidRPr="004F0A90" w:rsidRDefault="004F0A90" w:rsidP="004F0A90">
      <w:pPr>
        <w:pStyle w:val="Body"/>
        <w:rPr>
          <w:rFonts w:ascii="Arial" w:hAnsi="Arial" w:cs="Arial"/>
        </w:rPr>
      </w:pPr>
      <w:r w:rsidRPr="004F0A90">
        <w:rPr>
          <w:rFonts w:ascii="Arial" w:hAnsi="Arial" w:cs="Arial"/>
        </w:rPr>
        <w:t xml:space="preserve">The findings on the significant influence of the classroom environment on the utilization of vocabulary retention strategies among English teachers corroborated </w:t>
      </w:r>
      <w:proofErr w:type="spellStart"/>
      <w:r w:rsidRPr="004F0A90">
        <w:rPr>
          <w:rFonts w:ascii="Arial" w:hAnsi="Arial" w:cs="Arial"/>
        </w:rPr>
        <w:t>Yidana's</w:t>
      </w:r>
      <w:proofErr w:type="spellEnd"/>
      <w:r w:rsidRPr="004F0A90">
        <w:rPr>
          <w:rFonts w:ascii="Arial" w:hAnsi="Arial" w:cs="Arial"/>
        </w:rPr>
        <w:t xml:space="preserve"> (2025) idea that the classroom environment significantly influenced how teachers performed various strategies. Similarly, Kadir et al. (2024) highlighted that teacher used a variety of strategies to improve vocabulary retention, and that the classroom environment influenced the selection and effectiveness of these strategies. This emphasized the value of establishing a supportive and engaging classroom environment to help teachers utilize effective vocabulary retention strategies, ultimately resulting in better student learning outcomes.</w:t>
      </w:r>
    </w:p>
    <w:p w14:paraId="38C30D7F" w14:textId="1D0795D2" w:rsidR="00BD5A33" w:rsidRDefault="004F0A90" w:rsidP="004F0A90">
      <w:pPr>
        <w:pStyle w:val="Body"/>
        <w:spacing w:after="0"/>
        <w:rPr>
          <w:rFonts w:ascii="Arial" w:hAnsi="Arial" w:cs="Arial"/>
        </w:rPr>
      </w:pPr>
      <w:r w:rsidRPr="004F0A90">
        <w:rPr>
          <w:rFonts w:ascii="Arial" w:hAnsi="Arial" w:cs="Arial"/>
        </w:rPr>
        <w:lastRenderedPageBreak/>
        <w:t>On the other hand, the results on the significant influence of teaching attitude on the utilization of vocabulary retention strategies among English teachers were in line with the study of Wanzek et al. (2023), which stated that teachers’ teaching attitudes had a significant influence on the use of vocabulary retention methods, affecting how effectively teachers enhanced students' vocabulary skills. Likewise, Minh and Nguyen (2021) emphasized in their study that positive teaching attitudes could encourage students to explore and implement creative methods, such as digital tools like Quizlet, which had beneficial impacts on vocabulary retention for secondary students. This stressed the need to cultivate positive teaching attitudes through continuous professional development and support to ensure that various vocabulary retention strategies were efficiently utilized to improve student learning outcomes.</w:t>
      </w:r>
    </w:p>
    <w:p w14:paraId="6D07787D" w14:textId="77777777" w:rsidR="004F0A90" w:rsidRPr="00FB3A86" w:rsidRDefault="004F0A90" w:rsidP="004F0A90">
      <w:pPr>
        <w:pStyle w:val="Body"/>
        <w:spacing w:after="0"/>
        <w:rPr>
          <w:rFonts w:ascii="Arial" w:hAnsi="Arial" w:cs="Arial"/>
        </w:rPr>
      </w:pPr>
    </w:p>
    <w:p w14:paraId="2DFDB73B" w14:textId="43DEB1D1"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4F0A90">
        <w:rPr>
          <w:rFonts w:ascii="Arial" w:hAnsi="Arial" w:cs="Arial"/>
        </w:rPr>
        <w:t>S AND RECOMMENDATIONS</w:t>
      </w:r>
    </w:p>
    <w:p w14:paraId="796B1E2F" w14:textId="77777777" w:rsidR="00790ADA" w:rsidRDefault="00790ADA" w:rsidP="00441B6F">
      <w:pPr>
        <w:pStyle w:val="ConcHead"/>
        <w:spacing w:after="0"/>
        <w:jc w:val="both"/>
        <w:rPr>
          <w:rFonts w:ascii="Arial" w:hAnsi="Arial" w:cs="Arial"/>
        </w:rPr>
      </w:pPr>
    </w:p>
    <w:p w14:paraId="30DA0EB7" w14:textId="1DFB3706" w:rsidR="004F0A90" w:rsidRPr="004F0A90" w:rsidRDefault="004F0A90" w:rsidP="004F0A90">
      <w:pPr>
        <w:pStyle w:val="Body"/>
        <w:jc w:val="left"/>
        <w:rPr>
          <w:rFonts w:ascii="Arial" w:hAnsi="Arial" w:cs="Arial"/>
          <w:b/>
          <w:bCs/>
          <w:sz w:val="22"/>
          <w:szCs w:val="22"/>
        </w:rPr>
      </w:pPr>
      <w:r>
        <w:rPr>
          <w:rFonts w:ascii="Arial" w:hAnsi="Arial" w:cs="Arial"/>
          <w:b/>
          <w:bCs/>
          <w:sz w:val="22"/>
          <w:szCs w:val="22"/>
        </w:rPr>
        <w:t>4.1 CONCLUSIONS</w:t>
      </w:r>
    </w:p>
    <w:p w14:paraId="38116C8E" w14:textId="75F7EEBD" w:rsidR="00C855A2" w:rsidRDefault="004F0A90" w:rsidP="00C855A2">
      <w:pPr>
        <w:pStyle w:val="Body"/>
        <w:rPr>
          <w:rFonts w:ascii="Arial" w:hAnsi="Arial" w:cs="Arial"/>
        </w:rPr>
      </w:pPr>
      <w:r w:rsidRPr="004F0A90">
        <w:rPr>
          <w:rFonts w:ascii="Arial" w:hAnsi="Arial" w:cs="Arial"/>
        </w:rPr>
        <w:t>Based on the results, it was concluded that classroom environment and teaching attitude were significant predictors of the utilization of vocabulary retention strategies among English teachers, accounting for a combined influence of 72.7%. This conclusion affirmed the expectancy-value theory, which states that an individual’s choice, persistence, and performance can be explained by their beliefs about how well they will perform a task (expectancy beliefs) and the extent to which they value the activity.</w:t>
      </w:r>
    </w:p>
    <w:p w14:paraId="7A6E807E" w14:textId="5AC244D1" w:rsidR="004F0A90" w:rsidRPr="004F0A90" w:rsidRDefault="004F0A90" w:rsidP="004F0A90">
      <w:pPr>
        <w:pStyle w:val="Body"/>
        <w:jc w:val="left"/>
        <w:rPr>
          <w:rFonts w:ascii="Arial" w:hAnsi="Arial" w:cs="Arial"/>
          <w:b/>
          <w:bCs/>
          <w:sz w:val="22"/>
          <w:szCs w:val="22"/>
        </w:rPr>
      </w:pPr>
      <w:r>
        <w:rPr>
          <w:rFonts w:ascii="Arial" w:hAnsi="Arial" w:cs="Arial"/>
          <w:b/>
          <w:bCs/>
          <w:sz w:val="22"/>
          <w:szCs w:val="22"/>
        </w:rPr>
        <w:t>4.2 RECOMMENDATIONS</w:t>
      </w:r>
    </w:p>
    <w:p w14:paraId="752C19BD" w14:textId="7A30D7FD" w:rsidR="00922F5C" w:rsidRPr="00072C5C" w:rsidRDefault="004F0A90" w:rsidP="00072C5C">
      <w:pPr>
        <w:pStyle w:val="Body"/>
        <w:rPr>
          <w:rFonts w:ascii="Arial" w:hAnsi="Arial" w:cs="Arial"/>
        </w:rPr>
      </w:pPr>
      <w:r w:rsidRPr="004F0A90">
        <w:rPr>
          <w:rFonts w:ascii="Arial" w:hAnsi="Arial" w:cs="Arial"/>
        </w:rPr>
        <w:t xml:space="preserve">Based on the conclusion, further qualitative research may be pursued using other variables not covered in this study to account the 27.3% variance in utilization of vocabulary retention strategies of English teachers to further support or deny the theory. Furthermore, classroom environment and teaching attitude may be enhanced through consistent semi-annual evaluation and training related to utilization of vocabulary retention strategies.  </w:t>
      </w:r>
    </w:p>
    <w:p w14:paraId="0404E674" w14:textId="77777777" w:rsidR="00F1688B" w:rsidRDefault="00F1688B" w:rsidP="003E0161">
      <w:pPr>
        <w:pStyle w:val="Body"/>
        <w:spacing w:after="0"/>
        <w:rPr>
          <w:rFonts w:ascii="Arial" w:hAnsi="Arial" w:cs="Arial"/>
          <w:lang w:val="en-PH"/>
        </w:rPr>
      </w:pPr>
    </w:p>
    <w:p w14:paraId="566AD727" w14:textId="706E7857" w:rsidR="009E3DCE" w:rsidRDefault="009E3DCE" w:rsidP="003E0161">
      <w:pPr>
        <w:pStyle w:val="Body"/>
        <w:spacing w:after="0"/>
        <w:rPr>
          <w:rFonts w:ascii="Arial" w:hAnsi="Arial" w:cs="Arial"/>
          <w:b/>
          <w:bCs/>
          <w:caps/>
          <w:sz w:val="22"/>
        </w:rPr>
      </w:pPr>
      <w:r w:rsidRPr="009E3DCE">
        <w:rPr>
          <w:rFonts w:ascii="Arial" w:hAnsi="Arial" w:cs="Arial"/>
          <w:b/>
          <w:bCs/>
          <w:caps/>
          <w:sz w:val="22"/>
        </w:rPr>
        <w:t>DISCLAIMER (ARTIFICIAL INTELLIGENCE)</w:t>
      </w:r>
    </w:p>
    <w:p w14:paraId="0B38F566" w14:textId="77777777" w:rsidR="009E3DCE" w:rsidRDefault="009E3DCE" w:rsidP="003E0161">
      <w:pPr>
        <w:pStyle w:val="Body"/>
        <w:spacing w:after="0"/>
        <w:rPr>
          <w:rFonts w:ascii="Arial" w:hAnsi="Arial" w:cs="Arial"/>
          <w:lang w:val="en-PH"/>
        </w:rPr>
      </w:pPr>
    </w:p>
    <w:p w14:paraId="0A297834" w14:textId="2F31978D" w:rsidR="00A36A1A" w:rsidRDefault="009E3DCE" w:rsidP="003E0161">
      <w:pPr>
        <w:pStyle w:val="Body"/>
        <w:spacing w:after="0"/>
        <w:rPr>
          <w:rFonts w:ascii="Arial" w:hAnsi="Arial" w:cs="Arial"/>
          <w:lang w:val="en-PH"/>
        </w:rPr>
      </w:pPr>
      <w:r w:rsidRPr="009E3DCE">
        <w:rPr>
          <w:rFonts w:ascii="Arial" w:hAnsi="Arial" w:cs="Arial"/>
          <w:lang w:val="en-PH"/>
        </w:rPr>
        <w:t>Authors</w:t>
      </w:r>
      <w:r w:rsidR="00A36A1A">
        <w:rPr>
          <w:rFonts w:ascii="Arial" w:hAnsi="Arial" w:cs="Arial"/>
          <w:lang w:val="en-PH"/>
        </w:rPr>
        <w:t xml:space="preserve"> </w:t>
      </w:r>
      <w:r w:rsidRPr="009E3DCE">
        <w:rPr>
          <w:rFonts w:ascii="Arial" w:hAnsi="Arial" w:cs="Arial"/>
          <w:lang w:val="en-PH"/>
        </w:rPr>
        <w:t>hereby</w:t>
      </w:r>
      <w:r w:rsidR="00A36A1A">
        <w:rPr>
          <w:rFonts w:ascii="Arial" w:hAnsi="Arial" w:cs="Arial"/>
          <w:lang w:val="en-PH"/>
        </w:rPr>
        <w:t xml:space="preserve"> </w:t>
      </w:r>
      <w:r w:rsidRPr="009E3DCE">
        <w:rPr>
          <w:rFonts w:ascii="Arial" w:hAnsi="Arial" w:cs="Arial"/>
          <w:lang w:val="en-PH"/>
        </w:rPr>
        <w:t>declare</w:t>
      </w:r>
      <w:r w:rsidR="00A36A1A">
        <w:rPr>
          <w:rFonts w:ascii="Arial" w:hAnsi="Arial" w:cs="Arial"/>
          <w:lang w:val="en-PH"/>
        </w:rPr>
        <w:t xml:space="preserve"> </w:t>
      </w:r>
      <w:r w:rsidRPr="009E3DCE">
        <w:rPr>
          <w:rFonts w:ascii="Arial" w:hAnsi="Arial" w:cs="Arial"/>
          <w:lang w:val="en-PH"/>
        </w:rPr>
        <w:t>that</w:t>
      </w:r>
      <w:r w:rsidR="00A36A1A">
        <w:rPr>
          <w:rFonts w:ascii="Arial" w:hAnsi="Arial" w:cs="Arial"/>
          <w:lang w:val="en-PH"/>
        </w:rPr>
        <w:t xml:space="preserve"> </w:t>
      </w:r>
      <w:r w:rsidRPr="009E3DCE">
        <w:rPr>
          <w:rFonts w:ascii="Arial" w:hAnsi="Arial" w:cs="Arial"/>
          <w:lang w:val="en-PH"/>
        </w:rPr>
        <w:t>generative</w:t>
      </w:r>
      <w:r w:rsidR="00A36A1A">
        <w:rPr>
          <w:rFonts w:ascii="Arial" w:hAnsi="Arial" w:cs="Arial"/>
          <w:lang w:val="en-PH"/>
        </w:rPr>
        <w:t xml:space="preserve"> </w:t>
      </w:r>
      <w:r w:rsidRPr="009E3DCE">
        <w:rPr>
          <w:rFonts w:ascii="Arial" w:hAnsi="Arial" w:cs="Arial"/>
          <w:lang w:val="en-PH"/>
        </w:rPr>
        <w:t xml:space="preserve">AI </w:t>
      </w:r>
      <w:r w:rsidR="00A36A1A" w:rsidRPr="009E3DCE">
        <w:rPr>
          <w:rFonts w:ascii="Arial" w:hAnsi="Arial" w:cs="Arial"/>
          <w:lang w:val="en-PH"/>
        </w:rPr>
        <w:t>technologies such</w:t>
      </w:r>
      <w:r w:rsidRPr="009E3DCE">
        <w:rPr>
          <w:rFonts w:ascii="Arial" w:hAnsi="Arial" w:cs="Arial"/>
          <w:lang w:val="en-PH"/>
        </w:rPr>
        <w:t xml:space="preserve"> as Large Language Models, etc.  </w:t>
      </w:r>
      <w:r w:rsidR="00A36A1A" w:rsidRPr="009E3DCE">
        <w:rPr>
          <w:rFonts w:ascii="Arial" w:hAnsi="Arial" w:cs="Arial"/>
          <w:lang w:val="en-PH"/>
        </w:rPr>
        <w:t>have been used during writing</w:t>
      </w:r>
      <w:r w:rsidRPr="009E3DCE">
        <w:rPr>
          <w:rFonts w:ascii="Arial" w:hAnsi="Arial" w:cs="Arial"/>
          <w:lang w:val="en-PH"/>
        </w:rPr>
        <w:t xml:space="preserve"> or editing of manuscripts.</w:t>
      </w:r>
      <w:r w:rsidR="00A36A1A">
        <w:rPr>
          <w:rFonts w:ascii="Arial" w:hAnsi="Arial" w:cs="Arial"/>
          <w:lang w:val="en-PH"/>
        </w:rPr>
        <w:t xml:space="preserve"> </w:t>
      </w:r>
      <w:r w:rsidR="00A36A1A" w:rsidRPr="009E3DCE">
        <w:rPr>
          <w:rFonts w:ascii="Arial" w:hAnsi="Arial" w:cs="Arial"/>
          <w:lang w:val="en-PH"/>
        </w:rPr>
        <w:t>This</w:t>
      </w:r>
      <w:r w:rsidR="00A36A1A">
        <w:rPr>
          <w:rFonts w:ascii="Arial" w:hAnsi="Arial" w:cs="Arial"/>
          <w:lang w:val="en-PH"/>
        </w:rPr>
        <w:t xml:space="preserve"> </w:t>
      </w:r>
      <w:r w:rsidR="00A36A1A" w:rsidRPr="009E3DCE">
        <w:rPr>
          <w:rFonts w:ascii="Arial" w:hAnsi="Arial" w:cs="Arial"/>
          <w:lang w:val="en-PH"/>
        </w:rPr>
        <w:t>explanation</w:t>
      </w:r>
      <w:r w:rsidRPr="009E3DCE">
        <w:rPr>
          <w:rFonts w:ascii="Arial" w:hAnsi="Arial" w:cs="Arial"/>
          <w:lang w:val="en-PH"/>
        </w:rPr>
        <w:t xml:space="preserve"> will</w:t>
      </w:r>
      <w:r w:rsidR="00A36A1A">
        <w:rPr>
          <w:rFonts w:ascii="Arial" w:hAnsi="Arial" w:cs="Arial"/>
          <w:lang w:val="en-PH"/>
        </w:rPr>
        <w:t xml:space="preserve"> </w:t>
      </w:r>
      <w:r w:rsidR="00A36A1A" w:rsidRPr="009E3DCE">
        <w:rPr>
          <w:rFonts w:ascii="Arial" w:hAnsi="Arial" w:cs="Arial"/>
          <w:lang w:val="en-PH"/>
        </w:rPr>
        <w:t>include the</w:t>
      </w:r>
      <w:r w:rsidRPr="009E3DCE">
        <w:rPr>
          <w:rFonts w:ascii="Arial" w:hAnsi="Arial" w:cs="Arial"/>
          <w:lang w:val="en-PH"/>
        </w:rPr>
        <w:t xml:space="preserve"> name, version, model, and   source   of   the generative AI technology and as well as all input prompts</w:t>
      </w:r>
      <w:r w:rsidR="00A36A1A">
        <w:rPr>
          <w:rFonts w:ascii="Arial" w:hAnsi="Arial" w:cs="Arial"/>
          <w:lang w:val="en-PH"/>
        </w:rPr>
        <w:t xml:space="preserve"> </w:t>
      </w:r>
      <w:r w:rsidRPr="009E3DCE">
        <w:rPr>
          <w:rFonts w:ascii="Arial" w:hAnsi="Arial" w:cs="Arial"/>
          <w:lang w:val="en-PH"/>
        </w:rPr>
        <w:t>provided</w:t>
      </w:r>
      <w:r w:rsidR="00A36A1A">
        <w:rPr>
          <w:rFonts w:ascii="Arial" w:hAnsi="Arial" w:cs="Arial"/>
          <w:lang w:val="en-PH"/>
        </w:rPr>
        <w:t xml:space="preserve"> </w:t>
      </w:r>
      <w:r w:rsidRPr="009E3DCE">
        <w:rPr>
          <w:rFonts w:ascii="Arial" w:hAnsi="Arial" w:cs="Arial"/>
          <w:lang w:val="en-PH"/>
        </w:rPr>
        <w:t>to</w:t>
      </w:r>
      <w:r w:rsidR="00A36A1A">
        <w:rPr>
          <w:rFonts w:ascii="Arial" w:hAnsi="Arial" w:cs="Arial"/>
          <w:lang w:val="en-PH"/>
        </w:rPr>
        <w:t xml:space="preserve"> </w:t>
      </w:r>
      <w:r w:rsidRPr="009E3DCE">
        <w:rPr>
          <w:rFonts w:ascii="Arial" w:hAnsi="Arial" w:cs="Arial"/>
          <w:lang w:val="en-PH"/>
        </w:rPr>
        <w:t>the</w:t>
      </w:r>
      <w:r w:rsidR="00A36A1A">
        <w:rPr>
          <w:rFonts w:ascii="Arial" w:hAnsi="Arial" w:cs="Arial"/>
          <w:lang w:val="en-PH"/>
        </w:rPr>
        <w:t xml:space="preserve"> </w:t>
      </w:r>
      <w:r w:rsidRPr="009E3DCE">
        <w:rPr>
          <w:rFonts w:ascii="Arial" w:hAnsi="Arial" w:cs="Arial"/>
          <w:lang w:val="en-PH"/>
        </w:rPr>
        <w:t>generative AI technology.</w:t>
      </w:r>
      <w:r w:rsidR="00A36A1A">
        <w:rPr>
          <w:rFonts w:ascii="Arial" w:hAnsi="Arial" w:cs="Arial"/>
          <w:lang w:val="en-PH"/>
        </w:rPr>
        <w:t xml:space="preserve"> </w:t>
      </w:r>
    </w:p>
    <w:p w14:paraId="4FB4AFBB" w14:textId="77777777" w:rsidR="00A36A1A" w:rsidRDefault="00A36A1A" w:rsidP="003E0161">
      <w:pPr>
        <w:pStyle w:val="Body"/>
        <w:spacing w:after="0"/>
        <w:rPr>
          <w:rFonts w:ascii="Arial" w:hAnsi="Arial" w:cs="Arial"/>
          <w:lang w:val="en-PH"/>
        </w:rPr>
      </w:pPr>
    </w:p>
    <w:p w14:paraId="428E8DCE" w14:textId="77777777" w:rsidR="00A36A1A" w:rsidRDefault="009E3DCE" w:rsidP="003E0161">
      <w:pPr>
        <w:pStyle w:val="Body"/>
        <w:spacing w:after="0"/>
        <w:rPr>
          <w:rFonts w:ascii="Arial" w:hAnsi="Arial" w:cs="Arial"/>
          <w:lang w:val="en-PH"/>
        </w:rPr>
      </w:pPr>
      <w:r w:rsidRPr="009E3DCE">
        <w:rPr>
          <w:rFonts w:ascii="Arial" w:hAnsi="Arial" w:cs="Arial"/>
          <w:lang w:val="en-PH"/>
        </w:rPr>
        <w:t>Details of the AI usage are given below:</w:t>
      </w:r>
    </w:p>
    <w:p w14:paraId="4AEB2AEC" w14:textId="77777777" w:rsidR="00A36A1A" w:rsidRDefault="00A36A1A" w:rsidP="003E0161">
      <w:pPr>
        <w:pStyle w:val="Body"/>
        <w:spacing w:after="0"/>
        <w:rPr>
          <w:rFonts w:ascii="Arial" w:hAnsi="Arial" w:cs="Arial"/>
          <w:lang w:val="en-PH"/>
        </w:rPr>
      </w:pPr>
    </w:p>
    <w:p w14:paraId="180F69FC" w14:textId="0BE45766" w:rsidR="009E3DCE" w:rsidRDefault="009E3DCE" w:rsidP="003E0161">
      <w:pPr>
        <w:pStyle w:val="Body"/>
        <w:spacing w:after="0"/>
        <w:rPr>
          <w:rFonts w:ascii="Arial" w:hAnsi="Arial" w:cs="Arial"/>
          <w:lang w:val="en-PH"/>
        </w:rPr>
      </w:pPr>
      <w:r w:rsidRPr="009E3DCE">
        <w:rPr>
          <w:rFonts w:ascii="Arial" w:hAnsi="Arial" w:cs="Arial"/>
          <w:lang w:val="en-PH"/>
        </w:rPr>
        <w:t>1.   Grammarly   Premium –</w:t>
      </w:r>
      <w:r w:rsidR="00A36A1A">
        <w:rPr>
          <w:rFonts w:ascii="Arial" w:hAnsi="Arial" w:cs="Arial"/>
          <w:lang w:val="en-PH"/>
        </w:rPr>
        <w:t xml:space="preserve"> </w:t>
      </w:r>
      <w:r w:rsidRPr="009E3DCE">
        <w:rPr>
          <w:rFonts w:ascii="Arial" w:hAnsi="Arial" w:cs="Arial"/>
          <w:lang w:val="en-PH"/>
        </w:rPr>
        <w:t>used</w:t>
      </w:r>
      <w:r w:rsidR="00A36A1A">
        <w:rPr>
          <w:rFonts w:ascii="Arial" w:hAnsi="Arial" w:cs="Arial"/>
          <w:lang w:val="en-PH"/>
        </w:rPr>
        <w:t xml:space="preserve"> </w:t>
      </w:r>
      <w:r w:rsidRPr="009E3DCE">
        <w:rPr>
          <w:rFonts w:ascii="Arial" w:hAnsi="Arial" w:cs="Arial"/>
          <w:lang w:val="en-PH"/>
        </w:rPr>
        <w:t>for thorough checking of the grammar.</w:t>
      </w:r>
    </w:p>
    <w:p w14:paraId="690D8E05" w14:textId="77777777" w:rsidR="009E3DCE" w:rsidRPr="00A663AC" w:rsidRDefault="009E3DCE" w:rsidP="003E0161">
      <w:pPr>
        <w:pStyle w:val="Body"/>
        <w:spacing w:after="0"/>
        <w:rPr>
          <w:rFonts w:ascii="Arial" w:hAnsi="Arial" w:cs="Arial"/>
          <w:lang w:val="en-PH"/>
        </w:rPr>
      </w:pPr>
    </w:p>
    <w:p w14:paraId="66991513" w14:textId="4473BFD4" w:rsidR="00DA1E28" w:rsidRDefault="00DA1E28" w:rsidP="00441B6F">
      <w:pPr>
        <w:pStyle w:val="ReferHead"/>
        <w:spacing w:after="0"/>
        <w:jc w:val="both"/>
        <w:rPr>
          <w:rFonts w:ascii="Arial" w:hAnsi="Arial" w:cs="Arial"/>
          <w:bCs/>
        </w:rPr>
      </w:pPr>
      <w:r>
        <w:rPr>
          <w:rFonts w:ascii="Arial" w:hAnsi="Arial" w:cs="Arial"/>
          <w:bCs/>
        </w:rPr>
        <w:t xml:space="preserve">CONSENT </w:t>
      </w:r>
    </w:p>
    <w:p w14:paraId="2D5CE738" w14:textId="77777777" w:rsidR="00073BE4" w:rsidRPr="00073BE4" w:rsidRDefault="00073BE4" w:rsidP="00441B6F">
      <w:pPr>
        <w:pStyle w:val="ReferHead"/>
        <w:spacing w:after="0"/>
        <w:jc w:val="both"/>
        <w:rPr>
          <w:rFonts w:ascii="Arial" w:hAnsi="Arial" w:cs="Arial"/>
          <w:bCs/>
        </w:rPr>
      </w:pPr>
    </w:p>
    <w:p w14:paraId="71DC0E6F" w14:textId="77777777" w:rsidR="00073BE4" w:rsidRDefault="00073BE4" w:rsidP="00073BE4">
      <w:pPr>
        <w:pStyle w:val="Body"/>
        <w:spacing w:after="0"/>
        <w:rPr>
          <w:rFonts w:ascii="Arial" w:hAnsi="Arial" w:cs="Arial"/>
        </w:rPr>
      </w:pPr>
      <w:r w:rsidRPr="004E6394">
        <w:rPr>
          <w:rFonts w:ascii="Arial" w:hAnsi="Arial" w:cs="Arial"/>
        </w:rPr>
        <w:t xml:space="preserve">Informed consent was ensured through clear communication of the study’s purpose, procedures, and potential risks, allowing participants to voluntarily decide their involvement. Risks were minimized, and confidentiality was maintained in compliance with the Data Privacy Act of 2012. Participants were acknowledged for their contributions through tokens of appreciation, and transparency and community involvement fostered trust and collaboration. By upholding these ethical standards, the research aimed to generate meaningful insights into the classroom environment, teaching attitudes, and the utilization of vocabulary retention </w:t>
      </w:r>
      <w:r w:rsidRPr="004E6394">
        <w:rPr>
          <w:rFonts w:ascii="Arial" w:hAnsi="Arial" w:cs="Arial"/>
        </w:rPr>
        <w:lastRenderedPageBreak/>
        <w:t>strategies among English teachers, while respecting participants' rights and promoting academic integrity.</w:t>
      </w:r>
    </w:p>
    <w:p w14:paraId="2D1E5AD8" w14:textId="77777777" w:rsidR="00073BE4" w:rsidRDefault="00073BE4" w:rsidP="00441B6F">
      <w:pPr>
        <w:pStyle w:val="ReferHead"/>
        <w:spacing w:after="0"/>
        <w:jc w:val="both"/>
        <w:rPr>
          <w:rFonts w:ascii="Arial" w:hAnsi="Arial" w:cs="Arial"/>
        </w:rPr>
      </w:pPr>
    </w:p>
    <w:p w14:paraId="37BA71C6" w14:textId="4D5EBE29" w:rsidR="00073BE4" w:rsidRDefault="00073BE4" w:rsidP="00073BE4">
      <w:pPr>
        <w:pStyle w:val="ReferHead"/>
        <w:spacing w:after="0"/>
        <w:jc w:val="both"/>
        <w:rPr>
          <w:rFonts w:ascii="Arial" w:hAnsi="Arial" w:cs="Arial"/>
          <w:bCs/>
        </w:rPr>
      </w:pPr>
      <w:r>
        <w:rPr>
          <w:rFonts w:ascii="Arial" w:hAnsi="Arial" w:cs="Arial"/>
          <w:bCs/>
        </w:rPr>
        <w:t>ETHICAL CONSIDERATIONS</w:t>
      </w:r>
    </w:p>
    <w:p w14:paraId="5698C919" w14:textId="77777777" w:rsidR="00073BE4" w:rsidRDefault="00073BE4" w:rsidP="00441B6F">
      <w:pPr>
        <w:pStyle w:val="ReferHead"/>
        <w:spacing w:after="0"/>
        <w:jc w:val="both"/>
        <w:rPr>
          <w:rFonts w:ascii="Arial" w:hAnsi="Arial" w:cs="Arial"/>
        </w:rPr>
      </w:pPr>
    </w:p>
    <w:p w14:paraId="648F222F" w14:textId="62B91FF6" w:rsidR="00073BE4" w:rsidRDefault="00073BE4" w:rsidP="00073BE4">
      <w:pPr>
        <w:pStyle w:val="Body"/>
        <w:rPr>
          <w:rFonts w:ascii="Arial" w:hAnsi="Arial" w:cs="Arial"/>
        </w:rPr>
      </w:pPr>
      <w:r w:rsidRPr="004E6394">
        <w:rPr>
          <w:rFonts w:ascii="Arial" w:hAnsi="Arial" w:cs="Arial"/>
        </w:rPr>
        <w:t>Conducting research required strict adherence to ethical principles to safeguard the rights and well-being of participants. Researchers prioritized participants' safety, security, and informed consent throughout the study. According to Bhandari (2023), ethical considerations such as protecting participants' rights, maintaining research validity, and ensuring academic integrity were essential. This study adhered to the ethical guidelines set by the Holy Cross of Davao College – Society for Moral Integrity and Legal Ethics (HCDC-SMILE) and the mandates of the Department of Science and Technology-Philippine Health Research Ethics Board (DOST-PHREB). Key ethical elements included social value, informed consent, risk mitigation, privacy, justice, transparency, researcher qualifications, facility adequacy, and community involvement.</w:t>
      </w:r>
    </w:p>
    <w:p w14:paraId="41AF861D" w14:textId="5A0400A1" w:rsidR="00B01FCD" w:rsidRDefault="00B01FCD" w:rsidP="00441B6F">
      <w:pPr>
        <w:pStyle w:val="ReferHead"/>
        <w:spacing w:after="0"/>
        <w:jc w:val="both"/>
        <w:rPr>
          <w:rFonts w:ascii="Arial" w:hAnsi="Arial" w:cs="Arial"/>
        </w:rPr>
      </w:pPr>
      <w:r w:rsidRPr="00FB3A86">
        <w:rPr>
          <w:rFonts w:ascii="Arial" w:hAnsi="Arial" w:cs="Arial"/>
        </w:rPr>
        <w:t>References</w:t>
      </w:r>
    </w:p>
    <w:p w14:paraId="05B8EF24" w14:textId="77777777" w:rsidR="00790ADA" w:rsidRPr="00FB3A86" w:rsidRDefault="00790ADA" w:rsidP="00441B6F">
      <w:pPr>
        <w:pStyle w:val="ReferHead"/>
        <w:spacing w:after="0"/>
        <w:jc w:val="both"/>
        <w:rPr>
          <w:rFonts w:ascii="Arial" w:hAnsi="Arial" w:cs="Arial"/>
        </w:rPr>
      </w:pPr>
    </w:p>
    <w:p w14:paraId="6D8975D0" w14:textId="77777777" w:rsidR="00DA1E28" w:rsidRDefault="00353910" w:rsidP="00DA1E28">
      <w:pPr>
        <w:pStyle w:val="Body"/>
        <w:spacing w:after="0"/>
      </w:pPr>
      <w:r>
        <w:t xml:space="preserve">Alanazi, A. S., </w:t>
      </w:r>
      <w:proofErr w:type="spellStart"/>
      <w:r>
        <w:t>Almulla</w:t>
      </w:r>
      <w:proofErr w:type="spellEnd"/>
      <w:r>
        <w:t xml:space="preserve">, A. A., &amp; Saleem, A. (2023). Evaluating the effects of integrating cognitive presence strategies on teacher attitudes and student learning outcomes in special education and autism classrooms. International Journal of Special Education (IJSE), 38(2), 80–89. </w:t>
      </w:r>
    </w:p>
    <w:p w14:paraId="3E610FB5" w14:textId="2AF25D9F" w:rsidR="00DA1E28" w:rsidRDefault="00DA1E28" w:rsidP="00DA1E28">
      <w:pPr>
        <w:pStyle w:val="Body"/>
        <w:spacing w:after="0"/>
      </w:pPr>
      <w:r>
        <w:t>Accessed 21 March 2025</w:t>
      </w:r>
    </w:p>
    <w:p w14:paraId="3E35D865" w14:textId="5DCB94C2" w:rsidR="00353910" w:rsidRDefault="00DA1E28" w:rsidP="00DA1E28">
      <w:pPr>
        <w:pStyle w:val="Body"/>
      </w:pPr>
      <w:r>
        <w:t xml:space="preserve">Available: </w:t>
      </w:r>
      <w:hyperlink r:id="rId14" w:history="1">
        <w:r w:rsidRPr="00E3068E">
          <w:rPr>
            <w:rStyle w:val="Hyperlink"/>
          </w:rPr>
          <w:t>https://doi.org/10.52291/ijse.2023.38.24</w:t>
        </w:r>
      </w:hyperlink>
      <w:r>
        <w:t xml:space="preserve"> </w:t>
      </w:r>
    </w:p>
    <w:p w14:paraId="508B0C7A" w14:textId="77777777" w:rsidR="00DA1E28" w:rsidRDefault="00353910" w:rsidP="00DA1E28">
      <w:pPr>
        <w:pStyle w:val="Body"/>
        <w:spacing w:after="0"/>
      </w:pPr>
      <w:r>
        <w:t xml:space="preserve">Al-Malki, N. S. (2022). Integrating learning strategies for EFL learners’ vocabulary enrichment and retention: Applying KWS and MMS in Saudi classrooms. Linguistics and Culture Review, 6(S2), 639-654. </w:t>
      </w:r>
    </w:p>
    <w:p w14:paraId="5913D286" w14:textId="0C760E8A" w:rsidR="00DA1E28" w:rsidRDefault="00DA1E28" w:rsidP="00DA1E28">
      <w:pPr>
        <w:pStyle w:val="Body"/>
        <w:spacing w:after="0"/>
      </w:pPr>
      <w:r>
        <w:t>Accessed 19 April 2025</w:t>
      </w:r>
    </w:p>
    <w:p w14:paraId="32BB7E1F" w14:textId="19538D54" w:rsidR="00353910" w:rsidRDefault="00DA1E28" w:rsidP="00DA1E28">
      <w:pPr>
        <w:pStyle w:val="Body"/>
      </w:pPr>
      <w:r>
        <w:t xml:space="preserve">Available: </w:t>
      </w:r>
      <w:hyperlink r:id="rId15" w:history="1">
        <w:r w:rsidRPr="00E3068E">
          <w:rPr>
            <w:rStyle w:val="Hyperlink"/>
          </w:rPr>
          <w:t>https://doi.org/10.21744/lingcure.v6nS2.2218</w:t>
        </w:r>
      </w:hyperlink>
      <w:r>
        <w:t xml:space="preserve"> </w:t>
      </w:r>
    </w:p>
    <w:p w14:paraId="34F31A3E" w14:textId="77777777" w:rsidR="00DA1E28" w:rsidRDefault="00353910" w:rsidP="00DA1E28">
      <w:pPr>
        <w:pStyle w:val="Body"/>
        <w:spacing w:after="0"/>
      </w:pPr>
      <w:r>
        <w:t xml:space="preserve">Amalia, R., Latief, H., &amp; </w:t>
      </w:r>
      <w:proofErr w:type="spellStart"/>
      <w:r>
        <w:t>Yulianti</w:t>
      </w:r>
      <w:proofErr w:type="spellEnd"/>
      <w:r>
        <w:t xml:space="preserve"> </w:t>
      </w:r>
      <w:proofErr w:type="spellStart"/>
      <w:r>
        <w:t>Natsir</w:t>
      </w:r>
      <w:proofErr w:type="spellEnd"/>
      <w:r>
        <w:t xml:space="preserve">, R. (2023). Teachers’ challenges in implementing vocabulary games in English class for the tenth grade. Journal of Language Testing and Assessment, 3(1), 51–57. </w:t>
      </w:r>
    </w:p>
    <w:p w14:paraId="02DDE320" w14:textId="08662715" w:rsidR="00DA1E28" w:rsidRDefault="00DA1E28" w:rsidP="00DA1E28">
      <w:pPr>
        <w:pStyle w:val="Body"/>
        <w:spacing w:after="0"/>
      </w:pPr>
      <w:r>
        <w:t>Accessed 29 March 2025</w:t>
      </w:r>
    </w:p>
    <w:p w14:paraId="5DE24686" w14:textId="35B6B1C0" w:rsidR="00353910" w:rsidRDefault="00DA1E28" w:rsidP="00DA1E28">
      <w:pPr>
        <w:pStyle w:val="Body"/>
      </w:pPr>
      <w:r>
        <w:t xml:space="preserve">Available: </w:t>
      </w:r>
      <w:hyperlink r:id="rId16" w:history="1">
        <w:r w:rsidRPr="00E3068E">
          <w:rPr>
            <w:rStyle w:val="Hyperlink"/>
          </w:rPr>
          <w:t>https://doi.org/10.56983/jlta.v3i1.312</w:t>
        </w:r>
      </w:hyperlink>
      <w:r>
        <w:t xml:space="preserve"> </w:t>
      </w:r>
    </w:p>
    <w:p w14:paraId="7737CADC" w14:textId="77777777" w:rsidR="00DA1E28" w:rsidRDefault="00353910" w:rsidP="00DA1E28">
      <w:pPr>
        <w:pStyle w:val="Body"/>
        <w:spacing w:after="0"/>
      </w:pPr>
      <w:r>
        <w:t xml:space="preserve">Apan, C. E. (2024). Classroom management practices and learners’ discipline: foundation for an enhanced classroom environment program. International Journal of Education Humanities and Social Science, 606. </w:t>
      </w:r>
    </w:p>
    <w:p w14:paraId="2ABB5590" w14:textId="22D62D64" w:rsidR="00DA1E28" w:rsidRDefault="00DA1E28" w:rsidP="00DA1E28">
      <w:pPr>
        <w:pStyle w:val="Body"/>
        <w:spacing w:after="0"/>
      </w:pPr>
      <w:r>
        <w:t xml:space="preserve">Accessed 19 April 2025 </w:t>
      </w:r>
    </w:p>
    <w:p w14:paraId="4CB865A9" w14:textId="07943089" w:rsidR="00353910" w:rsidRDefault="00DA1E28" w:rsidP="00DA1E28">
      <w:pPr>
        <w:pStyle w:val="Body"/>
      </w:pPr>
      <w:r>
        <w:t xml:space="preserve">Available: </w:t>
      </w:r>
      <w:hyperlink r:id="rId17" w:history="1">
        <w:r w:rsidRPr="00E3068E">
          <w:rPr>
            <w:rStyle w:val="Hyperlink"/>
          </w:rPr>
          <w:t>https://doi.org/10.54922/IJEHSS.2024.0867</w:t>
        </w:r>
      </w:hyperlink>
      <w:r>
        <w:t xml:space="preserve"> </w:t>
      </w:r>
    </w:p>
    <w:p w14:paraId="1062123F" w14:textId="77777777" w:rsidR="00DA1E28" w:rsidRDefault="00353910" w:rsidP="00DA1E28">
      <w:pPr>
        <w:pStyle w:val="Body"/>
        <w:spacing w:after="0"/>
      </w:pPr>
      <w:r>
        <w:t xml:space="preserve">Bhandari, P. (2023). Ethical Considerations in Research / Types &amp; Examples. </w:t>
      </w:r>
    </w:p>
    <w:p w14:paraId="4DE757A6" w14:textId="75E17262" w:rsidR="00DA1E28" w:rsidRDefault="00DA1E28" w:rsidP="00DA1E28">
      <w:pPr>
        <w:pStyle w:val="Body"/>
        <w:spacing w:after="0"/>
      </w:pPr>
      <w:r>
        <w:t>Accessed 08 September 2024</w:t>
      </w:r>
    </w:p>
    <w:p w14:paraId="5920DC36" w14:textId="20C50733" w:rsidR="00353910" w:rsidRDefault="00DA1E28" w:rsidP="00DA1E28">
      <w:pPr>
        <w:pStyle w:val="Body"/>
      </w:pPr>
      <w:r>
        <w:t xml:space="preserve">Available: </w:t>
      </w:r>
      <w:hyperlink r:id="rId18" w:history="1">
        <w:r w:rsidRPr="00E3068E">
          <w:rPr>
            <w:rStyle w:val="Hyperlink"/>
          </w:rPr>
          <w:t>https://www.scribbr.com/methodology/research-ethics/</w:t>
        </w:r>
      </w:hyperlink>
      <w:r>
        <w:t xml:space="preserve"> </w:t>
      </w:r>
    </w:p>
    <w:p w14:paraId="21CFBF2B" w14:textId="706532DD" w:rsidR="00DA1E28" w:rsidRDefault="00353910" w:rsidP="00DA1E28">
      <w:pPr>
        <w:pStyle w:val="Body"/>
        <w:spacing w:after="0"/>
      </w:pPr>
      <w:r>
        <w:t xml:space="preserve">Bostanci, H. B. (2022). The impact of subtitled films on English as a second language students vocabulary retention. Journal for Educators, Teachers and Trainers, Vol. 13(1). 101 – 109. </w:t>
      </w:r>
      <w:r w:rsidR="00DA1E28">
        <w:t>Accessed 29 March 2025</w:t>
      </w:r>
    </w:p>
    <w:p w14:paraId="5CACD8F6" w14:textId="41C517EA" w:rsidR="00353910" w:rsidRDefault="00DA1E28" w:rsidP="00DA1E28">
      <w:pPr>
        <w:pStyle w:val="Body"/>
      </w:pPr>
      <w:r>
        <w:t xml:space="preserve">Available: </w:t>
      </w:r>
      <w:hyperlink r:id="rId19" w:history="1">
        <w:r w:rsidRPr="00E3068E">
          <w:rPr>
            <w:rStyle w:val="Hyperlink"/>
          </w:rPr>
          <w:t>https://doi.org/10.47750/jett.2022.13.01.012</w:t>
        </w:r>
      </w:hyperlink>
      <w:r>
        <w:t xml:space="preserve"> </w:t>
      </w:r>
    </w:p>
    <w:p w14:paraId="258E87D4" w14:textId="77777777" w:rsidR="00DA1E28" w:rsidRDefault="00353910" w:rsidP="00DA1E28">
      <w:pPr>
        <w:pStyle w:val="Body"/>
        <w:spacing w:after="0"/>
      </w:pPr>
      <w:r>
        <w:lastRenderedPageBreak/>
        <w:t xml:space="preserve">Cambay, D. J. D., &amp; Paglinawan, Dr. J. L. (2024). Classroom management strategies and school environment on student engagement. International Journal of Research and Innovation in Social Science, VIII(XII), 1–13. </w:t>
      </w:r>
    </w:p>
    <w:p w14:paraId="05E13497" w14:textId="5F400992" w:rsidR="00DA1E28" w:rsidRDefault="00DA1E28" w:rsidP="00DA1E28">
      <w:pPr>
        <w:pStyle w:val="Body"/>
        <w:spacing w:after="0"/>
      </w:pPr>
      <w:r>
        <w:t>Accessed 16 March 2025</w:t>
      </w:r>
    </w:p>
    <w:p w14:paraId="6E0C2AEF" w14:textId="0E2329EF" w:rsidR="00353910" w:rsidRDefault="00DA1E28" w:rsidP="00DA1E28">
      <w:pPr>
        <w:pStyle w:val="Body"/>
      </w:pPr>
      <w:r>
        <w:t xml:space="preserve">Available: </w:t>
      </w:r>
      <w:hyperlink r:id="rId20" w:history="1">
        <w:r w:rsidRPr="00E3068E">
          <w:rPr>
            <w:rStyle w:val="Hyperlink"/>
          </w:rPr>
          <w:t>https://doi.org/10.47772/ijriss.2024.8120001</w:t>
        </w:r>
      </w:hyperlink>
      <w:r>
        <w:t xml:space="preserve"> </w:t>
      </w:r>
    </w:p>
    <w:p w14:paraId="2B69D9F0" w14:textId="77777777" w:rsidR="00DA1E28" w:rsidRDefault="00353910" w:rsidP="00DA1E28">
      <w:pPr>
        <w:pStyle w:val="Body"/>
        <w:spacing w:after="0"/>
      </w:pPr>
      <w:r>
        <w:t xml:space="preserve">Chiang, K. M., Chang, C., &amp; Lee, I. (2021). Vocabulary learning strategy instruction in the EFL secondary classroom: an exploratory study. Language Awareness, 32(1), 94–113. </w:t>
      </w:r>
    </w:p>
    <w:p w14:paraId="2DCA9960" w14:textId="09C02576" w:rsidR="00DA1E28" w:rsidRDefault="00DA1E28" w:rsidP="00DA1E28">
      <w:pPr>
        <w:pStyle w:val="Body"/>
        <w:spacing w:after="0"/>
      </w:pPr>
      <w:r>
        <w:t>Accessed 23 March 2025</w:t>
      </w:r>
    </w:p>
    <w:p w14:paraId="63D7FD4C" w14:textId="0BAD1F23" w:rsidR="00353910" w:rsidRDefault="00DA1E28" w:rsidP="00DA1E28">
      <w:pPr>
        <w:pStyle w:val="Body"/>
      </w:pPr>
      <w:r>
        <w:t xml:space="preserve">Available: </w:t>
      </w:r>
      <w:hyperlink r:id="rId21" w:history="1">
        <w:r w:rsidRPr="00E3068E">
          <w:rPr>
            <w:rStyle w:val="Hyperlink"/>
          </w:rPr>
          <w:t>https://doi.org/10.1080/09658416.2021.1979566</w:t>
        </w:r>
      </w:hyperlink>
      <w:r>
        <w:t xml:space="preserve"> </w:t>
      </w:r>
    </w:p>
    <w:p w14:paraId="524CD62B" w14:textId="77777777" w:rsidR="00DA1E28" w:rsidRDefault="00353910" w:rsidP="00DA1E28">
      <w:pPr>
        <w:pStyle w:val="Body"/>
        <w:spacing w:after="0"/>
      </w:pPr>
      <w:r>
        <w:t xml:space="preserve">Chung, E. (2022). Effecting change in teachers’ epistemological and pedagogical beliefs about vocabulary learning and teaching: the role of dialogic reflection. SAGE Open, 12(1). </w:t>
      </w:r>
    </w:p>
    <w:p w14:paraId="3A700F6F" w14:textId="55C9FBE7" w:rsidR="00DA1E28" w:rsidRDefault="00DA1E28" w:rsidP="00DA1E28">
      <w:pPr>
        <w:pStyle w:val="Body"/>
        <w:spacing w:after="0"/>
      </w:pPr>
      <w:r>
        <w:t>Accessed 23 March 2025</w:t>
      </w:r>
    </w:p>
    <w:p w14:paraId="701D2ACB" w14:textId="1C90BD16" w:rsidR="00353910" w:rsidRDefault="00DA1E28" w:rsidP="00DA1E28">
      <w:pPr>
        <w:pStyle w:val="Body"/>
      </w:pPr>
      <w:r>
        <w:t xml:space="preserve">Available: </w:t>
      </w:r>
      <w:hyperlink r:id="rId22" w:history="1">
        <w:r w:rsidRPr="00E3068E">
          <w:rPr>
            <w:rStyle w:val="Hyperlink"/>
          </w:rPr>
          <w:t>https://doi.org/10.1177/21582440211071084</w:t>
        </w:r>
      </w:hyperlink>
      <w:r>
        <w:t xml:space="preserve"> </w:t>
      </w:r>
    </w:p>
    <w:p w14:paraId="4E85983E" w14:textId="77777777" w:rsidR="00DA1E28" w:rsidRDefault="00353910" w:rsidP="00DA1E28">
      <w:pPr>
        <w:pStyle w:val="Body"/>
        <w:spacing w:after="0"/>
      </w:pPr>
      <w:r>
        <w:t>Daniel, C. E. (2025). Preservice teacher self-efficacy: pre-covid and during-covid perspectives from Kuwait. Academic Journal of Interdisciplinary Studies, 14(1), 237</w:t>
      </w:r>
      <w:r w:rsidR="00DA1E28">
        <w:t xml:space="preserve">. </w:t>
      </w:r>
    </w:p>
    <w:p w14:paraId="5ADDB5D4" w14:textId="44F0C669" w:rsidR="00DA1E28" w:rsidRDefault="00DA1E28" w:rsidP="00DA1E28">
      <w:pPr>
        <w:pStyle w:val="Body"/>
        <w:spacing w:after="0"/>
      </w:pPr>
      <w:r>
        <w:t>Accessed 03 March 2025</w:t>
      </w:r>
    </w:p>
    <w:p w14:paraId="29FF93F3" w14:textId="2C2DA597" w:rsidR="00353910" w:rsidRDefault="00DA1E28" w:rsidP="00DA1E28">
      <w:pPr>
        <w:pStyle w:val="Body"/>
      </w:pPr>
      <w:r>
        <w:t xml:space="preserve">Available: </w:t>
      </w:r>
      <w:hyperlink r:id="rId23" w:history="1">
        <w:r w:rsidRPr="00E3068E">
          <w:rPr>
            <w:rStyle w:val="Hyperlink"/>
          </w:rPr>
          <w:t>https://doi.org/10.36941/ajis-2025-0016</w:t>
        </w:r>
      </w:hyperlink>
      <w:r>
        <w:t xml:space="preserve"> </w:t>
      </w:r>
    </w:p>
    <w:p w14:paraId="2D65432F" w14:textId="77777777" w:rsidR="00DA1E28" w:rsidRDefault="00353910" w:rsidP="00DA1E28">
      <w:pPr>
        <w:pStyle w:val="Body"/>
        <w:spacing w:after="0"/>
      </w:pPr>
      <w:r>
        <w:t xml:space="preserve">Ford, D. Y. (1995). A study of achievement and underachievement among gifted, potentially gifted, and average African American students. </w:t>
      </w:r>
    </w:p>
    <w:p w14:paraId="3DB23342" w14:textId="1ABF0666" w:rsidR="00DA1E28" w:rsidRDefault="00DA1E28" w:rsidP="00DA1E28">
      <w:pPr>
        <w:pStyle w:val="Body"/>
        <w:spacing w:after="0"/>
      </w:pPr>
      <w:r>
        <w:t>Accessed 08 September 2024</w:t>
      </w:r>
    </w:p>
    <w:p w14:paraId="4CDBA1D3" w14:textId="669FA0AD" w:rsidR="00353910" w:rsidRDefault="00DA1E28" w:rsidP="00DA1E28">
      <w:pPr>
        <w:pStyle w:val="Body"/>
      </w:pPr>
      <w:r>
        <w:t xml:space="preserve">Available: </w:t>
      </w:r>
      <w:hyperlink r:id="rId24" w:history="1">
        <w:r w:rsidRPr="00E3068E">
          <w:rPr>
            <w:rStyle w:val="Hyperlink"/>
          </w:rPr>
          <w:t>https://nrcgt.uconn.edu/wp-content/uploads/sites/953/2015/03/rm95128.pdf</w:t>
        </w:r>
      </w:hyperlink>
      <w:r>
        <w:t xml:space="preserve"> </w:t>
      </w:r>
    </w:p>
    <w:p w14:paraId="0DE1E837" w14:textId="77777777" w:rsidR="00DA1E28" w:rsidRDefault="00353910" w:rsidP="00DA1E28">
      <w:pPr>
        <w:pStyle w:val="Body"/>
        <w:spacing w:after="0"/>
      </w:pPr>
      <w:proofErr w:type="spellStart"/>
      <w:r>
        <w:t>Ghanad</w:t>
      </w:r>
      <w:proofErr w:type="spellEnd"/>
      <w:r>
        <w:t xml:space="preserve">, A. (2023). An overview of quantitative research methods. International Journal of Multidisciplinary Research and Analysis, 06(08). </w:t>
      </w:r>
    </w:p>
    <w:p w14:paraId="1E25DE77" w14:textId="659B2679" w:rsidR="00DA1E28" w:rsidRDefault="00DA1E28" w:rsidP="00DA1E28">
      <w:pPr>
        <w:pStyle w:val="Body"/>
        <w:spacing w:after="0"/>
      </w:pPr>
      <w:r>
        <w:t>Accessed 08 September 2024</w:t>
      </w:r>
    </w:p>
    <w:p w14:paraId="20DBFF9C" w14:textId="12B60BAB" w:rsidR="00353910" w:rsidRDefault="00DA1E28" w:rsidP="00DA1E28">
      <w:pPr>
        <w:pStyle w:val="Body"/>
      </w:pPr>
      <w:r>
        <w:t xml:space="preserve">Available: </w:t>
      </w:r>
      <w:hyperlink r:id="rId25" w:history="1">
        <w:r w:rsidRPr="00E3068E">
          <w:rPr>
            <w:rStyle w:val="Hyperlink"/>
          </w:rPr>
          <w:t>https://doi.org/10.47191/ijmra/v6-i8-52</w:t>
        </w:r>
      </w:hyperlink>
      <w:r>
        <w:t xml:space="preserve"> </w:t>
      </w:r>
    </w:p>
    <w:p w14:paraId="7D6D2BDF" w14:textId="77777777" w:rsidR="00DA1E28" w:rsidRDefault="00353910" w:rsidP="00DA1E28">
      <w:pPr>
        <w:pStyle w:val="Body"/>
        <w:spacing w:after="0"/>
      </w:pPr>
      <w:proofErr w:type="spellStart"/>
      <w:r>
        <w:t>Goagoses</w:t>
      </w:r>
      <w:proofErr w:type="spellEnd"/>
      <w:r>
        <w:t xml:space="preserve">, N., </w:t>
      </w:r>
      <w:proofErr w:type="spellStart"/>
      <w:r>
        <w:t>Suovuo</w:t>
      </w:r>
      <w:proofErr w:type="spellEnd"/>
      <w:r>
        <w:t xml:space="preserve">, T., </w:t>
      </w:r>
      <w:proofErr w:type="spellStart"/>
      <w:r>
        <w:t>Winschiers</w:t>
      </w:r>
      <w:proofErr w:type="spellEnd"/>
      <w:r>
        <w:t xml:space="preserve">-Theophilus, H., Suero Montero, C., Pope, N., </w:t>
      </w:r>
      <w:proofErr w:type="spellStart"/>
      <w:r>
        <w:t>Rötkönen</w:t>
      </w:r>
      <w:proofErr w:type="spellEnd"/>
      <w:r>
        <w:t xml:space="preserve">, E., &amp; Sutinen, E. (2023). A systematic review of social classroom climate in online and technology-enhanced learning environments in primary and secondary school. Education and Information Technologies, 29(2), 2009–2042. </w:t>
      </w:r>
    </w:p>
    <w:p w14:paraId="739F8C7B" w14:textId="5DF1E9C8" w:rsidR="00DA1E28" w:rsidRDefault="00DA1E28" w:rsidP="00DA1E28">
      <w:pPr>
        <w:pStyle w:val="Body"/>
        <w:spacing w:after="0"/>
      </w:pPr>
      <w:r>
        <w:t>Accessed 19 April 2025</w:t>
      </w:r>
    </w:p>
    <w:p w14:paraId="32E9C2FD" w14:textId="58733E40" w:rsidR="00353910" w:rsidRDefault="00DA1E28" w:rsidP="00DA1E28">
      <w:pPr>
        <w:pStyle w:val="Body"/>
      </w:pPr>
      <w:r>
        <w:t xml:space="preserve">Available: </w:t>
      </w:r>
      <w:hyperlink r:id="rId26" w:history="1">
        <w:r w:rsidRPr="00E3068E">
          <w:rPr>
            <w:rStyle w:val="Hyperlink"/>
          </w:rPr>
          <w:t>https://doi.org/10.1007/s10639-023-11705-9</w:t>
        </w:r>
      </w:hyperlink>
      <w:r>
        <w:t xml:space="preserve"> </w:t>
      </w:r>
    </w:p>
    <w:p w14:paraId="746CDB83" w14:textId="77777777" w:rsidR="00DA1E28" w:rsidRDefault="00353910" w:rsidP="00DA1E28">
      <w:pPr>
        <w:pStyle w:val="Body"/>
        <w:spacing w:after="0"/>
      </w:pPr>
      <w:r>
        <w:t xml:space="preserve">Goundar, P. R. (2019). Vocabulary learning strategies (VLSS) employed by learners of English as a foreign language (EFL). English Language Teaching, 12(5), 177. </w:t>
      </w:r>
    </w:p>
    <w:p w14:paraId="5839D55B" w14:textId="7061CC2D" w:rsidR="00DA1E28" w:rsidRDefault="00DA1E28" w:rsidP="00DA1E28">
      <w:pPr>
        <w:pStyle w:val="Body"/>
        <w:spacing w:after="0"/>
      </w:pPr>
      <w:r>
        <w:t>Accessed 03 March 2025</w:t>
      </w:r>
    </w:p>
    <w:p w14:paraId="4CEA2A0B" w14:textId="1F643906" w:rsidR="00353910" w:rsidRDefault="00DA1E28" w:rsidP="00DA1E28">
      <w:pPr>
        <w:pStyle w:val="Body"/>
      </w:pPr>
      <w:r>
        <w:t xml:space="preserve">Available: </w:t>
      </w:r>
      <w:hyperlink r:id="rId27" w:history="1">
        <w:r w:rsidRPr="00E3068E">
          <w:rPr>
            <w:rStyle w:val="Hyperlink"/>
          </w:rPr>
          <w:t>https://doi.org/10.5539/elt.v12n5p177</w:t>
        </w:r>
      </w:hyperlink>
      <w:r>
        <w:t xml:space="preserve"> </w:t>
      </w:r>
    </w:p>
    <w:p w14:paraId="67640A02" w14:textId="77777777" w:rsidR="00DA1E28" w:rsidRDefault="00353910" w:rsidP="00DA1E28">
      <w:pPr>
        <w:pStyle w:val="Body"/>
        <w:spacing w:after="0"/>
      </w:pPr>
      <w:r>
        <w:t xml:space="preserve">Gu, P. Y. (2018). Validation of an online questionnaire of vocabulary learning strategies for ESL learners. Studies in Second Language Learning and Teaching, 8(2), 325–350. </w:t>
      </w:r>
    </w:p>
    <w:p w14:paraId="7906C7E7" w14:textId="3AAECC43" w:rsidR="00DA1E28" w:rsidRDefault="00DA1E28" w:rsidP="00DA1E28">
      <w:pPr>
        <w:pStyle w:val="Body"/>
        <w:spacing w:after="0"/>
      </w:pPr>
      <w:r>
        <w:t>Accessed 08 September 2024</w:t>
      </w:r>
    </w:p>
    <w:p w14:paraId="4E5BC26F" w14:textId="4BF00BA2" w:rsidR="00353910" w:rsidRDefault="00DA1E28" w:rsidP="00DA1E28">
      <w:pPr>
        <w:pStyle w:val="Body"/>
      </w:pPr>
      <w:r>
        <w:t xml:space="preserve">Available: </w:t>
      </w:r>
      <w:r w:rsidR="00353910">
        <w:t xml:space="preserve">from </w:t>
      </w:r>
      <w:hyperlink r:id="rId28" w:history="1">
        <w:r w:rsidRPr="00E3068E">
          <w:rPr>
            <w:rStyle w:val="Hyperlink"/>
          </w:rPr>
          <w:t>https://doi.org/10.14746/ssllt.2018.8.2.7</w:t>
        </w:r>
      </w:hyperlink>
      <w:r>
        <w:t xml:space="preserve"> </w:t>
      </w:r>
    </w:p>
    <w:p w14:paraId="506CF06D" w14:textId="77777777" w:rsidR="00DA1E28" w:rsidRDefault="00353910" w:rsidP="00DA1E28">
      <w:pPr>
        <w:pStyle w:val="Body"/>
        <w:spacing w:after="0"/>
      </w:pPr>
      <w:r>
        <w:t xml:space="preserve">Haddad, R. K. (2019). Teachers’ attitudes towards teaching English at the primary level in Jordan. In Global Research Journal of Education, 2(2), 899-908. </w:t>
      </w:r>
    </w:p>
    <w:p w14:paraId="419C245C" w14:textId="15211965" w:rsidR="00DA1E28" w:rsidRDefault="00DA1E28" w:rsidP="00DA1E28">
      <w:pPr>
        <w:pStyle w:val="Body"/>
        <w:spacing w:after="0"/>
      </w:pPr>
      <w:r>
        <w:t>Accessed 01 March 2025</w:t>
      </w:r>
    </w:p>
    <w:p w14:paraId="313EFF61" w14:textId="2B2FE79F" w:rsidR="00353910" w:rsidRDefault="00DA1E28" w:rsidP="00DA1E28">
      <w:pPr>
        <w:pStyle w:val="Body"/>
      </w:pPr>
      <w:r>
        <w:t xml:space="preserve">Available: </w:t>
      </w:r>
      <w:hyperlink r:id="rId29" w:history="1">
        <w:r w:rsidRPr="00E3068E">
          <w:rPr>
            <w:rStyle w:val="Hyperlink"/>
          </w:rPr>
          <w:t>http://www.globalscienceresearchjournals.org/</w:t>
        </w:r>
      </w:hyperlink>
      <w:r>
        <w:t xml:space="preserve"> </w:t>
      </w:r>
    </w:p>
    <w:p w14:paraId="20103909" w14:textId="7031C9C7" w:rsidR="00DA1E28" w:rsidRDefault="00353910" w:rsidP="00DA1E28">
      <w:pPr>
        <w:pStyle w:val="Body"/>
        <w:spacing w:after="0"/>
      </w:pPr>
      <w:r>
        <w:lastRenderedPageBreak/>
        <w:t xml:space="preserve">Jimenez, E. C. (2020). Emotional quotient, work attitude and teaching performance of secondary school teachers. Journal of Pedagogical Sociology and Psychology, 2(1), 25–35. </w:t>
      </w:r>
      <w:r w:rsidR="00DA1E28">
        <w:t>Accessed 19 April 2025</w:t>
      </w:r>
    </w:p>
    <w:p w14:paraId="58D80B05" w14:textId="40126613" w:rsidR="00353910" w:rsidRDefault="00DA1E28" w:rsidP="00DA1E28">
      <w:pPr>
        <w:pStyle w:val="Body"/>
      </w:pPr>
      <w:r>
        <w:t xml:space="preserve">Available: </w:t>
      </w:r>
      <w:hyperlink r:id="rId30" w:history="1">
        <w:r w:rsidRPr="00E3068E">
          <w:rPr>
            <w:rStyle w:val="Hyperlink"/>
          </w:rPr>
          <w:t>https://doi.org/10.33902/jpsp.2020161079</w:t>
        </w:r>
      </w:hyperlink>
      <w:r>
        <w:t xml:space="preserve"> </w:t>
      </w:r>
    </w:p>
    <w:p w14:paraId="43F194AD" w14:textId="77777777" w:rsidR="00DA1E28" w:rsidRDefault="00353910" w:rsidP="00DA1E28">
      <w:pPr>
        <w:pStyle w:val="Body"/>
        <w:spacing w:after="0"/>
      </w:pPr>
      <w:r>
        <w:t xml:space="preserve">Kadir, M., Mamu, R., &amp; </w:t>
      </w:r>
      <w:proofErr w:type="spellStart"/>
      <w:r>
        <w:t>Pilongo</w:t>
      </w:r>
      <w:proofErr w:type="spellEnd"/>
      <w:r>
        <w:t xml:space="preserve">, J. H. D. (2024). Teachers’ strategies in teaching English vocabulary by using the EWA application. </w:t>
      </w:r>
      <w:proofErr w:type="spellStart"/>
      <w:r>
        <w:t>Jurnal</w:t>
      </w:r>
      <w:proofErr w:type="spellEnd"/>
      <w:r>
        <w:t xml:space="preserve"> </w:t>
      </w:r>
      <w:proofErr w:type="spellStart"/>
      <w:r>
        <w:t>Ilmiah</w:t>
      </w:r>
      <w:proofErr w:type="spellEnd"/>
      <w:r>
        <w:t xml:space="preserve"> </w:t>
      </w:r>
      <w:proofErr w:type="spellStart"/>
      <w:r>
        <w:t>Multidisiplin</w:t>
      </w:r>
      <w:proofErr w:type="spellEnd"/>
      <w:r>
        <w:t xml:space="preserve">, 3(1), 104–109. </w:t>
      </w:r>
    </w:p>
    <w:p w14:paraId="04761593" w14:textId="32E630F9" w:rsidR="00DA1E28" w:rsidRDefault="00DA1E28" w:rsidP="00DA1E28">
      <w:pPr>
        <w:pStyle w:val="Body"/>
        <w:spacing w:after="0"/>
      </w:pPr>
      <w:r>
        <w:t>Accessed 23 March 2025</w:t>
      </w:r>
    </w:p>
    <w:p w14:paraId="732BB666" w14:textId="37D9792C" w:rsidR="00353910" w:rsidRDefault="00DA1E28" w:rsidP="00DA1E28">
      <w:pPr>
        <w:pStyle w:val="Body"/>
      </w:pPr>
      <w:r>
        <w:t xml:space="preserve">Available: </w:t>
      </w:r>
      <w:hyperlink r:id="rId31" w:history="1">
        <w:r w:rsidRPr="00E3068E">
          <w:rPr>
            <w:rStyle w:val="Hyperlink"/>
          </w:rPr>
          <w:t>https://doi.org/10.54923/researchreview.v3i1.76</w:t>
        </w:r>
      </w:hyperlink>
      <w:r>
        <w:t xml:space="preserve"> </w:t>
      </w:r>
    </w:p>
    <w:p w14:paraId="5094A874" w14:textId="77777777" w:rsidR="00DA1E28" w:rsidRDefault="00353910" w:rsidP="00DA1E28">
      <w:pPr>
        <w:pStyle w:val="Body"/>
        <w:spacing w:after="0"/>
      </w:pPr>
      <w:r>
        <w:t xml:space="preserve">Kumari, J., &amp; Kumar, J. (2023). Influence of motivation on teachers’ job performance. Humanities and Social Sciences Communications, 10(1). </w:t>
      </w:r>
    </w:p>
    <w:p w14:paraId="54995B6F" w14:textId="2659EB23" w:rsidR="00DA1E28" w:rsidRDefault="00DA1E28" w:rsidP="00DA1E28">
      <w:pPr>
        <w:pStyle w:val="Body"/>
        <w:spacing w:after="0"/>
      </w:pPr>
      <w:r>
        <w:t>Accessed 16 March 2025</w:t>
      </w:r>
    </w:p>
    <w:p w14:paraId="6F01635C" w14:textId="7AD78BAE" w:rsidR="00353910" w:rsidRDefault="00DA1E28" w:rsidP="00DA1E28">
      <w:pPr>
        <w:pStyle w:val="Body"/>
      </w:pPr>
      <w:r>
        <w:t xml:space="preserve">Available: </w:t>
      </w:r>
      <w:r w:rsidR="00353910">
        <w:t xml:space="preserve"> </w:t>
      </w:r>
      <w:hyperlink r:id="rId32" w:history="1">
        <w:r w:rsidRPr="00E3068E">
          <w:rPr>
            <w:rStyle w:val="Hyperlink"/>
          </w:rPr>
          <w:t>https://doi.org/10.1057/s41599-023-01662-6</w:t>
        </w:r>
      </w:hyperlink>
      <w:r>
        <w:t xml:space="preserve"> </w:t>
      </w:r>
    </w:p>
    <w:p w14:paraId="577F54DA" w14:textId="77777777" w:rsidR="00DA1E28" w:rsidRDefault="00353910" w:rsidP="00DA1E28">
      <w:pPr>
        <w:pStyle w:val="Body"/>
        <w:spacing w:after="0"/>
      </w:pPr>
      <w:r>
        <w:t xml:space="preserve">Le, H. H., &amp; Luong, T. D. (2023). Using flashcard-based techniques to improve students’ vocabulary retention. Vietnam Journal of Education, 313–325. </w:t>
      </w:r>
    </w:p>
    <w:p w14:paraId="7B2B0431" w14:textId="01DB5CAF" w:rsidR="00DA1E28" w:rsidRDefault="00DA1E28" w:rsidP="00DA1E28">
      <w:pPr>
        <w:pStyle w:val="Body"/>
        <w:spacing w:after="0"/>
      </w:pPr>
      <w:r>
        <w:t>Accessed 23 March 2025</w:t>
      </w:r>
    </w:p>
    <w:p w14:paraId="234DA773" w14:textId="22A30003" w:rsidR="00353910" w:rsidRDefault="00DA1E28" w:rsidP="00DA1E28">
      <w:pPr>
        <w:pStyle w:val="Body"/>
      </w:pPr>
      <w:r>
        <w:t xml:space="preserve">Available: </w:t>
      </w:r>
      <w:hyperlink r:id="rId33" w:history="1">
        <w:r w:rsidRPr="00E3068E">
          <w:rPr>
            <w:rStyle w:val="Hyperlink"/>
          </w:rPr>
          <w:t>https://doi.org/10.52296/vje.2023.336</w:t>
        </w:r>
      </w:hyperlink>
      <w:r>
        <w:t xml:space="preserve"> </w:t>
      </w:r>
    </w:p>
    <w:p w14:paraId="6E34A7B3" w14:textId="77777777" w:rsidR="00DA1E28" w:rsidRDefault="00353910" w:rsidP="00DA1E28">
      <w:pPr>
        <w:pStyle w:val="Body"/>
        <w:spacing w:after="0"/>
      </w:pPr>
      <w:r>
        <w:t xml:space="preserve">Liaqat, M., Yasin, A., &amp; Nadeem, M. (2023). The effect of teacher personality on student performance and engagement. Global Language Review, VIII(II), 422–433.  </w:t>
      </w:r>
    </w:p>
    <w:p w14:paraId="07533A05" w14:textId="783AD4FA" w:rsidR="00DA1E28" w:rsidRDefault="00DA1E28" w:rsidP="00DA1E28">
      <w:pPr>
        <w:pStyle w:val="Body"/>
        <w:spacing w:after="0"/>
      </w:pPr>
      <w:r>
        <w:t>Accessed 16 March 2025</w:t>
      </w:r>
    </w:p>
    <w:p w14:paraId="751DB753" w14:textId="10D0B101" w:rsidR="00353910" w:rsidRDefault="00DA1E28" w:rsidP="00DA1E28">
      <w:pPr>
        <w:pStyle w:val="Body"/>
      </w:pPr>
      <w:r>
        <w:t xml:space="preserve">Available: </w:t>
      </w:r>
      <w:hyperlink r:id="rId34" w:history="1">
        <w:r w:rsidRPr="00E3068E">
          <w:rPr>
            <w:rStyle w:val="Hyperlink"/>
          </w:rPr>
          <w:t>https://doi.org/10.31703/glr.2023(viii-ii).34</w:t>
        </w:r>
      </w:hyperlink>
      <w:r>
        <w:t xml:space="preserve"> </w:t>
      </w:r>
    </w:p>
    <w:p w14:paraId="31ABB3D9" w14:textId="77777777" w:rsidR="00DA1E28" w:rsidRDefault="00353910" w:rsidP="00DA1E28">
      <w:pPr>
        <w:pStyle w:val="Body"/>
        <w:spacing w:after="0"/>
      </w:pPr>
      <w:r>
        <w:t xml:space="preserve">Maing, A., &amp; Mahmud, S. (2022). Classroom climate in the context of teaching practices in junior high schools. </w:t>
      </w:r>
      <w:proofErr w:type="spellStart"/>
      <w:r>
        <w:t>Klasikal</w:t>
      </w:r>
      <w:proofErr w:type="spellEnd"/>
      <w:r>
        <w:t xml:space="preserve">: Journal of Education, Language Teaching and Science, 4(2), 342–359. </w:t>
      </w:r>
    </w:p>
    <w:p w14:paraId="19060EBA" w14:textId="20C49C45" w:rsidR="00DA1E28" w:rsidRDefault="00DA1E28" w:rsidP="00DA1E28">
      <w:pPr>
        <w:pStyle w:val="Body"/>
        <w:spacing w:after="0"/>
      </w:pPr>
      <w:r>
        <w:t>Accessed 23 March 2025</w:t>
      </w:r>
    </w:p>
    <w:p w14:paraId="100ECF1C" w14:textId="5A85B52C" w:rsidR="00353910" w:rsidRDefault="00DA1E28" w:rsidP="00DA1E28">
      <w:pPr>
        <w:pStyle w:val="Body"/>
      </w:pPr>
      <w:r>
        <w:t xml:space="preserve">Available: </w:t>
      </w:r>
      <w:hyperlink r:id="rId35" w:history="1">
        <w:r w:rsidRPr="00E3068E">
          <w:rPr>
            <w:rStyle w:val="Hyperlink"/>
          </w:rPr>
          <w:t>https://doi.org/10.52208/klasikal.v4i2.279</w:t>
        </w:r>
      </w:hyperlink>
      <w:r>
        <w:t xml:space="preserve"> </w:t>
      </w:r>
    </w:p>
    <w:p w14:paraId="2BE7F0D6" w14:textId="77777777" w:rsidR="00DA1E28" w:rsidRDefault="00353910" w:rsidP="00DA1E28">
      <w:pPr>
        <w:pStyle w:val="Body"/>
        <w:spacing w:after="0"/>
      </w:pPr>
      <w:r>
        <w:t xml:space="preserve">Minh, T. T., &amp; Nguyen, T. (2021). Promoting middle school students’ English vocabulary retention via Quizlet. Journal of Science Educational Science, 66(5), 45–54. </w:t>
      </w:r>
    </w:p>
    <w:p w14:paraId="15252076" w14:textId="79FE0C24" w:rsidR="00DA1E28" w:rsidRDefault="00DA1E28" w:rsidP="00DA1E28">
      <w:pPr>
        <w:pStyle w:val="Body"/>
        <w:spacing w:after="0"/>
      </w:pPr>
      <w:r>
        <w:t>Accessed 23 March 2025</w:t>
      </w:r>
    </w:p>
    <w:p w14:paraId="232C24A3" w14:textId="7C91413C" w:rsidR="00353910" w:rsidRDefault="00DA1E28" w:rsidP="00DA1E28">
      <w:pPr>
        <w:pStyle w:val="Body"/>
      </w:pPr>
      <w:r>
        <w:t xml:space="preserve">Available: </w:t>
      </w:r>
      <w:hyperlink r:id="rId36" w:history="1">
        <w:r w:rsidRPr="00E3068E">
          <w:rPr>
            <w:rStyle w:val="Hyperlink"/>
          </w:rPr>
          <w:t>https://doi.org/10.18173/2354-1075.2021-0235</w:t>
        </w:r>
      </w:hyperlink>
      <w:r>
        <w:t xml:space="preserve"> </w:t>
      </w:r>
    </w:p>
    <w:p w14:paraId="0430C6DE" w14:textId="77777777" w:rsidR="00DA1E28" w:rsidRDefault="00353910" w:rsidP="00DA1E28">
      <w:pPr>
        <w:pStyle w:val="Body"/>
        <w:spacing w:after="0"/>
      </w:pPr>
      <w:r>
        <w:t xml:space="preserve">Mohammed, A. K. (2023). Vocabulary learning strategies vis-a-vis vocabulary teaching strategies. Journal of Languages and Language Teaching, 11(3), 447–447. </w:t>
      </w:r>
    </w:p>
    <w:p w14:paraId="28518180" w14:textId="7D13167C" w:rsidR="00DA1E28" w:rsidRDefault="00DA1E28" w:rsidP="00DA1E28">
      <w:pPr>
        <w:pStyle w:val="Body"/>
        <w:spacing w:after="0"/>
      </w:pPr>
      <w:r>
        <w:t>Accessed 29 March 2025</w:t>
      </w:r>
    </w:p>
    <w:p w14:paraId="6F865548" w14:textId="42235AA3" w:rsidR="00353910" w:rsidRDefault="00DA1E28" w:rsidP="00DA1E28">
      <w:pPr>
        <w:pStyle w:val="Body"/>
      </w:pPr>
      <w:r>
        <w:t xml:space="preserve">Available: </w:t>
      </w:r>
      <w:hyperlink r:id="rId37" w:history="1">
        <w:r w:rsidRPr="00E3068E">
          <w:rPr>
            <w:rStyle w:val="Hyperlink"/>
          </w:rPr>
          <w:t>https://doi.org/10.33394/jollt.v11i3.7656</w:t>
        </w:r>
      </w:hyperlink>
      <w:r>
        <w:t xml:space="preserve"> </w:t>
      </w:r>
    </w:p>
    <w:p w14:paraId="3445D3BE" w14:textId="77777777" w:rsidR="00DA1E28" w:rsidRDefault="00353910" w:rsidP="00DA1E28">
      <w:pPr>
        <w:pStyle w:val="Body"/>
        <w:spacing w:after="0"/>
      </w:pPr>
      <w:r>
        <w:t xml:space="preserve">Nguyễn Thị Hương, L. (2021). Strategies to improve English vocabulary teaching a literature review. Scientific Journal of Tan Trao University, 6(19), 70–77. </w:t>
      </w:r>
    </w:p>
    <w:p w14:paraId="3CA61A20" w14:textId="026BAB93" w:rsidR="00DA1E28" w:rsidRDefault="00DA1E28" w:rsidP="00DA1E28">
      <w:pPr>
        <w:pStyle w:val="Body"/>
        <w:spacing w:after="0"/>
      </w:pPr>
      <w:r>
        <w:t>Accessed 22 March 2025</w:t>
      </w:r>
    </w:p>
    <w:p w14:paraId="0F82A3B8" w14:textId="6CB31137" w:rsidR="00353910" w:rsidRDefault="00DA1E28" w:rsidP="00DA1E28">
      <w:pPr>
        <w:pStyle w:val="Body"/>
      </w:pPr>
      <w:r>
        <w:t xml:space="preserve">Available: </w:t>
      </w:r>
      <w:hyperlink r:id="rId38" w:history="1">
        <w:r w:rsidRPr="00E3068E">
          <w:rPr>
            <w:rStyle w:val="Hyperlink"/>
          </w:rPr>
          <w:t>https://doi.org/10.51453/2354-1431/2020/429</w:t>
        </w:r>
      </w:hyperlink>
      <w:r>
        <w:t xml:space="preserve"> </w:t>
      </w:r>
    </w:p>
    <w:p w14:paraId="3AF65CAA" w14:textId="77777777" w:rsidR="00DA1E28" w:rsidRDefault="00353910" w:rsidP="00DA1E28">
      <w:pPr>
        <w:pStyle w:val="Body"/>
        <w:spacing w:after="0"/>
      </w:pPr>
      <w:r>
        <w:t xml:space="preserve">Nguyen, T. C. D. (2022). The impact of context on EFL learners’ vocabulary retention. European Journal of Foreign Language Teaching. </w:t>
      </w:r>
    </w:p>
    <w:p w14:paraId="181F07F3" w14:textId="31B2FF3C" w:rsidR="00DA1E28" w:rsidRDefault="00DA1E28" w:rsidP="00DA1E28">
      <w:pPr>
        <w:pStyle w:val="Body"/>
        <w:spacing w:after="0"/>
      </w:pPr>
      <w:r>
        <w:t>Accessed 19 April 2025</w:t>
      </w:r>
    </w:p>
    <w:p w14:paraId="21CF875D" w14:textId="42293ED3" w:rsidR="00353910" w:rsidRDefault="00DA1E28" w:rsidP="00DA1E28">
      <w:pPr>
        <w:pStyle w:val="Body"/>
      </w:pPr>
      <w:r>
        <w:t xml:space="preserve">Available: </w:t>
      </w:r>
      <w:hyperlink r:id="rId39" w:history="1">
        <w:r w:rsidRPr="00E3068E">
          <w:rPr>
            <w:rStyle w:val="Hyperlink"/>
          </w:rPr>
          <w:t>https://oapub.org/edu/index.php/ejfl/article/view/4295/6930</w:t>
        </w:r>
      </w:hyperlink>
      <w:r>
        <w:t xml:space="preserve"> </w:t>
      </w:r>
    </w:p>
    <w:p w14:paraId="5DFEC52D" w14:textId="77777777" w:rsidR="00DA1E28" w:rsidRDefault="00353910" w:rsidP="00DA1E28">
      <w:pPr>
        <w:pStyle w:val="Body"/>
        <w:spacing w:after="0"/>
      </w:pPr>
      <w:r>
        <w:lastRenderedPageBreak/>
        <w:t xml:space="preserve">Özcan, M. (2020). Investigation of the relationship between teacher candidates’ attitude and readiness levels towards teaching profession. International Journal of Progressive Education, 16(1), 100–110. </w:t>
      </w:r>
    </w:p>
    <w:p w14:paraId="33BFB033" w14:textId="7ECD5130" w:rsidR="00DA1E28" w:rsidRDefault="00DA1E28" w:rsidP="00DA1E28">
      <w:pPr>
        <w:pStyle w:val="Body"/>
        <w:spacing w:after="0"/>
      </w:pPr>
      <w:r>
        <w:t>Accessed 19 April 2025</w:t>
      </w:r>
    </w:p>
    <w:p w14:paraId="3188B322" w14:textId="24D3F500" w:rsidR="00353910" w:rsidRDefault="00DA1E28" w:rsidP="00DA1E28">
      <w:pPr>
        <w:pStyle w:val="Body"/>
      </w:pPr>
      <w:r>
        <w:t xml:space="preserve">Available: </w:t>
      </w:r>
      <w:hyperlink r:id="rId40" w:history="1">
        <w:r w:rsidRPr="00E3068E">
          <w:rPr>
            <w:rStyle w:val="Hyperlink"/>
          </w:rPr>
          <w:t>https://doi.org/10.29329/ijpe.2020.228.8</w:t>
        </w:r>
      </w:hyperlink>
      <w:r>
        <w:t xml:space="preserve"> </w:t>
      </w:r>
    </w:p>
    <w:p w14:paraId="18B5946E" w14:textId="77777777" w:rsidR="00DA1E28" w:rsidRDefault="00353910" w:rsidP="00DA1E28">
      <w:pPr>
        <w:pStyle w:val="Body"/>
        <w:spacing w:after="0"/>
      </w:pPr>
      <w:r>
        <w:t xml:space="preserve">Putri, L., </w:t>
      </w:r>
      <w:proofErr w:type="spellStart"/>
      <w:r>
        <w:t>Fatmawaty</w:t>
      </w:r>
      <w:proofErr w:type="spellEnd"/>
      <w:r>
        <w:t xml:space="preserve">, F., </w:t>
      </w:r>
      <w:proofErr w:type="spellStart"/>
      <w:r>
        <w:t>Saragih</w:t>
      </w:r>
      <w:proofErr w:type="spellEnd"/>
      <w:r>
        <w:t xml:space="preserve">, E., &amp; Madina, M. (2022). A retrospective study on </w:t>
      </w:r>
      <w:proofErr w:type="spellStart"/>
      <w:r>
        <w:t>english</w:t>
      </w:r>
      <w:proofErr w:type="spellEnd"/>
      <w:r>
        <w:t xml:space="preserve"> teachers’ strategies to increase students’ vocabulary mastery. English Education Journal, 12(3), 399–409. </w:t>
      </w:r>
    </w:p>
    <w:p w14:paraId="5DFBAD4B" w14:textId="63CBB397" w:rsidR="00DA1E28" w:rsidRDefault="00DA1E28" w:rsidP="00DA1E28">
      <w:pPr>
        <w:pStyle w:val="Body"/>
        <w:spacing w:after="0"/>
      </w:pPr>
      <w:r>
        <w:t>Accessed 29 March 2025</w:t>
      </w:r>
    </w:p>
    <w:p w14:paraId="644CE99B" w14:textId="03ACE612" w:rsidR="00353910" w:rsidRDefault="00DA1E28" w:rsidP="00DA1E28">
      <w:pPr>
        <w:pStyle w:val="Body"/>
      </w:pPr>
      <w:r>
        <w:t xml:space="preserve">Available: </w:t>
      </w:r>
      <w:hyperlink r:id="rId41" w:history="1">
        <w:r w:rsidRPr="00E3068E">
          <w:rPr>
            <w:rStyle w:val="Hyperlink"/>
          </w:rPr>
          <w:t>https://doi.org/10.15294/eej.v12i3.61086</w:t>
        </w:r>
      </w:hyperlink>
      <w:r>
        <w:t xml:space="preserve"> </w:t>
      </w:r>
    </w:p>
    <w:p w14:paraId="67471699" w14:textId="77777777" w:rsidR="00353910" w:rsidRDefault="00353910" w:rsidP="00353910">
      <w:pPr>
        <w:pStyle w:val="Body"/>
        <w:spacing w:after="0"/>
      </w:pPr>
      <w:r>
        <w:t xml:space="preserve">Rahi, S. (2017). Research design and methods: A systematic review of research paradigms, sampling issues and instruments development. International Journal of Economics &amp; Management Sciences, 6(2), 1-5. </w:t>
      </w:r>
    </w:p>
    <w:p w14:paraId="04DB2558" w14:textId="7EBEA755" w:rsidR="00353910" w:rsidRDefault="00353910" w:rsidP="00353910">
      <w:pPr>
        <w:pStyle w:val="Body"/>
        <w:spacing w:after="0"/>
      </w:pPr>
      <w:r>
        <w:t xml:space="preserve">Accessed 08 September 2024 </w:t>
      </w:r>
    </w:p>
    <w:p w14:paraId="75AAB95F" w14:textId="558AC1AC" w:rsidR="00353910" w:rsidRDefault="00353910" w:rsidP="00353910">
      <w:pPr>
        <w:pStyle w:val="Body"/>
      </w:pPr>
      <w:r>
        <w:t xml:space="preserve">Available: DOI: 10.4172/2162-6359.1000403 </w:t>
      </w:r>
    </w:p>
    <w:p w14:paraId="451B6505" w14:textId="77777777" w:rsidR="00353910" w:rsidRDefault="00353910" w:rsidP="00353910">
      <w:pPr>
        <w:pStyle w:val="Body"/>
        <w:spacing w:after="0"/>
      </w:pPr>
      <w:r>
        <w:t xml:space="preserve">Rajbhandari, M. M. S. (2024). Classroom environment engraving teachers’/students’ level of motivation. SXC Journal, 1(1), 30–41. </w:t>
      </w:r>
    </w:p>
    <w:p w14:paraId="1389429F" w14:textId="694F2668" w:rsidR="00353910" w:rsidRDefault="00353910" w:rsidP="00353910">
      <w:pPr>
        <w:pStyle w:val="Body"/>
        <w:spacing w:after="0"/>
      </w:pPr>
      <w:r>
        <w:t>Accessed 16 March 2025</w:t>
      </w:r>
    </w:p>
    <w:p w14:paraId="31965817" w14:textId="5806C6CE" w:rsidR="00353910" w:rsidRDefault="00353910" w:rsidP="00353910">
      <w:pPr>
        <w:pStyle w:val="Body"/>
      </w:pPr>
      <w:r>
        <w:t xml:space="preserve">Available: </w:t>
      </w:r>
      <w:hyperlink r:id="rId42" w:history="1">
        <w:r w:rsidRPr="00E3068E">
          <w:rPr>
            <w:rStyle w:val="Hyperlink"/>
          </w:rPr>
          <w:t>https://doi.org/10.3126/sxcj.v1i1.70875</w:t>
        </w:r>
      </w:hyperlink>
      <w:r>
        <w:t xml:space="preserve"> </w:t>
      </w:r>
    </w:p>
    <w:p w14:paraId="75045C0C" w14:textId="77777777" w:rsidR="00353910" w:rsidRDefault="00353910" w:rsidP="00353910">
      <w:pPr>
        <w:pStyle w:val="Body"/>
        <w:spacing w:after="0"/>
      </w:pPr>
      <w:r>
        <w:t xml:space="preserve">Ramos, A., &amp; </w:t>
      </w:r>
      <w:proofErr w:type="spellStart"/>
      <w:r>
        <w:t>Baldespiñosa</w:t>
      </w:r>
      <w:proofErr w:type="spellEnd"/>
      <w:r>
        <w:t xml:space="preserve">, M. (2021). Bridging between beliefs and needs of language teachers in Philippines: personal qualities, strategies, and framework during covid-19 pandemic. REiLA: Journal of Research and Innovation in Language, 3(3), 194-209. </w:t>
      </w:r>
    </w:p>
    <w:p w14:paraId="18169F3B" w14:textId="6D1605F7" w:rsidR="00353910" w:rsidRDefault="00353910" w:rsidP="00353910">
      <w:pPr>
        <w:pStyle w:val="Body"/>
        <w:spacing w:after="0"/>
      </w:pPr>
      <w:r>
        <w:t>Accessed 29 March 2025</w:t>
      </w:r>
    </w:p>
    <w:p w14:paraId="6FBE3774" w14:textId="7AA0A8D1" w:rsidR="00353910" w:rsidRDefault="00353910" w:rsidP="00353910">
      <w:pPr>
        <w:pStyle w:val="Body"/>
      </w:pPr>
      <w:r>
        <w:t xml:space="preserve">Available: </w:t>
      </w:r>
      <w:hyperlink r:id="rId43" w:history="1">
        <w:r w:rsidRPr="00E3068E">
          <w:rPr>
            <w:rStyle w:val="Hyperlink"/>
          </w:rPr>
          <w:t>https://doi.org/10.31849/reila.v3i3.7401</w:t>
        </w:r>
      </w:hyperlink>
      <w:r>
        <w:t xml:space="preserve"> </w:t>
      </w:r>
    </w:p>
    <w:p w14:paraId="5B78E37B" w14:textId="77777777" w:rsidR="00353910" w:rsidRDefault="00353910" w:rsidP="00353910">
      <w:pPr>
        <w:pStyle w:val="Body"/>
        <w:spacing w:after="0"/>
      </w:pPr>
      <w:r>
        <w:t xml:space="preserve">Roberts, J. M. (2007). The expectancy-value theory of achievement motivation and the enumeration of possible selves: evidence for outcomes during emerging adulthood. Master's Theses and Doctoral Dissertations. 59. </w:t>
      </w:r>
    </w:p>
    <w:p w14:paraId="3893178A" w14:textId="25129A8D" w:rsidR="00353910" w:rsidRDefault="00353910" w:rsidP="00353910">
      <w:pPr>
        <w:pStyle w:val="Body"/>
        <w:spacing w:after="0"/>
      </w:pPr>
      <w:r>
        <w:t xml:space="preserve">Accessed 23 March 2025 </w:t>
      </w:r>
    </w:p>
    <w:p w14:paraId="6F6259D2" w14:textId="3C3ECBE2" w:rsidR="00353910" w:rsidRDefault="00353910" w:rsidP="00353910">
      <w:pPr>
        <w:pStyle w:val="Body"/>
      </w:pPr>
      <w:r>
        <w:t xml:space="preserve">Available: </w:t>
      </w:r>
      <w:hyperlink r:id="rId44" w:history="1">
        <w:r w:rsidRPr="00E3068E">
          <w:rPr>
            <w:rStyle w:val="Hyperlink"/>
          </w:rPr>
          <w:t>http://commons.emich.edu/theses/59</w:t>
        </w:r>
      </w:hyperlink>
      <w:r>
        <w:t xml:space="preserve"> </w:t>
      </w:r>
    </w:p>
    <w:p w14:paraId="550A5104" w14:textId="77777777" w:rsidR="00353910" w:rsidRDefault="00353910" w:rsidP="00353910">
      <w:pPr>
        <w:pStyle w:val="Body"/>
        <w:spacing w:after="0"/>
      </w:pPr>
      <w:r>
        <w:t xml:space="preserve">Saadi, S. N. &amp; Hamouda, M. (2023). Teachers’ perspective on effective teaching strategies for enhancing EFL learners’ vocabulary retention. Centre-Univ-Mila.dz. </w:t>
      </w:r>
    </w:p>
    <w:p w14:paraId="01D84440" w14:textId="11149520" w:rsidR="00353910" w:rsidRDefault="00353910" w:rsidP="00353910">
      <w:pPr>
        <w:pStyle w:val="Body"/>
        <w:spacing w:after="0"/>
      </w:pPr>
      <w:r>
        <w:t>Accessed 29 March 2025</w:t>
      </w:r>
    </w:p>
    <w:p w14:paraId="2B1CB0B8" w14:textId="32C2C63B" w:rsidR="00353910" w:rsidRDefault="00353910" w:rsidP="00353910">
      <w:pPr>
        <w:pStyle w:val="Body"/>
      </w:pPr>
      <w:r>
        <w:t xml:space="preserve">Available: </w:t>
      </w:r>
      <w:hyperlink r:id="rId45" w:history="1">
        <w:r w:rsidRPr="00E3068E">
          <w:rPr>
            <w:rStyle w:val="Hyperlink"/>
          </w:rPr>
          <w:t>http://dspace.centre-univ-mila.dz/jspui/handle/123456789/2525</w:t>
        </w:r>
      </w:hyperlink>
      <w:r>
        <w:t xml:space="preserve"> </w:t>
      </w:r>
    </w:p>
    <w:p w14:paraId="4D989639" w14:textId="23086E6D" w:rsidR="00353910" w:rsidRDefault="00353910" w:rsidP="00353910">
      <w:pPr>
        <w:pStyle w:val="Body"/>
        <w:spacing w:after="0"/>
      </w:pPr>
      <w:proofErr w:type="spellStart"/>
      <w:r>
        <w:t>Sanlao</w:t>
      </w:r>
      <w:proofErr w:type="spellEnd"/>
      <w:r>
        <w:t xml:space="preserve">, C., </w:t>
      </w:r>
      <w:proofErr w:type="spellStart"/>
      <w:r>
        <w:t>Buenavidez</w:t>
      </w:r>
      <w:proofErr w:type="spellEnd"/>
      <w:r>
        <w:t xml:space="preserve">, E., &amp; </w:t>
      </w:r>
      <w:proofErr w:type="spellStart"/>
      <w:r>
        <w:t>Baluyos</w:t>
      </w:r>
      <w:proofErr w:type="spellEnd"/>
      <w:r>
        <w:t>, G. (2024). School work environment in relation to teacher motivation and teaching competencies. Journal of Multidisciplinary Studies, 13(1). Accessed 23 March 2025</w:t>
      </w:r>
    </w:p>
    <w:p w14:paraId="06B45E2F" w14:textId="4A663288" w:rsidR="00353910" w:rsidRDefault="00353910" w:rsidP="00353910">
      <w:pPr>
        <w:pStyle w:val="Body"/>
      </w:pPr>
      <w:r>
        <w:t xml:space="preserve">Available: </w:t>
      </w:r>
      <w:hyperlink r:id="rId46" w:history="1">
        <w:r w:rsidRPr="00E3068E">
          <w:rPr>
            <w:rStyle w:val="Hyperlink"/>
          </w:rPr>
          <w:t>https://doi.org/10.62249/jmds.2013.2440</w:t>
        </w:r>
      </w:hyperlink>
      <w:r>
        <w:t xml:space="preserve"> </w:t>
      </w:r>
    </w:p>
    <w:p w14:paraId="18E19A50" w14:textId="77777777" w:rsidR="00353910" w:rsidRDefault="00353910" w:rsidP="00353910">
      <w:pPr>
        <w:pStyle w:val="Body"/>
        <w:spacing w:after="0"/>
      </w:pPr>
      <w:r>
        <w:t xml:space="preserve">Shady, A. S. M. A. (2022). The effectiveness of some vocabulary strategies in developing preparatory stage pupils’ vocabulary building and retention skills. Journal of the Faculty of Education, Menoufia University, 2022(4), 99–128. </w:t>
      </w:r>
    </w:p>
    <w:p w14:paraId="149002F4" w14:textId="05A8BE98" w:rsidR="00353910" w:rsidRDefault="00353910" w:rsidP="00353910">
      <w:pPr>
        <w:pStyle w:val="Body"/>
        <w:spacing w:after="0"/>
      </w:pPr>
      <w:r>
        <w:t>Accessed 19 April 2025</w:t>
      </w:r>
    </w:p>
    <w:p w14:paraId="508DF4A9" w14:textId="2330CD0E" w:rsidR="00353910" w:rsidRDefault="00353910" w:rsidP="00353910">
      <w:pPr>
        <w:pStyle w:val="Body"/>
      </w:pPr>
      <w:r>
        <w:t xml:space="preserve">Available: </w:t>
      </w:r>
      <w:hyperlink r:id="rId47" w:history="1">
        <w:r w:rsidRPr="00E3068E">
          <w:rPr>
            <w:rStyle w:val="Hyperlink"/>
          </w:rPr>
          <w:t>https://doi.org/10.21608/muja.2022.271446</w:t>
        </w:r>
      </w:hyperlink>
      <w:r>
        <w:t xml:space="preserve"> </w:t>
      </w:r>
    </w:p>
    <w:p w14:paraId="27396A53" w14:textId="77777777" w:rsidR="00353910" w:rsidRDefault="00353910" w:rsidP="00353910">
      <w:pPr>
        <w:pStyle w:val="Body"/>
        <w:spacing w:after="0"/>
      </w:pPr>
      <w:r>
        <w:lastRenderedPageBreak/>
        <w:t xml:space="preserve">Shuaibu, A. &amp; Ishak, N. A. (2020). Effect of the 7E Instructional Strategy on the Overall Attitude of Students in Biology in Public Secondary Schools in Adamawa State, Nigeria. Asia Pacific Journal of Educators and Education, 35(2), 171–186. </w:t>
      </w:r>
    </w:p>
    <w:p w14:paraId="04B02605" w14:textId="3E50E3B7" w:rsidR="00353910" w:rsidRDefault="00353910" w:rsidP="00353910">
      <w:pPr>
        <w:pStyle w:val="Body"/>
        <w:spacing w:after="0"/>
      </w:pPr>
      <w:r>
        <w:t>Accessed 23 March 2025</w:t>
      </w:r>
    </w:p>
    <w:p w14:paraId="70EFCB16" w14:textId="1C0555E6" w:rsidR="00353910" w:rsidRDefault="00353910" w:rsidP="00353910">
      <w:pPr>
        <w:pStyle w:val="Body"/>
      </w:pPr>
      <w:r>
        <w:t xml:space="preserve">Available: </w:t>
      </w:r>
      <w:hyperlink r:id="rId48" w:history="1">
        <w:r w:rsidRPr="00E3068E">
          <w:rPr>
            <w:rStyle w:val="Hyperlink"/>
          </w:rPr>
          <w:t>https://doi.org/10.21315/apjee2020.35.2.10</w:t>
        </w:r>
      </w:hyperlink>
      <w:r>
        <w:t xml:space="preserve"> </w:t>
      </w:r>
    </w:p>
    <w:p w14:paraId="57680941" w14:textId="0A1497F0" w:rsidR="00353910" w:rsidRDefault="00353910" w:rsidP="00353910">
      <w:pPr>
        <w:pStyle w:val="Body"/>
        <w:spacing w:after="0"/>
      </w:pPr>
      <w:proofErr w:type="spellStart"/>
      <w:r>
        <w:t>Situmorang</w:t>
      </w:r>
      <w:proofErr w:type="spellEnd"/>
      <w:r>
        <w:t xml:space="preserve">, P., </w:t>
      </w:r>
      <w:proofErr w:type="spellStart"/>
      <w:r>
        <w:t>Purba</w:t>
      </w:r>
      <w:proofErr w:type="spellEnd"/>
      <w:r>
        <w:t xml:space="preserve">, V. N. L., </w:t>
      </w:r>
      <w:proofErr w:type="spellStart"/>
      <w:r>
        <w:t>Sitohang</w:t>
      </w:r>
      <w:proofErr w:type="spellEnd"/>
      <w:r>
        <w:t xml:space="preserve">, L., &amp; </w:t>
      </w:r>
      <w:proofErr w:type="spellStart"/>
      <w:r>
        <w:t>Saragih</w:t>
      </w:r>
      <w:proofErr w:type="spellEnd"/>
      <w:r>
        <w:t xml:space="preserve">, E. (2022). Speaking teaching strategies by secondary school English teacher. JEELL (Journal of English Education Linguistics and Literature) English </w:t>
      </w:r>
      <w:proofErr w:type="spellStart"/>
      <w:r>
        <w:t>Departement</w:t>
      </w:r>
      <w:proofErr w:type="spellEnd"/>
      <w:r>
        <w:t xml:space="preserve"> of STKIP PGRI </w:t>
      </w:r>
      <w:proofErr w:type="spellStart"/>
      <w:r>
        <w:t>Jombang</w:t>
      </w:r>
      <w:proofErr w:type="spellEnd"/>
      <w:r>
        <w:t>, 8(2), 50–50. Accessed 21 March 2025</w:t>
      </w:r>
    </w:p>
    <w:p w14:paraId="3A4F0713" w14:textId="4B70BE5E" w:rsidR="00353910" w:rsidRDefault="00353910" w:rsidP="00353910">
      <w:pPr>
        <w:pStyle w:val="Body"/>
      </w:pPr>
      <w:r>
        <w:t xml:space="preserve">Available: </w:t>
      </w:r>
      <w:hyperlink r:id="rId49" w:history="1">
        <w:r w:rsidRPr="00E3068E">
          <w:rPr>
            <w:rStyle w:val="Hyperlink"/>
          </w:rPr>
          <w:t>https://doi.org/10.32682/jeell.v8i2.2147</w:t>
        </w:r>
      </w:hyperlink>
      <w:r>
        <w:t xml:space="preserve"> </w:t>
      </w:r>
    </w:p>
    <w:p w14:paraId="757135F1" w14:textId="77777777" w:rsidR="00353910" w:rsidRDefault="00353910" w:rsidP="00353910">
      <w:pPr>
        <w:pStyle w:val="Body"/>
        <w:spacing w:after="0"/>
      </w:pPr>
      <w:r>
        <w:t xml:space="preserve">Tang, Y., &amp; Hu, J. (2022). The impact of teacher attitude and teaching approaches on student demotivation: Disappointment as a mediator. Frontiers in Psychology, 13. </w:t>
      </w:r>
    </w:p>
    <w:p w14:paraId="00154393" w14:textId="4AFD3719" w:rsidR="00353910" w:rsidRDefault="00353910" w:rsidP="00353910">
      <w:pPr>
        <w:pStyle w:val="Body"/>
        <w:spacing w:after="0"/>
      </w:pPr>
      <w:r>
        <w:t>Accessed 19 April 2025</w:t>
      </w:r>
    </w:p>
    <w:p w14:paraId="04CF35F4" w14:textId="5DDD8208" w:rsidR="00353910" w:rsidRDefault="00353910" w:rsidP="00353910">
      <w:pPr>
        <w:pStyle w:val="Body"/>
      </w:pPr>
      <w:r>
        <w:t xml:space="preserve">Available: </w:t>
      </w:r>
      <w:hyperlink r:id="rId50" w:history="1">
        <w:r w:rsidRPr="00E3068E">
          <w:rPr>
            <w:rStyle w:val="Hyperlink"/>
          </w:rPr>
          <w:t>https://doi.org/10.3389/fpsyg.2022.985859</w:t>
        </w:r>
      </w:hyperlink>
      <w:r>
        <w:t xml:space="preserve"> </w:t>
      </w:r>
    </w:p>
    <w:p w14:paraId="0378C88C" w14:textId="5743C14C" w:rsidR="00353910" w:rsidRDefault="00353910" w:rsidP="00353910">
      <w:pPr>
        <w:pStyle w:val="Body"/>
        <w:spacing w:after="0"/>
      </w:pPr>
      <w:proofErr w:type="spellStart"/>
      <w:r>
        <w:t>Wanderi</w:t>
      </w:r>
      <w:proofErr w:type="spellEnd"/>
      <w:r>
        <w:t>, P. G. (2015). An assessment of teachers’ attitudes and their commitment to inclusive educational settings in Bahati sub-county, Kenya. In Master’s Thesis. UNIVERSITY OF OSLO. Accessed 08 September 2024</w:t>
      </w:r>
    </w:p>
    <w:p w14:paraId="1C558126" w14:textId="113314A9" w:rsidR="00353910" w:rsidRDefault="00353910" w:rsidP="00353910">
      <w:pPr>
        <w:pStyle w:val="Body"/>
      </w:pPr>
      <w:r>
        <w:t xml:space="preserve">Available: </w:t>
      </w:r>
      <w:hyperlink r:id="rId51" w:history="1">
        <w:r w:rsidRPr="00E3068E">
          <w:rPr>
            <w:rStyle w:val="Hyperlink"/>
          </w:rPr>
          <w:t>https://core.ac.uk/download/pdf/30827815.pdf</w:t>
        </w:r>
      </w:hyperlink>
      <w:r>
        <w:t xml:space="preserve"> </w:t>
      </w:r>
    </w:p>
    <w:p w14:paraId="08144944" w14:textId="77777777" w:rsidR="00353910" w:rsidRDefault="00353910" w:rsidP="00353910">
      <w:pPr>
        <w:pStyle w:val="Body"/>
        <w:spacing w:after="0"/>
      </w:pPr>
      <w:r>
        <w:t xml:space="preserve">Wanzek, J., Wood, C., &amp; Schatschneider, C. (2023). Teacher vocabulary use and student language and literacy achievement. Journal of Speech Language and Hearing Research, 66(9), 3574–3587. </w:t>
      </w:r>
    </w:p>
    <w:p w14:paraId="2A931F26" w14:textId="67FB14DD" w:rsidR="00353910" w:rsidRDefault="00353910" w:rsidP="00353910">
      <w:pPr>
        <w:pStyle w:val="Body"/>
        <w:spacing w:after="0"/>
      </w:pPr>
      <w:r>
        <w:t>Accessed 19 April 2025</w:t>
      </w:r>
    </w:p>
    <w:p w14:paraId="1748486D" w14:textId="2646B17C" w:rsidR="00353910" w:rsidRDefault="00353910" w:rsidP="00353910">
      <w:pPr>
        <w:pStyle w:val="Body"/>
      </w:pPr>
      <w:r>
        <w:t xml:space="preserve">Available: </w:t>
      </w:r>
      <w:hyperlink r:id="rId52" w:history="1">
        <w:r w:rsidRPr="00E3068E">
          <w:rPr>
            <w:rStyle w:val="Hyperlink"/>
          </w:rPr>
          <w:t>https://doi.org/10.1044/2023_jslhr-22-00605</w:t>
        </w:r>
      </w:hyperlink>
      <w:r>
        <w:t xml:space="preserve"> </w:t>
      </w:r>
    </w:p>
    <w:p w14:paraId="50FCCF3D" w14:textId="7A390F90" w:rsidR="00353910" w:rsidRDefault="00353910" w:rsidP="00353910">
      <w:pPr>
        <w:pStyle w:val="Body"/>
        <w:spacing w:after="0"/>
      </w:pPr>
      <w:proofErr w:type="spellStart"/>
      <w:r>
        <w:t>Yidana</w:t>
      </w:r>
      <w:proofErr w:type="spellEnd"/>
      <w:r>
        <w:t>, P. (2025). Predictors of the higher education psychosocial learning environment: students’ perspectives. International Journal of Social Science and Human Research, 08(01). Accessed 19 April 2025</w:t>
      </w:r>
    </w:p>
    <w:p w14:paraId="4B0F4B39" w14:textId="7A98CD5F" w:rsidR="00353910" w:rsidRDefault="00353910" w:rsidP="00353910">
      <w:pPr>
        <w:pStyle w:val="Body"/>
      </w:pPr>
      <w:r>
        <w:t xml:space="preserve">Available: </w:t>
      </w:r>
      <w:hyperlink r:id="rId53" w:history="1">
        <w:r w:rsidRPr="00E3068E">
          <w:rPr>
            <w:rStyle w:val="Hyperlink"/>
          </w:rPr>
          <w:t>https://doi.org/10.47191/ijsshr/v8-i1-86</w:t>
        </w:r>
      </w:hyperlink>
      <w:r>
        <w:t xml:space="preserve"> </w:t>
      </w:r>
    </w:p>
    <w:p w14:paraId="27D109DF" w14:textId="77777777" w:rsidR="00353910" w:rsidRDefault="00353910" w:rsidP="00353910">
      <w:pPr>
        <w:pStyle w:val="Body"/>
        <w:spacing w:after="0"/>
      </w:pPr>
      <w:r>
        <w:t>Zhang, S. (2022). Math anxiety: the influence of teaching strategies and teachers’ attitude. Proceedings of the 2022 International Conference on Sport Science, Education and Social Development (SSESD 2022), 202–208.</w:t>
      </w:r>
    </w:p>
    <w:p w14:paraId="175934BB" w14:textId="2186DAD4" w:rsidR="00353910" w:rsidRDefault="00353910" w:rsidP="00353910">
      <w:pPr>
        <w:pStyle w:val="Body"/>
        <w:spacing w:after="0"/>
      </w:pPr>
      <w:r>
        <w:t>Accessed 19 April 2025</w:t>
      </w:r>
    </w:p>
    <w:p w14:paraId="24C5AA71" w14:textId="4C6DBE7F" w:rsidR="00353910" w:rsidRDefault="00353910" w:rsidP="00353910">
      <w:pPr>
        <w:pStyle w:val="Body"/>
        <w:spacing w:after="0"/>
      </w:pPr>
      <w:r>
        <w:t xml:space="preserve">Available: </w:t>
      </w:r>
      <w:hyperlink r:id="rId54" w:history="1">
        <w:r w:rsidRPr="00E3068E">
          <w:rPr>
            <w:rStyle w:val="Hyperlink"/>
          </w:rPr>
          <w:t>https://doi.org/10.2991/978-2-494069-13-8_27</w:t>
        </w:r>
      </w:hyperlink>
      <w:r>
        <w:t xml:space="preserve"> </w:t>
      </w:r>
    </w:p>
    <w:p w14:paraId="63260F06" w14:textId="77777777" w:rsidR="00353910" w:rsidRDefault="00353910" w:rsidP="00353910">
      <w:pPr>
        <w:pStyle w:val="Body"/>
        <w:spacing w:after="0"/>
      </w:pPr>
    </w:p>
    <w:p w14:paraId="74FAD064" w14:textId="6B3AAA77" w:rsidR="00353910" w:rsidRDefault="00353910" w:rsidP="00353910">
      <w:pPr>
        <w:pStyle w:val="Body"/>
        <w:spacing w:after="0"/>
      </w:pPr>
      <w:proofErr w:type="spellStart"/>
      <w:r>
        <w:t>Zohuri</w:t>
      </w:r>
      <w:proofErr w:type="spellEnd"/>
      <w:r>
        <w:t xml:space="preserve">, B., </w:t>
      </w:r>
      <w:proofErr w:type="spellStart"/>
      <w:r>
        <w:t>Mossavar-Rahmani</w:t>
      </w:r>
      <w:proofErr w:type="spellEnd"/>
      <w:r>
        <w:t xml:space="preserve">, F., &amp; </w:t>
      </w:r>
      <w:proofErr w:type="spellStart"/>
      <w:r>
        <w:t>Behgounia</w:t>
      </w:r>
      <w:proofErr w:type="spellEnd"/>
      <w:r>
        <w:t xml:space="preserve">, F. (2022). Predictive analytics. In Elsevier eBooks (pp. 573–637). </w:t>
      </w:r>
    </w:p>
    <w:p w14:paraId="615EAFC7" w14:textId="122BFEF3" w:rsidR="00353910" w:rsidRDefault="00353910" w:rsidP="00353910">
      <w:pPr>
        <w:pStyle w:val="Body"/>
        <w:spacing w:after="0"/>
      </w:pPr>
      <w:r>
        <w:t>Accessed 19 April 2025</w:t>
      </w:r>
    </w:p>
    <w:p w14:paraId="0DF5CC72" w14:textId="678D34A5" w:rsidR="00353910" w:rsidRDefault="00353910" w:rsidP="00353910">
      <w:pPr>
        <w:pStyle w:val="Body"/>
        <w:spacing w:after="0"/>
      </w:pPr>
      <w:r>
        <w:t xml:space="preserve">Available: </w:t>
      </w:r>
      <w:hyperlink r:id="rId55" w:history="1">
        <w:r w:rsidRPr="00E3068E">
          <w:rPr>
            <w:rStyle w:val="Hyperlink"/>
          </w:rPr>
          <w:t>https://doi.org/10.1016/b978-0-323-95112-8.00018-0</w:t>
        </w:r>
      </w:hyperlink>
    </w:p>
    <w:p w14:paraId="1BCE8A7F" w14:textId="77777777" w:rsidR="00353910" w:rsidRDefault="00353910" w:rsidP="00353910">
      <w:pPr>
        <w:pStyle w:val="Body"/>
        <w:spacing w:after="0"/>
      </w:pPr>
    </w:p>
    <w:p w14:paraId="4C43ABCC" w14:textId="0C97AEF4" w:rsidR="004D4277" w:rsidRPr="0069662A" w:rsidRDefault="004D4277" w:rsidP="0069662A">
      <w:pPr>
        <w:pStyle w:val="Body"/>
        <w:spacing w:after="0"/>
        <w:sectPr w:rsidR="004D4277" w:rsidRPr="0069662A" w:rsidSect="00AC02B3">
          <w:headerReference w:type="even" r:id="rId56"/>
          <w:headerReference w:type="default" r:id="rId57"/>
          <w:footerReference w:type="default" r:id="rId58"/>
          <w:headerReference w:type="first" r:id="rId59"/>
          <w:type w:val="continuous"/>
          <w:pgSz w:w="12240" w:h="15840"/>
          <w:pgMar w:top="1440" w:right="2016" w:bottom="2016" w:left="2016" w:header="720" w:footer="1123" w:gutter="0"/>
          <w:cols w:space="720"/>
          <w:docGrid w:linePitch="272"/>
        </w:sectPr>
      </w:pPr>
    </w:p>
    <w:p w14:paraId="5B22810E" w14:textId="77777777" w:rsidR="00B01FCD" w:rsidRPr="00FB3A86" w:rsidRDefault="00B01FCD" w:rsidP="00441B6F">
      <w:pPr>
        <w:pStyle w:val="Appendix"/>
        <w:spacing w:after="0"/>
        <w:jc w:val="both"/>
        <w:rPr>
          <w:rFonts w:ascii="Arial" w:hAnsi="Arial" w:cs="Arial"/>
          <w:b w:val="0"/>
        </w:rPr>
      </w:pPr>
    </w:p>
    <w:sectPr w:rsidR="00B01FCD" w:rsidRPr="00FB3A86" w:rsidSect="00AC02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31CC6" w14:textId="77777777" w:rsidR="00D41115" w:rsidRDefault="00D41115" w:rsidP="00C37E61">
      <w:r>
        <w:separator/>
      </w:r>
    </w:p>
  </w:endnote>
  <w:endnote w:type="continuationSeparator" w:id="0">
    <w:p w14:paraId="2EEF04A1" w14:textId="77777777" w:rsidR="00D41115" w:rsidRDefault="00D411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692A" w14:textId="77777777" w:rsidR="004831A0" w:rsidRDefault="00483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C7C1E" w14:textId="77777777" w:rsidR="004831A0" w:rsidRDefault="00483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C3F7" w14:textId="77777777" w:rsidR="009E048A" w:rsidRDefault="009E048A">
    <w:pPr>
      <w:pStyle w:val="Footer"/>
      <w:rPr>
        <w:rFonts w:ascii="Arial" w:hAnsi="Arial" w:cs="Arial"/>
        <w:sz w:val="16"/>
      </w:rPr>
    </w:pPr>
  </w:p>
  <w:p w14:paraId="6EA2B2E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B6D98E" w14:textId="77777777" w:rsidR="009E048A" w:rsidRDefault="009E048A">
    <w:pPr>
      <w:pStyle w:val="Footer"/>
      <w:rPr>
        <w:rFonts w:ascii="Arial" w:hAnsi="Arial" w:cs="Arial"/>
        <w:sz w:val="16"/>
      </w:rPr>
    </w:pPr>
  </w:p>
  <w:p w14:paraId="6BC503E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D5B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EA27E" w14:textId="77777777" w:rsidR="00D41115" w:rsidRDefault="00D41115" w:rsidP="00C37E61">
      <w:r>
        <w:separator/>
      </w:r>
    </w:p>
  </w:footnote>
  <w:footnote w:type="continuationSeparator" w:id="0">
    <w:p w14:paraId="1AA209EA" w14:textId="77777777" w:rsidR="00D41115" w:rsidRDefault="00D411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F0CDE" w14:textId="4002CED9" w:rsidR="004831A0" w:rsidRDefault="004831A0">
    <w:pPr>
      <w:pStyle w:val="Header"/>
    </w:pPr>
    <w:r>
      <w:rPr>
        <w:noProof/>
      </w:rPr>
      <w:pict w14:anchorId="062B2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B164" w14:textId="4688D699" w:rsidR="004831A0" w:rsidRDefault="004831A0">
    <w:pPr>
      <w:pStyle w:val="Header"/>
    </w:pPr>
    <w:r>
      <w:rPr>
        <w:noProof/>
      </w:rPr>
      <w:pict w14:anchorId="1301C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5855" w14:textId="387A6D53" w:rsidR="00296529" w:rsidRPr="00296529" w:rsidRDefault="004831A0" w:rsidP="00296529">
    <w:pPr>
      <w:ind w:left="2160"/>
      <w:jc w:val="center"/>
      <w:rPr>
        <w:rFonts w:ascii="Times New Roman" w:eastAsia="Calibri" w:hAnsi="Times New Roman"/>
        <w:i/>
        <w:sz w:val="18"/>
        <w:szCs w:val="22"/>
      </w:rPr>
    </w:pPr>
    <w:r>
      <w:rPr>
        <w:noProof/>
      </w:rPr>
      <w:pict w14:anchorId="63BBD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83B2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5C5D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71AD2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0C697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35D7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95BC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B1D8" w14:textId="5A2D3B77" w:rsidR="004831A0" w:rsidRDefault="004831A0">
    <w:pPr>
      <w:pStyle w:val="Header"/>
    </w:pPr>
    <w:r>
      <w:rPr>
        <w:noProof/>
      </w:rPr>
      <w:pict w14:anchorId="4C6F0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C35B" w14:textId="596208A9" w:rsidR="004831A0" w:rsidRDefault="004831A0">
    <w:pPr>
      <w:pStyle w:val="Header"/>
    </w:pPr>
    <w:r>
      <w:rPr>
        <w:noProof/>
      </w:rPr>
      <w:pict w14:anchorId="22A97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BEB5" w14:textId="15913425" w:rsidR="004831A0" w:rsidRDefault="004831A0">
    <w:pPr>
      <w:pStyle w:val="Header"/>
    </w:pPr>
    <w:r>
      <w:rPr>
        <w:noProof/>
      </w:rPr>
      <w:pict w14:anchorId="14F1A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673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7805"/>
    <w:multiLevelType w:val="hybridMultilevel"/>
    <w:tmpl w:val="263C59B4"/>
    <w:lvl w:ilvl="0" w:tplc="BA862E2C">
      <w:start w:val="1"/>
      <w:numFmt w:val="decimal"/>
      <w:lvlText w:val="%1."/>
      <w:lvlJc w:val="left"/>
      <w:pPr>
        <w:ind w:left="720" w:hanging="360"/>
      </w:pPr>
      <w:rPr>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86765A"/>
    <w:multiLevelType w:val="multilevel"/>
    <w:tmpl w:val="6B48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776E67"/>
    <w:multiLevelType w:val="multilevel"/>
    <w:tmpl w:val="6D7817CC"/>
    <w:lvl w:ilvl="0">
      <w:start w:val="1"/>
      <w:numFmt w:val="decimal"/>
      <w:lvlText w:val="%1."/>
      <w:lvlJc w:val="left"/>
      <w:pPr>
        <w:tabs>
          <w:tab w:val="num" w:pos="2340"/>
        </w:tabs>
        <w:ind w:left="2340" w:hanging="360"/>
      </w:pPr>
    </w:lvl>
    <w:lvl w:ilvl="1" w:tentative="1">
      <w:start w:val="1"/>
      <w:numFmt w:val="decimal"/>
      <w:lvlText w:val="%2."/>
      <w:lvlJc w:val="left"/>
      <w:pPr>
        <w:tabs>
          <w:tab w:val="num" w:pos="3060"/>
        </w:tabs>
        <w:ind w:left="3060" w:hanging="360"/>
      </w:pPr>
    </w:lvl>
    <w:lvl w:ilvl="2" w:tentative="1">
      <w:start w:val="1"/>
      <w:numFmt w:val="decimal"/>
      <w:lvlText w:val="%3."/>
      <w:lvlJc w:val="left"/>
      <w:pPr>
        <w:tabs>
          <w:tab w:val="num" w:pos="3780"/>
        </w:tabs>
        <w:ind w:left="3780" w:hanging="360"/>
      </w:pPr>
    </w:lvl>
    <w:lvl w:ilvl="3" w:tentative="1">
      <w:start w:val="1"/>
      <w:numFmt w:val="decimal"/>
      <w:lvlText w:val="%4."/>
      <w:lvlJc w:val="left"/>
      <w:pPr>
        <w:tabs>
          <w:tab w:val="num" w:pos="4500"/>
        </w:tabs>
        <w:ind w:left="4500" w:hanging="360"/>
      </w:pPr>
    </w:lvl>
    <w:lvl w:ilvl="4" w:tentative="1">
      <w:start w:val="1"/>
      <w:numFmt w:val="decimal"/>
      <w:lvlText w:val="%5."/>
      <w:lvlJc w:val="left"/>
      <w:pPr>
        <w:tabs>
          <w:tab w:val="num" w:pos="5220"/>
        </w:tabs>
        <w:ind w:left="5220" w:hanging="360"/>
      </w:pPr>
    </w:lvl>
    <w:lvl w:ilvl="5" w:tentative="1">
      <w:start w:val="1"/>
      <w:numFmt w:val="decimal"/>
      <w:lvlText w:val="%6."/>
      <w:lvlJc w:val="left"/>
      <w:pPr>
        <w:tabs>
          <w:tab w:val="num" w:pos="5940"/>
        </w:tabs>
        <w:ind w:left="5940" w:hanging="360"/>
      </w:pPr>
    </w:lvl>
    <w:lvl w:ilvl="6" w:tentative="1">
      <w:start w:val="1"/>
      <w:numFmt w:val="decimal"/>
      <w:lvlText w:val="%7."/>
      <w:lvlJc w:val="left"/>
      <w:pPr>
        <w:tabs>
          <w:tab w:val="num" w:pos="6660"/>
        </w:tabs>
        <w:ind w:left="6660" w:hanging="360"/>
      </w:pPr>
    </w:lvl>
    <w:lvl w:ilvl="7" w:tentative="1">
      <w:start w:val="1"/>
      <w:numFmt w:val="decimal"/>
      <w:lvlText w:val="%8."/>
      <w:lvlJc w:val="left"/>
      <w:pPr>
        <w:tabs>
          <w:tab w:val="num" w:pos="7380"/>
        </w:tabs>
        <w:ind w:left="7380" w:hanging="360"/>
      </w:pPr>
    </w:lvl>
    <w:lvl w:ilvl="8" w:tentative="1">
      <w:start w:val="1"/>
      <w:numFmt w:val="decimal"/>
      <w:lvlText w:val="%9."/>
      <w:lvlJc w:val="left"/>
      <w:pPr>
        <w:tabs>
          <w:tab w:val="num" w:pos="8100"/>
        </w:tabs>
        <w:ind w:left="810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5C247B"/>
    <w:multiLevelType w:val="hybridMultilevel"/>
    <w:tmpl w:val="FF4A6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1644AE"/>
    <w:multiLevelType w:val="multilevel"/>
    <w:tmpl w:val="196CB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481E4D"/>
    <w:multiLevelType w:val="hybridMultilevel"/>
    <w:tmpl w:val="5CE2D632"/>
    <w:lvl w:ilvl="0" w:tplc="1E0E88DC">
      <w:start w:val="1"/>
      <w:numFmt w:val="bullet"/>
      <w:lvlText w:val=""/>
      <w:lvlJc w:val="left"/>
      <w:pPr>
        <w:ind w:left="720" w:hanging="360"/>
      </w:pPr>
      <w:rPr>
        <w:rFonts w:ascii="Symbol" w:hAnsi="Symbol" w:hint="default"/>
        <w:sz w:val="24"/>
        <w:szCs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3FAC6F01"/>
    <w:multiLevelType w:val="multilevel"/>
    <w:tmpl w:val="7FB8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07C3641"/>
    <w:multiLevelType w:val="hybridMultilevel"/>
    <w:tmpl w:val="3C2262C8"/>
    <w:lvl w:ilvl="0" w:tplc="1E0E88DC">
      <w:start w:val="1"/>
      <w:numFmt w:val="bullet"/>
      <w:lvlText w:val=""/>
      <w:lvlJc w:val="left"/>
      <w:pPr>
        <w:ind w:left="720" w:hanging="360"/>
      </w:pPr>
      <w:rPr>
        <w:rFonts w:ascii="Symbol" w:hAnsi="Symbol" w:hint="default"/>
        <w:sz w:val="24"/>
        <w:szCs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63F44B30"/>
    <w:multiLevelType w:val="hybridMultilevel"/>
    <w:tmpl w:val="6C7682BE"/>
    <w:lvl w:ilvl="0" w:tplc="1E0E88DC">
      <w:start w:val="1"/>
      <w:numFmt w:val="bullet"/>
      <w:lvlText w:val=""/>
      <w:lvlJc w:val="left"/>
      <w:pPr>
        <w:ind w:left="720" w:hanging="360"/>
      </w:pPr>
      <w:rPr>
        <w:rFonts w:ascii="Symbol" w:hAnsi="Symbol" w:hint="default"/>
        <w:sz w:val="24"/>
        <w:szCs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68C22B5E"/>
    <w:multiLevelType w:val="multilevel"/>
    <w:tmpl w:val="E13EC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554094"/>
    <w:multiLevelType w:val="multilevel"/>
    <w:tmpl w:val="48F0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A8F2DAE"/>
    <w:multiLevelType w:val="multilevel"/>
    <w:tmpl w:val="7FB8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C262DB"/>
    <w:multiLevelType w:val="hybridMultilevel"/>
    <w:tmpl w:val="AAF03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6"/>
  </w:num>
  <w:num w:numId="9">
    <w:abstractNumId w:val="37"/>
  </w:num>
  <w:num w:numId="10">
    <w:abstractNumId w:val="3"/>
  </w:num>
  <w:num w:numId="11">
    <w:abstractNumId w:val="29"/>
  </w:num>
  <w:num w:numId="12">
    <w:abstractNumId w:val="5"/>
  </w:num>
  <w:num w:numId="13">
    <w:abstractNumId w:val="24"/>
  </w:num>
  <w:num w:numId="14">
    <w:abstractNumId w:val="12"/>
  </w:num>
  <w:num w:numId="15">
    <w:abstractNumId w:val="33"/>
  </w:num>
  <w:num w:numId="16">
    <w:abstractNumId w:val="7"/>
  </w:num>
  <w:num w:numId="17">
    <w:abstractNumId w:val="34"/>
  </w:num>
  <w:num w:numId="18">
    <w:abstractNumId w:val="18"/>
  </w:num>
  <w:num w:numId="19">
    <w:abstractNumId w:val="41"/>
  </w:num>
  <w:num w:numId="20">
    <w:abstractNumId w:val="15"/>
  </w:num>
  <w:num w:numId="21">
    <w:abstractNumId w:val="13"/>
  </w:num>
  <w:num w:numId="22">
    <w:abstractNumId w:val="17"/>
  </w:num>
  <w:num w:numId="23">
    <w:abstractNumId w:val="31"/>
  </w:num>
  <w:num w:numId="24">
    <w:abstractNumId w:val="38"/>
  </w:num>
  <w:num w:numId="25">
    <w:abstractNumId w:val="6"/>
  </w:num>
  <w:num w:numId="26">
    <w:abstractNumId w:val="23"/>
  </w:num>
  <w:num w:numId="27">
    <w:abstractNumId w:val="32"/>
  </w:num>
  <w:num w:numId="28">
    <w:abstractNumId w:val="39"/>
  </w:num>
  <w:num w:numId="29">
    <w:abstractNumId w:val="36"/>
  </w:num>
  <w:num w:numId="30">
    <w:abstractNumId w:val="14"/>
  </w:num>
  <w:num w:numId="31">
    <w:abstractNumId w:val="21"/>
  </w:num>
  <w:num w:numId="32">
    <w:abstractNumId w:val="4"/>
  </w:num>
  <w:num w:numId="33">
    <w:abstractNumId w:val="9"/>
  </w:num>
  <w:num w:numId="34">
    <w:abstractNumId w:val="40"/>
  </w:num>
  <w:num w:numId="35">
    <w:abstractNumId w:val="11"/>
  </w:num>
  <w:num w:numId="36">
    <w:abstractNumId w:val="19"/>
  </w:num>
  <w:num w:numId="37">
    <w:abstractNumId w:val="28"/>
  </w:num>
  <w:num w:numId="38">
    <w:abstractNumId w:val="27"/>
  </w:num>
  <w:num w:numId="39">
    <w:abstractNumId w:val="30"/>
  </w:num>
  <w:num w:numId="40">
    <w:abstractNumId w:val="1"/>
  </w:num>
  <w:num w:numId="41">
    <w:abstractNumId w:val="26"/>
  </w:num>
  <w:num w:numId="42">
    <w:abstractNumId w:val="2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7501"/>
    <w:rsid w:val="00072C5C"/>
    <w:rsid w:val="00073BE4"/>
    <w:rsid w:val="000A47FA"/>
    <w:rsid w:val="000A65D3"/>
    <w:rsid w:val="000B1E33"/>
    <w:rsid w:val="000D689F"/>
    <w:rsid w:val="000E78AE"/>
    <w:rsid w:val="000E7B7B"/>
    <w:rsid w:val="000E7D62"/>
    <w:rsid w:val="00103357"/>
    <w:rsid w:val="00111E44"/>
    <w:rsid w:val="00123C9F"/>
    <w:rsid w:val="00126190"/>
    <w:rsid w:val="00130F17"/>
    <w:rsid w:val="001320BF"/>
    <w:rsid w:val="00150CE6"/>
    <w:rsid w:val="00163BC4"/>
    <w:rsid w:val="00191062"/>
    <w:rsid w:val="00192B72"/>
    <w:rsid w:val="001A29D8"/>
    <w:rsid w:val="001A5CAA"/>
    <w:rsid w:val="001B0427"/>
    <w:rsid w:val="001D3A51"/>
    <w:rsid w:val="001E10D2"/>
    <w:rsid w:val="001E25B4"/>
    <w:rsid w:val="001E27E1"/>
    <w:rsid w:val="001E44FE"/>
    <w:rsid w:val="00200595"/>
    <w:rsid w:val="002020EA"/>
    <w:rsid w:val="00204835"/>
    <w:rsid w:val="00231920"/>
    <w:rsid w:val="0023195C"/>
    <w:rsid w:val="0024282C"/>
    <w:rsid w:val="002460DC"/>
    <w:rsid w:val="00250985"/>
    <w:rsid w:val="002556F6"/>
    <w:rsid w:val="00281C95"/>
    <w:rsid w:val="00283105"/>
    <w:rsid w:val="00284C4C"/>
    <w:rsid w:val="002860E7"/>
    <w:rsid w:val="00296529"/>
    <w:rsid w:val="002B27FB"/>
    <w:rsid w:val="002B685A"/>
    <w:rsid w:val="002C57D2"/>
    <w:rsid w:val="002E0D56"/>
    <w:rsid w:val="00310E7C"/>
    <w:rsid w:val="00315186"/>
    <w:rsid w:val="003332A2"/>
    <w:rsid w:val="0033343E"/>
    <w:rsid w:val="003512C2"/>
    <w:rsid w:val="00353910"/>
    <w:rsid w:val="00371FB6"/>
    <w:rsid w:val="003763C1"/>
    <w:rsid w:val="00376BBE"/>
    <w:rsid w:val="00390326"/>
    <w:rsid w:val="0039224F"/>
    <w:rsid w:val="003A43A4"/>
    <w:rsid w:val="003A7E18"/>
    <w:rsid w:val="003C4C86"/>
    <w:rsid w:val="003C6258"/>
    <w:rsid w:val="003D7A09"/>
    <w:rsid w:val="003E0161"/>
    <w:rsid w:val="003E2904"/>
    <w:rsid w:val="003F48E4"/>
    <w:rsid w:val="00401927"/>
    <w:rsid w:val="0041027F"/>
    <w:rsid w:val="00412475"/>
    <w:rsid w:val="00423789"/>
    <w:rsid w:val="004306E6"/>
    <w:rsid w:val="00440F43"/>
    <w:rsid w:val="00441B6F"/>
    <w:rsid w:val="00446221"/>
    <w:rsid w:val="004471C3"/>
    <w:rsid w:val="00450E62"/>
    <w:rsid w:val="004539DB"/>
    <w:rsid w:val="00471A80"/>
    <w:rsid w:val="004831A0"/>
    <w:rsid w:val="00490629"/>
    <w:rsid w:val="004D305E"/>
    <w:rsid w:val="004D4277"/>
    <w:rsid w:val="004E6394"/>
    <w:rsid w:val="004E76DE"/>
    <w:rsid w:val="004F0A90"/>
    <w:rsid w:val="00502516"/>
    <w:rsid w:val="00503E89"/>
    <w:rsid w:val="00505F06"/>
    <w:rsid w:val="00506828"/>
    <w:rsid w:val="00516ED9"/>
    <w:rsid w:val="0053056E"/>
    <w:rsid w:val="00554FDA"/>
    <w:rsid w:val="005C784C"/>
    <w:rsid w:val="005D17F6"/>
    <w:rsid w:val="005E5539"/>
    <w:rsid w:val="00602BF5"/>
    <w:rsid w:val="00617FDD"/>
    <w:rsid w:val="00633614"/>
    <w:rsid w:val="00633F68"/>
    <w:rsid w:val="00636EB2"/>
    <w:rsid w:val="006375B8"/>
    <w:rsid w:val="006405D7"/>
    <w:rsid w:val="0066510A"/>
    <w:rsid w:val="00673F9F"/>
    <w:rsid w:val="00683752"/>
    <w:rsid w:val="00686953"/>
    <w:rsid w:val="00687DEA"/>
    <w:rsid w:val="00687E67"/>
    <w:rsid w:val="0069662A"/>
    <w:rsid w:val="006967F7"/>
    <w:rsid w:val="006A250C"/>
    <w:rsid w:val="006B21D3"/>
    <w:rsid w:val="006B57D0"/>
    <w:rsid w:val="006D2132"/>
    <w:rsid w:val="006D30FF"/>
    <w:rsid w:val="006D6940"/>
    <w:rsid w:val="006F11EC"/>
    <w:rsid w:val="0070082C"/>
    <w:rsid w:val="007369E6"/>
    <w:rsid w:val="00736CE8"/>
    <w:rsid w:val="0074335A"/>
    <w:rsid w:val="00746E59"/>
    <w:rsid w:val="00754C9A"/>
    <w:rsid w:val="0075599A"/>
    <w:rsid w:val="00761D52"/>
    <w:rsid w:val="00762C1D"/>
    <w:rsid w:val="0077749E"/>
    <w:rsid w:val="00790ADA"/>
    <w:rsid w:val="007B30E2"/>
    <w:rsid w:val="007C1832"/>
    <w:rsid w:val="007D1A88"/>
    <w:rsid w:val="007D2288"/>
    <w:rsid w:val="007E088F"/>
    <w:rsid w:val="007F3574"/>
    <w:rsid w:val="007F7B32"/>
    <w:rsid w:val="00804BC2"/>
    <w:rsid w:val="0081431A"/>
    <w:rsid w:val="008167B4"/>
    <w:rsid w:val="0083216F"/>
    <w:rsid w:val="008500F4"/>
    <w:rsid w:val="00860000"/>
    <w:rsid w:val="00863BD3"/>
    <w:rsid w:val="00866D66"/>
    <w:rsid w:val="008671C6"/>
    <w:rsid w:val="00875803"/>
    <w:rsid w:val="008B459E"/>
    <w:rsid w:val="008E13AE"/>
    <w:rsid w:val="008E1506"/>
    <w:rsid w:val="008E710C"/>
    <w:rsid w:val="008F69D6"/>
    <w:rsid w:val="00902823"/>
    <w:rsid w:val="00914631"/>
    <w:rsid w:val="00915CA6"/>
    <w:rsid w:val="00922F5C"/>
    <w:rsid w:val="00927834"/>
    <w:rsid w:val="009500A6"/>
    <w:rsid w:val="00954E92"/>
    <w:rsid w:val="00957C18"/>
    <w:rsid w:val="009659BA"/>
    <w:rsid w:val="009755DE"/>
    <w:rsid w:val="00983040"/>
    <w:rsid w:val="009B3FB9"/>
    <w:rsid w:val="009C2465"/>
    <w:rsid w:val="009D35A0"/>
    <w:rsid w:val="009D7EB7"/>
    <w:rsid w:val="009E048A"/>
    <w:rsid w:val="009E08E9"/>
    <w:rsid w:val="009E296A"/>
    <w:rsid w:val="009E3DB9"/>
    <w:rsid w:val="009E3DCE"/>
    <w:rsid w:val="009E6E35"/>
    <w:rsid w:val="009F0EDA"/>
    <w:rsid w:val="00A03B96"/>
    <w:rsid w:val="00A05B19"/>
    <w:rsid w:val="00A06DB6"/>
    <w:rsid w:val="00A1134E"/>
    <w:rsid w:val="00A24E7E"/>
    <w:rsid w:val="00A258C3"/>
    <w:rsid w:val="00A347C0"/>
    <w:rsid w:val="00A36A1A"/>
    <w:rsid w:val="00A51431"/>
    <w:rsid w:val="00A539AD"/>
    <w:rsid w:val="00A663AC"/>
    <w:rsid w:val="00A94063"/>
    <w:rsid w:val="00AA48DA"/>
    <w:rsid w:val="00AA6219"/>
    <w:rsid w:val="00AA74E0"/>
    <w:rsid w:val="00AB703F"/>
    <w:rsid w:val="00AC02B3"/>
    <w:rsid w:val="00AC6BB8"/>
    <w:rsid w:val="00AE008F"/>
    <w:rsid w:val="00AF7CC7"/>
    <w:rsid w:val="00B01FCD"/>
    <w:rsid w:val="00B1776C"/>
    <w:rsid w:val="00B52896"/>
    <w:rsid w:val="00B75F4C"/>
    <w:rsid w:val="00B86718"/>
    <w:rsid w:val="00B95236"/>
    <w:rsid w:val="00B96BD9"/>
    <w:rsid w:val="00BA1B01"/>
    <w:rsid w:val="00BA2641"/>
    <w:rsid w:val="00BB37AA"/>
    <w:rsid w:val="00BC53A0"/>
    <w:rsid w:val="00BD5A33"/>
    <w:rsid w:val="00BE62AD"/>
    <w:rsid w:val="00BF121F"/>
    <w:rsid w:val="00BF1F80"/>
    <w:rsid w:val="00C04CC3"/>
    <w:rsid w:val="00C166EF"/>
    <w:rsid w:val="00C17EB0"/>
    <w:rsid w:val="00C27F5F"/>
    <w:rsid w:val="00C30A0F"/>
    <w:rsid w:val="00C37E61"/>
    <w:rsid w:val="00C70F1B"/>
    <w:rsid w:val="00C71A47"/>
    <w:rsid w:val="00C7464C"/>
    <w:rsid w:val="00C832AB"/>
    <w:rsid w:val="00C85588"/>
    <w:rsid w:val="00C855A2"/>
    <w:rsid w:val="00CA1EC2"/>
    <w:rsid w:val="00CD6755"/>
    <w:rsid w:val="00CD6856"/>
    <w:rsid w:val="00CE0089"/>
    <w:rsid w:val="00CE793C"/>
    <w:rsid w:val="00D173F1"/>
    <w:rsid w:val="00D41115"/>
    <w:rsid w:val="00D8295D"/>
    <w:rsid w:val="00DA1E2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2A69"/>
    <w:rsid w:val="00ED0288"/>
    <w:rsid w:val="00EE52CB"/>
    <w:rsid w:val="00EF581D"/>
    <w:rsid w:val="00EF7FD8"/>
    <w:rsid w:val="00F06BA8"/>
    <w:rsid w:val="00F06F59"/>
    <w:rsid w:val="00F1688B"/>
    <w:rsid w:val="00F17988"/>
    <w:rsid w:val="00F469F0"/>
    <w:rsid w:val="00F53273"/>
    <w:rsid w:val="00F746B2"/>
    <w:rsid w:val="00F755E4"/>
    <w:rsid w:val="00F77D02"/>
    <w:rsid w:val="00FA486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5649FA"/>
  <w15:docId w15:val="{65438F02-B8E7-4B46-B35C-47B8A360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E63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516ED9"/>
    <w:rPr>
      <w:color w:val="605E5C"/>
      <w:shd w:val="clear" w:color="auto" w:fill="E1DFDD"/>
    </w:rPr>
  </w:style>
  <w:style w:type="paragraph" w:styleId="ListParagraph">
    <w:name w:val="List Paragraph"/>
    <w:basedOn w:val="Normal"/>
    <w:uiPriority w:val="34"/>
    <w:qFormat/>
    <w:rsid w:val="007C1832"/>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F7CC7"/>
    <w:rPr>
      <w:rFonts w:asciiTheme="minorHAnsi" w:eastAsiaTheme="minorHAnsi" w:hAnsiTheme="minorHAnsi" w:cstheme="minorBidi"/>
      <w:sz w:val="22"/>
      <w:szCs w:val="22"/>
      <w:lang w:val="en-PH"/>
    </w:rPr>
  </w:style>
  <w:style w:type="character" w:customStyle="1" w:styleId="NoSpacingChar">
    <w:name w:val="No Spacing Char"/>
    <w:link w:val="NoSpacing"/>
    <w:autoRedefine/>
    <w:uiPriority w:val="1"/>
    <w:qFormat/>
    <w:rsid w:val="00AF7CC7"/>
    <w:rPr>
      <w:rFonts w:asciiTheme="minorHAnsi" w:eastAsiaTheme="minorHAnsi" w:hAnsiTheme="minorHAnsi" w:cstheme="minorBidi"/>
      <w:sz w:val="22"/>
      <w:szCs w:val="22"/>
      <w:lang w:val="en-PH"/>
    </w:rPr>
  </w:style>
  <w:style w:type="character" w:customStyle="1" w:styleId="Heading3Char">
    <w:name w:val="Heading 3 Char"/>
    <w:basedOn w:val="DefaultParagraphFont"/>
    <w:link w:val="Heading3"/>
    <w:uiPriority w:val="9"/>
    <w:rsid w:val="004E6394"/>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BD5A3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PH"/>
      <w14:ligatures w14:val="standardContextual"/>
    </w:rPr>
  </w:style>
  <w:style w:type="character" w:customStyle="1" w:styleId="QuoteChar">
    <w:name w:val="Quote Char"/>
    <w:basedOn w:val="DefaultParagraphFont"/>
    <w:link w:val="Quote"/>
    <w:uiPriority w:val="29"/>
    <w:rsid w:val="00BD5A33"/>
    <w:rPr>
      <w:rFonts w:asciiTheme="minorHAnsi" w:eastAsiaTheme="minorHAnsi" w:hAnsiTheme="minorHAnsi" w:cstheme="minorBidi"/>
      <w:i/>
      <w:iCs/>
      <w:color w:val="404040" w:themeColor="text1" w:themeTint="BF"/>
      <w:kern w:val="2"/>
      <w:sz w:val="22"/>
      <w:szCs w:val="22"/>
      <w:lang w:val="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789755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157507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7821884">
      <w:bodyDiv w:val="1"/>
      <w:marLeft w:val="0"/>
      <w:marRight w:val="0"/>
      <w:marTop w:val="0"/>
      <w:marBottom w:val="0"/>
      <w:divBdr>
        <w:top w:val="none" w:sz="0" w:space="0" w:color="auto"/>
        <w:left w:val="none" w:sz="0" w:space="0" w:color="auto"/>
        <w:bottom w:val="none" w:sz="0" w:space="0" w:color="auto"/>
        <w:right w:val="none" w:sz="0" w:space="0" w:color="auto"/>
      </w:divBdr>
    </w:div>
    <w:div w:id="584148463">
      <w:bodyDiv w:val="1"/>
      <w:marLeft w:val="0"/>
      <w:marRight w:val="0"/>
      <w:marTop w:val="0"/>
      <w:marBottom w:val="0"/>
      <w:divBdr>
        <w:top w:val="none" w:sz="0" w:space="0" w:color="auto"/>
        <w:left w:val="none" w:sz="0" w:space="0" w:color="auto"/>
        <w:bottom w:val="none" w:sz="0" w:space="0" w:color="auto"/>
        <w:right w:val="none" w:sz="0" w:space="0" w:color="auto"/>
      </w:divBdr>
    </w:div>
    <w:div w:id="6137567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9482350">
      <w:bodyDiv w:val="1"/>
      <w:marLeft w:val="0"/>
      <w:marRight w:val="0"/>
      <w:marTop w:val="0"/>
      <w:marBottom w:val="0"/>
      <w:divBdr>
        <w:top w:val="none" w:sz="0" w:space="0" w:color="auto"/>
        <w:left w:val="none" w:sz="0" w:space="0" w:color="auto"/>
        <w:bottom w:val="none" w:sz="0" w:space="0" w:color="auto"/>
        <w:right w:val="none" w:sz="0" w:space="0" w:color="auto"/>
      </w:divBdr>
    </w:div>
    <w:div w:id="79888401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675442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014443">
      <w:bodyDiv w:val="1"/>
      <w:marLeft w:val="0"/>
      <w:marRight w:val="0"/>
      <w:marTop w:val="0"/>
      <w:marBottom w:val="0"/>
      <w:divBdr>
        <w:top w:val="none" w:sz="0" w:space="0" w:color="auto"/>
        <w:left w:val="none" w:sz="0" w:space="0" w:color="auto"/>
        <w:bottom w:val="none" w:sz="0" w:space="0" w:color="auto"/>
        <w:right w:val="none" w:sz="0" w:space="0" w:color="auto"/>
      </w:divBdr>
    </w:div>
    <w:div w:id="1275401868">
      <w:bodyDiv w:val="1"/>
      <w:marLeft w:val="0"/>
      <w:marRight w:val="0"/>
      <w:marTop w:val="0"/>
      <w:marBottom w:val="0"/>
      <w:divBdr>
        <w:top w:val="none" w:sz="0" w:space="0" w:color="auto"/>
        <w:left w:val="none" w:sz="0" w:space="0" w:color="auto"/>
        <w:bottom w:val="none" w:sz="0" w:space="0" w:color="auto"/>
        <w:right w:val="none" w:sz="0" w:space="0" w:color="auto"/>
      </w:divBdr>
    </w:div>
    <w:div w:id="1374037328">
      <w:bodyDiv w:val="1"/>
      <w:marLeft w:val="0"/>
      <w:marRight w:val="0"/>
      <w:marTop w:val="0"/>
      <w:marBottom w:val="0"/>
      <w:divBdr>
        <w:top w:val="none" w:sz="0" w:space="0" w:color="auto"/>
        <w:left w:val="none" w:sz="0" w:space="0" w:color="auto"/>
        <w:bottom w:val="none" w:sz="0" w:space="0" w:color="auto"/>
        <w:right w:val="none" w:sz="0" w:space="0" w:color="auto"/>
      </w:divBdr>
    </w:div>
    <w:div w:id="1492410098">
      <w:bodyDiv w:val="1"/>
      <w:marLeft w:val="0"/>
      <w:marRight w:val="0"/>
      <w:marTop w:val="0"/>
      <w:marBottom w:val="0"/>
      <w:divBdr>
        <w:top w:val="none" w:sz="0" w:space="0" w:color="auto"/>
        <w:left w:val="none" w:sz="0" w:space="0" w:color="auto"/>
        <w:bottom w:val="none" w:sz="0" w:space="0" w:color="auto"/>
        <w:right w:val="none" w:sz="0" w:space="0" w:color="auto"/>
      </w:divBdr>
    </w:div>
    <w:div w:id="1546330799">
      <w:bodyDiv w:val="1"/>
      <w:marLeft w:val="0"/>
      <w:marRight w:val="0"/>
      <w:marTop w:val="0"/>
      <w:marBottom w:val="0"/>
      <w:divBdr>
        <w:top w:val="none" w:sz="0" w:space="0" w:color="auto"/>
        <w:left w:val="none" w:sz="0" w:space="0" w:color="auto"/>
        <w:bottom w:val="none" w:sz="0" w:space="0" w:color="auto"/>
        <w:right w:val="none" w:sz="0" w:space="0" w:color="auto"/>
      </w:divBdr>
    </w:div>
    <w:div w:id="1573929864">
      <w:bodyDiv w:val="1"/>
      <w:marLeft w:val="0"/>
      <w:marRight w:val="0"/>
      <w:marTop w:val="0"/>
      <w:marBottom w:val="0"/>
      <w:divBdr>
        <w:top w:val="none" w:sz="0" w:space="0" w:color="auto"/>
        <w:left w:val="none" w:sz="0" w:space="0" w:color="auto"/>
        <w:bottom w:val="none" w:sz="0" w:space="0" w:color="auto"/>
        <w:right w:val="none" w:sz="0" w:space="0" w:color="auto"/>
      </w:divBdr>
    </w:div>
    <w:div w:id="16677795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211141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cribbr.com/methodology/research-ethics/" TargetMode="External"/><Relationship Id="rId26" Type="http://schemas.openxmlformats.org/officeDocument/2006/relationships/hyperlink" Target="https://doi.org/10.1007/s10639-023-11705-9" TargetMode="External"/><Relationship Id="rId39" Type="http://schemas.openxmlformats.org/officeDocument/2006/relationships/hyperlink" Target="https://oapub.org/edu/index.php/ejfl/article/view/4295/6930" TargetMode="External"/><Relationship Id="rId21" Type="http://schemas.openxmlformats.org/officeDocument/2006/relationships/hyperlink" Target="https://doi.org/10.1080/09658416.2021.1979566" TargetMode="External"/><Relationship Id="rId34" Type="http://schemas.openxmlformats.org/officeDocument/2006/relationships/hyperlink" Target="https://doi.org/10.31703/glr.2023(viii-ii).34" TargetMode="External"/><Relationship Id="rId42" Type="http://schemas.openxmlformats.org/officeDocument/2006/relationships/hyperlink" Target="https://doi.org/10.3126/sxcj.v1i1.70875" TargetMode="External"/><Relationship Id="rId47" Type="http://schemas.openxmlformats.org/officeDocument/2006/relationships/hyperlink" Target="https://doi.org/10.21608/muja.2022.271446" TargetMode="External"/><Relationship Id="rId50" Type="http://schemas.openxmlformats.org/officeDocument/2006/relationships/hyperlink" Target="https://doi.org/10.3389/fpsyg.2022.985859" TargetMode="External"/><Relationship Id="rId55" Type="http://schemas.openxmlformats.org/officeDocument/2006/relationships/hyperlink" Target="https://doi.org/10.1016/b978-0-323-95112-8.00018-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6983/jlta.v3i1.312" TargetMode="External"/><Relationship Id="rId29" Type="http://schemas.openxmlformats.org/officeDocument/2006/relationships/hyperlink" Target="http://www.globalscienceresearchjournals.org/" TargetMode="External"/><Relationship Id="rId11" Type="http://schemas.openxmlformats.org/officeDocument/2006/relationships/footer" Target="footer2.xml"/><Relationship Id="rId24" Type="http://schemas.openxmlformats.org/officeDocument/2006/relationships/hyperlink" Target="https://nrcgt.uconn.edu/wp-content/uploads/sites/953/2015/03/rm95128.pdf" TargetMode="External"/><Relationship Id="rId32" Type="http://schemas.openxmlformats.org/officeDocument/2006/relationships/hyperlink" Target="https://doi.org/10.1057/s41599-023-01662-6" TargetMode="External"/><Relationship Id="rId37" Type="http://schemas.openxmlformats.org/officeDocument/2006/relationships/hyperlink" Target="https://doi.org/10.33394/jollt.v11i3.7656" TargetMode="External"/><Relationship Id="rId40" Type="http://schemas.openxmlformats.org/officeDocument/2006/relationships/hyperlink" Target="https://doi.org/10.29329/ijpe.2020.228.8" TargetMode="External"/><Relationship Id="rId45" Type="http://schemas.openxmlformats.org/officeDocument/2006/relationships/hyperlink" Target="http://dspace.centre-univ-mila.dz/jspui/handle/123456789/2525" TargetMode="External"/><Relationship Id="rId53" Type="http://schemas.openxmlformats.org/officeDocument/2006/relationships/hyperlink" Target="https://doi.org/10.47191/ijsshr/v8-i1-86" TargetMode="Externa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47750/jett.2022.13.01.012" TargetMode="External"/><Relationship Id="rId14" Type="http://schemas.openxmlformats.org/officeDocument/2006/relationships/hyperlink" Target="https://doi.org/10.52291/ijse.2023.38.24" TargetMode="External"/><Relationship Id="rId22" Type="http://schemas.openxmlformats.org/officeDocument/2006/relationships/hyperlink" Target="https://doi.org/10.1177/21582440211071084" TargetMode="External"/><Relationship Id="rId27" Type="http://schemas.openxmlformats.org/officeDocument/2006/relationships/hyperlink" Target="https://doi.org/10.5539/elt.v12n5p177" TargetMode="External"/><Relationship Id="rId30" Type="http://schemas.openxmlformats.org/officeDocument/2006/relationships/hyperlink" Target="https://doi.org/10.33902/jpsp.2020161079" TargetMode="External"/><Relationship Id="rId35" Type="http://schemas.openxmlformats.org/officeDocument/2006/relationships/hyperlink" Target="https://doi.org/10.52208/klasikal.v4i2.279" TargetMode="External"/><Relationship Id="rId43" Type="http://schemas.openxmlformats.org/officeDocument/2006/relationships/hyperlink" Target="https://doi.org/10.31849/reila.v3i3.7401" TargetMode="External"/><Relationship Id="rId48" Type="http://schemas.openxmlformats.org/officeDocument/2006/relationships/hyperlink" Target="https://doi.org/10.21315/apjee2020.35.2.10"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core.ac.uk/download/pdf/30827815.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54922/IJEHSS.2024.0867" TargetMode="External"/><Relationship Id="rId25" Type="http://schemas.openxmlformats.org/officeDocument/2006/relationships/hyperlink" Target="https://doi.org/10.47191/ijmra/v6-i8-52" TargetMode="External"/><Relationship Id="rId33" Type="http://schemas.openxmlformats.org/officeDocument/2006/relationships/hyperlink" Target="https://doi.org/10.52296/vje.2023.336" TargetMode="External"/><Relationship Id="rId38" Type="http://schemas.openxmlformats.org/officeDocument/2006/relationships/hyperlink" Target="https://doi.org/10.51453/2354-1431/2020/429" TargetMode="External"/><Relationship Id="rId46" Type="http://schemas.openxmlformats.org/officeDocument/2006/relationships/hyperlink" Target="https://doi.org/10.62249/jmds.2013.2440" TargetMode="External"/><Relationship Id="rId59" Type="http://schemas.openxmlformats.org/officeDocument/2006/relationships/header" Target="header6.xml"/><Relationship Id="rId20" Type="http://schemas.openxmlformats.org/officeDocument/2006/relationships/hyperlink" Target="https://doi.org/10.47772/ijriss.2024.8120001" TargetMode="External"/><Relationship Id="rId41" Type="http://schemas.openxmlformats.org/officeDocument/2006/relationships/hyperlink" Target="https://doi.org/10.15294/eej.v12i3.61086" TargetMode="External"/><Relationship Id="rId54" Type="http://schemas.openxmlformats.org/officeDocument/2006/relationships/hyperlink" Target="https://doi.org/10.2991/978-2-494069-13-8_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1744/lingcure.v6nS2.2218" TargetMode="External"/><Relationship Id="rId23" Type="http://schemas.openxmlformats.org/officeDocument/2006/relationships/hyperlink" Target="https://doi.org/10.36941/ajis-2025-0016" TargetMode="External"/><Relationship Id="rId28" Type="http://schemas.openxmlformats.org/officeDocument/2006/relationships/hyperlink" Target="https://doi.org/10.14746/ssllt.2018.8.2.7" TargetMode="External"/><Relationship Id="rId36" Type="http://schemas.openxmlformats.org/officeDocument/2006/relationships/hyperlink" Target="https://doi.org/10.18173/2354-1075.2021-0235" TargetMode="External"/><Relationship Id="rId49" Type="http://schemas.openxmlformats.org/officeDocument/2006/relationships/hyperlink" Target="https://doi.org/10.32682/jeell.v8i2.2147"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doi.org/10.54923/researchreview.v3i1.76" TargetMode="External"/><Relationship Id="rId44" Type="http://schemas.openxmlformats.org/officeDocument/2006/relationships/hyperlink" Target="http://commons.emich.edu/theses/59" TargetMode="External"/><Relationship Id="rId52" Type="http://schemas.openxmlformats.org/officeDocument/2006/relationships/hyperlink" Target="https://doi.org/10.1044/2023_jslhr-22-0060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B41D5-C429-42F3-8640-4022F1F4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937</TotalTime>
  <Pages>17</Pages>
  <Words>7124</Words>
  <Characters>40608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47637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2025-05-21T16:39:00Z</dcterms:created>
  <dcterms:modified xsi:type="dcterms:W3CDTF">2025-05-23T08:07:00Z</dcterms:modified>
</cp:coreProperties>
</file>