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CC829" w14:textId="77777777" w:rsidR="00F144BB" w:rsidRPr="001867BF" w:rsidRDefault="00F144BB" w:rsidP="001867BF">
      <w:pPr>
        <w:spacing w:after="0" w:line="240" w:lineRule="auto"/>
        <w:jc w:val="center"/>
        <w:rPr>
          <w:rFonts w:ascii="Times New Roman" w:eastAsia="Times New Roman" w:hAnsi="Times New Roman" w:cs="Times New Roman"/>
          <w:b/>
        </w:rPr>
      </w:pPr>
      <w:r w:rsidRPr="001867BF">
        <w:rPr>
          <w:rFonts w:ascii="Times New Roman" w:eastAsia="Times New Roman" w:hAnsi="Times New Roman" w:cs="Times New Roman"/>
          <w:b/>
        </w:rPr>
        <w:t>Urban spatial characteristics analysis of Siliguri, a class one city of West Bengal</w:t>
      </w:r>
    </w:p>
    <w:p w14:paraId="6097ABD4" w14:textId="77777777" w:rsidR="001867BF" w:rsidRPr="001867BF" w:rsidRDefault="001867BF" w:rsidP="001867BF">
      <w:pPr>
        <w:spacing w:after="0" w:line="240" w:lineRule="auto"/>
        <w:rPr>
          <w:rFonts w:ascii="Times New Roman" w:eastAsia="Times New Roman" w:hAnsi="Times New Roman" w:cs="Times New Roman"/>
          <w:b/>
        </w:rPr>
      </w:pPr>
    </w:p>
    <w:p w14:paraId="509FAB0F" w14:textId="63905824" w:rsidR="001867BF" w:rsidRPr="001867BF" w:rsidRDefault="001867BF" w:rsidP="001867BF">
      <w:pPr>
        <w:spacing w:after="0" w:line="240" w:lineRule="auto"/>
        <w:jc w:val="center"/>
        <w:rPr>
          <w:rFonts w:ascii="Times New Roman" w:eastAsia="Times New Roman" w:hAnsi="Times New Roman" w:cs="Times New Roman"/>
        </w:rPr>
      </w:pPr>
      <w:r w:rsidRPr="001867BF">
        <w:rPr>
          <w:rFonts w:ascii="Times New Roman" w:eastAsia="Times New Roman" w:hAnsi="Times New Roman" w:cs="Times New Roman"/>
        </w:rPr>
        <w:t xml:space="preserve"> </w:t>
      </w:r>
    </w:p>
    <w:p w14:paraId="18724747" w14:textId="77777777" w:rsidR="001867BF" w:rsidRPr="001867BF" w:rsidRDefault="001867BF" w:rsidP="001867BF">
      <w:pPr>
        <w:spacing w:after="0" w:line="360" w:lineRule="auto"/>
        <w:rPr>
          <w:rFonts w:ascii="Times New Roman" w:eastAsia="Times New Roman" w:hAnsi="Times New Roman" w:cs="Times New Roman"/>
        </w:rPr>
      </w:pPr>
    </w:p>
    <w:p w14:paraId="732526B0" w14:textId="77777777" w:rsidR="001867BF" w:rsidRPr="00323846" w:rsidRDefault="001867BF" w:rsidP="001867BF">
      <w:pPr>
        <w:spacing w:after="0" w:line="360" w:lineRule="auto"/>
        <w:jc w:val="center"/>
        <w:rPr>
          <w:rFonts w:ascii="Times New Roman" w:eastAsia="Times New Roman" w:hAnsi="Times New Roman" w:cs="Times New Roman"/>
          <w:b/>
        </w:rPr>
      </w:pPr>
      <w:r w:rsidRPr="00323846">
        <w:rPr>
          <w:rFonts w:ascii="Times New Roman" w:eastAsia="Times New Roman" w:hAnsi="Times New Roman" w:cs="Times New Roman"/>
          <w:b/>
        </w:rPr>
        <w:t>Abstract</w:t>
      </w:r>
    </w:p>
    <w:p w14:paraId="734A1B1B" w14:textId="77777777" w:rsidR="0073119E" w:rsidRPr="001867BF" w:rsidRDefault="00CD2F72"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To track and evaluate the urbanization process and provide a theoretical foundation for rural restructuring and landscape dynamics, it is imperative to quantify spatiotemporal patterns of urban expansion. In</w:t>
      </w:r>
      <w:r w:rsidR="00867060" w:rsidRPr="001867BF">
        <w:rPr>
          <w:rFonts w:ascii="Times New Roman" w:eastAsia="Times New Roman" w:hAnsi="Times New Roman" w:cs="Times New Roman"/>
        </w:rPr>
        <w:t xml:space="preserve"> order to examine the relationship between the central city and its suburbs and to assess the overall spatiotemporal features of urban expansion in Siliguri and the surrounding area, this study combines remotely sensed </w:t>
      </w:r>
      <w:proofErr w:type="gramStart"/>
      <w:r w:rsidR="00867060" w:rsidRPr="001867BF">
        <w:rPr>
          <w:rFonts w:ascii="Times New Roman" w:eastAsia="Times New Roman" w:hAnsi="Times New Roman" w:cs="Times New Roman"/>
        </w:rPr>
        <w:t>data,  and</w:t>
      </w:r>
      <w:proofErr w:type="gramEnd"/>
      <w:r w:rsidR="00867060" w:rsidRPr="001867BF">
        <w:rPr>
          <w:rFonts w:ascii="Times New Roman" w:eastAsia="Times New Roman" w:hAnsi="Times New Roman" w:cs="Times New Roman"/>
        </w:rPr>
        <w:t xml:space="preserve"> GIS-based buffer gradient analysis. Based on the </w:t>
      </w:r>
      <w:r w:rsidRPr="001867BF">
        <w:rPr>
          <w:rFonts w:ascii="Times New Roman" w:eastAsia="Times New Roman" w:hAnsi="Times New Roman" w:cs="Times New Roman"/>
        </w:rPr>
        <w:t xml:space="preserve">landscape expansion index, </w:t>
      </w:r>
      <w:r w:rsidR="00867060" w:rsidRPr="001867BF">
        <w:rPr>
          <w:rFonts w:ascii="Times New Roman" w:eastAsia="Times New Roman" w:hAnsi="Times New Roman" w:cs="Times New Roman"/>
        </w:rPr>
        <w:t xml:space="preserve">intensity index and differentiation index </w:t>
      </w:r>
      <w:r w:rsidR="00CE0625" w:rsidRPr="001867BF">
        <w:rPr>
          <w:rFonts w:ascii="Times New Roman" w:eastAsia="Times New Roman" w:hAnsi="Times New Roman" w:cs="Times New Roman"/>
        </w:rPr>
        <w:t xml:space="preserve">of </w:t>
      </w:r>
      <w:r w:rsidR="00867060" w:rsidRPr="001867BF">
        <w:rPr>
          <w:rFonts w:ascii="Times New Roman" w:eastAsia="Times New Roman" w:hAnsi="Times New Roman" w:cs="Times New Roman"/>
        </w:rPr>
        <w:t>urban growth, this paper presented the multifaceted features of urban expansion patterns.</w:t>
      </w:r>
      <w:r w:rsidR="006E3611" w:rsidRPr="001867BF">
        <w:rPr>
          <w:rFonts w:ascii="Times New Roman" w:eastAsia="Times New Roman" w:hAnsi="Times New Roman" w:cs="Times New Roman"/>
        </w:rPr>
        <w:t xml:space="preserve"> </w:t>
      </w:r>
      <w:r w:rsidR="00466CA5" w:rsidRPr="001867BF">
        <w:rPr>
          <w:rFonts w:ascii="Times New Roman" w:eastAsia="Times New Roman" w:hAnsi="Times New Roman" w:cs="Times New Roman"/>
        </w:rPr>
        <w:t>The findings demonstrate that while there are noticeable geographical variances, the distance from the urban center has a significant impact on the ov</w:t>
      </w:r>
      <w:bookmarkStart w:id="0" w:name="_GoBack"/>
      <w:bookmarkEnd w:id="0"/>
      <w:r w:rsidR="00466CA5" w:rsidRPr="001867BF">
        <w:rPr>
          <w:rFonts w:ascii="Times New Roman" w:eastAsia="Times New Roman" w:hAnsi="Times New Roman" w:cs="Times New Roman"/>
        </w:rPr>
        <w:t>erall spatiotemporal changes of the area. According to the study,</w:t>
      </w:r>
      <w:r w:rsidR="006E3611" w:rsidRPr="001867BF">
        <w:rPr>
          <w:rFonts w:ascii="Times New Roman" w:eastAsia="Times New Roman" w:hAnsi="Times New Roman" w:cs="Times New Roman"/>
        </w:rPr>
        <w:t xml:space="preserve"> the western and southwestern regions, particularly those near highways, have had fast expansion whereas the eastern part is being held back from further expansion by natural obstacles such as forests.</w:t>
      </w:r>
      <w:r w:rsidR="00466CA5" w:rsidRPr="001867BF">
        <w:rPr>
          <w:rFonts w:ascii="Times New Roman" w:hAnsi="Times New Roman" w:cs="Times New Roman"/>
        </w:rPr>
        <w:t xml:space="preserve"> </w:t>
      </w:r>
      <w:r w:rsidR="0073119E" w:rsidRPr="001867BF">
        <w:rPr>
          <w:rFonts w:ascii="Times New Roman" w:eastAsia="Times New Roman" w:hAnsi="Times New Roman" w:cs="Times New Roman"/>
        </w:rPr>
        <w:t>E</w:t>
      </w:r>
      <w:r w:rsidR="00466CA5" w:rsidRPr="001867BF">
        <w:rPr>
          <w:rFonts w:ascii="Times New Roman" w:eastAsia="Times New Roman" w:hAnsi="Times New Roman" w:cs="Times New Roman"/>
        </w:rPr>
        <w:t xml:space="preserve">dge expansion is the most prominent growth type, with outlying being the second most important growth type. </w:t>
      </w:r>
      <w:r w:rsidR="0073119E" w:rsidRPr="001867BF">
        <w:rPr>
          <w:rFonts w:ascii="Times New Roman" w:eastAsia="Times New Roman" w:hAnsi="Times New Roman" w:cs="Times New Roman"/>
        </w:rPr>
        <w:t xml:space="preserve">Within the Municipal Corporation, there is compact expansion, but dispersed growth is more common outside the city center. </w:t>
      </w:r>
    </w:p>
    <w:p w14:paraId="7CFECDAC" w14:textId="77777777" w:rsidR="00466CA5" w:rsidRPr="001867BF" w:rsidRDefault="00466CA5" w:rsidP="00F144BB">
      <w:pPr>
        <w:spacing w:line="360" w:lineRule="auto"/>
        <w:jc w:val="both"/>
        <w:rPr>
          <w:rFonts w:ascii="Times New Roman" w:eastAsia="Times New Roman" w:hAnsi="Times New Roman" w:cs="Times New Roman"/>
        </w:rPr>
      </w:pPr>
    </w:p>
    <w:p w14:paraId="56252ADB" w14:textId="77777777" w:rsidR="006427EF" w:rsidRPr="001867BF" w:rsidRDefault="006427EF" w:rsidP="00F144BB">
      <w:pPr>
        <w:spacing w:line="360" w:lineRule="auto"/>
        <w:jc w:val="both"/>
        <w:rPr>
          <w:rFonts w:ascii="Times New Roman" w:hAnsi="Times New Roman" w:cs="Times New Roman"/>
          <w:b/>
        </w:rPr>
      </w:pPr>
      <w:r w:rsidRPr="001867BF">
        <w:rPr>
          <w:rFonts w:ascii="Times New Roman" w:hAnsi="Times New Roman" w:cs="Times New Roman"/>
          <w:b/>
        </w:rPr>
        <w:t xml:space="preserve">Key wards: </w:t>
      </w:r>
      <w:r w:rsidR="00CD2F72" w:rsidRPr="001867BF">
        <w:rPr>
          <w:rFonts w:ascii="Times New Roman" w:hAnsi="Times New Roman" w:cs="Times New Roman"/>
          <w:b/>
        </w:rPr>
        <w:t>L</w:t>
      </w:r>
      <w:r w:rsidR="00556D93" w:rsidRPr="001867BF">
        <w:rPr>
          <w:rFonts w:ascii="Times New Roman" w:hAnsi="Times New Roman" w:cs="Times New Roman"/>
          <w:b/>
        </w:rPr>
        <w:t>and use land cover</w:t>
      </w:r>
      <w:r w:rsidR="00CD2F72" w:rsidRPr="001867BF">
        <w:rPr>
          <w:rFonts w:ascii="Times New Roman" w:hAnsi="Times New Roman" w:cs="Times New Roman"/>
          <w:b/>
        </w:rPr>
        <w:t xml:space="preserve"> change, Urbanization</w:t>
      </w:r>
      <w:r w:rsidRPr="001867BF">
        <w:rPr>
          <w:rFonts w:ascii="Times New Roman" w:hAnsi="Times New Roman" w:cs="Times New Roman"/>
          <w:b/>
        </w:rPr>
        <w:t>, urban growth, urban sprawl, GIS</w:t>
      </w:r>
    </w:p>
    <w:p w14:paraId="6AE9F8A2" w14:textId="77777777" w:rsidR="008353A4" w:rsidRPr="001867BF" w:rsidRDefault="001E49D3" w:rsidP="00F144BB">
      <w:pPr>
        <w:spacing w:line="360" w:lineRule="auto"/>
        <w:jc w:val="both"/>
        <w:rPr>
          <w:rFonts w:ascii="Times New Roman" w:hAnsi="Times New Roman" w:cs="Times New Roman"/>
          <w:b/>
        </w:rPr>
      </w:pPr>
      <w:r w:rsidRPr="001867BF">
        <w:rPr>
          <w:rFonts w:ascii="Times New Roman" w:hAnsi="Times New Roman" w:cs="Times New Roman"/>
          <w:b/>
        </w:rPr>
        <w:t>Introduction:</w:t>
      </w:r>
      <w:r w:rsidR="008353A4" w:rsidRPr="001867BF">
        <w:rPr>
          <w:rFonts w:ascii="Times New Roman" w:hAnsi="Times New Roman" w:cs="Times New Roman"/>
          <w:b/>
        </w:rPr>
        <w:t xml:space="preserve"> </w:t>
      </w:r>
    </w:p>
    <w:p w14:paraId="2CF46054" w14:textId="77777777" w:rsidR="00B72EA3" w:rsidRPr="001867BF" w:rsidRDefault="00517806"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India's economy has been growing quickly in recent years, which has led to a substantial increase in the pace of urbanization and the progressive expansion of urban land. Regional landscape and urban economic growth have an impact on the scope and process of urban space expansion, exhibiting clear regional features (Zhang et al., 2022; </w:t>
      </w:r>
      <w:r w:rsidRPr="001867BF">
        <w:rPr>
          <w:rFonts w:ascii="Times New Roman" w:eastAsia="MinionPro-Capt" w:hAnsi="Times New Roman" w:cs="Times New Roman"/>
        </w:rPr>
        <w:t>Tang</w:t>
      </w:r>
      <w:r w:rsidRPr="001867BF">
        <w:rPr>
          <w:rFonts w:ascii="Times New Roman" w:eastAsia="Times New Roman" w:hAnsi="Times New Roman" w:cs="Times New Roman"/>
        </w:rPr>
        <w:t xml:space="preserve"> et.al. 2017). As the urban economy grows and the number of non-agricultural residents rises, there will undoubtedly be a need for more land for building, which will reduce the amount of land under cultivation in the immediate area</w:t>
      </w:r>
      <w:r w:rsidRPr="001867BF">
        <w:rPr>
          <w:rFonts w:ascii="Times New Roman" w:hAnsi="Times New Roman" w:cs="Times New Roman"/>
          <w:color w:val="222222"/>
          <w:shd w:val="clear" w:color="auto" w:fill="FFFFFF"/>
        </w:rPr>
        <w:t xml:space="preserve"> (</w:t>
      </w:r>
      <w:proofErr w:type="spellStart"/>
      <w:proofErr w:type="gramStart"/>
      <w:r w:rsidRPr="001867BF">
        <w:rPr>
          <w:rFonts w:ascii="Times New Roman" w:hAnsi="Times New Roman" w:cs="Times New Roman"/>
          <w:color w:val="222222"/>
          <w:shd w:val="clear" w:color="auto" w:fill="FFFFFF"/>
        </w:rPr>
        <w:t>Meng,et.al</w:t>
      </w:r>
      <w:proofErr w:type="spellEnd"/>
      <w:proofErr w:type="gramEnd"/>
      <w:r w:rsidRPr="001867BF">
        <w:rPr>
          <w:rFonts w:ascii="Times New Roman" w:hAnsi="Times New Roman" w:cs="Times New Roman"/>
          <w:color w:val="222222"/>
          <w:shd w:val="clear" w:color="auto" w:fill="FFFFFF"/>
        </w:rPr>
        <w:t>. 2022)</w:t>
      </w:r>
      <w:r w:rsidRPr="001867BF">
        <w:rPr>
          <w:rFonts w:ascii="Times New Roman" w:eastAsia="Times New Roman" w:hAnsi="Times New Roman" w:cs="Times New Roman"/>
        </w:rPr>
        <w:t>.</w:t>
      </w:r>
      <w:r w:rsidR="00B72EA3" w:rsidRPr="001867BF">
        <w:rPr>
          <w:rFonts w:ascii="Times New Roman" w:hAnsi="Times New Roman" w:cs="Times New Roman"/>
        </w:rPr>
        <w:t xml:space="preserve"> </w:t>
      </w:r>
      <w:r w:rsidR="00B72EA3" w:rsidRPr="001867BF">
        <w:rPr>
          <w:rFonts w:ascii="Times New Roman" w:eastAsia="Times New Roman" w:hAnsi="Times New Roman" w:cs="Times New Roman"/>
        </w:rPr>
        <w:t>However, haphazard or improperly planned urban growth typically results in ecological deterioration, pollution of the environment, loss of agricultural land, and ineffective use of land (</w:t>
      </w:r>
      <w:proofErr w:type="spellStart"/>
      <w:r w:rsidR="00B72EA3" w:rsidRPr="001867BF">
        <w:rPr>
          <w:rFonts w:ascii="Times New Roman" w:hAnsi="Times New Roman" w:cs="Times New Roman"/>
          <w:color w:val="222222"/>
          <w:shd w:val="clear" w:color="auto" w:fill="FFFFFF"/>
        </w:rPr>
        <w:t>Maimaiti</w:t>
      </w:r>
      <w:proofErr w:type="spellEnd"/>
      <w:r w:rsidR="00B72EA3" w:rsidRPr="001867BF">
        <w:rPr>
          <w:rFonts w:ascii="Times New Roman" w:eastAsia="Times New Roman" w:hAnsi="Times New Roman" w:cs="Times New Roman"/>
        </w:rPr>
        <w:t xml:space="preserve"> et.al.2017; Tan et al., 2005).</w:t>
      </w:r>
    </w:p>
    <w:p w14:paraId="36204B8F" w14:textId="77777777" w:rsidR="00157E8D" w:rsidRPr="001867BF" w:rsidRDefault="00585222"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Urban spatial expansion studies primarily concentrated on two areas: the delineation of urban spatial expansion and the qualitative and quantitative measurement of urban spatial </w:t>
      </w:r>
      <w:proofErr w:type="gramStart"/>
      <w:r w:rsidRPr="001867BF">
        <w:rPr>
          <w:rFonts w:ascii="Times New Roman" w:eastAsia="Times New Roman" w:hAnsi="Times New Roman" w:cs="Times New Roman"/>
        </w:rPr>
        <w:t>patterns(</w:t>
      </w:r>
      <w:proofErr w:type="spellStart"/>
      <w:proofErr w:type="gramEnd"/>
      <w:r w:rsidRPr="001867BF">
        <w:rPr>
          <w:rFonts w:ascii="Times New Roman" w:hAnsi="Times New Roman" w:cs="Times New Roman"/>
          <w:color w:val="222222"/>
          <w:shd w:val="clear" w:color="auto" w:fill="FFFFFF"/>
        </w:rPr>
        <w:t>Maimaiti</w:t>
      </w:r>
      <w:proofErr w:type="spellEnd"/>
      <w:r w:rsidRPr="001867BF">
        <w:rPr>
          <w:rFonts w:ascii="Times New Roman" w:eastAsia="Times New Roman" w:hAnsi="Times New Roman" w:cs="Times New Roman"/>
        </w:rPr>
        <w:t xml:space="preserve"> et.al.2017).</w:t>
      </w:r>
      <w:r w:rsidR="008353A4" w:rsidRPr="001867BF">
        <w:rPr>
          <w:rFonts w:ascii="Times New Roman" w:eastAsia="Times New Roman" w:hAnsi="Times New Roman" w:cs="Times New Roman"/>
        </w:rPr>
        <w:t xml:space="preserve">A popular method for examining how urbanization is altering ecological patterns and </w:t>
      </w:r>
      <w:r w:rsidR="008353A4" w:rsidRPr="001867BF">
        <w:rPr>
          <w:rFonts w:ascii="Times New Roman" w:eastAsia="Times New Roman" w:hAnsi="Times New Roman" w:cs="Times New Roman"/>
        </w:rPr>
        <w:lastRenderedPageBreak/>
        <w:t>processes throughout the landscape is to combine landscape metrics with urban–rural gradient analysis based on remotely sensed data (</w:t>
      </w:r>
      <w:r w:rsidR="008353A4" w:rsidRPr="001867BF">
        <w:rPr>
          <w:rFonts w:ascii="Times New Roman" w:hAnsi="Times New Roman" w:cs="Times New Roman"/>
          <w:color w:val="222222"/>
          <w:shd w:val="clear" w:color="auto" w:fill="FFFFFF"/>
        </w:rPr>
        <w:t>Li et. al</w:t>
      </w:r>
      <w:r w:rsidR="008353A4" w:rsidRPr="001867BF">
        <w:rPr>
          <w:rFonts w:ascii="Times New Roman" w:eastAsia="Times New Roman" w:hAnsi="Times New Roman" w:cs="Times New Roman"/>
        </w:rPr>
        <w:t>, 2010; McDonnell and Pickett, 1990; Medley et al., 1995; Luck and Wu, 2002; Zhang et al., 2004).</w:t>
      </w:r>
      <w:r w:rsidR="00F60A04" w:rsidRPr="001867BF">
        <w:rPr>
          <w:rFonts w:ascii="Times New Roman" w:hAnsi="Times New Roman" w:cs="Times New Roman"/>
        </w:rPr>
        <w:t xml:space="preserve"> </w:t>
      </w:r>
      <w:r w:rsidR="00F60A04" w:rsidRPr="001867BF">
        <w:rPr>
          <w:rFonts w:ascii="Times New Roman" w:eastAsia="Times New Roman" w:hAnsi="Times New Roman" w:cs="Times New Roman"/>
        </w:rPr>
        <w:t>The advancement of remote sensing has allowed researchers to more precisely measure urban growth in empirical research</w:t>
      </w:r>
      <w:r w:rsidR="00F60A04" w:rsidRPr="001867BF">
        <w:rPr>
          <w:rFonts w:ascii="Times New Roman" w:hAnsi="Times New Roman" w:cs="Times New Roman"/>
          <w:color w:val="222222"/>
          <w:shd w:val="clear" w:color="auto" w:fill="FFFFFF"/>
        </w:rPr>
        <w:t xml:space="preserve"> (Xian et.al,2019</w:t>
      </w:r>
      <w:r w:rsidR="00F60A04" w:rsidRPr="001867BF">
        <w:rPr>
          <w:rFonts w:ascii="Times New Roman" w:eastAsia="Times New Roman" w:hAnsi="Times New Roman" w:cs="Times New Roman"/>
        </w:rPr>
        <w:t xml:space="preserve">; </w:t>
      </w:r>
      <w:r w:rsidR="00675715" w:rsidRPr="001867BF">
        <w:rPr>
          <w:rFonts w:ascii="Times New Roman" w:eastAsia="Times New Roman" w:hAnsi="Times New Roman" w:cs="Times New Roman"/>
        </w:rPr>
        <w:t>Chen et.al.,2014)</w:t>
      </w:r>
      <w:r w:rsidR="003A55D4" w:rsidRPr="001867BF">
        <w:rPr>
          <w:rFonts w:ascii="Times New Roman" w:eastAsia="Times New Roman" w:hAnsi="Times New Roman" w:cs="Times New Roman"/>
        </w:rPr>
        <w:t>.</w:t>
      </w:r>
      <w:r w:rsidR="003A55D4" w:rsidRPr="001867BF">
        <w:rPr>
          <w:rFonts w:ascii="Times New Roman" w:hAnsi="Times New Roman" w:cs="Times New Roman"/>
        </w:rPr>
        <w:t xml:space="preserve"> </w:t>
      </w:r>
      <w:r w:rsidR="003A55D4" w:rsidRPr="001867BF">
        <w:rPr>
          <w:rFonts w:ascii="Times New Roman" w:eastAsia="Times New Roman" w:hAnsi="Times New Roman" w:cs="Times New Roman"/>
        </w:rPr>
        <w:t>Remote sensing can also reveal the geographical distribution of recently added built-up regions, the patterns that result, and the changes over time using indicators such annual growth rate</w:t>
      </w:r>
      <w:r w:rsidR="00ED2FE3" w:rsidRPr="001867BF">
        <w:rPr>
          <w:rFonts w:ascii="Times New Roman" w:eastAsia="Times New Roman" w:hAnsi="Times New Roman" w:cs="Times New Roman"/>
        </w:rPr>
        <w:t xml:space="preserve"> </w:t>
      </w:r>
      <w:r w:rsidR="005E04EE" w:rsidRPr="001867BF">
        <w:rPr>
          <w:rFonts w:ascii="Times New Roman" w:eastAsia="Times New Roman" w:hAnsi="Times New Roman" w:cs="Times New Roman"/>
        </w:rPr>
        <w:t xml:space="preserve">and gradient analysis </w:t>
      </w:r>
      <w:r w:rsidR="003A55D4" w:rsidRPr="001867BF">
        <w:rPr>
          <w:rFonts w:ascii="Times New Roman" w:eastAsia="Times New Roman" w:hAnsi="Times New Roman" w:cs="Times New Roman"/>
        </w:rPr>
        <w:t>(</w:t>
      </w:r>
      <w:r w:rsidR="003A55D4" w:rsidRPr="001867BF">
        <w:rPr>
          <w:rFonts w:ascii="Times New Roman" w:hAnsi="Times New Roman" w:cs="Times New Roman"/>
          <w:color w:val="222222"/>
          <w:shd w:val="clear" w:color="auto" w:fill="FFFFFF"/>
        </w:rPr>
        <w:t>Xian et.al,2019</w:t>
      </w:r>
      <w:r w:rsidR="003A55D4" w:rsidRPr="001867BF">
        <w:rPr>
          <w:rFonts w:ascii="Times New Roman" w:eastAsia="Times New Roman" w:hAnsi="Times New Roman" w:cs="Times New Roman"/>
        </w:rPr>
        <w:t>.</w:t>
      </w:r>
      <w:r w:rsidR="003A55D4" w:rsidRPr="001867BF">
        <w:rPr>
          <w:rFonts w:ascii="Times New Roman" w:hAnsi="Times New Roman" w:cs="Times New Roman"/>
          <w:color w:val="2197D2"/>
        </w:rPr>
        <w:t xml:space="preserve"> </w:t>
      </w:r>
      <w:r w:rsidR="003A55D4" w:rsidRPr="001867BF">
        <w:rPr>
          <w:rFonts w:ascii="Times New Roman" w:hAnsi="Times New Roman" w:cs="Times New Roman"/>
          <w:color w:val="000000" w:themeColor="text1"/>
        </w:rPr>
        <w:t>Ma and Xu, 2010; Xu and Min, 2013; Chen et al., 2014;</w:t>
      </w:r>
      <w:r w:rsidR="00A47E75" w:rsidRPr="001867BF">
        <w:rPr>
          <w:rFonts w:ascii="Times New Roman" w:hAnsi="Times New Roman" w:cs="Times New Roman"/>
          <w:color w:val="000000" w:themeColor="text1"/>
        </w:rPr>
        <w:t>)</w:t>
      </w:r>
      <w:r w:rsidR="00B93D43" w:rsidRPr="001867BF">
        <w:rPr>
          <w:rFonts w:ascii="Times New Roman" w:hAnsi="Times New Roman" w:cs="Times New Roman"/>
          <w:color w:val="000000" w:themeColor="text1"/>
        </w:rPr>
        <w:t>.</w:t>
      </w:r>
      <w:r w:rsidR="00B93D43" w:rsidRPr="001867BF">
        <w:rPr>
          <w:rFonts w:ascii="Times New Roman" w:hAnsi="Times New Roman" w:cs="Times New Roman"/>
        </w:rPr>
        <w:t xml:space="preserve"> </w:t>
      </w:r>
      <w:r w:rsidR="005E04EE" w:rsidRPr="001867BF">
        <w:rPr>
          <w:rFonts w:ascii="Times New Roman" w:eastAsia="Times New Roman" w:hAnsi="Times New Roman" w:cs="Times New Roman"/>
        </w:rPr>
        <w:t xml:space="preserve">The transecting gradient paradigm, however, is also limited in its ability to capture the complexity of urban morphology and the variety of driving forces, particularly in a metropolitan area where the regional urbanization process is influenced by both the central city and rural urbanization of a satellite town. Furthermore, the outcomes of the transect selection of the various research area divisions may </w:t>
      </w:r>
      <w:proofErr w:type="gramStart"/>
      <w:r w:rsidR="005E04EE" w:rsidRPr="001867BF">
        <w:rPr>
          <w:rFonts w:ascii="Times New Roman" w:eastAsia="Times New Roman" w:hAnsi="Times New Roman" w:cs="Times New Roman"/>
        </w:rPr>
        <w:t>differ(</w:t>
      </w:r>
      <w:r w:rsidR="005E04EE" w:rsidRPr="001867BF">
        <w:rPr>
          <w:rFonts w:ascii="Times New Roman" w:hAnsi="Times New Roman" w:cs="Times New Roman"/>
          <w:color w:val="222222"/>
          <w:shd w:val="clear" w:color="auto" w:fill="FFFFFF"/>
        </w:rPr>
        <w:t xml:space="preserve"> Li</w:t>
      </w:r>
      <w:proofErr w:type="gramEnd"/>
      <w:r w:rsidR="005E04EE" w:rsidRPr="001867BF">
        <w:rPr>
          <w:rFonts w:ascii="Times New Roman" w:hAnsi="Times New Roman" w:cs="Times New Roman"/>
          <w:color w:val="222222"/>
          <w:shd w:val="clear" w:color="auto" w:fill="FFFFFF"/>
        </w:rPr>
        <w:t xml:space="preserve"> et. al</w:t>
      </w:r>
      <w:r w:rsidR="005E04EE" w:rsidRPr="001867BF">
        <w:rPr>
          <w:rFonts w:ascii="Times New Roman" w:eastAsia="Times New Roman" w:hAnsi="Times New Roman" w:cs="Times New Roman"/>
        </w:rPr>
        <w:t>, 2010</w:t>
      </w:r>
      <w:proofErr w:type="gramStart"/>
      <w:r w:rsidR="005E04EE" w:rsidRPr="001867BF">
        <w:rPr>
          <w:rFonts w:ascii="Times New Roman" w:eastAsia="Times New Roman" w:hAnsi="Times New Roman" w:cs="Times New Roman"/>
        </w:rPr>
        <w:t>).It</w:t>
      </w:r>
      <w:proofErr w:type="gramEnd"/>
      <w:r w:rsidR="005E04EE" w:rsidRPr="001867BF">
        <w:rPr>
          <w:rFonts w:ascii="Times New Roman" w:eastAsia="Times New Roman" w:hAnsi="Times New Roman" w:cs="Times New Roman"/>
        </w:rPr>
        <w:t xml:space="preserve"> is consequently vital to investigate urbanization in surrounding villages and the related contribution to regional urbanization in order to comprehend the overall process driving regional urbanization; yet, such study has not been well documented to date(</w:t>
      </w:r>
      <w:r w:rsidR="005E04EE" w:rsidRPr="001867BF">
        <w:rPr>
          <w:rFonts w:ascii="Times New Roman" w:hAnsi="Times New Roman" w:cs="Times New Roman"/>
          <w:color w:val="222222"/>
          <w:shd w:val="clear" w:color="auto" w:fill="FFFFFF"/>
        </w:rPr>
        <w:t xml:space="preserve"> Li et. al</w:t>
      </w:r>
      <w:r w:rsidR="005E04EE" w:rsidRPr="001867BF">
        <w:rPr>
          <w:rFonts w:ascii="Times New Roman" w:eastAsia="Times New Roman" w:hAnsi="Times New Roman" w:cs="Times New Roman"/>
        </w:rPr>
        <w:t>, 2010).</w:t>
      </w:r>
      <w:r w:rsidR="00D6088C" w:rsidRPr="001867BF">
        <w:rPr>
          <w:rFonts w:ascii="Times New Roman" w:eastAsia="Times New Roman" w:hAnsi="Times New Roman" w:cs="Times New Roman"/>
        </w:rPr>
        <w:t xml:space="preserve"> In this geographical setting, LEI identifies three types of urban expansion: infilling, edge expansion, and outlying. However, which type is more prevalent, and how does it alter the existing environment?</w:t>
      </w:r>
      <w:r w:rsidR="00D6088C" w:rsidRPr="001867BF">
        <w:rPr>
          <w:rFonts w:ascii="Times New Roman" w:hAnsi="Times New Roman" w:cs="Times New Roman"/>
        </w:rPr>
        <w:t xml:space="preserve"> </w:t>
      </w:r>
      <w:r w:rsidR="00D6088C" w:rsidRPr="001867BF">
        <w:rPr>
          <w:rFonts w:ascii="Times New Roman" w:eastAsia="Times New Roman" w:hAnsi="Times New Roman" w:cs="Times New Roman"/>
        </w:rPr>
        <w:t xml:space="preserve">Several topics have been prevalent in the current investigation. </w:t>
      </w:r>
    </w:p>
    <w:p w14:paraId="0FFF8D03" w14:textId="77777777" w:rsidR="00867060" w:rsidRPr="001867BF" w:rsidRDefault="007F7BFD" w:rsidP="00F144BB">
      <w:pPr>
        <w:spacing w:line="360" w:lineRule="auto"/>
        <w:jc w:val="both"/>
        <w:rPr>
          <w:rFonts w:ascii="Times New Roman" w:eastAsia="Times New Roman" w:hAnsi="Times New Roman" w:cs="Times New Roman"/>
        </w:rPr>
      </w:pPr>
      <w:r w:rsidRPr="001867BF">
        <w:rPr>
          <w:rFonts w:ascii="Times New Roman" w:hAnsi="Times New Roman" w:cs="Times New Roman"/>
        </w:rPr>
        <w:t>Urbanization in Siliguri has brought economic opportunities and improved living standards for many but the rapid and uncontrolled expansion has led to significant challenges.</w:t>
      </w:r>
      <w:r w:rsidR="00157E8D" w:rsidRPr="001867BF">
        <w:rPr>
          <w:rFonts w:ascii="Times New Roman" w:eastAsia="Times New Roman" w:hAnsi="Times New Roman" w:cs="Times New Roman"/>
        </w:rPr>
        <w:t xml:space="preserve"> </w:t>
      </w:r>
      <w:r w:rsidR="00BA4657" w:rsidRPr="001867BF">
        <w:rPr>
          <w:rFonts w:ascii="Times New Roman" w:eastAsia="Times New Roman" w:hAnsi="Times New Roman" w:cs="Times New Roman"/>
        </w:rPr>
        <w:t>Rather than being planned, Siliguri's infrastructure development has frequently been reactive. Urban sprawl has happened without proper planning as a result of the quick influx of people seeking bet</w:t>
      </w:r>
      <w:r w:rsidRPr="001867BF">
        <w:rPr>
          <w:rFonts w:ascii="Times New Roman" w:eastAsia="Times New Roman" w:hAnsi="Times New Roman" w:cs="Times New Roman"/>
        </w:rPr>
        <w:t>ter living and work conditions.</w:t>
      </w:r>
      <w:r w:rsidR="00CD2F72" w:rsidRPr="001867BF">
        <w:rPr>
          <w:rFonts w:ascii="Times New Roman" w:eastAsia="Times New Roman" w:hAnsi="Times New Roman" w:cs="Times New Roman"/>
        </w:rPr>
        <w:t xml:space="preserve"> </w:t>
      </w:r>
      <w:r w:rsidR="00BA4657" w:rsidRPr="001867BF">
        <w:rPr>
          <w:rFonts w:ascii="Times New Roman" w:eastAsia="Times New Roman" w:hAnsi="Times New Roman" w:cs="Times New Roman"/>
        </w:rPr>
        <w:t>Frequently, waste management facilities, drainage systems, and transportation are unable to keep up with the population growth. This leads to inefficient waste disposal systems, heavy traffic, and inadequate drainage during the rainy season.</w:t>
      </w:r>
      <w:r w:rsidR="00BA4657" w:rsidRPr="001867BF">
        <w:rPr>
          <w:rFonts w:ascii="Times New Roman" w:hAnsi="Times New Roman" w:cs="Times New Roman"/>
        </w:rPr>
        <w:t xml:space="preserve"> </w:t>
      </w:r>
      <w:r w:rsidR="00BA4657" w:rsidRPr="001867BF">
        <w:rPr>
          <w:rFonts w:ascii="Times New Roman" w:eastAsia="Times New Roman" w:hAnsi="Times New Roman" w:cs="Times New Roman"/>
        </w:rPr>
        <w:t>Illegal building has proliferated in Siliguri due to a lack of appropriate zoning regulations and enforcement. Unauthorized construction, encroachment on public property, and the creation of shoddy, illicit constructions are all examples of this.</w:t>
      </w:r>
      <w:r w:rsidR="00BA4657" w:rsidRPr="001867BF">
        <w:rPr>
          <w:rFonts w:ascii="Times New Roman" w:hAnsi="Times New Roman" w:cs="Times New Roman"/>
        </w:rPr>
        <w:t xml:space="preserve"> </w:t>
      </w:r>
      <w:r w:rsidR="00BA4657" w:rsidRPr="001867BF">
        <w:rPr>
          <w:rFonts w:ascii="Times New Roman" w:eastAsia="Times New Roman" w:hAnsi="Times New Roman" w:cs="Times New Roman"/>
        </w:rPr>
        <w:t xml:space="preserve">The </w:t>
      </w:r>
      <w:r w:rsidRPr="001867BF">
        <w:rPr>
          <w:rFonts w:ascii="Times New Roman" w:eastAsia="Times New Roman" w:hAnsi="Times New Roman" w:cs="Times New Roman"/>
        </w:rPr>
        <w:t>city needs</w:t>
      </w:r>
      <w:r w:rsidR="00BA4657" w:rsidRPr="001867BF">
        <w:rPr>
          <w:rFonts w:ascii="Times New Roman" w:eastAsia="Times New Roman" w:hAnsi="Times New Roman" w:cs="Times New Roman"/>
        </w:rPr>
        <w:t xml:space="preserve"> a thorough urban planning strategy that prioritizes sustainable expansion in order to address these problems.</w:t>
      </w:r>
      <w:r w:rsidR="00A47455" w:rsidRPr="001867BF">
        <w:rPr>
          <w:rFonts w:ascii="Times New Roman" w:hAnsi="Times New Roman" w:cs="Times New Roman"/>
        </w:rPr>
        <w:t xml:space="preserve"> </w:t>
      </w:r>
      <w:r w:rsidRPr="001867BF">
        <w:rPr>
          <w:rFonts w:ascii="Times New Roman" w:eastAsia="Times New Roman" w:hAnsi="Times New Roman" w:cs="Times New Roman"/>
        </w:rPr>
        <w:t xml:space="preserve">For sustainable growth in Siliguri, monitoring and quantifying urban sprawl is </w:t>
      </w:r>
      <w:r w:rsidR="00457CC5" w:rsidRPr="001867BF">
        <w:rPr>
          <w:rFonts w:ascii="Times New Roman" w:eastAsia="Times New Roman" w:hAnsi="Times New Roman" w:cs="Times New Roman"/>
        </w:rPr>
        <w:t>crucial. It</w:t>
      </w:r>
      <w:r w:rsidRPr="001867BF">
        <w:rPr>
          <w:rFonts w:ascii="Times New Roman" w:eastAsia="Times New Roman" w:hAnsi="Times New Roman" w:cs="Times New Roman"/>
        </w:rPr>
        <w:t xml:space="preserve"> is a complex process that calls for the fusion of data-driven insights, technology tools, and community involvement. Siliguri may accomplish regulated urban expansion and lessen environmental consequences by using advanced monitoring technologies like GIS, remote sensing, as well as by coordinating policies with sustainability objectives.</w:t>
      </w:r>
      <w:r w:rsidRPr="001867BF">
        <w:rPr>
          <w:rFonts w:ascii="Times New Roman" w:hAnsi="Times New Roman" w:cs="Times New Roman"/>
        </w:rPr>
        <w:t xml:space="preserve"> The primary objective of the study is to analyze the urban spatial pattern, quantify it and</w:t>
      </w:r>
      <w:r w:rsidR="00FF084D" w:rsidRPr="001867BF">
        <w:rPr>
          <w:rFonts w:ascii="Times New Roman" w:hAnsi="Times New Roman" w:cs="Times New Roman"/>
        </w:rPr>
        <w:t xml:space="preserve"> to</w:t>
      </w:r>
      <w:r w:rsidRPr="001867BF">
        <w:rPr>
          <w:rFonts w:ascii="Times New Roman" w:hAnsi="Times New Roman" w:cs="Times New Roman"/>
        </w:rPr>
        <w:t xml:space="preserve"> understand the future tendency of </w:t>
      </w:r>
      <w:r w:rsidR="001B1CD2" w:rsidRPr="001867BF">
        <w:rPr>
          <w:rFonts w:ascii="Times New Roman" w:hAnsi="Times New Roman" w:cs="Times New Roman"/>
        </w:rPr>
        <w:t xml:space="preserve">growth </w:t>
      </w:r>
      <w:r w:rsidRPr="001867BF">
        <w:rPr>
          <w:rFonts w:ascii="Times New Roman" w:hAnsi="Times New Roman" w:cs="Times New Roman"/>
        </w:rPr>
        <w:t>of Siliguri.</w:t>
      </w:r>
      <w:r w:rsidR="008F6EA2" w:rsidRPr="001867BF">
        <w:rPr>
          <w:rFonts w:ascii="Times New Roman" w:hAnsi="Times New Roman" w:cs="Times New Roman"/>
        </w:rPr>
        <w:t xml:space="preserve"> </w:t>
      </w:r>
      <w:r w:rsidR="008F6EA2" w:rsidRPr="001867BF">
        <w:rPr>
          <w:rFonts w:ascii="Times New Roman" w:eastAsia="Times New Roman" w:hAnsi="Times New Roman" w:cs="Times New Roman"/>
        </w:rPr>
        <w:t>This research is an initial attempt in examining the urban-suburban dynamics of West Bengal's fastest-growing city, Siliguri. The study can assist decision-</w:t>
      </w:r>
      <w:r w:rsidR="008F6EA2" w:rsidRPr="001867BF">
        <w:rPr>
          <w:rFonts w:ascii="Times New Roman" w:eastAsia="Times New Roman" w:hAnsi="Times New Roman" w:cs="Times New Roman"/>
        </w:rPr>
        <w:lastRenderedPageBreak/>
        <w:t>makers and municipal development authorities in enhancing urban governance and managing urban expansion in a sustainable manner.</w:t>
      </w:r>
      <w:r w:rsidR="00D16491" w:rsidRPr="001867BF">
        <w:rPr>
          <w:rFonts w:ascii="Times New Roman" w:hAnsi="Times New Roman" w:cs="Times New Roman"/>
        </w:rPr>
        <w:t xml:space="preserve"> </w:t>
      </w:r>
    </w:p>
    <w:p w14:paraId="59D15A52" w14:textId="77777777" w:rsidR="002A0843" w:rsidRPr="001867BF" w:rsidRDefault="002A0843" w:rsidP="00F144BB">
      <w:pPr>
        <w:spacing w:line="360" w:lineRule="auto"/>
        <w:jc w:val="both"/>
        <w:rPr>
          <w:rFonts w:ascii="Times New Roman" w:eastAsia="Times New Roman" w:hAnsi="Times New Roman" w:cs="Times New Roman"/>
          <w:b/>
        </w:rPr>
      </w:pPr>
      <w:r w:rsidRPr="001867BF">
        <w:rPr>
          <w:rFonts w:ascii="Times New Roman" w:eastAsia="Times New Roman" w:hAnsi="Times New Roman" w:cs="Times New Roman"/>
          <w:b/>
        </w:rPr>
        <w:t>Study area:</w:t>
      </w:r>
    </w:p>
    <w:p w14:paraId="4F82D866" w14:textId="77777777" w:rsidR="002A0843" w:rsidRPr="001867BF" w:rsidRDefault="002A0843" w:rsidP="00F144BB">
      <w:pPr>
        <w:spacing w:line="360" w:lineRule="auto"/>
        <w:jc w:val="both"/>
        <w:rPr>
          <w:rFonts w:ascii="Times New Roman" w:hAnsi="Times New Roman" w:cs="Times New Roman"/>
        </w:rPr>
      </w:pPr>
      <w:r w:rsidRPr="001867BF">
        <w:rPr>
          <w:rFonts w:ascii="Times New Roman" w:hAnsi="Times New Roman" w:cs="Times New Roman"/>
        </w:rPr>
        <w:t xml:space="preserve">Siliguri, located </w:t>
      </w:r>
      <w:r w:rsidR="002F5C74" w:rsidRPr="001867BF">
        <w:rPr>
          <w:rFonts w:ascii="Times New Roman" w:hAnsi="Times New Roman" w:cs="Times New Roman"/>
        </w:rPr>
        <w:t xml:space="preserve">at the foothills of the </w:t>
      </w:r>
      <w:r w:rsidR="00E54D63" w:rsidRPr="001867BF">
        <w:rPr>
          <w:rFonts w:ascii="Times New Roman" w:hAnsi="Times New Roman" w:cs="Times New Roman"/>
        </w:rPr>
        <w:t>eastern Himalayas</w:t>
      </w:r>
      <w:r w:rsidR="002F5C74" w:rsidRPr="001867BF">
        <w:rPr>
          <w:rFonts w:ascii="Times New Roman" w:hAnsi="Times New Roman" w:cs="Times New Roman"/>
        </w:rPr>
        <w:t>, in</w:t>
      </w:r>
      <w:r w:rsidRPr="001867BF">
        <w:rPr>
          <w:rFonts w:ascii="Times New Roman" w:hAnsi="Times New Roman" w:cs="Times New Roman"/>
        </w:rPr>
        <w:t xml:space="preserve"> the Darjeeling district of West Bengal, has emerged as one of the fastest-growing cities in the state.</w:t>
      </w:r>
      <w:r w:rsidR="00E54D63" w:rsidRPr="001867BF">
        <w:rPr>
          <w:rFonts w:ascii="Times New Roman" w:hAnsi="Times New Roman" w:cs="Times New Roman"/>
        </w:rPr>
        <w:t xml:space="preserve"> </w:t>
      </w:r>
      <w:r w:rsidR="004D1D8F" w:rsidRPr="001867BF">
        <w:rPr>
          <w:rFonts w:ascii="Times New Roman" w:hAnsi="Times New Roman" w:cs="Times New Roman"/>
        </w:rPr>
        <w:t>It is located at 26.72</w:t>
      </w:r>
      <w:r w:rsidR="004D1D8F" w:rsidRPr="001867BF">
        <w:rPr>
          <w:rStyle w:val="Strong"/>
          <w:rFonts w:ascii="Times New Roman" w:hAnsi="Times New Roman" w:cs="Times New Roman"/>
        </w:rPr>
        <w:t>° N latitude</w:t>
      </w:r>
      <w:r w:rsidR="004D1D8F" w:rsidRPr="001867BF">
        <w:rPr>
          <w:rFonts w:ascii="Times New Roman" w:hAnsi="Times New Roman" w:cs="Times New Roman"/>
        </w:rPr>
        <w:t xml:space="preserve"> and </w:t>
      </w:r>
      <w:r w:rsidR="004D1D8F" w:rsidRPr="001867BF">
        <w:rPr>
          <w:rStyle w:val="Strong"/>
          <w:rFonts w:ascii="Times New Roman" w:hAnsi="Times New Roman" w:cs="Times New Roman"/>
        </w:rPr>
        <w:t>88.39° E longitude</w:t>
      </w:r>
      <w:r w:rsidR="004D1D8F" w:rsidRPr="001867BF">
        <w:rPr>
          <w:rFonts w:ascii="Times New Roman" w:hAnsi="Times New Roman" w:cs="Times New Roman"/>
        </w:rPr>
        <w:t>.</w:t>
      </w:r>
      <w:r w:rsidR="00616C23" w:rsidRPr="001867BF">
        <w:rPr>
          <w:rFonts w:ascii="Times New Roman" w:hAnsi="Times New Roman" w:cs="Times New Roman"/>
        </w:rPr>
        <w:t xml:space="preserve"> The city lies at an elevation of around 300 meters (about 1,000 feet) above sea level. </w:t>
      </w:r>
      <w:r w:rsidR="00E54D63" w:rsidRPr="001867BF">
        <w:rPr>
          <w:rFonts w:ascii="Times New Roman" w:hAnsi="Times New Roman" w:cs="Times New Roman"/>
        </w:rPr>
        <w:t>Siliguri is often referred to as the "Gateway to the Northeast" of India, as it connects the rest of West Bengal with the northeastern states like Assam, Sikkim, Meghalaya, and Arunachal Pradesh. Additionally, it serves as a key transit point to neighboring countries such as Nepal, Bhutan, and Bangladesh. Siliguri's proximity to international borders has made it an important commercial and trade center. This strategic location boosts trade activities, driving both economic growth and urban expansion.</w:t>
      </w:r>
      <w:r w:rsidR="00EE22EA" w:rsidRPr="001867BF">
        <w:rPr>
          <w:rFonts w:ascii="Times New Roman" w:hAnsi="Times New Roman" w:cs="Times New Roman"/>
        </w:rPr>
        <w:t xml:space="preserve"> The four 'T's—</w:t>
      </w:r>
      <w:r w:rsidR="00EE22EA" w:rsidRPr="001867BF">
        <w:rPr>
          <w:rStyle w:val="Strong"/>
          <w:rFonts w:ascii="Times New Roman" w:hAnsi="Times New Roman" w:cs="Times New Roman"/>
        </w:rPr>
        <w:t>Tea, Timber, Tourism, and Transportation</w:t>
      </w:r>
      <w:r w:rsidR="00EE22EA" w:rsidRPr="001867BF">
        <w:rPr>
          <w:rFonts w:ascii="Times New Roman" w:hAnsi="Times New Roman" w:cs="Times New Roman"/>
        </w:rPr>
        <w:t>—are fundamental to Siliguri's identity and growth. These sectors not only define its economy but also contribute to its cultural vibrancy and importance as a regional hub in North Bengal and the northeastern part of India</w:t>
      </w:r>
      <w:r w:rsidR="00A461BC" w:rsidRPr="001867BF">
        <w:rPr>
          <w:rFonts w:ascii="Times New Roman" w:hAnsi="Times New Roman" w:cs="Times New Roman"/>
        </w:rPr>
        <w:t>.</w:t>
      </w:r>
    </w:p>
    <w:p w14:paraId="69B4AE5F" w14:textId="5EB39285" w:rsidR="002D6C80" w:rsidRPr="001867BF" w:rsidRDefault="007E5E4A" w:rsidP="00F144BB">
      <w:pPr>
        <w:spacing w:line="360" w:lineRule="auto"/>
        <w:jc w:val="both"/>
        <w:rPr>
          <w:rFonts w:ascii="Times New Roman" w:hAnsi="Times New Roman" w:cs="Times New Roman"/>
        </w:rPr>
      </w:pPr>
      <w:r>
        <w:rPr>
          <w:noProof/>
        </w:rPr>
        <w:drawing>
          <wp:inline distT="0" distB="0" distL="0" distR="0" wp14:anchorId="2A08EE7B" wp14:editId="33B1A952">
            <wp:extent cx="5648325" cy="4000500"/>
            <wp:effectExtent l="0" t="0" r="9525" b="0"/>
            <wp:docPr id="130491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19922" name=""/>
                    <pic:cNvPicPr/>
                  </pic:nvPicPr>
                  <pic:blipFill>
                    <a:blip r:embed="rId8"/>
                    <a:stretch>
                      <a:fillRect/>
                    </a:stretch>
                  </pic:blipFill>
                  <pic:spPr>
                    <a:xfrm>
                      <a:off x="0" y="0"/>
                      <a:ext cx="5648325" cy="4000500"/>
                    </a:xfrm>
                    <a:prstGeom prst="rect">
                      <a:avLst/>
                    </a:prstGeom>
                  </pic:spPr>
                </pic:pic>
              </a:graphicData>
            </a:graphic>
          </wp:inline>
        </w:drawing>
      </w:r>
    </w:p>
    <w:p w14:paraId="5392733D" w14:textId="0D28A1C3" w:rsidR="002D6C80" w:rsidRPr="001867BF" w:rsidRDefault="002D6C80" w:rsidP="00F144BB">
      <w:pPr>
        <w:spacing w:line="360" w:lineRule="auto"/>
        <w:jc w:val="both"/>
        <w:rPr>
          <w:rFonts w:ascii="Times New Roman" w:hAnsi="Times New Roman" w:cs="Times New Roman"/>
          <w:b/>
        </w:rPr>
      </w:pPr>
      <w:r w:rsidRPr="001867BF">
        <w:rPr>
          <w:rFonts w:ascii="Times New Roman" w:hAnsi="Times New Roman" w:cs="Times New Roman"/>
          <w:b/>
        </w:rPr>
        <w:t>Fig</w:t>
      </w:r>
      <w:r w:rsidR="00CD3C84">
        <w:rPr>
          <w:rFonts w:ascii="Times New Roman" w:hAnsi="Times New Roman" w:cs="Times New Roman"/>
          <w:b/>
        </w:rPr>
        <w:t xml:space="preserve"> 1</w:t>
      </w:r>
      <w:r w:rsidRPr="001867BF">
        <w:rPr>
          <w:rFonts w:ascii="Times New Roman" w:hAnsi="Times New Roman" w:cs="Times New Roman"/>
          <w:b/>
        </w:rPr>
        <w:t>: Location map of the study area</w:t>
      </w:r>
    </w:p>
    <w:p w14:paraId="345BC740" w14:textId="77777777" w:rsidR="007F7BFD" w:rsidRPr="001867BF" w:rsidRDefault="00A461BC" w:rsidP="00F144BB">
      <w:pPr>
        <w:spacing w:line="360" w:lineRule="auto"/>
        <w:jc w:val="both"/>
        <w:rPr>
          <w:rFonts w:ascii="Times New Roman" w:hAnsi="Times New Roman" w:cs="Times New Roman"/>
        </w:rPr>
      </w:pPr>
      <w:r w:rsidRPr="001867BF">
        <w:rPr>
          <w:rFonts w:ascii="Times New Roman" w:hAnsi="Times New Roman" w:cs="Times New Roman"/>
          <w:b/>
        </w:rPr>
        <w:lastRenderedPageBreak/>
        <w:t>Data base and Methodology:</w:t>
      </w:r>
    </w:p>
    <w:p w14:paraId="3FF79ECB" w14:textId="77777777" w:rsidR="001D4A91" w:rsidRPr="001867BF" w:rsidRDefault="001D4A91"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For the purpose of present study, LULC maps were produced using four sets of Landsat images (1990, 2000, 2010, &amp; 2020). The built-up and non-built-up classifications have been applied to the LULC maps. The growth dynamics of Siliguri city and the surrounding area have been analyzed using these built-up maps. The Arc GIS buffer analysis tool was used to create multiple buffer zones outside of the city center as part of a GIS-based buffer gradient research for this purpose. </w:t>
      </w:r>
    </w:p>
    <w:p w14:paraId="1993A299" w14:textId="77777777" w:rsidR="00C76CF1" w:rsidRPr="001867BF" w:rsidRDefault="00C76CF1" w:rsidP="00F144BB">
      <w:pPr>
        <w:spacing w:after="0" w:line="360" w:lineRule="auto"/>
        <w:jc w:val="both"/>
        <w:rPr>
          <w:rFonts w:ascii="Times New Roman" w:eastAsia="Times New Roman" w:hAnsi="Times New Roman" w:cs="Times New Roman"/>
        </w:rPr>
      </w:pPr>
    </w:p>
    <w:p w14:paraId="4FD17AAF" w14:textId="511545DF" w:rsidR="001B06D7" w:rsidRPr="001867BF" w:rsidRDefault="001B06D7"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1</w:t>
      </w:r>
      <w:r w:rsidRPr="001867BF">
        <w:rPr>
          <w:rFonts w:ascii="Times New Roman" w:eastAsia="Times New Roman" w:hAnsi="Times New Roman" w:cs="Times New Roman"/>
        </w:rPr>
        <w:t>:</w:t>
      </w:r>
      <w:r w:rsidR="00AE1F41">
        <w:rPr>
          <w:rFonts w:ascii="Times New Roman" w:eastAsia="Times New Roman" w:hAnsi="Times New Roman" w:cs="Times New Roman"/>
        </w:rPr>
        <w:t xml:space="preserve"> </w:t>
      </w:r>
      <w:r w:rsidRPr="001867BF">
        <w:rPr>
          <w:rFonts w:ascii="Times New Roman" w:eastAsia="Times New Roman" w:hAnsi="Times New Roman" w:cs="Times New Roman"/>
        </w:rPr>
        <w:t xml:space="preserve"> Data sources</w:t>
      </w:r>
    </w:p>
    <w:p w14:paraId="325C60C5" w14:textId="77777777" w:rsidR="001B06D7" w:rsidRPr="001867BF" w:rsidRDefault="001B06D7" w:rsidP="00F144BB">
      <w:pPr>
        <w:spacing w:after="0" w:line="360" w:lineRule="auto"/>
        <w:jc w:val="both"/>
        <w:rPr>
          <w:rFonts w:ascii="Times New Roman" w:eastAsia="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1523"/>
        <w:gridCol w:w="1565"/>
        <w:gridCol w:w="2434"/>
        <w:gridCol w:w="1737"/>
        <w:gridCol w:w="2317"/>
      </w:tblGrid>
      <w:tr w:rsidR="00446A29" w:rsidRPr="001867BF" w14:paraId="024A8606" w14:textId="77777777" w:rsidTr="001867BF">
        <w:trPr>
          <w:trHeight w:val="544"/>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1CF92D33"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Source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1E47C9E2"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Data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43189A19"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Date of Acquisition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21DC975C"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Resolution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26A77BF1"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No. Of Bands </w:t>
            </w:r>
          </w:p>
        </w:tc>
      </w:tr>
      <w:tr w:rsidR="00446A29" w:rsidRPr="001867BF" w14:paraId="6557C3BF" w14:textId="77777777" w:rsidTr="001867BF">
        <w:trPr>
          <w:trHeight w:val="430"/>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000453DF"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Landsat 8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411254A0"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OLI TIRS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77455AF4"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9/02/2020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3ABF3415"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30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543DE3C4"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11 </w:t>
            </w:r>
          </w:p>
        </w:tc>
      </w:tr>
      <w:tr w:rsidR="00446A29" w:rsidRPr="001867BF" w14:paraId="6ABAFBD5" w14:textId="77777777" w:rsidTr="001867BF">
        <w:trPr>
          <w:trHeight w:val="396"/>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72FD65A7"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Landsat 5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7E31ADC0"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TM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52E3A924"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28/01/2010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02DCB6CE"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30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685D9F73"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7 </w:t>
            </w:r>
          </w:p>
        </w:tc>
      </w:tr>
      <w:tr w:rsidR="00446A29" w:rsidRPr="001867BF" w14:paraId="24E3948D" w14:textId="77777777" w:rsidTr="001867BF">
        <w:trPr>
          <w:trHeight w:val="396"/>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225C114B"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Landsat 5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411027D6"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TM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23D5226C"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21/03/2000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42964F5E"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30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1B6FA397"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7 </w:t>
            </w:r>
          </w:p>
        </w:tc>
      </w:tr>
      <w:tr w:rsidR="00446A29" w:rsidRPr="001867BF" w14:paraId="6962068B" w14:textId="77777777" w:rsidTr="001867BF">
        <w:trPr>
          <w:trHeight w:val="396"/>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49C69DA5"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Landsat 5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639A9429"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TM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3C32E533"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6/02/1990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078FBC7C"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30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14:paraId="303E8431" w14:textId="77777777"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7 </w:t>
            </w:r>
          </w:p>
        </w:tc>
      </w:tr>
    </w:tbl>
    <w:p w14:paraId="70A1EBEB" w14:textId="77777777" w:rsidR="001D4A91" w:rsidRPr="001867BF" w:rsidRDefault="001D4A91" w:rsidP="00F144BB">
      <w:pPr>
        <w:spacing w:line="360" w:lineRule="auto"/>
        <w:jc w:val="both"/>
        <w:rPr>
          <w:rFonts w:ascii="Times New Roman" w:hAnsi="Times New Roman" w:cs="Times New Roman"/>
        </w:rPr>
      </w:pPr>
    </w:p>
    <w:p w14:paraId="0EE48605" w14:textId="77777777" w:rsidR="00DF2763" w:rsidRPr="001867BF" w:rsidRDefault="00DA07E0" w:rsidP="00B076DE">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The average yearly pace of land development over two time periods is measured by the annual Built-up Rate (ABER). It is independent of the size of the spatial unit and is a modified variant of the compound growth rate formula</w:t>
      </w:r>
      <w:r w:rsidRPr="001867BF">
        <w:rPr>
          <w:rFonts w:ascii="Times New Roman" w:hAnsi="Times New Roman" w:cs="Times New Roman"/>
          <w:color w:val="222222"/>
          <w:shd w:val="clear" w:color="auto" w:fill="FFFFFF"/>
        </w:rPr>
        <w:t xml:space="preserve"> (</w:t>
      </w:r>
      <w:proofErr w:type="spellStart"/>
      <w:r w:rsidRPr="001867BF">
        <w:rPr>
          <w:rFonts w:ascii="Times New Roman" w:hAnsi="Times New Roman" w:cs="Times New Roman"/>
          <w:color w:val="222222"/>
          <w:shd w:val="clear" w:color="auto" w:fill="FFFFFF"/>
        </w:rPr>
        <w:t>Alam</w:t>
      </w:r>
      <w:proofErr w:type="spellEnd"/>
      <w:r w:rsidRPr="001867BF">
        <w:rPr>
          <w:rFonts w:ascii="Times New Roman" w:hAnsi="Times New Roman" w:cs="Times New Roman"/>
          <w:color w:val="222222"/>
          <w:shd w:val="clear" w:color="auto" w:fill="FFFFFF"/>
        </w:rPr>
        <w:t xml:space="preserve"> et.al, 2023)</w:t>
      </w:r>
      <w:r w:rsidRPr="001867BF">
        <w:rPr>
          <w:rFonts w:ascii="Times New Roman" w:eastAsia="Times New Roman" w:hAnsi="Times New Roman" w:cs="Times New Roman"/>
        </w:rPr>
        <w:t>.</w:t>
      </w:r>
    </w:p>
    <w:p w14:paraId="6FF613CD" w14:textId="77777777" w:rsidR="00E07AA9" w:rsidRPr="001867BF" w:rsidRDefault="000033B9" w:rsidP="00F144BB">
      <w:pPr>
        <w:spacing w:line="360" w:lineRule="auto"/>
        <w:jc w:val="both"/>
        <w:rPr>
          <w:rFonts w:ascii="Times New Roman" w:hAnsi="Times New Roman" w:cs="Times New Roman"/>
          <w:b/>
        </w:rPr>
      </w:pPr>
      <w:r w:rsidRPr="001867BF">
        <w:rPr>
          <w:rFonts w:ascii="Times New Roman" w:hAnsi="Times New Roman" w:cs="Times New Roman"/>
          <w:b/>
          <w:color w:val="000000" w:themeColor="text1"/>
        </w:rPr>
        <w:t>ABER</w:t>
      </w:r>
      <w:r w:rsidR="00DF2763" w:rsidRPr="001867BF">
        <w:rPr>
          <w:rFonts w:ascii="Times New Roman" w:hAnsi="Times New Roman" w:cs="Times New Roman"/>
          <w:b/>
          <w:color w:val="000000" w:themeColor="text1"/>
        </w:rPr>
        <w:t xml:space="preserve"> </w:t>
      </w:r>
      <w:r w:rsidR="00637CA3" w:rsidRPr="001867BF">
        <w:rPr>
          <w:rFonts w:ascii="Times New Roman" w:hAnsi="Times New Roman" w:cs="Times New Roman"/>
          <w:b/>
          <w:color w:val="000000" w:themeColor="text1"/>
        </w:rPr>
        <w:t xml:space="preserve">= </w:t>
      </w:r>
      <w:proofErr w:type="gramStart"/>
      <w:r w:rsidR="00E07AA9" w:rsidRPr="001867BF">
        <w:rPr>
          <w:rFonts w:ascii="Times New Roman" w:hAnsi="Times New Roman" w:cs="Times New Roman"/>
          <w:b/>
        </w:rPr>
        <w:t xml:space="preserve">[( </w:t>
      </w:r>
      <w:proofErr w:type="spellStart"/>
      <w:r w:rsidR="00E07AA9" w:rsidRPr="001867BF">
        <w:rPr>
          <w:rFonts w:ascii="Times New Roman" w:hAnsi="Times New Roman" w:cs="Times New Roman"/>
          <w:b/>
        </w:rPr>
        <w:t>ULA</w:t>
      </w:r>
      <w:r w:rsidR="00E07AA9" w:rsidRPr="001867BF">
        <w:rPr>
          <w:rFonts w:ascii="Times New Roman" w:hAnsi="Times New Roman" w:cs="Times New Roman"/>
          <w:b/>
          <w:vertAlign w:val="subscript"/>
        </w:rPr>
        <w:t>i</w:t>
      </w:r>
      <w:proofErr w:type="gramEnd"/>
      <w:r w:rsidR="00E07AA9" w:rsidRPr="001867BF">
        <w:rPr>
          <w:rFonts w:ascii="Times New Roman" w:hAnsi="Times New Roman" w:cs="Times New Roman"/>
          <w:b/>
          <w:vertAlign w:val="subscript"/>
        </w:rPr>
        <w:t>,t+n</w:t>
      </w:r>
      <w:proofErr w:type="spellEnd"/>
      <w:r w:rsidR="00E07AA9" w:rsidRPr="001867BF">
        <w:rPr>
          <w:rFonts w:ascii="Times New Roman" w:hAnsi="Times New Roman" w:cs="Times New Roman"/>
          <w:b/>
          <w:vertAlign w:val="subscript"/>
        </w:rPr>
        <w:t xml:space="preserve"> </w:t>
      </w:r>
      <w:r w:rsidR="000A3508" w:rsidRPr="001867BF">
        <w:rPr>
          <w:rFonts w:ascii="Times New Roman" w:hAnsi="Times New Roman" w:cs="Times New Roman"/>
          <w:b/>
        </w:rPr>
        <w:t>-</w:t>
      </w:r>
      <w:proofErr w:type="spellStart"/>
      <w:r w:rsidR="00E07AA9" w:rsidRPr="001867BF">
        <w:rPr>
          <w:rFonts w:ascii="Times New Roman" w:hAnsi="Times New Roman" w:cs="Times New Roman"/>
          <w:b/>
        </w:rPr>
        <w:t>ULA</w:t>
      </w:r>
      <w:r w:rsidR="00E07AA9" w:rsidRPr="001867BF">
        <w:rPr>
          <w:rFonts w:ascii="Times New Roman" w:hAnsi="Times New Roman" w:cs="Times New Roman"/>
          <w:b/>
          <w:vertAlign w:val="subscript"/>
        </w:rPr>
        <w:t>i,t</w:t>
      </w:r>
      <w:proofErr w:type="spellEnd"/>
      <w:r w:rsidR="000A3508" w:rsidRPr="001867BF">
        <w:rPr>
          <w:rFonts w:ascii="Times New Roman" w:hAnsi="Times New Roman" w:cs="Times New Roman"/>
          <w:b/>
        </w:rPr>
        <w:t xml:space="preserve">) / </w:t>
      </w:r>
      <w:proofErr w:type="spellStart"/>
      <w:r w:rsidR="000A3508" w:rsidRPr="001867BF">
        <w:rPr>
          <w:rFonts w:ascii="Times New Roman" w:hAnsi="Times New Roman" w:cs="Times New Roman"/>
          <w:b/>
        </w:rPr>
        <w:t>ULA</w:t>
      </w:r>
      <w:r w:rsidR="000A3508" w:rsidRPr="001867BF">
        <w:rPr>
          <w:rFonts w:ascii="Times New Roman" w:hAnsi="Times New Roman" w:cs="Times New Roman"/>
          <w:b/>
          <w:vertAlign w:val="subscript"/>
        </w:rPr>
        <w:t>i,t</w:t>
      </w:r>
      <w:proofErr w:type="spellEnd"/>
      <w:r w:rsidR="00E07AA9" w:rsidRPr="001867BF">
        <w:rPr>
          <w:rFonts w:ascii="Times New Roman" w:hAnsi="Times New Roman" w:cs="Times New Roman"/>
          <w:b/>
        </w:rPr>
        <w:t>] *100</w:t>
      </w:r>
    </w:p>
    <w:p w14:paraId="4E62A332" w14:textId="77777777" w:rsidR="002C321C" w:rsidRPr="001867BF" w:rsidRDefault="002C321C" w:rsidP="00F144BB">
      <w:pPr>
        <w:spacing w:line="360" w:lineRule="auto"/>
        <w:jc w:val="both"/>
        <w:rPr>
          <w:rFonts w:ascii="Times New Roman" w:hAnsi="Times New Roman" w:cs="Times New Roman"/>
        </w:rPr>
      </w:pPr>
      <w:r w:rsidRPr="001867BF">
        <w:rPr>
          <w:rFonts w:ascii="Times New Roman" w:hAnsi="Times New Roman" w:cs="Times New Roman"/>
        </w:rPr>
        <w:t xml:space="preserve">ULA=Urban Land Area, </w:t>
      </w:r>
      <w:proofErr w:type="spellStart"/>
      <w:r w:rsidR="00440DC9" w:rsidRPr="001867BF">
        <w:rPr>
          <w:rFonts w:ascii="Times New Roman" w:hAnsi="Times New Roman" w:cs="Times New Roman"/>
        </w:rPr>
        <w:t>ULA</w:t>
      </w:r>
      <w:r w:rsidRPr="001867BF">
        <w:rPr>
          <w:rFonts w:ascii="Times New Roman" w:hAnsi="Times New Roman" w:cs="Times New Roman"/>
          <w:vertAlign w:val="subscript"/>
        </w:rPr>
        <w:t>t+n</w:t>
      </w:r>
      <w:proofErr w:type="spellEnd"/>
      <w:r w:rsidRPr="001867BF">
        <w:rPr>
          <w:rFonts w:ascii="Times New Roman" w:hAnsi="Times New Roman" w:cs="Times New Roman"/>
        </w:rPr>
        <w:t xml:space="preserve"> = urban land-use for present </w:t>
      </w:r>
      <w:proofErr w:type="spellStart"/>
      <w:proofErr w:type="gramStart"/>
      <w:r w:rsidRPr="001867BF">
        <w:rPr>
          <w:rFonts w:ascii="Times New Roman" w:hAnsi="Times New Roman" w:cs="Times New Roman"/>
        </w:rPr>
        <w:t>years,ULA</w:t>
      </w:r>
      <w:r w:rsidRPr="001867BF">
        <w:rPr>
          <w:rFonts w:ascii="Times New Roman" w:hAnsi="Times New Roman" w:cs="Times New Roman"/>
          <w:vertAlign w:val="subscript"/>
        </w:rPr>
        <w:t>it</w:t>
      </w:r>
      <w:proofErr w:type="spellEnd"/>
      <w:proofErr w:type="gramEnd"/>
      <w:r w:rsidRPr="001867BF">
        <w:rPr>
          <w:rFonts w:ascii="Times New Roman" w:hAnsi="Times New Roman" w:cs="Times New Roman"/>
        </w:rPr>
        <w:t xml:space="preserve">= urban land-use for </w:t>
      </w:r>
      <w:proofErr w:type="spellStart"/>
      <w:r w:rsidRPr="001867BF">
        <w:rPr>
          <w:rFonts w:ascii="Times New Roman" w:hAnsi="Times New Roman" w:cs="Times New Roman"/>
        </w:rPr>
        <w:t>pastyears</w:t>
      </w:r>
      <w:proofErr w:type="spellEnd"/>
    </w:p>
    <w:p w14:paraId="391B9B97" w14:textId="77777777" w:rsidR="0061302D" w:rsidRPr="001867BF" w:rsidRDefault="0061302D"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Urban Expansion Intensity Index (UEII) is used to quantify the pace and nature of urban growth as well as to understand how quickly it has been happening over </w:t>
      </w:r>
      <w:proofErr w:type="gramStart"/>
      <w:r w:rsidRPr="001867BF">
        <w:rPr>
          <w:rFonts w:ascii="Times New Roman" w:eastAsia="Times New Roman" w:hAnsi="Times New Roman" w:cs="Times New Roman"/>
        </w:rPr>
        <w:t>time( Liu</w:t>
      </w:r>
      <w:proofErr w:type="gramEnd"/>
      <w:r w:rsidRPr="001867BF">
        <w:rPr>
          <w:rFonts w:ascii="Times New Roman" w:eastAsia="Times New Roman" w:hAnsi="Times New Roman" w:cs="Times New Roman"/>
        </w:rPr>
        <w:t xml:space="preserve">,2000),. Urban expansion throughout the study period is expressed as a proportion of the total land area (Xu, 2013). </w:t>
      </w:r>
    </w:p>
    <w:p w14:paraId="732CD54E" w14:textId="77777777" w:rsidR="00DA4499" w:rsidRPr="001867BF" w:rsidRDefault="00DA4499" w:rsidP="00F144BB">
      <w:pPr>
        <w:spacing w:line="360" w:lineRule="auto"/>
        <w:jc w:val="both"/>
        <w:rPr>
          <w:rFonts w:ascii="Times New Roman" w:hAnsi="Times New Roman" w:cs="Times New Roman"/>
        </w:rPr>
      </w:pPr>
      <w:proofErr w:type="spellStart"/>
      <w:proofErr w:type="gramStart"/>
      <w:r w:rsidRPr="001867BF">
        <w:rPr>
          <w:rFonts w:ascii="Times New Roman" w:hAnsi="Times New Roman" w:cs="Times New Roman"/>
          <w:b/>
        </w:rPr>
        <w:t>UEII</w:t>
      </w:r>
      <w:r w:rsidRPr="001867BF">
        <w:rPr>
          <w:rFonts w:ascii="Times New Roman" w:hAnsi="Times New Roman" w:cs="Times New Roman"/>
          <w:b/>
          <w:vertAlign w:val="subscript"/>
        </w:rPr>
        <w:t>i,t</w:t>
      </w:r>
      <w:proofErr w:type="gramEnd"/>
      <w:r w:rsidRPr="001867BF">
        <w:rPr>
          <w:rFonts w:ascii="Times New Roman" w:hAnsi="Times New Roman" w:cs="Times New Roman"/>
          <w:b/>
          <w:vertAlign w:val="subscript"/>
        </w:rPr>
        <w:t>~t+n</w:t>
      </w:r>
      <w:proofErr w:type="spellEnd"/>
      <w:r w:rsidRPr="001867BF">
        <w:rPr>
          <w:rFonts w:ascii="Times New Roman" w:hAnsi="Times New Roman" w:cs="Times New Roman"/>
          <w:b/>
          <w:vertAlign w:val="subscript"/>
        </w:rPr>
        <w:t xml:space="preserve"> </w:t>
      </w:r>
      <w:r w:rsidRPr="001867BF">
        <w:rPr>
          <w:rFonts w:ascii="Times New Roman" w:hAnsi="Times New Roman" w:cs="Times New Roman"/>
          <w:b/>
        </w:rPr>
        <w:t xml:space="preserve">= [( </w:t>
      </w:r>
      <w:proofErr w:type="spellStart"/>
      <w:r w:rsidRPr="001867BF">
        <w:rPr>
          <w:rFonts w:ascii="Times New Roman" w:hAnsi="Times New Roman" w:cs="Times New Roman"/>
          <w:b/>
        </w:rPr>
        <w:t>ULA</w:t>
      </w:r>
      <w:r w:rsidRPr="001867BF">
        <w:rPr>
          <w:rFonts w:ascii="Times New Roman" w:hAnsi="Times New Roman" w:cs="Times New Roman"/>
          <w:b/>
          <w:vertAlign w:val="subscript"/>
        </w:rPr>
        <w:t>i,t+n</w:t>
      </w:r>
      <w:proofErr w:type="spellEnd"/>
      <w:r w:rsidRPr="001867BF">
        <w:rPr>
          <w:rFonts w:ascii="Times New Roman" w:hAnsi="Times New Roman" w:cs="Times New Roman"/>
          <w:b/>
          <w:vertAlign w:val="subscript"/>
        </w:rPr>
        <w:t xml:space="preserve"> </w:t>
      </w:r>
      <w:r w:rsidRPr="001867BF">
        <w:rPr>
          <w:rFonts w:ascii="Times New Roman" w:hAnsi="Times New Roman" w:cs="Times New Roman"/>
          <w:b/>
        </w:rPr>
        <w:t xml:space="preserve">- </w:t>
      </w:r>
      <w:proofErr w:type="spellStart"/>
      <w:r w:rsidRPr="001867BF">
        <w:rPr>
          <w:rFonts w:ascii="Times New Roman" w:hAnsi="Times New Roman" w:cs="Times New Roman"/>
          <w:b/>
        </w:rPr>
        <w:t>ULA</w:t>
      </w:r>
      <w:r w:rsidRPr="001867BF">
        <w:rPr>
          <w:rFonts w:ascii="Times New Roman" w:hAnsi="Times New Roman" w:cs="Times New Roman"/>
          <w:b/>
          <w:vertAlign w:val="subscript"/>
        </w:rPr>
        <w:t>i,t</w:t>
      </w:r>
      <w:proofErr w:type="spellEnd"/>
      <w:r w:rsidRPr="001867BF">
        <w:rPr>
          <w:rFonts w:ascii="Times New Roman" w:hAnsi="Times New Roman" w:cs="Times New Roman"/>
          <w:b/>
        </w:rPr>
        <w:t xml:space="preserve">) /n] *100/ </w:t>
      </w:r>
      <w:proofErr w:type="spellStart"/>
      <w:r w:rsidRPr="001867BF">
        <w:rPr>
          <w:rFonts w:ascii="Times New Roman" w:hAnsi="Times New Roman" w:cs="Times New Roman"/>
          <w:b/>
        </w:rPr>
        <w:t>TLA</w:t>
      </w:r>
      <w:r w:rsidRPr="001867BF">
        <w:rPr>
          <w:rFonts w:ascii="Times New Roman" w:hAnsi="Times New Roman" w:cs="Times New Roman"/>
          <w:b/>
          <w:vertAlign w:val="subscript"/>
        </w:rPr>
        <w:t>i</w:t>
      </w:r>
      <w:proofErr w:type="spellEnd"/>
      <w:r w:rsidRPr="001867BF">
        <w:rPr>
          <w:rFonts w:ascii="Times New Roman" w:hAnsi="Times New Roman" w:cs="Times New Roman"/>
          <w:vertAlign w:val="subscript"/>
        </w:rPr>
        <w:t xml:space="preserve">                   </w:t>
      </w:r>
      <w:r w:rsidRPr="001867BF">
        <w:rPr>
          <w:rFonts w:ascii="Times New Roman" w:hAnsi="Times New Roman" w:cs="Times New Roman"/>
        </w:rPr>
        <w:t>(Liu, 2000 &amp;</w:t>
      </w:r>
      <w:r w:rsidRPr="001867BF">
        <w:rPr>
          <w:rFonts w:ascii="Times New Roman" w:hAnsi="Times New Roman" w:cs="Times New Roman"/>
          <w:color w:val="222222"/>
          <w:shd w:val="clear" w:color="auto" w:fill="FFFFFF"/>
        </w:rPr>
        <w:t>Shimod,2021)</w:t>
      </w:r>
    </w:p>
    <w:p w14:paraId="1A000F4B" w14:textId="77777777" w:rsidR="00DA4499" w:rsidRPr="001867BF" w:rsidRDefault="00DA4499" w:rsidP="00F144BB">
      <w:pPr>
        <w:spacing w:line="360" w:lineRule="auto"/>
        <w:jc w:val="both"/>
        <w:rPr>
          <w:rFonts w:ascii="Times New Roman" w:hAnsi="Times New Roman" w:cs="Times New Roman"/>
        </w:rPr>
      </w:pPr>
      <w:r w:rsidRPr="001867BF">
        <w:rPr>
          <w:rFonts w:ascii="Times New Roman" w:hAnsi="Times New Roman" w:cs="Times New Roman"/>
        </w:rPr>
        <w:t xml:space="preserve">Where, </w:t>
      </w:r>
      <w:proofErr w:type="spellStart"/>
      <w:r w:rsidRPr="001867BF">
        <w:rPr>
          <w:rFonts w:ascii="Times New Roman" w:hAnsi="Times New Roman" w:cs="Times New Roman"/>
        </w:rPr>
        <w:t>t~t+n</w:t>
      </w:r>
      <w:proofErr w:type="spellEnd"/>
      <w:r w:rsidRPr="001867BF">
        <w:rPr>
          <w:rFonts w:ascii="Times New Roman" w:hAnsi="Times New Roman" w:cs="Times New Roman"/>
        </w:rPr>
        <w:t xml:space="preserve"> </w:t>
      </w:r>
      <w:proofErr w:type="spellStart"/>
      <w:proofErr w:type="gramStart"/>
      <w:r w:rsidRPr="001867BF">
        <w:rPr>
          <w:rFonts w:ascii="Times New Roman" w:hAnsi="Times New Roman" w:cs="Times New Roman"/>
        </w:rPr>
        <w:t>UIIi,</w:t>
      </w:r>
      <w:r w:rsidRPr="001867BF">
        <w:rPr>
          <w:rFonts w:ascii="Times New Roman" w:hAnsi="Times New Roman" w:cs="Times New Roman"/>
          <w:vertAlign w:val="subscript"/>
        </w:rPr>
        <w:t>t</w:t>
      </w:r>
      <w:proofErr w:type="gramEnd"/>
      <w:r w:rsidRPr="001867BF">
        <w:rPr>
          <w:rFonts w:ascii="Times New Roman" w:hAnsi="Times New Roman" w:cs="Times New Roman"/>
          <w:vertAlign w:val="subscript"/>
        </w:rPr>
        <w:t>~t+n</w:t>
      </w:r>
      <w:proofErr w:type="spellEnd"/>
      <w:r w:rsidRPr="001867BF">
        <w:rPr>
          <w:rFonts w:ascii="Times New Roman" w:hAnsi="Times New Roman" w:cs="Times New Roman"/>
        </w:rPr>
        <w:t xml:space="preserve"> = intensity of urbanization within a spatial unit </w:t>
      </w:r>
      <w:proofErr w:type="spellStart"/>
      <w:r w:rsidRPr="001867BF">
        <w:rPr>
          <w:rFonts w:ascii="Times New Roman" w:hAnsi="Times New Roman" w:cs="Times New Roman"/>
        </w:rPr>
        <w:t>i</w:t>
      </w:r>
      <w:proofErr w:type="spellEnd"/>
      <w:r w:rsidRPr="001867BF">
        <w:rPr>
          <w:rFonts w:ascii="Times New Roman" w:hAnsi="Times New Roman" w:cs="Times New Roman"/>
        </w:rPr>
        <w:t xml:space="preserve"> during a time period </w:t>
      </w:r>
      <w:proofErr w:type="spellStart"/>
      <w:r w:rsidRPr="001867BF">
        <w:rPr>
          <w:rFonts w:ascii="Times New Roman" w:hAnsi="Times New Roman" w:cs="Times New Roman"/>
        </w:rPr>
        <w:t>t~t+n</w:t>
      </w:r>
      <w:proofErr w:type="spellEnd"/>
      <w:r w:rsidRPr="001867BF">
        <w:rPr>
          <w:rFonts w:ascii="Times New Roman" w:hAnsi="Times New Roman" w:cs="Times New Roman"/>
        </w:rPr>
        <w:t xml:space="preserve">, </w:t>
      </w:r>
      <w:proofErr w:type="spellStart"/>
      <w:r w:rsidRPr="001867BF">
        <w:rPr>
          <w:rFonts w:ascii="Times New Roman" w:hAnsi="Times New Roman" w:cs="Times New Roman"/>
        </w:rPr>
        <w:t>ULA</w:t>
      </w:r>
      <w:r w:rsidRPr="001867BF">
        <w:rPr>
          <w:rFonts w:ascii="Times New Roman" w:hAnsi="Times New Roman" w:cs="Times New Roman"/>
          <w:vertAlign w:val="subscript"/>
        </w:rPr>
        <w:t>i</w:t>
      </w:r>
      <w:proofErr w:type="spellEnd"/>
      <w:r w:rsidRPr="001867BF">
        <w:rPr>
          <w:rFonts w:ascii="Times New Roman" w:hAnsi="Times New Roman" w:cs="Times New Roman"/>
          <w:vertAlign w:val="subscript"/>
        </w:rPr>
        <w:t xml:space="preserve">, </w:t>
      </w:r>
      <w:proofErr w:type="spellStart"/>
      <w:r w:rsidRPr="001867BF">
        <w:rPr>
          <w:rFonts w:ascii="Times New Roman" w:hAnsi="Times New Roman" w:cs="Times New Roman"/>
          <w:vertAlign w:val="subscript"/>
        </w:rPr>
        <w:t>t+n</w:t>
      </w:r>
      <w:proofErr w:type="spellEnd"/>
      <w:r w:rsidRPr="001867BF">
        <w:rPr>
          <w:rFonts w:ascii="Times New Roman" w:hAnsi="Times New Roman" w:cs="Times New Roman"/>
        </w:rPr>
        <w:t xml:space="preserve"> = urban land-use for </w:t>
      </w:r>
      <w:r w:rsidR="002C321C" w:rsidRPr="001867BF">
        <w:rPr>
          <w:rFonts w:ascii="Times New Roman" w:hAnsi="Times New Roman" w:cs="Times New Roman"/>
        </w:rPr>
        <w:t xml:space="preserve">present </w:t>
      </w:r>
      <w:r w:rsidRPr="001867BF">
        <w:rPr>
          <w:rFonts w:ascii="Times New Roman" w:hAnsi="Times New Roman" w:cs="Times New Roman"/>
        </w:rPr>
        <w:t xml:space="preserve">years </w:t>
      </w:r>
      <w:proofErr w:type="spellStart"/>
      <w:r w:rsidRPr="001867BF">
        <w:rPr>
          <w:rFonts w:ascii="Times New Roman" w:hAnsi="Times New Roman" w:cs="Times New Roman"/>
        </w:rPr>
        <w:t>t+n</w:t>
      </w:r>
      <w:proofErr w:type="spellEnd"/>
      <w:r w:rsidRPr="001867BF">
        <w:rPr>
          <w:rFonts w:ascii="Times New Roman" w:hAnsi="Times New Roman" w:cs="Times New Roman"/>
        </w:rPr>
        <w:t xml:space="preserve"> </w:t>
      </w:r>
      <w:proofErr w:type="spellStart"/>
      <w:r w:rsidRPr="001867BF">
        <w:rPr>
          <w:rFonts w:ascii="Times New Roman" w:hAnsi="Times New Roman" w:cs="Times New Roman"/>
        </w:rPr>
        <w:t>ULA</w:t>
      </w:r>
      <w:r w:rsidRPr="001867BF">
        <w:rPr>
          <w:rFonts w:ascii="Times New Roman" w:hAnsi="Times New Roman" w:cs="Times New Roman"/>
          <w:vertAlign w:val="subscript"/>
        </w:rPr>
        <w:t>i,t</w:t>
      </w:r>
      <w:proofErr w:type="spellEnd"/>
      <w:r w:rsidRPr="001867BF">
        <w:rPr>
          <w:rFonts w:ascii="Times New Roman" w:hAnsi="Times New Roman" w:cs="Times New Roman"/>
          <w:vertAlign w:val="subscript"/>
        </w:rPr>
        <w:t xml:space="preserve"> </w:t>
      </w:r>
      <w:r w:rsidRPr="001867BF">
        <w:rPr>
          <w:rFonts w:ascii="Times New Roman" w:hAnsi="Times New Roman" w:cs="Times New Roman"/>
        </w:rPr>
        <w:t>= urban land-use for years t</w:t>
      </w:r>
      <w:r w:rsidR="002C321C" w:rsidRPr="001867BF">
        <w:rPr>
          <w:rFonts w:ascii="Times New Roman" w:hAnsi="Times New Roman" w:cs="Times New Roman"/>
        </w:rPr>
        <w:t>,</w:t>
      </w:r>
      <w:r w:rsidRPr="001867BF">
        <w:rPr>
          <w:rFonts w:ascii="Times New Roman" w:hAnsi="Times New Roman" w:cs="Times New Roman"/>
        </w:rPr>
        <w:t xml:space="preserve"> </w:t>
      </w:r>
      <w:proofErr w:type="spellStart"/>
      <w:r w:rsidRPr="001867BF">
        <w:rPr>
          <w:rFonts w:ascii="Times New Roman" w:hAnsi="Times New Roman" w:cs="Times New Roman"/>
        </w:rPr>
        <w:t>TLA</w:t>
      </w:r>
      <w:r w:rsidRPr="001867BF">
        <w:rPr>
          <w:rFonts w:ascii="Times New Roman" w:hAnsi="Times New Roman" w:cs="Times New Roman"/>
          <w:vertAlign w:val="subscript"/>
        </w:rPr>
        <w:t>i</w:t>
      </w:r>
      <w:proofErr w:type="spellEnd"/>
      <w:r w:rsidRPr="001867BF">
        <w:rPr>
          <w:rFonts w:ascii="Times New Roman" w:hAnsi="Times New Roman" w:cs="Times New Roman"/>
        </w:rPr>
        <w:t xml:space="preserve"> = total area of the spatial unit </w:t>
      </w:r>
      <w:proofErr w:type="spellStart"/>
      <w:r w:rsidRPr="001867BF">
        <w:rPr>
          <w:rFonts w:ascii="Times New Roman" w:hAnsi="Times New Roman" w:cs="Times New Roman"/>
        </w:rPr>
        <w:t>i</w:t>
      </w:r>
      <w:proofErr w:type="spellEnd"/>
      <w:r w:rsidRPr="001867BF">
        <w:rPr>
          <w:rFonts w:ascii="Times New Roman" w:hAnsi="Times New Roman" w:cs="Times New Roman"/>
        </w:rPr>
        <w:t xml:space="preserve">. There are five categories for UEII values: slow development (0.58), low development </w:t>
      </w:r>
      <w:r w:rsidRPr="001867BF">
        <w:rPr>
          <w:rFonts w:ascii="Times New Roman" w:hAnsi="Times New Roman" w:cs="Times New Roman"/>
        </w:rPr>
        <w:lastRenderedPageBreak/>
        <w:t xml:space="preserve">(0.28), medium speed development (0.59), fast development (1.05), and </w:t>
      </w:r>
      <w:proofErr w:type="gramStart"/>
      <w:r w:rsidRPr="001867BF">
        <w:rPr>
          <w:rFonts w:ascii="Times New Roman" w:hAnsi="Times New Roman" w:cs="Times New Roman"/>
        </w:rPr>
        <w:t>high speed</w:t>
      </w:r>
      <w:proofErr w:type="gramEnd"/>
      <w:r w:rsidRPr="001867BF">
        <w:rPr>
          <w:rFonts w:ascii="Times New Roman" w:hAnsi="Times New Roman" w:cs="Times New Roman"/>
        </w:rPr>
        <w:t xml:space="preserve"> development (more than 1.92) (Jaeger.et.al. 2010; </w:t>
      </w:r>
      <w:r w:rsidR="00025569" w:rsidRPr="001867BF">
        <w:rPr>
          <w:rFonts w:ascii="Times New Roman" w:hAnsi="Times New Roman" w:cs="Times New Roman"/>
          <w:color w:val="222222"/>
          <w:shd w:val="clear" w:color="auto" w:fill="FFFFFF"/>
        </w:rPr>
        <w:t>Al-Sharif</w:t>
      </w:r>
      <w:r w:rsidRPr="001867BF">
        <w:rPr>
          <w:rFonts w:ascii="Times New Roman" w:hAnsi="Times New Roman" w:cs="Times New Roman"/>
          <w:color w:val="222222"/>
          <w:shd w:val="clear" w:color="auto" w:fill="FFFFFF"/>
        </w:rPr>
        <w:t xml:space="preserve"> et. Al. 2014</w:t>
      </w:r>
      <w:r w:rsidRPr="001867BF">
        <w:rPr>
          <w:rFonts w:ascii="Times New Roman" w:hAnsi="Times New Roman" w:cs="Times New Roman"/>
        </w:rPr>
        <w:t>).</w:t>
      </w:r>
    </w:p>
    <w:p w14:paraId="0F5770C3" w14:textId="77777777" w:rsidR="00637CA3" w:rsidRPr="001867BF" w:rsidRDefault="00637CA3"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The third index that calculates the difference in land expansion across all spatial units is the Urban Expansion Differentiation Index (UEDI). The index may be used to determine urban expansion hotspots and evaluate regional urban land expansion. It contrasts the urban growth of the entire research region with the urban growth of the constituency of a geographical unit </w:t>
      </w:r>
      <w:r w:rsidRPr="001867BF">
        <w:rPr>
          <w:rFonts w:ascii="Times New Roman" w:hAnsi="Times New Roman" w:cs="Times New Roman"/>
          <w:color w:val="222222"/>
          <w:shd w:val="clear" w:color="auto" w:fill="FFFFFF"/>
        </w:rPr>
        <w:t>(</w:t>
      </w:r>
      <w:proofErr w:type="spellStart"/>
      <w:r w:rsidRPr="001867BF">
        <w:rPr>
          <w:rFonts w:ascii="Times New Roman" w:hAnsi="Times New Roman" w:cs="Times New Roman"/>
          <w:color w:val="222222"/>
          <w:shd w:val="clear" w:color="auto" w:fill="FFFFFF"/>
        </w:rPr>
        <w:t>Alam</w:t>
      </w:r>
      <w:proofErr w:type="spellEnd"/>
      <w:r w:rsidRPr="001867BF">
        <w:rPr>
          <w:rFonts w:ascii="Times New Roman" w:hAnsi="Times New Roman" w:cs="Times New Roman"/>
          <w:color w:val="222222"/>
          <w:shd w:val="clear" w:color="auto" w:fill="FFFFFF"/>
        </w:rPr>
        <w:t xml:space="preserve"> et.al, 2023</w:t>
      </w:r>
      <w:r w:rsidRPr="001867BF">
        <w:rPr>
          <w:rFonts w:ascii="Times New Roman" w:eastAsia="Times New Roman" w:hAnsi="Times New Roman" w:cs="Times New Roman"/>
        </w:rPr>
        <w:t>).</w:t>
      </w:r>
    </w:p>
    <w:p w14:paraId="288DAB61" w14:textId="77777777" w:rsidR="00637CA3" w:rsidRPr="001867BF" w:rsidRDefault="00637CA3" w:rsidP="00F144BB">
      <w:pPr>
        <w:spacing w:after="0" w:line="360" w:lineRule="auto"/>
        <w:jc w:val="both"/>
        <w:rPr>
          <w:rFonts w:ascii="Times New Roman" w:hAnsi="Times New Roman" w:cs="Times New Roman"/>
          <w:b/>
        </w:rPr>
      </w:pPr>
      <w:r w:rsidRPr="001867BF">
        <w:rPr>
          <w:rFonts w:ascii="Times New Roman" w:eastAsia="Times New Roman" w:hAnsi="Times New Roman" w:cs="Times New Roman"/>
          <w:b/>
        </w:rPr>
        <w:t xml:space="preserve">UEDI </w:t>
      </w:r>
      <w:r w:rsidR="00DF2763" w:rsidRPr="001867BF">
        <w:rPr>
          <w:rFonts w:ascii="Times New Roman" w:eastAsia="Times New Roman" w:hAnsi="Times New Roman" w:cs="Times New Roman"/>
          <w:b/>
        </w:rPr>
        <w:t>= (</w:t>
      </w:r>
      <w:r w:rsidRPr="001867BF">
        <w:rPr>
          <w:rFonts w:ascii="Times New Roman" w:eastAsia="Times New Roman" w:hAnsi="Times New Roman" w:cs="Times New Roman"/>
          <w:b/>
        </w:rPr>
        <w:t>((</w:t>
      </w:r>
      <w:proofErr w:type="spellStart"/>
      <w:proofErr w:type="gramStart"/>
      <w:r w:rsidRPr="001867BF">
        <w:rPr>
          <w:rFonts w:ascii="Times New Roman" w:hAnsi="Times New Roman" w:cs="Times New Roman"/>
          <w:b/>
        </w:rPr>
        <w:t>ULA</w:t>
      </w:r>
      <w:r w:rsidRPr="001867BF">
        <w:rPr>
          <w:rFonts w:ascii="Times New Roman" w:hAnsi="Times New Roman" w:cs="Times New Roman"/>
          <w:b/>
          <w:vertAlign w:val="subscript"/>
        </w:rPr>
        <w:t>i,t</w:t>
      </w:r>
      <w:proofErr w:type="gramEnd"/>
      <w:r w:rsidRPr="001867BF">
        <w:rPr>
          <w:rFonts w:ascii="Times New Roman" w:hAnsi="Times New Roman" w:cs="Times New Roman"/>
          <w:b/>
          <w:vertAlign w:val="subscript"/>
        </w:rPr>
        <w:t>+n</w:t>
      </w:r>
      <w:proofErr w:type="spellEnd"/>
      <w:r w:rsidRPr="001867BF">
        <w:rPr>
          <w:rFonts w:ascii="Times New Roman" w:hAnsi="Times New Roman" w:cs="Times New Roman"/>
          <w:b/>
          <w:vertAlign w:val="subscript"/>
        </w:rPr>
        <w:t xml:space="preserve"> </w:t>
      </w:r>
      <w:r w:rsidRPr="001867BF">
        <w:rPr>
          <w:rFonts w:ascii="Times New Roman" w:hAnsi="Times New Roman" w:cs="Times New Roman"/>
          <w:b/>
        </w:rPr>
        <w:t>-</w:t>
      </w:r>
      <w:proofErr w:type="spellStart"/>
      <w:r w:rsidRPr="001867BF">
        <w:rPr>
          <w:rFonts w:ascii="Times New Roman" w:hAnsi="Times New Roman" w:cs="Times New Roman"/>
          <w:b/>
        </w:rPr>
        <w:t>ULA</w:t>
      </w:r>
      <w:r w:rsidRPr="001867BF">
        <w:rPr>
          <w:rFonts w:ascii="Times New Roman" w:hAnsi="Times New Roman" w:cs="Times New Roman"/>
          <w:b/>
          <w:vertAlign w:val="subscript"/>
        </w:rPr>
        <w:t>i,t</w:t>
      </w:r>
      <w:proofErr w:type="spellEnd"/>
      <w:r w:rsidRPr="001867BF">
        <w:rPr>
          <w:rFonts w:ascii="Times New Roman" w:hAnsi="Times New Roman" w:cs="Times New Roman"/>
          <w:b/>
        </w:rPr>
        <w:t xml:space="preserve">)/ </w:t>
      </w:r>
      <w:proofErr w:type="spellStart"/>
      <w:r w:rsidRPr="001867BF">
        <w:rPr>
          <w:rFonts w:ascii="Times New Roman" w:hAnsi="Times New Roman" w:cs="Times New Roman"/>
          <w:b/>
        </w:rPr>
        <w:t>ULA</w:t>
      </w:r>
      <w:r w:rsidRPr="001867BF">
        <w:rPr>
          <w:rFonts w:ascii="Times New Roman" w:hAnsi="Times New Roman" w:cs="Times New Roman"/>
          <w:b/>
          <w:vertAlign w:val="subscript"/>
        </w:rPr>
        <w:t>i,t</w:t>
      </w:r>
      <w:proofErr w:type="spellEnd"/>
      <w:r w:rsidRPr="001867BF">
        <w:rPr>
          <w:rFonts w:ascii="Times New Roman" w:hAnsi="Times New Roman" w:cs="Times New Roman"/>
          <w:b/>
        </w:rPr>
        <w:t>) / (</w:t>
      </w:r>
      <w:r w:rsidRPr="001867BF">
        <w:rPr>
          <w:rFonts w:ascii="Times New Roman" w:eastAsia="Times New Roman" w:hAnsi="Times New Roman" w:cs="Times New Roman"/>
          <w:b/>
        </w:rPr>
        <w:t xml:space="preserve"> (</w:t>
      </w:r>
      <w:proofErr w:type="spellStart"/>
      <w:r w:rsidRPr="001867BF">
        <w:rPr>
          <w:rFonts w:ascii="Times New Roman" w:hAnsi="Times New Roman" w:cs="Times New Roman"/>
          <w:b/>
        </w:rPr>
        <w:t>ULA</w:t>
      </w:r>
      <w:r w:rsidRPr="001867BF">
        <w:rPr>
          <w:rFonts w:ascii="Times New Roman" w:hAnsi="Times New Roman" w:cs="Times New Roman"/>
          <w:b/>
          <w:vertAlign w:val="subscript"/>
        </w:rPr>
        <w:t>,t+n</w:t>
      </w:r>
      <w:proofErr w:type="spellEnd"/>
      <w:r w:rsidRPr="001867BF">
        <w:rPr>
          <w:rFonts w:ascii="Times New Roman" w:hAnsi="Times New Roman" w:cs="Times New Roman"/>
          <w:b/>
          <w:vertAlign w:val="subscript"/>
        </w:rPr>
        <w:t xml:space="preserve"> </w:t>
      </w:r>
      <w:r w:rsidRPr="001867BF">
        <w:rPr>
          <w:rFonts w:ascii="Times New Roman" w:hAnsi="Times New Roman" w:cs="Times New Roman"/>
          <w:b/>
        </w:rPr>
        <w:t>-</w:t>
      </w:r>
      <w:proofErr w:type="spellStart"/>
      <w:r w:rsidRPr="001867BF">
        <w:rPr>
          <w:rFonts w:ascii="Times New Roman" w:hAnsi="Times New Roman" w:cs="Times New Roman"/>
          <w:b/>
        </w:rPr>
        <w:t>ULA</w:t>
      </w:r>
      <w:r w:rsidRPr="001867BF">
        <w:rPr>
          <w:rFonts w:ascii="Times New Roman" w:hAnsi="Times New Roman" w:cs="Times New Roman"/>
          <w:b/>
          <w:vertAlign w:val="subscript"/>
        </w:rPr>
        <w:t>t</w:t>
      </w:r>
      <w:proofErr w:type="spellEnd"/>
      <w:r w:rsidRPr="001867BF">
        <w:rPr>
          <w:rFonts w:ascii="Times New Roman" w:hAnsi="Times New Roman" w:cs="Times New Roman"/>
          <w:b/>
        </w:rPr>
        <w:t xml:space="preserve">)/ </w:t>
      </w:r>
      <w:proofErr w:type="spellStart"/>
      <w:r w:rsidRPr="001867BF">
        <w:rPr>
          <w:rFonts w:ascii="Times New Roman" w:hAnsi="Times New Roman" w:cs="Times New Roman"/>
          <w:b/>
        </w:rPr>
        <w:t>ULA</w:t>
      </w:r>
      <w:r w:rsidRPr="001867BF">
        <w:rPr>
          <w:rFonts w:ascii="Times New Roman" w:hAnsi="Times New Roman" w:cs="Times New Roman"/>
          <w:b/>
          <w:vertAlign w:val="subscript"/>
        </w:rPr>
        <w:t>t</w:t>
      </w:r>
      <w:proofErr w:type="spellEnd"/>
      <w:r w:rsidRPr="001867BF">
        <w:rPr>
          <w:rFonts w:ascii="Times New Roman" w:hAnsi="Times New Roman" w:cs="Times New Roman"/>
          <w:b/>
        </w:rPr>
        <w:t>)))</w:t>
      </w:r>
    </w:p>
    <w:p w14:paraId="5DF4671A" w14:textId="77777777" w:rsidR="001F5CF2" w:rsidRPr="001867BF" w:rsidRDefault="001F5CF2" w:rsidP="001F5CF2">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bCs/>
        </w:rPr>
        <w:t>Landscape Expansion Index (LEI)</w:t>
      </w:r>
      <w:r w:rsidRPr="001867BF">
        <w:rPr>
          <w:rFonts w:ascii="Times New Roman" w:eastAsia="Times New Roman" w:hAnsi="Times New Roman" w:cs="Times New Roman"/>
          <w:b/>
          <w:bCs/>
        </w:rPr>
        <w:t xml:space="preserve"> </w:t>
      </w:r>
      <w:r w:rsidRPr="001867BF">
        <w:rPr>
          <w:rFonts w:ascii="Times New Roman" w:eastAsia="Times New Roman" w:hAnsi="Times New Roman" w:cs="Times New Roman"/>
        </w:rPr>
        <w:t>has been applied to quantify the three growth types – infilling, edge expansion and spontaneous growth. The LEI has been determined by shared boundary between newly grown patches and previous urban foot print using the following formula (Liu et. al., 2010):</w:t>
      </w:r>
    </w:p>
    <w:p w14:paraId="04243980" w14:textId="77777777" w:rsidR="001F5CF2" w:rsidRPr="001867BF" w:rsidRDefault="001F5CF2" w:rsidP="001F5CF2">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b/>
          <w:bCs/>
        </w:rPr>
        <w:t xml:space="preserve">                                                          LEI = LC/ p</w:t>
      </w:r>
    </w:p>
    <w:p w14:paraId="7CBE89EF" w14:textId="77777777" w:rsidR="00637CA3" w:rsidRPr="001867BF" w:rsidRDefault="007A2B10" w:rsidP="007A2B10">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Where</w:t>
      </w:r>
      <w:r w:rsidR="001F5CF2" w:rsidRPr="001867BF">
        <w:rPr>
          <w:rFonts w:ascii="Times New Roman" w:eastAsia="Times New Roman" w:hAnsi="Times New Roman" w:cs="Times New Roman"/>
        </w:rPr>
        <w:t xml:space="preserve">, LEI = Landscape Expansion </w:t>
      </w:r>
      <w:proofErr w:type="gramStart"/>
      <w:r w:rsidR="001F5CF2" w:rsidRPr="001867BF">
        <w:rPr>
          <w:rFonts w:ascii="Times New Roman" w:eastAsia="Times New Roman" w:hAnsi="Times New Roman" w:cs="Times New Roman"/>
        </w:rPr>
        <w:t xml:space="preserve">Index,  </w:t>
      </w:r>
      <w:proofErr w:type="spellStart"/>
      <w:r w:rsidR="001F5CF2" w:rsidRPr="001867BF">
        <w:rPr>
          <w:rFonts w:ascii="Times New Roman" w:eastAsia="Times New Roman" w:hAnsi="Times New Roman" w:cs="Times New Roman"/>
        </w:rPr>
        <w:t>Lc</w:t>
      </w:r>
      <w:proofErr w:type="spellEnd"/>
      <w:proofErr w:type="gramEnd"/>
      <w:r w:rsidR="001F5CF2" w:rsidRPr="001867BF">
        <w:rPr>
          <w:rFonts w:ascii="Times New Roman" w:eastAsia="Times New Roman" w:hAnsi="Times New Roman" w:cs="Times New Roman"/>
        </w:rPr>
        <w:t xml:space="preserve"> = length of common boundary and p = perimeter of the newly developed built-up area. The value of LEI in the above study ranges from 0 to 1 and the urban growth types identified as follows: LEI&gt; 0.5 represents infill growth, LEI&lt; 0.5 represent edge expansion and LEI equals to zero is termed as spontaneous growth</w:t>
      </w:r>
      <w:r w:rsidRPr="001867BF">
        <w:rPr>
          <w:rFonts w:ascii="Times New Roman" w:eastAsia="Times New Roman" w:hAnsi="Times New Roman" w:cs="Times New Roman"/>
        </w:rPr>
        <w:t>.</w:t>
      </w:r>
      <w:r w:rsidR="001F5CF2" w:rsidRPr="001867BF">
        <w:rPr>
          <w:rFonts w:ascii="Times New Roman" w:eastAsia="Times New Roman" w:hAnsi="Times New Roman" w:cs="Times New Roman"/>
        </w:rPr>
        <w:t xml:space="preserve"> </w:t>
      </w:r>
    </w:p>
    <w:p w14:paraId="34BE9CFF" w14:textId="77777777" w:rsidR="007A2B10" w:rsidRPr="001867BF" w:rsidRDefault="007A2B10" w:rsidP="007A2B10">
      <w:pPr>
        <w:spacing w:after="0" w:line="360" w:lineRule="auto"/>
        <w:jc w:val="both"/>
        <w:rPr>
          <w:rFonts w:ascii="Times New Roman" w:eastAsia="Times New Roman" w:hAnsi="Times New Roman" w:cs="Times New Roman"/>
        </w:rPr>
      </w:pPr>
    </w:p>
    <w:p w14:paraId="0F99B031" w14:textId="77777777" w:rsidR="00CA039D" w:rsidRPr="001867BF" w:rsidRDefault="00CA039D" w:rsidP="00F144BB">
      <w:pPr>
        <w:spacing w:line="360" w:lineRule="auto"/>
        <w:jc w:val="both"/>
        <w:rPr>
          <w:rFonts w:ascii="Times New Roman" w:hAnsi="Times New Roman" w:cs="Times New Roman"/>
          <w:b/>
        </w:rPr>
      </w:pPr>
      <w:r w:rsidRPr="001867BF">
        <w:rPr>
          <w:rFonts w:ascii="Times New Roman" w:hAnsi="Times New Roman" w:cs="Times New Roman"/>
          <w:b/>
        </w:rPr>
        <w:t>Results and discussions:</w:t>
      </w:r>
    </w:p>
    <w:p w14:paraId="1608FB34" w14:textId="77777777" w:rsidR="00CA039D" w:rsidRPr="001867BF" w:rsidRDefault="00CA039D" w:rsidP="00F144BB">
      <w:pPr>
        <w:spacing w:line="360" w:lineRule="auto"/>
        <w:jc w:val="both"/>
        <w:rPr>
          <w:rFonts w:ascii="Times New Roman" w:hAnsi="Times New Roman" w:cs="Times New Roman"/>
          <w:b/>
        </w:rPr>
      </w:pPr>
      <w:r w:rsidRPr="001867BF">
        <w:rPr>
          <w:rFonts w:ascii="Times New Roman" w:hAnsi="Times New Roman" w:cs="Times New Roman"/>
          <w:b/>
        </w:rPr>
        <w:t>Land use land cover change</w:t>
      </w:r>
    </w:p>
    <w:p w14:paraId="7199C497" w14:textId="77777777" w:rsidR="00CA039D" w:rsidRPr="001867BF" w:rsidRDefault="00CA039D"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The LULC analysis makes it clearly evident that the majority of the study area was covered by vegetation and agricultural land in the initial year (1990). Open areas and wetlands have been converted to urban building as a result of the extensive clearing of light vegetation and agricultural land within the study region throughout time. The plantation sector is still showing an increase trend, though. The conversion of agricultural land into a tea garden has resulted in an increase in the area covered by tea gardens, since the farmers benefit more from the crop.</w:t>
      </w:r>
      <w:r w:rsidRPr="001867BF">
        <w:rPr>
          <w:rFonts w:ascii="Times New Roman" w:hAnsi="Times New Roman" w:cs="Times New Roman"/>
        </w:rPr>
        <w:t xml:space="preserve"> </w:t>
      </w:r>
      <w:r w:rsidRPr="001867BF">
        <w:rPr>
          <w:rFonts w:ascii="Times New Roman" w:eastAsia="Times New Roman" w:hAnsi="Times New Roman" w:cs="Times New Roman"/>
        </w:rPr>
        <w:t>The primary causes are human activity-induced drying out and splintering of the river bank and illegal land encroachment by builders to construct hotels and resorts along the riverside.</w:t>
      </w:r>
    </w:p>
    <w:p w14:paraId="3317D8BB" w14:textId="30738C7B" w:rsidR="003217DD" w:rsidRPr="001867BF" w:rsidRDefault="003217DD"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2</w:t>
      </w:r>
      <w:r w:rsidRPr="001867BF">
        <w:rPr>
          <w:rFonts w:ascii="Times New Roman" w:eastAsia="Times New Roman" w:hAnsi="Times New Roman" w:cs="Times New Roman"/>
        </w:rPr>
        <w:t>: LULC of the study area (1990, 2000, 2010, 2020)</w:t>
      </w:r>
    </w:p>
    <w:tbl>
      <w:tblPr>
        <w:tblW w:w="5000" w:type="pct"/>
        <w:tblLook w:val="04A0" w:firstRow="1" w:lastRow="0" w:firstColumn="1" w:lastColumn="0" w:noHBand="0" w:noVBand="1"/>
      </w:tblPr>
      <w:tblGrid>
        <w:gridCol w:w="2226"/>
        <w:gridCol w:w="1837"/>
        <w:gridCol w:w="1837"/>
        <w:gridCol w:w="1837"/>
        <w:gridCol w:w="1839"/>
      </w:tblGrid>
      <w:tr w:rsidR="00477DB4" w:rsidRPr="001867BF" w14:paraId="651076D4" w14:textId="77777777" w:rsidTr="001867BF">
        <w:trPr>
          <w:trHeight w:val="288"/>
        </w:trPr>
        <w:tc>
          <w:tcPr>
            <w:tcW w:w="116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24BC9"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LULC classes</w:t>
            </w:r>
          </w:p>
        </w:tc>
        <w:tc>
          <w:tcPr>
            <w:tcW w:w="3838" w:type="pct"/>
            <w:gridSpan w:val="4"/>
            <w:tcBorders>
              <w:top w:val="single" w:sz="4" w:space="0" w:color="auto"/>
              <w:left w:val="nil"/>
              <w:bottom w:val="single" w:sz="4" w:space="0" w:color="auto"/>
              <w:right w:val="single" w:sz="4" w:space="0" w:color="auto"/>
            </w:tcBorders>
            <w:shd w:val="clear" w:color="auto" w:fill="auto"/>
            <w:noWrap/>
            <w:vAlign w:val="bottom"/>
            <w:hideMark/>
          </w:tcPr>
          <w:p w14:paraId="68822D4B"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Area in sq.km</w:t>
            </w:r>
          </w:p>
        </w:tc>
      </w:tr>
      <w:tr w:rsidR="00477DB4" w:rsidRPr="001867BF" w14:paraId="6E39684B" w14:textId="77777777" w:rsidTr="001867BF">
        <w:trPr>
          <w:trHeight w:val="288"/>
        </w:trPr>
        <w:tc>
          <w:tcPr>
            <w:tcW w:w="1163" w:type="pct"/>
            <w:vMerge/>
            <w:tcBorders>
              <w:top w:val="single" w:sz="4" w:space="0" w:color="auto"/>
              <w:left w:val="single" w:sz="4" w:space="0" w:color="auto"/>
              <w:bottom w:val="single" w:sz="4" w:space="0" w:color="auto"/>
              <w:right w:val="single" w:sz="4" w:space="0" w:color="auto"/>
            </w:tcBorders>
            <w:vAlign w:val="center"/>
            <w:hideMark/>
          </w:tcPr>
          <w:p w14:paraId="43AB8206" w14:textId="77777777" w:rsidR="00477DB4" w:rsidRPr="001867BF" w:rsidRDefault="00477DB4" w:rsidP="00F144BB">
            <w:pPr>
              <w:spacing w:after="0" w:line="360" w:lineRule="auto"/>
              <w:jc w:val="both"/>
              <w:rPr>
                <w:rFonts w:ascii="Times New Roman" w:eastAsia="Times New Roman" w:hAnsi="Times New Roman" w:cs="Times New Roman"/>
                <w:color w:val="000000"/>
              </w:rPr>
            </w:pPr>
          </w:p>
        </w:tc>
        <w:tc>
          <w:tcPr>
            <w:tcW w:w="959" w:type="pct"/>
            <w:tcBorders>
              <w:top w:val="nil"/>
              <w:left w:val="nil"/>
              <w:bottom w:val="single" w:sz="4" w:space="0" w:color="auto"/>
              <w:right w:val="single" w:sz="4" w:space="0" w:color="auto"/>
            </w:tcBorders>
            <w:shd w:val="clear" w:color="auto" w:fill="auto"/>
            <w:noWrap/>
            <w:vAlign w:val="bottom"/>
            <w:hideMark/>
          </w:tcPr>
          <w:p w14:paraId="25A8064F"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w:t>
            </w:r>
          </w:p>
        </w:tc>
        <w:tc>
          <w:tcPr>
            <w:tcW w:w="959" w:type="pct"/>
            <w:tcBorders>
              <w:top w:val="nil"/>
              <w:left w:val="nil"/>
              <w:bottom w:val="single" w:sz="4" w:space="0" w:color="auto"/>
              <w:right w:val="single" w:sz="4" w:space="0" w:color="auto"/>
            </w:tcBorders>
            <w:shd w:val="clear" w:color="auto" w:fill="auto"/>
            <w:noWrap/>
            <w:vAlign w:val="bottom"/>
            <w:hideMark/>
          </w:tcPr>
          <w:p w14:paraId="3A06CE48"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w:t>
            </w:r>
          </w:p>
        </w:tc>
        <w:tc>
          <w:tcPr>
            <w:tcW w:w="959" w:type="pct"/>
            <w:tcBorders>
              <w:top w:val="nil"/>
              <w:left w:val="nil"/>
              <w:bottom w:val="single" w:sz="4" w:space="0" w:color="auto"/>
              <w:right w:val="single" w:sz="4" w:space="0" w:color="auto"/>
            </w:tcBorders>
            <w:shd w:val="clear" w:color="auto" w:fill="auto"/>
            <w:noWrap/>
            <w:vAlign w:val="bottom"/>
            <w:hideMark/>
          </w:tcPr>
          <w:p w14:paraId="322461DF"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w:t>
            </w:r>
          </w:p>
        </w:tc>
        <w:tc>
          <w:tcPr>
            <w:tcW w:w="959" w:type="pct"/>
            <w:tcBorders>
              <w:top w:val="nil"/>
              <w:left w:val="nil"/>
              <w:bottom w:val="single" w:sz="4" w:space="0" w:color="auto"/>
              <w:right w:val="single" w:sz="4" w:space="0" w:color="auto"/>
            </w:tcBorders>
            <w:shd w:val="clear" w:color="auto" w:fill="auto"/>
            <w:noWrap/>
            <w:vAlign w:val="bottom"/>
            <w:hideMark/>
          </w:tcPr>
          <w:p w14:paraId="38CB66F4"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2020</w:t>
            </w:r>
          </w:p>
        </w:tc>
      </w:tr>
      <w:tr w:rsidR="00477DB4" w:rsidRPr="001867BF" w14:paraId="70FA49A1" w14:textId="77777777"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2B62F44B"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Build up</w:t>
            </w:r>
          </w:p>
        </w:tc>
        <w:tc>
          <w:tcPr>
            <w:tcW w:w="959" w:type="pct"/>
            <w:tcBorders>
              <w:top w:val="nil"/>
              <w:left w:val="nil"/>
              <w:bottom w:val="single" w:sz="4" w:space="0" w:color="auto"/>
              <w:right w:val="single" w:sz="4" w:space="0" w:color="auto"/>
            </w:tcBorders>
            <w:shd w:val="clear" w:color="auto" w:fill="auto"/>
            <w:noWrap/>
            <w:vAlign w:val="bottom"/>
            <w:hideMark/>
          </w:tcPr>
          <w:p w14:paraId="0E429C38"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40.32</w:t>
            </w:r>
          </w:p>
        </w:tc>
        <w:tc>
          <w:tcPr>
            <w:tcW w:w="959" w:type="pct"/>
            <w:tcBorders>
              <w:top w:val="nil"/>
              <w:left w:val="nil"/>
              <w:bottom w:val="single" w:sz="4" w:space="0" w:color="auto"/>
              <w:right w:val="single" w:sz="4" w:space="0" w:color="auto"/>
            </w:tcBorders>
            <w:shd w:val="clear" w:color="auto" w:fill="auto"/>
            <w:noWrap/>
            <w:vAlign w:val="bottom"/>
            <w:hideMark/>
          </w:tcPr>
          <w:p w14:paraId="2C6FC1F3"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58.07</w:t>
            </w:r>
          </w:p>
        </w:tc>
        <w:tc>
          <w:tcPr>
            <w:tcW w:w="959" w:type="pct"/>
            <w:tcBorders>
              <w:top w:val="nil"/>
              <w:left w:val="nil"/>
              <w:bottom w:val="single" w:sz="4" w:space="0" w:color="auto"/>
              <w:right w:val="single" w:sz="4" w:space="0" w:color="auto"/>
            </w:tcBorders>
            <w:shd w:val="clear" w:color="auto" w:fill="auto"/>
            <w:noWrap/>
            <w:vAlign w:val="bottom"/>
            <w:hideMark/>
          </w:tcPr>
          <w:p w14:paraId="56704431"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105.77</w:t>
            </w:r>
          </w:p>
        </w:tc>
        <w:tc>
          <w:tcPr>
            <w:tcW w:w="959" w:type="pct"/>
            <w:tcBorders>
              <w:top w:val="nil"/>
              <w:left w:val="nil"/>
              <w:bottom w:val="single" w:sz="4" w:space="0" w:color="auto"/>
              <w:right w:val="single" w:sz="4" w:space="0" w:color="auto"/>
            </w:tcBorders>
            <w:shd w:val="clear" w:color="auto" w:fill="auto"/>
            <w:noWrap/>
            <w:vAlign w:val="bottom"/>
            <w:hideMark/>
          </w:tcPr>
          <w:p w14:paraId="2BF4FF7E"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130.72</w:t>
            </w:r>
          </w:p>
        </w:tc>
      </w:tr>
      <w:tr w:rsidR="00477DB4" w:rsidRPr="001867BF" w14:paraId="2FD32CDA" w14:textId="77777777"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4CE7A2EB"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Agricultural land</w:t>
            </w:r>
          </w:p>
        </w:tc>
        <w:tc>
          <w:tcPr>
            <w:tcW w:w="959" w:type="pct"/>
            <w:tcBorders>
              <w:top w:val="nil"/>
              <w:left w:val="nil"/>
              <w:bottom w:val="single" w:sz="4" w:space="0" w:color="auto"/>
              <w:right w:val="single" w:sz="4" w:space="0" w:color="auto"/>
            </w:tcBorders>
            <w:shd w:val="clear" w:color="auto" w:fill="auto"/>
            <w:noWrap/>
            <w:vAlign w:val="bottom"/>
            <w:hideMark/>
          </w:tcPr>
          <w:p w14:paraId="6D61EDE8"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425.00</w:t>
            </w:r>
          </w:p>
        </w:tc>
        <w:tc>
          <w:tcPr>
            <w:tcW w:w="959" w:type="pct"/>
            <w:tcBorders>
              <w:top w:val="nil"/>
              <w:left w:val="nil"/>
              <w:bottom w:val="single" w:sz="4" w:space="0" w:color="auto"/>
              <w:right w:val="single" w:sz="4" w:space="0" w:color="auto"/>
            </w:tcBorders>
            <w:shd w:val="clear" w:color="auto" w:fill="auto"/>
            <w:noWrap/>
            <w:vAlign w:val="bottom"/>
            <w:hideMark/>
          </w:tcPr>
          <w:p w14:paraId="60F0C3A2"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359.17</w:t>
            </w:r>
          </w:p>
        </w:tc>
        <w:tc>
          <w:tcPr>
            <w:tcW w:w="959" w:type="pct"/>
            <w:tcBorders>
              <w:top w:val="nil"/>
              <w:left w:val="nil"/>
              <w:bottom w:val="single" w:sz="4" w:space="0" w:color="auto"/>
              <w:right w:val="single" w:sz="4" w:space="0" w:color="auto"/>
            </w:tcBorders>
            <w:shd w:val="clear" w:color="auto" w:fill="auto"/>
            <w:noWrap/>
            <w:vAlign w:val="bottom"/>
            <w:hideMark/>
          </w:tcPr>
          <w:p w14:paraId="0F8DFC7D"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300.25</w:t>
            </w:r>
          </w:p>
        </w:tc>
        <w:tc>
          <w:tcPr>
            <w:tcW w:w="959" w:type="pct"/>
            <w:tcBorders>
              <w:top w:val="nil"/>
              <w:left w:val="nil"/>
              <w:bottom w:val="single" w:sz="4" w:space="0" w:color="auto"/>
              <w:right w:val="single" w:sz="4" w:space="0" w:color="auto"/>
            </w:tcBorders>
            <w:shd w:val="clear" w:color="auto" w:fill="auto"/>
            <w:noWrap/>
            <w:vAlign w:val="bottom"/>
            <w:hideMark/>
          </w:tcPr>
          <w:p w14:paraId="551C0AB2"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288.86</w:t>
            </w:r>
          </w:p>
        </w:tc>
      </w:tr>
      <w:tr w:rsidR="00477DB4" w:rsidRPr="001867BF" w14:paraId="23CB2204" w14:textId="77777777"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536C6709"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lastRenderedPageBreak/>
              <w:t>Plantation</w:t>
            </w:r>
          </w:p>
        </w:tc>
        <w:tc>
          <w:tcPr>
            <w:tcW w:w="959" w:type="pct"/>
            <w:tcBorders>
              <w:top w:val="nil"/>
              <w:left w:val="nil"/>
              <w:bottom w:val="single" w:sz="4" w:space="0" w:color="auto"/>
              <w:right w:val="single" w:sz="4" w:space="0" w:color="auto"/>
            </w:tcBorders>
            <w:shd w:val="clear" w:color="auto" w:fill="auto"/>
            <w:noWrap/>
            <w:vAlign w:val="bottom"/>
            <w:hideMark/>
          </w:tcPr>
          <w:p w14:paraId="00B994D2"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108.41</w:t>
            </w:r>
          </w:p>
        </w:tc>
        <w:tc>
          <w:tcPr>
            <w:tcW w:w="959" w:type="pct"/>
            <w:tcBorders>
              <w:top w:val="nil"/>
              <w:left w:val="nil"/>
              <w:bottom w:val="single" w:sz="4" w:space="0" w:color="auto"/>
              <w:right w:val="single" w:sz="4" w:space="0" w:color="auto"/>
            </w:tcBorders>
            <w:shd w:val="clear" w:color="auto" w:fill="auto"/>
            <w:noWrap/>
            <w:vAlign w:val="bottom"/>
            <w:hideMark/>
          </w:tcPr>
          <w:p w14:paraId="6A8EF9E1"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205.72</w:t>
            </w:r>
          </w:p>
        </w:tc>
        <w:tc>
          <w:tcPr>
            <w:tcW w:w="959" w:type="pct"/>
            <w:tcBorders>
              <w:top w:val="nil"/>
              <w:left w:val="nil"/>
              <w:bottom w:val="single" w:sz="4" w:space="0" w:color="auto"/>
              <w:right w:val="single" w:sz="4" w:space="0" w:color="auto"/>
            </w:tcBorders>
            <w:shd w:val="clear" w:color="auto" w:fill="auto"/>
            <w:noWrap/>
            <w:vAlign w:val="bottom"/>
            <w:hideMark/>
          </w:tcPr>
          <w:p w14:paraId="0A15126C"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224.41</w:t>
            </w:r>
          </w:p>
        </w:tc>
        <w:tc>
          <w:tcPr>
            <w:tcW w:w="959" w:type="pct"/>
            <w:tcBorders>
              <w:top w:val="nil"/>
              <w:left w:val="nil"/>
              <w:bottom w:val="single" w:sz="4" w:space="0" w:color="auto"/>
              <w:right w:val="single" w:sz="4" w:space="0" w:color="auto"/>
            </w:tcBorders>
            <w:shd w:val="clear" w:color="auto" w:fill="auto"/>
            <w:noWrap/>
            <w:vAlign w:val="bottom"/>
            <w:hideMark/>
          </w:tcPr>
          <w:p w14:paraId="65706477"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256.94</w:t>
            </w:r>
          </w:p>
        </w:tc>
      </w:tr>
      <w:tr w:rsidR="00477DB4" w:rsidRPr="001867BF" w14:paraId="1DF8F4CC" w14:textId="77777777"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42E4C5CD"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Vegetation</w:t>
            </w:r>
          </w:p>
        </w:tc>
        <w:tc>
          <w:tcPr>
            <w:tcW w:w="959" w:type="pct"/>
            <w:tcBorders>
              <w:top w:val="nil"/>
              <w:left w:val="nil"/>
              <w:bottom w:val="single" w:sz="4" w:space="0" w:color="auto"/>
              <w:right w:val="single" w:sz="4" w:space="0" w:color="auto"/>
            </w:tcBorders>
            <w:shd w:val="clear" w:color="auto" w:fill="auto"/>
            <w:noWrap/>
            <w:vAlign w:val="bottom"/>
            <w:hideMark/>
          </w:tcPr>
          <w:p w14:paraId="5D8514D9"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284.37</w:t>
            </w:r>
          </w:p>
        </w:tc>
        <w:tc>
          <w:tcPr>
            <w:tcW w:w="959" w:type="pct"/>
            <w:tcBorders>
              <w:top w:val="nil"/>
              <w:left w:val="nil"/>
              <w:bottom w:val="single" w:sz="4" w:space="0" w:color="auto"/>
              <w:right w:val="single" w:sz="4" w:space="0" w:color="auto"/>
            </w:tcBorders>
            <w:shd w:val="clear" w:color="auto" w:fill="auto"/>
            <w:noWrap/>
            <w:vAlign w:val="bottom"/>
            <w:hideMark/>
          </w:tcPr>
          <w:p w14:paraId="557DBEB1"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253.74</w:t>
            </w:r>
          </w:p>
        </w:tc>
        <w:tc>
          <w:tcPr>
            <w:tcW w:w="959" w:type="pct"/>
            <w:tcBorders>
              <w:top w:val="nil"/>
              <w:left w:val="nil"/>
              <w:bottom w:val="single" w:sz="4" w:space="0" w:color="auto"/>
              <w:right w:val="single" w:sz="4" w:space="0" w:color="auto"/>
            </w:tcBorders>
            <w:shd w:val="clear" w:color="auto" w:fill="auto"/>
            <w:noWrap/>
            <w:vAlign w:val="bottom"/>
            <w:hideMark/>
          </w:tcPr>
          <w:p w14:paraId="540981CA"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240.90</w:t>
            </w:r>
          </w:p>
        </w:tc>
        <w:tc>
          <w:tcPr>
            <w:tcW w:w="959" w:type="pct"/>
            <w:tcBorders>
              <w:top w:val="nil"/>
              <w:left w:val="nil"/>
              <w:bottom w:val="single" w:sz="4" w:space="0" w:color="auto"/>
              <w:right w:val="single" w:sz="4" w:space="0" w:color="auto"/>
            </w:tcBorders>
            <w:shd w:val="clear" w:color="auto" w:fill="auto"/>
            <w:noWrap/>
            <w:vAlign w:val="bottom"/>
            <w:hideMark/>
          </w:tcPr>
          <w:p w14:paraId="0BC4F508"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230.89</w:t>
            </w:r>
          </w:p>
        </w:tc>
      </w:tr>
      <w:tr w:rsidR="00477DB4" w:rsidRPr="001867BF" w14:paraId="32935C35" w14:textId="77777777"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72D3F51F"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Water body</w:t>
            </w:r>
          </w:p>
        </w:tc>
        <w:tc>
          <w:tcPr>
            <w:tcW w:w="959" w:type="pct"/>
            <w:tcBorders>
              <w:top w:val="nil"/>
              <w:left w:val="nil"/>
              <w:bottom w:val="single" w:sz="4" w:space="0" w:color="auto"/>
              <w:right w:val="single" w:sz="4" w:space="0" w:color="auto"/>
            </w:tcBorders>
            <w:shd w:val="clear" w:color="auto" w:fill="auto"/>
            <w:noWrap/>
            <w:vAlign w:val="bottom"/>
            <w:hideMark/>
          </w:tcPr>
          <w:p w14:paraId="486F9D3F"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15.83</w:t>
            </w:r>
          </w:p>
        </w:tc>
        <w:tc>
          <w:tcPr>
            <w:tcW w:w="959" w:type="pct"/>
            <w:tcBorders>
              <w:top w:val="nil"/>
              <w:left w:val="nil"/>
              <w:bottom w:val="single" w:sz="4" w:space="0" w:color="auto"/>
              <w:right w:val="single" w:sz="4" w:space="0" w:color="auto"/>
            </w:tcBorders>
            <w:shd w:val="clear" w:color="auto" w:fill="auto"/>
            <w:noWrap/>
            <w:vAlign w:val="bottom"/>
            <w:hideMark/>
          </w:tcPr>
          <w:p w14:paraId="7CF064CE"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20.88</w:t>
            </w:r>
          </w:p>
        </w:tc>
        <w:tc>
          <w:tcPr>
            <w:tcW w:w="959" w:type="pct"/>
            <w:tcBorders>
              <w:top w:val="nil"/>
              <w:left w:val="nil"/>
              <w:bottom w:val="single" w:sz="4" w:space="0" w:color="auto"/>
              <w:right w:val="single" w:sz="4" w:space="0" w:color="auto"/>
            </w:tcBorders>
            <w:shd w:val="clear" w:color="auto" w:fill="auto"/>
            <w:noWrap/>
            <w:vAlign w:val="bottom"/>
            <w:hideMark/>
          </w:tcPr>
          <w:p w14:paraId="2D583AC2"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17.59</w:t>
            </w:r>
          </w:p>
        </w:tc>
        <w:tc>
          <w:tcPr>
            <w:tcW w:w="959" w:type="pct"/>
            <w:tcBorders>
              <w:top w:val="nil"/>
              <w:left w:val="nil"/>
              <w:bottom w:val="single" w:sz="4" w:space="0" w:color="auto"/>
              <w:right w:val="single" w:sz="4" w:space="0" w:color="auto"/>
            </w:tcBorders>
            <w:shd w:val="clear" w:color="auto" w:fill="auto"/>
            <w:noWrap/>
            <w:vAlign w:val="bottom"/>
            <w:hideMark/>
          </w:tcPr>
          <w:p w14:paraId="2CD2EB23"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8.61</w:t>
            </w:r>
          </w:p>
        </w:tc>
      </w:tr>
      <w:tr w:rsidR="00477DB4" w:rsidRPr="001867BF" w14:paraId="358D1CBD" w14:textId="77777777"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5A452376"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others</w:t>
            </w:r>
          </w:p>
        </w:tc>
        <w:tc>
          <w:tcPr>
            <w:tcW w:w="959" w:type="pct"/>
            <w:tcBorders>
              <w:top w:val="nil"/>
              <w:left w:val="nil"/>
              <w:bottom w:val="single" w:sz="4" w:space="0" w:color="auto"/>
              <w:right w:val="single" w:sz="4" w:space="0" w:color="auto"/>
            </w:tcBorders>
            <w:shd w:val="clear" w:color="auto" w:fill="auto"/>
            <w:noWrap/>
            <w:vAlign w:val="bottom"/>
            <w:hideMark/>
          </w:tcPr>
          <w:p w14:paraId="296E4747"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95.83</w:t>
            </w:r>
          </w:p>
        </w:tc>
        <w:tc>
          <w:tcPr>
            <w:tcW w:w="959" w:type="pct"/>
            <w:tcBorders>
              <w:top w:val="nil"/>
              <w:left w:val="nil"/>
              <w:bottom w:val="single" w:sz="4" w:space="0" w:color="auto"/>
              <w:right w:val="single" w:sz="4" w:space="0" w:color="auto"/>
            </w:tcBorders>
            <w:shd w:val="clear" w:color="auto" w:fill="auto"/>
            <w:noWrap/>
            <w:vAlign w:val="bottom"/>
            <w:hideMark/>
          </w:tcPr>
          <w:p w14:paraId="06B1275E"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72.18</w:t>
            </w:r>
          </w:p>
        </w:tc>
        <w:tc>
          <w:tcPr>
            <w:tcW w:w="959" w:type="pct"/>
            <w:tcBorders>
              <w:top w:val="nil"/>
              <w:left w:val="nil"/>
              <w:bottom w:val="single" w:sz="4" w:space="0" w:color="auto"/>
              <w:right w:val="single" w:sz="4" w:space="0" w:color="auto"/>
            </w:tcBorders>
            <w:shd w:val="clear" w:color="auto" w:fill="auto"/>
            <w:noWrap/>
            <w:vAlign w:val="bottom"/>
            <w:hideMark/>
          </w:tcPr>
          <w:p w14:paraId="553FF9F1"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80.85</w:t>
            </w:r>
          </w:p>
        </w:tc>
        <w:tc>
          <w:tcPr>
            <w:tcW w:w="959" w:type="pct"/>
            <w:tcBorders>
              <w:top w:val="nil"/>
              <w:left w:val="nil"/>
              <w:bottom w:val="single" w:sz="4" w:space="0" w:color="auto"/>
              <w:right w:val="single" w:sz="4" w:space="0" w:color="auto"/>
            </w:tcBorders>
            <w:shd w:val="clear" w:color="auto" w:fill="auto"/>
            <w:noWrap/>
            <w:vAlign w:val="bottom"/>
            <w:hideMark/>
          </w:tcPr>
          <w:p w14:paraId="1264869E"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53.75</w:t>
            </w:r>
          </w:p>
        </w:tc>
      </w:tr>
      <w:tr w:rsidR="00477DB4" w:rsidRPr="001867BF" w14:paraId="4E4566FA" w14:textId="77777777"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14:paraId="01944120" w14:textId="77777777"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Total</w:t>
            </w:r>
          </w:p>
        </w:tc>
        <w:tc>
          <w:tcPr>
            <w:tcW w:w="959" w:type="pct"/>
            <w:tcBorders>
              <w:top w:val="nil"/>
              <w:left w:val="nil"/>
              <w:bottom w:val="single" w:sz="4" w:space="0" w:color="auto"/>
              <w:right w:val="single" w:sz="4" w:space="0" w:color="auto"/>
            </w:tcBorders>
            <w:shd w:val="clear" w:color="auto" w:fill="auto"/>
            <w:noWrap/>
            <w:vAlign w:val="bottom"/>
            <w:hideMark/>
          </w:tcPr>
          <w:p w14:paraId="2F932086"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969.77</w:t>
            </w:r>
          </w:p>
        </w:tc>
        <w:tc>
          <w:tcPr>
            <w:tcW w:w="959" w:type="pct"/>
            <w:tcBorders>
              <w:top w:val="nil"/>
              <w:left w:val="nil"/>
              <w:bottom w:val="single" w:sz="4" w:space="0" w:color="auto"/>
              <w:right w:val="single" w:sz="4" w:space="0" w:color="auto"/>
            </w:tcBorders>
            <w:shd w:val="clear" w:color="auto" w:fill="auto"/>
            <w:noWrap/>
            <w:vAlign w:val="bottom"/>
            <w:hideMark/>
          </w:tcPr>
          <w:p w14:paraId="3A537B7D"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969.77</w:t>
            </w:r>
          </w:p>
        </w:tc>
        <w:tc>
          <w:tcPr>
            <w:tcW w:w="959" w:type="pct"/>
            <w:tcBorders>
              <w:top w:val="nil"/>
              <w:left w:val="nil"/>
              <w:bottom w:val="single" w:sz="4" w:space="0" w:color="auto"/>
              <w:right w:val="single" w:sz="4" w:space="0" w:color="auto"/>
            </w:tcBorders>
            <w:shd w:val="clear" w:color="auto" w:fill="auto"/>
            <w:noWrap/>
            <w:vAlign w:val="bottom"/>
            <w:hideMark/>
          </w:tcPr>
          <w:p w14:paraId="2FB54257"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969.77</w:t>
            </w:r>
          </w:p>
        </w:tc>
        <w:tc>
          <w:tcPr>
            <w:tcW w:w="959" w:type="pct"/>
            <w:tcBorders>
              <w:top w:val="nil"/>
              <w:left w:val="nil"/>
              <w:bottom w:val="single" w:sz="4" w:space="0" w:color="auto"/>
              <w:right w:val="single" w:sz="4" w:space="0" w:color="auto"/>
            </w:tcBorders>
            <w:shd w:val="clear" w:color="auto" w:fill="auto"/>
            <w:noWrap/>
            <w:vAlign w:val="bottom"/>
            <w:hideMark/>
          </w:tcPr>
          <w:p w14:paraId="57BED02E"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969.77</w:t>
            </w:r>
          </w:p>
        </w:tc>
      </w:tr>
      <w:tr w:rsidR="00477DB4" w:rsidRPr="001867BF" w14:paraId="3F1B2AF0" w14:textId="77777777" w:rsidTr="001867BF">
        <w:trPr>
          <w:trHeight w:val="288"/>
        </w:trPr>
        <w:tc>
          <w:tcPr>
            <w:tcW w:w="5000" w:type="pct"/>
            <w:gridSpan w:val="5"/>
            <w:tcBorders>
              <w:top w:val="single" w:sz="4" w:space="0" w:color="auto"/>
              <w:left w:val="nil"/>
              <w:bottom w:val="nil"/>
              <w:right w:val="nil"/>
            </w:tcBorders>
            <w:shd w:val="clear" w:color="auto" w:fill="auto"/>
            <w:noWrap/>
            <w:vAlign w:val="bottom"/>
            <w:hideMark/>
          </w:tcPr>
          <w:p w14:paraId="578C5EBC" w14:textId="77777777"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Source: Calculated by the author from LULC maps</w:t>
            </w:r>
          </w:p>
        </w:tc>
      </w:tr>
    </w:tbl>
    <w:p w14:paraId="104B0E76" w14:textId="77777777" w:rsidR="00477DB4" w:rsidRPr="001867BF" w:rsidRDefault="00477DB4" w:rsidP="00F144BB">
      <w:pPr>
        <w:spacing w:line="360" w:lineRule="auto"/>
        <w:jc w:val="both"/>
        <w:rPr>
          <w:rFonts w:ascii="Times New Roman" w:eastAsia="Times New Roman" w:hAnsi="Times New Roman" w:cs="Times New Roman"/>
        </w:rPr>
      </w:pPr>
    </w:p>
    <w:p w14:paraId="2A766D1B" w14:textId="639E530C" w:rsidR="00477DB4" w:rsidRPr="001867BF" w:rsidRDefault="007E5E4A" w:rsidP="00F144BB">
      <w:pPr>
        <w:spacing w:line="360" w:lineRule="auto"/>
        <w:jc w:val="both"/>
        <w:rPr>
          <w:rFonts w:ascii="Times New Roman" w:eastAsia="Times New Roman" w:hAnsi="Times New Roman" w:cs="Times New Roman"/>
        </w:rPr>
      </w:pPr>
      <w:r>
        <w:rPr>
          <w:noProof/>
        </w:rPr>
        <w:drawing>
          <wp:inline distT="0" distB="0" distL="0" distR="0" wp14:anchorId="4BE4DC7C" wp14:editId="25EB54D2">
            <wp:extent cx="5200650" cy="2324100"/>
            <wp:effectExtent l="0" t="0" r="0" b="0"/>
            <wp:docPr id="143281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11858" name=""/>
                    <pic:cNvPicPr/>
                  </pic:nvPicPr>
                  <pic:blipFill>
                    <a:blip r:embed="rId9"/>
                    <a:stretch>
                      <a:fillRect/>
                    </a:stretch>
                  </pic:blipFill>
                  <pic:spPr>
                    <a:xfrm>
                      <a:off x="0" y="0"/>
                      <a:ext cx="5200650" cy="2324100"/>
                    </a:xfrm>
                    <a:prstGeom prst="rect">
                      <a:avLst/>
                    </a:prstGeom>
                  </pic:spPr>
                </pic:pic>
              </a:graphicData>
            </a:graphic>
          </wp:inline>
        </w:drawing>
      </w:r>
    </w:p>
    <w:p w14:paraId="1C446D0B" w14:textId="23F4278D" w:rsidR="00477DB4" w:rsidRPr="001867BF" w:rsidRDefault="006B7CCC"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Fig</w:t>
      </w:r>
      <w:r w:rsidR="00CD3C84">
        <w:rPr>
          <w:rFonts w:ascii="Times New Roman" w:eastAsia="Times New Roman" w:hAnsi="Times New Roman" w:cs="Times New Roman"/>
        </w:rPr>
        <w:t xml:space="preserve"> 2</w:t>
      </w:r>
      <w:r w:rsidRPr="001867BF">
        <w:rPr>
          <w:rFonts w:ascii="Times New Roman" w:eastAsia="Times New Roman" w:hAnsi="Times New Roman" w:cs="Times New Roman"/>
        </w:rPr>
        <w:t>: Land use Land cover of the study area in different time period</w:t>
      </w:r>
    </w:p>
    <w:p w14:paraId="0817F65F" w14:textId="77777777" w:rsidR="0096635E" w:rsidRDefault="00CA039D"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From 1990 to 2020, the metropolitan region developed significantly, particularly along the transportation corridor on the western and southern eastern sides, at the expense of vegetation cover and cultivated land. In 2020, the built-up area intensified profoundly, absorbing a larger proportion of agriculture, dense vegetation, and water body land uses in both the urban core and periphery. The degree of urban growth is restricted by the natural barrier produced by the </w:t>
      </w:r>
      <w:proofErr w:type="spellStart"/>
      <w:r w:rsidRPr="001867BF">
        <w:rPr>
          <w:rFonts w:ascii="Times New Roman" w:eastAsia="Times New Roman" w:hAnsi="Times New Roman" w:cs="Times New Roman"/>
        </w:rPr>
        <w:t>Baikunthapur</w:t>
      </w:r>
      <w:proofErr w:type="spellEnd"/>
      <w:r w:rsidRPr="001867BF">
        <w:rPr>
          <w:rFonts w:ascii="Times New Roman" w:eastAsia="Times New Roman" w:hAnsi="Times New Roman" w:cs="Times New Roman"/>
        </w:rPr>
        <w:t xml:space="preserve"> forest on the eastern side. Since 2001, the study area's natural landscape has undergone significant alteration due to the rapid growth of the built areas. Consequently, this LULC has suffered in the peri-urban area of this metropolis. A new set of commercial and industrial hubs was constructed in the suburbs as the city's trade and commerce activities increased in activity, attracting additional migrants. Consequently, between 2000 and 2010, the built-up area increased significantly. The Siliguri metropolitan agglomeration has experienced tremendous built-up growth due to a number of factors, including increased population, new layouts created by the public and private sectors, real estate expansion, the development of the IT sector and related infrastructure, the growth of industrial regions, etc. The primary kind of city expansion from 1990 to 2020 is edge </w:t>
      </w:r>
      <w:r w:rsidRPr="001867BF">
        <w:rPr>
          <w:rFonts w:ascii="Times New Roman" w:eastAsia="Times New Roman" w:hAnsi="Times New Roman" w:cs="Times New Roman"/>
        </w:rPr>
        <w:lastRenderedPageBreak/>
        <w:t>expansion, during which the outermost areas that are far from the metropolis undergo some leap frog development.</w:t>
      </w:r>
    </w:p>
    <w:p w14:paraId="237DB2CC" w14:textId="77777777" w:rsidR="007E5E4A" w:rsidRDefault="007E5E4A" w:rsidP="00F144BB">
      <w:pPr>
        <w:spacing w:line="360" w:lineRule="auto"/>
        <w:jc w:val="both"/>
        <w:rPr>
          <w:rFonts w:ascii="Times New Roman" w:eastAsia="Times New Roman" w:hAnsi="Times New Roman" w:cs="Times New Roman"/>
        </w:rPr>
      </w:pPr>
    </w:p>
    <w:p w14:paraId="21FA5456" w14:textId="1CF5D167" w:rsidR="007E5E4A" w:rsidRPr="001867BF" w:rsidRDefault="007E5E4A" w:rsidP="00F144BB">
      <w:pPr>
        <w:spacing w:line="360" w:lineRule="auto"/>
        <w:jc w:val="both"/>
        <w:rPr>
          <w:rFonts w:ascii="Times New Roman" w:eastAsia="Times New Roman" w:hAnsi="Times New Roman" w:cs="Times New Roman"/>
        </w:rPr>
      </w:pPr>
      <w:r>
        <w:rPr>
          <w:noProof/>
        </w:rPr>
        <w:drawing>
          <wp:inline distT="0" distB="0" distL="0" distR="0" wp14:anchorId="1D6F0B1A" wp14:editId="20AD2F67">
            <wp:extent cx="5943600" cy="3231515"/>
            <wp:effectExtent l="0" t="0" r="0" b="0"/>
            <wp:docPr id="7656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7782" name=""/>
                    <pic:cNvPicPr/>
                  </pic:nvPicPr>
                  <pic:blipFill>
                    <a:blip r:embed="rId10"/>
                    <a:stretch>
                      <a:fillRect/>
                    </a:stretch>
                  </pic:blipFill>
                  <pic:spPr>
                    <a:xfrm>
                      <a:off x="0" y="0"/>
                      <a:ext cx="5943600" cy="3231515"/>
                    </a:xfrm>
                    <a:prstGeom prst="rect">
                      <a:avLst/>
                    </a:prstGeom>
                  </pic:spPr>
                </pic:pic>
              </a:graphicData>
            </a:graphic>
          </wp:inline>
        </w:drawing>
      </w:r>
    </w:p>
    <w:p w14:paraId="56E4ADC9" w14:textId="063E7510" w:rsidR="0096635E" w:rsidRPr="001867BF" w:rsidRDefault="007E5E4A" w:rsidP="00F144BB">
      <w:pPr>
        <w:spacing w:line="360" w:lineRule="auto"/>
        <w:jc w:val="both"/>
        <w:rPr>
          <w:rFonts w:ascii="Times New Roman" w:hAnsi="Times New Roman" w:cs="Times New Roman"/>
        </w:rPr>
      </w:pPr>
      <w:r>
        <w:rPr>
          <w:noProof/>
        </w:rPr>
        <w:drawing>
          <wp:inline distT="0" distB="0" distL="0" distR="0" wp14:anchorId="251DAAA0" wp14:editId="6C95C865">
            <wp:extent cx="5943600" cy="3267075"/>
            <wp:effectExtent l="0" t="0" r="0" b="0"/>
            <wp:docPr id="103113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37883" name=""/>
                    <pic:cNvPicPr/>
                  </pic:nvPicPr>
                  <pic:blipFill>
                    <a:blip r:embed="rId11"/>
                    <a:stretch>
                      <a:fillRect/>
                    </a:stretch>
                  </pic:blipFill>
                  <pic:spPr>
                    <a:xfrm>
                      <a:off x="0" y="0"/>
                      <a:ext cx="5943600" cy="3267075"/>
                    </a:xfrm>
                    <a:prstGeom prst="rect">
                      <a:avLst/>
                    </a:prstGeom>
                  </pic:spPr>
                </pic:pic>
              </a:graphicData>
            </a:graphic>
          </wp:inline>
        </w:drawing>
      </w:r>
    </w:p>
    <w:p w14:paraId="036C4346" w14:textId="1158BCD7" w:rsidR="0096635E" w:rsidRPr="007E5E4A" w:rsidRDefault="0096635E" w:rsidP="007E5E4A">
      <w:pPr>
        <w:spacing w:line="360" w:lineRule="auto"/>
        <w:jc w:val="center"/>
        <w:rPr>
          <w:rFonts w:ascii="Times New Roman" w:hAnsi="Times New Roman" w:cs="Times New Roman"/>
          <w:b/>
          <w:bCs/>
        </w:rPr>
      </w:pPr>
      <w:r w:rsidRPr="007E5E4A">
        <w:rPr>
          <w:rFonts w:ascii="Times New Roman" w:hAnsi="Times New Roman" w:cs="Times New Roman"/>
          <w:b/>
          <w:bCs/>
        </w:rPr>
        <w:t>Fig</w:t>
      </w:r>
      <w:r w:rsidR="00CD3C84" w:rsidRPr="007E5E4A">
        <w:rPr>
          <w:rFonts w:ascii="Times New Roman" w:hAnsi="Times New Roman" w:cs="Times New Roman"/>
          <w:b/>
          <w:bCs/>
        </w:rPr>
        <w:t xml:space="preserve"> 3</w:t>
      </w:r>
      <w:r w:rsidRPr="007E5E4A">
        <w:rPr>
          <w:rFonts w:ascii="Times New Roman" w:hAnsi="Times New Roman" w:cs="Times New Roman"/>
          <w:b/>
          <w:bCs/>
        </w:rPr>
        <w:t>: Land use and land cover map of the study area (1990, 2000, 2010, and 2020)</w:t>
      </w:r>
    </w:p>
    <w:p w14:paraId="6B5D814F" w14:textId="77777777" w:rsidR="00AA6E6D" w:rsidRPr="001867BF" w:rsidRDefault="001F0169" w:rsidP="00F144BB">
      <w:pPr>
        <w:spacing w:line="360" w:lineRule="auto"/>
        <w:jc w:val="both"/>
        <w:rPr>
          <w:rFonts w:ascii="Times New Roman" w:hAnsi="Times New Roman" w:cs="Times New Roman"/>
          <w:b/>
          <w:color w:val="000000" w:themeColor="text1"/>
        </w:rPr>
      </w:pPr>
      <w:r w:rsidRPr="001867BF">
        <w:rPr>
          <w:rFonts w:ascii="Times New Roman" w:hAnsi="Times New Roman" w:cs="Times New Roman"/>
          <w:b/>
          <w:color w:val="000000" w:themeColor="text1"/>
        </w:rPr>
        <w:lastRenderedPageBreak/>
        <w:t>Annual Built-up Expansion Rate</w:t>
      </w:r>
      <w:r w:rsidR="00091880" w:rsidRPr="001867BF">
        <w:rPr>
          <w:rFonts w:ascii="Times New Roman" w:hAnsi="Times New Roman" w:cs="Times New Roman"/>
          <w:b/>
          <w:color w:val="000000" w:themeColor="text1"/>
        </w:rPr>
        <w:t xml:space="preserve"> (ABER)</w:t>
      </w:r>
      <w:r w:rsidRPr="001867BF">
        <w:rPr>
          <w:rFonts w:ascii="Times New Roman" w:hAnsi="Times New Roman" w:cs="Times New Roman"/>
          <w:b/>
          <w:color w:val="000000" w:themeColor="text1"/>
        </w:rPr>
        <w:t>:</w:t>
      </w:r>
    </w:p>
    <w:p w14:paraId="7D36AC55" w14:textId="77777777" w:rsidR="005E4FB2" w:rsidRPr="001867BF" w:rsidRDefault="006D3863"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There are notable disparities in the built-up growth rates in Siliguri city and its surrounding region, particularly in the periphery. Over the past 30 years, the rate of urban expansion has fluctuated. </w:t>
      </w:r>
      <w:r w:rsidR="0020350B" w:rsidRPr="001867BF">
        <w:rPr>
          <w:rFonts w:ascii="Times New Roman" w:eastAsia="Times New Roman" w:hAnsi="Times New Roman" w:cs="Times New Roman"/>
        </w:rPr>
        <w:t>The entire research area is 969.77 square kilometers. Of the entire area in 1990, 40.32 square kilometers were built up, while the rest 927.45 square kilometers were designated as non-built-up areas. The impervious surface grew steadily between 1990 and 2000, covering an additional 17.75 square kilometers of land throughout this decade.</w:t>
      </w:r>
      <w:r w:rsidR="0020350B" w:rsidRPr="001867BF">
        <w:rPr>
          <w:rFonts w:ascii="Times New Roman" w:hAnsi="Times New Roman" w:cs="Times New Roman"/>
        </w:rPr>
        <w:t xml:space="preserve"> </w:t>
      </w:r>
      <w:r w:rsidR="0020350B" w:rsidRPr="001867BF">
        <w:rPr>
          <w:rFonts w:ascii="Times New Roman" w:eastAsia="Times New Roman" w:hAnsi="Times New Roman" w:cs="Times New Roman"/>
        </w:rPr>
        <w:t>Between 2000 and 2010, the built-up area grew dramatically, from 58.07 square kilometers in 2000 to 105.77 square kilometers in 2010, and 47.7 square kilometers of land were transformed from non-built-up to built-up categories.</w:t>
      </w:r>
      <w:r w:rsidR="00CD2F72" w:rsidRPr="001867BF">
        <w:rPr>
          <w:rFonts w:ascii="Times New Roman" w:eastAsia="Times New Roman" w:hAnsi="Times New Roman" w:cs="Times New Roman"/>
        </w:rPr>
        <w:t xml:space="preserve"> </w:t>
      </w:r>
      <w:r w:rsidRPr="001867BF">
        <w:rPr>
          <w:rFonts w:ascii="Times New Roman" w:eastAsia="Times New Roman" w:hAnsi="Times New Roman" w:cs="Times New Roman"/>
        </w:rPr>
        <w:t>From 1990 to 2000, the built-up expansion rate of the study area was a modest 4.40% annually. However, the pace of urban expansion accelerated after 2000, and between 2000 and 2010, the percentage nearly doubled to 8.21</w:t>
      </w:r>
      <w:proofErr w:type="gramStart"/>
      <w:r w:rsidRPr="001867BF">
        <w:rPr>
          <w:rFonts w:ascii="Times New Roman" w:eastAsia="Times New Roman" w:hAnsi="Times New Roman" w:cs="Times New Roman"/>
        </w:rPr>
        <w:t>%.In</w:t>
      </w:r>
      <w:proofErr w:type="gramEnd"/>
      <w:r w:rsidRPr="001867BF">
        <w:rPr>
          <w:rFonts w:ascii="Times New Roman" w:eastAsia="Times New Roman" w:hAnsi="Times New Roman" w:cs="Times New Roman"/>
        </w:rPr>
        <w:t xml:space="preserve"> the villages of </w:t>
      </w:r>
      <w:proofErr w:type="spellStart"/>
      <w:r w:rsidRPr="001867BF">
        <w:rPr>
          <w:rFonts w:ascii="Times New Roman" w:eastAsia="Times New Roman" w:hAnsi="Times New Roman" w:cs="Times New Roman"/>
        </w:rPr>
        <w:t>Gouri</w:t>
      </w:r>
      <w:proofErr w:type="spellEnd"/>
      <w:r w:rsidRPr="001867BF">
        <w:rPr>
          <w:rFonts w:ascii="Times New Roman" w:eastAsia="Times New Roman" w:hAnsi="Times New Roman" w:cs="Times New Roman"/>
        </w:rPr>
        <w:t xml:space="preserve">, </w:t>
      </w:r>
      <w:proofErr w:type="spellStart"/>
      <w:r w:rsidRPr="001867BF">
        <w:rPr>
          <w:rFonts w:ascii="Times New Roman" w:eastAsia="Times New Roman" w:hAnsi="Times New Roman" w:cs="Times New Roman"/>
        </w:rPr>
        <w:t>Lachka</w:t>
      </w:r>
      <w:proofErr w:type="spellEnd"/>
      <w:r w:rsidRPr="001867BF">
        <w:rPr>
          <w:rFonts w:ascii="Times New Roman" w:eastAsia="Times New Roman" w:hAnsi="Times New Roman" w:cs="Times New Roman"/>
        </w:rPr>
        <w:t xml:space="preserve">, </w:t>
      </w:r>
      <w:proofErr w:type="spellStart"/>
      <w:r w:rsidRPr="001867BF">
        <w:rPr>
          <w:rFonts w:ascii="Times New Roman" w:eastAsia="Times New Roman" w:hAnsi="Times New Roman" w:cs="Times New Roman"/>
        </w:rPr>
        <w:t>Bhushibhita</w:t>
      </w:r>
      <w:proofErr w:type="spellEnd"/>
      <w:r w:rsidRPr="001867BF">
        <w:rPr>
          <w:rFonts w:ascii="Times New Roman" w:eastAsia="Times New Roman" w:hAnsi="Times New Roman" w:cs="Times New Roman"/>
        </w:rPr>
        <w:t xml:space="preserve">, </w:t>
      </w:r>
      <w:proofErr w:type="spellStart"/>
      <w:r w:rsidRPr="001867BF">
        <w:rPr>
          <w:rFonts w:ascii="Times New Roman" w:eastAsia="Times New Roman" w:hAnsi="Times New Roman" w:cs="Times New Roman"/>
        </w:rPr>
        <w:t>Gadheaganj</w:t>
      </w:r>
      <w:proofErr w:type="spellEnd"/>
      <w:r w:rsidRPr="001867BF">
        <w:rPr>
          <w:rFonts w:ascii="Times New Roman" w:eastAsia="Times New Roman" w:hAnsi="Times New Roman" w:cs="Times New Roman"/>
        </w:rPr>
        <w:t xml:space="preserve">, and </w:t>
      </w:r>
      <w:proofErr w:type="spellStart"/>
      <w:r w:rsidRPr="001867BF">
        <w:rPr>
          <w:rFonts w:ascii="Times New Roman" w:eastAsia="Times New Roman" w:hAnsi="Times New Roman" w:cs="Times New Roman"/>
        </w:rPr>
        <w:t>Sanyasikata</w:t>
      </w:r>
      <w:proofErr w:type="spellEnd"/>
      <w:r w:rsidRPr="001867BF">
        <w:rPr>
          <w:rFonts w:ascii="Times New Roman" w:eastAsia="Times New Roman" w:hAnsi="Times New Roman" w:cs="Times New Roman"/>
        </w:rPr>
        <w:t>, the built-up growth rate grew eight to ten times after 2000, despite the villages experiencing a negative growth rate from 1990 to 2000.</w:t>
      </w:r>
      <w:r w:rsidRPr="001867BF">
        <w:rPr>
          <w:rFonts w:ascii="Times New Roman" w:hAnsi="Times New Roman" w:cs="Times New Roman"/>
        </w:rPr>
        <w:t xml:space="preserve"> </w:t>
      </w:r>
    </w:p>
    <w:p w14:paraId="14D1C257" w14:textId="509187A6" w:rsidR="0020350B" w:rsidRPr="007E5E4A" w:rsidRDefault="007E5E4A" w:rsidP="007E5E4A">
      <w:pPr>
        <w:spacing w:line="360" w:lineRule="auto"/>
        <w:jc w:val="both"/>
        <w:rPr>
          <w:rFonts w:ascii="Times New Roman" w:eastAsia="Times New Roman" w:hAnsi="Times New Roman" w:cs="Times New Roman"/>
        </w:rPr>
      </w:pPr>
      <w:r>
        <w:rPr>
          <w:noProof/>
        </w:rPr>
        <w:drawing>
          <wp:inline distT="0" distB="0" distL="0" distR="0" wp14:anchorId="56A04E17" wp14:editId="5EE09BD3">
            <wp:extent cx="5810250" cy="4010025"/>
            <wp:effectExtent l="0" t="0" r="0" b="9525"/>
            <wp:docPr id="1920376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76782" name=""/>
                    <pic:cNvPicPr/>
                  </pic:nvPicPr>
                  <pic:blipFill>
                    <a:blip r:embed="rId12"/>
                    <a:stretch>
                      <a:fillRect/>
                    </a:stretch>
                  </pic:blipFill>
                  <pic:spPr>
                    <a:xfrm>
                      <a:off x="0" y="0"/>
                      <a:ext cx="5810250" cy="4010025"/>
                    </a:xfrm>
                    <a:prstGeom prst="rect">
                      <a:avLst/>
                    </a:prstGeom>
                  </pic:spPr>
                </pic:pic>
              </a:graphicData>
            </a:graphic>
          </wp:inline>
        </w:drawing>
      </w:r>
    </w:p>
    <w:p w14:paraId="72A62406" w14:textId="0A9A6322" w:rsidR="00557F07" w:rsidRPr="007E5E4A" w:rsidRDefault="00557F07" w:rsidP="007E5E4A">
      <w:pPr>
        <w:tabs>
          <w:tab w:val="left" w:pos="1293"/>
        </w:tabs>
        <w:spacing w:line="360" w:lineRule="auto"/>
        <w:jc w:val="center"/>
        <w:rPr>
          <w:rFonts w:ascii="Times New Roman" w:hAnsi="Times New Roman" w:cs="Times New Roman"/>
          <w:b/>
          <w:bCs/>
        </w:rPr>
      </w:pPr>
      <w:r w:rsidRPr="007E5E4A">
        <w:rPr>
          <w:rFonts w:ascii="Times New Roman" w:hAnsi="Times New Roman" w:cs="Times New Roman"/>
          <w:b/>
          <w:bCs/>
        </w:rPr>
        <w:t>Fig</w:t>
      </w:r>
      <w:r w:rsidR="00CD3C84" w:rsidRPr="007E5E4A">
        <w:rPr>
          <w:rFonts w:ascii="Times New Roman" w:hAnsi="Times New Roman" w:cs="Times New Roman"/>
          <w:b/>
          <w:bCs/>
        </w:rPr>
        <w:t xml:space="preserve"> 4</w:t>
      </w:r>
      <w:r w:rsidRPr="007E5E4A">
        <w:rPr>
          <w:rFonts w:ascii="Times New Roman" w:hAnsi="Times New Roman" w:cs="Times New Roman"/>
          <w:b/>
          <w:bCs/>
        </w:rPr>
        <w:t>: Built-up expansion from 1990-2020</w:t>
      </w:r>
    </w:p>
    <w:p w14:paraId="6AC0EAB8" w14:textId="77777777" w:rsidR="00557F07" w:rsidRPr="001867BF" w:rsidRDefault="00557F07" w:rsidP="00F144BB">
      <w:pPr>
        <w:tabs>
          <w:tab w:val="left" w:pos="1293"/>
        </w:tabs>
        <w:spacing w:line="360" w:lineRule="auto"/>
        <w:jc w:val="both"/>
        <w:rPr>
          <w:rFonts w:ascii="Times New Roman" w:hAnsi="Times New Roman" w:cs="Times New Roman"/>
        </w:rPr>
      </w:pPr>
      <w:r w:rsidRPr="001867BF">
        <w:rPr>
          <w:rFonts w:ascii="Times New Roman" w:eastAsia="Times New Roman" w:hAnsi="Times New Roman" w:cs="Times New Roman"/>
        </w:rPr>
        <w:lastRenderedPageBreak/>
        <w:t xml:space="preserve">The Siliguri Municipal Corporation's rate of urban expansion generally decreased between 1990 and 2020. Until 2000, the old core area's built-up area increased significantly. However, following that year, the old core region's pace of urban expansion decreased because it had reached a certain degree of development. However, the rate has accelerated in the recently added wads inside the city. The urban growth rate was quite high (9.56%) during the first phase (1990–2000) within the city limit, but it dropped to 3.23% after 2000 and then further reduced to 1.19% between 2010 and 2020.According to the research, the core city grew more quickly than the periphery over the first ten years, but after 2000, the core's built-up development rate slowed and the peripheral region's growth outpaced the </w:t>
      </w:r>
      <w:proofErr w:type="gramStart"/>
      <w:r w:rsidRPr="001867BF">
        <w:rPr>
          <w:rFonts w:ascii="Times New Roman" w:eastAsia="Times New Roman" w:hAnsi="Times New Roman" w:cs="Times New Roman"/>
        </w:rPr>
        <w:t>core's</w:t>
      </w:r>
      <w:proofErr w:type="gramEnd"/>
      <w:r w:rsidRPr="001867BF">
        <w:rPr>
          <w:rFonts w:ascii="Times New Roman" w:eastAsia="Times New Roman" w:hAnsi="Times New Roman" w:cs="Times New Roman"/>
        </w:rPr>
        <w:t>.</w:t>
      </w:r>
    </w:p>
    <w:p w14:paraId="05F98E75" w14:textId="67FDD1F1" w:rsidR="001570AB" w:rsidRPr="001867BF" w:rsidRDefault="00E30902" w:rsidP="00F144BB">
      <w:pPr>
        <w:tabs>
          <w:tab w:val="left" w:pos="1293"/>
        </w:tabs>
        <w:spacing w:line="360" w:lineRule="auto"/>
        <w:jc w:val="both"/>
        <w:rPr>
          <w:rFonts w:ascii="Times New Roman" w:hAnsi="Times New Roman" w:cs="Times New Roman"/>
        </w:rPr>
      </w:pPr>
      <w:r w:rsidRPr="001867BF">
        <w:rPr>
          <w:rFonts w:ascii="Times New Roman" w:hAnsi="Times New Roman" w:cs="Times New Roman"/>
        </w:rPr>
        <w:t>Table</w:t>
      </w:r>
      <w:r w:rsidR="00AE1F41">
        <w:rPr>
          <w:rFonts w:ascii="Times New Roman" w:hAnsi="Times New Roman" w:cs="Times New Roman"/>
        </w:rPr>
        <w:t xml:space="preserve"> 3</w:t>
      </w:r>
      <w:r w:rsidRPr="001867BF">
        <w:rPr>
          <w:rFonts w:ascii="Times New Roman" w:hAnsi="Times New Roman" w:cs="Times New Roman"/>
        </w:rPr>
        <w:t>: ABER, UEII of Siliguri Municipal Corporation and its peripheral area</w:t>
      </w:r>
      <w:r w:rsidR="001570AB" w:rsidRPr="001867BF">
        <w:rPr>
          <w:rFonts w:ascii="Times New Roman" w:hAnsi="Times New Roman" w:cs="Times New Roman"/>
        </w:rPr>
        <w:tab/>
      </w:r>
    </w:p>
    <w:tbl>
      <w:tblPr>
        <w:tblW w:w="5000" w:type="pct"/>
        <w:tblLook w:val="04A0" w:firstRow="1" w:lastRow="0" w:firstColumn="1" w:lastColumn="0" w:noHBand="0" w:noVBand="1"/>
      </w:tblPr>
      <w:tblGrid>
        <w:gridCol w:w="1099"/>
        <w:gridCol w:w="1827"/>
        <w:gridCol w:w="1136"/>
        <w:gridCol w:w="1136"/>
        <w:gridCol w:w="1785"/>
        <w:gridCol w:w="1622"/>
        <w:gridCol w:w="971"/>
      </w:tblGrid>
      <w:tr w:rsidR="001570AB" w:rsidRPr="001867BF" w14:paraId="6C44C905" w14:textId="77777777" w:rsidTr="001867BF">
        <w:trPr>
          <w:trHeight w:val="372"/>
        </w:trPr>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ACA69"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Year</w:t>
            </w:r>
          </w:p>
        </w:tc>
        <w:tc>
          <w:tcPr>
            <w:tcW w:w="2140" w:type="pct"/>
            <w:gridSpan w:val="3"/>
            <w:tcBorders>
              <w:top w:val="single" w:sz="4" w:space="0" w:color="auto"/>
              <w:left w:val="nil"/>
              <w:bottom w:val="single" w:sz="4" w:space="0" w:color="auto"/>
              <w:right w:val="single" w:sz="4" w:space="0" w:color="auto"/>
            </w:tcBorders>
            <w:shd w:val="clear" w:color="auto" w:fill="auto"/>
            <w:vAlign w:val="center"/>
            <w:hideMark/>
          </w:tcPr>
          <w:p w14:paraId="519408EB"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Study area</w:t>
            </w:r>
          </w:p>
        </w:tc>
        <w:tc>
          <w:tcPr>
            <w:tcW w:w="2286" w:type="pct"/>
            <w:gridSpan w:val="3"/>
            <w:tcBorders>
              <w:top w:val="single" w:sz="4" w:space="0" w:color="auto"/>
              <w:left w:val="nil"/>
              <w:bottom w:val="single" w:sz="4" w:space="0" w:color="auto"/>
              <w:right w:val="single" w:sz="4" w:space="0" w:color="auto"/>
            </w:tcBorders>
            <w:shd w:val="clear" w:color="auto" w:fill="auto"/>
            <w:vAlign w:val="center"/>
            <w:hideMark/>
          </w:tcPr>
          <w:p w14:paraId="3726F2FE"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Siliguri Municipal Corporation</w:t>
            </w:r>
          </w:p>
        </w:tc>
      </w:tr>
      <w:tr w:rsidR="001570AB" w:rsidRPr="001867BF" w14:paraId="5910370B" w14:textId="77777777" w:rsidTr="001867BF">
        <w:trPr>
          <w:trHeight w:val="828"/>
        </w:trPr>
        <w:tc>
          <w:tcPr>
            <w:tcW w:w="574" w:type="pct"/>
            <w:vMerge/>
            <w:tcBorders>
              <w:top w:val="single" w:sz="4" w:space="0" w:color="auto"/>
              <w:left w:val="single" w:sz="4" w:space="0" w:color="auto"/>
              <w:bottom w:val="single" w:sz="4" w:space="0" w:color="auto"/>
              <w:right w:val="single" w:sz="4" w:space="0" w:color="auto"/>
            </w:tcBorders>
            <w:vAlign w:val="center"/>
            <w:hideMark/>
          </w:tcPr>
          <w:p w14:paraId="25E0C159"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p>
        </w:tc>
        <w:tc>
          <w:tcPr>
            <w:tcW w:w="954" w:type="pct"/>
            <w:tcBorders>
              <w:top w:val="nil"/>
              <w:left w:val="nil"/>
              <w:bottom w:val="single" w:sz="4" w:space="0" w:color="auto"/>
              <w:right w:val="single" w:sz="4" w:space="0" w:color="auto"/>
            </w:tcBorders>
            <w:shd w:val="clear" w:color="auto" w:fill="auto"/>
            <w:vAlign w:val="center"/>
            <w:hideMark/>
          </w:tcPr>
          <w:p w14:paraId="3A6648FA"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Built-up area (sq.km)</w:t>
            </w:r>
          </w:p>
        </w:tc>
        <w:tc>
          <w:tcPr>
            <w:tcW w:w="593" w:type="pct"/>
            <w:tcBorders>
              <w:top w:val="nil"/>
              <w:left w:val="nil"/>
              <w:bottom w:val="single" w:sz="4" w:space="0" w:color="auto"/>
              <w:right w:val="single" w:sz="4" w:space="0" w:color="auto"/>
            </w:tcBorders>
            <w:shd w:val="clear" w:color="auto" w:fill="auto"/>
            <w:vAlign w:val="center"/>
            <w:hideMark/>
          </w:tcPr>
          <w:p w14:paraId="010A69E7"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ABER (%)</w:t>
            </w:r>
          </w:p>
        </w:tc>
        <w:tc>
          <w:tcPr>
            <w:tcW w:w="593" w:type="pct"/>
            <w:tcBorders>
              <w:top w:val="nil"/>
              <w:left w:val="nil"/>
              <w:bottom w:val="single" w:sz="4" w:space="0" w:color="auto"/>
              <w:right w:val="single" w:sz="4" w:space="0" w:color="auto"/>
            </w:tcBorders>
            <w:shd w:val="clear" w:color="auto" w:fill="auto"/>
            <w:vAlign w:val="center"/>
            <w:hideMark/>
          </w:tcPr>
          <w:p w14:paraId="078D768C"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UEII</w:t>
            </w:r>
          </w:p>
        </w:tc>
        <w:tc>
          <w:tcPr>
            <w:tcW w:w="932" w:type="pct"/>
            <w:tcBorders>
              <w:top w:val="nil"/>
              <w:left w:val="nil"/>
              <w:bottom w:val="single" w:sz="4" w:space="0" w:color="auto"/>
              <w:right w:val="single" w:sz="4" w:space="0" w:color="auto"/>
            </w:tcBorders>
            <w:shd w:val="clear" w:color="auto" w:fill="auto"/>
            <w:vAlign w:val="center"/>
            <w:hideMark/>
          </w:tcPr>
          <w:p w14:paraId="5909921B"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Built-up area (sq.km)</w:t>
            </w:r>
          </w:p>
        </w:tc>
        <w:tc>
          <w:tcPr>
            <w:tcW w:w="847" w:type="pct"/>
            <w:tcBorders>
              <w:top w:val="nil"/>
              <w:left w:val="nil"/>
              <w:bottom w:val="single" w:sz="4" w:space="0" w:color="auto"/>
              <w:right w:val="single" w:sz="4" w:space="0" w:color="auto"/>
            </w:tcBorders>
            <w:shd w:val="clear" w:color="auto" w:fill="auto"/>
            <w:vAlign w:val="center"/>
            <w:hideMark/>
          </w:tcPr>
          <w:p w14:paraId="5F36F275"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ABER (%)</w:t>
            </w:r>
          </w:p>
        </w:tc>
        <w:tc>
          <w:tcPr>
            <w:tcW w:w="507" w:type="pct"/>
            <w:tcBorders>
              <w:top w:val="nil"/>
              <w:left w:val="nil"/>
              <w:bottom w:val="single" w:sz="4" w:space="0" w:color="auto"/>
              <w:right w:val="single" w:sz="4" w:space="0" w:color="auto"/>
            </w:tcBorders>
            <w:shd w:val="clear" w:color="auto" w:fill="auto"/>
            <w:vAlign w:val="center"/>
            <w:hideMark/>
          </w:tcPr>
          <w:p w14:paraId="5A00502A" w14:textId="77777777"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UEII</w:t>
            </w:r>
          </w:p>
        </w:tc>
      </w:tr>
      <w:tr w:rsidR="001570AB" w:rsidRPr="001867BF" w14:paraId="529AAB51" w14:textId="77777777" w:rsidTr="001867BF">
        <w:trPr>
          <w:trHeight w:val="288"/>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5E1C8E64"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1990</w:t>
            </w:r>
          </w:p>
        </w:tc>
        <w:tc>
          <w:tcPr>
            <w:tcW w:w="954" w:type="pct"/>
            <w:tcBorders>
              <w:top w:val="nil"/>
              <w:left w:val="nil"/>
              <w:bottom w:val="single" w:sz="4" w:space="0" w:color="auto"/>
              <w:right w:val="single" w:sz="4" w:space="0" w:color="auto"/>
            </w:tcBorders>
            <w:shd w:val="clear" w:color="auto" w:fill="auto"/>
            <w:noWrap/>
            <w:vAlign w:val="bottom"/>
            <w:hideMark/>
          </w:tcPr>
          <w:p w14:paraId="088F73AA"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40.32</w:t>
            </w:r>
          </w:p>
        </w:tc>
        <w:tc>
          <w:tcPr>
            <w:tcW w:w="593" w:type="pct"/>
            <w:tcBorders>
              <w:top w:val="nil"/>
              <w:left w:val="nil"/>
              <w:bottom w:val="single" w:sz="4" w:space="0" w:color="auto"/>
              <w:right w:val="single" w:sz="4" w:space="0" w:color="auto"/>
            </w:tcBorders>
            <w:shd w:val="clear" w:color="auto" w:fill="auto"/>
            <w:noWrap/>
            <w:vAlign w:val="bottom"/>
            <w:hideMark/>
          </w:tcPr>
          <w:p w14:paraId="0254F25D"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_</w:t>
            </w:r>
          </w:p>
        </w:tc>
        <w:tc>
          <w:tcPr>
            <w:tcW w:w="593" w:type="pct"/>
            <w:tcBorders>
              <w:top w:val="nil"/>
              <w:left w:val="nil"/>
              <w:bottom w:val="single" w:sz="4" w:space="0" w:color="auto"/>
              <w:right w:val="single" w:sz="4" w:space="0" w:color="auto"/>
            </w:tcBorders>
            <w:shd w:val="clear" w:color="auto" w:fill="auto"/>
            <w:noWrap/>
            <w:vAlign w:val="bottom"/>
            <w:hideMark/>
          </w:tcPr>
          <w:p w14:paraId="0FE296B5"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_</w:t>
            </w:r>
          </w:p>
        </w:tc>
        <w:tc>
          <w:tcPr>
            <w:tcW w:w="932" w:type="pct"/>
            <w:tcBorders>
              <w:top w:val="nil"/>
              <w:left w:val="nil"/>
              <w:bottom w:val="single" w:sz="4" w:space="0" w:color="auto"/>
              <w:right w:val="single" w:sz="4" w:space="0" w:color="auto"/>
            </w:tcBorders>
            <w:shd w:val="clear" w:color="auto" w:fill="auto"/>
            <w:noWrap/>
            <w:vAlign w:val="bottom"/>
            <w:hideMark/>
          </w:tcPr>
          <w:p w14:paraId="02BC44B9"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9.59</w:t>
            </w:r>
          </w:p>
        </w:tc>
        <w:tc>
          <w:tcPr>
            <w:tcW w:w="847" w:type="pct"/>
            <w:tcBorders>
              <w:top w:val="nil"/>
              <w:left w:val="nil"/>
              <w:bottom w:val="single" w:sz="4" w:space="0" w:color="auto"/>
              <w:right w:val="single" w:sz="4" w:space="0" w:color="auto"/>
            </w:tcBorders>
            <w:shd w:val="clear" w:color="auto" w:fill="auto"/>
            <w:noWrap/>
            <w:vAlign w:val="bottom"/>
            <w:hideMark/>
          </w:tcPr>
          <w:p w14:paraId="0BA522B6"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_</w:t>
            </w:r>
          </w:p>
        </w:tc>
        <w:tc>
          <w:tcPr>
            <w:tcW w:w="507" w:type="pct"/>
            <w:tcBorders>
              <w:top w:val="nil"/>
              <w:left w:val="nil"/>
              <w:bottom w:val="single" w:sz="4" w:space="0" w:color="auto"/>
              <w:right w:val="single" w:sz="4" w:space="0" w:color="auto"/>
            </w:tcBorders>
            <w:shd w:val="clear" w:color="auto" w:fill="auto"/>
            <w:noWrap/>
            <w:vAlign w:val="bottom"/>
            <w:hideMark/>
          </w:tcPr>
          <w:p w14:paraId="593147C1"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_</w:t>
            </w:r>
          </w:p>
        </w:tc>
      </w:tr>
      <w:tr w:rsidR="001570AB" w:rsidRPr="001867BF" w14:paraId="2CEC4925" w14:textId="77777777" w:rsidTr="001867BF">
        <w:trPr>
          <w:trHeight w:val="288"/>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12AB28C8"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2000</w:t>
            </w:r>
          </w:p>
        </w:tc>
        <w:tc>
          <w:tcPr>
            <w:tcW w:w="954" w:type="pct"/>
            <w:tcBorders>
              <w:top w:val="nil"/>
              <w:left w:val="nil"/>
              <w:bottom w:val="single" w:sz="4" w:space="0" w:color="auto"/>
              <w:right w:val="single" w:sz="4" w:space="0" w:color="auto"/>
            </w:tcBorders>
            <w:shd w:val="clear" w:color="auto" w:fill="auto"/>
            <w:noWrap/>
            <w:vAlign w:val="bottom"/>
            <w:hideMark/>
          </w:tcPr>
          <w:p w14:paraId="4B4838C7"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58.07</w:t>
            </w:r>
          </w:p>
        </w:tc>
        <w:tc>
          <w:tcPr>
            <w:tcW w:w="593" w:type="pct"/>
            <w:tcBorders>
              <w:top w:val="nil"/>
              <w:left w:val="nil"/>
              <w:bottom w:val="single" w:sz="4" w:space="0" w:color="auto"/>
              <w:right w:val="single" w:sz="4" w:space="0" w:color="auto"/>
            </w:tcBorders>
            <w:shd w:val="clear" w:color="auto" w:fill="auto"/>
            <w:noWrap/>
            <w:vAlign w:val="bottom"/>
            <w:hideMark/>
          </w:tcPr>
          <w:p w14:paraId="2CB70602"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4.40</w:t>
            </w:r>
          </w:p>
        </w:tc>
        <w:tc>
          <w:tcPr>
            <w:tcW w:w="593" w:type="pct"/>
            <w:tcBorders>
              <w:top w:val="nil"/>
              <w:left w:val="nil"/>
              <w:bottom w:val="single" w:sz="4" w:space="0" w:color="auto"/>
              <w:right w:val="single" w:sz="4" w:space="0" w:color="auto"/>
            </w:tcBorders>
            <w:shd w:val="clear" w:color="auto" w:fill="auto"/>
            <w:noWrap/>
            <w:vAlign w:val="bottom"/>
            <w:hideMark/>
          </w:tcPr>
          <w:p w14:paraId="046E3ACB"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0.18</w:t>
            </w:r>
          </w:p>
        </w:tc>
        <w:tc>
          <w:tcPr>
            <w:tcW w:w="932" w:type="pct"/>
            <w:tcBorders>
              <w:top w:val="nil"/>
              <w:left w:val="nil"/>
              <w:bottom w:val="single" w:sz="4" w:space="0" w:color="auto"/>
              <w:right w:val="single" w:sz="4" w:space="0" w:color="auto"/>
            </w:tcBorders>
            <w:shd w:val="clear" w:color="auto" w:fill="auto"/>
            <w:noWrap/>
            <w:vAlign w:val="bottom"/>
            <w:hideMark/>
          </w:tcPr>
          <w:p w14:paraId="13D23CD7"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18.76</w:t>
            </w:r>
          </w:p>
        </w:tc>
        <w:tc>
          <w:tcPr>
            <w:tcW w:w="847" w:type="pct"/>
            <w:tcBorders>
              <w:top w:val="nil"/>
              <w:left w:val="nil"/>
              <w:bottom w:val="single" w:sz="4" w:space="0" w:color="auto"/>
              <w:right w:val="single" w:sz="4" w:space="0" w:color="auto"/>
            </w:tcBorders>
            <w:shd w:val="clear" w:color="auto" w:fill="auto"/>
            <w:noWrap/>
            <w:vAlign w:val="bottom"/>
            <w:hideMark/>
          </w:tcPr>
          <w:p w14:paraId="0374B556"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9.56</w:t>
            </w:r>
          </w:p>
        </w:tc>
        <w:tc>
          <w:tcPr>
            <w:tcW w:w="507" w:type="pct"/>
            <w:tcBorders>
              <w:top w:val="nil"/>
              <w:left w:val="nil"/>
              <w:bottom w:val="single" w:sz="4" w:space="0" w:color="auto"/>
              <w:right w:val="single" w:sz="4" w:space="0" w:color="auto"/>
            </w:tcBorders>
            <w:shd w:val="clear" w:color="auto" w:fill="auto"/>
            <w:noWrap/>
            <w:vAlign w:val="bottom"/>
            <w:hideMark/>
          </w:tcPr>
          <w:p w14:paraId="2F5D64AF"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2.19</w:t>
            </w:r>
          </w:p>
        </w:tc>
      </w:tr>
      <w:tr w:rsidR="001570AB" w:rsidRPr="001867BF" w14:paraId="45A49A6A" w14:textId="77777777" w:rsidTr="001867BF">
        <w:trPr>
          <w:trHeight w:val="30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7FBED36C"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2010</w:t>
            </w:r>
          </w:p>
        </w:tc>
        <w:tc>
          <w:tcPr>
            <w:tcW w:w="954" w:type="pct"/>
            <w:tcBorders>
              <w:top w:val="nil"/>
              <w:left w:val="nil"/>
              <w:bottom w:val="single" w:sz="4" w:space="0" w:color="auto"/>
              <w:right w:val="single" w:sz="4" w:space="0" w:color="auto"/>
            </w:tcBorders>
            <w:shd w:val="clear" w:color="auto" w:fill="auto"/>
            <w:noWrap/>
            <w:vAlign w:val="bottom"/>
            <w:hideMark/>
          </w:tcPr>
          <w:p w14:paraId="56C1E545"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105.77</w:t>
            </w:r>
          </w:p>
        </w:tc>
        <w:tc>
          <w:tcPr>
            <w:tcW w:w="593" w:type="pct"/>
            <w:tcBorders>
              <w:top w:val="nil"/>
              <w:left w:val="nil"/>
              <w:bottom w:val="single" w:sz="4" w:space="0" w:color="auto"/>
              <w:right w:val="single" w:sz="4" w:space="0" w:color="auto"/>
            </w:tcBorders>
            <w:shd w:val="clear" w:color="auto" w:fill="auto"/>
            <w:noWrap/>
            <w:vAlign w:val="bottom"/>
            <w:hideMark/>
          </w:tcPr>
          <w:p w14:paraId="67857ED3"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8.21</w:t>
            </w:r>
          </w:p>
        </w:tc>
        <w:tc>
          <w:tcPr>
            <w:tcW w:w="593" w:type="pct"/>
            <w:tcBorders>
              <w:top w:val="nil"/>
              <w:left w:val="nil"/>
              <w:bottom w:val="single" w:sz="4" w:space="0" w:color="auto"/>
              <w:right w:val="single" w:sz="4" w:space="0" w:color="auto"/>
            </w:tcBorders>
            <w:shd w:val="clear" w:color="auto" w:fill="auto"/>
            <w:noWrap/>
            <w:vAlign w:val="bottom"/>
            <w:hideMark/>
          </w:tcPr>
          <w:p w14:paraId="075F6109"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0.49</w:t>
            </w:r>
          </w:p>
        </w:tc>
        <w:tc>
          <w:tcPr>
            <w:tcW w:w="932" w:type="pct"/>
            <w:tcBorders>
              <w:top w:val="nil"/>
              <w:left w:val="nil"/>
              <w:bottom w:val="single" w:sz="4" w:space="0" w:color="auto"/>
              <w:right w:val="single" w:sz="4" w:space="0" w:color="auto"/>
            </w:tcBorders>
            <w:shd w:val="clear" w:color="auto" w:fill="auto"/>
            <w:noWrap/>
            <w:vAlign w:val="bottom"/>
            <w:hideMark/>
          </w:tcPr>
          <w:p w14:paraId="711A5DD3"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24.82</w:t>
            </w:r>
          </w:p>
        </w:tc>
        <w:tc>
          <w:tcPr>
            <w:tcW w:w="847" w:type="pct"/>
            <w:tcBorders>
              <w:top w:val="nil"/>
              <w:left w:val="nil"/>
              <w:bottom w:val="single" w:sz="4" w:space="0" w:color="auto"/>
              <w:right w:val="single" w:sz="4" w:space="0" w:color="auto"/>
            </w:tcBorders>
            <w:shd w:val="clear" w:color="auto" w:fill="auto"/>
            <w:noWrap/>
            <w:vAlign w:val="bottom"/>
            <w:hideMark/>
          </w:tcPr>
          <w:p w14:paraId="1B8E5367"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3.23</w:t>
            </w:r>
          </w:p>
        </w:tc>
        <w:tc>
          <w:tcPr>
            <w:tcW w:w="507" w:type="pct"/>
            <w:tcBorders>
              <w:top w:val="nil"/>
              <w:left w:val="nil"/>
              <w:bottom w:val="single" w:sz="4" w:space="0" w:color="auto"/>
              <w:right w:val="single" w:sz="4" w:space="0" w:color="auto"/>
            </w:tcBorders>
            <w:shd w:val="clear" w:color="auto" w:fill="auto"/>
            <w:noWrap/>
            <w:vAlign w:val="bottom"/>
            <w:hideMark/>
          </w:tcPr>
          <w:p w14:paraId="3E2251B0"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1.45</w:t>
            </w:r>
          </w:p>
        </w:tc>
      </w:tr>
      <w:tr w:rsidR="001570AB" w:rsidRPr="001867BF" w14:paraId="0E3CD316" w14:textId="77777777" w:rsidTr="001867BF">
        <w:trPr>
          <w:trHeight w:val="36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14:paraId="56C4A74D"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2020</w:t>
            </w:r>
          </w:p>
        </w:tc>
        <w:tc>
          <w:tcPr>
            <w:tcW w:w="954" w:type="pct"/>
            <w:tcBorders>
              <w:top w:val="nil"/>
              <w:left w:val="nil"/>
              <w:bottom w:val="single" w:sz="4" w:space="0" w:color="auto"/>
              <w:right w:val="single" w:sz="4" w:space="0" w:color="auto"/>
            </w:tcBorders>
            <w:shd w:val="clear" w:color="auto" w:fill="auto"/>
            <w:noWrap/>
            <w:vAlign w:val="bottom"/>
            <w:hideMark/>
          </w:tcPr>
          <w:p w14:paraId="51532A29"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130.72</w:t>
            </w:r>
          </w:p>
        </w:tc>
        <w:tc>
          <w:tcPr>
            <w:tcW w:w="593" w:type="pct"/>
            <w:tcBorders>
              <w:top w:val="nil"/>
              <w:left w:val="nil"/>
              <w:bottom w:val="single" w:sz="4" w:space="0" w:color="auto"/>
              <w:right w:val="single" w:sz="4" w:space="0" w:color="auto"/>
            </w:tcBorders>
            <w:shd w:val="clear" w:color="auto" w:fill="auto"/>
            <w:noWrap/>
            <w:vAlign w:val="bottom"/>
            <w:hideMark/>
          </w:tcPr>
          <w:p w14:paraId="7E854407"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2.36</w:t>
            </w:r>
          </w:p>
        </w:tc>
        <w:tc>
          <w:tcPr>
            <w:tcW w:w="593" w:type="pct"/>
            <w:tcBorders>
              <w:top w:val="nil"/>
              <w:left w:val="nil"/>
              <w:bottom w:val="single" w:sz="4" w:space="0" w:color="auto"/>
              <w:right w:val="single" w:sz="4" w:space="0" w:color="auto"/>
            </w:tcBorders>
            <w:shd w:val="clear" w:color="auto" w:fill="auto"/>
            <w:noWrap/>
            <w:vAlign w:val="bottom"/>
            <w:hideMark/>
          </w:tcPr>
          <w:p w14:paraId="598FB847"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0.26</w:t>
            </w:r>
          </w:p>
        </w:tc>
        <w:tc>
          <w:tcPr>
            <w:tcW w:w="932" w:type="pct"/>
            <w:tcBorders>
              <w:top w:val="nil"/>
              <w:left w:val="nil"/>
              <w:bottom w:val="single" w:sz="4" w:space="0" w:color="auto"/>
              <w:right w:val="single" w:sz="4" w:space="0" w:color="auto"/>
            </w:tcBorders>
            <w:shd w:val="clear" w:color="auto" w:fill="auto"/>
            <w:noWrap/>
            <w:vAlign w:val="bottom"/>
            <w:hideMark/>
          </w:tcPr>
          <w:p w14:paraId="799D5FD2"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29.55</w:t>
            </w:r>
          </w:p>
        </w:tc>
        <w:tc>
          <w:tcPr>
            <w:tcW w:w="847" w:type="pct"/>
            <w:tcBorders>
              <w:top w:val="nil"/>
              <w:left w:val="nil"/>
              <w:bottom w:val="single" w:sz="4" w:space="0" w:color="auto"/>
              <w:right w:val="single" w:sz="4" w:space="0" w:color="auto"/>
            </w:tcBorders>
            <w:shd w:val="clear" w:color="auto" w:fill="auto"/>
            <w:noWrap/>
            <w:vAlign w:val="bottom"/>
            <w:hideMark/>
          </w:tcPr>
          <w:p w14:paraId="2571E7F0"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1.91</w:t>
            </w:r>
          </w:p>
        </w:tc>
        <w:tc>
          <w:tcPr>
            <w:tcW w:w="507" w:type="pct"/>
            <w:tcBorders>
              <w:top w:val="nil"/>
              <w:left w:val="nil"/>
              <w:bottom w:val="single" w:sz="4" w:space="0" w:color="auto"/>
              <w:right w:val="single" w:sz="4" w:space="0" w:color="auto"/>
            </w:tcBorders>
            <w:shd w:val="clear" w:color="auto" w:fill="auto"/>
            <w:noWrap/>
            <w:vAlign w:val="bottom"/>
            <w:hideMark/>
          </w:tcPr>
          <w:p w14:paraId="1DDBA45A"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1.13</w:t>
            </w:r>
          </w:p>
        </w:tc>
      </w:tr>
      <w:tr w:rsidR="001570AB" w:rsidRPr="001867BF" w14:paraId="51EF5FA9" w14:textId="77777777" w:rsidTr="001867BF">
        <w:trPr>
          <w:trHeight w:val="372"/>
        </w:trPr>
        <w:tc>
          <w:tcPr>
            <w:tcW w:w="5000" w:type="pct"/>
            <w:gridSpan w:val="7"/>
            <w:tcBorders>
              <w:top w:val="nil"/>
              <w:left w:val="nil"/>
              <w:bottom w:val="nil"/>
              <w:right w:val="nil"/>
            </w:tcBorders>
            <w:shd w:val="clear" w:color="auto" w:fill="auto"/>
            <w:noWrap/>
            <w:vAlign w:val="bottom"/>
            <w:hideMark/>
          </w:tcPr>
          <w:p w14:paraId="4E7AA3EB" w14:textId="77777777"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Source: Calculated by the author</w:t>
            </w:r>
          </w:p>
        </w:tc>
      </w:tr>
    </w:tbl>
    <w:p w14:paraId="6735C8CF" w14:textId="3CB349DF" w:rsidR="000577F3" w:rsidRPr="001867BF" w:rsidRDefault="007E5E4A" w:rsidP="00F144BB">
      <w:pPr>
        <w:spacing w:line="360" w:lineRule="auto"/>
        <w:jc w:val="both"/>
        <w:rPr>
          <w:rFonts w:ascii="Times New Roman" w:hAnsi="Times New Roman" w:cs="Times New Roman"/>
        </w:rPr>
      </w:pPr>
      <w:r>
        <w:rPr>
          <w:noProof/>
        </w:rPr>
        <w:drawing>
          <wp:inline distT="0" distB="0" distL="0" distR="0" wp14:anchorId="4525B698" wp14:editId="06CF0596">
            <wp:extent cx="5943600" cy="2093595"/>
            <wp:effectExtent l="0" t="0" r="0" b="0"/>
            <wp:docPr id="170151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18935" name=""/>
                    <pic:cNvPicPr/>
                  </pic:nvPicPr>
                  <pic:blipFill>
                    <a:blip r:embed="rId13"/>
                    <a:stretch>
                      <a:fillRect/>
                    </a:stretch>
                  </pic:blipFill>
                  <pic:spPr>
                    <a:xfrm>
                      <a:off x="0" y="0"/>
                      <a:ext cx="5943600" cy="2093595"/>
                    </a:xfrm>
                    <a:prstGeom prst="rect">
                      <a:avLst/>
                    </a:prstGeom>
                  </pic:spPr>
                </pic:pic>
              </a:graphicData>
            </a:graphic>
          </wp:inline>
        </w:drawing>
      </w:r>
    </w:p>
    <w:p w14:paraId="1565950E" w14:textId="3FA115DC" w:rsidR="001F0169" w:rsidRPr="001867BF" w:rsidRDefault="000577F3" w:rsidP="00F144BB">
      <w:pPr>
        <w:spacing w:line="360" w:lineRule="auto"/>
        <w:jc w:val="both"/>
        <w:rPr>
          <w:rFonts w:ascii="Times New Roman" w:hAnsi="Times New Roman" w:cs="Times New Roman"/>
        </w:rPr>
      </w:pPr>
      <w:r w:rsidRPr="001867BF">
        <w:rPr>
          <w:rFonts w:ascii="Times New Roman" w:hAnsi="Times New Roman" w:cs="Times New Roman"/>
        </w:rPr>
        <w:t>Fig</w:t>
      </w:r>
      <w:r w:rsidR="00CD3C84">
        <w:rPr>
          <w:rFonts w:ascii="Times New Roman" w:hAnsi="Times New Roman" w:cs="Times New Roman"/>
        </w:rPr>
        <w:t xml:space="preserve"> 5</w:t>
      </w:r>
      <w:r w:rsidRPr="001867BF">
        <w:rPr>
          <w:rFonts w:ascii="Times New Roman" w:hAnsi="Times New Roman" w:cs="Times New Roman"/>
        </w:rPr>
        <w:t xml:space="preserve">: Annual built-up Expansion rate </w:t>
      </w:r>
      <w:r w:rsidR="00232A3C" w:rsidRPr="001867BF">
        <w:rPr>
          <w:rFonts w:ascii="Times New Roman" w:hAnsi="Times New Roman" w:cs="Times New Roman"/>
        </w:rPr>
        <w:t xml:space="preserve">(ABER) </w:t>
      </w:r>
      <w:r w:rsidRPr="001867BF">
        <w:rPr>
          <w:rFonts w:ascii="Times New Roman" w:hAnsi="Times New Roman" w:cs="Times New Roman"/>
        </w:rPr>
        <w:t>and Urban Expansion Intensity Index</w:t>
      </w:r>
      <w:r w:rsidR="00232A3C" w:rsidRPr="001867BF">
        <w:rPr>
          <w:rFonts w:ascii="Times New Roman" w:hAnsi="Times New Roman" w:cs="Times New Roman"/>
        </w:rPr>
        <w:t xml:space="preserve"> (UEII)</w:t>
      </w:r>
      <w:r w:rsidR="003A6AF6" w:rsidRPr="001867BF">
        <w:rPr>
          <w:rFonts w:ascii="Times New Roman" w:hAnsi="Times New Roman" w:cs="Times New Roman"/>
        </w:rPr>
        <w:t xml:space="preserve"> of the study area</w:t>
      </w:r>
    </w:p>
    <w:p w14:paraId="7513E41E" w14:textId="2D7A7932" w:rsidR="003A6AF6" w:rsidRPr="001867BF" w:rsidRDefault="007E5E4A" w:rsidP="007E5E4A">
      <w:pPr>
        <w:spacing w:line="360" w:lineRule="auto"/>
        <w:jc w:val="center"/>
        <w:rPr>
          <w:rFonts w:ascii="Times New Roman" w:hAnsi="Times New Roman" w:cs="Times New Roman"/>
        </w:rPr>
      </w:pPr>
      <w:r>
        <w:rPr>
          <w:noProof/>
        </w:rPr>
        <w:lastRenderedPageBreak/>
        <w:drawing>
          <wp:inline distT="0" distB="0" distL="0" distR="0" wp14:anchorId="4E885193" wp14:editId="2F2A5052">
            <wp:extent cx="5134396" cy="1677455"/>
            <wp:effectExtent l="0" t="0" r="0" b="0"/>
            <wp:docPr id="203255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7375" name=""/>
                    <pic:cNvPicPr/>
                  </pic:nvPicPr>
                  <pic:blipFill>
                    <a:blip r:embed="rId14"/>
                    <a:stretch>
                      <a:fillRect/>
                    </a:stretch>
                  </pic:blipFill>
                  <pic:spPr>
                    <a:xfrm>
                      <a:off x="0" y="0"/>
                      <a:ext cx="5149836" cy="1682499"/>
                    </a:xfrm>
                    <a:prstGeom prst="rect">
                      <a:avLst/>
                    </a:prstGeom>
                  </pic:spPr>
                </pic:pic>
              </a:graphicData>
            </a:graphic>
          </wp:inline>
        </w:drawing>
      </w:r>
    </w:p>
    <w:p w14:paraId="17234F48" w14:textId="567321A1" w:rsidR="003A6AF6" w:rsidRPr="001867BF" w:rsidRDefault="003A6AF6" w:rsidP="00F144BB">
      <w:pPr>
        <w:spacing w:line="360" w:lineRule="auto"/>
        <w:jc w:val="both"/>
        <w:rPr>
          <w:rFonts w:ascii="Times New Roman" w:hAnsi="Times New Roman" w:cs="Times New Roman"/>
        </w:rPr>
      </w:pPr>
      <w:r w:rsidRPr="001867BF">
        <w:rPr>
          <w:rFonts w:ascii="Times New Roman" w:hAnsi="Times New Roman" w:cs="Times New Roman"/>
        </w:rPr>
        <w:t>Fig</w:t>
      </w:r>
      <w:r w:rsidR="00CD3C84">
        <w:rPr>
          <w:rFonts w:ascii="Times New Roman" w:hAnsi="Times New Roman" w:cs="Times New Roman"/>
        </w:rPr>
        <w:t xml:space="preserve"> 6</w:t>
      </w:r>
      <w:r w:rsidRPr="001867BF">
        <w:rPr>
          <w:rFonts w:ascii="Times New Roman" w:hAnsi="Times New Roman" w:cs="Times New Roman"/>
        </w:rPr>
        <w:t>: Annual built-up Expansion rate (ABER) and Urban Expansion Intensity Index (UEII) of Siliguri Municipal Corporation</w:t>
      </w:r>
    </w:p>
    <w:p w14:paraId="40A544B7" w14:textId="77777777" w:rsidR="00A34E37" w:rsidRPr="001867BF" w:rsidRDefault="00DC128E" w:rsidP="00F144BB">
      <w:pPr>
        <w:spacing w:line="360" w:lineRule="auto"/>
        <w:jc w:val="both"/>
        <w:rPr>
          <w:rFonts w:ascii="Times New Roman" w:hAnsi="Times New Roman" w:cs="Times New Roman"/>
          <w:b/>
        </w:rPr>
      </w:pPr>
      <w:proofErr w:type="spellStart"/>
      <w:r w:rsidRPr="001867BF">
        <w:rPr>
          <w:rFonts w:ascii="Times New Roman" w:hAnsi="Times New Roman" w:cs="Times New Roman"/>
          <w:b/>
        </w:rPr>
        <w:t>Spatio</w:t>
      </w:r>
      <w:proofErr w:type="spellEnd"/>
      <w:r w:rsidRPr="001867BF">
        <w:rPr>
          <w:rFonts w:ascii="Times New Roman" w:hAnsi="Times New Roman" w:cs="Times New Roman"/>
          <w:b/>
        </w:rPr>
        <w:t xml:space="preserve">-temporal trends of </w:t>
      </w:r>
      <w:r w:rsidR="003A6AF6" w:rsidRPr="001867BF">
        <w:rPr>
          <w:rFonts w:ascii="Times New Roman" w:hAnsi="Times New Roman" w:cs="Times New Roman"/>
          <w:b/>
        </w:rPr>
        <w:t>Urban Expansion Intensity Index (UEII)</w:t>
      </w:r>
      <w:r w:rsidRPr="001867BF">
        <w:rPr>
          <w:rFonts w:ascii="Times New Roman" w:hAnsi="Times New Roman" w:cs="Times New Roman"/>
          <w:b/>
        </w:rPr>
        <w:t xml:space="preserve"> based on buffer gradient analysis during 1990-2020</w:t>
      </w:r>
      <w:r w:rsidR="003A6AF6" w:rsidRPr="001867BF">
        <w:rPr>
          <w:rFonts w:ascii="Times New Roman" w:hAnsi="Times New Roman" w:cs="Times New Roman"/>
          <w:b/>
        </w:rPr>
        <w:t>:</w:t>
      </w:r>
    </w:p>
    <w:p w14:paraId="1F49E5DE" w14:textId="77777777" w:rsidR="00D2628A" w:rsidRPr="001867BF" w:rsidRDefault="004C191F"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From 1990 to 2020, the UEII showed an upward-down and upward pattern, with equivalent starting and reach their highest values. The result appears to indicate</w:t>
      </w:r>
      <w:r w:rsidR="000D68BA" w:rsidRPr="001867BF">
        <w:rPr>
          <w:rFonts w:ascii="Times New Roman" w:eastAsia="Times New Roman" w:hAnsi="Times New Roman" w:cs="Times New Roman"/>
        </w:rPr>
        <w:t xml:space="preserve"> that the</w:t>
      </w:r>
      <w:r w:rsidRPr="001867BF">
        <w:rPr>
          <w:rFonts w:ascii="Times New Roman" w:eastAsia="Times New Roman" w:hAnsi="Times New Roman" w:cs="Times New Roman"/>
        </w:rPr>
        <w:t xml:space="preserve"> urbanization intensity was most intense in the buffer zone surrounding the urban core.</w:t>
      </w:r>
      <w:r w:rsidR="00623C6A" w:rsidRPr="001867BF">
        <w:rPr>
          <w:rFonts w:ascii="Times New Roman" w:hAnsi="Times New Roman" w:cs="Times New Roman"/>
        </w:rPr>
        <w:t xml:space="preserve"> </w:t>
      </w:r>
      <w:r w:rsidR="00623C6A" w:rsidRPr="001867BF">
        <w:rPr>
          <w:rFonts w:ascii="Times New Roman" w:eastAsia="Times New Roman" w:hAnsi="Times New Roman" w:cs="Times New Roman"/>
        </w:rPr>
        <w:t>The curve exhibits a clear breaking point in 7 km from the urban core, implying a sharp decline in UEII for the region beyond the distance, demonstrating a distance decay relationship with the urban the center.</w:t>
      </w:r>
      <w:r w:rsidR="00623C6A" w:rsidRPr="001867BF">
        <w:rPr>
          <w:rFonts w:ascii="Times New Roman" w:hAnsi="Times New Roman" w:cs="Times New Roman"/>
        </w:rPr>
        <w:t xml:space="preserve"> </w:t>
      </w:r>
      <w:r w:rsidR="00623C6A" w:rsidRPr="001867BF">
        <w:rPr>
          <w:rFonts w:ascii="Times New Roman" w:eastAsia="Times New Roman" w:hAnsi="Times New Roman" w:cs="Times New Roman"/>
        </w:rPr>
        <w:t>Expansion intensity peaked between 2000 and 2010</w:t>
      </w:r>
      <w:r w:rsidR="00C81C48" w:rsidRPr="001867BF">
        <w:rPr>
          <w:rFonts w:ascii="Times New Roman" w:eastAsia="Times New Roman" w:hAnsi="Times New Roman" w:cs="Times New Roman"/>
        </w:rPr>
        <w:t xml:space="preserve"> (0.46)</w:t>
      </w:r>
      <w:r w:rsidR="00623C6A" w:rsidRPr="001867BF">
        <w:rPr>
          <w:rFonts w:ascii="Times New Roman" w:eastAsia="Times New Roman" w:hAnsi="Times New Roman" w:cs="Times New Roman"/>
        </w:rPr>
        <w:t>, while it was comparatively lower between 1990 and 2000</w:t>
      </w:r>
      <w:r w:rsidR="00C81C48" w:rsidRPr="001867BF">
        <w:rPr>
          <w:rFonts w:ascii="Times New Roman" w:eastAsia="Times New Roman" w:hAnsi="Times New Roman" w:cs="Times New Roman"/>
        </w:rPr>
        <w:t>(0.18)</w:t>
      </w:r>
      <w:r w:rsidR="00623C6A" w:rsidRPr="001867BF">
        <w:rPr>
          <w:rFonts w:ascii="Times New Roman" w:eastAsia="Times New Roman" w:hAnsi="Times New Roman" w:cs="Times New Roman"/>
        </w:rPr>
        <w:t xml:space="preserve"> and between 2010 and 2020</w:t>
      </w:r>
      <w:r w:rsidR="00C81C48" w:rsidRPr="001867BF">
        <w:rPr>
          <w:rFonts w:ascii="Times New Roman" w:eastAsia="Times New Roman" w:hAnsi="Times New Roman" w:cs="Times New Roman"/>
        </w:rPr>
        <w:t xml:space="preserve"> (0.26)</w:t>
      </w:r>
      <w:r w:rsidR="00623C6A" w:rsidRPr="001867BF">
        <w:rPr>
          <w:rFonts w:ascii="Times New Roman" w:eastAsia="Times New Roman" w:hAnsi="Times New Roman" w:cs="Times New Roman"/>
        </w:rPr>
        <w:t>, indicating the region's varying sp</w:t>
      </w:r>
      <w:r w:rsidR="00C81C48" w:rsidRPr="001867BF">
        <w:rPr>
          <w:rFonts w:ascii="Times New Roman" w:eastAsia="Times New Roman" w:hAnsi="Times New Roman" w:cs="Times New Roman"/>
        </w:rPr>
        <w:t>atial rate of expansion over these 30</w:t>
      </w:r>
      <w:r w:rsidR="00623C6A" w:rsidRPr="001867BF">
        <w:rPr>
          <w:rFonts w:ascii="Times New Roman" w:eastAsia="Times New Roman" w:hAnsi="Times New Roman" w:cs="Times New Roman"/>
        </w:rPr>
        <w:t xml:space="preserve"> years.</w:t>
      </w:r>
      <w:r w:rsidR="00176003" w:rsidRPr="001867BF">
        <w:rPr>
          <w:rFonts w:ascii="Times New Roman" w:hAnsi="Times New Roman" w:cs="Times New Roman"/>
        </w:rPr>
        <w:t xml:space="preserve"> </w:t>
      </w:r>
      <w:r w:rsidR="00176003" w:rsidRPr="001867BF">
        <w:rPr>
          <w:rFonts w:ascii="Times New Roman" w:eastAsia="Times New Roman" w:hAnsi="Times New Roman" w:cs="Times New Roman"/>
        </w:rPr>
        <w:t>The table shows that between 1990 and 2000, the UEII value inside 1 km buffer zones was 0.06; it then increased in the following decade (2000–</w:t>
      </w:r>
    </w:p>
    <w:p w14:paraId="710430C4" w14:textId="5B0FA59E" w:rsidR="004B25A3" w:rsidRPr="001867BF" w:rsidRDefault="007E5E4A" w:rsidP="00F144BB">
      <w:pPr>
        <w:spacing w:line="360" w:lineRule="auto"/>
        <w:jc w:val="both"/>
        <w:rPr>
          <w:rFonts w:ascii="Times New Roman" w:eastAsia="Times New Roman" w:hAnsi="Times New Roman" w:cs="Times New Roman"/>
        </w:rPr>
      </w:pPr>
      <w:r>
        <w:rPr>
          <w:noProof/>
        </w:rPr>
        <w:drawing>
          <wp:inline distT="0" distB="0" distL="0" distR="0" wp14:anchorId="0251813C" wp14:editId="36B06A33">
            <wp:extent cx="5943600" cy="2096135"/>
            <wp:effectExtent l="0" t="0" r="0" b="0"/>
            <wp:docPr id="149172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2439" name=""/>
                    <pic:cNvPicPr/>
                  </pic:nvPicPr>
                  <pic:blipFill>
                    <a:blip r:embed="rId15"/>
                    <a:stretch>
                      <a:fillRect/>
                    </a:stretch>
                  </pic:blipFill>
                  <pic:spPr>
                    <a:xfrm>
                      <a:off x="0" y="0"/>
                      <a:ext cx="5943600" cy="2096135"/>
                    </a:xfrm>
                    <a:prstGeom prst="rect">
                      <a:avLst/>
                    </a:prstGeom>
                  </pic:spPr>
                </pic:pic>
              </a:graphicData>
            </a:graphic>
          </wp:inline>
        </w:drawing>
      </w:r>
    </w:p>
    <w:p w14:paraId="48CFB51B" w14:textId="75268F02" w:rsidR="004B25A3" w:rsidRDefault="004B25A3" w:rsidP="004B25A3">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Fig</w:t>
      </w:r>
      <w:r w:rsidR="00CD3C84">
        <w:rPr>
          <w:rFonts w:ascii="Times New Roman" w:eastAsia="Times New Roman" w:hAnsi="Times New Roman" w:cs="Times New Roman"/>
        </w:rPr>
        <w:t xml:space="preserve"> 7</w:t>
      </w:r>
      <w:r w:rsidRPr="001867BF">
        <w:rPr>
          <w:rFonts w:ascii="Times New Roman" w:eastAsia="Times New Roman" w:hAnsi="Times New Roman" w:cs="Times New Roman"/>
        </w:rPr>
        <w:t>: UEII according distance from city center</w:t>
      </w:r>
    </w:p>
    <w:p w14:paraId="6363A7D8" w14:textId="77777777" w:rsidR="00406073" w:rsidRDefault="00406073" w:rsidP="004B25A3">
      <w:pPr>
        <w:spacing w:line="360" w:lineRule="auto"/>
        <w:jc w:val="both"/>
        <w:rPr>
          <w:rFonts w:ascii="Times New Roman" w:eastAsia="Times New Roman" w:hAnsi="Times New Roman" w:cs="Times New Roman"/>
        </w:rPr>
      </w:pPr>
    </w:p>
    <w:p w14:paraId="012AFDE9" w14:textId="77777777" w:rsidR="00406073" w:rsidRDefault="00406073" w:rsidP="004B25A3">
      <w:pPr>
        <w:spacing w:line="360" w:lineRule="auto"/>
        <w:jc w:val="both"/>
        <w:rPr>
          <w:rFonts w:ascii="Times New Roman" w:eastAsia="Times New Roman" w:hAnsi="Times New Roman" w:cs="Times New Roman"/>
        </w:rPr>
      </w:pPr>
    </w:p>
    <w:p w14:paraId="695B9175" w14:textId="77777777" w:rsidR="00406073" w:rsidRDefault="00406073" w:rsidP="004B25A3">
      <w:pPr>
        <w:spacing w:line="360" w:lineRule="auto"/>
        <w:jc w:val="both"/>
        <w:rPr>
          <w:rFonts w:ascii="Times New Roman" w:eastAsia="Times New Roman" w:hAnsi="Times New Roman" w:cs="Times New Roman"/>
        </w:rPr>
      </w:pPr>
    </w:p>
    <w:p w14:paraId="78E83016" w14:textId="77777777" w:rsidR="00406073" w:rsidRDefault="00406073" w:rsidP="004B25A3">
      <w:pPr>
        <w:spacing w:line="360" w:lineRule="auto"/>
        <w:jc w:val="both"/>
        <w:rPr>
          <w:rFonts w:ascii="Times New Roman" w:eastAsia="Times New Roman" w:hAnsi="Times New Roman" w:cs="Times New Roman"/>
        </w:rPr>
      </w:pPr>
    </w:p>
    <w:p w14:paraId="7E89A796" w14:textId="77777777" w:rsidR="00406073" w:rsidRDefault="00406073" w:rsidP="004B25A3">
      <w:pPr>
        <w:spacing w:line="360" w:lineRule="auto"/>
        <w:jc w:val="both"/>
        <w:rPr>
          <w:rFonts w:ascii="Times New Roman" w:eastAsia="Times New Roman" w:hAnsi="Times New Roman" w:cs="Times New Roman"/>
        </w:rPr>
      </w:pPr>
    </w:p>
    <w:p w14:paraId="01EF1F68" w14:textId="77777777" w:rsidR="00406073" w:rsidRPr="001867BF" w:rsidRDefault="00406073" w:rsidP="004B25A3">
      <w:pPr>
        <w:spacing w:line="360" w:lineRule="auto"/>
        <w:jc w:val="both"/>
        <w:rPr>
          <w:rFonts w:ascii="Times New Roman" w:eastAsia="Times New Roman" w:hAnsi="Times New Roman" w:cs="Times New Roman"/>
        </w:rPr>
      </w:pPr>
    </w:p>
    <w:p w14:paraId="4D947A46" w14:textId="0F1052DA" w:rsidR="00D2628A" w:rsidRDefault="00D2628A"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4</w:t>
      </w:r>
      <w:r w:rsidRPr="001867BF">
        <w:rPr>
          <w:rFonts w:ascii="Times New Roman" w:eastAsia="Times New Roman" w:hAnsi="Times New Roman" w:cs="Times New Roman"/>
        </w:rPr>
        <w:t>: UEII according to distance from city center</w:t>
      </w:r>
    </w:p>
    <w:p w14:paraId="242B72CE" w14:textId="77777777" w:rsidR="007E5E4A" w:rsidRDefault="007E5E4A" w:rsidP="00F144BB">
      <w:pPr>
        <w:spacing w:line="360" w:lineRule="auto"/>
        <w:jc w:val="both"/>
        <w:rPr>
          <w:rFonts w:ascii="Times New Roman" w:eastAsia="Times New Roman" w:hAnsi="Times New Roman" w:cs="Times New Roman"/>
        </w:rPr>
      </w:pPr>
    </w:p>
    <w:p w14:paraId="44565713" w14:textId="70FDD2CD" w:rsidR="007E5E4A" w:rsidRDefault="007E5E4A" w:rsidP="00F144BB">
      <w:pPr>
        <w:spacing w:line="360" w:lineRule="auto"/>
        <w:jc w:val="both"/>
        <w:rPr>
          <w:rFonts w:ascii="Times New Roman" w:eastAsia="Times New Roman" w:hAnsi="Times New Roman" w:cs="Times New Roman"/>
        </w:rPr>
      </w:pPr>
      <w:r>
        <w:rPr>
          <w:noProof/>
        </w:rPr>
        <w:drawing>
          <wp:inline distT="0" distB="0" distL="0" distR="0" wp14:anchorId="548CFE54" wp14:editId="4CA13864">
            <wp:extent cx="5943600" cy="3864610"/>
            <wp:effectExtent l="0" t="0" r="0" b="0"/>
            <wp:docPr id="29394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46463" name=""/>
                    <pic:cNvPicPr/>
                  </pic:nvPicPr>
                  <pic:blipFill>
                    <a:blip r:embed="rId16"/>
                    <a:stretch>
                      <a:fillRect/>
                    </a:stretch>
                  </pic:blipFill>
                  <pic:spPr>
                    <a:xfrm>
                      <a:off x="0" y="0"/>
                      <a:ext cx="5943600" cy="3864610"/>
                    </a:xfrm>
                    <a:prstGeom prst="rect">
                      <a:avLst/>
                    </a:prstGeom>
                  </pic:spPr>
                </pic:pic>
              </a:graphicData>
            </a:graphic>
          </wp:inline>
        </w:drawing>
      </w:r>
    </w:p>
    <w:p w14:paraId="3F7379ED" w14:textId="77777777" w:rsidR="007E5E4A" w:rsidRPr="001867BF" w:rsidRDefault="007E5E4A" w:rsidP="00F144BB">
      <w:pPr>
        <w:spacing w:line="360" w:lineRule="auto"/>
        <w:jc w:val="both"/>
        <w:rPr>
          <w:rFonts w:ascii="Times New Roman" w:eastAsia="Times New Roman" w:hAnsi="Times New Roman" w:cs="Times New Roman"/>
        </w:rPr>
      </w:pPr>
    </w:p>
    <w:p w14:paraId="5423B0B0" w14:textId="77777777" w:rsidR="00D2628A" w:rsidRPr="001867BF" w:rsidRDefault="00D2628A" w:rsidP="00F144BB">
      <w:pPr>
        <w:spacing w:line="360" w:lineRule="auto"/>
        <w:jc w:val="both"/>
        <w:rPr>
          <w:rFonts w:ascii="Times New Roman" w:eastAsia="Times New Roman" w:hAnsi="Times New Roman" w:cs="Times New Roman"/>
        </w:rPr>
      </w:pPr>
    </w:p>
    <w:p w14:paraId="783E37EF" w14:textId="77777777" w:rsidR="00D2628A" w:rsidRPr="001867BF" w:rsidRDefault="00D2628A" w:rsidP="00F144BB">
      <w:pPr>
        <w:spacing w:line="360" w:lineRule="auto"/>
        <w:jc w:val="both"/>
        <w:rPr>
          <w:rFonts w:ascii="Times New Roman" w:eastAsia="Times New Roman" w:hAnsi="Times New Roman" w:cs="Times New Roman"/>
        </w:rPr>
      </w:pPr>
    </w:p>
    <w:p w14:paraId="05F4D087" w14:textId="77777777" w:rsidR="00D2628A" w:rsidRPr="001867BF" w:rsidRDefault="00D2628A" w:rsidP="00F144BB">
      <w:pPr>
        <w:spacing w:line="360" w:lineRule="auto"/>
        <w:jc w:val="both"/>
        <w:rPr>
          <w:rFonts w:ascii="Times New Roman" w:eastAsia="Times New Roman" w:hAnsi="Times New Roman" w:cs="Times New Roman"/>
        </w:rPr>
      </w:pPr>
    </w:p>
    <w:p w14:paraId="1BF07288" w14:textId="77777777" w:rsidR="00D2628A" w:rsidRPr="001867BF" w:rsidRDefault="00D2628A" w:rsidP="00F144BB">
      <w:pPr>
        <w:spacing w:line="360" w:lineRule="auto"/>
        <w:jc w:val="both"/>
        <w:rPr>
          <w:rFonts w:ascii="Times New Roman" w:eastAsia="Times New Roman" w:hAnsi="Times New Roman" w:cs="Times New Roman"/>
        </w:rPr>
      </w:pPr>
    </w:p>
    <w:p w14:paraId="72669AAD" w14:textId="272344BA" w:rsidR="00D2628A" w:rsidRPr="001867BF" w:rsidRDefault="00D2628A" w:rsidP="00F144BB">
      <w:pPr>
        <w:spacing w:line="360" w:lineRule="auto"/>
        <w:jc w:val="both"/>
        <w:rPr>
          <w:rFonts w:ascii="Times New Roman" w:eastAsia="Times New Roman" w:hAnsi="Times New Roman" w:cs="Times New Roman"/>
        </w:rPr>
      </w:pPr>
    </w:p>
    <w:p w14:paraId="6548E5CB" w14:textId="77777777" w:rsidR="00D2628A" w:rsidRPr="001867BF" w:rsidRDefault="00D2628A" w:rsidP="00F144BB">
      <w:pPr>
        <w:spacing w:line="360" w:lineRule="auto"/>
        <w:jc w:val="both"/>
        <w:rPr>
          <w:rFonts w:ascii="Times New Roman" w:eastAsia="Times New Roman" w:hAnsi="Times New Roman" w:cs="Times New Roman"/>
        </w:rPr>
      </w:pPr>
    </w:p>
    <w:p w14:paraId="38A47BD5" w14:textId="77777777" w:rsidR="00D2628A" w:rsidRPr="001867BF" w:rsidRDefault="00D2628A" w:rsidP="00F144BB">
      <w:pPr>
        <w:spacing w:line="360" w:lineRule="auto"/>
        <w:jc w:val="both"/>
        <w:rPr>
          <w:rFonts w:ascii="Times New Roman" w:eastAsia="Times New Roman" w:hAnsi="Times New Roman" w:cs="Times New Roman"/>
        </w:rPr>
      </w:pPr>
    </w:p>
    <w:p w14:paraId="192F611D" w14:textId="77777777" w:rsidR="00D2628A" w:rsidRPr="001867BF" w:rsidRDefault="00D2628A" w:rsidP="00F144BB">
      <w:pPr>
        <w:spacing w:line="360" w:lineRule="auto"/>
        <w:jc w:val="both"/>
        <w:rPr>
          <w:rFonts w:ascii="Times New Roman" w:eastAsia="Times New Roman" w:hAnsi="Times New Roman" w:cs="Times New Roman"/>
        </w:rPr>
      </w:pPr>
    </w:p>
    <w:p w14:paraId="49AD5AFE" w14:textId="77777777" w:rsidR="00D2628A" w:rsidRPr="001867BF" w:rsidRDefault="00D2628A" w:rsidP="00F144BB">
      <w:pPr>
        <w:spacing w:line="360" w:lineRule="auto"/>
        <w:jc w:val="both"/>
        <w:rPr>
          <w:rFonts w:ascii="Times New Roman" w:eastAsia="Times New Roman" w:hAnsi="Times New Roman" w:cs="Times New Roman"/>
        </w:rPr>
      </w:pPr>
    </w:p>
    <w:p w14:paraId="1A88AABA" w14:textId="77777777" w:rsidR="00A6028C" w:rsidRPr="001867BF" w:rsidRDefault="00A6028C" w:rsidP="00F144BB">
      <w:pPr>
        <w:spacing w:line="360" w:lineRule="auto"/>
        <w:jc w:val="both"/>
        <w:rPr>
          <w:rFonts w:ascii="Times New Roman" w:eastAsia="Times New Roman" w:hAnsi="Times New Roman" w:cs="Times New Roman"/>
        </w:rPr>
      </w:pPr>
    </w:p>
    <w:p w14:paraId="080A5CFE" w14:textId="77777777" w:rsidR="008724DE" w:rsidRPr="001867BF" w:rsidRDefault="00176003"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2010) and will reach 0.26, indicating infill growth within the inner city. However, the drop to 0.11 for the following ten years, 2010–2020, indicates that there is insufficient open space for more built-up growth. Due to a shortage of adequate land for development, the UEII value inside the 3 km buffer zone has generally been declining over the past 30 years. </w:t>
      </w:r>
      <w:r w:rsidR="004E7CF2" w:rsidRPr="001867BF">
        <w:rPr>
          <w:rFonts w:ascii="Times New Roman" w:eastAsia="Times New Roman" w:hAnsi="Times New Roman" w:cs="Times New Roman"/>
        </w:rPr>
        <w:t xml:space="preserve">While zone 3 </w:t>
      </w:r>
      <w:r w:rsidR="00D675D1" w:rsidRPr="001867BF">
        <w:rPr>
          <w:rFonts w:ascii="Times New Roman" w:eastAsia="Times New Roman" w:hAnsi="Times New Roman" w:cs="Times New Roman"/>
        </w:rPr>
        <w:t>exhibit</w:t>
      </w:r>
      <w:r w:rsidR="004E7CF2" w:rsidRPr="001867BF">
        <w:rPr>
          <w:rFonts w:ascii="Times New Roman" w:eastAsia="Times New Roman" w:hAnsi="Times New Roman" w:cs="Times New Roman"/>
        </w:rPr>
        <w:t xml:space="preserve"> a very </w:t>
      </w:r>
      <w:proofErr w:type="gramStart"/>
      <w:r w:rsidR="004E7CF2" w:rsidRPr="001867BF">
        <w:rPr>
          <w:rFonts w:ascii="Times New Roman" w:eastAsia="Times New Roman" w:hAnsi="Times New Roman" w:cs="Times New Roman"/>
        </w:rPr>
        <w:t>high speed</w:t>
      </w:r>
      <w:proofErr w:type="gramEnd"/>
      <w:r w:rsidR="004E7CF2" w:rsidRPr="001867BF">
        <w:rPr>
          <w:rFonts w:ascii="Times New Roman" w:eastAsia="Times New Roman" w:hAnsi="Times New Roman" w:cs="Times New Roman"/>
        </w:rPr>
        <w:t xml:space="preserve"> development within the period of 2000-2010.</w:t>
      </w:r>
      <w:r w:rsidR="004E7CF2" w:rsidRPr="001867BF">
        <w:rPr>
          <w:rFonts w:ascii="Times New Roman" w:hAnsi="Times New Roman" w:cs="Times New Roman"/>
        </w:rPr>
        <w:t xml:space="preserve"> </w:t>
      </w:r>
      <w:r w:rsidR="004E7CF2" w:rsidRPr="001867BF">
        <w:rPr>
          <w:rFonts w:ascii="Times New Roman" w:eastAsia="Times New Roman" w:hAnsi="Times New Roman" w:cs="Times New Roman"/>
        </w:rPr>
        <w:t>Zones 4 and 5 show low to moderate expansion intensity between 1990 and 2000, however between 2000 and 2020, they show rapid development, with respective values of 1.57, 1.67 for zone 4 and 1.29 and 1.30 for zone 5. The UEII value from zone 6 to zone 23 rose significantly between 1990 and 2010, but then began to slow down between 2010 and 2020.</w:t>
      </w:r>
      <w:r w:rsidR="004E7CF2" w:rsidRPr="001867BF">
        <w:rPr>
          <w:rFonts w:ascii="Times New Roman" w:hAnsi="Times New Roman" w:cs="Times New Roman"/>
        </w:rPr>
        <w:t xml:space="preserve"> </w:t>
      </w:r>
      <w:r w:rsidR="004E7CF2" w:rsidRPr="001867BF">
        <w:rPr>
          <w:rFonts w:ascii="Times New Roman" w:eastAsia="Times New Roman" w:hAnsi="Times New Roman" w:cs="Times New Roman"/>
        </w:rPr>
        <w:t>Zones 4 and 5 show low to moderate expansion intensity between 1990 and 2000, however between 2000 and 2020, they show rapid development, with respective values of 1.57, 1.67 for zone 4 and 1.29 and 1.30 for zone 5. The UEII value from zone 6 to zone 23 rose significantly between 1990 and 2010</w:t>
      </w:r>
      <w:r w:rsidR="00E01D93" w:rsidRPr="001867BF">
        <w:rPr>
          <w:rFonts w:ascii="Times New Roman" w:eastAsia="Times New Roman" w:hAnsi="Times New Roman" w:cs="Times New Roman"/>
        </w:rPr>
        <w:t xml:space="preserve"> indicating an increased rural urbanization</w:t>
      </w:r>
      <w:r w:rsidR="004E7CF2" w:rsidRPr="001867BF">
        <w:rPr>
          <w:rFonts w:ascii="Times New Roman" w:eastAsia="Times New Roman" w:hAnsi="Times New Roman" w:cs="Times New Roman"/>
        </w:rPr>
        <w:t>, but then began to slow down between 2010 and 2020.</w:t>
      </w:r>
      <w:r w:rsidR="002521A5" w:rsidRPr="001867BF">
        <w:rPr>
          <w:rFonts w:ascii="Times New Roman" w:hAnsi="Times New Roman" w:cs="Times New Roman"/>
        </w:rPr>
        <w:t xml:space="preserve"> </w:t>
      </w:r>
      <w:r w:rsidR="002521A5" w:rsidRPr="001867BF">
        <w:rPr>
          <w:rFonts w:ascii="Times New Roman" w:eastAsia="Times New Roman" w:hAnsi="Times New Roman" w:cs="Times New Roman"/>
        </w:rPr>
        <w:t xml:space="preserve">In general, there is extremely </w:t>
      </w:r>
      <w:proofErr w:type="gramStart"/>
      <w:r w:rsidR="002521A5" w:rsidRPr="001867BF">
        <w:rPr>
          <w:rFonts w:ascii="Times New Roman" w:eastAsia="Times New Roman" w:hAnsi="Times New Roman" w:cs="Times New Roman"/>
        </w:rPr>
        <w:t>high speed</w:t>
      </w:r>
      <w:proofErr w:type="gramEnd"/>
      <w:r w:rsidR="002521A5" w:rsidRPr="001867BF">
        <w:rPr>
          <w:rFonts w:ascii="Times New Roman" w:eastAsia="Times New Roman" w:hAnsi="Times New Roman" w:cs="Times New Roman"/>
        </w:rPr>
        <w:t xml:space="preserve"> development </w:t>
      </w:r>
      <w:r w:rsidR="009F4E90" w:rsidRPr="001867BF">
        <w:rPr>
          <w:rFonts w:ascii="Times New Roman" w:eastAsia="Times New Roman" w:hAnsi="Times New Roman" w:cs="Times New Roman"/>
        </w:rPr>
        <w:t xml:space="preserve">is seen </w:t>
      </w:r>
      <w:r w:rsidR="002521A5" w:rsidRPr="001867BF">
        <w:rPr>
          <w:rFonts w:ascii="Times New Roman" w:eastAsia="Times New Roman" w:hAnsi="Times New Roman" w:cs="Times New Roman"/>
        </w:rPr>
        <w:t>between 2 and 5 km from the city center, fast development between 6 and 9 km, and medium speed development between 10 and 12 km from the city center. The intensity of the expansion, however, decreased after 12 km from the city, and the urban growth rate is extremely slow beyond 19 km.</w:t>
      </w:r>
      <w:r w:rsidR="004E7CF2" w:rsidRPr="001867BF">
        <w:rPr>
          <w:rFonts w:ascii="Times New Roman" w:eastAsia="Times New Roman" w:hAnsi="Times New Roman" w:cs="Times New Roman"/>
        </w:rPr>
        <w:t xml:space="preserve"> </w:t>
      </w:r>
      <w:r w:rsidR="008724DE" w:rsidRPr="001867BF">
        <w:rPr>
          <w:rFonts w:ascii="Times New Roman" w:eastAsia="Times New Roman" w:hAnsi="Times New Roman" w:cs="Times New Roman"/>
        </w:rPr>
        <w:t>The area has a low UEII score and a progressive downturn in urbanization, indicating an absolute absence of influence relative to the Siliguri metropolitan region. Changes in U</w:t>
      </w:r>
      <w:r w:rsidR="00BD0ABF" w:rsidRPr="001867BF">
        <w:rPr>
          <w:rFonts w:ascii="Times New Roman" w:eastAsia="Times New Roman" w:hAnsi="Times New Roman" w:cs="Times New Roman"/>
        </w:rPr>
        <w:t>E</w:t>
      </w:r>
      <w:r w:rsidR="008724DE" w:rsidRPr="001867BF">
        <w:rPr>
          <w:rFonts w:ascii="Times New Roman" w:eastAsia="Times New Roman" w:hAnsi="Times New Roman" w:cs="Times New Roman"/>
        </w:rPr>
        <w:t xml:space="preserve">II beyond a certain distance may be attributed to rural or local townships. </w:t>
      </w:r>
    </w:p>
    <w:p w14:paraId="109E3153" w14:textId="77777777" w:rsidR="00AF5AED" w:rsidRPr="001867BF" w:rsidRDefault="00BD0ABF" w:rsidP="00F144BB">
      <w:pPr>
        <w:spacing w:line="360" w:lineRule="auto"/>
        <w:jc w:val="both"/>
        <w:rPr>
          <w:rFonts w:ascii="Times New Roman" w:eastAsia="Times New Roman" w:hAnsi="Times New Roman" w:cs="Times New Roman"/>
        </w:rPr>
      </w:pPr>
      <w:proofErr w:type="gramStart"/>
      <w:r w:rsidRPr="001867BF">
        <w:rPr>
          <w:rFonts w:ascii="Times New Roman" w:hAnsi="Times New Roman" w:cs="Times New Roman"/>
        </w:rPr>
        <w:t>Figure  displays</w:t>
      </w:r>
      <w:proofErr w:type="gramEnd"/>
      <w:r w:rsidRPr="001867BF">
        <w:rPr>
          <w:rFonts w:ascii="Times New Roman" w:hAnsi="Times New Roman" w:cs="Times New Roman"/>
        </w:rPr>
        <w:t xml:space="preserve"> the results of the spatial </w:t>
      </w:r>
      <w:r w:rsidR="00CD2F72" w:rsidRPr="001867BF">
        <w:rPr>
          <w:rFonts w:ascii="Times New Roman" w:hAnsi="Times New Roman" w:cs="Times New Roman"/>
        </w:rPr>
        <w:t>aeolotropies</w:t>
      </w:r>
      <w:r w:rsidRPr="001867BF">
        <w:rPr>
          <w:rFonts w:ascii="Times New Roman" w:hAnsi="Times New Roman" w:cs="Times New Roman"/>
        </w:rPr>
        <w:t xml:space="preserve"> analysis of the UEII for Siliguri.</w:t>
      </w:r>
      <w:r w:rsidR="000A21B6" w:rsidRPr="001867BF">
        <w:rPr>
          <w:rFonts w:ascii="Times New Roman" w:eastAsia="Times New Roman" w:hAnsi="Times New Roman" w:cs="Times New Roman"/>
        </w:rPr>
        <w:t xml:space="preserve"> </w:t>
      </w:r>
      <w:r w:rsidRPr="001867BF">
        <w:rPr>
          <w:rFonts w:ascii="Times New Roman" w:eastAsia="Times New Roman" w:hAnsi="Times New Roman" w:cs="Times New Roman"/>
        </w:rPr>
        <w:t>In terms of geographic position, Siliguri City's capacity for physical growth is constrained by several factors, which prevent it from expanding uniformly in all directions.</w:t>
      </w:r>
      <w:r w:rsidRPr="001867BF">
        <w:rPr>
          <w:rFonts w:ascii="Times New Roman" w:hAnsi="Times New Roman" w:cs="Times New Roman"/>
        </w:rPr>
        <w:t xml:space="preserve"> </w:t>
      </w:r>
      <w:r w:rsidRPr="001867BF">
        <w:rPr>
          <w:rFonts w:ascii="Times New Roman" w:eastAsia="Times New Roman" w:hAnsi="Times New Roman" w:cs="Times New Roman"/>
        </w:rPr>
        <w:t xml:space="preserve">The international boundary with Bangladesh to the </w:t>
      </w:r>
      <w:r w:rsidRPr="001867BF">
        <w:rPr>
          <w:rFonts w:ascii="Times New Roman" w:eastAsia="Times New Roman" w:hAnsi="Times New Roman" w:cs="Times New Roman"/>
        </w:rPr>
        <w:lastRenderedPageBreak/>
        <w:t xml:space="preserve">south and the </w:t>
      </w:r>
      <w:proofErr w:type="spellStart"/>
      <w:r w:rsidRPr="001867BF">
        <w:rPr>
          <w:rFonts w:ascii="Times New Roman" w:eastAsia="Times New Roman" w:hAnsi="Times New Roman" w:cs="Times New Roman"/>
        </w:rPr>
        <w:t>Baikunthapur</w:t>
      </w:r>
      <w:proofErr w:type="spellEnd"/>
      <w:r w:rsidRPr="001867BF">
        <w:rPr>
          <w:rFonts w:ascii="Times New Roman" w:eastAsia="Times New Roman" w:hAnsi="Times New Roman" w:cs="Times New Roman"/>
        </w:rPr>
        <w:t xml:space="preserve"> Forest to the east both </w:t>
      </w:r>
      <w:proofErr w:type="gramStart"/>
      <w:r w:rsidRPr="001867BF">
        <w:rPr>
          <w:rFonts w:ascii="Times New Roman" w:eastAsia="Times New Roman" w:hAnsi="Times New Roman" w:cs="Times New Roman"/>
        </w:rPr>
        <w:t>confine</w:t>
      </w:r>
      <w:proofErr w:type="gramEnd"/>
      <w:r w:rsidRPr="001867BF">
        <w:rPr>
          <w:rFonts w:ascii="Times New Roman" w:eastAsia="Times New Roman" w:hAnsi="Times New Roman" w:cs="Times New Roman"/>
        </w:rPr>
        <w:t xml:space="preserve"> the city's expansion. The city therefore grows primarily in two directions: north and west. </w:t>
      </w:r>
      <w:r w:rsidR="00AF5AED" w:rsidRPr="001867BF">
        <w:rPr>
          <w:rFonts w:ascii="Times New Roman" w:eastAsia="Times New Roman" w:hAnsi="Times New Roman" w:cs="Times New Roman"/>
        </w:rPr>
        <w:t xml:space="preserve">Most of the development may be seen in the north and northeast on both sides of the </w:t>
      </w:r>
      <w:proofErr w:type="spellStart"/>
      <w:r w:rsidR="00AF5AED" w:rsidRPr="001867BF">
        <w:rPr>
          <w:rFonts w:ascii="Times New Roman" w:eastAsia="Times New Roman" w:hAnsi="Times New Roman" w:cs="Times New Roman"/>
        </w:rPr>
        <w:t>Sevoke</w:t>
      </w:r>
      <w:proofErr w:type="spellEnd"/>
      <w:r w:rsidR="00AF5AED" w:rsidRPr="001867BF">
        <w:rPr>
          <w:rFonts w:ascii="Times New Roman" w:eastAsia="Times New Roman" w:hAnsi="Times New Roman" w:cs="Times New Roman"/>
        </w:rPr>
        <w:t xml:space="preserve"> road, which leads to the </w:t>
      </w:r>
      <w:proofErr w:type="spellStart"/>
      <w:r w:rsidR="00AF5AED" w:rsidRPr="001867BF">
        <w:rPr>
          <w:rFonts w:ascii="Times New Roman" w:eastAsia="Times New Roman" w:hAnsi="Times New Roman" w:cs="Times New Roman"/>
        </w:rPr>
        <w:t>Manpong</w:t>
      </w:r>
      <w:proofErr w:type="spellEnd"/>
      <w:r w:rsidR="00AF5AED" w:rsidRPr="001867BF">
        <w:rPr>
          <w:rFonts w:ascii="Times New Roman" w:eastAsia="Times New Roman" w:hAnsi="Times New Roman" w:cs="Times New Roman"/>
        </w:rPr>
        <w:t xml:space="preserve"> forest. Along the westward-running NH-31 (Siliguri-</w:t>
      </w:r>
      <w:proofErr w:type="spellStart"/>
      <w:r w:rsidR="00AF5AED" w:rsidRPr="001867BF">
        <w:rPr>
          <w:rFonts w:ascii="Times New Roman" w:eastAsia="Times New Roman" w:hAnsi="Times New Roman" w:cs="Times New Roman"/>
        </w:rPr>
        <w:t>Bagdogra</w:t>
      </w:r>
      <w:proofErr w:type="spellEnd"/>
      <w:r w:rsidR="00AF5AED" w:rsidRPr="001867BF">
        <w:rPr>
          <w:rFonts w:ascii="Times New Roman" w:eastAsia="Times New Roman" w:hAnsi="Times New Roman" w:cs="Times New Roman"/>
        </w:rPr>
        <w:t xml:space="preserve"> road), the most significant urban expansion outside the city limit is seen. But the growth of this west is also constrained in certain respects by the existence of tea gardens.</w:t>
      </w:r>
    </w:p>
    <w:p w14:paraId="1FD707B5" w14:textId="1F39895A" w:rsidR="00101B57" w:rsidRDefault="00101B57"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5</w:t>
      </w:r>
      <w:r w:rsidRPr="001867BF">
        <w:rPr>
          <w:rFonts w:ascii="Times New Roman" w:eastAsia="Times New Roman" w:hAnsi="Times New Roman" w:cs="Times New Roman"/>
        </w:rPr>
        <w:t>: UEII according to different directions</w:t>
      </w:r>
    </w:p>
    <w:p w14:paraId="0CB20308" w14:textId="7759070A" w:rsidR="007E5E4A" w:rsidRPr="001867BF" w:rsidRDefault="007E5E4A" w:rsidP="00F144BB">
      <w:pPr>
        <w:spacing w:line="360" w:lineRule="auto"/>
        <w:jc w:val="both"/>
        <w:rPr>
          <w:rFonts w:ascii="Times New Roman" w:eastAsia="Times New Roman" w:hAnsi="Times New Roman" w:cs="Times New Roman"/>
        </w:rPr>
      </w:pPr>
      <w:r>
        <w:rPr>
          <w:noProof/>
        </w:rPr>
        <w:drawing>
          <wp:inline distT="0" distB="0" distL="0" distR="0" wp14:anchorId="2D7010E8" wp14:editId="6F87C165">
            <wp:extent cx="5943600" cy="2681605"/>
            <wp:effectExtent l="0" t="0" r="0" b="0"/>
            <wp:docPr id="203838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83595" name=""/>
                    <pic:cNvPicPr/>
                  </pic:nvPicPr>
                  <pic:blipFill>
                    <a:blip r:embed="rId17"/>
                    <a:stretch>
                      <a:fillRect/>
                    </a:stretch>
                  </pic:blipFill>
                  <pic:spPr>
                    <a:xfrm>
                      <a:off x="0" y="0"/>
                      <a:ext cx="5943600" cy="2681605"/>
                    </a:xfrm>
                    <a:prstGeom prst="rect">
                      <a:avLst/>
                    </a:prstGeom>
                  </pic:spPr>
                </pic:pic>
              </a:graphicData>
            </a:graphic>
          </wp:inline>
        </w:drawing>
      </w:r>
    </w:p>
    <w:p w14:paraId="174F7A55" w14:textId="77777777" w:rsidR="00101B57" w:rsidRPr="001867BF" w:rsidRDefault="00101B57" w:rsidP="00F144BB">
      <w:pPr>
        <w:spacing w:line="360" w:lineRule="auto"/>
        <w:jc w:val="both"/>
        <w:rPr>
          <w:rFonts w:ascii="Times New Roman" w:eastAsia="Times New Roman" w:hAnsi="Times New Roman" w:cs="Times New Roman"/>
        </w:rPr>
      </w:pPr>
    </w:p>
    <w:p w14:paraId="5F14BE9B" w14:textId="5FFD2207" w:rsidR="006B5549" w:rsidRPr="001867BF" w:rsidRDefault="006B5549" w:rsidP="00F144BB">
      <w:pPr>
        <w:spacing w:line="360" w:lineRule="auto"/>
        <w:jc w:val="both"/>
        <w:rPr>
          <w:rFonts w:ascii="Times New Roman" w:eastAsia="Times New Roman" w:hAnsi="Times New Roman" w:cs="Times New Roman"/>
        </w:rPr>
      </w:pPr>
    </w:p>
    <w:p w14:paraId="39E13533" w14:textId="77777777" w:rsidR="004E7CF2" w:rsidRPr="001867BF" w:rsidRDefault="004E7CF2" w:rsidP="00F144BB">
      <w:pPr>
        <w:spacing w:line="360" w:lineRule="auto"/>
        <w:jc w:val="both"/>
        <w:rPr>
          <w:rFonts w:ascii="Times New Roman" w:eastAsia="Times New Roman" w:hAnsi="Times New Roman" w:cs="Times New Roman"/>
        </w:rPr>
      </w:pPr>
    </w:p>
    <w:p w14:paraId="0FC2A6CB" w14:textId="77777777" w:rsidR="006B5549" w:rsidRPr="001867BF" w:rsidRDefault="006B5549" w:rsidP="00F144BB">
      <w:pPr>
        <w:spacing w:line="360" w:lineRule="auto"/>
        <w:jc w:val="both"/>
        <w:rPr>
          <w:rFonts w:ascii="Times New Roman" w:eastAsia="Times New Roman" w:hAnsi="Times New Roman" w:cs="Times New Roman"/>
        </w:rPr>
      </w:pPr>
    </w:p>
    <w:p w14:paraId="3985753D" w14:textId="77777777" w:rsidR="006B5549" w:rsidRPr="001867BF" w:rsidRDefault="006B5549" w:rsidP="00F144BB">
      <w:pPr>
        <w:spacing w:line="360" w:lineRule="auto"/>
        <w:jc w:val="both"/>
        <w:rPr>
          <w:rFonts w:ascii="Times New Roman" w:eastAsia="Times New Roman" w:hAnsi="Times New Roman" w:cs="Times New Roman"/>
        </w:rPr>
      </w:pPr>
    </w:p>
    <w:p w14:paraId="4FEF878A" w14:textId="77777777" w:rsidR="006B5549" w:rsidRPr="001867BF" w:rsidRDefault="006B5549" w:rsidP="00F144BB">
      <w:pPr>
        <w:spacing w:line="360" w:lineRule="auto"/>
        <w:jc w:val="both"/>
        <w:rPr>
          <w:rFonts w:ascii="Times New Roman" w:eastAsia="Times New Roman" w:hAnsi="Times New Roman" w:cs="Times New Roman"/>
        </w:rPr>
      </w:pPr>
    </w:p>
    <w:p w14:paraId="332FA5EE" w14:textId="77777777" w:rsidR="004B25A3" w:rsidRPr="001867BF" w:rsidRDefault="004B25A3"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noProof/>
        </w:rPr>
        <w:lastRenderedPageBreak/>
        <w:drawing>
          <wp:inline distT="0" distB="0" distL="0" distR="0" wp14:anchorId="12F855A4" wp14:editId="4B050DE1">
            <wp:extent cx="5604933" cy="1524000"/>
            <wp:effectExtent l="0" t="0" r="0" b="0"/>
            <wp:docPr id="6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FD6B69" w14:textId="0D798FF3" w:rsidR="004B25A3" w:rsidRPr="001867BF" w:rsidRDefault="004B25A3" w:rsidP="004B25A3">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Fig</w:t>
      </w:r>
      <w:r w:rsidR="00CD3C84">
        <w:rPr>
          <w:rFonts w:ascii="Times New Roman" w:eastAsia="Times New Roman" w:hAnsi="Times New Roman" w:cs="Times New Roman"/>
        </w:rPr>
        <w:t xml:space="preserve"> 8</w:t>
      </w:r>
      <w:r w:rsidRPr="001867BF">
        <w:rPr>
          <w:rFonts w:ascii="Times New Roman" w:eastAsia="Times New Roman" w:hAnsi="Times New Roman" w:cs="Times New Roman"/>
        </w:rPr>
        <w:t>: UEII according to different directions</w:t>
      </w:r>
    </w:p>
    <w:p w14:paraId="260E6DB8" w14:textId="77777777" w:rsidR="00792AA9" w:rsidRPr="001867BF" w:rsidRDefault="00D95E46"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During the period of 1990-</w:t>
      </w:r>
      <w:proofErr w:type="gramStart"/>
      <w:r w:rsidRPr="001867BF">
        <w:rPr>
          <w:rFonts w:ascii="Times New Roman" w:eastAsia="Times New Roman" w:hAnsi="Times New Roman" w:cs="Times New Roman"/>
        </w:rPr>
        <w:t>2000 ,</w:t>
      </w:r>
      <w:proofErr w:type="gramEnd"/>
      <w:r w:rsidRPr="001867BF">
        <w:rPr>
          <w:rFonts w:ascii="Times New Roman" w:eastAsia="Times New Roman" w:hAnsi="Times New Roman" w:cs="Times New Roman"/>
        </w:rPr>
        <w:t xml:space="preserve"> the UEII curve had no sharp peak, and had low to very low trend of </w:t>
      </w:r>
      <w:proofErr w:type="spellStart"/>
      <w:r w:rsidRPr="001867BF">
        <w:rPr>
          <w:rFonts w:ascii="Times New Roman" w:eastAsia="Times New Roman" w:hAnsi="Times New Roman" w:cs="Times New Roman"/>
        </w:rPr>
        <w:t>UEII.</w:t>
      </w:r>
      <w:r w:rsidR="006D6547" w:rsidRPr="001867BF">
        <w:rPr>
          <w:rFonts w:ascii="Times New Roman" w:eastAsia="Times New Roman" w:hAnsi="Times New Roman" w:cs="Times New Roman"/>
        </w:rPr>
        <w:t>This</w:t>
      </w:r>
      <w:proofErr w:type="spellEnd"/>
      <w:r w:rsidR="006D6547" w:rsidRPr="001867BF">
        <w:rPr>
          <w:rFonts w:ascii="Times New Roman" w:eastAsia="Times New Roman" w:hAnsi="Times New Roman" w:cs="Times New Roman"/>
        </w:rPr>
        <w:t xml:space="preserve"> intensity get picked during 2000-2010almost all directions and during this time highest pick is seen S-SW direction with a UEII value of 1.001 followed by W-SW (0.911) and W-NW(0.543).</w:t>
      </w:r>
      <w:r w:rsidR="006D6547" w:rsidRPr="001867BF">
        <w:rPr>
          <w:rFonts w:ascii="Times New Roman" w:hAnsi="Times New Roman" w:cs="Times New Roman"/>
        </w:rPr>
        <w:t xml:space="preserve"> </w:t>
      </w:r>
      <w:r w:rsidR="006D6547" w:rsidRPr="001867BF">
        <w:rPr>
          <w:rFonts w:ascii="Times New Roman" w:eastAsia="Times New Roman" w:hAnsi="Times New Roman" w:cs="Times New Roman"/>
        </w:rPr>
        <w:t>Along the Siliguri–</w:t>
      </w:r>
      <w:proofErr w:type="spellStart"/>
      <w:r w:rsidR="006D6547" w:rsidRPr="001867BF">
        <w:rPr>
          <w:rFonts w:ascii="Times New Roman" w:eastAsia="Times New Roman" w:hAnsi="Times New Roman" w:cs="Times New Roman"/>
        </w:rPr>
        <w:t>Bagdogra</w:t>
      </w:r>
      <w:proofErr w:type="spellEnd"/>
      <w:r w:rsidR="006D6547" w:rsidRPr="001867BF">
        <w:rPr>
          <w:rFonts w:ascii="Times New Roman" w:eastAsia="Times New Roman" w:hAnsi="Times New Roman" w:cs="Times New Roman"/>
        </w:rPr>
        <w:t xml:space="preserve"> national highway, the city expanded in the western part, giving rise to a number of large settlements, such as </w:t>
      </w:r>
      <w:proofErr w:type="spellStart"/>
      <w:r w:rsidR="006D6547" w:rsidRPr="001867BF">
        <w:rPr>
          <w:rFonts w:ascii="Times New Roman" w:eastAsia="Times New Roman" w:hAnsi="Times New Roman" w:cs="Times New Roman"/>
        </w:rPr>
        <w:t>Champasari</w:t>
      </w:r>
      <w:proofErr w:type="spellEnd"/>
      <w:r w:rsidR="006D6547" w:rsidRPr="001867BF">
        <w:rPr>
          <w:rFonts w:ascii="Times New Roman" w:eastAsia="Times New Roman" w:hAnsi="Times New Roman" w:cs="Times New Roman"/>
        </w:rPr>
        <w:t xml:space="preserve">, </w:t>
      </w:r>
      <w:proofErr w:type="spellStart"/>
      <w:r w:rsidR="006D6547" w:rsidRPr="001867BF">
        <w:rPr>
          <w:rFonts w:ascii="Times New Roman" w:eastAsia="Times New Roman" w:hAnsi="Times New Roman" w:cs="Times New Roman"/>
        </w:rPr>
        <w:t>Matigara</w:t>
      </w:r>
      <w:proofErr w:type="spellEnd"/>
      <w:r w:rsidR="006D6547" w:rsidRPr="001867BF">
        <w:rPr>
          <w:rFonts w:ascii="Times New Roman" w:eastAsia="Times New Roman" w:hAnsi="Times New Roman" w:cs="Times New Roman"/>
        </w:rPr>
        <w:t xml:space="preserve">, and </w:t>
      </w:r>
      <w:proofErr w:type="spellStart"/>
      <w:r w:rsidR="006D6547" w:rsidRPr="001867BF">
        <w:rPr>
          <w:rFonts w:ascii="Times New Roman" w:eastAsia="Times New Roman" w:hAnsi="Times New Roman" w:cs="Times New Roman"/>
        </w:rPr>
        <w:t>Shivmandir</w:t>
      </w:r>
      <w:proofErr w:type="spellEnd"/>
      <w:r w:rsidR="006D6547" w:rsidRPr="001867BF">
        <w:rPr>
          <w:rFonts w:ascii="Times New Roman" w:eastAsia="Times New Roman" w:hAnsi="Times New Roman" w:cs="Times New Roman"/>
        </w:rPr>
        <w:t xml:space="preserve">, which later became part of the Siliguri Urban </w:t>
      </w:r>
      <w:proofErr w:type="spellStart"/>
      <w:r w:rsidR="006D6547" w:rsidRPr="001867BF">
        <w:rPr>
          <w:rFonts w:ascii="Times New Roman" w:eastAsia="Times New Roman" w:hAnsi="Times New Roman" w:cs="Times New Roman"/>
        </w:rPr>
        <w:t>Agglomeration.</w:t>
      </w:r>
      <w:r w:rsidR="00792AA9" w:rsidRPr="001867BF">
        <w:rPr>
          <w:rFonts w:ascii="Times New Roman" w:eastAsia="Times New Roman" w:hAnsi="Times New Roman" w:cs="Times New Roman"/>
        </w:rPr>
        <w:t>On</w:t>
      </w:r>
      <w:proofErr w:type="spellEnd"/>
      <w:r w:rsidR="00792AA9" w:rsidRPr="001867BF">
        <w:rPr>
          <w:rFonts w:ascii="Times New Roman" w:eastAsia="Times New Roman" w:hAnsi="Times New Roman" w:cs="Times New Roman"/>
        </w:rPr>
        <w:t xml:space="preserve"> the other hand the eastern </w:t>
      </w:r>
      <w:proofErr w:type="spellStart"/>
      <w:r w:rsidR="00792AA9" w:rsidRPr="001867BF">
        <w:rPr>
          <w:rFonts w:ascii="Times New Roman" w:eastAsia="Times New Roman" w:hAnsi="Times New Roman" w:cs="Times New Roman"/>
        </w:rPr>
        <w:t>secion</w:t>
      </w:r>
      <w:proofErr w:type="spellEnd"/>
      <w:r w:rsidR="00792AA9" w:rsidRPr="001867BF">
        <w:rPr>
          <w:rFonts w:ascii="Times New Roman" w:eastAsia="Times New Roman" w:hAnsi="Times New Roman" w:cs="Times New Roman"/>
        </w:rPr>
        <w:t xml:space="preserve"> have experienced a slow development during this </w:t>
      </w:r>
      <w:proofErr w:type="gramStart"/>
      <w:r w:rsidR="00792AA9" w:rsidRPr="001867BF">
        <w:rPr>
          <w:rFonts w:ascii="Times New Roman" w:eastAsia="Times New Roman" w:hAnsi="Times New Roman" w:cs="Times New Roman"/>
        </w:rPr>
        <w:t>this 30 years</w:t>
      </w:r>
      <w:proofErr w:type="gramEnd"/>
      <w:r w:rsidR="00792AA9" w:rsidRPr="001867BF">
        <w:rPr>
          <w:rFonts w:ascii="Times New Roman" w:eastAsia="Times New Roman" w:hAnsi="Times New Roman" w:cs="Times New Roman"/>
        </w:rPr>
        <w:t>. S-SE and N-NE section exhibits a moderate UEII.</w:t>
      </w:r>
      <w:r w:rsidR="005675F3" w:rsidRPr="001867BF">
        <w:rPr>
          <w:rFonts w:ascii="Times New Roman" w:eastAsia="Times New Roman" w:hAnsi="Times New Roman" w:cs="Times New Roman"/>
        </w:rPr>
        <w:t xml:space="preserve"> </w:t>
      </w:r>
      <w:r w:rsidR="00792AA9" w:rsidRPr="001867BF">
        <w:rPr>
          <w:rFonts w:ascii="Times New Roman" w:eastAsia="Times New Roman" w:hAnsi="Times New Roman" w:cs="Times New Roman"/>
        </w:rPr>
        <w:t xml:space="preserve">It is because, by serving as a natural barrier, the eastern forest stops additional expansion in that area. However, </w:t>
      </w:r>
      <w:proofErr w:type="spellStart"/>
      <w:r w:rsidR="00792AA9" w:rsidRPr="001867BF">
        <w:rPr>
          <w:rFonts w:ascii="Times New Roman" w:eastAsia="Times New Roman" w:hAnsi="Times New Roman" w:cs="Times New Roman"/>
        </w:rPr>
        <w:t>Dabgram</w:t>
      </w:r>
      <w:proofErr w:type="spellEnd"/>
      <w:r w:rsidR="00792AA9" w:rsidRPr="001867BF">
        <w:rPr>
          <w:rFonts w:ascii="Times New Roman" w:eastAsia="Times New Roman" w:hAnsi="Times New Roman" w:cs="Times New Roman"/>
        </w:rPr>
        <w:t xml:space="preserve">, </w:t>
      </w:r>
      <w:proofErr w:type="spellStart"/>
      <w:r w:rsidR="00792AA9" w:rsidRPr="001867BF">
        <w:rPr>
          <w:rFonts w:ascii="Times New Roman" w:eastAsia="Times New Roman" w:hAnsi="Times New Roman" w:cs="Times New Roman"/>
        </w:rPr>
        <w:t>Binnaguri</w:t>
      </w:r>
      <w:proofErr w:type="spellEnd"/>
      <w:r w:rsidR="00792AA9" w:rsidRPr="001867BF">
        <w:rPr>
          <w:rFonts w:ascii="Times New Roman" w:eastAsia="Times New Roman" w:hAnsi="Times New Roman" w:cs="Times New Roman"/>
        </w:rPr>
        <w:t xml:space="preserve">, and </w:t>
      </w:r>
      <w:proofErr w:type="spellStart"/>
      <w:r w:rsidR="00792AA9" w:rsidRPr="001867BF">
        <w:rPr>
          <w:rFonts w:ascii="Times New Roman" w:eastAsia="Times New Roman" w:hAnsi="Times New Roman" w:cs="Times New Roman"/>
        </w:rPr>
        <w:t>Chakiavita</w:t>
      </w:r>
      <w:proofErr w:type="spellEnd"/>
      <w:r w:rsidR="00792AA9" w:rsidRPr="001867BF">
        <w:rPr>
          <w:rFonts w:ascii="Times New Roman" w:eastAsia="Times New Roman" w:hAnsi="Times New Roman" w:cs="Times New Roman"/>
        </w:rPr>
        <w:t>, which are situated immediately east of the city, had a remarkable increase during the decade due to their closeness to Siliguri as well as the creation of the Eastern bypass and Siliguri-</w:t>
      </w:r>
      <w:proofErr w:type="spellStart"/>
      <w:r w:rsidR="00792AA9" w:rsidRPr="001867BF">
        <w:rPr>
          <w:rFonts w:ascii="Times New Roman" w:eastAsia="Times New Roman" w:hAnsi="Times New Roman" w:cs="Times New Roman"/>
        </w:rPr>
        <w:t>Jalpaiguri</w:t>
      </w:r>
      <w:proofErr w:type="spellEnd"/>
      <w:r w:rsidR="00792AA9" w:rsidRPr="001867BF">
        <w:rPr>
          <w:rFonts w:ascii="Times New Roman" w:eastAsia="Times New Roman" w:hAnsi="Times New Roman" w:cs="Times New Roman"/>
        </w:rPr>
        <w:t xml:space="preserve"> corridor.</w:t>
      </w:r>
    </w:p>
    <w:p w14:paraId="1293E5C4" w14:textId="77777777" w:rsidR="008131CC" w:rsidRPr="001867BF" w:rsidRDefault="00C37136"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Siliguri city has an immense effect on the rural regions that surround it, causing them to rapidly change from non-urban to urban </w:t>
      </w:r>
      <w:r w:rsidR="00734359" w:rsidRPr="001867BF">
        <w:rPr>
          <w:rFonts w:ascii="Times New Roman" w:eastAsia="Times New Roman" w:hAnsi="Times New Roman" w:cs="Times New Roman"/>
        </w:rPr>
        <w:t>forms. In</w:t>
      </w:r>
      <w:r w:rsidRPr="001867BF">
        <w:rPr>
          <w:rFonts w:ascii="Times New Roman" w:eastAsia="Times New Roman" w:hAnsi="Times New Roman" w:cs="Times New Roman"/>
        </w:rPr>
        <w:t xml:space="preserve"> order to help urban planners create new planning and development strategies for the region, it is crucial to examine the UEII accor</w:t>
      </w:r>
      <w:r w:rsidR="00734359" w:rsidRPr="001867BF">
        <w:rPr>
          <w:rFonts w:ascii="Times New Roman" w:eastAsia="Times New Roman" w:hAnsi="Times New Roman" w:cs="Times New Roman"/>
        </w:rPr>
        <w:t xml:space="preserve">ding to the administrative </w:t>
      </w:r>
      <w:proofErr w:type="spellStart"/>
      <w:r w:rsidR="00734359" w:rsidRPr="001867BF">
        <w:rPr>
          <w:rFonts w:ascii="Times New Roman" w:eastAsia="Times New Roman" w:hAnsi="Times New Roman" w:cs="Times New Roman"/>
        </w:rPr>
        <w:t>unit</w:t>
      </w:r>
      <w:r w:rsidRPr="001867BF">
        <w:rPr>
          <w:rFonts w:ascii="Times New Roman" w:eastAsia="Times New Roman" w:hAnsi="Times New Roman" w:cs="Times New Roman"/>
        </w:rPr>
        <w:t>.</w:t>
      </w:r>
      <w:r w:rsidR="006E495D" w:rsidRPr="001867BF">
        <w:rPr>
          <w:rFonts w:ascii="Times New Roman" w:eastAsia="Times New Roman" w:hAnsi="Times New Roman" w:cs="Times New Roman"/>
        </w:rPr>
        <w:t>The</w:t>
      </w:r>
      <w:proofErr w:type="spellEnd"/>
      <w:r w:rsidR="006E495D" w:rsidRPr="001867BF">
        <w:rPr>
          <w:rFonts w:ascii="Times New Roman" w:eastAsia="Times New Roman" w:hAnsi="Times New Roman" w:cs="Times New Roman"/>
        </w:rPr>
        <w:t xml:space="preserve"> table below clearly shows that the majority of villages experienced sl</w:t>
      </w:r>
      <w:r w:rsidR="00245DD8" w:rsidRPr="001867BF">
        <w:rPr>
          <w:rFonts w:ascii="Times New Roman" w:eastAsia="Times New Roman" w:hAnsi="Times New Roman" w:cs="Times New Roman"/>
        </w:rPr>
        <w:t>ow</w:t>
      </w:r>
      <w:r w:rsidR="006E495D" w:rsidRPr="001867BF">
        <w:rPr>
          <w:rFonts w:ascii="Times New Roman" w:eastAsia="Times New Roman" w:hAnsi="Times New Roman" w:cs="Times New Roman"/>
        </w:rPr>
        <w:t xml:space="preserve"> to extremely slow development between 1990 and 2000, indicating that the level of urbanization was quite low during this time period.32.685 and 20.49% of villages are urbanizing at a sluggish to very slow pace, </w:t>
      </w:r>
      <w:proofErr w:type="spellStart"/>
      <w:r w:rsidR="006E495D" w:rsidRPr="001867BF">
        <w:rPr>
          <w:rFonts w:ascii="Times New Roman" w:eastAsia="Times New Roman" w:hAnsi="Times New Roman" w:cs="Times New Roman"/>
        </w:rPr>
        <w:t>respectively.Many</w:t>
      </w:r>
      <w:proofErr w:type="spellEnd"/>
      <w:r w:rsidR="006E495D" w:rsidRPr="001867BF">
        <w:rPr>
          <w:rFonts w:ascii="Times New Roman" w:eastAsia="Times New Roman" w:hAnsi="Times New Roman" w:cs="Times New Roman"/>
        </w:rPr>
        <w:t xml:space="preserve"> villages (</w:t>
      </w:r>
      <w:proofErr w:type="spellStart"/>
      <w:r w:rsidR="006E495D" w:rsidRPr="001867BF">
        <w:rPr>
          <w:rFonts w:ascii="Times New Roman" w:eastAsia="Times New Roman" w:hAnsi="Times New Roman" w:cs="Times New Roman"/>
        </w:rPr>
        <w:t>Laldas</w:t>
      </w:r>
      <w:proofErr w:type="spellEnd"/>
      <w:r w:rsidR="006E495D" w:rsidRPr="001867BF">
        <w:rPr>
          <w:rFonts w:ascii="Times New Roman" w:eastAsia="Times New Roman" w:hAnsi="Times New Roman" w:cs="Times New Roman"/>
        </w:rPr>
        <w:t xml:space="preserve">, </w:t>
      </w:r>
      <w:proofErr w:type="spellStart"/>
      <w:r w:rsidR="006E495D" w:rsidRPr="001867BF">
        <w:rPr>
          <w:rFonts w:ascii="Times New Roman" w:eastAsia="Times New Roman" w:hAnsi="Times New Roman" w:cs="Times New Roman"/>
        </w:rPr>
        <w:t>Lachka</w:t>
      </w:r>
      <w:proofErr w:type="spellEnd"/>
      <w:r w:rsidR="006E495D" w:rsidRPr="001867BF">
        <w:rPr>
          <w:rFonts w:ascii="Times New Roman" w:eastAsia="Times New Roman" w:hAnsi="Times New Roman" w:cs="Times New Roman"/>
        </w:rPr>
        <w:t xml:space="preserve">, </w:t>
      </w:r>
      <w:proofErr w:type="spellStart"/>
      <w:r w:rsidR="006E495D" w:rsidRPr="001867BF">
        <w:rPr>
          <w:rFonts w:ascii="Times New Roman" w:eastAsia="Times New Roman" w:hAnsi="Times New Roman" w:cs="Times New Roman"/>
        </w:rPr>
        <w:t>Ruhinir</w:t>
      </w:r>
      <w:proofErr w:type="spellEnd"/>
      <w:r w:rsidR="006E495D" w:rsidRPr="001867BF">
        <w:rPr>
          <w:rFonts w:ascii="Times New Roman" w:eastAsia="Times New Roman" w:hAnsi="Times New Roman" w:cs="Times New Roman"/>
        </w:rPr>
        <w:t xml:space="preserve"> chat, </w:t>
      </w:r>
      <w:proofErr w:type="spellStart"/>
      <w:r w:rsidR="006E495D" w:rsidRPr="001867BF">
        <w:rPr>
          <w:rFonts w:ascii="Times New Roman" w:eastAsia="Times New Roman" w:hAnsi="Times New Roman" w:cs="Times New Roman"/>
        </w:rPr>
        <w:t>Rangapani</w:t>
      </w:r>
      <w:proofErr w:type="spellEnd"/>
      <w:r w:rsidR="006E495D" w:rsidRPr="001867BF">
        <w:rPr>
          <w:rFonts w:ascii="Times New Roman" w:eastAsia="Times New Roman" w:hAnsi="Times New Roman" w:cs="Times New Roman"/>
        </w:rPr>
        <w:t xml:space="preserve">, </w:t>
      </w:r>
      <w:proofErr w:type="spellStart"/>
      <w:r w:rsidR="006E495D" w:rsidRPr="001867BF">
        <w:rPr>
          <w:rFonts w:ascii="Times New Roman" w:eastAsia="Times New Roman" w:hAnsi="Times New Roman" w:cs="Times New Roman"/>
        </w:rPr>
        <w:t>Bh</w:t>
      </w:r>
      <w:r w:rsidR="00245DD8" w:rsidRPr="001867BF">
        <w:rPr>
          <w:rFonts w:ascii="Times New Roman" w:eastAsia="Times New Roman" w:hAnsi="Times New Roman" w:cs="Times New Roman"/>
        </w:rPr>
        <w:t>aratsing</w:t>
      </w:r>
      <w:proofErr w:type="spellEnd"/>
      <w:r w:rsidR="00245DD8" w:rsidRPr="001867BF">
        <w:rPr>
          <w:rFonts w:ascii="Times New Roman" w:eastAsia="Times New Roman" w:hAnsi="Times New Roman" w:cs="Times New Roman"/>
        </w:rPr>
        <w:t xml:space="preserve">, etc.) had a negative </w:t>
      </w:r>
      <w:r w:rsidR="006E495D" w:rsidRPr="001867BF">
        <w:rPr>
          <w:rFonts w:ascii="Times New Roman" w:eastAsia="Times New Roman" w:hAnsi="Times New Roman" w:cs="Times New Roman"/>
        </w:rPr>
        <w:t>UEII value or a decreasing trend of urbanization during this time, indicating rural-urban migration on the one hand and intensification in the city core region on t</w:t>
      </w:r>
      <w:r w:rsidR="00BD2C28" w:rsidRPr="001867BF">
        <w:rPr>
          <w:rFonts w:ascii="Times New Roman" w:eastAsia="Times New Roman" w:hAnsi="Times New Roman" w:cs="Times New Roman"/>
        </w:rPr>
        <w:t>he other.</w:t>
      </w:r>
      <w:r w:rsidR="00BD2C28" w:rsidRPr="001867BF">
        <w:rPr>
          <w:rFonts w:ascii="Times New Roman" w:hAnsi="Times New Roman" w:cs="Times New Roman"/>
        </w:rPr>
        <w:t xml:space="preserve"> </w:t>
      </w:r>
      <w:r w:rsidR="00BD2C28" w:rsidRPr="001867BF">
        <w:rPr>
          <w:rFonts w:ascii="Times New Roman" w:eastAsia="Times New Roman" w:hAnsi="Times New Roman" w:cs="Times New Roman"/>
        </w:rPr>
        <w:t xml:space="preserve">Only 13 administrative units (Uttar </w:t>
      </w:r>
      <w:proofErr w:type="spellStart"/>
      <w:r w:rsidR="00BD2C28" w:rsidRPr="001867BF">
        <w:rPr>
          <w:rFonts w:ascii="Times New Roman" w:eastAsia="Times New Roman" w:hAnsi="Times New Roman" w:cs="Times New Roman"/>
        </w:rPr>
        <w:t>Bagdogra</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Kalkut</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Panchanai</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Rajpairi</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Kalabari</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Sukna</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pratham</w:t>
      </w:r>
      <w:proofErr w:type="spellEnd"/>
      <w:r w:rsidR="00BD2C28" w:rsidRPr="001867BF">
        <w:rPr>
          <w:rFonts w:ascii="Times New Roman" w:eastAsia="Times New Roman" w:hAnsi="Times New Roman" w:cs="Times New Roman"/>
        </w:rPr>
        <w:t xml:space="preserve"> Kanda, etc.) have experienced very high development (&gt; 1.92) during this time period, while 17 villages experienced fast development (1.05-1.92). These villages are primarily located in the north and north-west directions, primarily along the major transportation </w:t>
      </w:r>
      <w:proofErr w:type="spellStart"/>
      <w:proofErr w:type="gramStart"/>
      <w:r w:rsidR="00BD2C28" w:rsidRPr="001867BF">
        <w:rPr>
          <w:rFonts w:ascii="Times New Roman" w:eastAsia="Times New Roman" w:hAnsi="Times New Roman" w:cs="Times New Roman"/>
        </w:rPr>
        <w:t>axis.</w:t>
      </w:r>
      <w:r w:rsidR="008F4CB8" w:rsidRPr="001867BF">
        <w:rPr>
          <w:rFonts w:ascii="Times New Roman" w:eastAsia="Times New Roman" w:hAnsi="Times New Roman" w:cs="Times New Roman"/>
        </w:rPr>
        <w:t>Between</w:t>
      </w:r>
      <w:proofErr w:type="spellEnd"/>
      <w:proofErr w:type="gramEnd"/>
      <w:r w:rsidR="008F4CB8" w:rsidRPr="001867BF">
        <w:rPr>
          <w:rFonts w:ascii="Times New Roman" w:eastAsia="Times New Roman" w:hAnsi="Times New Roman" w:cs="Times New Roman"/>
        </w:rPr>
        <w:t xml:space="preserve"> 2000 and 2010, the pace of urbanization increased </w:t>
      </w:r>
      <w:proofErr w:type="spellStart"/>
      <w:r w:rsidR="008F4CB8" w:rsidRPr="001867BF">
        <w:rPr>
          <w:rFonts w:ascii="Times New Roman" w:eastAsia="Times New Roman" w:hAnsi="Times New Roman" w:cs="Times New Roman"/>
        </w:rPr>
        <w:t>significantly.Almost</w:t>
      </w:r>
      <w:proofErr w:type="spellEnd"/>
      <w:r w:rsidR="008F4CB8" w:rsidRPr="001867BF">
        <w:rPr>
          <w:rFonts w:ascii="Times New Roman" w:eastAsia="Times New Roman" w:hAnsi="Times New Roman" w:cs="Times New Roman"/>
        </w:rPr>
        <w:t xml:space="preserve"> every area has favorable growth. During this time, villages with a negative intensity experience positive.</w:t>
      </w:r>
    </w:p>
    <w:p w14:paraId="4EE25357" w14:textId="25A86E8D" w:rsidR="008F4CB8" w:rsidRPr="001867BF" w:rsidRDefault="008F4CB8"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lastRenderedPageBreak/>
        <w:t>Table</w:t>
      </w:r>
      <w:r w:rsidR="00AE1F41">
        <w:rPr>
          <w:rFonts w:ascii="Times New Roman" w:eastAsia="Times New Roman" w:hAnsi="Times New Roman" w:cs="Times New Roman"/>
        </w:rPr>
        <w:t xml:space="preserve"> 6</w:t>
      </w:r>
      <w:r w:rsidRPr="001867BF">
        <w:rPr>
          <w:rFonts w:ascii="Times New Roman" w:eastAsia="Times New Roman" w:hAnsi="Times New Roman" w:cs="Times New Roman"/>
        </w:rPr>
        <w:t>: UEII according to administrative unit</w:t>
      </w:r>
    </w:p>
    <w:p w14:paraId="5BA400DA" w14:textId="77777777" w:rsidR="008F4CB8" w:rsidRPr="001867BF" w:rsidRDefault="008F4CB8" w:rsidP="00F144BB">
      <w:pPr>
        <w:spacing w:after="0" w:line="360" w:lineRule="auto"/>
        <w:jc w:val="both"/>
        <w:rPr>
          <w:rFonts w:ascii="Times New Roman" w:eastAsia="Times New Roman" w:hAnsi="Times New Roman" w:cs="Times New Roman"/>
        </w:rPr>
      </w:pPr>
    </w:p>
    <w:tbl>
      <w:tblPr>
        <w:tblW w:w="9460" w:type="dxa"/>
        <w:tblInd w:w="93" w:type="dxa"/>
        <w:tblLayout w:type="fixed"/>
        <w:tblLook w:val="04A0" w:firstRow="1" w:lastRow="0" w:firstColumn="1" w:lastColumn="0" w:noHBand="0" w:noVBand="1"/>
      </w:tblPr>
      <w:tblGrid>
        <w:gridCol w:w="1433"/>
        <w:gridCol w:w="2693"/>
        <w:gridCol w:w="851"/>
        <w:gridCol w:w="850"/>
        <w:gridCol w:w="759"/>
        <w:gridCol w:w="958"/>
        <w:gridCol w:w="958"/>
        <w:gridCol w:w="958"/>
      </w:tblGrid>
      <w:tr w:rsidR="00130ED0" w:rsidRPr="001867BF" w14:paraId="043FE486" w14:textId="77777777" w:rsidTr="001864C0">
        <w:trPr>
          <w:trHeight w:val="288"/>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199A4"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UEII</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FF860"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Intensity of Expansion</w:t>
            </w:r>
          </w:p>
        </w:tc>
        <w:tc>
          <w:tcPr>
            <w:tcW w:w="2460" w:type="dxa"/>
            <w:gridSpan w:val="3"/>
            <w:tcBorders>
              <w:top w:val="single" w:sz="4" w:space="0" w:color="auto"/>
              <w:left w:val="nil"/>
              <w:bottom w:val="single" w:sz="4" w:space="0" w:color="auto"/>
              <w:right w:val="single" w:sz="4" w:space="0" w:color="auto"/>
            </w:tcBorders>
            <w:shd w:val="clear" w:color="auto" w:fill="auto"/>
            <w:vAlign w:val="center"/>
            <w:hideMark/>
          </w:tcPr>
          <w:p w14:paraId="165865E0"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Number of villages/CTs</w:t>
            </w:r>
          </w:p>
        </w:tc>
        <w:tc>
          <w:tcPr>
            <w:tcW w:w="2874" w:type="dxa"/>
            <w:gridSpan w:val="3"/>
            <w:tcBorders>
              <w:top w:val="single" w:sz="4" w:space="0" w:color="auto"/>
              <w:left w:val="nil"/>
              <w:bottom w:val="single" w:sz="4" w:space="0" w:color="auto"/>
              <w:right w:val="single" w:sz="4" w:space="0" w:color="auto"/>
            </w:tcBorders>
            <w:shd w:val="clear" w:color="auto" w:fill="auto"/>
            <w:vAlign w:val="center"/>
            <w:hideMark/>
          </w:tcPr>
          <w:p w14:paraId="58490489"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Percentage of villages or CTs</w:t>
            </w:r>
          </w:p>
        </w:tc>
      </w:tr>
      <w:tr w:rsidR="00130ED0" w:rsidRPr="001867BF" w14:paraId="6F14775C" w14:textId="77777777" w:rsidTr="001864C0">
        <w:trPr>
          <w:trHeight w:val="576"/>
        </w:trPr>
        <w:tc>
          <w:tcPr>
            <w:tcW w:w="1433" w:type="dxa"/>
            <w:vMerge/>
            <w:tcBorders>
              <w:top w:val="single" w:sz="4" w:space="0" w:color="auto"/>
              <w:left w:val="single" w:sz="4" w:space="0" w:color="auto"/>
              <w:bottom w:val="single" w:sz="4" w:space="0" w:color="auto"/>
              <w:right w:val="single" w:sz="4" w:space="0" w:color="auto"/>
            </w:tcBorders>
            <w:vAlign w:val="center"/>
            <w:hideMark/>
          </w:tcPr>
          <w:p w14:paraId="222E999C"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0C7C099"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p>
        </w:tc>
        <w:tc>
          <w:tcPr>
            <w:tcW w:w="851" w:type="dxa"/>
            <w:tcBorders>
              <w:top w:val="nil"/>
              <w:left w:val="nil"/>
              <w:bottom w:val="single" w:sz="4" w:space="0" w:color="auto"/>
              <w:right w:val="single" w:sz="4" w:space="0" w:color="auto"/>
            </w:tcBorders>
            <w:shd w:val="clear" w:color="auto" w:fill="auto"/>
            <w:vAlign w:val="center"/>
            <w:hideMark/>
          </w:tcPr>
          <w:p w14:paraId="3A34A000"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1990-2000</w:t>
            </w:r>
          </w:p>
        </w:tc>
        <w:tc>
          <w:tcPr>
            <w:tcW w:w="850" w:type="dxa"/>
            <w:tcBorders>
              <w:top w:val="nil"/>
              <w:left w:val="nil"/>
              <w:bottom w:val="single" w:sz="4" w:space="0" w:color="auto"/>
              <w:right w:val="single" w:sz="4" w:space="0" w:color="auto"/>
            </w:tcBorders>
            <w:shd w:val="clear" w:color="auto" w:fill="auto"/>
            <w:vAlign w:val="center"/>
            <w:hideMark/>
          </w:tcPr>
          <w:p w14:paraId="0FEAE191"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2000-2010</w:t>
            </w:r>
          </w:p>
        </w:tc>
        <w:tc>
          <w:tcPr>
            <w:tcW w:w="759" w:type="dxa"/>
            <w:tcBorders>
              <w:top w:val="nil"/>
              <w:left w:val="nil"/>
              <w:bottom w:val="single" w:sz="4" w:space="0" w:color="auto"/>
              <w:right w:val="single" w:sz="4" w:space="0" w:color="auto"/>
            </w:tcBorders>
            <w:shd w:val="clear" w:color="auto" w:fill="auto"/>
            <w:vAlign w:val="center"/>
            <w:hideMark/>
          </w:tcPr>
          <w:p w14:paraId="40DC28AE"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2010-2020</w:t>
            </w:r>
          </w:p>
        </w:tc>
        <w:tc>
          <w:tcPr>
            <w:tcW w:w="958" w:type="dxa"/>
            <w:tcBorders>
              <w:top w:val="nil"/>
              <w:left w:val="nil"/>
              <w:bottom w:val="single" w:sz="4" w:space="0" w:color="auto"/>
              <w:right w:val="single" w:sz="4" w:space="0" w:color="auto"/>
            </w:tcBorders>
            <w:shd w:val="clear" w:color="auto" w:fill="auto"/>
            <w:vAlign w:val="center"/>
            <w:hideMark/>
          </w:tcPr>
          <w:p w14:paraId="59116D1B"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1990-2000</w:t>
            </w:r>
          </w:p>
        </w:tc>
        <w:tc>
          <w:tcPr>
            <w:tcW w:w="958" w:type="dxa"/>
            <w:tcBorders>
              <w:top w:val="nil"/>
              <w:left w:val="nil"/>
              <w:bottom w:val="single" w:sz="4" w:space="0" w:color="auto"/>
              <w:right w:val="single" w:sz="4" w:space="0" w:color="auto"/>
            </w:tcBorders>
            <w:shd w:val="clear" w:color="auto" w:fill="auto"/>
            <w:vAlign w:val="center"/>
            <w:hideMark/>
          </w:tcPr>
          <w:p w14:paraId="0C93931B"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2000-2010</w:t>
            </w:r>
          </w:p>
        </w:tc>
        <w:tc>
          <w:tcPr>
            <w:tcW w:w="958" w:type="dxa"/>
            <w:tcBorders>
              <w:top w:val="nil"/>
              <w:left w:val="nil"/>
              <w:bottom w:val="single" w:sz="4" w:space="0" w:color="auto"/>
              <w:right w:val="single" w:sz="4" w:space="0" w:color="auto"/>
            </w:tcBorders>
            <w:shd w:val="clear" w:color="auto" w:fill="auto"/>
            <w:vAlign w:val="center"/>
            <w:hideMark/>
          </w:tcPr>
          <w:p w14:paraId="147F34AC" w14:textId="77777777"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2010-2020</w:t>
            </w:r>
          </w:p>
        </w:tc>
      </w:tr>
      <w:tr w:rsidR="00130ED0" w:rsidRPr="001867BF" w14:paraId="753B810B" w14:textId="77777777"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F33EC32"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&gt;1.92</w:t>
            </w:r>
          </w:p>
        </w:tc>
        <w:tc>
          <w:tcPr>
            <w:tcW w:w="2693" w:type="dxa"/>
            <w:tcBorders>
              <w:top w:val="nil"/>
              <w:left w:val="nil"/>
              <w:bottom w:val="single" w:sz="4" w:space="0" w:color="auto"/>
              <w:right w:val="single" w:sz="4" w:space="0" w:color="auto"/>
            </w:tcBorders>
            <w:shd w:val="clear" w:color="auto" w:fill="auto"/>
            <w:noWrap/>
            <w:vAlign w:val="center"/>
            <w:hideMark/>
          </w:tcPr>
          <w:p w14:paraId="05F92A09"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High speed development</w:t>
            </w:r>
          </w:p>
        </w:tc>
        <w:tc>
          <w:tcPr>
            <w:tcW w:w="851" w:type="dxa"/>
            <w:tcBorders>
              <w:top w:val="nil"/>
              <w:left w:val="nil"/>
              <w:bottom w:val="single" w:sz="4" w:space="0" w:color="auto"/>
              <w:right w:val="single" w:sz="4" w:space="0" w:color="auto"/>
            </w:tcBorders>
            <w:shd w:val="clear" w:color="auto" w:fill="auto"/>
            <w:noWrap/>
            <w:vAlign w:val="center"/>
            <w:hideMark/>
          </w:tcPr>
          <w:p w14:paraId="42CE5617"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13</w:t>
            </w:r>
          </w:p>
        </w:tc>
        <w:tc>
          <w:tcPr>
            <w:tcW w:w="850" w:type="dxa"/>
            <w:tcBorders>
              <w:top w:val="nil"/>
              <w:left w:val="nil"/>
              <w:bottom w:val="single" w:sz="4" w:space="0" w:color="auto"/>
              <w:right w:val="single" w:sz="4" w:space="0" w:color="auto"/>
            </w:tcBorders>
            <w:shd w:val="clear" w:color="auto" w:fill="auto"/>
            <w:noWrap/>
            <w:vAlign w:val="center"/>
            <w:hideMark/>
          </w:tcPr>
          <w:p w14:paraId="00C97A64"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19</w:t>
            </w:r>
          </w:p>
        </w:tc>
        <w:tc>
          <w:tcPr>
            <w:tcW w:w="759" w:type="dxa"/>
            <w:tcBorders>
              <w:top w:val="nil"/>
              <w:left w:val="nil"/>
              <w:bottom w:val="single" w:sz="4" w:space="0" w:color="auto"/>
              <w:right w:val="single" w:sz="4" w:space="0" w:color="auto"/>
            </w:tcBorders>
            <w:shd w:val="clear" w:color="auto" w:fill="auto"/>
            <w:noWrap/>
            <w:vAlign w:val="center"/>
            <w:hideMark/>
          </w:tcPr>
          <w:p w14:paraId="4C68ED20"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18</w:t>
            </w:r>
          </w:p>
        </w:tc>
        <w:tc>
          <w:tcPr>
            <w:tcW w:w="958" w:type="dxa"/>
            <w:tcBorders>
              <w:top w:val="nil"/>
              <w:left w:val="nil"/>
              <w:bottom w:val="single" w:sz="4" w:space="0" w:color="auto"/>
              <w:right w:val="single" w:sz="4" w:space="0" w:color="auto"/>
            </w:tcBorders>
            <w:shd w:val="clear" w:color="auto" w:fill="auto"/>
            <w:noWrap/>
            <w:vAlign w:val="center"/>
            <w:hideMark/>
          </w:tcPr>
          <w:p w14:paraId="705DB133"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6.34</w:t>
            </w:r>
          </w:p>
        </w:tc>
        <w:tc>
          <w:tcPr>
            <w:tcW w:w="958" w:type="dxa"/>
            <w:tcBorders>
              <w:top w:val="nil"/>
              <w:left w:val="nil"/>
              <w:bottom w:val="single" w:sz="4" w:space="0" w:color="auto"/>
              <w:right w:val="single" w:sz="4" w:space="0" w:color="auto"/>
            </w:tcBorders>
            <w:shd w:val="clear" w:color="auto" w:fill="auto"/>
            <w:noWrap/>
            <w:vAlign w:val="center"/>
            <w:hideMark/>
          </w:tcPr>
          <w:p w14:paraId="5563EF42"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9.27</w:t>
            </w:r>
          </w:p>
        </w:tc>
        <w:tc>
          <w:tcPr>
            <w:tcW w:w="958" w:type="dxa"/>
            <w:tcBorders>
              <w:top w:val="nil"/>
              <w:left w:val="nil"/>
              <w:bottom w:val="single" w:sz="4" w:space="0" w:color="auto"/>
              <w:right w:val="single" w:sz="4" w:space="0" w:color="auto"/>
            </w:tcBorders>
            <w:shd w:val="clear" w:color="auto" w:fill="auto"/>
            <w:noWrap/>
            <w:vAlign w:val="center"/>
            <w:hideMark/>
          </w:tcPr>
          <w:p w14:paraId="75DE8905"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8.78</w:t>
            </w:r>
          </w:p>
        </w:tc>
      </w:tr>
      <w:tr w:rsidR="00130ED0" w:rsidRPr="001867BF" w14:paraId="6A686370" w14:textId="77777777"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6D2897F"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1.05-1.92</w:t>
            </w:r>
          </w:p>
        </w:tc>
        <w:tc>
          <w:tcPr>
            <w:tcW w:w="2693" w:type="dxa"/>
            <w:tcBorders>
              <w:top w:val="nil"/>
              <w:left w:val="nil"/>
              <w:bottom w:val="single" w:sz="4" w:space="0" w:color="auto"/>
              <w:right w:val="single" w:sz="4" w:space="0" w:color="auto"/>
            </w:tcBorders>
            <w:shd w:val="clear" w:color="auto" w:fill="auto"/>
            <w:noWrap/>
            <w:vAlign w:val="center"/>
            <w:hideMark/>
          </w:tcPr>
          <w:p w14:paraId="55F18269"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Fast development</w:t>
            </w:r>
          </w:p>
        </w:tc>
        <w:tc>
          <w:tcPr>
            <w:tcW w:w="851" w:type="dxa"/>
            <w:tcBorders>
              <w:top w:val="nil"/>
              <w:left w:val="nil"/>
              <w:bottom w:val="single" w:sz="4" w:space="0" w:color="auto"/>
              <w:right w:val="single" w:sz="4" w:space="0" w:color="auto"/>
            </w:tcBorders>
            <w:shd w:val="clear" w:color="auto" w:fill="auto"/>
            <w:noWrap/>
            <w:vAlign w:val="center"/>
            <w:hideMark/>
          </w:tcPr>
          <w:p w14:paraId="2D24D59B"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17</w:t>
            </w:r>
          </w:p>
        </w:tc>
        <w:tc>
          <w:tcPr>
            <w:tcW w:w="850" w:type="dxa"/>
            <w:tcBorders>
              <w:top w:val="nil"/>
              <w:left w:val="nil"/>
              <w:bottom w:val="single" w:sz="4" w:space="0" w:color="auto"/>
              <w:right w:val="single" w:sz="4" w:space="0" w:color="auto"/>
            </w:tcBorders>
            <w:shd w:val="clear" w:color="auto" w:fill="auto"/>
            <w:noWrap/>
            <w:vAlign w:val="center"/>
            <w:hideMark/>
          </w:tcPr>
          <w:p w14:paraId="79235E84"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47</w:t>
            </w:r>
          </w:p>
        </w:tc>
        <w:tc>
          <w:tcPr>
            <w:tcW w:w="759" w:type="dxa"/>
            <w:tcBorders>
              <w:top w:val="nil"/>
              <w:left w:val="nil"/>
              <w:bottom w:val="single" w:sz="4" w:space="0" w:color="auto"/>
              <w:right w:val="single" w:sz="4" w:space="0" w:color="auto"/>
            </w:tcBorders>
            <w:shd w:val="clear" w:color="auto" w:fill="auto"/>
            <w:noWrap/>
            <w:vAlign w:val="center"/>
            <w:hideMark/>
          </w:tcPr>
          <w:p w14:paraId="5CEDEB88"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14</w:t>
            </w:r>
          </w:p>
        </w:tc>
        <w:tc>
          <w:tcPr>
            <w:tcW w:w="958" w:type="dxa"/>
            <w:tcBorders>
              <w:top w:val="nil"/>
              <w:left w:val="nil"/>
              <w:bottom w:val="single" w:sz="4" w:space="0" w:color="auto"/>
              <w:right w:val="single" w:sz="4" w:space="0" w:color="auto"/>
            </w:tcBorders>
            <w:shd w:val="clear" w:color="auto" w:fill="auto"/>
            <w:noWrap/>
            <w:vAlign w:val="center"/>
            <w:hideMark/>
          </w:tcPr>
          <w:p w14:paraId="2E71AABB"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8.29</w:t>
            </w:r>
          </w:p>
        </w:tc>
        <w:tc>
          <w:tcPr>
            <w:tcW w:w="958" w:type="dxa"/>
            <w:tcBorders>
              <w:top w:val="nil"/>
              <w:left w:val="nil"/>
              <w:bottom w:val="single" w:sz="4" w:space="0" w:color="auto"/>
              <w:right w:val="single" w:sz="4" w:space="0" w:color="auto"/>
            </w:tcBorders>
            <w:shd w:val="clear" w:color="auto" w:fill="auto"/>
            <w:noWrap/>
            <w:vAlign w:val="center"/>
            <w:hideMark/>
          </w:tcPr>
          <w:p w14:paraId="59AF981B"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22.93</w:t>
            </w:r>
          </w:p>
        </w:tc>
        <w:tc>
          <w:tcPr>
            <w:tcW w:w="958" w:type="dxa"/>
            <w:tcBorders>
              <w:top w:val="nil"/>
              <w:left w:val="nil"/>
              <w:bottom w:val="single" w:sz="4" w:space="0" w:color="auto"/>
              <w:right w:val="single" w:sz="4" w:space="0" w:color="auto"/>
            </w:tcBorders>
            <w:shd w:val="clear" w:color="auto" w:fill="auto"/>
            <w:noWrap/>
            <w:vAlign w:val="center"/>
            <w:hideMark/>
          </w:tcPr>
          <w:p w14:paraId="406B2B49"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6.83</w:t>
            </w:r>
          </w:p>
        </w:tc>
      </w:tr>
      <w:tr w:rsidR="00130ED0" w:rsidRPr="001867BF" w14:paraId="1C1A5CFD" w14:textId="77777777"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1BBAA50"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0.59-1.05</w:t>
            </w:r>
          </w:p>
        </w:tc>
        <w:tc>
          <w:tcPr>
            <w:tcW w:w="2693" w:type="dxa"/>
            <w:tcBorders>
              <w:top w:val="nil"/>
              <w:left w:val="nil"/>
              <w:bottom w:val="single" w:sz="4" w:space="0" w:color="auto"/>
              <w:right w:val="single" w:sz="4" w:space="0" w:color="auto"/>
            </w:tcBorders>
            <w:shd w:val="clear" w:color="auto" w:fill="auto"/>
            <w:noWrap/>
            <w:vAlign w:val="center"/>
            <w:hideMark/>
          </w:tcPr>
          <w:p w14:paraId="578184BF"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Moderate speed development</w:t>
            </w:r>
          </w:p>
        </w:tc>
        <w:tc>
          <w:tcPr>
            <w:tcW w:w="851" w:type="dxa"/>
            <w:tcBorders>
              <w:top w:val="nil"/>
              <w:left w:val="nil"/>
              <w:bottom w:val="single" w:sz="4" w:space="0" w:color="auto"/>
              <w:right w:val="single" w:sz="4" w:space="0" w:color="auto"/>
            </w:tcBorders>
            <w:shd w:val="clear" w:color="auto" w:fill="auto"/>
            <w:noWrap/>
            <w:vAlign w:val="center"/>
            <w:hideMark/>
          </w:tcPr>
          <w:p w14:paraId="1ECE6A61"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18</w:t>
            </w:r>
          </w:p>
        </w:tc>
        <w:tc>
          <w:tcPr>
            <w:tcW w:w="850" w:type="dxa"/>
            <w:tcBorders>
              <w:top w:val="nil"/>
              <w:left w:val="nil"/>
              <w:bottom w:val="single" w:sz="4" w:space="0" w:color="auto"/>
              <w:right w:val="single" w:sz="4" w:space="0" w:color="auto"/>
            </w:tcBorders>
            <w:shd w:val="clear" w:color="auto" w:fill="auto"/>
            <w:noWrap/>
            <w:vAlign w:val="center"/>
            <w:hideMark/>
          </w:tcPr>
          <w:p w14:paraId="6FD3E0A7"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42</w:t>
            </w:r>
          </w:p>
        </w:tc>
        <w:tc>
          <w:tcPr>
            <w:tcW w:w="759" w:type="dxa"/>
            <w:tcBorders>
              <w:top w:val="nil"/>
              <w:left w:val="nil"/>
              <w:bottom w:val="single" w:sz="4" w:space="0" w:color="auto"/>
              <w:right w:val="single" w:sz="4" w:space="0" w:color="auto"/>
            </w:tcBorders>
            <w:shd w:val="clear" w:color="auto" w:fill="auto"/>
            <w:noWrap/>
            <w:vAlign w:val="center"/>
            <w:hideMark/>
          </w:tcPr>
          <w:p w14:paraId="2E5E6992"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w:t>
            </w:r>
          </w:p>
        </w:tc>
        <w:tc>
          <w:tcPr>
            <w:tcW w:w="958" w:type="dxa"/>
            <w:tcBorders>
              <w:top w:val="nil"/>
              <w:left w:val="nil"/>
              <w:bottom w:val="single" w:sz="4" w:space="0" w:color="auto"/>
              <w:right w:val="single" w:sz="4" w:space="0" w:color="auto"/>
            </w:tcBorders>
            <w:shd w:val="clear" w:color="auto" w:fill="auto"/>
            <w:noWrap/>
            <w:vAlign w:val="center"/>
            <w:hideMark/>
          </w:tcPr>
          <w:p w14:paraId="7704C61A"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8.78</w:t>
            </w:r>
          </w:p>
        </w:tc>
        <w:tc>
          <w:tcPr>
            <w:tcW w:w="958" w:type="dxa"/>
            <w:tcBorders>
              <w:top w:val="nil"/>
              <w:left w:val="nil"/>
              <w:bottom w:val="single" w:sz="4" w:space="0" w:color="auto"/>
              <w:right w:val="single" w:sz="4" w:space="0" w:color="auto"/>
            </w:tcBorders>
            <w:shd w:val="clear" w:color="auto" w:fill="auto"/>
            <w:noWrap/>
            <w:vAlign w:val="center"/>
            <w:hideMark/>
          </w:tcPr>
          <w:p w14:paraId="0D30B8E7"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20.49</w:t>
            </w:r>
          </w:p>
        </w:tc>
        <w:tc>
          <w:tcPr>
            <w:tcW w:w="958" w:type="dxa"/>
            <w:tcBorders>
              <w:top w:val="nil"/>
              <w:left w:val="nil"/>
              <w:bottom w:val="single" w:sz="4" w:space="0" w:color="auto"/>
              <w:right w:val="single" w:sz="4" w:space="0" w:color="auto"/>
            </w:tcBorders>
            <w:shd w:val="clear" w:color="auto" w:fill="auto"/>
            <w:noWrap/>
            <w:vAlign w:val="center"/>
            <w:hideMark/>
          </w:tcPr>
          <w:p w14:paraId="2132274C"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9.76</w:t>
            </w:r>
          </w:p>
        </w:tc>
      </w:tr>
      <w:tr w:rsidR="00130ED0" w:rsidRPr="001867BF" w14:paraId="14DB6818" w14:textId="77777777"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A6E093D"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0.28-0.59</w:t>
            </w:r>
          </w:p>
        </w:tc>
        <w:tc>
          <w:tcPr>
            <w:tcW w:w="2693" w:type="dxa"/>
            <w:tcBorders>
              <w:top w:val="nil"/>
              <w:left w:val="nil"/>
              <w:bottom w:val="single" w:sz="4" w:space="0" w:color="auto"/>
              <w:right w:val="single" w:sz="4" w:space="0" w:color="auto"/>
            </w:tcBorders>
            <w:shd w:val="clear" w:color="auto" w:fill="auto"/>
            <w:noWrap/>
            <w:vAlign w:val="center"/>
            <w:hideMark/>
          </w:tcPr>
          <w:p w14:paraId="2A652CE6"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Slow development</w:t>
            </w:r>
          </w:p>
        </w:tc>
        <w:tc>
          <w:tcPr>
            <w:tcW w:w="851" w:type="dxa"/>
            <w:tcBorders>
              <w:top w:val="nil"/>
              <w:left w:val="nil"/>
              <w:bottom w:val="single" w:sz="4" w:space="0" w:color="auto"/>
              <w:right w:val="single" w:sz="4" w:space="0" w:color="auto"/>
            </w:tcBorders>
            <w:shd w:val="clear" w:color="auto" w:fill="auto"/>
            <w:noWrap/>
            <w:vAlign w:val="center"/>
            <w:hideMark/>
          </w:tcPr>
          <w:p w14:paraId="06782ED4"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42</w:t>
            </w:r>
          </w:p>
        </w:tc>
        <w:tc>
          <w:tcPr>
            <w:tcW w:w="850" w:type="dxa"/>
            <w:tcBorders>
              <w:top w:val="nil"/>
              <w:left w:val="nil"/>
              <w:bottom w:val="single" w:sz="4" w:space="0" w:color="auto"/>
              <w:right w:val="single" w:sz="4" w:space="0" w:color="auto"/>
            </w:tcBorders>
            <w:shd w:val="clear" w:color="auto" w:fill="auto"/>
            <w:noWrap/>
            <w:vAlign w:val="center"/>
            <w:hideMark/>
          </w:tcPr>
          <w:p w14:paraId="4BA92221"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31</w:t>
            </w:r>
          </w:p>
        </w:tc>
        <w:tc>
          <w:tcPr>
            <w:tcW w:w="759" w:type="dxa"/>
            <w:tcBorders>
              <w:top w:val="nil"/>
              <w:left w:val="nil"/>
              <w:bottom w:val="single" w:sz="4" w:space="0" w:color="auto"/>
              <w:right w:val="single" w:sz="4" w:space="0" w:color="auto"/>
            </w:tcBorders>
            <w:shd w:val="clear" w:color="auto" w:fill="auto"/>
            <w:noWrap/>
            <w:vAlign w:val="center"/>
            <w:hideMark/>
          </w:tcPr>
          <w:p w14:paraId="328F1EC9"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29</w:t>
            </w:r>
          </w:p>
        </w:tc>
        <w:tc>
          <w:tcPr>
            <w:tcW w:w="958" w:type="dxa"/>
            <w:tcBorders>
              <w:top w:val="nil"/>
              <w:left w:val="nil"/>
              <w:bottom w:val="single" w:sz="4" w:space="0" w:color="auto"/>
              <w:right w:val="single" w:sz="4" w:space="0" w:color="auto"/>
            </w:tcBorders>
            <w:shd w:val="clear" w:color="auto" w:fill="auto"/>
            <w:noWrap/>
            <w:vAlign w:val="center"/>
            <w:hideMark/>
          </w:tcPr>
          <w:p w14:paraId="379CD3D8"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20.49</w:t>
            </w:r>
          </w:p>
        </w:tc>
        <w:tc>
          <w:tcPr>
            <w:tcW w:w="958" w:type="dxa"/>
            <w:tcBorders>
              <w:top w:val="nil"/>
              <w:left w:val="nil"/>
              <w:bottom w:val="single" w:sz="4" w:space="0" w:color="auto"/>
              <w:right w:val="single" w:sz="4" w:space="0" w:color="auto"/>
            </w:tcBorders>
            <w:shd w:val="clear" w:color="auto" w:fill="auto"/>
            <w:noWrap/>
            <w:vAlign w:val="center"/>
            <w:hideMark/>
          </w:tcPr>
          <w:p w14:paraId="1677E29C"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15.12</w:t>
            </w:r>
          </w:p>
        </w:tc>
        <w:tc>
          <w:tcPr>
            <w:tcW w:w="958" w:type="dxa"/>
            <w:tcBorders>
              <w:top w:val="nil"/>
              <w:left w:val="nil"/>
              <w:bottom w:val="single" w:sz="4" w:space="0" w:color="auto"/>
              <w:right w:val="single" w:sz="4" w:space="0" w:color="auto"/>
            </w:tcBorders>
            <w:shd w:val="clear" w:color="auto" w:fill="auto"/>
            <w:noWrap/>
            <w:vAlign w:val="center"/>
            <w:hideMark/>
          </w:tcPr>
          <w:p w14:paraId="103D25AF"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14.15</w:t>
            </w:r>
          </w:p>
        </w:tc>
      </w:tr>
      <w:tr w:rsidR="00130ED0" w:rsidRPr="001867BF" w14:paraId="620FD819" w14:textId="77777777"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0351911"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0-0.28</w:t>
            </w:r>
          </w:p>
        </w:tc>
        <w:tc>
          <w:tcPr>
            <w:tcW w:w="2693" w:type="dxa"/>
            <w:tcBorders>
              <w:top w:val="nil"/>
              <w:left w:val="nil"/>
              <w:bottom w:val="single" w:sz="4" w:space="0" w:color="auto"/>
              <w:right w:val="single" w:sz="4" w:space="0" w:color="auto"/>
            </w:tcBorders>
            <w:shd w:val="clear" w:color="auto" w:fill="auto"/>
            <w:noWrap/>
            <w:vAlign w:val="center"/>
            <w:hideMark/>
          </w:tcPr>
          <w:p w14:paraId="500F6B6E"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very slow development</w:t>
            </w:r>
          </w:p>
        </w:tc>
        <w:tc>
          <w:tcPr>
            <w:tcW w:w="851" w:type="dxa"/>
            <w:tcBorders>
              <w:top w:val="nil"/>
              <w:left w:val="nil"/>
              <w:bottom w:val="single" w:sz="4" w:space="0" w:color="auto"/>
              <w:right w:val="single" w:sz="4" w:space="0" w:color="auto"/>
            </w:tcBorders>
            <w:shd w:val="clear" w:color="auto" w:fill="auto"/>
            <w:noWrap/>
            <w:vAlign w:val="center"/>
            <w:hideMark/>
          </w:tcPr>
          <w:p w14:paraId="7A993506"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67</w:t>
            </w:r>
          </w:p>
        </w:tc>
        <w:tc>
          <w:tcPr>
            <w:tcW w:w="850" w:type="dxa"/>
            <w:tcBorders>
              <w:top w:val="nil"/>
              <w:left w:val="nil"/>
              <w:bottom w:val="single" w:sz="4" w:space="0" w:color="auto"/>
              <w:right w:val="single" w:sz="4" w:space="0" w:color="auto"/>
            </w:tcBorders>
            <w:shd w:val="clear" w:color="auto" w:fill="auto"/>
            <w:noWrap/>
            <w:vAlign w:val="center"/>
            <w:hideMark/>
          </w:tcPr>
          <w:p w14:paraId="62940DC1"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50</w:t>
            </w:r>
          </w:p>
        </w:tc>
        <w:tc>
          <w:tcPr>
            <w:tcW w:w="759" w:type="dxa"/>
            <w:tcBorders>
              <w:top w:val="nil"/>
              <w:left w:val="nil"/>
              <w:bottom w:val="single" w:sz="4" w:space="0" w:color="auto"/>
              <w:right w:val="single" w:sz="4" w:space="0" w:color="auto"/>
            </w:tcBorders>
            <w:shd w:val="clear" w:color="auto" w:fill="auto"/>
            <w:noWrap/>
            <w:vAlign w:val="center"/>
            <w:hideMark/>
          </w:tcPr>
          <w:p w14:paraId="64E09893"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57</w:t>
            </w:r>
          </w:p>
        </w:tc>
        <w:tc>
          <w:tcPr>
            <w:tcW w:w="958" w:type="dxa"/>
            <w:tcBorders>
              <w:top w:val="nil"/>
              <w:left w:val="nil"/>
              <w:bottom w:val="single" w:sz="4" w:space="0" w:color="auto"/>
              <w:right w:val="single" w:sz="4" w:space="0" w:color="auto"/>
            </w:tcBorders>
            <w:shd w:val="clear" w:color="auto" w:fill="auto"/>
            <w:noWrap/>
            <w:vAlign w:val="center"/>
            <w:hideMark/>
          </w:tcPr>
          <w:p w14:paraId="174A3C16"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32.68</w:t>
            </w:r>
          </w:p>
        </w:tc>
        <w:tc>
          <w:tcPr>
            <w:tcW w:w="958" w:type="dxa"/>
            <w:tcBorders>
              <w:top w:val="nil"/>
              <w:left w:val="nil"/>
              <w:bottom w:val="single" w:sz="4" w:space="0" w:color="auto"/>
              <w:right w:val="single" w:sz="4" w:space="0" w:color="auto"/>
            </w:tcBorders>
            <w:shd w:val="clear" w:color="auto" w:fill="auto"/>
            <w:noWrap/>
            <w:vAlign w:val="center"/>
            <w:hideMark/>
          </w:tcPr>
          <w:p w14:paraId="15EFD510"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24.39</w:t>
            </w:r>
          </w:p>
        </w:tc>
        <w:tc>
          <w:tcPr>
            <w:tcW w:w="958" w:type="dxa"/>
            <w:tcBorders>
              <w:top w:val="nil"/>
              <w:left w:val="nil"/>
              <w:bottom w:val="single" w:sz="4" w:space="0" w:color="auto"/>
              <w:right w:val="single" w:sz="4" w:space="0" w:color="auto"/>
            </w:tcBorders>
            <w:shd w:val="clear" w:color="auto" w:fill="auto"/>
            <w:noWrap/>
            <w:vAlign w:val="center"/>
            <w:hideMark/>
          </w:tcPr>
          <w:p w14:paraId="2CCD7BB7"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27.80</w:t>
            </w:r>
          </w:p>
        </w:tc>
      </w:tr>
      <w:tr w:rsidR="00130ED0" w:rsidRPr="001867BF" w14:paraId="32BE57C5" w14:textId="77777777"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4E20EE7"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&lt;0.00</w:t>
            </w:r>
          </w:p>
        </w:tc>
        <w:tc>
          <w:tcPr>
            <w:tcW w:w="2693" w:type="dxa"/>
            <w:tcBorders>
              <w:top w:val="nil"/>
              <w:left w:val="nil"/>
              <w:bottom w:val="single" w:sz="4" w:space="0" w:color="auto"/>
              <w:right w:val="single" w:sz="4" w:space="0" w:color="auto"/>
            </w:tcBorders>
            <w:shd w:val="clear" w:color="auto" w:fill="auto"/>
            <w:noWrap/>
            <w:vAlign w:val="center"/>
            <w:hideMark/>
          </w:tcPr>
          <w:p w14:paraId="3F6262E6"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Decreasing intensity</w:t>
            </w:r>
          </w:p>
        </w:tc>
        <w:tc>
          <w:tcPr>
            <w:tcW w:w="851" w:type="dxa"/>
            <w:tcBorders>
              <w:top w:val="nil"/>
              <w:left w:val="nil"/>
              <w:bottom w:val="single" w:sz="4" w:space="0" w:color="auto"/>
              <w:right w:val="single" w:sz="4" w:space="0" w:color="auto"/>
            </w:tcBorders>
            <w:shd w:val="clear" w:color="auto" w:fill="auto"/>
            <w:noWrap/>
            <w:vAlign w:val="center"/>
            <w:hideMark/>
          </w:tcPr>
          <w:p w14:paraId="3C78E720"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48</w:t>
            </w:r>
          </w:p>
        </w:tc>
        <w:tc>
          <w:tcPr>
            <w:tcW w:w="850" w:type="dxa"/>
            <w:tcBorders>
              <w:top w:val="nil"/>
              <w:left w:val="nil"/>
              <w:bottom w:val="single" w:sz="4" w:space="0" w:color="auto"/>
              <w:right w:val="single" w:sz="4" w:space="0" w:color="auto"/>
            </w:tcBorders>
            <w:shd w:val="clear" w:color="auto" w:fill="auto"/>
            <w:noWrap/>
            <w:vAlign w:val="center"/>
            <w:hideMark/>
          </w:tcPr>
          <w:p w14:paraId="05477ABD"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16</w:t>
            </w:r>
          </w:p>
        </w:tc>
        <w:tc>
          <w:tcPr>
            <w:tcW w:w="759" w:type="dxa"/>
            <w:tcBorders>
              <w:top w:val="nil"/>
              <w:left w:val="nil"/>
              <w:bottom w:val="single" w:sz="4" w:space="0" w:color="auto"/>
              <w:right w:val="single" w:sz="4" w:space="0" w:color="auto"/>
            </w:tcBorders>
            <w:shd w:val="clear" w:color="auto" w:fill="auto"/>
            <w:noWrap/>
            <w:vAlign w:val="center"/>
            <w:hideMark/>
          </w:tcPr>
          <w:p w14:paraId="223C5C69"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67</w:t>
            </w:r>
          </w:p>
        </w:tc>
        <w:tc>
          <w:tcPr>
            <w:tcW w:w="958" w:type="dxa"/>
            <w:tcBorders>
              <w:top w:val="nil"/>
              <w:left w:val="nil"/>
              <w:bottom w:val="single" w:sz="4" w:space="0" w:color="auto"/>
              <w:right w:val="single" w:sz="4" w:space="0" w:color="auto"/>
            </w:tcBorders>
            <w:shd w:val="clear" w:color="auto" w:fill="auto"/>
            <w:noWrap/>
            <w:vAlign w:val="center"/>
            <w:hideMark/>
          </w:tcPr>
          <w:p w14:paraId="00B1E105"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23.41</w:t>
            </w:r>
          </w:p>
        </w:tc>
        <w:tc>
          <w:tcPr>
            <w:tcW w:w="958" w:type="dxa"/>
            <w:tcBorders>
              <w:top w:val="nil"/>
              <w:left w:val="nil"/>
              <w:bottom w:val="single" w:sz="4" w:space="0" w:color="auto"/>
              <w:right w:val="single" w:sz="4" w:space="0" w:color="auto"/>
            </w:tcBorders>
            <w:shd w:val="clear" w:color="auto" w:fill="auto"/>
            <w:noWrap/>
            <w:vAlign w:val="center"/>
            <w:hideMark/>
          </w:tcPr>
          <w:p w14:paraId="43122B1F"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7.80</w:t>
            </w:r>
          </w:p>
        </w:tc>
        <w:tc>
          <w:tcPr>
            <w:tcW w:w="958" w:type="dxa"/>
            <w:tcBorders>
              <w:top w:val="nil"/>
              <w:left w:val="nil"/>
              <w:bottom w:val="single" w:sz="4" w:space="0" w:color="auto"/>
              <w:right w:val="single" w:sz="4" w:space="0" w:color="auto"/>
            </w:tcBorders>
            <w:shd w:val="clear" w:color="auto" w:fill="auto"/>
            <w:noWrap/>
            <w:vAlign w:val="center"/>
            <w:hideMark/>
          </w:tcPr>
          <w:p w14:paraId="2B0D27D8"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32.68</w:t>
            </w:r>
          </w:p>
        </w:tc>
      </w:tr>
      <w:tr w:rsidR="00130ED0" w:rsidRPr="001867BF" w14:paraId="093725BE" w14:textId="77777777" w:rsidTr="001864C0">
        <w:trPr>
          <w:trHeight w:val="288"/>
        </w:trPr>
        <w:tc>
          <w:tcPr>
            <w:tcW w:w="9460" w:type="dxa"/>
            <w:gridSpan w:val="8"/>
            <w:tcBorders>
              <w:top w:val="single" w:sz="4" w:space="0" w:color="auto"/>
              <w:left w:val="nil"/>
              <w:bottom w:val="nil"/>
              <w:right w:val="nil"/>
            </w:tcBorders>
            <w:shd w:val="clear" w:color="auto" w:fill="auto"/>
            <w:noWrap/>
            <w:vAlign w:val="bottom"/>
            <w:hideMark/>
          </w:tcPr>
          <w:p w14:paraId="4B39F349" w14:textId="77777777"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Source: Calculated by the author</w:t>
            </w:r>
          </w:p>
        </w:tc>
      </w:tr>
    </w:tbl>
    <w:p w14:paraId="23AFA4EB" w14:textId="77777777" w:rsidR="008F4CB8" w:rsidRPr="001867BF" w:rsidRDefault="008F4CB8" w:rsidP="00F144BB">
      <w:pPr>
        <w:spacing w:after="0" w:line="360" w:lineRule="auto"/>
        <w:jc w:val="both"/>
        <w:rPr>
          <w:rFonts w:ascii="Times New Roman" w:eastAsia="Times New Roman" w:hAnsi="Times New Roman" w:cs="Times New Roman"/>
        </w:rPr>
      </w:pPr>
    </w:p>
    <w:p w14:paraId="24569C5F" w14:textId="77777777" w:rsidR="00A6028C" w:rsidRDefault="00451A42"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urbanization. During</w:t>
      </w:r>
      <w:r w:rsidR="008F4CB8" w:rsidRPr="001867BF">
        <w:rPr>
          <w:rFonts w:ascii="Times New Roman" w:eastAsia="Times New Roman" w:hAnsi="Times New Roman" w:cs="Times New Roman"/>
        </w:rPr>
        <w:t xml:space="preserve"> this time span, around 32.2% of villages saw rapid or very rapid </w:t>
      </w:r>
      <w:proofErr w:type="spellStart"/>
      <w:proofErr w:type="gramStart"/>
      <w:r w:rsidR="008F4CB8" w:rsidRPr="001867BF">
        <w:rPr>
          <w:rFonts w:ascii="Times New Roman" w:eastAsia="Times New Roman" w:hAnsi="Times New Roman" w:cs="Times New Roman"/>
        </w:rPr>
        <w:t>development.Harising</w:t>
      </w:r>
      <w:proofErr w:type="spellEnd"/>
      <w:proofErr w:type="gramEnd"/>
      <w:r w:rsidR="008F4CB8" w:rsidRPr="001867BF">
        <w:rPr>
          <w:rFonts w:ascii="Times New Roman" w:eastAsia="Times New Roman" w:hAnsi="Times New Roman" w:cs="Times New Roman"/>
        </w:rPr>
        <w:t xml:space="preserve"> has the highest UEII value (26.13), followed by </w:t>
      </w:r>
      <w:proofErr w:type="spellStart"/>
      <w:r w:rsidR="008F4CB8" w:rsidRPr="001867BF">
        <w:rPr>
          <w:rFonts w:ascii="Times New Roman" w:eastAsia="Times New Roman" w:hAnsi="Times New Roman" w:cs="Times New Roman"/>
        </w:rPr>
        <w:t>Foutsingher</w:t>
      </w:r>
      <w:proofErr w:type="spellEnd"/>
      <w:r w:rsidR="008F4CB8" w:rsidRPr="001867BF">
        <w:rPr>
          <w:rFonts w:ascii="Times New Roman" w:eastAsia="Times New Roman" w:hAnsi="Times New Roman" w:cs="Times New Roman"/>
        </w:rPr>
        <w:t xml:space="preserve"> </w:t>
      </w:r>
      <w:proofErr w:type="spellStart"/>
      <w:r w:rsidR="008F4CB8" w:rsidRPr="001867BF">
        <w:rPr>
          <w:rFonts w:ascii="Times New Roman" w:eastAsia="Times New Roman" w:hAnsi="Times New Roman" w:cs="Times New Roman"/>
        </w:rPr>
        <w:t>chhat</w:t>
      </w:r>
      <w:proofErr w:type="spellEnd"/>
      <w:r w:rsidR="008F4CB8" w:rsidRPr="001867BF">
        <w:rPr>
          <w:rFonts w:ascii="Times New Roman" w:eastAsia="Times New Roman" w:hAnsi="Times New Roman" w:cs="Times New Roman"/>
        </w:rPr>
        <w:t xml:space="preserve"> (18.25), </w:t>
      </w:r>
      <w:proofErr w:type="spellStart"/>
      <w:r w:rsidR="008F4CB8" w:rsidRPr="001867BF">
        <w:rPr>
          <w:rFonts w:ascii="Times New Roman" w:eastAsia="Times New Roman" w:hAnsi="Times New Roman" w:cs="Times New Roman"/>
        </w:rPr>
        <w:t>Dumriguri</w:t>
      </w:r>
      <w:proofErr w:type="spellEnd"/>
      <w:r w:rsidR="008F4CB8" w:rsidRPr="001867BF">
        <w:rPr>
          <w:rFonts w:ascii="Times New Roman" w:eastAsia="Times New Roman" w:hAnsi="Times New Roman" w:cs="Times New Roman"/>
        </w:rPr>
        <w:t xml:space="preserve"> </w:t>
      </w:r>
      <w:proofErr w:type="spellStart"/>
      <w:r w:rsidR="008F4CB8" w:rsidRPr="001867BF">
        <w:rPr>
          <w:rFonts w:ascii="Times New Roman" w:eastAsia="Times New Roman" w:hAnsi="Times New Roman" w:cs="Times New Roman"/>
        </w:rPr>
        <w:t>chhat</w:t>
      </w:r>
      <w:proofErr w:type="spellEnd"/>
      <w:r w:rsidR="008F4CB8" w:rsidRPr="001867BF">
        <w:rPr>
          <w:rFonts w:ascii="Times New Roman" w:eastAsia="Times New Roman" w:hAnsi="Times New Roman" w:cs="Times New Roman"/>
        </w:rPr>
        <w:t xml:space="preserve"> (16.45), and </w:t>
      </w:r>
      <w:proofErr w:type="spellStart"/>
      <w:r w:rsidR="008F4CB8" w:rsidRPr="001867BF">
        <w:rPr>
          <w:rFonts w:ascii="Times New Roman" w:eastAsia="Times New Roman" w:hAnsi="Times New Roman" w:cs="Times New Roman"/>
        </w:rPr>
        <w:t>Malahar</w:t>
      </w:r>
      <w:proofErr w:type="spellEnd"/>
      <w:r w:rsidR="008F4CB8" w:rsidRPr="001867BF">
        <w:rPr>
          <w:rFonts w:ascii="Times New Roman" w:eastAsia="Times New Roman" w:hAnsi="Times New Roman" w:cs="Times New Roman"/>
        </w:rPr>
        <w:t xml:space="preserve"> (15.11).Census towns like as </w:t>
      </w:r>
      <w:proofErr w:type="spellStart"/>
      <w:r w:rsidR="008F4CB8" w:rsidRPr="001867BF">
        <w:rPr>
          <w:rFonts w:ascii="Times New Roman" w:eastAsia="Times New Roman" w:hAnsi="Times New Roman" w:cs="Times New Roman"/>
        </w:rPr>
        <w:t>Dabgram</w:t>
      </w:r>
      <w:proofErr w:type="spellEnd"/>
      <w:r w:rsidR="008F4CB8" w:rsidRPr="001867BF">
        <w:rPr>
          <w:rFonts w:ascii="Times New Roman" w:eastAsia="Times New Roman" w:hAnsi="Times New Roman" w:cs="Times New Roman"/>
        </w:rPr>
        <w:t xml:space="preserve">, </w:t>
      </w:r>
      <w:proofErr w:type="spellStart"/>
      <w:r w:rsidR="008F4CB8" w:rsidRPr="001867BF">
        <w:rPr>
          <w:rFonts w:ascii="Times New Roman" w:eastAsia="Times New Roman" w:hAnsi="Times New Roman" w:cs="Times New Roman"/>
        </w:rPr>
        <w:t>Baramahansing</w:t>
      </w:r>
      <w:proofErr w:type="spellEnd"/>
      <w:r w:rsidR="008F4CB8" w:rsidRPr="001867BF">
        <w:rPr>
          <w:rFonts w:ascii="Times New Roman" w:eastAsia="Times New Roman" w:hAnsi="Times New Roman" w:cs="Times New Roman"/>
        </w:rPr>
        <w:t xml:space="preserve">, </w:t>
      </w:r>
      <w:proofErr w:type="spellStart"/>
      <w:r w:rsidR="008F4CB8" w:rsidRPr="001867BF">
        <w:rPr>
          <w:rFonts w:ascii="Times New Roman" w:eastAsia="Times New Roman" w:hAnsi="Times New Roman" w:cs="Times New Roman"/>
        </w:rPr>
        <w:t>Dakhshin</w:t>
      </w:r>
      <w:proofErr w:type="spellEnd"/>
      <w:r w:rsidR="008F4CB8" w:rsidRPr="001867BF">
        <w:rPr>
          <w:rFonts w:ascii="Times New Roman" w:eastAsia="Times New Roman" w:hAnsi="Times New Roman" w:cs="Times New Roman"/>
        </w:rPr>
        <w:t xml:space="preserve"> </w:t>
      </w:r>
      <w:proofErr w:type="spellStart"/>
      <w:r w:rsidR="008F4CB8" w:rsidRPr="001867BF">
        <w:rPr>
          <w:rFonts w:ascii="Times New Roman" w:eastAsia="Times New Roman" w:hAnsi="Times New Roman" w:cs="Times New Roman"/>
        </w:rPr>
        <w:t>Bagdogra</w:t>
      </w:r>
      <w:proofErr w:type="spellEnd"/>
      <w:r w:rsidR="008F4CB8" w:rsidRPr="001867BF">
        <w:rPr>
          <w:rFonts w:ascii="Times New Roman" w:eastAsia="Times New Roman" w:hAnsi="Times New Roman" w:cs="Times New Roman"/>
        </w:rPr>
        <w:t xml:space="preserve">, Uttar </w:t>
      </w:r>
      <w:proofErr w:type="spellStart"/>
      <w:r w:rsidR="008F4CB8" w:rsidRPr="001867BF">
        <w:rPr>
          <w:rFonts w:ascii="Times New Roman" w:eastAsia="Times New Roman" w:hAnsi="Times New Roman" w:cs="Times New Roman"/>
        </w:rPr>
        <w:t>Bagdigra</w:t>
      </w:r>
      <w:proofErr w:type="spellEnd"/>
      <w:r w:rsidR="008F4CB8" w:rsidRPr="001867BF">
        <w:rPr>
          <w:rFonts w:ascii="Times New Roman" w:eastAsia="Times New Roman" w:hAnsi="Times New Roman" w:cs="Times New Roman"/>
        </w:rPr>
        <w:t xml:space="preserve">, and Tari had substantial levels of urbanization during this time </w:t>
      </w:r>
      <w:proofErr w:type="spellStart"/>
      <w:r w:rsidR="008F4CB8" w:rsidRPr="001867BF">
        <w:rPr>
          <w:rFonts w:ascii="Times New Roman" w:eastAsia="Times New Roman" w:hAnsi="Times New Roman" w:cs="Times New Roman"/>
        </w:rPr>
        <w:t>period.</w:t>
      </w:r>
      <w:r w:rsidR="00AD53F5" w:rsidRPr="001867BF">
        <w:rPr>
          <w:rFonts w:ascii="Times New Roman" w:eastAsia="Times New Roman" w:hAnsi="Times New Roman" w:cs="Times New Roman"/>
        </w:rPr>
        <w:t>During</w:t>
      </w:r>
      <w:proofErr w:type="spellEnd"/>
      <w:r w:rsidR="00AD53F5" w:rsidRPr="001867BF">
        <w:rPr>
          <w:rFonts w:ascii="Times New Roman" w:eastAsia="Times New Roman" w:hAnsi="Times New Roman" w:cs="Times New Roman"/>
        </w:rPr>
        <w:t xml:space="preserve"> the last decade (2010-2020) the urbanization intensity of the whole study area shows a decreasing trend. 67 villages (32.68%) have negative growth </w:t>
      </w:r>
      <w:r w:rsidR="00514146" w:rsidRPr="001867BF">
        <w:rPr>
          <w:rFonts w:ascii="Times New Roman" w:eastAsia="Times New Roman" w:hAnsi="Times New Roman" w:cs="Times New Roman"/>
        </w:rPr>
        <w:t>intensity. This is because the pulling capacity of the Siliguri city</w:t>
      </w:r>
      <w:r w:rsidR="00AD53F5" w:rsidRPr="001867BF">
        <w:rPr>
          <w:rFonts w:ascii="Times New Roman" w:eastAsia="Times New Roman" w:hAnsi="Times New Roman" w:cs="Times New Roman"/>
        </w:rPr>
        <w:t>. Siliguri is a very alluring city for both residents and visitors due to its geographic position, economic prospects, infrastructure, natural beauty, and cultural variety. Its expansion is sustained by its function as a hub for trade and tourism, as well as by its affordability and expanding urban amenities.</w:t>
      </w:r>
      <w:r w:rsidR="00207403" w:rsidRPr="001867BF">
        <w:rPr>
          <w:rFonts w:ascii="Times New Roman" w:hAnsi="Times New Roman" w:cs="Times New Roman"/>
        </w:rPr>
        <w:t xml:space="preserve"> </w:t>
      </w:r>
      <w:r w:rsidR="00207403" w:rsidRPr="001867BF">
        <w:rPr>
          <w:rFonts w:ascii="Times New Roman" w:eastAsia="Times New Roman" w:hAnsi="Times New Roman" w:cs="Times New Roman"/>
        </w:rPr>
        <w:t xml:space="preserve">These factors draw more migrants from nearby villages, so it is clear from the study that more distant villages with fewer amenities have a lower level of urbanization than nearby Siliguri villages, which can access all the city's amenities and grow </w:t>
      </w:r>
      <w:r w:rsidR="009064C0" w:rsidRPr="001867BF">
        <w:rPr>
          <w:rFonts w:ascii="Times New Roman" w:eastAsia="Times New Roman" w:hAnsi="Times New Roman" w:cs="Times New Roman"/>
        </w:rPr>
        <w:t xml:space="preserve">quickly. </w:t>
      </w:r>
      <w:proofErr w:type="gramStart"/>
      <w:r w:rsidR="009064C0" w:rsidRPr="001867BF">
        <w:rPr>
          <w:rFonts w:ascii="Times New Roman" w:eastAsia="Times New Roman" w:hAnsi="Times New Roman" w:cs="Times New Roman"/>
        </w:rPr>
        <w:t>Thus</w:t>
      </w:r>
      <w:proofErr w:type="gramEnd"/>
      <w:r w:rsidR="009064C0" w:rsidRPr="001867BF">
        <w:rPr>
          <w:rFonts w:ascii="Times New Roman" w:eastAsia="Times New Roman" w:hAnsi="Times New Roman" w:cs="Times New Roman"/>
        </w:rPr>
        <w:t xml:space="preserve"> people from distant villages migrate to the city for better quality of life</w:t>
      </w:r>
      <w:r w:rsidR="00406073">
        <w:rPr>
          <w:rFonts w:ascii="Times New Roman" w:eastAsia="Times New Roman" w:hAnsi="Times New Roman" w:cs="Times New Roman"/>
        </w:rPr>
        <w:t>.</w:t>
      </w:r>
    </w:p>
    <w:p w14:paraId="3C571C95" w14:textId="77777777" w:rsidR="007E5E4A" w:rsidRDefault="007E5E4A" w:rsidP="00F144BB">
      <w:pPr>
        <w:spacing w:line="360" w:lineRule="auto"/>
        <w:jc w:val="both"/>
        <w:rPr>
          <w:rFonts w:ascii="Times New Roman" w:eastAsia="Times New Roman" w:hAnsi="Times New Roman" w:cs="Times New Roman"/>
        </w:rPr>
      </w:pPr>
    </w:p>
    <w:p w14:paraId="401D9A48" w14:textId="77777777" w:rsidR="007E5E4A" w:rsidRDefault="007E5E4A" w:rsidP="00F144BB">
      <w:pPr>
        <w:spacing w:line="360" w:lineRule="auto"/>
        <w:jc w:val="both"/>
        <w:rPr>
          <w:rFonts w:ascii="Times New Roman" w:eastAsia="Times New Roman" w:hAnsi="Times New Roman" w:cs="Times New Roman"/>
        </w:rPr>
      </w:pPr>
    </w:p>
    <w:p w14:paraId="09E30C3B" w14:textId="77777777" w:rsidR="007E5E4A" w:rsidRDefault="007E5E4A" w:rsidP="00F144BB">
      <w:pPr>
        <w:spacing w:line="360" w:lineRule="auto"/>
        <w:jc w:val="both"/>
        <w:rPr>
          <w:rFonts w:ascii="Times New Roman" w:eastAsia="Times New Roman" w:hAnsi="Times New Roman" w:cs="Times New Roman"/>
        </w:rPr>
      </w:pPr>
    </w:p>
    <w:p w14:paraId="7B93CAD5" w14:textId="77777777" w:rsidR="007E5E4A" w:rsidRDefault="007E5E4A" w:rsidP="00F144BB">
      <w:pPr>
        <w:spacing w:line="360" w:lineRule="auto"/>
        <w:jc w:val="both"/>
        <w:rPr>
          <w:rFonts w:ascii="Times New Roman" w:eastAsia="Times New Roman" w:hAnsi="Times New Roman" w:cs="Times New Roman"/>
        </w:rPr>
      </w:pPr>
    </w:p>
    <w:p w14:paraId="14750956" w14:textId="33185887" w:rsidR="00406073" w:rsidRPr="007E5E4A" w:rsidRDefault="007E5E4A" w:rsidP="00F144BB">
      <w:pPr>
        <w:spacing w:line="360" w:lineRule="auto"/>
        <w:jc w:val="both"/>
        <w:rPr>
          <w:rFonts w:ascii="Times New Roman" w:eastAsia="Times New Roman" w:hAnsi="Times New Roman" w:cs="Times New Roman"/>
        </w:rPr>
      </w:pPr>
      <w:r>
        <w:rPr>
          <w:noProof/>
        </w:rPr>
        <w:lastRenderedPageBreak/>
        <w:drawing>
          <wp:inline distT="0" distB="0" distL="0" distR="0" wp14:anchorId="4DB5264C" wp14:editId="7A58A356">
            <wp:extent cx="5943600" cy="2521585"/>
            <wp:effectExtent l="0" t="0" r="0" b="0"/>
            <wp:docPr id="21870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08692" name=""/>
                    <pic:cNvPicPr/>
                  </pic:nvPicPr>
                  <pic:blipFill>
                    <a:blip r:embed="rId19"/>
                    <a:stretch>
                      <a:fillRect/>
                    </a:stretch>
                  </pic:blipFill>
                  <pic:spPr>
                    <a:xfrm>
                      <a:off x="0" y="0"/>
                      <a:ext cx="5943600" cy="2521585"/>
                    </a:xfrm>
                    <a:prstGeom prst="rect">
                      <a:avLst/>
                    </a:prstGeom>
                  </pic:spPr>
                </pic:pic>
              </a:graphicData>
            </a:graphic>
          </wp:inline>
        </w:drawing>
      </w:r>
    </w:p>
    <w:p w14:paraId="68F3F784" w14:textId="4D2ACD11" w:rsidR="006B35C8" w:rsidRPr="001867BF" w:rsidRDefault="0088524D" w:rsidP="00F144BB">
      <w:pPr>
        <w:spacing w:line="360" w:lineRule="auto"/>
        <w:jc w:val="both"/>
        <w:rPr>
          <w:rFonts w:ascii="Times New Roman" w:hAnsi="Times New Roman" w:cs="Times New Roman"/>
        </w:rPr>
      </w:pPr>
      <w:r w:rsidRPr="001867BF">
        <w:rPr>
          <w:rFonts w:ascii="Times New Roman" w:hAnsi="Times New Roman" w:cs="Times New Roman"/>
        </w:rPr>
        <w:t>Fig</w:t>
      </w:r>
      <w:r w:rsidR="00CD3C84">
        <w:rPr>
          <w:rFonts w:ascii="Times New Roman" w:hAnsi="Times New Roman" w:cs="Times New Roman"/>
        </w:rPr>
        <w:t xml:space="preserve"> 9</w:t>
      </w:r>
      <w:r w:rsidRPr="001867BF">
        <w:rPr>
          <w:rFonts w:ascii="Times New Roman" w:hAnsi="Times New Roman" w:cs="Times New Roman"/>
        </w:rPr>
        <w:t>: Urban Ex</w:t>
      </w:r>
      <w:r w:rsidR="007204B5" w:rsidRPr="001867BF">
        <w:rPr>
          <w:rFonts w:ascii="Times New Roman" w:hAnsi="Times New Roman" w:cs="Times New Roman"/>
        </w:rPr>
        <w:t>pansion</w:t>
      </w:r>
      <w:r w:rsidRPr="001867BF">
        <w:rPr>
          <w:rFonts w:ascii="Times New Roman" w:hAnsi="Times New Roman" w:cs="Times New Roman"/>
        </w:rPr>
        <w:t xml:space="preserve"> Intensity Index (UEII) </w:t>
      </w:r>
      <w:r w:rsidR="007204B5" w:rsidRPr="001867BF">
        <w:rPr>
          <w:rFonts w:ascii="Times New Roman" w:hAnsi="Times New Roman" w:cs="Times New Roman"/>
        </w:rPr>
        <w:t>of the study area, 1990, 2000, 2010, &amp; 2020</w:t>
      </w:r>
    </w:p>
    <w:p w14:paraId="726B6388" w14:textId="77777777" w:rsidR="00C61B7C" w:rsidRPr="001867BF" w:rsidRDefault="00FE6087" w:rsidP="00F144BB">
      <w:pPr>
        <w:spacing w:line="360" w:lineRule="auto"/>
        <w:jc w:val="both"/>
        <w:rPr>
          <w:rFonts w:ascii="Times New Roman" w:hAnsi="Times New Roman" w:cs="Times New Roman"/>
          <w:b/>
        </w:rPr>
      </w:pPr>
      <w:r w:rsidRPr="001867BF">
        <w:rPr>
          <w:rFonts w:ascii="Times New Roman" w:hAnsi="Times New Roman" w:cs="Times New Roman"/>
          <w:b/>
        </w:rPr>
        <w:t>Urban Expansion Differentiation Index (UEDI):</w:t>
      </w:r>
    </w:p>
    <w:p w14:paraId="1CD65DC8" w14:textId="77777777" w:rsidR="006F497C" w:rsidRPr="001867BF" w:rsidRDefault="0090231A"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UEDI makes</w:t>
      </w:r>
      <w:r w:rsidR="00962E07" w:rsidRPr="001867BF">
        <w:rPr>
          <w:rFonts w:ascii="Times New Roman" w:eastAsia="Times New Roman" w:hAnsi="Times New Roman" w:cs="Times New Roman"/>
        </w:rPr>
        <w:t xml:space="preserve"> a comparison between the urban growth of the entire research area and the urban growth of a spatial unit's constituent (</w:t>
      </w:r>
      <w:proofErr w:type="spellStart"/>
      <w:r w:rsidR="00962E07" w:rsidRPr="001867BF">
        <w:rPr>
          <w:rFonts w:ascii="Times New Roman" w:eastAsia="Times New Roman" w:hAnsi="Times New Roman" w:cs="Times New Roman"/>
        </w:rPr>
        <w:t>Alam</w:t>
      </w:r>
      <w:proofErr w:type="spellEnd"/>
      <w:r w:rsidR="00962E07" w:rsidRPr="001867BF">
        <w:rPr>
          <w:rFonts w:ascii="Times New Roman" w:eastAsia="Times New Roman" w:hAnsi="Times New Roman" w:cs="Times New Roman"/>
        </w:rPr>
        <w:t>, 2023</w:t>
      </w:r>
      <w:proofErr w:type="gramStart"/>
      <w:r w:rsidR="00962E07" w:rsidRPr="001867BF">
        <w:rPr>
          <w:rFonts w:ascii="Times New Roman" w:eastAsia="Times New Roman" w:hAnsi="Times New Roman" w:cs="Times New Roman"/>
        </w:rPr>
        <w:t>).</w:t>
      </w:r>
      <w:r w:rsidR="001476E2" w:rsidRPr="001867BF">
        <w:rPr>
          <w:rFonts w:ascii="Times New Roman" w:eastAsia="Times New Roman" w:hAnsi="Times New Roman" w:cs="Times New Roman"/>
        </w:rPr>
        <w:t>Here</w:t>
      </w:r>
      <w:proofErr w:type="gramEnd"/>
      <w:r w:rsidR="001476E2" w:rsidRPr="001867BF">
        <w:rPr>
          <w:rFonts w:ascii="Times New Roman" w:eastAsia="Times New Roman" w:hAnsi="Times New Roman" w:cs="Times New Roman"/>
        </w:rPr>
        <w:t xml:space="preserve"> for the present study the </w:t>
      </w:r>
      <w:r w:rsidR="00F62962" w:rsidRPr="001867BF">
        <w:rPr>
          <w:rFonts w:ascii="Times New Roman" w:eastAsia="Times New Roman" w:hAnsi="Times New Roman" w:cs="Times New Roman"/>
        </w:rPr>
        <w:t xml:space="preserve">urban </w:t>
      </w:r>
      <w:r w:rsidR="001476E2" w:rsidRPr="001867BF">
        <w:rPr>
          <w:rFonts w:ascii="Times New Roman" w:eastAsia="Times New Roman" w:hAnsi="Times New Roman" w:cs="Times New Roman"/>
        </w:rPr>
        <w:t xml:space="preserve">development state is divided into four categories: slow development, medium speed development, high speed development and decreasing </w:t>
      </w:r>
      <w:r w:rsidR="00BC6E7E" w:rsidRPr="001867BF">
        <w:rPr>
          <w:rFonts w:ascii="Times New Roman" w:eastAsia="Times New Roman" w:hAnsi="Times New Roman" w:cs="Times New Roman"/>
        </w:rPr>
        <w:t xml:space="preserve">trend. From the overall point of view, the speed of urban development is high in the western and north western part. Over the study period the center of rapid development moved from the city core and adjoining north western part to the western part along NH </w:t>
      </w:r>
      <w:proofErr w:type="gramStart"/>
      <w:r w:rsidR="00BC6E7E" w:rsidRPr="001867BF">
        <w:rPr>
          <w:rFonts w:ascii="Times New Roman" w:eastAsia="Times New Roman" w:hAnsi="Times New Roman" w:cs="Times New Roman"/>
        </w:rPr>
        <w:t>31.The</w:t>
      </w:r>
      <w:proofErr w:type="gramEnd"/>
      <w:r w:rsidR="00BC6E7E" w:rsidRPr="001867BF">
        <w:rPr>
          <w:rFonts w:ascii="Times New Roman" w:eastAsia="Times New Roman" w:hAnsi="Times New Roman" w:cs="Times New Roman"/>
        </w:rPr>
        <w:t xml:space="preserve"> eastern(Mainly </w:t>
      </w:r>
      <w:proofErr w:type="spellStart"/>
      <w:r w:rsidR="00BC6E7E" w:rsidRPr="001867BF">
        <w:rPr>
          <w:rFonts w:ascii="Times New Roman" w:eastAsia="Times New Roman" w:hAnsi="Times New Roman" w:cs="Times New Roman"/>
        </w:rPr>
        <w:t>Dabgram</w:t>
      </w:r>
      <w:proofErr w:type="spellEnd"/>
      <w:r w:rsidR="00BC6E7E" w:rsidRPr="001867BF">
        <w:rPr>
          <w:rFonts w:ascii="Times New Roman" w:eastAsia="Times New Roman" w:hAnsi="Times New Roman" w:cs="Times New Roman"/>
        </w:rPr>
        <w:t xml:space="preserve">) and south eastern part (Mainly </w:t>
      </w:r>
      <w:proofErr w:type="spellStart"/>
      <w:r w:rsidR="00BC6E7E" w:rsidRPr="001867BF">
        <w:rPr>
          <w:rFonts w:ascii="Times New Roman" w:eastAsia="Times New Roman" w:hAnsi="Times New Roman" w:cs="Times New Roman"/>
        </w:rPr>
        <w:t>Binnaguri</w:t>
      </w:r>
      <w:proofErr w:type="spellEnd"/>
      <w:r w:rsidR="00BC6E7E" w:rsidRPr="001867BF">
        <w:rPr>
          <w:rFonts w:ascii="Times New Roman" w:eastAsia="Times New Roman" w:hAnsi="Times New Roman" w:cs="Times New Roman"/>
        </w:rPr>
        <w:t xml:space="preserve">, </w:t>
      </w:r>
      <w:proofErr w:type="spellStart"/>
      <w:r w:rsidR="00BC6E7E" w:rsidRPr="001867BF">
        <w:rPr>
          <w:rFonts w:ascii="Times New Roman" w:eastAsia="Times New Roman" w:hAnsi="Times New Roman" w:cs="Times New Roman"/>
        </w:rPr>
        <w:t>Chakiavita</w:t>
      </w:r>
      <w:proofErr w:type="spellEnd"/>
      <w:r w:rsidR="00BC6E7E" w:rsidRPr="001867BF">
        <w:rPr>
          <w:rFonts w:ascii="Times New Roman" w:eastAsia="Times New Roman" w:hAnsi="Times New Roman" w:cs="Times New Roman"/>
        </w:rPr>
        <w:t xml:space="preserve">) of Siliguri city developed after 2000 when the city upgraded to Municipal Corporation and added some area from </w:t>
      </w:r>
      <w:proofErr w:type="spellStart"/>
      <w:r w:rsidR="00BC6E7E" w:rsidRPr="001867BF">
        <w:rPr>
          <w:rFonts w:ascii="Times New Roman" w:eastAsia="Times New Roman" w:hAnsi="Times New Roman" w:cs="Times New Roman"/>
        </w:rPr>
        <w:t>Dabgram</w:t>
      </w:r>
      <w:proofErr w:type="spellEnd"/>
      <w:r w:rsidR="00BC6E7E" w:rsidRPr="001867BF">
        <w:rPr>
          <w:rFonts w:ascii="Times New Roman" w:eastAsia="Times New Roman" w:hAnsi="Times New Roman" w:cs="Times New Roman"/>
        </w:rPr>
        <w:t>.</w:t>
      </w:r>
      <w:r w:rsidR="006F497C" w:rsidRPr="001867BF">
        <w:rPr>
          <w:rFonts w:ascii="Times New Roman" w:hAnsi="Times New Roman" w:cs="Times New Roman"/>
        </w:rPr>
        <w:t xml:space="preserve"> </w:t>
      </w:r>
      <w:r w:rsidR="006F497C" w:rsidRPr="001867BF">
        <w:rPr>
          <w:rFonts w:ascii="Times New Roman" w:eastAsia="Times New Roman" w:hAnsi="Times New Roman" w:cs="Times New Roman"/>
        </w:rPr>
        <w:t>Siliguri, on the other hand, witnessed medium speed development (2.17) in the first ten years, followed by a spillover effect, and the speed decreased after 2000.</w:t>
      </w:r>
    </w:p>
    <w:p w14:paraId="66D8816B" w14:textId="7C5A78C9" w:rsidR="0001719B" w:rsidRPr="001867BF" w:rsidRDefault="0001719B"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7</w:t>
      </w:r>
      <w:r w:rsidRPr="001867BF">
        <w:rPr>
          <w:rFonts w:ascii="Times New Roman" w:eastAsia="Times New Roman" w:hAnsi="Times New Roman" w:cs="Times New Roman"/>
        </w:rPr>
        <w:t>: UEDI of the study area (1990,2000,2010&amp; 2020)</w:t>
      </w:r>
    </w:p>
    <w:tbl>
      <w:tblPr>
        <w:tblW w:w="9440" w:type="dxa"/>
        <w:tblInd w:w="95" w:type="dxa"/>
        <w:tblLook w:val="04A0" w:firstRow="1" w:lastRow="0" w:firstColumn="1" w:lastColumn="0" w:noHBand="0" w:noVBand="1"/>
      </w:tblPr>
      <w:tblGrid>
        <w:gridCol w:w="957"/>
        <w:gridCol w:w="2747"/>
        <w:gridCol w:w="956"/>
        <w:gridCol w:w="956"/>
        <w:gridCol w:w="956"/>
        <w:gridCol w:w="956"/>
        <w:gridCol w:w="956"/>
        <w:gridCol w:w="956"/>
      </w:tblGrid>
      <w:tr w:rsidR="0001719B" w:rsidRPr="001867BF" w14:paraId="2A643A24" w14:textId="77777777" w:rsidTr="0001719B">
        <w:trPr>
          <w:trHeight w:val="288"/>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9D5D1"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UEDI</w:t>
            </w:r>
          </w:p>
        </w:tc>
        <w:tc>
          <w:tcPr>
            <w:tcW w:w="2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BC74A4"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Speed of development</w:t>
            </w:r>
          </w:p>
        </w:tc>
        <w:tc>
          <w:tcPr>
            <w:tcW w:w="2868" w:type="dxa"/>
            <w:gridSpan w:val="3"/>
            <w:tcBorders>
              <w:top w:val="single" w:sz="4" w:space="0" w:color="auto"/>
              <w:left w:val="nil"/>
              <w:bottom w:val="single" w:sz="4" w:space="0" w:color="auto"/>
              <w:right w:val="single" w:sz="4" w:space="0" w:color="auto"/>
            </w:tcBorders>
            <w:shd w:val="clear" w:color="auto" w:fill="auto"/>
            <w:vAlign w:val="center"/>
            <w:hideMark/>
          </w:tcPr>
          <w:p w14:paraId="33D37685"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Number of villages/CTs</w:t>
            </w:r>
          </w:p>
        </w:tc>
        <w:tc>
          <w:tcPr>
            <w:tcW w:w="2868" w:type="dxa"/>
            <w:gridSpan w:val="3"/>
            <w:tcBorders>
              <w:top w:val="single" w:sz="4" w:space="0" w:color="auto"/>
              <w:left w:val="nil"/>
              <w:bottom w:val="single" w:sz="4" w:space="0" w:color="auto"/>
              <w:right w:val="single" w:sz="4" w:space="0" w:color="auto"/>
            </w:tcBorders>
            <w:shd w:val="clear" w:color="auto" w:fill="auto"/>
            <w:vAlign w:val="center"/>
            <w:hideMark/>
          </w:tcPr>
          <w:p w14:paraId="527695F8"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Percentage of villages or CTs</w:t>
            </w:r>
          </w:p>
        </w:tc>
      </w:tr>
      <w:tr w:rsidR="0001719B" w:rsidRPr="001867BF" w14:paraId="7B725010" w14:textId="77777777" w:rsidTr="0001719B">
        <w:trPr>
          <w:trHeight w:val="576"/>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621731E5"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p>
        </w:tc>
        <w:tc>
          <w:tcPr>
            <w:tcW w:w="2747" w:type="dxa"/>
            <w:vMerge/>
            <w:tcBorders>
              <w:top w:val="single" w:sz="4" w:space="0" w:color="auto"/>
              <w:left w:val="single" w:sz="4" w:space="0" w:color="auto"/>
              <w:bottom w:val="single" w:sz="4" w:space="0" w:color="auto"/>
              <w:right w:val="single" w:sz="4" w:space="0" w:color="auto"/>
            </w:tcBorders>
            <w:vAlign w:val="center"/>
            <w:hideMark/>
          </w:tcPr>
          <w:p w14:paraId="2EE20E96"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p>
        </w:tc>
        <w:tc>
          <w:tcPr>
            <w:tcW w:w="956" w:type="dxa"/>
            <w:tcBorders>
              <w:top w:val="nil"/>
              <w:left w:val="nil"/>
              <w:bottom w:val="single" w:sz="4" w:space="0" w:color="auto"/>
              <w:right w:val="single" w:sz="4" w:space="0" w:color="auto"/>
            </w:tcBorders>
            <w:shd w:val="clear" w:color="auto" w:fill="auto"/>
            <w:vAlign w:val="center"/>
            <w:hideMark/>
          </w:tcPr>
          <w:p w14:paraId="315655A7"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1990-2000</w:t>
            </w:r>
          </w:p>
        </w:tc>
        <w:tc>
          <w:tcPr>
            <w:tcW w:w="956" w:type="dxa"/>
            <w:tcBorders>
              <w:top w:val="nil"/>
              <w:left w:val="nil"/>
              <w:bottom w:val="single" w:sz="4" w:space="0" w:color="auto"/>
              <w:right w:val="single" w:sz="4" w:space="0" w:color="auto"/>
            </w:tcBorders>
            <w:shd w:val="clear" w:color="auto" w:fill="auto"/>
            <w:vAlign w:val="center"/>
            <w:hideMark/>
          </w:tcPr>
          <w:p w14:paraId="5820B43E"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2000-2010</w:t>
            </w:r>
          </w:p>
        </w:tc>
        <w:tc>
          <w:tcPr>
            <w:tcW w:w="956" w:type="dxa"/>
            <w:tcBorders>
              <w:top w:val="nil"/>
              <w:left w:val="nil"/>
              <w:bottom w:val="single" w:sz="4" w:space="0" w:color="auto"/>
              <w:right w:val="single" w:sz="4" w:space="0" w:color="auto"/>
            </w:tcBorders>
            <w:shd w:val="clear" w:color="auto" w:fill="auto"/>
            <w:vAlign w:val="center"/>
            <w:hideMark/>
          </w:tcPr>
          <w:p w14:paraId="79AFA0C9"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2010-2020</w:t>
            </w:r>
          </w:p>
        </w:tc>
        <w:tc>
          <w:tcPr>
            <w:tcW w:w="956" w:type="dxa"/>
            <w:tcBorders>
              <w:top w:val="nil"/>
              <w:left w:val="nil"/>
              <w:bottom w:val="single" w:sz="4" w:space="0" w:color="auto"/>
              <w:right w:val="single" w:sz="4" w:space="0" w:color="auto"/>
            </w:tcBorders>
            <w:shd w:val="clear" w:color="auto" w:fill="auto"/>
            <w:vAlign w:val="center"/>
            <w:hideMark/>
          </w:tcPr>
          <w:p w14:paraId="61B83F4C"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1990-2000</w:t>
            </w:r>
          </w:p>
        </w:tc>
        <w:tc>
          <w:tcPr>
            <w:tcW w:w="956" w:type="dxa"/>
            <w:tcBorders>
              <w:top w:val="nil"/>
              <w:left w:val="nil"/>
              <w:bottom w:val="single" w:sz="4" w:space="0" w:color="auto"/>
              <w:right w:val="single" w:sz="4" w:space="0" w:color="auto"/>
            </w:tcBorders>
            <w:shd w:val="clear" w:color="auto" w:fill="auto"/>
            <w:vAlign w:val="center"/>
            <w:hideMark/>
          </w:tcPr>
          <w:p w14:paraId="74611F3F"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2000-2010</w:t>
            </w:r>
          </w:p>
        </w:tc>
        <w:tc>
          <w:tcPr>
            <w:tcW w:w="956" w:type="dxa"/>
            <w:tcBorders>
              <w:top w:val="nil"/>
              <w:left w:val="nil"/>
              <w:bottom w:val="single" w:sz="4" w:space="0" w:color="auto"/>
              <w:right w:val="single" w:sz="4" w:space="0" w:color="auto"/>
            </w:tcBorders>
            <w:shd w:val="clear" w:color="auto" w:fill="auto"/>
            <w:vAlign w:val="center"/>
            <w:hideMark/>
          </w:tcPr>
          <w:p w14:paraId="4CF8AF85" w14:textId="77777777"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2010-2020</w:t>
            </w:r>
          </w:p>
        </w:tc>
      </w:tr>
      <w:tr w:rsidR="0001719B" w:rsidRPr="001867BF" w14:paraId="61EE7AFF" w14:textId="77777777" w:rsidTr="0001719B">
        <w:trPr>
          <w:trHeigh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6B767257"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&gt; 3.00</w:t>
            </w:r>
          </w:p>
        </w:tc>
        <w:tc>
          <w:tcPr>
            <w:tcW w:w="2747" w:type="dxa"/>
            <w:tcBorders>
              <w:top w:val="nil"/>
              <w:left w:val="nil"/>
              <w:bottom w:val="single" w:sz="4" w:space="0" w:color="auto"/>
              <w:right w:val="single" w:sz="4" w:space="0" w:color="auto"/>
            </w:tcBorders>
            <w:shd w:val="clear" w:color="auto" w:fill="auto"/>
            <w:noWrap/>
            <w:vAlign w:val="center"/>
            <w:hideMark/>
          </w:tcPr>
          <w:p w14:paraId="3A0D6F9D"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High speed development</w:t>
            </w:r>
          </w:p>
        </w:tc>
        <w:tc>
          <w:tcPr>
            <w:tcW w:w="956" w:type="dxa"/>
            <w:tcBorders>
              <w:top w:val="nil"/>
              <w:left w:val="nil"/>
              <w:bottom w:val="single" w:sz="4" w:space="0" w:color="auto"/>
              <w:right w:val="single" w:sz="4" w:space="0" w:color="auto"/>
            </w:tcBorders>
            <w:shd w:val="clear" w:color="auto" w:fill="auto"/>
            <w:noWrap/>
            <w:vAlign w:val="center"/>
            <w:hideMark/>
          </w:tcPr>
          <w:p w14:paraId="307FA531"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77</w:t>
            </w:r>
          </w:p>
        </w:tc>
        <w:tc>
          <w:tcPr>
            <w:tcW w:w="956" w:type="dxa"/>
            <w:tcBorders>
              <w:top w:val="nil"/>
              <w:left w:val="nil"/>
              <w:bottom w:val="single" w:sz="4" w:space="0" w:color="auto"/>
              <w:right w:val="single" w:sz="4" w:space="0" w:color="auto"/>
            </w:tcBorders>
            <w:shd w:val="clear" w:color="auto" w:fill="auto"/>
            <w:noWrap/>
            <w:vAlign w:val="center"/>
            <w:hideMark/>
          </w:tcPr>
          <w:p w14:paraId="2BF10365"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46</w:t>
            </w:r>
          </w:p>
        </w:tc>
        <w:tc>
          <w:tcPr>
            <w:tcW w:w="956" w:type="dxa"/>
            <w:tcBorders>
              <w:top w:val="nil"/>
              <w:left w:val="nil"/>
              <w:bottom w:val="single" w:sz="4" w:space="0" w:color="auto"/>
              <w:right w:val="single" w:sz="4" w:space="0" w:color="auto"/>
            </w:tcBorders>
            <w:shd w:val="clear" w:color="auto" w:fill="auto"/>
            <w:noWrap/>
            <w:vAlign w:val="center"/>
            <w:hideMark/>
          </w:tcPr>
          <w:p w14:paraId="581C152D"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41</w:t>
            </w:r>
          </w:p>
        </w:tc>
        <w:tc>
          <w:tcPr>
            <w:tcW w:w="956" w:type="dxa"/>
            <w:tcBorders>
              <w:top w:val="nil"/>
              <w:left w:val="nil"/>
              <w:bottom w:val="single" w:sz="4" w:space="0" w:color="auto"/>
              <w:right w:val="single" w:sz="4" w:space="0" w:color="auto"/>
            </w:tcBorders>
            <w:shd w:val="clear" w:color="auto" w:fill="auto"/>
            <w:noWrap/>
            <w:vAlign w:val="center"/>
            <w:hideMark/>
          </w:tcPr>
          <w:p w14:paraId="4865573C"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37.56</w:t>
            </w:r>
          </w:p>
        </w:tc>
        <w:tc>
          <w:tcPr>
            <w:tcW w:w="956" w:type="dxa"/>
            <w:tcBorders>
              <w:top w:val="nil"/>
              <w:left w:val="nil"/>
              <w:bottom w:val="single" w:sz="4" w:space="0" w:color="auto"/>
              <w:right w:val="single" w:sz="4" w:space="0" w:color="auto"/>
            </w:tcBorders>
            <w:shd w:val="clear" w:color="auto" w:fill="auto"/>
            <w:noWrap/>
            <w:vAlign w:val="center"/>
            <w:hideMark/>
          </w:tcPr>
          <w:p w14:paraId="72D0643F"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22.44</w:t>
            </w:r>
          </w:p>
        </w:tc>
        <w:tc>
          <w:tcPr>
            <w:tcW w:w="956" w:type="dxa"/>
            <w:tcBorders>
              <w:top w:val="nil"/>
              <w:left w:val="nil"/>
              <w:bottom w:val="single" w:sz="4" w:space="0" w:color="auto"/>
              <w:right w:val="single" w:sz="4" w:space="0" w:color="auto"/>
            </w:tcBorders>
            <w:shd w:val="clear" w:color="auto" w:fill="auto"/>
            <w:noWrap/>
            <w:vAlign w:val="center"/>
            <w:hideMark/>
          </w:tcPr>
          <w:p w14:paraId="3FA2C1B8"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20.00</w:t>
            </w:r>
          </w:p>
        </w:tc>
      </w:tr>
      <w:tr w:rsidR="0001719B" w:rsidRPr="001867BF" w14:paraId="586C8A59" w14:textId="77777777" w:rsidTr="0001719B">
        <w:trPr>
          <w:trHeigh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14F16999"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1.5-3.00</w:t>
            </w:r>
          </w:p>
        </w:tc>
        <w:tc>
          <w:tcPr>
            <w:tcW w:w="2747" w:type="dxa"/>
            <w:tcBorders>
              <w:top w:val="nil"/>
              <w:left w:val="nil"/>
              <w:bottom w:val="single" w:sz="4" w:space="0" w:color="auto"/>
              <w:right w:val="single" w:sz="4" w:space="0" w:color="auto"/>
            </w:tcBorders>
            <w:shd w:val="clear" w:color="auto" w:fill="auto"/>
            <w:noWrap/>
            <w:vAlign w:val="center"/>
            <w:hideMark/>
          </w:tcPr>
          <w:p w14:paraId="0C6CC7B6"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Moderate speed development</w:t>
            </w:r>
          </w:p>
        </w:tc>
        <w:tc>
          <w:tcPr>
            <w:tcW w:w="956" w:type="dxa"/>
            <w:tcBorders>
              <w:top w:val="nil"/>
              <w:left w:val="nil"/>
              <w:bottom w:val="single" w:sz="4" w:space="0" w:color="auto"/>
              <w:right w:val="single" w:sz="4" w:space="0" w:color="auto"/>
            </w:tcBorders>
            <w:shd w:val="clear" w:color="auto" w:fill="auto"/>
            <w:noWrap/>
            <w:vAlign w:val="center"/>
            <w:hideMark/>
          </w:tcPr>
          <w:p w14:paraId="44363C47"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27</w:t>
            </w:r>
          </w:p>
        </w:tc>
        <w:tc>
          <w:tcPr>
            <w:tcW w:w="956" w:type="dxa"/>
            <w:tcBorders>
              <w:top w:val="nil"/>
              <w:left w:val="nil"/>
              <w:bottom w:val="single" w:sz="4" w:space="0" w:color="auto"/>
              <w:right w:val="single" w:sz="4" w:space="0" w:color="auto"/>
            </w:tcBorders>
            <w:shd w:val="clear" w:color="auto" w:fill="auto"/>
            <w:noWrap/>
            <w:vAlign w:val="center"/>
            <w:hideMark/>
          </w:tcPr>
          <w:p w14:paraId="6FB33B3E"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60</w:t>
            </w:r>
          </w:p>
        </w:tc>
        <w:tc>
          <w:tcPr>
            <w:tcW w:w="956" w:type="dxa"/>
            <w:tcBorders>
              <w:top w:val="nil"/>
              <w:left w:val="nil"/>
              <w:bottom w:val="single" w:sz="4" w:space="0" w:color="auto"/>
              <w:right w:val="single" w:sz="4" w:space="0" w:color="auto"/>
            </w:tcBorders>
            <w:shd w:val="clear" w:color="auto" w:fill="auto"/>
            <w:noWrap/>
            <w:vAlign w:val="center"/>
            <w:hideMark/>
          </w:tcPr>
          <w:p w14:paraId="49F4B65B"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23</w:t>
            </w:r>
          </w:p>
        </w:tc>
        <w:tc>
          <w:tcPr>
            <w:tcW w:w="956" w:type="dxa"/>
            <w:tcBorders>
              <w:top w:val="nil"/>
              <w:left w:val="nil"/>
              <w:bottom w:val="single" w:sz="4" w:space="0" w:color="auto"/>
              <w:right w:val="single" w:sz="4" w:space="0" w:color="auto"/>
            </w:tcBorders>
            <w:shd w:val="clear" w:color="auto" w:fill="auto"/>
            <w:noWrap/>
            <w:vAlign w:val="center"/>
            <w:hideMark/>
          </w:tcPr>
          <w:p w14:paraId="4C048C36"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13.17</w:t>
            </w:r>
          </w:p>
        </w:tc>
        <w:tc>
          <w:tcPr>
            <w:tcW w:w="956" w:type="dxa"/>
            <w:tcBorders>
              <w:top w:val="nil"/>
              <w:left w:val="nil"/>
              <w:bottom w:val="single" w:sz="4" w:space="0" w:color="auto"/>
              <w:right w:val="single" w:sz="4" w:space="0" w:color="auto"/>
            </w:tcBorders>
            <w:shd w:val="clear" w:color="auto" w:fill="auto"/>
            <w:noWrap/>
            <w:vAlign w:val="center"/>
            <w:hideMark/>
          </w:tcPr>
          <w:p w14:paraId="6583D493"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29.27</w:t>
            </w:r>
          </w:p>
        </w:tc>
        <w:tc>
          <w:tcPr>
            <w:tcW w:w="956" w:type="dxa"/>
            <w:tcBorders>
              <w:top w:val="nil"/>
              <w:left w:val="nil"/>
              <w:bottom w:val="single" w:sz="4" w:space="0" w:color="auto"/>
              <w:right w:val="single" w:sz="4" w:space="0" w:color="auto"/>
            </w:tcBorders>
            <w:shd w:val="clear" w:color="auto" w:fill="auto"/>
            <w:noWrap/>
            <w:vAlign w:val="center"/>
            <w:hideMark/>
          </w:tcPr>
          <w:p w14:paraId="0D7EE6E5"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11.22</w:t>
            </w:r>
          </w:p>
        </w:tc>
      </w:tr>
      <w:tr w:rsidR="0001719B" w:rsidRPr="001867BF" w14:paraId="2682D167" w14:textId="77777777" w:rsidTr="0001719B">
        <w:trPr>
          <w:trHeigh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57046A26"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lastRenderedPageBreak/>
              <w:t>0-1.5</w:t>
            </w:r>
          </w:p>
        </w:tc>
        <w:tc>
          <w:tcPr>
            <w:tcW w:w="2747" w:type="dxa"/>
            <w:tcBorders>
              <w:top w:val="nil"/>
              <w:left w:val="nil"/>
              <w:bottom w:val="single" w:sz="4" w:space="0" w:color="auto"/>
              <w:right w:val="single" w:sz="4" w:space="0" w:color="auto"/>
            </w:tcBorders>
            <w:shd w:val="clear" w:color="auto" w:fill="auto"/>
            <w:noWrap/>
            <w:vAlign w:val="center"/>
            <w:hideMark/>
          </w:tcPr>
          <w:p w14:paraId="5F690A45"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Slow development</w:t>
            </w:r>
          </w:p>
        </w:tc>
        <w:tc>
          <w:tcPr>
            <w:tcW w:w="956" w:type="dxa"/>
            <w:tcBorders>
              <w:top w:val="nil"/>
              <w:left w:val="nil"/>
              <w:bottom w:val="single" w:sz="4" w:space="0" w:color="auto"/>
              <w:right w:val="single" w:sz="4" w:space="0" w:color="auto"/>
            </w:tcBorders>
            <w:shd w:val="clear" w:color="auto" w:fill="auto"/>
            <w:noWrap/>
            <w:vAlign w:val="center"/>
            <w:hideMark/>
          </w:tcPr>
          <w:p w14:paraId="5BBBEA6E"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24</w:t>
            </w:r>
          </w:p>
        </w:tc>
        <w:tc>
          <w:tcPr>
            <w:tcW w:w="956" w:type="dxa"/>
            <w:tcBorders>
              <w:top w:val="nil"/>
              <w:left w:val="nil"/>
              <w:bottom w:val="single" w:sz="4" w:space="0" w:color="auto"/>
              <w:right w:val="single" w:sz="4" w:space="0" w:color="auto"/>
            </w:tcBorders>
            <w:shd w:val="clear" w:color="auto" w:fill="auto"/>
            <w:noWrap/>
            <w:vAlign w:val="center"/>
            <w:hideMark/>
          </w:tcPr>
          <w:p w14:paraId="531D7758"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55</w:t>
            </w:r>
          </w:p>
        </w:tc>
        <w:tc>
          <w:tcPr>
            <w:tcW w:w="956" w:type="dxa"/>
            <w:tcBorders>
              <w:top w:val="nil"/>
              <w:left w:val="nil"/>
              <w:bottom w:val="single" w:sz="4" w:space="0" w:color="auto"/>
              <w:right w:val="single" w:sz="4" w:space="0" w:color="auto"/>
            </w:tcBorders>
            <w:shd w:val="clear" w:color="auto" w:fill="auto"/>
            <w:noWrap/>
            <w:vAlign w:val="center"/>
            <w:hideMark/>
          </w:tcPr>
          <w:p w14:paraId="2C784EB3"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60</w:t>
            </w:r>
          </w:p>
        </w:tc>
        <w:tc>
          <w:tcPr>
            <w:tcW w:w="956" w:type="dxa"/>
            <w:tcBorders>
              <w:top w:val="nil"/>
              <w:left w:val="nil"/>
              <w:bottom w:val="single" w:sz="4" w:space="0" w:color="auto"/>
              <w:right w:val="single" w:sz="4" w:space="0" w:color="auto"/>
            </w:tcBorders>
            <w:shd w:val="clear" w:color="auto" w:fill="auto"/>
            <w:noWrap/>
            <w:vAlign w:val="center"/>
            <w:hideMark/>
          </w:tcPr>
          <w:p w14:paraId="1E6FF9CD"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11.71</w:t>
            </w:r>
          </w:p>
        </w:tc>
        <w:tc>
          <w:tcPr>
            <w:tcW w:w="956" w:type="dxa"/>
            <w:tcBorders>
              <w:top w:val="nil"/>
              <w:left w:val="nil"/>
              <w:bottom w:val="single" w:sz="4" w:space="0" w:color="auto"/>
              <w:right w:val="single" w:sz="4" w:space="0" w:color="auto"/>
            </w:tcBorders>
            <w:shd w:val="clear" w:color="auto" w:fill="auto"/>
            <w:noWrap/>
            <w:vAlign w:val="center"/>
            <w:hideMark/>
          </w:tcPr>
          <w:p w14:paraId="48CEFFF8"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26.83</w:t>
            </w:r>
          </w:p>
        </w:tc>
        <w:tc>
          <w:tcPr>
            <w:tcW w:w="956" w:type="dxa"/>
            <w:tcBorders>
              <w:top w:val="nil"/>
              <w:left w:val="nil"/>
              <w:bottom w:val="single" w:sz="4" w:space="0" w:color="auto"/>
              <w:right w:val="single" w:sz="4" w:space="0" w:color="auto"/>
            </w:tcBorders>
            <w:shd w:val="clear" w:color="auto" w:fill="auto"/>
            <w:noWrap/>
            <w:vAlign w:val="center"/>
            <w:hideMark/>
          </w:tcPr>
          <w:p w14:paraId="483EA668"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29.27</w:t>
            </w:r>
          </w:p>
        </w:tc>
      </w:tr>
      <w:tr w:rsidR="0001719B" w:rsidRPr="001867BF" w14:paraId="502A3B1E" w14:textId="77777777" w:rsidTr="0001719B">
        <w:trPr>
          <w:trHeigh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3A82C4C"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&lt;0.00</w:t>
            </w:r>
          </w:p>
        </w:tc>
        <w:tc>
          <w:tcPr>
            <w:tcW w:w="2747" w:type="dxa"/>
            <w:tcBorders>
              <w:top w:val="nil"/>
              <w:left w:val="nil"/>
              <w:bottom w:val="single" w:sz="4" w:space="0" w:color="auto"/>
              <w:right w:val="single" w:sz="4" w:space="0" w:color="auto"/>
            </w:tcBorders>
            <w:shd w:val="clear" w:color="auto" w:fill="auto"/>
            <w:noWrap/>
            <w:vAlign w:val="center"/>
            <w:hideMark/>
          </w:tcPr>
          <w:p w14:paraId="65B804D9"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Decreasing intensity</w:t>
            </w:r>
          </w:p>
        </w:tc>
        <w:tc>
          <w:tcPr>
            <w:tcW w:w="956" w:type="dxa"/>
            <w:tcBorders>
              <w:top w:val="nil"/>
              <w:left w:val="nil"/>
              <w:bottom w:val="single" w:sz="4" w:space="0" w:color="auto"/>
              <w:right w:val="single" w:sz="4" w:space="0" w:color="auto"/>
            </w:tcBorders>
            <w:shd w:val="clear" w:color="auto" w:fill="auto"/>
            <w:noWrap/>
            <w:vAlign w:val="center"/>
            <w:hideMark/>
          </w:tcPr>
          <w:p w14:paraId="5F9EDD3C"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77</w:t>
            </w:r>
          </w:p>
        </w:tc>
        <w:tc>
          <w:tcPr>
            <w:tcW w:w="956" w:type="dxa"/>
            <w:tcBorders>
              <w:top w:val="nil"/>
              <w:left w:val="nil"/>
              <w:bottom w:val="single" w:sz="4" w:space="0" w:color="auto"/>
              <w:right w:val="single" w:sz="4" w:space="0" w:color="auto"/>
            </w:tcBorders>
            <w:shd w:val="clear" w:color="auto" w:fill="auto"/>
            <w:noWrap/>
            <w:vAlign w:val="center"/>
            <w:hideMark/>
          </w:tcPr>
          <w:p w14:paraId="6C9A2FEB"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44</w:t>
            </w:r>
          </w:p>
        </w:tc>
        <w:tc>
          <w:tcPr>
            <w:tcW w:w="956" w:type="dxa"/>
            <w:tcBorders>
              <w:top w:val="nil"/>
              <w:left w:val="nil"/>
              <w:bottom w:val="single" w:sz="4" w:space="0" w:color="auto"/>
              <w:right w:val="single" w:sz="4" w:space="0" w:color="auto"/>
            </w:tcBorders>
            <w:shd w:val="clear" w:color="auto" w:fill="auto"/>
            <w:noWrap/>
            <w:vAlign w:val="center"/>
            <w:hideMark/>
          </w:tcPr>
          <w:p w14:paraId="722D4480"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81</w:t>
            </w:r>
          </w:p>
        </w:tc>
        <w:tc>
          <w:tcPr>
            <w:tcW w:w="956" w:type="dxa"/>
            <w:tcBorders>
              <w:top w:val="nil"/>
              <w:left w:val="nil"/>
              <w:bottom w:val="single" w:sz="4" w:space="0" w:color="auto"/>
              <w:right w:val="single" w:sz="4" w:space="0" w:color="auto"/>
            </w:tcBorders>
            <w:shd w:val="clear" w:color="auto" w:fill="auto"/>
            <w:noWrap/>
            <w:vAlign w:val="center"/>
            <w:hideMark/>
          </w:tcPr>
          <w:p w14:paraId="4DA9E5B3"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37.56</w:t>
            </w:r>
          </w:p>
        </w:tc>
        <w:tc>
          <w:tcPr>
            <w:tcW w:w="956" w:type="dxa"/>
            <w:tcBorders>
              <w:top w:val="nil"/>
              <w:left w:val="nil"/>
              <w:bottom w:val="single" w:sz="4" w:space="0" w:color="auto"/>
              <w:right w:val="single" w:sz="4" w:space="0" w:color="auto"/>
            </w:tcBorders>
            <w:shd w:val="clear" w:color="auto" w:fill="auto"/>
            <w:noWrap/>
            <w:vAlign w:val="center"/>
            <w:hideMark/>
          </w:tcPr>
          <w:p w14:paraId="09DDDFF8"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21.46</w:t>
            </w:r>
          </w:p>
        </w:tc>
        <w:tc>
          <w:tcPr>
            <w:tcW w:w="956" w:type="dxa"/>
            <w:tcBorders>
              <w:top w:val="nil"/>
              <w:left w:val="nil"/>
              <w:bottom w:val="single" w:sz="4" w:space="0" w:color="auto"/>
              <w:right w:val="single" w:sz="4" w:space="0" w:color="auto"/>
            </w:tcBorders>
            <w:shd w:val="clear" w:color="auto" w:fill="auto"/>
            <w:noWrap/>
            <w:vAlign w:val="center"/>
            <w:hideMark/>
          </w:tcPr>
          <w:p w14:paraId="1FE5DBB4"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39.51</w:t>
            </w:r>
          </w:p>
        </w:tc>
      </w:tr>
      <w:tr w:rsidR="0001719B" w:rsidRPr="001867BF" w14:paraId="27125146" w14:textId="77777777" w:rsidTr="0001719B">
        <w:trPr>
          <w:trHeight w:val="288"/>
        </w:trPr>
        <w:tc>
          <w:tcPr>
            <w:tcW w:w="9440" w:type="dxa"/>
            <w:gridSpan w:val="8"/>
            <w:tcBorders>
              <w:top w:val="single" w:sz="4" w:space="0" w:color="auto"/>
              <w:left w:val="nil"/>
              <w:bottom w:val="nil"/>
              <w:right w:val="nil"/>
            </w:tcBorders>
            <w:shd w:val="clear" w:color="auto" w:fill="auto"/>
            <w:noWrap/>
            <w:vAlign w:val="bottom"/>
            <w:hideMark/>
          </w:tcPr>
          <w:p w14:paraId="7F2AC69C" w14:textId="77777777"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Source: Calculated by the author</w:t>
            </w:r>
          </w:p>
        </w:tc>
      </w:tr>
    </w:tbl>
    <w:p w14:paraId="04C4B4FD" w14:textId="4845849C" w:rsidR="001864C0" w:rsidRPr="001867BF" w:rsidRDefault="007E5E4A" w:rsidP="00F144BB">
      <w:pPr>
        <w:spacing w:line="360" w:lineRule="auto"/>
        <w:jc w:val="both"/>
        <w:rPr>
          <w:rFonts w:ascii="Times New Roman" w:eastAsia="Times New Roman" w:hAnsi="Times New Roman" w:cs="Times New Roman"/>
        </w:rPr>
      </w:pPr>
      <w:r>
        <w:rPr>
          <w:noProof/>
        </w:rPr>
        <w:drawing>
          <wp:inline distT="0" distB="0" distL="0" distR="0" wp14:anchorId="2DFD3255" wp14:editId="593B2B60">
            <wp:extent cx="5943600" cy="2393315"/>
            <wp:effectExtent l="0" t="0" r="0" b="0"/>
            <wp:docPr id="133600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01101" name=""/>
                    <pic:cNvPicPr/>
                  </pic:nvPicPr>
                  <pic:blipFill>
                    <a:blip r:embed="rId20"/>
                    <a:stretch>
                      <a:fillRect/>
                    </a:stretch>
                  </pic:blipFill>
                  <pic:spPr>
                    <a:xfrm>
                      <a:off x="0" y="0"/>
                      <a:ext cx="5943600" cy="2393315"/>
                    </a:xfrm>
                    <a:prstGeom prst="rect">
                      <a:avLst/>
                    </a:prstGeom>
                  </pic:spPr>
                </pic:pic>
              </a:graphicData>
            </a:graphic>
          </wp:inline>
        </w:drawing>
      </w:r>
    </w:p>
    <w:p w14:paraId="205A6411" w14:textId="44887BB2" w:rsidR="001864C0" w:rsidRPr="001867BF" w:rsidRDefault="001864C0" w:rsidP="00F144BB">
      <w:pPr>
        <w:spacing w:line="360" w:lineRule="auto"/>
        <w:jc w:val="both"/>
        <w:rPr>
          <w:rFonts w:ascii="Times New Roman" w:hAnsi="Times New Roman" w:cs="Times New Roman"/>
        </w:rPr>
      </w:pPr>
      <w:r w:rsidRPr="001867BF">
        <w:rPr>
          <w:rFonts w:ascii="Times New Roman" w:hAnsi="Times New Roman" w:cs="Times New Roman"/>
        </w:rPr>
        <w:t>Fig</w:t>
      </w:r>
      <w:r w:rsidR="00CD3C84">
        <w:rPr>
          <w:rFonts w:ascii="Times New Roman" w:hAnsi="Times New Roman" w:cs="Times New Roman"/>
        </w:rPr>
        <w:t xml:space="preserve"> 10</w:t>
      </w:r>
      <w:r w:rsidRPr="001867BF">
        <w:rPr>
          <w:rFonts w:ascii="Times New Roman" w:hAnsi="Times New Roman" w:cs="Times New Roman"/>
        </w:rPr>
        <w:t>: UEDI of the study area (1990,2000,2010, &amp; 2020)</w:t>
      </w:r>
    </w:p>
    <w:p w14:paraId="46BDA9AE" w14:textId="77777777" w:rsidR="00962E07" w:rsidRPr="001867BF" w:rsidRDefault="00F5081B" w:rsidP="00F144BB">
      <w:pPr>
        <w:spacing w:line="360" w:lineRule="auto"/>
        <w:jc w:val="both"/>
        <w:rPr>
          <w:rFonts w:ascii="Times New Roman" w:hAnsi="Times New Roman" w:cs="Times New Roman"/>
          <w:b/>
        </w:rPr>
      </w:pPr>
      <w:r w:rsidRPr="001867BF">
        <w:rPr>
          <w:rFonts w:ascii="Times New Roman" w:hAnsi="Times New Roman" w:cs="Times New Roman"/>
          <w:b/>
        </w:rPr>
        <w:t>Characterizing the growth types of built-up areas:</w:t>
      </w:r>
    </w:p>
    <w:p w14:paraId="75235951" w14:textId="77777777" w:rsidR="00962E07" w:rsidRPr="001867BF" w:rsidRDefault="00BD71B6"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Gradient analysis (buffer analysis) assists in understanding the urbanization </w:t>
      </w:r>
      <w:r w:rsidR="00470BA1" w:rsidRPr="001867BF">
        <w:rPr>
          <w:rFonts w:ascii="Times New Roman" w:eastAsia="Times New Roman" w:hAnsi="Times New Roman" w:cs="Times New Roman"/>
        </w:rPr>
        <w:t>pattern;</w:t>
      </w:r>
      <w:r w:rsidRPr="001867BF">
        <w:rPr>
          <w:rFonts w:ascii="Times New Roman" w:eastAsia="Times New Roman" w:hAnsi="Times New Roman" w:cs="Times New Roman"/>
        </w:rPr>
        <w:t xml:space="preserve"> </w:t>
      </w:r>
      <w:proofErr w:type="gramStart"/>
      <w:r w:rsidRPr="001867BF">
        <w:rPr>
          <w:rFonts w:ascii="Times New Roman" w:eastAsia="Times New Roman" w:hAnsi="Times New Roman" w:cs="Times New Roman"/>
        </w:rPr>
        <w:t>however</w:t>
      </w:r>
      <w:proofErr w:type="gramEnd"/>
      <w:r w:rsidRPr="001867BF">
        <w:rPr>
          <w:rFonts w:ascii="Times New Roman" w:eastAsia="Times New Roman" w:hAnsi="Times New Roman" w:cs="Times New Roman"/>
        </w:rPr>
        <w:t xml:space="preserve"> the Landscape Expansion Index (LEI) may be utilized to define the urban expansion type: infilling type, edge expansion and outlying pattern. It</w:t>
      </w:r>
      <w:r w:rsidR="00F5081B" w:rsidRPr="001867BF">
        <w:rPr>
          <w:rFonts w:ascii="Times New Roman" w:eastAsia="Times New Roman" w:hAnsi="Times New Roman" w:cs="Times New Roman"/>
        </w:rPr>
        <w:t xml:space="preserve"> has been observed that Siliguri's dominant urban growth pattern spanning three consecutive periods is edge-expansion 45.5% of edge growth occurred between 1990 and 2000, and the percentage of edge expansion grew with time. It increased to 69.52% between 2000 and 2010, with the highest spike of 76.73% occurring between 2010 and 2020. </w:t>
      </w:r>
      <w:r w:rsidR="00225F2C" w:rsidRPr="001867BF">
        <w:rPr>
          <w:rFonts w:ascii="Times New Roman" w:eastAsia="Times New Roman" w:hAnsi="Times New Roman" w:cs="Times New Roman"/>
        </w:rPr>
        <w:t>The majority of the growth in edge expansion happened next to major roads, rivers, and the region that surrounds the central business district.</w:t>
      </w:r>
      <w:r w:rsidR="00225F2C" w:rsidRPr="001867BF">
        <w:rPr>
          <w:rFonts w:ascii="Times New Roman" w:hAnsi="Times New Roman" w:cs="Times New Roman"/>
        </w:rPr>
        <w:t xml:space="preserve"> The outlying growth appeared scattered and mostly developed beyond the city </w:t>
      </w:r>
      <w:r w:rsidRPr="001867BF">
        <w:rPr>
          <w:rFonts w:ascii="Times New Roman" w:hAnsi="Times New Roman" w:cs="Times New Roman"/>
        </w:rPr>
        <w:t>center.</w:t>
      </w:r>
      <w:r w:rsidRPr="001867BF">
        <w:rPr>
          <w:rFonts w:ascii="Times New Roman" w:eastAsia="Times New Roman" w:hAnsi="Times New Roman" w:cs="Times New Roman"/>
        </w:rPr>
        <w:t xml:space="preserve"> The</w:t>
      </w:r>
      <w:r w:rsidR="00F5081B" w:rsidRPr="001867BF">
        <w:rPr>
          <w:rFonts w:ascii="Times New Roman" w:eastAsia="Times New Roman" w:hAnsi="Times New Roman" w:cs="Times New Roman"/>
        </w:rPr>
        <w:t xml:space="preserve"> most notable aspect is the significant outlier increase of around 40.1% between 1990 and 2000. It implies that at this time, tiny communities focused on markets, small enterprises, service hubs, or modest institutions developed in the suburbs. As these tiny patches grow geographically as a sort of edge expansion, the pattern of outlying diminishes with time, dropping to 28.37% in 2000-2010 and 26.13% in 2010-2020.</w:t>
      </w:r>
      <w:r w:rsidR="00F5081B" w:rsidRPr="001867BF">
        <w:rPr>
          <w:rFonts w:ascii="Times New Roman" w:hAnsi="Times New Roman" w:cs="Times New Roman"/>
        </w:rPr>
        <w:t xml:space="preserve"> </w:t>
      </w:r>
      <w:r w:rsidR="00225F2C" w:rsidRPr="001867BF">
        <w:rPr>
          <w:rFonts w:ascii="Times New Roman" w:eastAsia="Times New Roman" w:hAnsi="Times New Roman" w:cs="Times New Roman"/>
        </w:rPr>
        <w:t>Most infilling devel</w:t>
      </w:r>
      <w:r w:rsidRPr="001867BF">
        <w:rPr>
          <w:rFonts w:ascii="Times New Roman" w:eastAsia="Times New Roman" w:hAnsi="Times New Roman" w:cs="Times New Roman"/>
        </w:rPr>
        <w:t>opment occurred within the city, primarily</w:t>
      </w:r>
      <w:r w:rsidR="00225F2C" w:rsidRPr="001867BF">
        <w:rPr>
          <w:rFonts w:ascii="Times New Roman" w:eastAsia="Times New Roman" w:hAnsi="Times New Roman" w:cs="Times New Roman"/>
        </w:rPr>
        <w:t xml:space="preserve"> in the open spaces. </w:t>
      </w:r>
      <w:r w:rsidR="00F5081B" w:rsidRPr="001867BF">
        <w:rPr>
          <w:rFonts w:ascii="Times New Roman" w:eastAsia="Times New Roman" w:hAnsi="Times New Roman" w:cs="Times New Roman"/>
        </w:rPr>
        <w:t>Infilling has been declining over time, going from 14.41% in 1990–2000 to 2.11% in 2000–2010 and 1.24% in 2010–2020.</w:t>
      </w:r>
    </w:p>
    <w:p w14:paraId="682661D9" w14:textId="4D7332B7" w:rsidR="00962E07" w:rsidRPr="001867BF" w:rsidRDefault="007E5E4A" w:rsidP="00835E7E">
      <w:pPr>
        <w:spacing w:line="360" w:lineRule="auto"/>
        <w:jc w:val="center"/>
        <w:rPr>
          <w:rFonts w:ascii="Times New Roman" w:hAnsi="Times New Roman" w:cs="Times New Roman"/>
        </w:rPr>
      </w:pPr>
      <w:r>
        <w:rPr>
          <w:noProof/>
        </w:rPr>
        <w:lastRenderedPageBreak/>
        <w:drawing>
          <wp:inline distT="0" distB="0" distL="0" distR="0" wp14:anchorId="576D7E41" wp14:editId="25786D30">
            <wp:extent cx="5943600" cy="2943860"/>
            <wp:effectExtent l="0" t="0" r="0" b="0"/>
            <wp:docPr id="81833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9852" name=""/>
                    <pic:cNvPicPr/>
                  </pic:nvPicPr>
                  <pic:blipFill>
                    <a:blip r:embed="rId21"/>
                    <a:stretch>
                      <a:fillRect/>
                    </a:stretch>
                  </pic:blipFill>
                  <pic:spPr>
                    <a:xfrm>
                      <a:off x="0" y="0"/>
                      <a:ext cx="5943600" cy="2943860"/>
                    </a:xfrm>
                    <a:prstGeom prst="rect">
                      <a:avLst/>
                    </a:prstGeom>
                  </pic:spPr>
                </pic:pic>
              </a:graphicData>
            </a:graphic>
          </wp:inline>
        </w:drawing>
      </w:r>
    </w:p>
    <w:p w14:paraId="2384B18D" w14:textId="798B51FC" w:rsidR="00962E07" w:rsidRPr="001867BF" w:rsidRDefault="00A6028C" w:rsidP="00F144BB">
      <w:pPr>
        <w:spacing w:line="360" w:lineRule="auto"/>
        <w:jc w:val="both"/>
        <w:rPr>
          <w:rFonts w:ascii="Times New Roman" w:hAnsi="Times New Roman" w:cs="Times New Roman"/>
        </w:rPr>
      </w:pPr>
      <w:r w:rsidRPr="001867BF">
        <w:rPr>
          <w:rFonts w:ascii="Times New Roman" w:hAnsi="Times New Roman" w:cs="Times New Roman"/>
        </w:rPr>
        <w:t>Fig</w:t>
      </w:r>
      <w:r w:rsidR="00CD3C84">
        <w:rPr>
          <w:rFonts w:ascii="Times New Roman" w:hAnsi="Times New Roman" w:cs="Times New Roman"/>
        </w:rPr>
        <w:t xml:space="preserve"> 11</w:t>
      </w:r>
      <w:r w:rsidRPr="001867BF">
        <w:rPr>
          <w:rFonts w:ascii="Times New Roman" w:hAnsi="Times New Roman" w:cs="Times New Roman"/>
        </w:rPr>
        <w:t>: Urban growth type of the study area</w:t>
      </w:r>
    </w:p>
    <w:p w14:paraId="349C4165" w14:textId="77777777" w:rsidR="00A9742C" w:rsidRPr="00406073" w:rsidRDefault="00ED37C6" w:rsidP="00F144BB">
      <w:pPr>
        <w:spacing w:after="160" w:line="360" w:lineRule="auto"/>
        <w:jc w:val="both"/>
        <w:rPr>
          <w:rFonts w:ascii="Times New Roman" w:eastAsia="Times New Roman" w:hAnsi="Times New Roman" w:cs="Times New Roman"/>
          <w:b/>
        </w:rPr>
      </w:pPr>
      <w:r w:rsidRPr="00406073">
        <w:rPr>
          <w:rFonts w:ascii="Times New Roman" w:hAnsi="Times New Roman" w:cs="Times New Roman"/>
          <w:b/>
        </w:rPr>
        <w:t>Conclusion:</w:t>
      </w:r>
    </w:p>
    <w:p w14:paraId="69858AFE" w14:textId="77777777" w:rsidR="00022FC1" w:rsidRDefault="00A9742C" w:rsidP="00406073">
      <w:pPr>
        <w:jc w:val="both"/>
        <w:rPr>
          <w:rFonts w:ascii="Times New Roman" w:eastAsia="Times New Roman" w:hAnsi="Times New Roman" w:cs="Times New Roman"/>
        </w:rPr>
      </w:pPr>
      <w:r w:rsidRPr="001867BF">
        <w:rPr>
          <w:rFonts w:ascii="Times New Roman" w:eastAsia="Times New Roman" w:hAnsi="Times New Roman" w:cs="Times New Roman"/>
        </w:rPr>
        <w:t xml:space="preserve"> Significant findings from the study show that throughout these three decades, there has been a shift in the spatial pattern of land use. Over these 30 years of research, the built-up area has been rapidly growing. By 2020, 13.68% of the study area is covered by impermeable surface, up from 4.16% in 1990. The area along the major highway in the west has the most built-up change. The yearly rate of growth in the built-up area is 7.47</w:t>
      </w:r>
      <w:proofErr w:type="gramStart"/>
      <w:r w:rsidRPr="001867BF">
        <w:rPr>
          <w:rFonts w:ascii="Times New Roman" w:eastAsia="Times New Roman" w:hAnsi="Times New Roman" w:cs="Times New Roman"/>
        </w:rPr>
        <w:t>%.A</w:t>
      </w:r>
      <w:proofErr w:type="gramEnd"/>
      <w:r w:rsidRPr="001867BF">
        <w:rPr>
          <w:rFonts w:ascii="Times New Roman" w:eastAsia="Times New Roman" w:hAnsi="Times New Roman" w:cs="Times New Roman"/>
        </w:rPr>
        <w:t xml:space="preserve"> growing tendency has been seen in plantations over this time, with an annual growth rate of 4.57%. In 1990, plantations accounted up 11.18% of the study area; by 2020, that percentage had risen to 26.49%.</w:t>
      </w:r>
      <w:r w:rsidR="00A6714A" w:rsidRPr="001867BF">
        <w:rPr>
          <w:rFonts w:ascii="Times New Roman" w:hAnsi="Times New Roman" w:cs="Times New Roman"/>
          <w:bCs/>
        </w:rPr>
        <w:t xml:space="preserve"> </w:t>
      </w:r>
      <w:r w:rsidRPr="001867BF">
        <w:rPr>
          <w:rFonts w:ascii="Times New Roman" w:hAnsi="Times New Roman" w:cs="Times New Roman"/>
          <w:bCs/>
        </w:rPr>
        <w:t>F</w:t>
      </w:r>
      <w:r w:rsidR="006C7811" w:rsidRPr="001867BF">
        <w:rPr>
          <w:rFonts w:ascii="Times New Roman" w:hAnsi="Times New Roman" w:cs="Times New Roman"/>
          <w:bCs/>
        </w:rPr>
        <w:t xml:space="preserve">ast development is observed in the western and southwestern </w:t>
      </w:r>
      <w:r w:rsidR="006C7811" w:rsidRPr="001867BF">
        <w:rPr>
          <w:rFonts w:ascii="Times New Roman" w:hAnsi="Times New Roman" w:cs="Times New Roman"/>
        </w:rPr>
        <w:t>regions, whereas the eastern region is prevented from expanding further by natural barriers like forests.</w:t>
      </w:r>
      <w:r w:rsidR="00A6714A" w:rsidRPr="001867BF">
        <w:rPr>
          <w:rFonts w:ascii="Times New Roman" w:hAnsi="Times New Roman" w:cs="Times New Roman"/>
        </w:rPr>
        <w:t xml:space="preserve"> </w:t>
      </w:r>
      <w:r w:rsidR="006C7811" w:rsidRPr="001867BF">
        <w:rPr>
          <w:rFonts w:ascii="Times New Roman" w:hAnsi="Times New Roman" w:cs="Times New Roman"/>
          <w:bCs/>
        </w:rPr>
        <w:t xml:space="preserve">Dispersed type of growth </w:t>
      </w:r>
      <w:r w:rsidR="006C7811" w:rsidRPr="001867BF">
        <w:rPr>
          <w:rFonts w:ascii="Times New Roman" w:hAnsi="Times New Roman" w:cs="Times New Roman"/>
        </w:rPr>
        <w:t xml:space="preserve">is seen throughout the study area while </w:t>
      </w:r>
      <w:r w:rsidR="006C7811" w:rsidRPr="001867BF">
        <w:rPr>
          <w:rFonts w:ascii="Times New Roman" w:hAnsi="Times New Roman" w:cs="Times New Roman"/>
          <w:bCs/>
        </w:rPr>
        <w:t xml:space="preserve">compact growth </w:t>
      </w:r>
      <w:r w:rsidR="006C7811" w:rsidRPr="001867BF">
        <w:rPr>
          <w:rFonts w:ascii="Times New Roman" w:hAnsi="Times New Roman" w:cs="Times New Roman"/>
        </w:rPr>
        <w:t xml:space="preserve">is seen within the Municipal </w:t>
      </w:r>
      <w:r w:rsidRPr="001867BF">
        <w:rPr>
          <w:rFonts w:ascii="Times New Roman" w:hAnsi="Times New Roman" w:cs="Times New Roman"/>
        </w:rPr>
        <w:t>Corporation</w:t>
      </w:r>
      <w:r w:rsidR="006C7811" w:rsidRPr="001867BF">
        <w:rPr>
          <w:rFonts w:ascii="Times New Roman" w:hAnsi="Times New Roman" w:cs="Times New Roman"/>
        </w:rPr>
        <w:t>.</w:t>
      </w:r>
      <w:r w:rsidR="00A6714A" w:rsidRPr="001867BF">
        <w:rPr>
          <w:rFonts w:ascii="Times New Roman" w:hAnsi="Times New Roman" w:cs="Times New Roman"/>
        </w:rPr>
        <w:t xml:space="preserve"> </w:t>
      </w:r>
      <w:r w:rsidR="006C7811" w:rsidRPr="001867BF">
        <w:rPr>
          <w:rFonts w:ascii="Times New Roman" w:hAnsi="Times New Roman" w:cs="Times New Roman"/>
          <w:bCs/>
        </w:rPr>
        <w:t xml:space="preserve">Edge expansion </w:t>
      </w:r>
      <w:r w:rsidR="006C7811" w:rsidRPr="001867BF">
        <w:rPr>
          <w:rFonts w:ascii="Times New Roman" w:hAnsi="Times New Roman" w:cs="Times New Roman"/>
        </w:rPr>
        <w:t>is the predominant type of growth throughout the region, while the second significant growth type is the outlying.</w:t>
      </w:r>
      <w:r w:rsidR="00A6714A" w:rsidRPr="001867BF">
        <w:rPr>
          <w:rFonts w:ascii="Times New Roman" w:hAnsi="Times New Roman" w:cs="Times New Roman"/>
        </w:rPr>
        <w:t xml:space="preserve"> </w:t>
      </w:r>
      <w:r w:rsidR="00ED37C6" w:rsidRPr="001867BF">
        <w:rPr>
          <w:rFonts w:ascii="Times New Roman" w:hAnsi="Times New Roman" w:cs="Times New Roman"/>
          <w:bCs/>
        </w:rPr>
        <w:t>The counter-urbanization process is highly evident in case of Siliguri</w:t>
      </w:r>
      <w:r w:rsidR="00ED37C6" w:rsidRPr="001867BF">
        <w:rPr>
          <w:rFonts w:ascii="Times New Roman" w:hAnsi="Times New Roman" w:cs="Times New Roman"/>
        </w:rPr>
        <w:t xml:space="preserve">. As </w:t>
      </w:r>
      <w:r w:rsidR="00A6714A" w:rsidRPr="001867BF">
        <w:rPr>
          <w:rFonts w:ascii="Times New Roman" w:hAnsi="Times New Roman" w:cs="Times New Roman"/>
        </w:rPr>
        <w:t>the</w:t>
      </w:r>
      <w:r w:rsidR="00ED37C6" w:rsidRPr="001867BF">
        <w:rPr>
          <w:rFonts w:ascii="Times New Roman" w:hAnsi="Times New Roman" w:cs="Times New Roman"/>
        </w:rPr>
        <w:t xml:space="preserve"> city's old core wards are witnessing a low level of urbanization and persistent population decrease. </w:t>
      </w:r>
      <w:r w:rsidR="00A6714A" w:rsidRPr="001867BF">
        <w:rPr>
          <w:rFonts w:ascii="Times New Roman" w:hAnsi="Times New Roman" w:cs="Times New Roman"/>
        </w:rPr>
        <w:t>Here</w:t>
      </w:r>
      <w:r w:rsidR="00ED37C6" w:rsidRPr="001867BF">
        <w:rPr>
          <w:rFonts w:ascii="Times New Roman" w:hAnsi="Times New Roman" w:cs="Times New Roman"/>
        </w:rPr>
        <w:t>, with people moving from the core to the periphery owing to high land value, congestion, and pollution, while the old city wards are predominantly associated with commercial activity</w:t>
      </w:r>
      <w:r w:rsidR="004B25A3" w:rsidRPr="001867BF">
        <w:rPr>
          <w:rFonts w:ascii="Times New Roman" w:hAnsi="Times New Roman" w:cs="Times New Roman"/>
        </w:rPr>
        <w:t>.</w:t>
      </w:r>
      <w:r w:rsidR="00022FC1" w:rsidRPr="001867BF">
        <w:rPr>
          <w:rFonts w:ascii="Times New Roman" w:hAnsi="Times New Roman" w:cs="Times New Roman"/>
        </w:rPr>
        <w:t xml:space="preserve"> </w:t>
      </w:r>
      <w:r w:rsidR="00022FC1" w:rsidRPr="001867BF">
        <w:rPr>
          <w:rFonts w:ascii="Times New Roman" w:eastAsia="Times New Roman" w:hAnsi="Times New Roman" w:cs="Times New Roman"/>
        </w:rPr>
        <w:t>Siliguri is at a pivotal moment. Its future expansion has to be directed by careful planning, environmentally friendly infrastructure, and active public participation. The only way to create a sustainable Siliguri is through cooperative governance that strikes a balance between social and environmental responsibility and growth.</w:t>
      </w:r>
    </w:p>
    <w:p w14:paraId="4332212B" w14:textId="77777777" w:rsidR="000D549C" w:rsidRPr="001867BF" w:rsidRDefault="000D549C" w:rsidP="00406073">
      <w:pPr>
        <w:jc w:val="both"/>
        <w:rPr>
          <w:rFonts w:ascii="Times New Roman" w:eastAsia="Times New Roman" w:hAnsi="Times New Roman" w:cs="Times New Roman"/>
        </w:rPr>
      </w:pPr>
    </w:p>
    <w:p w14:paraId="752F41DD" w14:textId="77777777" w:rsidR="00C61B7C" w:rsidRPr="00323846" w:rsidRDefault="00962E07" w:rsidP="004B25A3">
      <w:pPr>
        <w:spacing w:line="360" w:lineRule="auto"/>
        <w:jc w:val="both"/>
        <w:rPr>
          <w:rFonts w:ascii="Times New Roman" w:hAnsi="Times New Roman" w:cs="Times New Roman"/>
          <w:b/>
        </w:rPr>
      </w:pPr>
      <w:r w:rsidRPr="00323846">
        <w:rPr>
          <w:rFonts w:ascii="Times New Roman" w:hAnsi="Times New Roman" w:cs="Times New Roman"/>
          <w:b/>
        </w:rPr>
        <w:t>Reference</w:t>
      </w:r>
      <w:r w:rsidR="00323846" w:rsidRPr="00323846">
        <w:rPr>
          <w:rFonts w:ascii="Times New Roman" w:hAnsi="Times New Roman" w:cs="Times New Roman"/>
          <w:b/>
        </w:rPr>
        <w:t>s</w:t>
      </w:r>
      <w:r w:rsidRPr="00323846">
        <w:rPr>
          <w:rFonts w:ascii="Times New Roman" w:hAnsi="Times New Roman" w:cs="Times New Roman"/>
          <w:b/>
        </w:rPr>
        <w:t>:</w:t>
      </w:r>
    </w:p>
    <w:p w14:paraId="30FEB3EC" w14:textId="77777777" w:rsidR="00D23E73" w:rsidRPr="001867BF" w:rsidRDefault="00D23E73" w:rsidP="00F144BB">
      <w:pPr>
        <w:pStyle w:val="ListParagraph"/>
        <w:spacing w:line="360" w:lineRule="auto"/>
        <w:ind w:left="1080"/>
        <w:jc w:val="both"/>
        <w:rPr>
          <w:rFonts w:ascii="Times New Roman" w:hAnsi="Times New Roman" w:cs="Times New Roman"/>
        </w:rPr>
      </w:pPr>
    </w:p>
    <w:p w14:paraId="3649294B"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proofErr w:type="spellStart"/>
      <w:r w:rsidRPr="001867BF">
        <w:rPr>
          <w:rFonts w:ascii="Times New Roman" w:hAnsi="Times New Roman" w:cs="Times New Roman"/>
          <w:color w:val="222222"/>
          <w:shd w:val="clear" w:color="auto" w:fill="FFFFFF"/>
        </w:rPr>
        <w:lastRenderedPageBreak/>
        <w:t>Alam</w:t>
      </w:r>
      <w:proofErr w:type="spellEnd"/>
      <w:r w:rsidRPr="001867BF">
        <w:rPr>
          <w:rFonts w:ascii="Times New Roman" w:hAnsi="Times New Roman" w:cs="Times New Roman"/>
          <w:color w:val="222222"/>
          <w:shd w:val="clear" w:color="auto" w:fill="FFFFFF"/>
        </w:rPr>
        <w:t>, I., Nahar, K., &amp; Morshed, M. M. (2023). Measuring urban expansion pattern using spatial matrices in Khulna City, Bangladesh. </w:t>
      </w:r>
      <w:proofErr w:type="spellStart"/>
      <w:r w:rsidRPr="001867BF">
        <w:rPr>
          <w:rFonts w:ascii="Times New Roman" w:hAnsi="Times New Roman" w:cs="Times New Roman"/>
          <w:i/>
          <w:iCs/>
          <w:color w:val="222222"/>
          <w:shd w:val="clear" w:color="auto" w:fill="FFFFFF"/>
        </w:rPr>
        <w:t>Heliyon</w:t>
      </w:r>
      <w:proofErr w:type="spellEnd"/>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9</w:t>
      </w:r>
      <w:r w:rsidRPr="001867BF">
        <w:rPr>
          <w:rFonts w:ascii="Times New Roman" w:hAnsi="Times New Roman" w:cs="Times New Roman"/>
          <w:color w:val="222222"/>
          <w:shd w:val="clear" w:color="auto" w:fill="FFFFFF"/>
        </w:rPr>
        <w:t>(2).</w:t>
      </w:r>
    </w:p>
    <w:p w14:paraId="2FC203CE"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color w:val="222222"/>
          <w:shd w:val="clear" w:color="auto" w:fill="FFFFFF"/>
        </w:rPr>
        <w:t xml:space="preserve">Al-Sharif, A. A., Pradhan, B., </w:t>
      </w:r>
      <w:proofErr w:type="spellStart"/>
      <w:r w:rsidRPr="001867BF">
        <w:rPr>
          <w:rFonts w:ascii="Times New Roman" w:hAnsi="Times New Roman" w:cs="Times New Roman"/>
          <w:color w:val="222222"/>
          <w:shd w:val="clear" w:color="auto" w:fill="FFFFFF"/>
        </w:rPr>
        <w:t>Shafri</w:t>
      </w:r>
      <w:proofErr w:type="spellEnd"/>
      <w:r w:rsidRPr="001867BF">
        <w:rPr>
          <w:rFonts w:ascii="Times New Roman" w:hAnsi="Times New Roman" w:cs="Times New Roman"/>
          <w:color w:val="222222"/>
          <w:shd w:val="clear" w:color="auto" w:fill="FFFFFF"/>
        </w:rPr>
        <w:t xml:space="preserve">, H. Z. M., &amp; </w:t>
      </w:r>
      <w:proofErr w:type="spellStart"/>
      <w:r w:rsidRPr="001867BF">
        <w:rPr>
          <w:rFonts w:ascii="Times New Roman" w:hAnsi="Times New Roman" w:cs="Times New Roman"/>
          <w:color w:val="222222"/>
          <w:shd w:val="clear" w:color="auto" w:fill="FFFFFF"/>
        </w:rPr>
        <w:t>Mansor</w:t>
      </w:r>
      <w:proofErr w:type="spellEnd"/>
      <w:r w:rsidRPr="001867BF">
        <w:rPr>
          <w:rFonts w:ascii="Times New Roman" w:hAnsi="Times New Roman" w:cs="Times New Roman"/>
          <w:color w:val="222222"/>
          <w:shd w:val="clear" w:color="auto" w:fill="FFFFFF"/>
        </w:rPr>
        <w:t>, S. (2014, June). Quantitative analysis of urban sprawl in Tripoli using Pearson's Chi-Square statistics and urban expansion intensity index. In </w:t>
      </w:r>
      <w:r w:rsidRPr="001867BF">
        <w:rPr>
          <w:rFonts w:ascii="Times New Roman" w:hAnsi="Times New Roman" w:cs="Times New Roman"/>
          <w:i/>
          <w:iCs/>
          <w:color w:val="222222"/>
          <w:shd w:val="clear" w:color="auto" w:fill="FFFFFF"/>
        </w:rPr>
        <w:t>IOP Conference Series: Earth and Environmental Science</w:t>
      </w:r>
      <w:r w:rsidRPr="001867BF">
        <w:rPr>
          <w:rFonts w:ascii="Times New Roman" w:hAnsi="Times New Roman" w:cs="Times New Roman"/>
          <w:color w:val="222222"/>
          <w:shd w:val="clear" w:color="auto" w:fill="FFFFFF"/>
        </w:rPr>
        <w:t> (Vol. 20, No. 1, p. 012006). IOP Publishing</w:t>
      </w:r>
    </w:p>
    <w:p w14:paraId="4118BC58"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color w:val="000000" w:themeColor="text1"/>
        </w:rPr>
      </w:pPr>
      <w:r w:rsidRPr="001867BF">
        <w:rPr>
          <w:rFonts w:ascii="Times New Roman" w:hAnsi="Times New Roman" w:cs="Times New Roman"/>
          <w:color w:val="000000" w:themeColor="text1"/>
        </w:rPr>
        <w:t xml:space="preserve">Chen, J., Chang, K.T., </w:t>
      </w:r>
      <w:proofErr w:type="spellStart"/>
      <w:r w:rsidRPr="001867BF">
        <w:rPr>
          <w:rFonts w:ascii="Times New Roman" w:hAnsi="Times New Roman" w:cs="Times New Roman"/>
          <w:color w:val="000000" w:themeColor="text1"/>
        </w:rPr>
        <w:t>Karacsonyi</w:t>
      </w:r>
      <w:proofErr w:type="spellEnd"/>
      <w:r w:rsidRPr="001867BF">
        <w:rPr>
          <w:rFonts w:ascii="Times New Roman" w:hAnsi="Times New Roman" w:cs="Times New Roman"/>
          <w:color w:val="000000" w:themeColor="text1"/>
        </w:rPr>
        <w:t>, D., Zhang, X., 2014. Comparing urban land expansion and its driving factors in Shenzhen and Dongguan, China. Habitat Int.43 (3), 61e71</w:t>
      </w:r>
    </w:p>
    <w:p w14:paraId="6CFE52E2"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Jaeger, J.A., et al., Suitability criteria for measures of urban sprawl. Ecological Indicators, 2010. 10(2): p. 397-406</w:t>
      </w:r>
    </w:p>
    <w:p w14:paraId="73BE9CE9"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color w:val="222222"/>
          <w:shd w:val="clear" w:color="auto" w:fill="FFFFFF"/>
        </w:rPr>
        <w:t>Li, X., Zhang, L., &amp; Liang, C. (2010). A GIS-based buffer gradient analysis on spatiotemporal dynamics of urban expansion in Shanghai and its major satellite cities. </w:t>
      </w:r>
      <w:r w:rsidRPr="001867BF">
        <w:rPr>
          <w:rFonts w:ascii="Times New Roman" w:hAnsi="Times New Roman" w:cs="Times New Roman"/>
          <w:i/>
          <w:iCs/>
          <w:color w:val="222222"/>
          <w:shd w:val="clear" w:color="auto" w:fill="FFFFFF"/>
        </w:rPr>
        <w:t>Procedia Environmental Sciences</w:t>
      </w:r>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2</w:t>
      </w:r>
      <w:r w:rsidRPr="001867BF">
        <w:rPr>
          <w:rFonts w:ascii="Times New Roman" w:hAnsi="Times New Roman" w:cs="Times New Roman"/>
          <w:color w:val="222222"/>
          <w:shd w:val="clear" w:color="auto" w:fill="FFFFFF"/>
        </w:rPr>
        <w:t>, 1139-1156.</w:t>
      </w:r>
    </w:p>
    <w:p w14:paraId="72969DBD"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color w:val="C00000"/>
        </w:rPr>
      </w:pPr>
      <w:r w:rsidRPr="001867BF">
        <w:rPr>
          <w:rFonts w:ascii="Times New Roman" w:hAnsi="Times New Roman" w:cs="Times New Roman"/>
        </w:rPr>
        <w:t xml:space="preserve">Liu, S., Wu, C., &amp; Shen, H. (2000). A GIS-based model of urban land use growth in Beijing. Acta </w:t>
      </w:r>
      <w:proofErr w:type="spellStart"/>
      <w:r w:rsidRPr="001867BF">
        <w:rPr>
          <w:rFonts w:ascii="Times New Roman" w:hAnsi="Times New Roman" w:cs="Times New Roman"/>
        </w:rPr>
        <w:t>Geographica</w:t>
      </w:r>
      <w:proofErr w:type="spellEnd"/>
      <w:r w:rsidRPr="001867BF">
        <w:rPr>
          <w:rFonts w:ascii="Times New Roman" w:hAnsi="Times New Roman" w:cs="Times New Roman"/>
        </w:rPr>
        <w:t xml:space="preserve"> </w:t>
      </w:r>
      <w:proofErr w:type="spellStart"/>
      <w:r w:rsidRPr="001867BF">
        <w:rPr>
          <w:rFonts w:ascii="Times New Roman" w:hAnsi="Times New Roman" w:cs="Times New Roman"/>
        </w:rPr>
        <w:t>Sinica</w:t>
      </w:r>
      <w:proofErr w:type="spellEnd"/>
      <w:r w:rsidRPr="001867BF">
        <w:rPr>
          <w:rFonts w:ascii="Times New Roman" w:hAnsi="Times New Roman" w:cs="Times New Roman"/>
        </w:rPr>
        <w:t>, 55, 407–416</w:t>
      </w:r>
    </w:p>
    <w:p w14:paraId="172E48AF"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 xml:space="preserve">Luck, M., &amp; Wu, J., 2002. A gradient analysis of urban landscape pattern: a case study from the Phoenix metropolitan region of </w:t>
      </w:r>
      <w:proofErr w:type="spellStart"/>
      <w:r w:rsidRPr="001867BF">
        <w:rPr>
          <w:rFonts w:ascii="Times New Roman" w:hAnsi="Times New Roman" w:cs="Times New Roman"/>
        </w:rPr>
        <w:t>USA.Landscape</w:t>
      </w:r>
      <w:proofErr w:type="spellEnd"/>
      <w:r w:rsidRPr="001867BF">
        <w:rPr>
          <w:rFonts w:ascii="Times New Roman" w:hAnsi="Times New Roman" w:cs="Times New Roman"/>
        </w:rPr>
        <w:t xml:space="preserve"> Ecol. 17, 327–339.</w:t>
      </w:r>
    </w:p>
    <w:p w14:paraId="65A72023"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color w:val="000000" w:themeColor="text1"/>
        </w:rPr>
      </w:pPr>
      <w:r w:rsidRPr="001867BF">
        <w:rPr>
          <w:rFonts w:ascii="Times New Roman" w:hAnsi="Times New Roman" w:cs="Times New Roman"/>
          <w:color w:val="000000" w:themeColor="text1"/>
        </w:rPr>
        <w:t>Ma, Y., Xu, R., 2010. Remote sensing monitoring and driving force analysis of urban expansion in Guangzhou City, China. Habitat Int. 34 (2), 228e235</w:t>
      </w:r>
    </w:p>
    <w:p w14:paraId="5788D241"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proofErr w:type="spellStart"/>
      <w:r w:rsidRPr="001867BF">
        <w:rPr>
          <w:rFonts w:ascii="Times New Roman" w:hAnsi="Times New Roman" w:cs="Times New Roman"/>
          <w:color w:val="222222"/>
          <w:shd w:val="clear" w:color="auto" w:fill="FFFFFF"/>
        </w:rPr>
        <w:t>Maimaiti</w:t>
      </w:r>
      <w:proofErr w:type="spellEnd"/>
      <w:r w:rsidRPr="001867BF">
        <w:rPr>
          <w:rFonts w:ascii="Times New Roman" w:hAnsi="Times New Roman" w:cs="Times New Roman"/>
          <w:color w:val="222222"/>
          <w:shd w:val="clear" w:color="auto" w:fill="FFFFFF"/>
        </w:rPr>
        <w:t xml:space="preserve">, B., Ding, J., </w:t>
      </w:r>
      <w:proofErr w:type="spellStart"/>
      <w:r w:rsidRPr="001867BF">
        <w:rPr>
          <w:rFonts w:ascii="Times New Roman" w:hAnsi="Times New Roman" w:cs="Times New Roman"/>
          <w:color w:val="222222"/>
          <w:shd w:val="clear" w:color="auto" w:fill="FFFFFF"/>
        </w:rPr>
        <w:t>Simayi</w:t>
      </w:r>
      <w:proofErr w:type="spellEnd"/>
      <w:r w:rsidRPr="001867BF">
        <w:rPr>
          <w:rFonts w:ascii="Times New Roman" w:hAnsi="Times New Roman" w:cs="Times New Roman"/>
          <w:color w:val="222222"/>
          <w:shd w:val="clear" w:color="auto" w:fill="FFFFFF"/>
        </w:rPr>
        <w:t xml:space="preserve">, Z., &amp; </w:t>
      </w:r>
      <w:proofErr w:type="spellStart"/>
      <w:r w:rsidRPr="001867BF">
        <w:rPr>
          <w:rFonts w:ascii="Times New Roman" w:hAnsi="Times New Roman" w:cs="Times New Roman"/>
          <w:color w:val="222222"/>
          <w:shd w:val="clear" w:color="auto" w:fill="FFFFFF"/>
        </w:rPr>
        <w:t>Kasimu</w:t>
      </w:r>
      <w:proofErr w:type="spellEnd"/>
      <w:r w:rsidRPr="001867BF">
        <w:rPr>
          <w:rFonts w:ascii="Times New Roman" w:hAnsi="Times New Roman" w:cs="Times New Roman"/>
          <w:color w:val="222222"/>
          <w:shd w:val="clear" w:color="auto" w:fill="FFFFFF"/>
        </w:rPr>
        <w:t xml:space="preserve">, A. (2017). Characterizing urban expansion of </w:t>
      </w:r>
      <w:proofErr w:type="spellStart"/>
      <w:r w:rsidRPr="001867BF">
        <w:rPr>
          <w:rFonts w:ascii="Times New Roman" w:hAnsi="Times New Roman" w:cs="Times New Roman"/>
          <w:color w:val="222222"/>
          <w:shd w:val="clear" w:color="auto" w:fill="FFFFFF"/>
        </w:rPr>
        <w:t>Korla</w:t>
      </w:r>
      <w:proofErr w:type="spellEnd"/>
      <w:r w:rsidRPr="001867BF">
        <w:rPr>
          <w:rFonts w:ascii="Times New Roman" w:hAnsi="Times New Roman" w:cs="Times New Roman"/>
          <w:color w:val="222222"/>
          <w:shd w:val="clear" w:color="auto" w:fill="FFFFFF"/>
        </w:rPr>
        <w:t xml:space="preserve"> City and its spatial-temporal patterns using remote sensing and GIS methods. </w:t>
      </w:r>
      <w:r w:rsidRPr="001867BF">
        <w:rPr>
          <w:rFonts w:ascii="Times New Roman" w:hAnsi="Times New Roman" w:cs="Times New Roman"/>
          <w:i/>
          <w:iCs/>
          <w:color w:val="222222"/>
          <w:shd w:val="clear" w:color="auto" w:fill="FFFFFF"/>
        </w:rPr>
        <w:t>Journal of Arid Land</w:t>
      </w:r>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9</w:t>
      </w:r>
      <w:r w:rsidRPr="001867BF">
        <w:rPr>
          <w:rFonts w:ascii="Times New Roman" w:hAnsi="Times New Roman" w:cs="Times New Roman"/>
          <w:color w:val="222222"/>
          <w:shd w:val="clear" w:color="auto" w:fill="FFFFFF"/>
        </w:rPr>
        <w:t>, 458-470.</w:t>
      </w:r>
    </w:p>
    <w:p w14:paraId="36F6E4E6"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 xml:space="preserve">McDonnell, M.J., Pickett, S.T.A., </w:t>
      </w:r>
      <w:proofErr w:type="spellStart"/>
      <w:r w:rsidRPr="001867BF">
        <w:rPr>
          <w:rFonts w:ascii="Times New Roman" w:hAnsi="Times New Roman" w:cs="Times New Roman"/>
        </w:rPr>
        <w:t>Groffman</w:t>
      </w:r>
      <w:proofErr w:type="spellEnd"/>
      <w:r w:rsidRPr="001867BF">
        <w:rPr>
          <w:rFonts w:ascii="Times New Roman" w:hAnsi="Times New Roman" w:cs="Times New Roman"/>
        </w:rPr>
        <w:t xml:space="preserve">, P., Bohlen, P., </w:t>
      </w:r>
      <w:proofErr w:type="spellStart"/>
      <w:r w:rsidRPr="001867BF">
        <w:rPr>
          <w:rFonts w:ascii="Times New Roman" w:hAnsi="Times New Roman" w:cs="Times New Roman"/>
        </w:rPr>
        <w:t>Pouyat</w:t>
      </w:r>
      <w:proofErr w:type="spellEnd"/>
      <w:r w:rsidRPr="001867BF">
        <w:rPr>
          <w:rFonts w:ascii="Times New Roman" w:hAnsi="Times New Roman" w:cs="Times New Roman"/>
        </w:rPr>
        <w:t>, R.V., et al., (1997</w:t>
      </w:r>
      <w:proofErr w:type="gramStart"/>
      <w:r w:rsidRPr="001867BF">
        <w:rPr>
          <w:rFonts w:ascii="Times New Roman" w:hAnsi="Times New Roman" w:cs="Times New Roman"/>
        </w:rPr>
        <w:t>).Ecosystem</w:t>
      </w:r>
      <w:proofErr w:type="gramEnd"/>
      <w:r w:rsidRPr="001867BF">
        <w:rPr>
          <w:rFonts w:ascii="Times New Roman" w:hAnsi="Times New Roman" w:cs="Times New Roman"/>
        </w:rPr>
        <w:t xml:space="preserve"> processed along an urban-to rural gradient. Urban </w:t>
      </w:r>
      <w:proofErr w:type="spellStart"/>
      <w:r w:rsidRPr="001867BF">
        <w:rPr>
          <w:rFonts w:ascii="Times New Roman" w:hAnsi="Times New Roman" w:cs="Times New Roman"/>
        </w:rPr>
        <w:t>Ecosyst</w:t>
      </w:r>
      <w:proofErr w:type="spellEnd"/>
      <w:r w:rsidRPr="001867BF">
        <w:rPr>
          <w:rFonts w:ascii="Times New Roman" w:hAnsi="Times New Roman" w:cs="Times New Roman"/>
        </w:rPr>
        <w:t>. 1, 21–36.</w:t>
      </w:r>
    </w:p>
    <w:p w14:paraId="38B82ADD"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Medley, K.E., McDonnell, M.J., &amp; Pickett, S.T.A., 1995. Human influences on forest-landscape structure along an urban-to-rural gradient. Prof. Geographer 47, 159–168.</w:t>
      </w:r>
    </w:p>
    <w:p w14:paraId="0C513BED"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color w:val="222222"/>
          <w:shd w:val="clear" w:color="auto" w:fill="FFFFFF"/>
        </w:rPr>
        <w:t>Meng, H., Zhang, K., Ba, M., &amp; Wen, D. (2022). Spatial Characteristics Analysis of Urban Expansion in Luoyang, China. </w:t>
      </w:r>
      <w:r w:rsidRPr="001867BF">
        <w:rPr>
          <w:rFonts w:ascii="Times New Roman" w:hAnsi="Times New Roman" w:cs="Times New Roman"/>
          <w:i/>
          <w:iCs/>
          <w:color w:val="222222"/>
          <w:shd w:val="clear" w:color="auto" w:fill="FFFFFF"/>
        </w:rPr>
        <w:t>Journal of Geographic Information System</w:t>
      </w:r>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14</w:t>
      </w:r>
      <w:r w:rsidRPr="001867BF">
        <w:rPr>
          <w:rFonts w:ascii="Times New Roman" w:hAnsi="Times New Roman" w:cs="Times New Roman"/>
          <w:color w:val="222222"/>
          <w:shd w:val="clear" w:color="auto" w:fill="FFFFFF"/>
        </w:rPr>
        <w:t>(2), 153-174.</w:t>
      </w:r>
    </w:p>
    <w:p w14:paraId="2374AC32"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color w:val="C00000"/>
        </w:rPr>
      </w:pPr>
      <w:proofErr w:type="spellStart"/>
      <w:r w:rsidRPr="001867BF">
        <w:rPr>
          <w:rFonts w:ascii="Times New Roman" w:hAnsi="Times New Roman" w:cs="Times New Roman"/>
          <w:color w:val="222222"/>
          <w:shd w:val="clear" w:color="auto" w:fill="FFFFFF"/>
        </w:rPr>
        <w:t>Shimod</w:t>
      </w:r>
      <w:proofErr w:type="spellEnd"/>
      <w:r w:rsidRPr="001867BF">
        <w:rPr>
          <w:rFonts w:ascii="Times New Roman" w:hAnsi="Times New Roman" w:cs="Times New Roman"/>
          <w:color w:val="222222"/>
          <w:shd w:val="clear" w:color="auto" w:fill="FFFFFF"/>
        </w:rPr>
        <w:t xml:space="preserve">, K. </w:t>
      </w:r>
      <w:proofErr w:type="gramStart"/>
      <w:r w:rsidRPr="001867BF">
        <w:rPr>
          <w:rFonts w:ascii="Times New Roman" w:hAnsi="Times New Roman" w:cs="Times New Roman"/>
          <w:color w:val="222222"/>
          <w:shd w:val="clear" w:color="auto" w:fill="FFFFFF"/>
        </w:rPr>
        <w:t>P.,(</w:t>
      </w:r>
      <w:proofErr w:type="gramEnd"/>
      <w:r w:rsidRPr="001867BF">
        <w:rPr>
          <w:rFonts w:ascii="Times New Roman" w:hAnsi="Times New Roman" w:cs="Times New Roman"/>
          <w:color w:val="222222"/>
          <w:shd w:val="clear" w:color="auto" w:fill="FFFFFF"/>
        </w:rPr>
        <w:t xml:space="preserve">2021) Dynamics of urban growth in Kannur district a </w:t>
      </w:r>
      <w:proofErr w:type="spellStart"/>
      <w:r w:rsidRPr="001867BF">
        <w:rPr>
          <w:rFonts w:ascii="Times New Roman" w:hAnsi="Times New Roman" w:cs="Times New Roman"/>
          <w:color w:val="222222"/>
          <w:shd w:val="clear" w:color="auto" w:fill="FFFFFF"/>
        </w:rPr>
        <w:t>spatio</w:t>
      </w:r>
      <w:proofErr w:type="spellEnd"/>
      <w:r w:rsidRPr="001867BF">
        <w:rPr>
          <w:rFonts w:ascii="Times New Roman" w:hAnsi="Times New Roman" w:cs="Times New Roman"/>
          <w:color w:val="222222"/>
          <w:shd w:val="clear" w:color="auto" w:fill="FFFFFF"/>
        </w:rPr>
        <w:t xml:space="preserve"> temporal analysis using geographical information system and remote </w:t>
      </w:r>
      <w:proofErr w:type="spellStart"/>
      <w:r w:rsidRPr="001867BF">
        <w:rPr>
          <w:rFonts w:ascii="Times New Roman" w:hAnsi="Times New Roman" w:cs="Times New Roman"/>
          <w:color w:val="222222"/>
          <w:shd w:val="clear" w:color="auto" w:fill="FFFFFF"/>
        </w:rPr>
        <w:t>sensing.Doctoral</w:t>
      </w:r>
      <w:proofErr w:type="spellEnd"/>
      <w:r w:rsidRPr="001867BF">
        <w:rPr>
          <w:rFonts w:ascii="Times New Roman" w:hAnsi="Times New Roman" w:cs="Times New Roman"/>
          <w:color w:val="222222"/>
          <w:shd w:val="clear" w:color="auto" w:fill="FFFFFF"/>
        </w:rPr>
        <w:t xml:space="preserve"> thesis</w:t>
      </w:r>
    </w:p>
    <w:p w14:paraId="4DFEBD60"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eastAsia="MinionPro-Capt" w:hAnsi="Times New Roman" w:cs="Times New Roman"/>
        </w:rPr>
        <w:t xml:space="preserve">Tang, X., Jiang, J., et al. (2017) Urban Spatial Expansion and Its Influence Factors Based on RS/GIS: A Case Study in Changsha. Economic </w:t>
      </w:r>
      <w:proofErr w:type="gramStart"/>
      <w:r w:rsidRPr="001867BF">
        <w:rPr>
          <w:rFonts w:ascii="Times New Roman" w:eastAsia="MinionPro-Capt" w:hAnsi="Times New Roman" w:cs="Times New Roman"/>
        </w:rPr>
        <w:t>Geography ,</w:t>
      </w:r>
      <w:proofErr w:type="gramEnd"/>
      <w:r w:rsidRPr="001867BF">
        <w:rPr>
          <w:rFonts w:ascii="Times New Roman" w:eastAsia="MinionPro-Capt" w:hAnsi="Times New Roman" w:cs="Times New Roman"/>
        </w:rPr>
        <w:t xml:space="preserve"> 3, 81-85.</w:t>
      </w:r>
    </w:p>
    <w:p w14:paraId="40B3E318"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color w:val="222222"/>
          <w:shd w:val="clear" w:color="auto" w:fill="FFFFFF"/>
        </w:rPr>
        <w:t>Xian, S., Li, L., &amp; Qi, Z. (2019). Toward a sustainable urban expansion: A case study of Zhuhai, China. </w:t>
      </w:r>
      <w:r w:rsidRPr="001867BF">
        <w:rPr>
          <w:rFonts w:ascii="Times New Roman" w:hAnsi="Times New Roman" w:cs="Times New Roman"/>
          <w:i/>
          <w:iCs/>
          <w:color w:val="222222"/>
          <w:shd w:val="clear" w:color="auto" w:fill="FFFFFF"/>
        </w:rPr>
        <w:t>Journal of Cleaner Production</w:t>
      </w:r>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230</w:t>
      </w:r>
      <w:r w:rsidRPr="001867BF">
        <w:rPr>
          <w:rFonts w:ascii="Times New Roman" w:hAnsi="Times New Roman" w:cs="Times New Roman"/>
          <w:color w:val="222222"/>
          <w:shd w:val="clear" w:color="auto" w:fill="FFFFFF"/>
        </w:rPr>
        <w:t>, 276-285.</w:t>
      </w:r>
    </w:p>
    <w:p w14:paraId="501BD3AE"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color w:val="000000" w:themeColor="text1"/>
        </w:rPr>
      </w:pPr>
      <w:r w:rsidRPr="001867BF">
        <w:rPr>
          <w:rFonts w:ascii="Times New Roman" w:hAnsi="Times New Roman" w:cs="Times New Roman"/>
          <w:color w:val="000000" w:themeColor="text1"/>
        </w:rPr>
        <w:lastRenderedPageBreak/>
        <w:t>Xu, X., Min, X., 2013. Quantifying spatiotemporal patterns of urban expansion in China using remote sensing data. Cities 35 (4), 104e113</w:t>
      </w:r>
    </w:p>
    <w:p w14:paraId="56948A62"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eastAsia="MinionPro-Capt" w:hAnsi="Times New Roman" w:cs="Times New Roman"/>
        </w:rPr>
        <w:t>Zhang, K.G., Meng, H.L., Ba, M.T. and Sun, Y.M. (2022) Characteristics Analysis of Urban Space Expansion in Luoyang, China. Journal of Geoscience and Environment Protection, 10, 123-139.</w:t>
      </w:r>
    </w:p>
    <w:p w14:paraId="1B8DB915" w14:textId="77777777"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Zhang, L.Q., Wu, J.P., Zhen, Y., &amp; Shu, J., (2004). A GIS-based gradient analysis of urban landscape pattern of Shanghai metropolitan area, China. Landscape Urban Plan. 69, 1–16.</w:t>
      </w:r>
    </w:p>
    <w:sectPr w:rsidR="00D23E73" w:rsidRPr="001867BF" w:rsidSect="00FA2C2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24BAF" w14:textId="77777777" w:rsidR="00B36A16" w:rsidRDefault="00B36A16" w:rsidP="00F144BB">
      <w:pPr>
        <w:spacing w:after="0" w:line="240" w:lineRule="auto"/>
      </w:pPr>
      <w:r>
        <w:separator/>
      </w:r>
    </w:p>
  </w:endnote>
  <w:endnote w:type="continuationSeparator" w:id="0">
    <w:p w14:paraId="2464D140" w14:textId="77777777" w:rsidR="00B36A16" w:rsidRDefault="00B36A16" w:rsidP="00F1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Capt">
    <w:altName w:val="Arial Unicode MS"/>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80F5" w14:textId="77777777" w:rsidR="006B0335" w:rsidRDefault="006B0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90EA0" w14:textId="77777777" w:rsidR="006B0335" w:rsidRDefault="006B0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4E775" w14:textId="77777777" w:rsidR="006B0335" w:rsidRDefault="006B0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B1C42" w14:textId="77777777" w:rsidR="00B36A16" w:rsidRDefault="00B36A16" w:rsidP="00F144BB">
      <w:pPr>
        <w:spacing w:after="0" w:line="240" w:lineRule="auto"/>
      </w:pPr>
      <w:r>
        <w:separator/>
      </w:r>
    </w:p>
  </w:footnote>
  <w:footnote w:type="continuationSeparator" w:id="0">
    <w:p w14:paraId="4D56F728" w14:textId="77777777" w:rsidR="00B36A16" w:rsidRDefault="00B36A16" w:rsidP="00F144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F79B5" w14:textId="09772F82" w:rsidR="006B0335" w:rsidRDefault="006B0335">
    <w:pPr>
      <w:pStyle w:val="Header"/>
    </w:pPr>
    <w:r>
      <w:rPr>
        <w:noProof/>
      </w:rPr>
      <w:pict w14:anchorId="38720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988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C7CCA" w14:textId="44A5182B" w:rsidR="006B0335" w:rsidRDefault="006B0335">
    <w:pPr>
      <w:pStyle w:val="Header"/>
    </w:pPr>
    <w:r>
      <w:rPr>
        <w:noProof/>
      </w:rPr>
      <w:pict w14:anchorId="0948B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988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3391C" w14:textId="514A3639" w:rsidR="006B0335" w:rsidRDefault="006B0335">
    <w:pPr>
      <w:pStyle w:val="Header"/>
    </w:pPr>
    <w:r>
      <w:rPr>
        <w:noProof/>
      </w:rPr>
      <w:pict w14:anchorId="72D43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988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6988"/>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887E28"/>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3A13D4"/>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3B64E5"/>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62B190E"/>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013728"/>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0D3022E"/>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E41920"/>
    <w:multiLevelType w:val="hybridMultilevel"/>
    <w:tmpl w:val="3D065B42"/>
    <w:lvl w:ilvl="0" w:tplc="4B00C1CE">
      <w:start w:val="1"/>
      <w:numFmt w:val="bullet"/>
      <w:lvlText w:val=""/>
      <w:lvlJc w:val="left"/>
      <w:pPr>
        <w:tabs>
          <w:tab w:val="num" w:pos="720"/>
        </w:tabs>
        <w:ind w:left="720" w:hanging="360"/>
      </w:pPr>
      <w:rPr>
        <w:rFonts w:ascii="Wingdings" w:hAnsi="Wingdings" w:hint="default"/>
      </w:rPr>
    </w:lvl>
    <w:lvl w:ilvl="1" w:tplc="8786A1C4" w:tentative="1">
      <w:start w:val="1"/>
      <w:numFmt w:val="bullet"/>
      <w:lvlText w:val=""/>
      <w:lvlJc w:val="left"/>
      <w:pPr>
        <w:tabs>
          <w:tab w:val="num" w:pos="1440"/>
        </w:tabs>
        <w:ind w:left="1440" w:hanging="360"/>
      </w:pPr>
      <w:rPr>
        <w:rFonts w:ascii="Wingdings" w:hAnsi="Wingdings" w:hint="default"/>
      </w:rPr>
    </w:lvl>
    <w:lvl w:ilvl="2" w:tplc="556A4250" w:tentative="1">
      <w:start w:val="1"/>
      <w:numFmt w:val="bullet"/>
      <w:lvlText w:val=""/>
      <w:lvlJc w:val="left"/>
      <w:pPr>
        <w:tabs>
          <w:tab w:val="num" w:pos="2160"/>
        </w:tabs>
        <w:ind w:left="2160" w:hanging="360"/>
      </w:pPr>
      <w:rPr>
        <w:rFonts w:ascii="Wingdings" w:hAnsi="Wingdings" w:hint="default"/>
      </w:rPr>
    </w:lvl>
    <w:lvl w:ilvl="3" w:tplc="61242188" w:tentative="1">
      <w:start w:val="1"/>
      <w:numFmt w:val="bullet"/>
      <w:lvlText w:val=""/>
      <w:lvlJc w:val="left"/>
      <w:pPr>
        <w:tabs>
          <w:tab w:val="num" w:pos="2880"/>
        </w:tabs>
        <w:ind w:left="2880" w:hanging="360"/>
      </w:pPr>
      <w:rPr>
        <w:rFonts w:ascii="Wingdings" w:hAnsi="Wingdings" w:hint="default"/>
      </w:rPr>
    </w:lvl>
    <w:lvl w:ilvl="4" w:tplc="C7966C44" w:tentative="1">
      <w:start w:val="1"/>
      <w:numFmt w:val="bullet"/>
      <w:lvlText w:val=""/>
      <w:lvlJc w:val="left"/>
      <w:pPr>
        <w:tabs>
          <w:tab w:val="num" w:pos="3600"/>
        </w:tabs>
        <w:ind w:left="3600" w:hanging="360"/>
      </w:pPr>
      <w:rPr>
        <w:rFonts w:ascii="Wingdings" w:hAnsi="Wingdings" w:hint="default"/>
      </w:rPr>
    </w:lvl>
    <w:lvl w:ilvl="5" w:tplc="F11C7586" w:tentative="1">
      <w:start w:val="1"/>
      <w:numFmt w:val="bullet"/>
      <w:lvlText w:val=""/>
      <w:lvlJc w:val="left"/>
      <w:pPr>
        <w:tabs>
          <w:tab w:val="num" w:pos="4320"/>
        </w:tabs>
        <w:ind w:left="4320" w:hanging="360"/>
      </w:pPr>
      <w:rPr>
        <w:rFonts w:ascii="Wingdings" w:hAnsi="Wingdings" w:hint="default"/>
      </w:rPr>
    </w:lvl>
    <w:lvl w:ilvl="6" w:tplc="3190AB4A" w:tentative="1">
      <w:start w:val="1"/>
      <w:numFmt w:val="bullet"/>
      <w:lvlText w:val=""/>
      <w:lvlJc w:val="left"/>
      <w:pPr>
        <w:tabs>
          <w:tab w:val="num" w:pos="5040"/>
        </w:tabs>
        <w:ind w:left="5040" w:hanging="360"/>
      </w:pPr>
      <w:rPr>
        <w:rFonts w:ascii="Wingdings" w:hAnsi="Wingdings" w:hint="default"/>
      </w:rPr>
    </w:lvl>
    <w:lvl w:ilvl="7" w:tplc="B0EE0A78" w:tentative="1">
      <w:start w:val="1"/>
      <w:numFmt w:val="bullet"/>
      <w:lvlText w:val=""/>
      <w:lvlJc w:val="left"/>
      <w:pPr>
        <w:tabs>
          <w:tab w:val="num" w:pos="5760"/>
        </w:tabs>
        <w:ind w:left="5760" w:hanging="360"/>
      </w:pPr>
      <w:rPr>
        <w:rFonts w:ascii="Wingdings" w:hAnsi="Wingdings" w:hint="default"/>
      </w:rPr>
    </w:lvl>
    <w:lvl w:ilvl="8" w:tplc="DF50B4A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5E2C55"/>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B71277"/>
    <w:multiLevelType w:val="hybridMultilevel"/>
    <w:tmpl w:val="E35E18A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D97A4E"/>
    <w:multiLevelType w:val="hybridMultilevel"/>
    <w:tmpl w:val="C5B2F9DA"/>
    <w:lvl w:ilvl="0" w:tplc="C562B864">
      <w:start w:val="1"/>
      <w:numFmt w:val="decimal"/>
      <w:lvlText w:val="%1."/>
      <w:lvlJc w:val="left"/>
      <w:pPr>
        <w:tabs>
          <w:tab w:val="num" w:pos="720"/>
        </w:tabs>
        <w:ind w:left="720" w:hanging="360"/>
      </w:pPr>
    </w:lvl>
    <w:lvl w:ilvl="1" w:tplc="4A5C085A" w:tentative="1">
      <w:start w:val="1"/>
      <w:numFmt w:val="decimal"/>
      <w:lvlText w:val="%2."/>
      <w:lvlJc w:val="left"/>
      <w:pPr>
        <w:tabs>
          <w:tab w:val="num" w:pos="1440"/>
        </w:tabs>
        <w:ind w:left="1440" w:hanging="360"/>
      </w:pPr>
    </w:lvl>
    <w:lvl w:ilvl="2" w:tplc="9E387A5A" w:tentative="1">
      <w:start w:val="1"/>
      <w:numFmt w:val="decimal"/>
      <w:lvlText w:val="%3."/>
      <w:lvlJc w:val="left"/>
      <w:pPr>
        <w:tabs>
          <w:tab w:val="num" w:pos="2160"/>
        </w:tabs>
        <w:ind w:left="2160" w:hanging="360"/>
      </w:pPr>
    </w:lvl>
    <w:lvl w:ilvl="3" w:tplc="3F10C1BE" w:tentative="1">
      <w:start w:val="1"/>
      <w:numFmt w:val="decimal"/>
      <w:lvlText w:val="%4."/>
      <w:lvlJc w:val="left"/>
      <w:pPr>
        <w:tabs>
          <w:tab w:val="num" w:pos="2880"/>
        </w:tabs>
        <w:ind w:left="2880" w:hanging="360"/>
      </w:pPr>
    </w:lvl>
    <w:lvl w:ilvl="4" w:tplc="2CE4AB56" w:tentative="1">
      <w:start w:val="1"/>
      <w:numFmt w:val="decimal"/>
      <w:lvlText w:val="%5."/>
      <w:lvlJc w:val="left"/>
      <w:pPr>
        <w:tabs>
          <w:tab w:val="num" w:pos="3600"/>
        </w:tabs>
        <w:ind w:left="3600" w:hanging="360"/>
      </w:pPr>
    </w:lvl>
    <w:lvl w:ilvl="5" w:tplc="88967616" w:tentative="1">
      <w:start w:val="1"/>
      <w:numFmt w:val="decimal"/>
      <w:lvlText w:val="%6."/>
      <w:lvlJc w:val="left"/>
      <w:pPr>
        <w:tabs>
          <w:tab w:val="num" w:pos="4320"/>
        </w:tabs>
        <w:ind w:left="4320" w:hanging="360"/>
      </w:pPr>
    </w:lvl>
    <w:lvl w:ilvl="6" w:tplc="A7F4D26C" w:tentative="1">
      <w:start w:val="1"/>
      <w:numFmt w:val="decimal"/>
      <w:lvlText w:val="%7."/>
      <w:lvlJc w:val="left"/>
      <w:pPr>
        <w:tabs>
          <w:tab w:val="num" w:pos="5040"/>
        </w:tabs>
        <w:ind w:left="5040" w:hanging="360"/>
      </w:pPr>
    </w:lvl>
    <w:lvl w:ilvl="7" w:tplc="2AB2564E" w:tentative="1">
      <w:start w:val="1"/>
      <w:numFmt w:val="decimal"/>
      <w:lvlText w:val="%8."/>
      <w:lvlJc w:val="left"/>
      <w:pPr>
        <w:tabs>
          <w:tab w:val="num" w:pos="5760"/>
        </w:tabs>
        <w:ind w:left="5760" w:hanging="360"/>
      </w:pPr>
    </w:lvl>
    <w:lvl w:ilvl="8" w:tplc="56DEEDD6" w:tentative="1">
      <w:start w:val="1"/>
      <w:numFmt w:val="decimal"/>
      <w:lvlText w:val="%9."/>
      <w:lvlJc w:val="left"/>
      <w:pPr>
        <w:tabs>
          <w:tab w:val="num" w:pos="6480"/>
        </w:tabs>
        <w:ind w:left="6480" w:hanging="360"/>
      </w:pPr>
    </w:lvl>
  </w:abstractNum>
  <w:abstractNum w:abstractNumId="11" w15:restartNumberingAfterBreak="0">
    <w:nsid w:val="6EAC7C2C"/>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BD0F82"/>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11"/>
  </w:num>
  <w:num w:numId="4">
    <w:abstractNumId w:val="3"/>
  </w:num>
  <w:num w:numId="5">
    <w:abstractNumId w:val="4"/>
  </w:num>
  <w:num w:numId="6">
    <w:abstractNumId w:val="6"/>
  </w:num>
  <w:num w:numId="7">
    <w:abstractNumId w:val="8"/>
  </w:num>
  <w:num w:numId="8">
    <w:abstractNumId w:val="12"/>
  </w:num>
  <w:num w:numId="9">
    <w:abstractNumId w:val="0"/>
  </w:num>
  <w:num w:numId="10">
    <w:abstractNumId w:val="5"/>
  </w:num>
  <w:num w:numId="11">
    <w:abstractNumId w:val="9"/>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635E"/>
    <w:rsid w:val="000033B9"/>
    <w:rsid w:val="0001719B"/>
    <w:rsid w:val="00022FC1"/>
    <w:rsid w:val="00025569"/>
    <w:rsid w:val="000577F3"/>
    <w:rsid w:val="00067EC5"/>
    <w:rsid w:val="00091880"/>
    <w:rsid w:val="000A21B6"/>
    <w:rsid w:val="000A3508"/>
    <w:rsid w:val="000A6D6D"/>
    <w:rsid w:val="000B5FEF"/>
    <w:rsid w:val="000C3EF0"/>
    <w:rsid w:val="000D549C"/>
    <w:rsid w:val="000D68BA"/>
    <w:rsid w:val="000E31B3"/>
    <w:rsid w:val="00101B57"/>
    <w:rsid w:val="00125C1C"/>
    <w:rsid w:val="00130ED0"/>
    <w:rsid w:val="001476E2"/>
    <w:rsid w:val="001570AB"/>
    <w:rsid w:val="00157E8D"/>
    <w:rsid w:val="00176003"/>
    <w:rsid w:val="001864C0"/>
    <w:rsid w:val="001867BF"/>
    <w:rsid w:val="001A45C4"/>
    <w:rsid w:val="001B06D7"/>
    <w:rsid w:val="001B1CD2"/>
    <w:rsid w:val="001D4A91"/>
    <w:rsid w:val="001D6092"/>
    <w:rsid w:val="001D6BFB"/>
    <w:rsid w:val="001E49D3"/>
    <w:rsid w:val="001F0169"/>
    <w:rsid w:val="001F5CF2"/>
    <w:rsid w:val="0020350B"/>
    <w:rsid w:val="00207403"/>
    <w:rsid w:val="0021376B"/>
    <w:rsid w:val="002149FD"/>
    <w:rsid w:val="00225F2C"/>
    <w:rsid w:val="00232A3C"/>
    <w:rsid w:val="0023717C"/>
    <w:rsid w:val="00245DD8"/>
    <w:rsid w:val="002521A5"/>
    <w:rsid w:val="00264BDB"/>
    <w:rsid w:val="002A0843"/>
    <w:rsid w:val="002C17C8"/>
    <w:rsid w:val="002C321C"/>
    <w:rsid w:val="002D6C80"/>
    <w:rsid w:val="002F5C74"/>
    <w:rsid w:val="003217DD"/>
    <w:rsid w:val="00323846"/>
    <w:rsid w:val="00343FAE"/>
    <w:rsid w:val="003A55D4"/>
    <w:rsid w:val="003A6AF6"/>
    <w:rsid w:val="00406073"/>
    <w:rsid w:val="004309CB"/>
    <w:rsid w:val="00440DC9"/>
    <w:rsid w:val="00446A29"/>
    <w:rsid w:val="00451A42"/>
    <w:rsid w:val="00457CC5"/>
    <w:rsid w:val="00466CA5"/>
    <w:rsid w:val="00470BA1"/>
    <w:rsid w:val="00477DB4"/>
    <w:rsid w:val="004B25A3"/>
    <w:rsid w:val="004B3E0D"/>
    <w:rsid w:val="004C191F"/>
    <w:rsid w:val="004C374E"/>
    <w:rsid w:val="004D1D8F"/>
    <w:rsid w:val="004E7CF2"/>
    <w:rsid w:val="005070B8"/>
    <w:rsid w:val="00514146"/>
    <w:rsid w:val="00516C01"/>
    <w:rsid w:val="00517806"/>
    <w:rsid w:val="0053790C"/>
    <w:rsid w:val="00556D93"/>
    <w:rsid w:val="00557F07"/>
    <w:rsid w:val="005675F3"/>
    <w:rsid w:val="00585222"/>
    <w:rsid w:val="00591779"/>
    <w:rsid w:val="005C2610"/>
    <w:rsid w:val="005C43CE"/>
    <w:rsid w:val="005C73FB"/>
    <w:rsid w:val="005D48A6"/>
    <w:rsid w:val="005E04EE"/>
    <w:rsid w:val="005E4FB2"/>
    <w:rsid w:val="005E6B4F"/>
    <w:rsid w:val="00601082"/>
    <w:rsid w:val="006056C2"/>
    <w:rsid w:val="0061302D"/>
    <w:rsid w:val="00616C23"/>
    <w:rsid w:val="00623C6A"/>
    <w:rsid w:val="0063253C"/>
    <w:rsid w:val="00637CA3"/>
    <w:rsid w:val="006427EF"/>
    <w:rsid w:val="00663236"/>
    <w:rsid w:val="00675715"/>
    <w:rsid w:val="006B0335"/>
    <w:rsid w:val="006B35C8"/>
    <w:rsid w:val="006B5549"/>
    <w:rsid w:val="006B7CCC"/>
    <w:rsid w:val="006C7811"/>
    <w:rsid w:val="006D3863"/>
    <w:rsid w:val="006D6547"/>
    <w:rsid w:val="006E3611"/>
    <w:rsid w:val="006E495D"/>
    <w:rsid w:val="006F497C"/>
    <w:rsid w:val="006F65D2"/>
    <w:rsid w:val="007204B5"/>
    <w:rsid w:val="0073119E"/>
    <w:rsid w:val="00734359"/>
    <w:rsid w:val="00792AA9"/>
    <w:rsid w:val="007A2B10"/>
    <w:rsid w:val="007A771C"/>
    <w:rsid w:val="007E5E4A"/>
    <w:rsid w:val="007F7BFD"/>
    <w:rsid w:val="008131CC"/>
    <w:rsid w:val="00814369"/>
    <w:rsid w:val="008353A4"/>
    <w:rsid w:val="00835E7E"/>
    <w:rsid w:val="00851EC1"/>
    <w:rsid w:val="00867060"/>
    <w:rsid w:val="008724DE"/>
    <w:rsid w:val="00873013"/>
    <w:rsid w:val="00882EBE"/>
    <w:rsid w:val="0088524D"/>
    <w:rsid w:val="008D6AF0"/>
    <w:rsid w:val="008F4CB8"/>
    <w:rsid w:val="008F6EA2"/>
    <w:rsid w:val="0090231A"/>
    <w:rsid w:val="009064C0"/>
    <w:rsid w:val="00962E07"/>
    <w:rsid w:val="0096635E"/>
    <w:rsid w:val="009F4E90"/>
    <w:rsid w:val="009F6FC6"/>
    <w:rsid w:val="00A34E37"/>
    <w:rsid w:val="00A424E4"/>
    <w:rsid w:val="00A461BC"/>
    <w:rsid w:val="00A47455"/>
    <w:rsid w:val="00A47E75"/>
    <w:rsid w:val="00A529C0"/>
    <w:rsid w:val="00A6028C"/>
    <w:rsid w:val="00A6714A"/>
    <w:rsid w:val="00A9742C"/>
    <w:rsid w:val="00AA6E6D"/>
    <w:rsid w:val="00AD53F5"/>
    <w:rsid w:val="00AE1F41"/>
    <w:rsid w:val="00AF5AED"/>
    <w:rsid w:val="00B00420"/>
    <w:rsid w:val="00B076DE"/>
    <w:rsid w:val="00B17307"/>
    <w:rsid w:val="00B31DB4"/>
    <w:rsid w:val="00B36A16"/>
    <w:rsid w:val="00B51DCD"/>
    <w:rsid w:val="00B72EA3"/>
    <w:rsid w:val="00B92193"/>
    <w:rsid w:val="00B93A54"/>
    <w:rsid w:val="00B93D43"/>
    <w:rsid w:val="00BA4657"/>
    <w:rsid w:val="00BC6E7E"/>
    <w:rsid w:val="00BD0ABF"/>
    <w:rsid w:val="00BD2C28"/>
    <w:rsid w:val="00BD71B6"/>
    <w:rsid w:val="00C34881"/>
    <w:rsid w:val="00C37136"/>
    <w:rsid w:val="00C44586"/>
    <w:rsid w:val="00C61B7C"/>
    <w:rsid w:val="00C73F54"/>
    <w:rsid w:val="00C759A7"/>
    <w:rsid w:val="00C76CF1"/>
    <w:rsid w:val="00C80390"/>
    <w:rsid w:val="00C81C48"/>
    <w:rsid w:val="00CA039D"/>
    <w:rsid w:val="00CD2F72"/>
    <w:rsid w:val="00CD3C84"/>
    <w:rsid w:val="00CD4F6C"/>
    <w:rsid w:val="00CE0625"/>
    <w:rsid w:val="00CE5C25"/>
    <w:rsid w:val="00D055CE"/>
    <w:rsid w:val="00D10F73"/>
    <w:rsid w:val="00D16491"/>
    <w:rsid w:val="00D23E73"/>
    <w:rsid w:val="00D2419B"/>
    <w:rsid w:val="00D2628A"/>
    <w:rsid w:val="00D6088C"/>
    <w:rsid w:val="00D675D1"/>
    <w:rsid w:val="00D7003A"/>
    <w:rsid w:val="00D746CC"/>
    <w:rsid w:val="00D95E46"/>
    <w:rsid w:val="00DA07E0"/>
    <w:rsid w:val="00DA4499"/>
    <w:rsid w:val="00DC128E"/>
    <w:rsid w:val="00DE2EDD"/>
    <w:rsid w:val="00DF2763"/>
    <w:rsid w:val="00E01D93"/>
    <w:rsid w:val="00E069BF"/>
    <w:rsid w:val="00E07AA9"/>
    <w:rsid w:val="00E167CE"/>
    <w:rsid w:val="00E30902"/>
    <w:rsid w:val="00E4676F"/>
    <w:rsid w:val="00E4705F"/>
    <w:rsid w:val="00E54D63"/>
    <w:rsid w:val="00E85B40"/>
    <w:rsid w:val="00ED2FE3"/>
    <w:rsid w:val="00ED37C6"/>
    <w:rsid w:val="00EE2051"/>
    <w:rsid w:val="00EE22EA"/>
    <w:rsid w:val="00F144BB"/>
    <w:rsid w:val="00F36E6F"/>
    <w:rsid w:val="00F5081B"/>
    <w:rsid w:val="00F60A04"/>
    <w:rsid w:val="00F62962"/>
    <w:rsid w:val="00FA2C2D"/>
    <w:rsid w:val="00FB1D27"/>
    <w:rsid w:val="00FE6087"/>
    <w:rsid w:val="00FF0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99D5E0"/>
  <w15:docId w15:val="{7286AE74-3253-46B8-8295-BE6AAE09A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C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35E"/>
    <w:rPr>
      <w:rFonts w:ascii="Tahoma" w:hAnsi="Tahoma" w:cs="Tahoma"/>
      <w:sz w:val="16"/>
      <w:szCs w:val="16"/>
    </w:rPr>
  </w:style>
  <w:style w:type="paragraph" w:styleId="ListParagraph">
    <w:name w:val="List Paragraph"/>
    <w:basedOn w:val="Normal"/>
    <w:uiPriority w:val="34"/>
    <w:qFormat/>
    <w:rsid w:val="00962E07"/>
    <w:pPr>
      <w:ind w:left="720"/>
      <w:contextualSpacing/>
    </w:pPr>
  </w:style>
  <w:style w:type="character" w:styleId="Strong">
    <w:name w:val="Strong"/>
    <w:basedOn w:val="DefaultParagraphFont"/>
    <w:uiPriority w:val="22"/>
    <w:qFormat/>
    <w:rsid w:val="004D1D8F"/>
    <w:rPr>
      <w:b/>
      <w:bCs/>
    </w:rPr>
  </w:style>
  <w:style w:type="paragraph" w:styleId="Header">
    <w:name w:val="header"/>
    <w:basedOn w:val="Normal"/>
    <w:link w:val="HeaderChar"/>
    <w:uiPriority w:val="99"/>
    <w:unhideWhenUsed/>
    <w:rsid w:val="00F1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4BB"/>
  </w:style>
  <w:style w:type="paragraph" w:styleId="Footer">
    <w:name w:val="footer"/>
    <w:basedOn w:val="Normal"/>
    <w:link w:val="FooterChar"/>
    <w:uiPriority w:val="99"/>
    <w:unhideWhenUsed/>
    <w:rsid w:val="00F1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4BB"/>
  </w:style>
  <w:style w:type="character" w:styleId="Hyperlink">
    <w:name w:val="Hyperlink"/>
    <w:basedOn w:val="DefaultParagraphFont"/>
    <w:uiPriority w:val="99"/>
    <w:unhideWhenUsed/>
    <w:rsid w:val="001867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1603">
      <w:bodyDiv w:val="1"/>
      <w:marLeft w:val="0"/>
      <w:marRight w:val="0"/>
      <w:marTop w:val="0"/>
      <w:marBottom w:val="0"/>
      <w:divBdr>
        <w:top w:val="none" w:sz="0" w:space="0" w:color="auto"/>
        <w:left w:val="none" w:sz="0" w:space="0" w:color="auto"/>
        <w:bottom w:val="none" w:sz="0" w:space="0" w:color="auto"/>
        <w:right w:val="none" w:sz="0" w:space="0" w:color="auto"/>
      </w:divBdr>
    </w:div>
    <w:div w:id="32393383">
      <w:bodyDiv w:val="1"/>
      <w:marLeft w:val="0"/>
      <w:marRight w:val="0"/>
      <w:marTop w:val="0"/>
      <w:marBottom w:val="0"/>
      <w:divBdr>
        <w:top w:val="none" w:sz="0" w:space="0" w:color="auto"/>
        <w:left w:val="none" w:sz="0" w:space="0" w:color="auto"/>
        <w:bottom w:val="none" w:sz="0" w:space="0" w:color="auto"/>
        <w:right w:val="none" w:sz="0" w:space="0" w:color="auto"/>
      </w:divBdr>
    </w:div>
    <w:div w:id="102461039">
      <w:bodyDiv w:val="1"/>
      <w:marLeft w:val="0"/>
      <w:marRight w:val="0"/>
      <w:marTop w:val="0"/>
      <w:marBottom w:val="0"/>
      <w:divBdr>
        <w:top w:val="none" w:sz="0" w:space="0" w:color="auto"/>
        <w:left w:val="none" w:sz="0" w:space="0" w:color="auto"/>
        <w:bottom w:val="none" w:sz="0" w:space="0" w:color="auto"/>
        <w:right w:val="none" w:sz="0" w:space="0" w:color="auto"/>
      </w:divBdr>
    </w:div>
    <w:div w:id="104621669">
      <w:bodyDiv w:val="1"/>
      <w:marLeft w:val="0"/>
      <w:marRight w:val="0"/>
      <w:marTop w:val="0"/>
      <w:marBottom w:val="0"/>
      <w:divBdr>
        <w:top w:val="none" w:sz="0" w:space="0" w:color="auto"/>
        <w:left w:val="none" w:sz="0" w:space="0" w:color="auto"/>
        <w:bottom w:val="none" w:sz="0" w:space="0" w:color="auto"/>
        <w:right w:val="none" w:sz="0" w:space="0" w:color="auto"/>
      </w:divBdr>
    </w:div>
    <w:div w:id="116141341">
      <w:bodyDiv w:val="1"/>
      <w:marLeft w:val="0"/>
      <w:marRight w:val="0"/>
      <w:marTop w:val="0"/>
      <w:marBottom w:val="0"/>
      <w:divBdr>
        <w:top w:val="none" w:sz="0" w:space="0" w:color="auto"/>
        <w:left w:val="none" w:sz="0" w:space="0" w:color="auto"/>
        <w:bottom w:val="none" w:sz="0" w:space="0" w:color="auto"/>
        <w:right w:val="none" w:sz="0" w:space="0" w:color="auto"/>
      </w:divBdr>
    </w:div>
    <w:div w:id="127552972">
      <w:bodyDiv w:val="1"/>
      <w:marLeft w:val="0"/>
      <w:marRight w:val="0"/>
      <w:marTop w:val="0"/>
      <w:marBottom w:val="0"/>
      <w:divBdr>
        <w:top w:val="none" w:sz="0" w:space="0" w:color="auto"/>
        <w:left w:val="none" w:sz="0" w:space="0" w:color="auto"/>
        <w:bottom w:val="none" w:sz="0" w:space="0" w:color="auto"/>
        <w:right w:val="none" w:sz="0" w:space="0" w:color="auto"/>
      </w:divBdr>
    </w:div>
    <w:div w:id="220410786">
      <w:bodyDiv w:val="1"/>
      <w:marLeft w:val="0"/>
      <w:marRight w:val="0"/>
      <w:marTop w:val="0"/>
      <w:marBottom w:val="0"/>
      <w:divBdr>
        <w:top w:val="none" w:sz="0" w:space="0" w:color="auto"/>
        <w:left w:val="none" w:sz="0" w:space="0" w:color="auto"/>
        <w:bottom w:val="none" w:sz="0" w:space="0" w:color="auto"/>
        <w:right w:val="none" w:sz="0" w:space="0" w:color="auto"/>
      </w:divBdr>
    </w:div>
    <w:div w:id="233468300">
      <w:bodyDiv w:val="1"/>
      <w:marLeft w:val="0"/>
      <w:marRight w:val="0"/>
      <w:marTop w:val="0"/>
      <w:marBottom w:val="0"/>
      <w:divBdr>
        <w:top w:val="none" w:sz="0" w:space="0" w:color="auto"/>
        <w:left w:val="none" w:sz="0" w:space="0" w:color="auto"/>
        <w:bottom w:val="none" w:sz="0" w:space="0" w:color="auto"/>
        <w:right w:val="none" w:sz="0" w:space="0" w:color="auto"/>
      </w:divBdr>
    </w:div>
    <w:div w:id="233976739">
      <w:bodyDiv w:val="1"/>
      <w:marLeft w:val="0"/>
      <w:marRight w:val="0"/>
      <w:marTop w:val="0"/>
      <w:marBottom w:val="0"/>
      <w:divBdr>
        <w:top w:val="none" w:sz="0" w:space="0" w:color="auto"/>
        <w:left w:val="none" w:sz="0" w:space="0" w:color="auto"/>
        <w:bottom w:val="none" w:sz="0" w:space="0" w:color="auto"/>
        <w:right w:val="none" w:sz="0" w:space="0" w:color="auto"/>
      </w:divBdr>
    </w:div>
    <w:div w:id="237324477">
      <w:bodyDiv w:val="1"/>
      <w:marLeft w:val="0"/>
      <w:marRight w:val="0"/>
      <w:marTop w:val="0"/>
      <w:marBottom w:val="0"/>
      <w:divBdr>
        <w:top w:val="none" w:sz="0" w:space="0" w:color="auto"/>
        <w:left w:val="none" w:sz="0" w:space="0" w:color="auto"/>
        <w:bottom w:val="none" w:sz="0" w:space="0" w:color="auto"/>
        <w:right w:val="none" w:sz="0" w:space="0" w:color="auto"/>
      </w:divBdr>
    </w:div>
    <w:div w:id="291981748">
      <w:bodyDiv w:val="1"/>
      <w:marLeft w:val="0"/>
      <w:marRight w:val="0"/>
      <w:marTop w:val="0"/>
      <w:marBottom w:val="0"/>
      <w:divBdr>
        <w:top w:val="none" w:sz="0" w:space="0" w:color="auto"/>
        <w:left w:val="none" w:sz="0" w:space="0" w:color="auto"/>
        <w:bottom w:val="none" w:sz="0" w:space="0" w:color="auto"/>
        <w:right w:val="none" w:sz="0" w:space="0" w:color="auto"/>
      </w:divBdr>
    </w:div>
    <w:div w:id="297876111">
      <w:bodyDiv w:val="1"/>
      <w:marLeft w:val="0"/>
      <w:marRight w:val="0"/>
      <w:marTop w:val="0"/>
      <w:marBottom w:val="0"/>
      <w:divBdr>
        <w:top w:val="none" w:sz="0" w:space="0" w:color="auto"/>
        <w:left w:val="none" w:sz="0" w:space="0" w:color="auto"/>
        <w:bottom w:val="none" w:sz="0" w:space="0" w:color="auto"/>
        <w:right w:val="none" w:sz="0" w:space="0" w:color="auto"/>
      </w:divBdr>
    </w:div>
    <w:div w:id="319578951">
      <w:bodyDiv w:val="1"/>
      <w:marLeft w:val="0"/>
      <w:marRight w:val="0"/>
      <w:marTop w:val="0"/>
      <w:marBottom w:val="0"/>
      <w:divBdr>
        <w:top w:val="none" w:sz="0" w:space="0" w:color="auto"/>
        <w:left w:val="none" w:sz="0" w:space="0" w:color="auto"/>
        <w:bottom w:val="none" w:sz="0" w:space="0" w:color="auto"/>
        <w:right w:val="none" w:sz="0" w:space="0" w:color="auto"/>
      </w:divBdr>
    </w:div>
    <w:div w:id="416364605">
      <w:bodyDiv w:val="1"/>
      <w:marLeft w:val="0"/>
      <w:marRight w:val="0"/>
      <w:marTop w:val="0"/>
      <w:marBottom w:val="0"/>
      <w:divBdr>
        <w:top w:val="none" w:sz="0" w:space="0" w:color="auto"/>
        <w:left w:val="none" w:sz="0" w:space="0" w:color="auto"/>
        <w:bottom w:val="none" w:sz="0" w:space="0" w:color="auto"/>
        <w:right w:val="none" w:sz="0" w:space="0" w:color="auto"/>
      </w:divBdr>
    </w:div>
    <w:div w:id="424425628">
      <w:bodyDiv w:val="1"/>
      <w:marLeft w:val="0"/>
      <w:marRight w:val="0"/>
      <w:marTop w:val="0"/>
      <w:marBottom w:val="0"/>
      <w:divBdr>
        <w:top w:val="none" w:sz="0" w:space="0" w:color="auto"/>
        <w:left w:val="none" w:sz="0" w:space="0" w:color="auto"/>
        <w:bottom w:val="none" w:sz="0" w:space="0" w:color="auto"/>
        <w:right w:val="none" w:sz="0" w:space="0" w:color="auto"/>
      </w:divBdr>
    </w:div>
    <w:div w:id="434911341">
      <w:bodyDiv w:val="1"/>
      <w:marLeft w:val="0"/>
      <w:marRight w:val="0"/>
      <w:marTop w:val="0"/>
      <w:marBottom w:val="0"/>
      <w:divBdr>
        <w:top w:val="none" w:sz="0" w:space="0" w:color="auto"/>
        <w:left w:val="none" w:sz="0" w:space="0" w:color="auto"/>
        <w:bottom w:val="none" w:sz="0" w:space="0" w:color="auto"/>
        <w:right w:val="none" w:sz="0" w:space="0" w:color="auto"/>
      </w:divBdr>
    </w:div>
    <w:div w:id="466244239">
      <w:bodyDiv w:val="1"/>
      <w:marLeft w:val="0"/>
      <w:marRight w:val="0"/>
      <w:marTop w:val="0"/>
      <w:marBottom w:val="0"/>
      <w:divBdr>
        <w:top w:val="none" w:sz="0" w:space="0" w:color="auto"/>
        <w:left w:val="none" w:sz="0" w:space="0" w:color="auto"/>
        <w:bottom w:val="none" w:sz="0" w:space="0" w:color="auto"/>
        <w:right w:val="none" w:sz="0" w:space="0" w:color="auto"/>
      </w:divBdr>
    </w:div>
    <w:div w:id="467238798">
      <w:bodyDiv w:val="1"/>
      <w:marLeft w:val="0"/>
      <w:marRight w:val="0"/>
      <w:marTop w:val="0"/>
      <w:marBottom w:val="0"/>
      <w:divBdr>
        <w:top w:val="none" w:sz="0" w:space="0" w:color="auto"/>
        <w:left w:val="none" w:sz="0" w:space="0" w:color="auto"/>
        <w:bottom w:val="none" w:sz="0" w:space="0" w:color="auto"/>
        <w:right w:val="none" w:sz="0" w:space="0" w:color="auto"/>
      </w:divBdr>
    </w:div>
    <w:div w:id="508255740">
      <w:bodyDiv w:val="1"/>
      <w:marLeft w:val="0"/>
      <w:marRight w:val="0"/>
      <w:marTop w:val="0"/>
      <w:marBottom w:val="0"/>
      <w:divBdr>
        <w:top w:val="none" w:sz="0" w:space="0" w:color="auto"/>
        <w:left w:val="none" w:sz="0" w:space="0" w:color="auto"/>
        <w:bottom w:val="none" w:sz="0" w:space="0" w:color="auto"/>
        <w:right w:val="none" w:sz="0" w:space="0" w:color="auto"/>
      </w:divBdr>
    </w:div>
    <w:div w:id="562788092">
      <w:bodyDiv w:val="1"/>
      <w:marLeft w:val="0"/>
      <w:marRight w:val="0"/>
      <w:marTop w:val="0"/>
      <w:marBottom w:val="0"/>
      <w:divBdr>
        <w:top w:val="none" w:sz="0" w:space="0" w:color="auto"/>
        <w:left w:val="none" w:sz="0" w:space="0" w:color="auto"/>
        <w:bottom w:val="none" w:sz="0" w:space="0" w:color="auto"/>
        <w:right w:val="none" w:sz="0" w:space="0" w:color="auto"/>
      </w:divBdr>
    </w:div>
    <w:div w:id="570308927">
      <w:bodyDiv w:val="1"/>
      <w:marLeft w:val="0"/>
      <w:marRight w:val="0"/>
      <w:marTop w:val="0"/>
      <w:marBottom w:val="0"/>
      <w:divBdr>
        <w:top w:val="none" w:sz="0" w:space="0" w:color="auto"/>
        <w:left w:val="none" w:sz="0" w:space="0" w:color="auto"/>
        <w:bottom w:val="none" w:sz="0" w:space="0" w:color="auto"/>
        <w:right w:val="none" w:sz="0" w:space="0" w:color="auto"/>
      </w:divBdr>
    </w:div>
    <w:div w:id="571502119">
      <w:bodyDiv w:val="1"/>
      <w:marLeft w:val="0"/>
      <w:marRight w:val="0"/>
      <w:marTop w:val="0"/>
      <w:marBottom w:val="0"/>
      <w:divBdr>
        <w:top w:val="none" w:sz="0" w:space="0" w:color="auto"/>
        <w:left w:val="none" w:sz="0" w:space="0" w:color="auto"/>
        <w:bottom w:val="none" w:sz="0" w:space="0" w:color="auto"/>
        <w:right w:val="none" w:sz="0" w:space="0" w:color="auto"/>
      </w:divBdr>
    </w:div>
    <w:div w:id="625818034">
      <w:bodyDiv w:val="1"/>
      <w:marLeft w:val="0"/>
      <w:marRight w:val="0"/>
      <w:marTop w:val="0"/>
      <w:marBottom w:val="0"/>
      <w:divBdr>
        <w:top w:val="none" w:sz="0" w:space="0" w:color="auto"/>
        <w:left w:val="none" w:sz="0" w:space="0" w:color="auto"/>
        <w:bottom w:val="none" w:sz="0" w:space="0" w:color="auto"/>
        <w:right w:val="none" w:sz="0" w:space="0" w:color="auto"/>
      </w:divBdr>
    </w:div>
    <w:div w:id="649481348">
      <w:bodyDiv w:val="1"/>
      <w:marLeft w:val="0"/>
      <w:marRight w:val="0"/>
      <w:marTop w:val="0"/>
      <w:marBottom w:val="0"/>
      <w:divBdr>
        <w:top w:val="none" w:sz="0" w:space="0" w:color="auto"/>
        <w:left w:val="none" w:sz="0" w:space="0" w:color="auto"/>
        <w:bottom w:val="none" w:sz="0" w:space="0" w:color="auto"/>
        <w:right w:val="none" w:sz="0" w:space="0" w:color="auto"/>
      </w:divBdr>
    </w:div>
    <w:div w:id="689919248">
      <w:bodyDiv w:val="1"/>
      <w:marLeft w:val="0"/>
      <w:marRight w:val="0"/>
      <w:marTop w:val="0"/>
      <w:marBottom w:val="0"/>
      <w:divBdr>
        <w:top w:val="none" w:sz="0" w:space="0" w:color="auto"/>
        <w:left w:val="none" w:sz="0" w:space="0" w:color="auto"/>
        <w:bottom w:val="none" w:sz="0" w:space="0" w:color="auto"/>
        <w:right w:val="none" w:sz="0" w:space="0" w:color="auto"/>
      </w:divBdr>
    </w:div>
    <w:div w:id="729232449">
      <w:bodyDiv w:val="1"/>
      <w:marLeft w:val="0"/>
      <w:marRight w:val="0"/>
      <w:marTop w:val="0"/>
      <w:marBottom w:val="0"/>
      <w:divBdr>
        <w:top w:val="none" w:sz="0" w:space="0" w:color="auto"/>
        <w:left w:val="none" w:sz="0" w:space="0" w:color="auto"/>
        <w:bottom w:val="none" w:sz="0" w:space="0" w:color="auto"/>
        <w:right w:val="none" w:sz="0" w:space="0" w:color="auto"/>
      </w:divBdr>
    </w:div>
    <w:div w:id="784156989">
      <w:bodyDiv w:val="1"/>
      <w:marLeft w:val="0"/>
      <w:marRight w:val="0"/>
      <w:marTop w:val="0"/>
      <w:marBottom w:val="0"/>
      <w:divBdr>
        <w:top w:val="none" w:sz="0" w:space="0" w:color="auto"/>
        <w:left w:val="none" w:sz="0" w:space="0" w:color="auto"/>
        <w:bottom w:val="none" w:sz="0" w:space="0" w:color="auto"/>
        <w:right w:val="none" w:sz="0" w:space="0" w:color="auto"/>
      </w:divBdr>
    </w:div>
    <w:div w:id="786851333">
      <w:bodyDiv w:val="1"/>
      <w:marLeft w:val="0"/>
      <w:marRight w:val="0"/>
      <w:marTop w:val="0"/>
      <w:marBottom w:val="0"/>
      <w:divBdr>
        <w:top w:val="none" w:sz="0" w:space="0" w:color="auto"/>
        <w:left w:val="none" w:sz="0" w:space="0" w:color="auto"/>
        <w:bottom w:val="none" w:sz="0" w:space="0" w:color="auto"/>
        <w:right w:val="none" w:sz="0" w:space="0" w:color="auto"/>
      </w:divBdr>
    </w:div>
    <w:div w:id="841091583">
      <w:bodyDiv w:val="1"/>
      <w:marLeft w:val="0"/>
      <w:marRight w:val="0"/>
      <w:marTop w:val="0"/>
      <w:marBottom w:val="0"/>
      <w:divBdr>
        <w:top w:val="none" w:sz="0" w:space="0" w:color="auto"/>
        <w:left w:val="none" w:sz="0" w:space="0" w:color="auto"/>
        <w:bottom w:val="none" w:sz="0" w:space="0" w:color="auto"/>
        <w:right w:val="none" w:sz="0" w:space="0" w:color="auto"/>
      </w:divBdr>
    </w:div>
    <w:div w:id="862285222">
      <w:bodyDiv w:val="1"/>
      <w:marLeft w:val="0"/>
      <w:marRight w:val="0"/>
      <w:marTop w:val="0"/>
      <w:marBottom w:val="0"/>
      <w:divBdr>
        <w:top w:val="none" w:sz="0" w:space="0" w:color="auto"/>
        <w:left w:val="none" w:sz="0" w:space="0" w:color="auto"/>
        <w:bottom w:val="none" w:sz="0" w:space="0" w:color="auto"/>
        <w:right w:val="none" w:sz="0" w:space="0" w:color="auto"/>
      </w:divBdr>
    </w:div>
    <w:div w:id="862981844">
      <w:bodyDiv w:val="1"/>
      <w:marLeft w:val="0"/>
      <w:marRight w:val="0"/>
      <w:marTop w:val="0"/>
      <w:marBottom w:val="0"/>
      <w:divBdr>
        <w:top w:val="none" w:sz="0" w:space="0" w:color="auto"/>
        <w:left w:val="none" w:sz="0" w:space="0" w:color="auto"/>
        <w:bottom w:val="none" w:sz="0" w:space="0" w:color="auto"/>
        <w:right w:val="none" w:sz="0" w:space="0" w:color="auto"/>
      </w:divBdr>
    </w:div>
    <w:div w:id="915897009">
      <w:bodyDiv w:val="1"/>
      <w:marLeft w:val="0"/>
      <w:marRight w:val="0"/>
      <w:marTop w:val="0"/>
      <w:marBottom w:val="0"/>
      <w:divBdr>
        <w:top w:val="none" w:sz="0" w:space="0" w:color="auto"/>
        <w:left w:val="none" w:sz="0" w:space="0" w:color="auto"/>
        <w:bottom w:val="none" w:sz="0" w:space="0" w:color="auto"/>
        <w:right w:val="none" w:sz="0" w:space="0" w:color="auto"/>
      </w:divBdr>
    </w:div>
    <w:div w:id="963341383">
      <w:bodyDiv w:val="1"/>
      <w:marLeft w:val="0"/>
      <w:marRight w:val="0"/>
      <w:marTop w:val="0"/>
      <w:marBottom w:val="0"/>
      <w:divBdr>
        <w:top w:val="none" w:sz="0" w:space="0" w:color="auto"/>
        <w:left w:val="none" w:sz="0" w:space="0" w:color="auto"/>
        <w:bottom w:val="none" w:sz="0" w:space="0" w:color="auto"/>
        <w:right w:val="none" w:sz="0" w:space="0" w:color="auto"/>
      </w:divBdr>
    </w:div>
    <w:div w:id="966550395">
      <w:bodyDiv w:val="1"/>
      <w:marLeft w:val="0"/>
      <w:marRight w:val="0"/>
      <w:marTop w:val="0"/>
      <w:marBottom w:val="0"/>
      <w:divBdr>
        <w:top w:val="none" w:sz="0" w:space="0" w:color="auto"/>
        <w:left w:val="none" w:sz="0" w:space="0" w:color="auto"/>
        <w:bottom w:val="none" w:sz="0" w:space="0" w:color="auto"/>
        <w:right w:val="none" w:sz="0" w:space="0" w:color="auto"/>
      </w:divBdr>
    </w:div>
    <w:div w:id="982391762">
      <w:bodyDiv w:val="1"/>
      <w:marLeft w:val="0"/>
      <w:marRight w:val="0"/>
      <w:marTop w:val="0"/>
      <w:marBottom w:val="0"/>
      <w:divBdr>
        <w:top w:val="none" w:sz="0" w:space="0" w:color="auto"/>
        <w:left w:val="none" w:sz="0" w:space="0" w:color="auto"/>
        <w:bottom w:val="none" w:sz="0" w:space="0" w:color="auto"/>
        <w:right w:val="none" w:sz="0" w:space="0" w:color="auto"/>
      </w:divBdr>
    </w:div>
    <w:div w:id="1002052851">
      <w:bodyDiv w:val="1"/>
      <w:marLeft w:val="0"/>
      <w:marRight w:val="0"/>
      <w:marTop w:val="0"/>
      <w:marBottom w:val="0"/>
      <w:divBdr>
        <w:top w:val="none" w:sz="0" w:space="0" w:color="auto"/>
        <w:left w:val="none" w:sz="0" w:space="0" w:color="auto"/>
        <w:bottom w:val="none" w:sz="0" w:space="0" w:color="auto"/>
        <w:right w:val="none" w:sz="0" w:space="0" w:color="auto"/>
      </w:divBdr>
    </w:div>
    <w:div w:id="1006590878">
      <w:bodyDiv w:val="1"/>
      <w:marLeft w:val="0"/>
      <w:marRight w:val="0"/>
      <w:marTop w:val="0"/>
      <w:marBottom w:val="0"/>
      <w:divBdr>
        <w:top w:val="none" w:sz="0" w:space="0" w:color="auto"/>
        <w:left w:val="none" w:sz="0" w:space="0" w:color="auto"/>
        <w:bottom w:val="none" w:sz="0" w:space="0" w:color="auto"/>
        <w:right w:val="none" w:sz="0" w:space="0" w:color="auto"/>
      </w:divBdr>
    </w:div>
    <w:div w:id="1021855645">
      <w:bodyDiv w:val="1"/>
      <w:marLeft w:val="0"/>
      <w:marRight w:val="0"/>
      <w:marTop w:val="0"/>
      <w:marBottom w:val="0"/>
      <w:divBdr>
        <w:top w:val="none" w:sz="0" w:space="0" w:color="auto"/>
        <w:left w:val="none" w:sz="0" w:space="0" w:color="auto"/>
        <w:bottom w:val="none" w:sz="0" w:space="0" w:color="auto"/>
        <w:right w:val="none" w:sz="0" w:space="0" w:color="auto"/>
      </w:divBdr>
    </w:div>
    <w:div w:id="1068456366">
      <w:bodyDiv w:val="1"/>
      <w:marLeft w:val="0"/>
      <w:marRight w:val="0"/>
      <w:marTop w:val="0"/>
      <w:marBottom w:val="0"/>
      <w:divBdr>
        <w:top w:val="none" w:sz="0" w:space="0" w:color="auto"/>
        <w:left w:val="none" w:sz="0" w:space="0" w:color="auto"/>
        <w:bottom w:val="none" w:sz="0" w:space="0" w:color="auto"/>
        <w:right w:val="none" w:sz="0" w:space="0" w:color="auto"/>
      </w:divBdr>
    </w:div>
    <w:div w:id="1069688568">
      <w:bodyDiv w:val="1"/>
      <w:marLeft w:val="0"/>
      <w:marRight w:val="0"/>
      <w:marTop w:val="0"/>
      <w:marBottom w:val="0"/>
      <w:divBdr>
        <w:top w:val="none" w:sz="0" w:space="0" w:color="auto"/>
        <w:left w:val="none" w:sz="0" w:space="0" w:color="auto"/>
        <w:bottom w:val="none" w:sz="0" w:space="0" w:color="auto"/>
        <w:right w:val="none" w:sz="0" w:space="0" w:color="auto"/>
      </w:divBdr>
    </w:div>
    <w:div w:id="1079205956">
      <w:bodyDiv w:val="1"/>
      <w:marLeft w:val="0"/>
      <w:marRight w:val="0"/>
      <w:marTop w:val="0"/>
      <w:marBottom w:val="0"/>
      <w:divBdr>
        <w:top w:val="none" w:sz="0" w:space="0" w:color="auto"/>
        <w:left w:val="none" w:sz="0" w:space="0" w:color="auto"/>
        <w:bottom w:val="none" w:sz="0" w:space="0" w:color="auto"/>
        <w:right w:val="none" w:sz="0" w:space="0" w:color="auto"/>
      </w:divBdr>
    </w:div>
    <w:div w:id="1090933207">
      <w:bodyDiv w:val="1"/>
      <w:marLeft w:val="0"/>
      <w:marRight w:val="0"/>
      <w:marTop w:val="0"/>
      <w:marBottom w:val="0"/>
      <w:divBdr>
        <w:top w:val="none" w:sz="0" w:space="0" w:color="auto"/>
        <w:left w:val="none" w:sz="0" w:space="0" w:color="auto"/>
        <w:bottom w:val="none" w:sz="0" w:space="0" w:color="auto"/>
        <w:right w:val="none" w:sz="0" w:space="0" w:color="auto"/>
      </w:divBdr>
    </w:div>
    <w:div w:id="1100486212">
      <w:bodyDiv w:val="1"/>
      <w:marLeft w:val="0"/>
      <w:marRight w:val="0"/>
      <w:marTop w:val="0"/>
      <w:marBottom w:val="0"/>
      <w:divBdr>
        <w:top w:val="none" w:sz="0" w:space="0" w:color="auto"/>
        <w:left w:val="none" w:sz="0" w:space="0" w:color="auto"/>
        <w:bottom w:val="none" w:sz="0" w:space="0" w:color="auto"/>
        <w:right w:val="none" w:sz="0" w:space="0" w:color="auto"/>
      </w:divBdr>
    </w:div>
    <w:div w:id="1140686387">
      <w:bodyDiv w:val="1"/>
      <w:marLeft w:val="0"/>
      <w:marRight w:val="0"/>
      <w:marTop w:val="0"/>
      <w:marBottom w:val="0"/>
      <w:divBdr>
        <w:top w:val="none" w:sz="0" w:space="0" w:color="auto"/>
        <w:left w:val="none" w:sz="0" w:space="0" w:color="auto"/>
        <w:bottom w:val="none" w:sz="0" w:space="0" w:color="auto"/>
        <w:right w:val="none" w:sz="0" w:space="0" w:color="auto"/>
      </w:divBdr>
    </w:div>
    <w:div w:id="1147936578">
      <w:bodyDiv w:val="1"/>
      <w:marLeft w:val="0"/>
      <w:marRight w:val="0"/>
      <w:marTop w:val="0"/>
      <w:marBottom w:val="0"/>
      <w:divBdr>
        <w:top w:val="none" w:sz="0" w:space="0" w:color="auto"/>
        <w:left w:val="none" w:sz="0" w:space="0" w:color="auto"/>
        <w:bottom w:val="none" w:sz="0" w:space="0" w:color="auto"/>
        <w:right w:val="none" w:sz="0" w:space="0" w:color="auto"/>
      </w:divBdr>
    </w:div>
    <w:div w:id="1189182561">
      <w:bodyDiv w:val="1"/>
      <w:marLeft w:val="0"/>
      <w:marRight w:val="0"/>
      <w:marTop w:val="0"/>
      <w:marBottom w:val="0"/>
      <w:divBdr>
        <w:top w:val="none" w:sz="0" w:space="0" w:color="auto"/>
        <w:left w:val="none" w:sz="0" w:space="0" w:color="auto"/>
        <w:bottom w:val="none" w:sz="0" w:space="0" w:color="auto"/>
        <w:right w:val="none" w:sz="0" w:space="0" w:color="auto"/>
      </w:divBdr>
      <w:divsChild>
        <w:div w:id="1773668474">
          <w:marLeft w:val="547"/>
          <w:marRight w:val="0"/>
          <w:marTop w:val="0"/>
          <w:marBottom w:val="0"/>
          <w:divBdr>
            <w:top w:val="none" w:sz="0" w:space="0" w:color="auto"/>
            <w:left w:val="none" w:sz="0" w:space="0" w:color="auto"/>
            <w:bottom w:val="none" w:sz="0" w:space="0" w:color="auto"/>
            <w:right w:val="none" w:sz="0" w:space="0" w:color="auto"/>
          </w:divBdr>
        </w:div>
        <w:div w:id="896670845">
          <w:marLeft w:val="547"/>
          <w:marRight w:val="0"/>
          <w:marTop w:val="0"/>
          <w:marBottom w:val="0"/>
          <w:divBdr>
            <w:top w:val="none" w:sz="0" w:space="0" w:color="auto"/>
            <w:left w:val="none" w:sz="0" w:space="0" w:color="auto"/>
            <w:bottom w:val="none" w:sz="0" w:space="0" w:color="auto"/>
            <w:right w:val="none" w:sz="0" w:space="0" w:color="auto"/>
          </w:divBdr>
        </w:div>
        <w:div w:id="1747222312">
          <w:marLeft w:val="547"/>
          <w:marRight w:val="0"/>
          <w:marTop w:val="0"/>
          <w:marBottom w:val="0"/>
          <w:divBdr>
            <w:top w:val="none" w:sz="0" w:space="0" w:color="auto"/>
            <w:left w:val="none" w:sz="0" w:space="0" w:color="auto"/>
            <w:bottom w:val="none" w:sz="0" w:space="0" w:color="auto"/>
            <w:right w:val="none" w:sz="0" w:space="0" w:color="auto"/>
          </w:divBdr>
        </w:div>
      </w:divsChild>
    </w:div>
    <w:div w:id="1200119424">
      <w:bodyDiv w:val="1"/>
      <w:marLeft w:val="0"/>
      <w:marRight w:val="0"/>
      <w:marTop w:val="0"/>
      <w:marBottom w:val="0"/>
      <w:divBdr>
        <w:top w:val="none" w:sz="0" w:space="0" w:color="auto"/>
        <w:left w:val="none" w:sz="0" w:space="0" w:color="auto"/>
        <w:bottom w:val="none" w:sz="0" w:space="0" w:color="auto"/>
        <w:right w:val="none" w:sz="0" w:space="0" w:color="auto"/>
      </w:divBdr>
    </w:div>
    <w:div w:id="1220439265">
      <w:bodyDiv w:val="1"/>
      <w:marLeft w:val="0"/>
      <w:marRight w:val="0"/>
      <w:marTop w:val="0"/>
      <w:marBottom w:val="0"/>
      <w:divBdr>
        <w:top w:val="none" w:sz="0" w:space="0" w:color="auto"/>
        <w:left w:val="none" w:sz="0" w:space="0" w:color="auto"/>
        <w:bottom w:val="none" w:sz="0" w:space="0" w:color="auto"/>
        <w:right w:val="none" w:sz="0" w:space="0" w:color="auto"/>
      </w:divBdr>
    </w:div>
    <w:div w:id="1264386284">
      <w:bodyDiv w:val="1"/>
      <w:marLeft w:val="0"/>
      <w:marRight w:val="0"/>
      <w:marTop w:val="0"/>
      <w:marBottom w:val="0"/>
      <w:divBdr>
        <w:top w:val="none" w:sz="0" w:space="0" w:color="auto"/>
        <w:left w:val="none" w:sz="0" w:space="0" w:color="auto"/>
        <w:bottom w:val="none" w:sz="0" w:space="0" w:color="auto"/>
        <w:right w:val="none" w:sz="0" w:space="0" w:color="auto"/>
      </w:divBdr>
    </w:div>
    <w:div w:id="1276134258">
      <w:bodyDiv w:val="1"/>
      <w:marLeft w:val="0"/>
      <w:marRight w:val="0"/>
      <w:marTop w:val="0"/>
      <w:marBottom w:val="0"/>
      <w:divBdr>
        <w:top w:val="none" w:sz="0" w:space="0" w:color="auto"/>
        <w:left w:val="none" w:sz="0" w:space="0" w:color="auto"/>
        <w:bottom w:val="none" w:sz="0" w:space="0" w:color="auto"/>
        <w:right w:val="none" w:sz="0" w:space="0" w:color="auto"/>
      </w:divBdr>
    </w:div>
    <w:div w:id="1311783745">
      <w:bodyDiv w:val="1"/>
      <w:marLeft w:val="0"/>
      <w:marRight w:val="0"/>
      <w:marTop w:val="0"/>
      <w:marBottom w:val="0"/>
      <w:divBdr>
        <w:top w:val="none" w:sz="0" w:space="0" w:color="auto"/>
        <w:left w:val="none" w:sz="0" w:space="0" w:color="auto"/>
        <w:bottom w:val="none" w:sz="0" w:space="0" w:color="auto"/>
        <w:right w:val="none" w:sz="0" w:space="0" w:color="auto"/>
      </w:divBdr>
    </w:div>
    <w:div w:id="1313368415">
      <w:bodyDiv w:val="1"/>
      <w:marLeft w:val="0"/>
      <w:marRight w:val="0"/>
      <w:marTop w:val="0"/>
      <w:marBottom w:val="0"/>
      <w:divBdr>
        <w:top w:val="none" w:sz="0" w:space="0" w:color="auto"/>
        <w:left w:val="none" w:sz="0" w:space="0" w:color="auto"/>
        <w:bottom w:val="none" w:sz="0" w:space="0" w:color="auto"/>
        <w:right w:val="none" w:sz="0" w:space="0" w:color="auto"/>
      </w:divBdr>
    </w:div>
    <w:div w:id="1366559312">
      <w:bodyDiv w:val="1"/>
      <w:marLeft w:val="0"/>
      <w:marRight w:val="0"/>
      <w:marTop w:val="0"/>
      <w:marBottom w:val="0"/>
      <w:divBdr>
        <w:top w:val="none" w:sz="0" w:space="0" w:color="auto"/>
        <w:left w:val="none" w:sz="0" w:space="0" w:color="auto"/>
        <w:bottom w:val="none" w:sz="0" w:space="0" w:color="auto"/>
        <w:right w:val="none" w:sz="0" w:space="0" w:color="auto"/>
      </w:divBdr>
    </w:div>
    <w:div w:id="1382556593">
      <w:bodyDiv w:val="1"/>
      <w:marLeft w:val="0"/>
      <w:marRight w:val="0"/>
      <w:marTop w:val="0"/>
      <w:marBottom w:val="0"/>
      <w:divBdr>
        <w:top w:val="none" w:sz="0" w:space="0" w:color="auto"/>
        <w:left w:val="none" w:sz="0" w:space="0" w:color="auto"/>
        <w:bottom w:val="none" w:sz="0" w:space="0" w:color="auto"/>
        <w:right w:val="none" w:sz="0" w:space="0" w:color="auto"/>
      </w:divBdr>
    </w:div>
    <w:div w:id="1386753708">
      <w:bodyDiv w:val="1"/>
      <w:marLeft w:val="0"/>
      <w:marRight w:val="0"/>
      <w:marTop w:val="0"/>
      <w:marBottom w:val="0"/>
      <w:divBdr>
        <w:top w:val="none" w:sz="0" w:space="0" w:color="auto"/>
        <w:left w:val="none" w:sz="0" w:space="0" w:color="auto"/>
        <w:bottom w:val="none" w:sz="0" w:space="0" w:color="auto"/>
        <w:right w:val="none" w:sz="0" w:space="0" w:color="auto"/>
      </w:divBdr>
    </w:div>
    <w:div w:id="1393040840">
      <w:bodyDiv w:val="1"/>
      <w:marLeft w:val="0"/>
      <w:marRight w:val="0"/>
      <w:marTop w:val="0"/>
      <w:marBottom w:val="0"/>
      <w:divBdr>
        <w:top w:val="none" w:sz="0" w:space="0" w:color="auto"/>
        <w:left w:val="none" w:sz="0" w:space="0" w:color="auto"/>
        <w:bottom w:val="none" w:sz="0" w:space="0" w:color="auto"/>
        <w:right w:val="none" w:sz="0" w:space="0" w:color="auto"/>
      </w:divBdr>
    </w:div>
    <w:div w:id="1412696278">
      <w:bodyDiv w:val="1"/>
      <w:marLeft w:val="0"/>
      <w:marRight w:val="0"/>
      <w:marTop w:val="0"/>
      <w:marBottom w:val="0"/>
      <w:divBdr>
        <w:top w:val="none" w:sz="0" w:space="0" w:color="auto"/>
        <w:left w:val="none" w:sz="0" w:space="0" w:color="auto"/>
        <w:bottom w:val="none" w:sz="0" w:space="0" w:color="auto"/>
        <w:right w:val="none" w:sz="0" w:space="0" w:color="auto"/>
      </w:divBdr>
    </w:div>
    <w:div w:id="1518302330">
      <w:bodyDiv w:val="1"/>
      <w:marLeft w:val="0"/>
      <w:marRight w:val="0"/>
      <w:marTop w:val="0"/>
      <w:marBottom w:val="0"/>
      <w:divBdr>
        <w:top w:val="none" w:sz="0" w:space="0" w:color="auto"/>
        <w:left w:val="none" w:sz="0" w:space="0" w:color="auto"/>
        <w:bottom w:val="none" w:sz="0" w:space="0" w:color="auto"/>
        <w:right w:val="none" w:sz="0" w:space="0" w:color="auto"/>
      </w:divBdr>
    </w:div>
    <w:div w:id="1548293275">
      <w:bodyDiv w:val="1"/>
      <w:marLeft w:val="0"/>
      <w:marRight w:val="0"/>
      <w:marTop w:val="0"/>
      <w:marBottom w:val="0"/>
      <w:divBdr>
        <w:top w:val="none" w:sz="0" w:space="0" w:color="auto"/>
        <w:left w:val="none" w:sz="0" w:space="0" w:color="auto"/>
        <w:bottom w:val="none" w:sz="0" w:space="0" w:color="auto"/>
        <w:right w:val="none" w:sz="0" w:space="0" w:color="auto"/>
      </w:divBdr>
    </w:div>
    <w:div w:id="1561285734">
      <w:bodyDiv w:val="1"/>
      <w:marLeft w:val="0"/>
      <w:marRight w:val="0"/>
      <w:marTop w:val="0"/>
      <w:marBottom w:val="0"/>
      <w:divBdr>
        <w:top w:val="none" w:sz="0" w:space="0" w:color="auto"/>
        <w:left w:val="none" w:sz="0" w:space="0" w:color="auto"/>
        <w:bottom w:val="none" w:sz="0" w:space="0" w:color="auto"/>
        <w:right w:val="none" w:sz="0" w:space="0" w:color="auto"/>
      </w:divBdr>
    </w:div>
    <w:div w:id="1641962032">
      <w:bodyDiv w:val="1"/>
      <w:marLeft w:val="0"/>
      <w:marRight w:val="0"/>
      <w:marTop w:val="0"/>
      <w:marBottom w:val="0"/>
      <w:divBdr>
        <w:top w:val="none" w:sz="0" w:space="0" w:color="auto"/>
        <w:left w:val="none" w:sz="0" w:space="0" w:color="auto"/>
        <w:bottom w:val="none" w:sz="0" w:space="0" w:color="auto"/>
        <w:right w:val="none" w:sz="0" w:space="0" w:color="auto"/>
      </w:divBdr>
    </w:div>
    <w:div w:id="1653756963">
      <w:bodyDiv w:val="1"/>
      <w:marLeft w:val="0"/>
      <w:marRight w:val="0"/>
      <w:marTop w:val="0"/>
      <w:marBottom w:val="0"/>
      <w:divBdr>
        <w:top w:val="none" w:sz="0" w:space="0" w:color="auto"/>
        <w:left w:val="none" w:sz="0" w:space="0" w:color="auto"/>
        <w:bottom w:val="none" w:sz="0" w:space="0" w:color="auto"/>
        <w:right w:val="none" w:sz="0" w:space="0" w:color="auto"/>
      </w:divBdr>
    </w:div>
    <w:div w:id="1673408269">
      <w:bodyDiv w:val="1"/>
      <w:marLeft w:val="0"/>
      <w:marRight w:val="0"/>
      <w:marTop w:val="0"/>
      <w:marBottom w:val="0"/>
      <w:divBdr>
        <w:top w:val="none" w:sz="0" w:space="0" w:color="auto"/>
        <w:left w:val="none" w:sz="0" w:space="0" w:color="auto"/>
        <w:bottom w:val="none" w:sz="0" w:space="0" w:color="auto"/>
        <w:right w:val="none" w:sz="0" w:space="0" w:color="auto"/>
      </w:divBdr>
    </w:div>
    <w:div w:id="1690058975">
      <w:bodyDiv w:val="1"/>
      <w:marLeft w:val="0"/>
      <w:marRight w:val="0"/>
      <w:marTop w:val="0"/>
      <w:marBottom w:val="0"/>
      <w:divBdr>
        <w:top w:val="none" w:sz="0" w:space="0" w:color="auto"/>
        <w:left w:val="none" w:sz="0" w:space="0" w:color="auto"/>
        <w:bottom w:val="none" w:sz="0" w:space="0" w:color="auto"/>
        <w:right w:val="none" w:sz="0" w:space="0" w:color="auto"/>
      </w:divBdr>
    </w:div>
    <w:div w:id="1809318816">
      <w:bodyDiv w:val="1"/>
      <w:marLeft w:val="0"/>
      <w:marRight w:val="0"/>
      <w:marTop w:val="0"/>
      <w:marBottom w:val="0"/>
      <w:divBdr>
        <w:top w:val="none" w:sz="0" w:space="0" w:color="auto"/>
        <w:left w:val="none" w:sz="0" w:space="0" w:color="auto"/>
        <w:bottom w:val="none" w:sz="0" w:space="0" w:color="auto"/>
        <w:right w:val="none" w:sz="0" w:space="0" w:color="auto"/>
      </w:divBdr>
    </w:div>
    <w:div w:id="1819418294">
      <w:bodyDiv w:val="1"/>
      <w:marLeft w:val="0"/>
      <w:marRight w:val="0"/>
      <w:marTop w:val="0"/>
      <w:marBottom w:val="0"/>
      <w:divBdr>
        <w:top w:val="none" w:sz="0" w:space="0" w:color="auto"/>
        <w:left w:val="none" w:sz="0" w:space="0" w:color="auto"/>
        <w:bottom w:val="none" w:sz="0" w:space="0" w:color="auto"/>
        <w:right w:val="none" w:sz="0" w:space="0" w:color="auto"/>
      </w:divBdr>
    </w:div>
    <w:div w:id="1859075456">
      <w:bodyDiv w:val="1"/>
      <w:marLeft w:val="0"/>
      <w:marRight w:val="0"/>
      <w:marTop w:val="0"/>
      <w:marBottom w:val="0"/>
      <w:divBdr>
        <w:top w:val="none" w:sz="0" w:space="0" w:color="auto"/>
        <w:left w:val="none" w:sz="0" w:space="0" w:color="auto"/>
        <w:bottom w:val="none" w:sz="0" w:space="0" w:color="auto"/>
        <w:right w:val="none" w:sz="0" w:space="0" w:color="auto"/>
      </w:divBdr>
    </w:div>
    <w:div w:id="1875384213">
      <w:bodyDiv w:val="1"/>
      <w:marLeft w:val="0"/>
      <w:marRight w:val="0"/>
      <w:marTop w:val="0"/>
      <w:marBottom w:val="0"/>
      <w:divBdr>
        <w:top w:val="none" w:sz="0" w:space="0" w:color="auto"/>
        <w:left w:val="none" w:sz="0" w:space="0" w:color="auto"/>
        <w:bottom w:val="none" w:sz="0" w:space="0" w:color="auto"/>
        <w:right w:val="none" w:sz="0" w:space="0" w:color="auto"/>
      </w:divBdr>
    </w:div>
    <w:div w:id="1898583361">
      <w:bodyDiv w:val="1"/>
      <w:marLeft w:val="0"/>
      <w:marRight w:val="0"/>
      <w:marTop w:val="0"/>
      <w:marBottom w:val="0"/>
      <w:divBdr>
        <w:top w:val="none" w:sz="0" w:space="0" w:color="auto"/>
        <w:left w:val="none" w:sz="0" w:space="0" w:color="auto"/>
        <w:bottom w:val="none" w:sz="0" w:space="0" w:color="auto"/>
        <w:right w:val="none" w:sz="0" w:space="0" w:color="auto"/>
      </w:divBdr>
    </w:div>
    <w:div w:id="1920796634">
      <w:bodyDiv w:val="1"/>
      <w:marLeft w:val="0"/>
      <w:marRight w:val="0"/>
      <w:marTop w:val="0"/>
      <w:marBottom w:val="0"/>
      <w:divBdr>
        <w:top w:val="none" w:sz="0" w:space="0" w:color="auto"/>
        <w:left w:val="none" w:sz="0" w:space="0" w:color="auto"/>
        <w:bottom w:val="none" w:sz="0" w:space="0" w:color="auto"/>
        <w:right w:val="none" w:sz="0" w:space="0" w:color="auto"/>
      </w:divBdr>
    </w:div>
    <w:div w:id="1976133553">
      <w:bodyDiv w:val="1"/>
      <w:marLeft w:val="0"/>
      <w:marRight w:val="0"/>
      <w:marTop w:val="0"/>
      <w:marBottom w:val="0"/>
      <w:divBdr>
        <w:top w:val="none" w:sz="0" w:space="0" w:color="auto"/>
        <w:left w:val="none" w:sz="0" w:space="0" w:color="auto"/>
        <w:bottom w:val="none" w:sz="0" w:space="0" w:color="auto"/>
        <w:right w:val="none" w:sz="0" w:space="0" w:color="auto"/>
      </w:divBdr>
    </w:div>
    <w:div w:id="1976716522">
      <w:bodyDiv w:val="1"/>
      <w:marLeft w:val="0"/>
      <w:marRight w:val="0"/>
      <w:marTop w:val="0"/>
      <w:marBottom w:val="0"/>
      <w:divBdr>
        <w:top w:val="none" w:sz="0" w:space="0" w:color="auto"/>
        <w:left w:val="none" w:sz="0" w:space="0" w:color="auto"/>
        <w:bottom w:val="none" w:sz="0" w:space="0" w:color="auto"/>
        <w:right w:val="none" w:sz="0" w:space="0" w:color="auto"/>
      </w:divBdr>
    </w:div>
    <w:div w:id="2003968791">
      <w:bodyDiv w:val="1"/>
      <w:marLeft w:val="0"/>
      <w:marRight w:val="0"/>
      <w:marTop w:val="0"/>
      <w:marBottom w:val="0"/>
      <w:divBdr>
        <w:top w:val="none" w:sz="0" w:space="0" w:color="auto"/>
        <w:left w:val="none" w:sz="0" w:space="0" w:color="auto"/>
        <w:bottom w:val="none" w:sz="0" w:space="0" w:color="auto"/>
        <w:right w:val="none" w:sz="0" w:space="0" w:color="auto"/>
      </w:divBdr>
    </w:div>
    <w:div w:id="2006665607">
      <w:bodyDiv w:val="1"/>
      <w:marLeft w:val="0"/>
      <w:marRight w:val="0"/>
      <w:marTop w:val="0"/>
      <w:marBottom w:val="0"/>
      <w:divBdr>
        <w:top w:val="none" w:sz="0" w:space="0" w:color="auto"/>
        <w:left w:val="none" w:sz="0" w:space="0" w:color="auto"/>
        <w:bottom w:val="none" w:sz="0" w:space="0" w:color="auto"/>
        <w:right w:val="none" w:sz="0" w:space="0" w:color="auto"/>
      </w:divBdr>
    </w:div>
    <w:div w:id="2016879914">
      <w:bodyDiv w:val="1"/>
      <w:marLeft w:val="0"/>
      <w:marRight w:val="0"/>
      <w:marTop w:val="0"/>
      <w:marBottom w:val="0"/>
      <w:divBdr>
        <w:top w:val="none" w:sz="0" w:space="0" w:color="auto"/>
        <w:left w:val="none" w:sz="0" w:space="0" w:color="auto"/>
        <w:bottom w:val="none" w:sz="0" w:space="0" w:color="auto"/>
        <w:right w:val="none" w:sz="0" w:space="0" w:color="auto"/>
      </w:divBdr>
    </w:div>
    <w:div w:id="2048485202">
      <w:bodyDiv w:val="1"/>
      <w:marLeft w:val="0"/>
      <w:marRight w:val="0"/>
      <w:marTop w:val="0"/>
      <w:marBottom w:val="0"/>
      <w:divBdr>
        <w:top w:val="none" w:sz="0" w:space="0" w:color="auto"/>
        <w:left w:val="none" w:sz="0" w:space="0" w:color="auto"/>
        <w:bottom w:val="none" w:sz="0" w:space="0" w:color="auto"/>
        <w:right w:val="none" w:sz="0" w:space="0" w:color="auto"/>
      </w:divBdr>
    </w:div>
    <w:div w:id="2056851150">
      <w:bodyDiv w:val="1"/>
      <w:marLeft w:val="0"/>
      <w:marRight w:val="0"/>
      <w:marTop w:val="0"/>
      <w:marBottom w:val="0"/>
      <w:divBdr>
        <w:top w:val="none" w:sz="0" w:space="0" w:color="auto"/>
        <w:left w:val="none" w:sz="0" w:space="0" w:color="auto"/>
        <w:bottom w:val="none" w:sz="0" w:space="0" w:color="auto"/>
        <w:right w:val="none" w:sz="0" w:space="0" w:color="auto"/>
      </w:divBdr>
    </w:div>
    <w:div w:id="2063169877">
      <w:bodyDiv w:val="1"/>
      <w:marLeft w:val="0"/>
      <w:marRight w:val="0"/>
      <w:marTop w:val="0"/>
      <w:marBottom w:val="0"/>
      <w:divBdr>
        <w:top w:val="none" w:sz="0" w:space="0" w:color="auto"/>
        <w:left w:val="none" w:sz="0" w:space="0" w:color="auto"/>
        <w:bottom w:val="none" w:sz="0" w:space="0" w:color="auto"/>
        <w:right w:val="none" w:sz="0" w:space="0" w:color="auto"/>
      </w:divBdr>
    </w:div>
    <w:div w:id="2070809034">
      <w:bodyDiv w:val="1"/>
      <w:marLeft w:val="0"/>
      <w:marRight w:val="0"/>
      <w:marTop w:val="0"/>
      <w:marBottom w:val="0"/>
      <w:divBdr>
        <w:top w:val="none" w:sz="0" w:space="0" w:color="auto"/>
        <w:left w:val="none" w:sz="0" w:space="0" w:color="auto"/>
        <w:bottom w:val="none" w:sz="0" w:space="0" w:color="auto"/>
        <w:right w:val="none" w:sz="0" w:space="0" w:color="auto"/>
      </w:divBdr>
    </w:div>
    <w:div w:id="2089568079">
      <w:bodyDiv w:val="1"/>
      <w:marLeft w:val="0"/>
      <w:marRight w:val="0"/>
      <w:marTop w:val="0"/>
      <w:marBottom w:val="0"/>
      <w:divBdr>
        <w:top w:val="none" w:sz="0" w:space="0" w:color="auto"/>
        <w:left w:val="none" w:sz="0" w:space="0" w:color="auto"/>
        <w:bottom w:val="none" w:sz="0" w:space="0" w:color="auto"/>
        <w:right w:val="none" w:sz="0" w:space="0" w:color="auto"/>
      </w:divBdr>
    </w:div>
    <w:div w:id="2091730896">
      <w:bodyDiv w:val="1"/>
      <w:marLeft w:val="0"/>
      <w:marRight w:val="0"/>
      <w:marTop w:val="0"/>
      <w:marBottom w:val="0"/>
      <w:divBdr>
        <w:top w:val="none" w:sz="0" w:space="0" w:color="auto"/>
        <w:left w:val="none" w:sz="0" w:space="0" w:color="auto"/>
        <w:bottom w:val="none" w:sz="0" w:space="0" w:color="auto"/>
        <w:right w:val="none" w:sz="0" w:space="0" w:color="auto"/>
      </w:divBdr>
    </w:div>
    <w:div w:id="2105832984">
      <w:bodyDiv w:val="1"/>
      <w:marLeft w:val="0"/>
      <w:marRight w:val="0"/>
      <w:marTop w:val="0"/>
      <w:marBottom w:val="0"/>
      <w:divBdr>
        <w:top w:val="none" w:sz="0" w:space="0" w:color="auto"/>
        <w:left w:val="none" w:sz="0" w:space="0" w:color="auto"/>
        <w:bottom w:val="none" w:sz="0" w:space="0" w:color="auto"/>
        <w:right w:val="none" w:sz="0" w:space="0" w:color="auto"/>
      </w:divBdr>
    </w:div>
    <w:div w:id="2109420351">
      <w:bodyDiv w:val="1"/>
      <w:marLeft w:val="0"/>
      <w:marRight w:val="0"/>
      <w:marTop w:val="0"/>
      <w:marBottom w:val="0"/>
      <w:divBdr>
        <w:top w:val="none" w:sz="0" w:space="0" w:color="auto"/>
        <w:left w:val="none" w:sz="0" w:space="0" w:color="auto"/>
        <w:bottom w:val="none" w:sz="0" w:space="0" w:color="auto"/>
        <w:right w:val="none" w:sz="0" w:space="0" w:color="auto"/>
      </w:divBdr>
    </w:div>
    <w:div w:id="211112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kan\Desktop\jayashree\landuse\UEII\calculation%20table%20UE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UEII (Direction wise)</a:t>
            </a:r>
          </a:p>
        </c:rich>
      </c:tx>
      <c:layout>
        <c:manualLayout>
          <c:xMode val="edge"/>
          <c:yMode val="edge"/>
          <c:x val="0.32088358594117172"/>
          <c:y val="0"/>
        </c:manualLayout>
      </c:layout>
      <c:overlay val="0"/>
    </c:title>
    <c:autoTitleDeleted val="0"/>
    <c:plotArea>
      <c:layout>
        <c:manualLayout>
          <c:layoutTarget val="inner"/>
          <c:xMode val="edge"/>
          <c:yMode val="edge"/>
          <c:x val="0.16508943700989687"/>
          <c:y val="0.1594164421881491"/>
          <c:w val="0.8066619754194857"/>
          <c:h val="0.47133063959110372"/>
        </c:manualLayout>
      </c:layout>
      <c:lineChart>
        <c:grouping val="standard"/>
        <c:varyColors val="0"/>
        <c:ser>
          <c:idx val="0"/>
          <c:order val="0"/>
          <c:tx>
            <c:strRef>
              <c:f>'UEII direction wise'!$B$2</c:f>
              <c:strCache>
                <c:ptCount val="1"/>
                <c:pt idx="0">
                  <c:v>UEII (1990-2000)</c:v>
                </c:pt>
              </c:strCache>
            </c:strRef>
          </c:tx>
          <c:marker>
            <c:symbol val="none"/>
          </c:marker>
          <c:cat>
            <c:strRef>
              <c:f>'UEII direction wise'!$A$3:$A$10</c:f>
              <c:strCache>
                <c:ptCount val="8"/>
                <c:pt idx="0">
                  <c:v>N_NW</c:v>
                </c:pt>
                <c:pt idx="1">
                  <c:v>W_NW</c:v>
                </c:pt>
                <c:pt idx="2">
                  <c:v>S_SW</c:v>
                </c:pt>
                <c:pt idx="3">
                  <c:v>W_SW</c:v>
                </c:pt>
                <c:pt idx="4">
                  <c:v>S_SE</c:v>
                </c:pt>
                <c:pt idx="5">
                  <c:v>E_SE</c:v>
                </c:pt>
                <c:pt idx="6">
                  <c:v>N_NE</c:v>
                </c:pt>
                <c:pt idx="7">
                  <c:v>E_NE</c:v>
                </c:pt>
              </c:strCache>
            </c:strRef>
          </c:cat>
          <c:val>
            <c:numRef>
              <c:f>'UEII direction wise'!$B$3:$B$10</c:f>
              <c:numCache>
                <c:formatCode>0.000</c:formatCode>
                <c:ptCount val="8"/>
                <c:pt idx="0">
                  <c:v>0.40605018207256782</c:v>
                </c:pt>
                <c:pt idx="1">
                  <c:v>0.28081019664175788</c:v>
                </c:pt>
                <c:pt idx="2">
                  <c:v>0.35818813937803451</c:v>
                </c:pt>
                <c:pt idx="3">
                  <c:v>0.43186821131805092</c:v>
                </c:pt>
                <c:pt idx="4">
                  <c:v>3.7009174491969057E-4</c:v>
                </c:pt>
                <c:pt idx="5">
                  <c:v>1.1218323382053991E-2</c:v>
                </c:pt>
                <c:pt idx="6">
                  <c:v>0.24367853064015185</c:v>
                </c:pt>
                <c:pt idx="7">
                  <c:v>9.2246847521944397E-2</c:v>
                </c:pt>
              </c:numCache>
            </c:numRef>
          </c:val>
          <c:smooth val="0"/>
          <c:extLst>
            <c:ext xmlns:c16="http://schemas.microsoft.com/office/drawing/2014/chart" uri="{C3380CC4-5D6E-409C-BE32-E72D297353CC}">
              <c16:uniqueId val="{00000000-86C6-46EC-A834-B516907DD3EA}"/>
            </c:ext>
          </c:extLst>
        </c:ser>
        <c:ser>
          <c:idx val="1"/>
          <c:order val="1"/>
          <c:tx>
            <c:strRef>
              <c:f>'UEII direction wise'!$C$2</c:f>
              <c:strCache>
                <c:ptCount val="1"/>
                <c:pt idx="0">
                  <c:v>UEII (2000-2010)</c:v>
                </c:pt>
              </c:strCache>
            </c:strRef>
          </c:tx>
          <c:marker>
            <c:symbol val="none"/>
          </c:marker>
          <c:cat>
            <c:strRef>
              <c:f>'UEII direction wise'!$A$3:$A$10</c:f>
              <c:strCache>
                <c:ptCount val="8"/>
                <c:pt idx="0">
                  <c:v>N_NW</c:v>
                </c:pt>
                <c:pt idx="1">
                  <c:v>W_NW</c:v>
                </c:pt>
                <c:pt idx="2">
                  <c:v>S_SW</c:v>
                </c:pt>
                <c:pt idx="3">
                  <c:v>W_SW</c:v>
                </c:pt>
                <c:pt idx="4">
                  <c:v>S_SE</c:v>
                </c:pt>
                <c:pt idx="5">
                  <c:v>E_SE</c:v>
                </c:pt>
                <c:pt idx="6">
                  <c:v>N_NE</c:v>
                </c:pt>
                <c:pt idx="7">
                  <c:v>E_NE</c:v>
                </c:pt>
              </c:strCache>
            </c:strRef>
          </c:cat>
          <c:val>
            <c:numRef>
              <c:f>'UEII direction wise'!$C$3:$C$10</c:f>
              <c:numCache>
                <c:formatCode>0.000</c:formatCode>
                <c:ptCount val="8"/>
                <c:pt idx="0">
                  <c:v>0.34999799317137942</c:v>
                </c:pt>
                <c:pt idx="1">
                  <c:v>0.5430841826160272</c:v>
                </c:pt>
                <c:pt idx="2">
                  <c:v>1.0009216723440992</c:v>
                </c:pt>
                <c:pt idx="3">
                  <c:v>0.91119128983919162</c:v>
                </c:pt>
                <c:pt idx="4">
                  <c:v>0.5390489979612757</c:v>
                </c:pt>
                <c:pt idx="5">
                  <c:v>0.27267228143515182</c:v>
                </c:pt>
                <c:pt idx="6">
                  <c:v>0.39653060308563154</c:v>
                </c:pt>
                <c:pt idx="7">
                  <c:v>0.1533441666655824</c:v>
                </c:pt>
              </c:numCache>
            </c:numRef>
          </c:val>
          <c:smooth val="0"/>
          <c:extLst>
            <c:ext xmlns:c16="http://schemas.microsoft.com/office/drawing/2014/chart" uri="{C3380CC4-5D6E-409C-BE32-E72D297353CC}">
              <c16:uniqueId val="{00000001-86C6-46EC-A834-B516907DD3EA}"/>
            </c:ext>
          </c:extLst>
        </c:ser>
        <c:ser>
          <c:idx val="2"/>
          <c:order val="2"/>
          <c:tx>
            <c:strRef>
              <c:f>'UEII direction wise'!$D$2</c:f>
              <c:strCache>
                <c:ptCount val="1"/>
                <c:pt idx="0">
                  <c:v>UEII (2010-2020)</c:v>
                </c:pt>
              </c:strCache>
            </c:strRef>
          </c:tx>
          <c:marker>
            <c:symbol val="none"/>
          </c:marker>
          <c:cat>
            <c:strRef>
              <c:f>'UEII direction wise'!$A$3:$A$10</c:f>
              <c:strCache>
                <c:ptCount val="8"/>
                <c:pt idx="0">
                  <c:v>N_NW</c:v>
                </c:pt>
                <c:pt idx="1">
                  <c:v>W_NW</c:v>
                </c:pt>
                <c:pt idx="2">
                  <c:v>S_SW</c:v>
                </c:pt>
                <c:pt idx="3">
                  <c:v>W_SW</c:v>
                </c:pt>
                <c:pt idx="4">
                  <c:v>S_SE</c:v>
                </c:pt>
                <c:pt idx="5">
                  <c:v>E_SE</c:v>
                </c:pt>
                <c:pt idx="6">
                  <c:v>N_NE</c:v>
                </c:pt>
                <c:pt idx="7">
                  <c:v>E_NE</c:v>
                </c:pt>
              </c:strCache>
            </c:strRef>
          </c:cat>
          <c:val>
            <c:numRef>
              <c:f>'UEII direction wise'!$D$3:$D$10</c:f>
              <c:numCache>
                <c:formatCode>0.000</c:formatCode>
                <c:ptCount val="8"/>
                <c:pt idx="0">
                  <c:v>0.12268080068534204</c:v>
                </c:pt>
                <c:pt idx="1">
                  <c:v>0.4069347014406865</c:v>
                </c:pt>
                <c:pt idx="2">
                  <c:v>0.31840790997998358</c:v>
                </c:pt>
                <c:pt idx="3">
                  <c:v>0.26145492358289413</c:v>
                </c:pt>
                <c:pt idx="4">
                  <c:v>0.35232418327882137</c:v>
                </c:pt>
                <c:pt idx="5">
                  <c:v>0.23220731634656591</c:v>
                </c:pt>
                <c:pt idx="6">
                  <c:v>0.18218779149254191</c:v>
                </c:pt>
                <c:pt idx="7">
                  <c:v>0.17362652640431467</c:v>
                </c:pt>
              </c:numCache>
            </c:numRef>
          </c:val>
          <c:smooth val="0"/>
          <c:extLst>
            <c:ext xmlns:c16="http://schemas.microsoft.com/office/drawing/2014/chart" uri="{C3380CC4-5D6E-409C-BE32-E72D297353CC}">
              <c16:uniqueId val="{00000002-86C6-46EC-A834-B516907DD3EA}"/>
            </c:ext>
          </c:extLst>
        </c:ser>
        <c:ser>
          <c:idx val="3"/>
          <c:order val="3"/>
          <c:tx>
            <c:strRef>
              <c:f>'UEII direction wise'!$E$2</c:f>
              <c:strCache>
                <c:ptCount val="1"/>
                <c:pt idx="0">
                  <c:v>UEII (1990-2020)</c:v>
                </c:pt>
              </c:strCache>
            </c:strRef>
          </c:tx>
          <c:marker>
            <c:symbol val="none"/>
          </c:marker>
          <c:cat>
            <c:strRef>
              <c:f>'UEII direction wise'!$A$3:$A$10</c:f>
              <c:strCache>
                <c:ptCount val="8"/>
                <c:pt idx="0">
                  <c:v>N_NW</c:v>
                </c:pt>
                <c:pt idx="1">
                  <c:v>W_NW</c:v>
                </c:pt>
                <c:pt idx="2">
                  <c:v>S_SW</c:v>
                </c:pt>
                <c:pt idx="3">
                  <c:v>W_SW</c:v>
                </c:pt>
                <c:pt idx="4">
                  <c:v>S_SE</c:v>
                </c:pt>
                <c:pt idx="5">
                  <c:v>E_SE</c:v>
                </c:pt>
                <c:pt idx="6">
                  <c:v>N_NE</c:v>
                </c:pt>
                <c:pt idx="7">
                  <c:v>E_NE</c:v>
                </c:pt>
              </c:strCache>
            </c:strRef>
          </c:cat>
          <c:val>
            <c:numRef>
              <c:f>'UEII direction wise'!$E$3:$E$10</c:f>
              <c:numCache>
                <c:formatCode>0.000</c:formatCode>
                <c:ptCount val="8"/>
                <c:pt idx="0">
                  <c:v>0.87872897592929078</c:v>
                </c:pt>
                <c:pt idx="1">
                  <c:v>1.2308290806984659</c:v>
                </c:pt>
                <c:pt idx="2">
                  <c:v>1.6775177217021255</c:v>
                </c:pt>
                <c:pt idx="3">
                  <c:v>1.6045144247401362</c:v>
                </c:pt>
                <c:pt idx="4">
                  <c:v>0.89174327298501621</c:v>
                </c:pt>
                <c:pt idx="5">
                  <c:v>0.51609792116377162</c:v>
                </c:pt>
                <c:pt idx="6">
                  <c:v>0.82239692521832353</c:v>
                </c:pt>
                <c:pt idx="7">
                  <c:v>0.4192175405918418</c:v>
                </c:pt>
              </c:numCache>
            </c:numRef>
          </c:val>
          <c:smooth val="0"/>
          <c:extLst>
            <c:ext xmlns:c16="http://schemas.microsoft.com/office/drawing/2014/chart" uri="{C3380CC4-5D6E-409C-BE32-E72D297353CC}">
              <c16:uniqueId val="{00000003-86C6-46EC-A834-B516907DD3EA}"/>
            </c:ext>
          </c:extLst>
        </c:ser>
        <c:dLbls>
          <c:showLegendKey val="0"/>
          <c:showVal val="0"/>
          <c:showCatName val="0"/>
          <c:showSerName val="0"/>
          <c:showPercent val="0"/>
          <c:showBubbleSize val="0"/>
        </c:dLbls>
        <c:smooth val="0"/>
        <c:axId val="123466496"/>
        <c:axId val="123468416"/>
      </c:lineChart>
      <c:catAx>
        <c:axId val="123466496"/>
        <c:scaling>
          <c:orientation val="minMax"/>
        </c:scaling>
        <c:delete val="0"/>
        <c:axPos val="b"/>
        <c:title>
          <c:tx>
            <c:rich>
              <a:bodyPr/>
              <a:lstStyle/>
              <a:p>
                <a:pPr>
                  <a:defRPr/>
                </a:pPr>
                <a:r>
                  <a:rPr lang="en-US"/>
                  <a:t>Directions</a:t>
                </a:r>
              </a:p>
            </c:rich>
          </c:tx>
          <c:overlay val="0"/>
        </c:title>
        <c:numFmt formatCode="General" sourceLinked="0"/>
        <c:majorTickMark val="none"/>
        <c:minorTickMark val="none"/>
        <c:tickLblPos val="nextTo"/>
        <c:crossAx val="123468416"/>
        <c:crosses val="autoZero"/>
        <c:auto val="1"/>
        <c:lblAlgn val="ctr"/>
        <c:lblOffset val="100"/>
        <c:noMultiLvlLbl val="0"/>
      </c:catAx>
      <c:valAx>
        <c:axId val="123468416"/>
        <c:scaling>
          <c:orientation val="minMax"/>
        </c:scaling>
        <c:delete val="0"/>
        <c:axPos val="l"/>
        <c:majorGridlines/>
        <c:title>
          <c:tx>
            <c:rich>
              <a:bodyPr/>
              <a:lstStyle/>
              <a:p>
                <a:pPr>
                  <a:defRPr/>
                </a:pPr>
                <a:r>
                  <a:rPr lang="en-US"/>
                  <a:t>UEII</a:t>
                </a:r>
              </a:p>
            </c:rich>
          </c:tx>
          <c:overlay val="0"/>
        </c:title>
        <c:numFmt formatCode="0.000" sourceLinked="1"/>
        <c:majorTickMark val="none"/>
        <c:minorTickMark val="none"/>
        <c:tickLblPos val="nextTo"/>
        <c:crossAx val="123466496"/>
        <c:crosses val="autoZero"/>
        <c:crossBetween val="between"/>
      </c:valAx>
    </c:plotArea>
    <c:legend>
      <c:legendPos val="b"/>
      <c:legendEntry>
        <c:idx val="2"/>
        <c:txPr>
          <a:bodyPr/>
          <a:lstStyle/>
          <a:p>
            <a:pPr>
              <a:defRPr sz="800"/>
            </a:pPr>
            <a:endParaRPr lang="en-US"/>
          </a:p>
        </c:txPr>
      </c:legendEntry>
      <c:layout>
        <c:manualLayout>
          <c:xMode val="edge"/>
          <c:yMode val="edge"/>
          <c:x val="4.5467846430820885E-2"/>
          <c:y val="0.79270734908136486"/>
          <c:w val="0.9"/>
          <c:h val="0.14062598425196851"/>
        </c:manualLayout>
      </c:layout>
      <c:overlay val="0"/>
      <c:txPr>
        <a:bodyPr/>
        <a:lstStyle/>
        <a:p>
          <a:pPr>
            <a:defRPr sz="9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D2D7A-625D-456B-BFA4-6A2E10BC1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24423</TotalTime>
  <Pages>20</Pages>
  <Words>4790</Words>
  <Characters>27303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Ankan</dc:creator>
  <cp:lastModifiedBy>SDI 1084</cp:lastModifiedBy>
  <cp:revision>166</cp:revision>
  <dcterms:created xsi:type="dcterms:W3CDTF">2024-12-14T13:34:00Z</dcterms:created>
  <dcterms:modified xsi:type="dcterms:W3CDTF">2025-05-28T10:54:00Z</dcterms:modified>
</cp:coreProperties>
</file>