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Topic: Fortification and Nutritional Profiling of Sports Bars Enriched with </w:t>
      </w: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(Sangria).</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demand for functiona</w:t>
      </w:r>
      <w:r>
        <w:rPr>
          <w:rFonts w:ascii="Times New Roman" w:eastAsia="Times New Roman" w:hAnsi="Times New Roman" w:cs="Times New Roman"/>
          <w:sz w:val="24"/>
          <w:szCs w:val="24"/>
        </w:rPr>
        <w:t xml:space="preserve">l foods has led to innovative approaches in developing health-oriented snack options, particularly for active individuals. This study focuses on the fortification and nutritional profiling of sports bars enriched with </w:t>
      </w: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(locally known as S</w:t>
      </w:r>
      <w:r>
        <w:rPr>
          <w:rFonts w:ascii="Times New Roman" w:eastAsia="Times New Roman" w:hAnsi="Times New Roman" w:cs="Times New Roman"/>
          <w:sz w:val="24"/>
          <w:szCs w:val="24"/>
        </w:rPr>
        <w:t xml:space="preserve">angria), a desert nutraceutical known for its high nutritional and therapeutic value. The research aimed to standardize the incorporation levels of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xml:space="preserve"> into sports bar formulations and evaluate their nutritional efficacy. Proximate analysis was co</w:t>
      </w:r>
      <w:r>
        <w:rPr>
          <w:rFonts w:ascii="Times New Roman" w:eastAsia="Times New Roman" w:hAnsi="Times New Roman" w:cs="Times New Roman"/>
          <w:sz w:val="24"/>
          <w:szCs w:val="24"/>
        </w:rPr>
        <w:t>nducted to determine moisture, protein, fat, carbohydrate, ash, and fiber content, while phytoch</w:t>
      </w:r>
      <w:bookmarkStart w:id="0" w:name="_GoBack"/>
      <w:bookmarkEnd w:id="0"/>
      <w:r>
        <w:rPr>
          <w:rFonts w:ascii="Times New Roman" w:eastAsia="Times New Roman" w:hAnsi="Times New Roman" w:cs="Times New Roman"/>
          <w:sz w:val="24"/>
          <w:szCs w:val="24"/>
        </w:rPr>
        <w:t>emical screening assessed the presence of bioactive compounds such as flavonoids, tannins, and phenolics. Antioxidant activity was also measured to evaluate the</w:t>
      </w:r>
      <w:r>
        <w:rPr>
          <w:rFonts w:ascii="Times New Roman" w:eastAsia="Times New Roman" w:hAnsi="Times New Roman" w:cs="Times New Roman"/>
          <w:sz w:val="24"/>
          <w:szCs w:val="24"/>
        </w:rPr>
        <w:t xml:space="preserve"> functional potential of the product. The results demonstrated that the inclusion of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xml:space="preserve"> enhanced the nutritional profile of the sports bars without compromising physical and sensory attributes. These fortified bars not only meet the energy and nu</w:t>
      </w:r>
      <w:r>
        <w:rPr>
          <w:rFonts w:ascii="Times New Roman" w:eastAsia="Times New Roman" w:hAnsi="Times New Roman" w:cs="Times New Roman"/>
          <w:sz w:val="24"/>
          <w:szCs w:val="24"/>
        </w:rPr>
        <w:t>trient needs of athletes and health-conscious consumers but also contribute to promoting indigenous underutilized plants as valuable ingredients in functional food development.</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Keywords: Desert Nutraceutical, Fortification, Nutritional Profiling, Prosopis</w:t>
      </w:r>
      <w:r>
        <w:rPr>
          <w:rFonts w:ascii="Times New Roman" w:eastAsia="Times New Roman" w:hAnsi="Times New Roman" w:cs="Times New Roman"/>
          <w:i/>
          <w:sz w:val="24"/>
          <w:szCs w:val="24"/>
        </w:rPr>
        <w:t xml:space="preserve"> cineraria (Sangria), Sports Bar.</w:t>
      </w:r>
    </w:p>
    <w:p w:rsidR="00D757D3" w:rsidRDefault="00D757D3">
      <w:pPr>
        <w:spacing w:line="360" w:lineRule="auto"/>
        <w:jc w:val="both"/>
        <w:rPr>
          <w:rFonts w:ascii="Times New Roman" w:eastAsia="Times New Roman" w:hAnsi="Times New Roman" w:cs="Times New Roman"/>
          <w:i/>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modern era of health and wellness, there is a growing emphasis on the development of functional foods that provide additional health benefits beyond basic nutrition. Modern sports bars serve various f</w:t>
      </w:r>
      <w:r>
        <w:rPr>
          <w:rFonts w:ascii="Times New Roman" w:eastAsia="Times New Roman" w:hAnsi="Times New Roman" w:cs="Times New Roman"/>
          <w:sz w:val="24"/>
          <w:szCs w:val="24"/>
        </w:rPr>
        <w:t>unctions: providing sustained energy, enhancing muscle repair, improving immunity, and aiding digestion. Ingredients like whey protein, plant-based proteins (e.g., soy, pea), flaxseeds, probiotics, and herbal extracts are frequently included to deliver tar</w:t>
      </w:r>
      <w:r>
        <w:rPr>
          <w:rFonts w:ascii="Times New Roman" w:eastAsia="Times New Roman" w:hAnsi="Times New Roman" w:cs="Times New Roman"/>
          <w:sz w:val="24"/>
          <w:szCs w:val="24"/>
        </w:rPr>
        <w:t>geted health benefits (Singh et al., 2018). Among these, sports bars have gained significant popularity as convenient, nutrient-rich snack options for athletes, fitness enthusiasts, and individuals with active lifestyles (Constantin et al., 2019). However,</w:t>
      </w:r>
      <w:r>
        <w:rPr>
          <w:rFonts w:ascii="Times New Roman" w:eastAsia="Times New Roman" w:hAnsi="Times New Roman" w:cs="Times New Roman"/>
          <w:sz w:val="24"/>
          <w:szCs w:val="24"/>
        </w:rPr>
        <w:t xml:space="preserve"> there is an increasing demand to enhance the nutritional profile of such products through natural fortification using indigenous and underutilized plant resources (Ghosh et al., 2014).</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Prosopis cineraria</w:t>
      </w:r>
      <w:r>
        <w:rPr>
          <w:rFonts w:ascii="Times New Roman" w:eastAsia="Times New Roman" w:hAnsi="Times New Roman" w:cs="Times New Roman"/>
          <w:sz w:val="24"/>
          <w:szCs w:val="24"/>
        </w:rPr>
        <w:t xml:space="preserve">, commonly known as Sangria or </w:t>
      </w:r>
      <w:proofErr w:type="spellStart"/>
      <w:r>
        <w:rPr>
          <w:rFonts w:ascii="Times New Roman" w:eastAsia="Times New Roman" w:hAnsi="Times New Roman" w:cs="Times New Roman"/>
          <w:sz w:val="24"/>
          <w:szCs w:val="24"/>
        </w:rPr>
        <w:t>Khejri</w:t>
      </w:r>
      <w:proofErr w:type="spellEnd"/>
      <w:r>
        <w:rPr>
          <w:rFonts w:ascii="Times New Roman" w:eastAsia="Times New Roman" w:hAnsi="Times New Roman" w:cs="Times New Roman"/>
          <w:sz w:val="24"/>
          <w:szCs w:val="24"/>
        </w:rPr>
        <w:t>, is a hardy, d</w:t>
      </w:r>
      <w:r>
        <w:rPr>
          <w:rFonts w:ascii="Times New Roman" w:eastAsia="Times New Roman" w:hAnsi="Times New Roman" w:cs="Times New Roman"/>
          <w:sz w:val="24"/>
          <w:szCs w:val="24"/>
        </w:rPr>
        <w:t>rought-resistant tree native to the arid and semi-arid regions of India, especially Rajasthan and Gujarat. It has long been valued in traditional Indian medicine and local diets for its rich nutrient content, including proteins, dietary fiber, essential mi</w:t>
      </w:r>
      <w:r>
        <w:rPr>
          <w:rFonts w:ascii="Times New Roman" w:eastAsia="Times New Roman" w:hAnsi="Times New Roman" w:cs="Times New Roman"/>
          <w:sz w:val="24"/>
          <w:szCs w:val="24"/>
        </w:rPr>
        <w:t>nerals (iron, calcium, potassium), and phytochemicals like flavonoids and phenolic compounds (Islam et al., 2019). Its antioxidant and antimicrobial properties further support its use as a functional ingredient in health foods (</w:t>
      </w:r>
      <w:proofErr w:type="spellStart"/>
      <w:r>
        <w:rPr>
          <w:rFonts w:ascii="Times New Roman" w:eastAsia="Times New Roman" w:hAnsi="Times New Roman" w:cs="Times New Roman"/>
          <w:sz w:val="24"/>
          <w:szCs w:val="24"/>
        </w:rPr>
        <w:t>Asati</w:t>
      </w:r>
      <w:proofErr w:type="spellEnd"/>
      <w:r>
        <w:rPr>
          <w:rFonts w:ascii="Times New Roman" w:eastAsia="Times New Roman" w:hAnsi="Times New Roman" w:cs="Times New Roman"/>
          <w:sz w:val="24"/>
          <w:szCs w:val="24"/>
        </w:rPr>
        <w:t xml:space="preserve"> et al., 2021).</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w:t>
      </w:r>
      <w:r>
        <w:rPr>
          <w:rFonts w:ascii="Times New Roman" w:eastAsia="Times New Roman" w:hAnsi="Times New Roman" w:cs="Times New Roman"/>
          <w:sz w:val="24"/>
          <w:szCs w:val="24"/>
        </w:rPr>
        <w:t xml:space="preserve"> its nutritional richness,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xml:space="preserve"> remains underutilized in mainstream food product development. Incorporating it into sports bar formulations presents a novel approach to not only improve the nutritional and functional properties of the product but a</w:t>
      </w:r>
      <w:r>
        <w:rPr>
          <w:rFonts w:ascii="Times New Roman" w:eastAsia="Times New Roman" w:hAnsi="Times New Roman" w:cs="Times New Roman"/>
          <w:sz w:val="24"/>
          <w:szCs w:val="24"/>
        </w:rPr>
        <w:t xml:space="preserve">lso promote sustainable use of local plant resources (Khandelwal et al., 2016). This study aims to fortify sports bars with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xml:space="preserve"> and evaluate their proximate composition, phytochemical content, antioxidant activity, organoleptic properties, and she</w:t>
      </w:r>
      <w:r>
        <w:rPr>
          <w:rFonts w:ascii="Times New Roman" w:eastAsia="Times New Roman" w:hAnsi="Times New Roman" w:cs="Times New Roman"/>
          <w:sz w:val="24"/>
          <w:szCs w:val="24"/>
        </w:rPr>
        <w:t>lf life. The research seeks to bridge the gap between traditional plant knowledge and modern functional food innovation.</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discusses the materials and techniques used in research. It includes all the information on how research work would </w:t>
      </w:r>
      <w:r>
        <w:rPr>
          <w:rFonts w:ascii="Times New Roman" w:eastAsia="Times New Roman" w:hAnsi="Times New Roman" w:cs="Times New Roman"/>
          <w:sz w:val="24"/>
          <w:szCs w:val="24"/>
        </w:rPr>
        <w:t>be carried out in the context of a specific framework. The following objectives are addressed in the methodology.</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Objectives of the research:</w:t>
      </w:r>
    </w:p>
    <w:p w:rsidR="00D757D3" w:rsidRDefault="00FA7037">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standardize the fortification of sports bars with Sangria.</w:t>
      </w:r>
    </w:p>
    <w:p w:rsidR="00D757D3" w:rsidRDefault="00FA7037">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perform the proximate analysis of performed </w:t>
      </w:r>
      <w:proofErr w:type="gramStart"/>
      <w:r>
        <w:rPr>
          <w:rFonts w:ascii="Times New Roman" w:eastAsia="Times New Roman" w:hAnsi="Times New Roman" w:cs="Times New Roman"/>
          <w:sz w:val="24"/>
          <w:szCs w:val="24"/>
        </w:rPr>
        <w:t>produ</w:t>
      </w:r>
      <w:r>
        <w:rPr>
          <w:rFonts w:ascii="Times New Roman" w:eastAsia="Times New Roman" w:hAnsi="Times New Roman" w:cs="Times New Roman"/>
          <w:sz w:val="24"/>
          <w:szCs w:val="24"/>
        </w:rPr>
        <w:t>cts .</w:t>
      </w:r>
      <w:proofErr w:type="gramEnd"/>
    </w:p>
    <w:p w:rsidR="00D757D3" w:rsidRDefault="00FA7037">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w:t>
      </w:r>
      <w:proofErr w:type="spellStart"/>
      <w:r>
        <w:rPr>
          <w:rFonts w:ascii="Times New Roman" w:eastAsia="Times New Roman" w:hAnsi="Times New Roman" w:cs="Times New Roman"/>
          <w:sz w:val="24"/>
          <w:szCs w:val="24"/>
        </w:rPr>
        <w:t>phyto</w:t>
      </w:r>
      <w:proofErr w:type="spellEnd"/>
      <w:r>
        <w:rPr>
          <w:rFonts w:ascii="Times New Roman" w:eastAsia="Times New Roman" w:hAnsi="Times New Roman" w:cs="Times New Roman"/>
          <w:sz w:val="24"/>
          <w:szCs w:val="24"/>
        </w:rPr>
        <w:t>-chemicals and antioxidants present in sports bars.</w:t>
      </w:r>
    </w:p>
    <w:p w:rsidR="00D757D3" w:rsidRDefault="00FA703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 Standardizing the fortification of sports bar with Sangria:</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Procurement of Raw Materials: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pods-dry (Sangria) were sourced from local markets (Lulu </w:t>
      </w:r>
      <w:proofErr w:type="spellStart"/>
      <w:r>
        <w:rPr>
          <w:rFonts w:ascii="Times New Roman" w:eastAsia="Times New Roman" w:hAnsi="Times New Roman" w:cs="Times New Roman"/>
          <w:sz w:val="24"/>
          <w:szCs w:val="24"/>
        </w:rPr>
        <w:t>Hypermart</w:t>
      </w:r>
      <w:proofErr w:type="spellEnd"/>
      <w:r>
        <w:rPr>
          <w:rFonts w:ascii="Times New Roman" w:eastAsia="Times New Roman" w:hAnsi="Times New Roman" w:cs="Times New Roman"/>
          <w:sz w:val="24"/>
          <w:szCs w:val="24"/>
        </w:rPr>
        <w:t>, Lucknow</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Other ingredients used in the formulation of sports bars (such as oats, dates, dry fruits, Dry seeds, Peanut butter, and binders) were procured from certified suppliers (which </w:t>
      </w:r>
      <w:r>
        <w:rPr>
          <w:rFonts w:ascii="Times New Roman" w:eastAsia="Times New Roman" w:hAnsi="Times New Roman" w:cs="Times New Roman"/>
          <w:sz w:val="24"/>
          <w:szCs w:val="24"/>
        </w:rPr>
        <w:t xml:space="preserve">is from Lulu </w:t>
      </w:r>
      <w:proofErr w:type="spellStart"/>
      <w:r>
        <w:rPr>
          <w:rFonts w:ascii="Times New Roman" w:eastAsia="Times New Roman" w:hAnsi="Times New Roman" w:cs="Times New Roman"/>
          <w:sz w:val="24"/>
          <w:szCs w:val="24"/>
        </w:rPr>
        <w:t>Hypermart</w:t>
      </w:r>
      <w:proofErr w:type="spellEnd"/>
      <w:r>
        <w:rPr>
          <w:rFonts w:ascii="Times New Roman" w:eastAsia="Times New Roman" w:hAnsi="Times New Roman" w:cs="Times New Roman"/>
          <w:sz w:val="24"/>
          <w:szCs w:val="24"/>
        </w:rPr>
        <w:t>, Lucknow).</w:t>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771775" cy="17870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71775" cy="1787007"/>
                    </a:xfrm>
                    <a:prstGeom prst="rect">
                      <a:avLst/>
                    </a:prstGeom>
                    <a:ln/>
                  </pic:spPr>
                </pic:pic>
              </a:graphicData>
            </a:graphic>
          </wp:inline>
        </w:drawing>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01 Procurement of Raw Material</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Preparation of Sangria Powder:</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collected dry pods were cleaned, dried again under shade, and ground into a fine powder using a laboratory grinder. The powder was sieved through a 60-mesh sieve and stored in airtight containers for further use.</w:t>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919793" cy="19526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19793" cy="1952625"/>
                    </a:xfrm>
                    <a:prstGeom prst="rect">
                      <a:avLst/>
                    </a:prstGeom>
                    <a:ln/>
                  </pic:spPr>
                </pic:pic>
              </a:graphicData>
            </a:graphic>
          </wp:inline>
        </w:drawing>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02 Preparation of Sangria Powder</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Formulation of Sports Bars: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formulations of sports bars were prepared by incorporating Sangria powder at varying concentrations (e.g., 5%, 10%, and 15% w/w) to standardize the optimum fortification level. A control sample without Sangria powd</w:t>
      </w:r>
      <w:r>
        <w:rPr>
          <w:rFonts w:ascii="Times New Roman" w:eastAsia="Times New Roman" w:hAnsi="Times New Roman" w:cs="Times New Roman"/>
          <w:sz w:val="24"/>
          <w:szCs w:val="24"/>
        </w:rPr>
        <w:t>er was also prepared for comparison (</w:t>
      </w:r>
      <w:proofErr w:type="spellStart"/>
      <w:r>
        <w:rPr>
          <w:rFonts w:ascii="Times New Roman" w:eastAsia="Times New Roman" w:hAnsi="Times New Roman" w:cs="Times New Roman"/>
          <w:sz w:val="24"/>
          <w:szCs w:val="24"/>
        </w:rPr>
        <w:t>Ihuoma</w:t>
      </w:r>
      <w:proofErr w:type="spellEnd"/>
      <w:r>
        <w:rPr>
          <w:rFonts w:ascii="Times New Roman" w:eastAsia="Times New Roman" w:hAnsi="Times New Roman" w:cs="Times New Roman"/>
          <w:sz w:val="24"/>
          <w:szCs w:val="24"/>
        </w:rPr>
        <w:t xml:space="preserve"> et al., 2022). All ingredients were mixed, molded into bar shapes, and allowed to set at ambient temperature (Cruz-Chamorro &amp; I., 2023).</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Ingredients: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Sangria Powder – 30 grams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Oats – 20 grams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Dates (deseeded and</w:t>
      </w:r>
      <w:r>
        <w:rPr>
          <w:rFonts w:ascii="Times New Roman" w:eastAsia="Times New Roman" w:hAnsi="Times New Roman" w:cs="Times New Roman"/>
          <w:sz w:val="24"/>
          <w:szCs w:val="24"/>
        </w:rPr>
        <w:t xml:space="preserve"> chopped) – 20 grams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Fruits (e.g., almonds, cashews, raisins) – 10 grams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Seeds (e.g., chia, flax, pumpkin seeds) – 5 grams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Peanut Butter – 2 teaspoons</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 table representing different formulations of sports bars by varying </w:t>
      </w:r>
      <w:r>
        <w:rPr>
          <w:rFonts w:ascii="Times New Roman" w:eastAsia="Times New Roman" w:hAnsi="Times New Roman" w:cs="Times New Roman"/>
          <w:b/>
          <w:sz w:val="24"/>
          <w:szCs w:val="24"/>
        </w:rPr>
        <w:t>Sangria powder</w:t>
      </w:r>
      <w:r>
        <w:rPr>
          <w:rFonts w:ascii="Times New Roman" w:eastAsia="Times New Roman" w:hAnsi="Times New Roman" w:cs="Times New Roman"/>
          <w:sz w:val="24"/>
          <w:szCs w:val="24"/>
        </w:rPr>
        <w:t xml:space="preserve"> con</w:t>
      </w:r>
      <w:r>
        <w:rPr>
          <w:rFonts w:ascii="Times New Roman" w:eastAsia="Times New Roman" w:hAnsi="Times New Roman" w:cs="Times New Roman"/>
          <w:sz w:val="24"/>
          <w:szCs w:val="24"/>
        </w:rPr>
        <w:t xml:space="preserve">centration (5%, 10%, and 15% w/w), along with a </w:t>
      </w:r>
      <w:r>
        <w:rPr>
          <w:rFonts w:ascii="Times New Roman" w:eastAsia="Times New Roman" w:hAnsi="Times New Roman" w:cs="Times New Roman"/>
          <w:b/>
          <w:sz w:val="24"/>
          <w:szCs w:val="24"/>
        </w:rPr>
        <w:t>control sample (0%)</w:t>
      </w:r>
      <w:r>
        <w:rPr>
          <w:rFonts w:ascii="Times New Roman" w:eastAsia="Times New Roman" w:hAnsi="Times New Roman" w:cs="Times New Roman"/>
          <w:sz w:val="24"/>
          <w:szCs w:val="24"/>
        </w:rPr>
        <w:t xml:space="preserve">. The quantities are adjusted based on total weight, where </w:t>
      </w:r>
      <w:r>
        <w:rPr>
          <w:rFonts w:ascii="Times New Roman" w:eastAsia="Times New Roman" w:hAnsi="Times New Roman" w:cs="Times New Roman"/>
          <w:b/>
          <w:sz w:val="24"/>
          <w:szCs w:val="24"/>
        </w:rPr>
        <w:t>Sangria powder is included as a percentage of the total mix weight (excluding itself)</w:t>
      </w:r>
      <w:r>
        <w:rPr>
          <w:rFonts w:ascii="Times New Roman" w:eastAsia="Times New Roman" w:hAnsi="Times New Roman" w:cs="Times New Roman"/>
          <w:sz w:val="24"/>
          <w:szCs w:val="24"/>
        </w:rPr>
        <w:t>:</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01 Different formulations of spo</w:t>
      </w:r>
      <w:r>
        <w:rPr>
          <w:rFonts w:ascii="Times New Roman" w:eastAsia="Times New Roman" w:hAnsi="Times New Roman" w:cs="Times New Roman"/>
          <w:sz w:val="24"/>
          <w:szCs w:val="24"/>
        </w:rPr>
        <w:t xml:space="preserve">rts bars by varying </w:t>
      </w:r>
      <w:r>
        <w:rPr>
          <w:rFonts w:ascii="Times New Roman" w:eastAsia="Times New Roman" w:hAnsi="Times New Roman" w:cs="Times New Roman"/>
          <w:b/>
          <w:sz w:val="24"/>
          <w:szCs w:val="24"/>
        </w:rPr>
        <w:t>Sangria powder</w:t>
      </w:r>
      <w:r>
        <w:rPr>
          <w:rFonts w:ascii="Times New Roman" w:eastAsia="Times New Roman" w:hAnsi="Times New Roman" w:cs="Times New Roman"/>
          <w:sz w:val="24"/>
          <w:szCs w:val="24"/>
        </w:rPr>
        <w:t xml:space="preserve"> concentration (5%, 10%, and 15% w/w):</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D757D3">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Formulation</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Sangria Powder (g)</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Oats (g)</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Dates (g)</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Dry Fruits (g)</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Dry Seeds (g)</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Peanut Butter (tsp)</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Weight (g)</w:t>
            </w:r>
          </w:p>
        </w:tc>
      </w:tr>
      <w:tr w:rsidR="00D757D3">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(0%)</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D757D3">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Sangria</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57.14</w:t>
            </w:r>
          </w:p>
        </w:tc>
      </w:tr>
      <w:tr w:rsidR="00D757D3">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Sangria</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60.05</w:t>
            </w:r>
          </w:p>
        </w:tc>
      </w:tr>
      <w:tr w:rsidR="00D757D3">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Sangria</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63.08</w:t>
            </w:r>
          </w:p>
        </w:tc>
      </w:tr>
    </w:tbl>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p w:rsidR="00D757D3" w:rsidRDefault="00FA7037">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Sangria powder is added as 5%, 10%, and 15% of the total mix including Sangria.</w:t>
      </w:r>
    </w:p>
    <w:p w:rsidR="00D757D3" w:rsidRDefault="00FA7037">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other ingredient weights are slightly reduced proportionally to maintain balance.</w:t>
      </w:r>
    </w:p>
    <w:p w:rsidR="00D757D3" w:rsidRDefault="00FA7037">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tsp peanut butter is kept constant across all samples.</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 of Preparation:</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Take out the stored Sangria powder which is finely ground and dry.</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Chop the dates and dry</w:t>
      </w:r>
      <w:r>
        <w:rPr>
          <w:rFonts w:ascii="Times New Roman" w:eastAsia="Times New Roman" w:hAnsi="Times New Roman" w:cs="Times New Roman"/>
          <w:sz w:val="24"/>
          <w:szCs w:val="24"/>
        </w:rPr>
        <w:t xml:space="preserve"> fruits into small pieces for even mixing.</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Lightly roast oats and dry seeds on low flame for 2–3 minutes to enhance flavor and shelf life.</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a mixing bowl, combine Sangria powder, roasted oats, dates, dry fruits, and dry seeds.</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peanut butter and mix</w:t>
      </w:r>
      <w:r>
        <w:rPr>
          <w:rFonts w:ascii="Times New Roman" w:eastAsia="Times New Roman" w:hAnsi="Times New Roman" w:cs="Times New Roman"/>
          <w:sz w:val="24"/>
          <w:szCs w:val="24"/>
        </w:rPr>
        <w:t xml:space="preserve"> thoroughly to form a sticky, uniform mixture. You may use clean hands or a spatula for even blending.</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the mixture into a tray or mold lined with parchment paper or lightly greased.</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Press the mixture firmly into a flat layer using a spatula or the</w:t>
      </w:r>
      <w:r>
        <w:rPr>
          <w:rFonts w:ascii="Times New Roman" w:eastAsia="Times New Roman" w:hAnsi="Times New Roman" w:cs="Times New Roman"/>
          <w:sz w:val="24"/>
          <w:szCs w:val="24"/>
        </w:rPr>
        <w:t xml:space="preserve"> back of a spoon.</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 the mixture to </w:t>
      </w:r>
      <w:r>
        <w:rPr>
          <w:rFonts w:ascii="Times New Roman" w:eastAsia="Times New Roman" w:hAnsi="Times New Roman" w:cs="Times New Roman"/>
          <w:b/>
          <w:sz w:val="24"/>
          <w:szCs w:val="24"/>
        </w:rPr>
        <w:t>set at ambient temperature</w:t>
      </w:r>
      <w:r>
        <w:rPr>
          <w:rFonts w:ascii="Times New Roman" w:eastAsia="Times New Roman" w:hAnsi="Times New Roman" w:cs="Times New Roman"/>
          <w:sz w:val="24"/>
          <w:szCs w:val="24"/>
        </w:rPr>
        <w:t xml:space="preserve"> (preferably in a cool, dry place) for </w:t>
      </w:r>
      <w:r>
        <w:rPr>
          <w:rFonts w:ascii="Times New Roman" w:eastAsia="Times New Roman" w:hAnsi="Times New Roman" w:cs="Times New Roman"/>
          <w:b/>
          <w:sz w:val="24"/>
          <w:szCs w:val="24"/>
        </w:rPr>
        <w:t>2–4 hours</w:t>
      </w:r>
      <w:r>
        <w:rPr>
          <w:rFonts w:ascii="Times New Roman" w:eastAsia="Times New Roman" w:hAnsi="Times New Roman" w:cs="Times New Roman"/>
          <w:sz w:val="24"/>
          <w:szCs w:val="24"/>
        </w:rPr>
        <w:t xml:space="preserve"> or until firm.</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set, cut into desired </w:t>
      </w:r>
      <w:r>
        <w:rPr>
          <w:rFonts w:ascii="Times New Roman" w:eastAsia="Times New Roman" w:hAnsi="Times New Roman" w:cs="Times New Roman"/>
          <w:b/>
          <w:sz w:val="24"/>
          <w:szCs w:val="24"/>
        </w:rPr>
        <w:t>bar shapes</w:t>
      </w:r>
      <w:r>
        <w:rPr>
          <w:rFonts w:ascii="Times New Roman" w:eastAsia="Times New Roman" w:hAnsi="Times New Roman" w:cs="Times New Roman"/>
          <w:sz w:val="24"/>
          <w:szCs w:val="24"/>
        </w:rPr>
        <w:t xml:space="preserve"> using a sharp knife.</w:t>
      </w:r>
    </w:p>
    <w:p w:rsidR="00D757D3" w:rsidRDefault="00FA7037">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Store the bars in an </w:t>
      </w:r>
      <w:r>
        <w:rPr>
          <w:rFonts w:ascii="Times New Roman" w:eastAsia="Times New Roman" w:hAnsi="Times New Roman" w:cs="Times New Roman"/>
          <w:b/>
          <w:sz w:val="24"/>
          <w:szCs w:val="24"/>
        </w:rPr>
        <w:t>airtight container</w:t>
      </w:r>
      <w:r>
        <w:rPr>
          <w:rFonts w:ascii="Times New Roman" w:eastAsia="Times New Roman" w:hAnsi="Times New Roman" w:cs="Times New Roman"/>
          <w:sz w:val="24"/>
          <w:szCs w:val="24"/>
        </w:rPr>
        <w:t xml:space="preserve">. They can last </w:t>
      </w:r>
      <w:r>
        <w:rPr>
          <w:rFonts w:ascii="Times New Roman" w:eastAsia="Times New Roman" w:hAnsi="Times New Roman" w:cs="Times New Roman"/>
          <w:b/>
          <w:sz w:val="24"/>
          <w:szCs w:val="24"/>
        </w:rPr>
        <w:t>up to 1 week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 room temperature or </w:t>
      </w:r>
      <w:r>
        <w:rPr>
          <w:rFonts w:ascii="Times New Roman" w:eastAsia="Times New Roman" w:hAnsi="Times New Roman" w:cs="Times New Roman"/>
          <w:b/>
          <w:sz w:val="24"/>
          <w:szCs w:val="24"/>
        </w:rPr>
        <w:t>longer if refrigerated</w:t>
      </w:r>
      <w:r>
        <w:rPr>
          <w:rFonts w:ascii="Times New Roman" w:eastAsia="Times New Roman" w:hAnsi="Times New Roman" w:cs="Times New Roman"/>
          <w:sz w:val="24"/>
          <w:szCs w:val="24"/>
        </w:rPr>
        <w:t>.</w:t>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603933" cy="213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03933" cy="2133600"/>
                    </a:xfrm>
                    <a:prstGeom prst="rect">
                      <a:avLst/>
                    </a:prstGeom>
                    <a:ln/>
                  </pic:spPr>
                </pic:pic>
              </a:graphicData>
            </a:graphic>
          </wp:inline>
        </w:drawing>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03 Preparation of Sangria Sports Bar</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Preparation of normal sports bar without Sangria:</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sports bar was made, without using Sangria powder as a standard bar, and the method of preparation was the </w:t>
      </w:r>
      <w:r>
        <w:rPr>
          <w:rFonts w:ascii="Times New Roman" w:eastAsia="Times New Roman" w:hAnsi="Times New Roman" w:cs="Times New Roman"/>
          <w:sz w:val="24"/>
          <w:szCs w:val="24"/>
        </w:rPr>
        <w:t>same as the above Sangria preparation method.</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02 Formulations of Sports Bars without Sangria Powder concentration:</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Ingredient</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Quantity</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Oats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grams</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grams</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Fruits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grams</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Seeds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grams</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Peanut Butter</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teaspoons</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Sangria Powder</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added</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Preparation</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molded into bar shapes, and set at ambient temperature</w:t>
            </w:r>
          </w:p>
        </w:tc>
      </w:tr>
    </w:tbl>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625242" cy="25431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625242" cy="2543175"/>
                    </a:xfrm>
                    <a:prstGeom prst="rect">
                      <a:avLst/>
                    </a:prstGeom>
                    <a:ln/>
                  </pic:spPr>
                </pic:pic>
              </a:graphicData>
            </a:graphic>
          </wp:inline>
        </w:drawing>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04 Prepared Sports Bar without Sangria Powder </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Standardizing the Fortified Sports Bar of Sangria:</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test the </w:t>
      </w:r>
      <w:r>
        <w:rPr>
          <w:rFonts w:ascii="Times New Roman" w:eastAsia="Times New Roman" w:hAnsi="Times New Roman" w:cs="Times New Roman"/>
          <w:b/>
          <w:sz w:val="24"/>
          <w:szCs w:val="24"/>
        </w:rPr>
        <w:t>texture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binding</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sensory acceptability</w:t>
      </w:r>
      <w:r>
        <w:rPr>
          <w:rFonts w:ascii="Times New Roman" w:eastAsia="Times New Roman" w:hAnsi="Times New Roman" w:cs="Times New Roman"/>
          <w:sz w:val="24"/>
          <w:szCs w:val="24"/>
        </w:rPr>
        <w:t xml:space="preserve"> of Sangria sports bar, the following standard methods are typically used:</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Texture Analysis</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Instrumental Method:</w:t>
      </w:r>
    </w:p>
    <w:p w:rsidR="00D757D3" w:rsidRDefault="00FA7037">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Equipment:</w:t>
      </w:r>
      <w:r>
        <w:rPr>
          <w:rFonts w:ascii="Times New Roman" w:eastAsia="Times New Roman" w:hAnsi="Times New Roman" w:cs="Times New Roman"/>
          <w:sz w:val="24"/>
          <w:szCs w:val="24"/>
        </w:rPr>
        <w:t xml:space="preserve"> Texture Analyzer (e.g., </w:t>
      </w:r>
      <w:proofErr w:type="gramStart"/>
      <w:r>
        <w:rPr>
          <w:rFonts w:ascii="Times New Roman" w:eastAsia="Times New Roman" w:hAnsi="Times New Roman" w:cs="Times New Roman"/>
          <w:sz w:val="24"/>
          <w:szCs w:val="24"/>
        </w:rPr>
        <w:t>TA.XT</w:t>
      </w:r>
      <w:proofErr w:type="gramEnd"/>
      <w:r>
        <w:rPr>
          <w:rFonts w:ascii="Times New Roman" w:eastAsia="Times New Roman" w:hAnsi="Times New Roman" w:cs="Times New Roman"/>
          <w:sz w:val="24"/>
          <w:szCs w:val="24"/>
        </w:rPr>
        <w:t>2i Texture Analyzer)</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 Types:</w:t>
      </w:r>
    </w:p>
    <w:p w:rsidR="00D757D3" w:rsidRDefault="00FA7037">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Hardness (firmness):</w:t>
      </w:r>
      <w:r>
        <w:rPr>
          <w:rFonts w:ascii="Times New Roman" w:eastAsia="Times New Roman" w:hAnsi="Times New Roman" w:cs="Times New Roman"/>
          <w:sz w:val="24"/>
          <w:szCs w:val="24"/>
        </w:rPr>
        <w:t xml:space="preserve"> Measured by applying a co</w:t>
      </w:r>
      <w:r>
        <w:rPr>
          <w:rFonts w:ascii="Times New Roman" w:eastAsia="Times New Roman" w:hAnsi="Times New Roman" w:cs="Times New Roman"/>
          <w:sz w:val="24"/>
          <w:szCs w:val="24"/>
        </w:rPr>
        <w:t>mpression force using a probe.</w:t>
      </w:r>
    </w:p>
    <w:p w:rsidR="00D757D3" w:rsidRDefault="00FA7037">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Chewiness, Cohesiveness:</w:t>
      </w:r>
      <w:r>
        <w:rPr>
          <w:rFonts w:ascii="Times New Roman" w:eastAsia="Times New Roman" w:hAnsi="Times New Roman" w:cs="Times New Roman"/>
          <w:sz w:val="24"/>
          <w:szCs w:val="24"/>
        </w:rPr>
        <w:t xml:space="preserve"> Depending on the test protocol (TPA – Texture Profile Analysis).</w:t>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632857" cy="197249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632857" cy="1972491"/>
                    </a:xfrm>
                    <a:prstGeom prst="rect">
                      <a:avLst/>
                    </a:prstGeom>
                    <a:ln/>
                  </pic:spPr>
                </pic:pic>
              </a:graphicData>
            </a:graphic>
          </wp:inline>
        </w:drawing>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05 Texture Analyzer</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D757D3" w:rsidRDefault="00FA7037">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Cut uniform-sized bars.</w:t>
      </w:r>
    </w:p>
    <w:p w:rsidR="00D757D3" w:rsidRDefault="00FA7037">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Place each sample on the platform.</w:t>
      </w:r>
    </w:p>
    <w:p w:rsidR="00D757D3" w:rsidRDefault="00FA7037">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 the texture profile test (e.g., double compression cycle).</w:t>
      </w:r>
    </w:p>
    <w:p w:rsidR="00D757D3" w:rsidRDefault="00FA7037">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Record values in Newtons (N) or as relative scores.</w:t>
      </w:r>
    </w:p>
    <w:p w:rsidR="00D757D3" w:rsidRDefault="00FA7037">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Alternatively</w:t>
      </w:r>
      <w:r>
        <w:rPr>
          <w:rFonts w:ascii="Times New Roman" w:eastAsia="Times New Roman" w:hAnsi="Times New Roman" w:cs="Times New Roman"/>
          <w:sz w:val="24"/>
          <w:szCs w:val="24"/>
        </w:rPr>
        <w:t xml:space="preserve">, a simpler penetrometer or manually scored </w:t>
      </w:r>
      <w:r>
        <w:rPr>
          <w:rFonts w:ascii="Times New Roman" w:eastAsia="Times New Roman" w:hAnsi="Times New Roman" w:cs="Times New Roman"/>
          <w:b/>
          <w:sz w:val="24"/>
          <w:szCs w:val="24"/>
        </w:rPr>
        <w:t>5- or 9-point scale</w:t>
      </w:r>
      <w:r>
        <w:rPr>
          <w:rFonts w:ascii="Times New Roman" w:eastAsia="Times New Roman" w:hAnsi="Times New Roman" w:cs="Times New Roman"/>
          <w:sz w:val="24"/>
          <w:szCs w:val="24"/>
        </w:rPr>
        <w:t xml:space="preserve"> can be used in absence of equipment.</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Binding Test</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Assessment: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w:t>
      </w:r>
      <w:r>
        <w:rPr>
          <w:rFonts w:ascii="Times New Roman" w:eastAsia="Times New Roman" w:hAnsi="Times New Roman" w:cs="Times New Roman"/>
          <w:b/>
          <w:sz w:val="24"/>
          <w:szCs w:val="24"/>
        </w:rPr>
        <w:t>structural integrity</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cohesiveness</w:t>
      </w:r>
      <w:r>
        <w:rPr>
          <w:rFonts w:ascii="Times New Roman" w:eastAsia="Times New Roman" w:hAnsi="Times New Roman" w:cs="Times New Roman"/>
          <w:sz w:val="24"/>
          <w:szCs w:val="24"/>
        </w:rPr>
        <w:t xml:space="preserve"> by:</w:t>
      </w:r>
    </w:p>
    <w:p w:rsidR="00D757D3" w:rsidRDefault="00FA7037">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Dropping a bar from a fixed height (e.g., 15–30 cm) and observing disintegration.</w:t>
      </w:r>
    </w:p>
    <w:p w:rsidR="00D757D3" w:rsidRDefault="00FA7037">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Gently pulling the bar to see if it holds together.</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Subjective Scoring (Panel Based):</w:t>
      </w:r>
    </w:p>
    <w:p w:rsidR="00D757D3" w:rsidRDefault="00FA7037">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 </w:t>
      </w:r>
      <w:r>
        <w:rPr>
          <w:rFonts w:ascii="Times New Roman" w:eastAsia="Times New Roman" w:hAnsi="Times New Roman" w:cs="Times New Roman"/>
          <w:b/>
          <w:sz w:val="24"/>
          <w:szCs w:val="24"/>
        </w:rPr>
        <w:t>hedonic scal</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(1 = very poor binding, 9 = excellent binding).</w:t>
      </w:r>
    </w:p>
    <w:p w:rsidR="00D757D3" w:rsidRDefault="00FA7037">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Panelists rate how well the ingredients stay together while handling and eating.</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Sensory Acceptability</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Sensory Evaluation by Trained or Semi-Trained Panel:</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Panel Size:</w:t>
      </w:r>
      <w:r>
        <w:rPr>
          <w:rFonts w:ascii="Times New Roman" w:eastAsia="Times New Roman" w:hAnsi="Times New Roman" w:cs="Times New Roman"/>
          <w:sz w:val="24"/>
          <w:szCs w:val="24"/>
        </w:rPr>
        <w:t xml:space="preserve"> 30 members is typical.</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w:t>
      </w:r>
      <w:r>
        <w:rPr>
          <w:rFonts w:ascii="Times New Roman" w:eastAsia="Times New Roman" w:hAnsi="Times New Roman" w:cs="Times New Roman"/>
          <w:sz w:val="24"/>
          <w:szCs w:val="24"/>
        </w:rPr>
        <w:t xml:space="preserve"> Use </w:t>
      </w: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9-point hedonic scale</w:t>
      </w:r>
      <w:r>
        <w:rPr>
          <w:rFonts w:ascii="Times New Roman" w:eastAsia="Times New Roman" w:hAnsi="Times New Roman" w:cs="Times New Roman"/>
          <w:sz w:val="24"/>
          <w:szCs w:val="24"/>
        </w:rPr>
        <w:t xml:space="preserve"> for:</w:t>
      </w:r>
    </w:p>
    <w:p w:rsidR="00D757D3" w:rsidRDefault="00FA7037">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Appearance</w:t>
      </w:r>
    </w:p>
    <w:p w:rsidR="00D757D3" w:rsidRDefault="00FA7037">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Taste</w:t>
      </w:r>
    </w:p>
    <w:p w:rsidR="00D757D3" w:rsidRDefault="00FA7037">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Smell</w:t>
      </w:r>
    </w:p>
    <w:p w:rsidR="00D757D3" w:rsidRDefault="00FA7037">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Texture/Mouthfeel</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Scale Example:</w:t>
      </w:r>
    </w:p>
    <w:p w:rsidR="00D757D3" w:rsidRDefault="00FA7037">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Dislike Extremely</w:t>
      </w:r>
    </w:p>
    <w:p w:rsidR="00D757D3" w:rsidRDefault="00FA7037">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 Neither Like nor Dislike</w:t>
      </w:r>
    </w:p>
    <w:p w:rsidR="00D757D3" w:rsidRDefault="00FA7037">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 Like Extremely</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D757D3" w:rsidRDefault="00FA7037">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Serve coded samples in random order.</w:t>
      </w:r>
    </w:p>
    <w:p w:rsidR="00D757D3" w:rsidRDefault="00FA7037">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Ask panelists to cleanse their palate between samples.</w:t>
      </w:r>
    </w:p>
    <w:p w:rsidR="00D757D3" w:rsidRDefault="00FA7037">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 and statistically analyze data (e.g., Google Form Response Sheet).</w:t>
      </w:r>
    </w:p>
    <w:p w:rsidR="00D757D3" w:rsidRDefault="00FA703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 Proximate Analysis: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 sports bars were analyzed for moisture, ash, crude protein, fat, fiber, and carbohydrate content using (Hart et al, 1971) standard methods.</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Moisture content: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 of ash content was described by (AOAC). The sample's moisture content was meas</w:t>
      </w:r>
      <w:r>
        <w:rPr>
          <w:rFonts w:ascii="Times New Roman" w:eastAsia="Times New Roman" w:hAnsi="Times New Roman" w:cs="Times New Roman"/>
          <w:sz w:val="24"/>
          <w:szCs w:val="24"/>
        </w:rPr>
        <w:t xml:space="preserve">ured. 5 grams of sample was weighed and placed in a petri-plate, which was then placed in a hot air oven at 105 degrees Celsius and cooled in a desiccator. The heating and cooling cycles were repeated until the weight remained consistent. Moisture content </w:t>
      </w:r>
      <w:r>
        <w:rPr>
          <w:rFonts w:ascii="Times New Roman" w:eastAsia="Times New Roman" w:hAnsi="Times New Roman" w:cs="Times New Roman"/>
          <w:sz w:val="24"/>
          <w:szCs w:val="24"/>
        </w:rPr>
        <w:t>was calculated as,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Moisture content = (W1 – W2)/W1 × 100</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W1 = sample weight before drying</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W2 = sample weight after drying</w:t>
      </w:r>
    </w:p>
    <w:p w:rsidR="00D757D3" w:rsidRDefault="00D757D3">
      <w:pPr>
        <w:spacing w:line="360" w:lineRule="auto"/>
        <w:jc w:val="both"/>
        <w:rPr>
          <w:rFonts w:ascii="Times New Roman" w:eastAsia="Times New Roman" w:hAnsi="Times New Roman" w:cs="Times New Roman"/>
          <w:b/>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Ash content: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 of ash content was described by (AOAC). About 5-10 grams of sample was weighed and taped into a porcel</w:t>
      </w:r>
      <w:r>
        <w:rPr>
          <w:rFonts w:ascii="Times New Roman" w:eastAsia="Times New Roman" w:hAnsi="Times New Roman" w:cs="Times New Roman"/>
          <w:sz w:val="24"/>
          <w:szCs w:val="24"/>
        </w:rPr>
        <w:t>ain crucible which was preheated to about 600˚C and cooled. The crucible was placed on a Bunsen burner over a low flame till all the material was completely charred, followed by heating in a muffle furnace for about 3-5 hours at 600˚C. It was then cooled i</w:t>
      </w:r>
      <w:r>
        <w:rPr>
          <w:rFonts w:ascii="Times New Roman" w:eastAsia="Times New Roman" w:hAnsi="Times New Roman" w:cs="Times New Roman"/>
          <w:sz w:val="24"/>
          <w:szCs w:val="24"/>
        </w:rPr>
        <w:t>n a desiccator and weighed.</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Ash content = (W3 – W1)</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W2 – W1) × 100</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W1 = crucible weight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W2 = crucible weight + sample weight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W3 = Crucible with ash</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Crude fiber content: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 of ash content was described by (AOAC). Reagents Prepared 0.255N (1</w:t>
      </w:r>
      <w:r>
        <w:rPr>
          <w:rFonts w:ascii="Times New Roman" w:eastAsia="Times New Roman" w:hAnsi="Times New Roman" w:cs="Times New Roman"/>
          <w:sz w:val="24"/>
          <w:szCs w:val="24"/>
        </w:rPr>
        <w:t xml:space="preserve">.25% W/V) </w:t>
      </w:r>
      <w:proofErr w:type="spellStart"/>
      <w:r>
        <w:rPr>
          <w:rFonts w:ascii="Times New Roman" w:eastAsia="Times New Roman" w:hAnsi="Times New Roman" w:cs="Times New Roman"/>
          <w:sz w:val="24"/>
          <w:szCs w:val="24"/>
        </w:rPr>
        <w:t>Sulphuric</w:t>
      </w:r>
      <w:proofErr w:type="spellEnd"/>
      <w:r>
        <w:rPr>
          <w:rFonts w:ascii="Times New Roman" w:eastAsia="Times New Roman" w:hAnsi="Times New Roman" w:cs="Times New Roman"/>
          <w:sz w:val="24"/>
          <w:szCs w:val="24"/>
        </w:rPr>
        <w:t xml:space="preserve"> Acid, 0.313 N (1.25%) NaOH About 2-5 grams of moisture and fat free sample was taken into a beaker with 0.255N </w:t>
      </w:r>
      <w:proofErr w:type="spellStart"/>
      <w:r>
        <w:rPr>
          <w:rFonts w:ascii="Times New Roman" w:eastAsia="Times New Roman" w:hAnsi="Times New Roman" w:cs="Times New Roman"/>
          <w:sz w:val="24"/>
          <w:szCs w:val="24"/>
        </w:rPr>
        <w:t>sulphuric</w:t>
      </w:r>
      <w:proofErr w:type="spellEnd"/>
      <w:r>
        <w:rPr>
          <w:rFonts w:ascii="Times New Roman" w:eastAsia="Times New Roman" w:hAnsi="Times New Roman" w:cs="Times New Roman"/>
          <w:sz w:val="24"/>
          <w:szCs w:val="24"/>
        </w:rPr>
        <w:t xml:space="preserve"> acid. The mixture was boiled for 30 mins keeping the volume constant by adding water at different intervals and was</w:t>
      </w:r>
      <w:r>
        <w:rPr>
          <w:rFonts w:ascii="Times New Roman" w:eastAsia="Times New Roman" w:hAnsi="Times New Roman" w:cs="Times New Roman"/>
          <w:sz w:val="24"/>
          <w:szCs w:val="24"/>
        </w:rPr>
        <w:t xml:space="preserve"> constantly stirred with a glass rod. The mixture was filtered afterwards with the help of muslin cloth and the residue was washed with hot water till free from acid. The material was then again boiled with 200 ml of boiling 0.313 N NaOH for 30 mins. The r</w:t>
      </w:r>
      <w:r>
        <w:rPr>
          <w:rFonts w:ascii="Times New Roman" w:eastAsia="Times New Roman" w:hAnsi="Times New Roman" w:cs="Times New Roman"/>
          <w:sz w:val="24"/>
          <w:szCs w:val="24"/>
        </w:rPr>
        <w:t xml:space="preserve">esidue was then washed with hot distilled water till free from alkali followed by washing with some alcohol. It was then transferred into a dried crucible and is heated in a muffle furnace at 600˚C for 2-3 hours, cooled and weighed </w:t>
      </w:r>
      <w:proofErr w:type="gramStart"/>
      <w:r>
        <w:rPr>
          <w:rFonts w:ascii="Times New Roman" w:eastAsia="Times New Roman" w:hAnsi="Times New Roman" w:cs="Times New Roman"/>
          <w:sz w:val="24"/>
          <w:szCs w:val="24"/>
        </w:rPr>
        <w:t>again .</w:t>
      </w:r>
      <w:proofErr w:type="gramEnd"/>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Crude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 (W2 – W3)/W1 X 100</w:t>
      </w:r>
    </w:p>
    <w:p w:rsidR="00D757D3" w:rsidRDefault="00FA703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 ,</w:t>
      </w:r>
      <w:proofErr w:type="gramEnd"/>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W1 = Sample weight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W2 = Weight of the crude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 ash content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W3 = Weight of crucible with ash</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Fat content: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crude fat content of food sample, the Soxhlet extraction method was used using SOCS-</w:t>
      </w:r>
    </w:p>
    <w:p w:rsidR="00D757D3" w:rsidRDefault="00FA703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PLUS</w:t>
      </w:r>
      <w:proofErr w:type="gramEnd"/>
      <w:r>
        <w:rPr>
          <w:rFonts w:ascii="Times New Roman" w:eastAsia="Times New Roman" w:hAnsi="Times New Roman" w:cs="Times New Roman"/>
          <w:sz w:val="24"/>
          <w:szCs w:val="24"/>
        </w:rPr>
        <w:t xml:space="preserve"> apparatus.</w:t>
      </w:r>
      <w:r>
        <w:rPr>
          <w:rFonts w:ascii="Times New Roman" w:eastAsia="Times New Roman" w:hAnsi="Times New Roman" w:cs="Times New Roman"/>
          <w:sz w:val="24"/>
          <w:szCs w:val="24"/>
        </w:rPr>
        <w:t xml:space="preserve"> For this procedure, the moisture free sample was taken. By using electronic weighing balance 2gm of sample was </w:t>
      </w:r>
      <w:proofErr w:type="spellStart"/>
      <w:proofErr w:type="gramStart"/>
      <w:r>
        <w:rPr>
          <w:rFonts w:ascii="Times New Roman" w:eastAsia="Times New Roman" w:hAnsi="Times New Roman" w:cs="Times New Roman"/>
          <w:sz w:val="24"/>
          <w:szCs w:val="24"/>
        </w:rPr>
        <w:t>taken.The</w:t>
      </w:r>
      <w:proofErr w:type="spellEnd"/>
      <w:proofErr w:type="gramEnd"/>
      <w:r>
        <w:rPr>
          <w:rFonts w:ascii="Times New Roman" w:eastAsia="Times New Roman" w:hAnsi="Times New Roman" w:cs="Times New Roman"/>
          <w:sz w:val="24"/>
          <w:szCs w:val="24"/>
        </w:rPr>
        <w:t xml:space="preserve"> thimble was prepared by using filter paper. The filter paper was weighed and recorded. Then it was folded into a conical shape and bot</w:t>
      </w:r>
      <w:r>
        <w:rPr>
          <w:rFonts w:ascii="Times New Roman" w:eastAsia="Times New Roman" w:hAnsi="Times New Roman" w:cs="Times New Roman"/>
          <w:sz w:val="24"/>
          <w:szCs w:val="24"/>
        </w:rPr>
        <w:t xml:space="preserve">tom folded little and stapled. The sample 2gm was kept in the thimble and again weighed. The thimble with a sample was put into the thimble holder (siphon). Then 250 ml of diethyl ether was poured into it and closed with a condenser. Switch on the </w:t>
      </w:r>
      <w:proofErr w:type="spellStart"/>
      <w:r>
        <w:rPr>
          <w:rFonts w:ascii="Times New Roman" w:eastAsia="Times New Roman" w:hAnsi="Times New Roman" w:cs="Times New Roman"/>
          <w:sz w:val="24"/>
          <w:szCs w:val="24"/>
        </w:rPr>
        <w:t>soxhlet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apparatus and maintain the temperature at 34℃. The process was run approximately 17-18 cycled or about 6 hrs. An empty beaker was measured and recorded. The sample extracted in the bottom flask of </w:t>
      </w:r>
      <w:proofErr w:type="spellStart"/>
      <w:r>
        <w:rPr>
          <w:rFonts w:ascii="Times New Roman" w:eastAsia="Times New Roman" w:hAnsi="Times New Roman" w:cs="Times New Roman"/>
          <w:sz w:val="24"/>
          <w:szCs w:val="24"/>
        </w:rPr>
        <w:t>soxhlet</w:t>
      </w:r>
      <w:proofErr w:type="spellEnd"/>
      <w:r>
        <w:rPr>
          <w:rFonts w:ascii="Times New Roman" w:eastAsia="Times New Roman" w:hAnsi="Times New Roman" w:cs="Times New Roman"/>
          <w:sz w:val="24"/>
          <w:szCs w:val="24"/>
        </w:rPr>
        <w:t xml:space="preserve"> apparatus was taken </w:t>
      </w:r>
      <w:r>
        <w:rPr>
          <w:rFonts w:ascii="Times New Roman" w:eastAsia="Times New Roman" w:hAnsi="Times New Roman" w:cs="Times New Roman"/>
          <w:sz w:val="24"/>
          <w:szCs w:val="24"/>
        </w:rPr>
        <w:lastRenderedPageBreak/>
        <w:t xml:space="preserve">into the weighted empty beaker </w:t>
      </w:r>
      <w:r>
        <w:rPr>
          <w:rFonts w:ascii="Times New Roman" w:eastAsia="Times New Roman" w:hAnsi="Times New Roman" w:cs="Times New Roman"/>
          <w:sz w:val="24"/>
          <w:szCs w:val="24"/>
        </w:rPr>
        <w:t xml:space="preserve">and again weighed. Then it was kept over the hot plate for complete evaporation which left a fat sample in the beaker, the temperature of the hot plate was 34-68℃. Then the beaker was kept in the desiccator for 15 min. and once again the beaker was </w:t>
      </w:r>
      <w:proofErr w:type="gramStart"/>
      <w:r>
        <w:rPr>
          <w:rFonts w:ascii="Times New Roman" w:eastAsia="Times New Roman" w:hAnsi="Times New Roman" w:cs="Times New Roman"/>
          <w:sz w:val="24"/>
          <w:szCs w:val="24"/>
        </w:rPr>
        <w:t>weighed</w:t>
      </w:r>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reading was recorded.</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crude fat content was calculated as: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Crude fat (%) = (W4-W3)/(W2-W1) ×100 </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W1- weight of empty thimble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W2- weight of thimble +sample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W3-weight of empty flask</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W4- weight of flash +flask</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 analysis: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 o</w:t>
      </w:r>
      <w:r>
        <w:rPr>
          <w:rFonts w:ascii="Times New Roman" w:eastAsia="Times New Roman" w:hAnsi="Times New Roman" w:cs="Times New Roman"/>
          <w:sz w:val="24"/>
          <w:szCs w:val="24"/>
        </w:rPr>
        <w:t xml:space="preserve">f ash content was described by (AOAC). Reagents Prepared Digestion Mixture (98 parts K2SO4 with 2 parts CuSo4), 40% </w:t>
      </w:r>
      <w:proofErr w:type="spellStart"/>
      <w:r>
        <w:rPr>
          <w:rFonts w:ascii="Times New Roman" w:eastAsia="Times New Roman" w:hAnsi="Times New Roman" w:cs="Times New Roman"/>
          <w:sz w:val="24"/>
          <w:szCs w:val="24"/>
        </w:rPr>
        <w:t>NaoH</w:t>
      </w:r>
      <w:proofErr w:type="spellEnd"/>
      <w:r>
        <w:rPr>
          <w:rFonts w:ascii="Times New Roman" w:eastAsia="Times New Roman" w:hAnsi="Times New Roman" w:cs="Times New Roman"/>
          <w:sz w:val="24"/>
          <w:szCs w:val="24"/>
        </w:rPr>
        <w:t>, N/10 H2So4, Methyl Red Indicator solution in alcohol Total nitrogen was determined by the micro-</w:t>
      </w:r>
      <w:proofErr w:type="spellStart"/>
      <w:r>
        <w:rPr>
          <w:rFonts w:ascii="Times New Roman" w:eastAsia="Times New Roman" w:hAnsi="Times New Roman" w:cs="Times New Roman"/>
          <w:sz w:val="24"/>
          <w:szCs w:val="24"/>
        </w:rPr>
        <w:t>Kjeldahl</w:t>
      </w:r>
      <w:proofErr w:type="spellEnd"/>
      <w:r>
        <w:rPr>
          <w:rFonts w:ascii="Times New Roman" w:eastAsia="Times New Roman" w:hAnsi="Times New Roman" w:cs="Times New Roman"/>
          <w:sz w:val="24"/>
          <w:szCs w:val="24"/>
        </w:rPr>
        <w:t xml:space="preserve"> method. Organic nitrogen was </w:t>
      </w:r>
      <w:r>
        <w:rPr>
          <w:rFonts w:ascii="Times New Roman" w:eastAsia="Times New Roman" w:hAnsi="Times New Roman" w:cs="Times New Roman"/>
          <w:sz w:val="24"/>
          <w:szCs w:val="24"/>
        </w:rPr>
        <w:t xml:space="preserve">digested with </w:t>
      </w:r>
      <w:proofErr w:type="spellStart"/>
      <w:r>
        <w:rPr>
          <w:rFonts w:ascii="Times New Roman" w:eastAsia="Times New Roman" w:hAnsi="Times New Roman" w:cs="Times New Roman"/>
          <w:sz w:val="24"/>
          <w:szCs w:val="24"/>
        </w:rPr>
        <w:t>sulphuric</w:t>
      </w:r>
      <w:proofErr w:type="spellEnd"/>
      <w:r>
        <w:rPr>
          <w:rFonts w:ascii="Times New Roman" w:eastAsia="Times New Roman" w:hAnsi="Times New Roman" w:cs="Times New Roman"/>
          <w:sz w:val="24"/>
          <w:szCs w:val="24"/>
        </w:rPr>
        <w:t xml:space="preserve"> acid in the presence of a catalyst (copper-sulphate) and is converted into ammonium sulphate. Ammonia is liberated by making the solution alkaline and then is distilled into a known volume of a standard acid, which is back titrated.</w:t>
      </w:r>
      <w:r>
        <w:rPr>
          <w:rFonts w:ascii="Times New Roman" w:eastAsia="Times New Roman" w:hAnsi="Times New Roman" w:cs="Times New Roman"/>
          <w:sz w:val="24"/>
          <w:szCs w:val="24"/>
        </w:rPr>
        <w:t xml:space="preserve"> The protein content is obtained by multiplying the N2 value with 6.25</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content = % nitrogen X 6.25</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Carbohydrate content analysis: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 of ash content was described by (AOAC). The content of available carbohydrates was determined by difference i.e., by subtracting from 100 the sum of values (per 100g) for moisture, protein, fat, ash and crude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 - Phytochemical and Antiox</w:t>
      </w:r>
      <w:r>
        <w:rPr>
          <w:rFonts w:ascii="Times New Roman" w:eastAsia="Times New Roman" w:hAnsi="Times New Roman" w:cs="Times New Roman"/>
          <w:b/>
          <w:sz w:val="28"/>
          <w:szCs w:val="28"/>
        </w:rPr>
        <w:t>idant Analysis: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and quantitative phytochemical screening was conducted to detect the presence of flavonoids, tannins, phenolics, and saponins. Antioxidant activity was measured using DPPH (2,2-</w:t>
      </w:r>
      <w:r>
        <w:rPr>
          <w:rFonts w:ascii="Times New Roman" w:eastAsia="Times New Roman" w:hAnsi="Times New Roman" w:cs="Times New Roman"/>
          <w:sz w:val="24"/>
          <w:szCs w:val="24"/>
        </w:rPr>
        <w:lastRenderedPageBreak/>
        <w:t>diphenyl-1-picrylhydrazyl) radical scavenging assay</w:t>
      </w:r>
      <w:r>
        <w:rPr>
          <w:rFonts w:ascii="Times New Roman" w:eastAsia="Times New Roman" w:hAnsi="Times New Roman" w:cs="Times New Roman"/>
          <w:sz w:val="24"/>
          <w:szCs w:val="24"/>
        </w:rPr>
        <w:t xml:space="preserve"> and total phenolic content was determined using the </w:t>
      </w:r>
      <w:proofErr w:type="spellStart"/>
      <w:r>
        <w:rPr>
          <w:rFonts w:ascii="Times New Roman" w:eastAsia="Times New Roman" w:hAnsi="Times New Roman" w:cs="Times New Roman"/>
          <w:sz w:val="24"/>
          <w:szCs w:val="24"/>
        </w:rPr>
        <w:t>Folin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Ciocalteu</w:t>
      </w:r>
      <w:proofErr w:type="spellEnd"/>
      <w:r>
        <w:rPr>
          <w:rFonts w:ascii="Times New Roman" w:eastAsia="Times New Roman" w:hAnsi="Times New Roman" w:cs="Times New Roman"/>
          <w:sz w:val="24"/>
          <w:szCs w:val="24"/>
        </w:rPr>
        <w:t xml:space="preserve"> method (</w:t>
      </w:r>
      <w:proofErr w:type="spellStart"/>
      <w:r>
        <w:rPr>
          <w:rFonts w:ascii="Times New Roman" w:eastAsia="Times New Roman" w:hAnsi="Times New Roman" w:cs="Times New Roman"/>
          <w:sz w:val="24"/>
          <w:szCs w:val="24"/>
        </w:rPr>
        <w:t>Bortolini</w:t>
      </w:r>
      <w:proofErr w:type="spellEnd"/>
      <w:r>
        <w:rPr>
          <w:rFonts w:ascii="Times New Roman" w:eastAsia="Times New Roman" w:hAnsi="Times New Roman" w:cs="Times New Roman"/>
          <w:sz w:val="24"/>
          <w:szCs w:val="24"/>
        </w:rPr>
        <w:t xml:space="preserve"> et al., 2022).</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Qualitative Phytochemical Screening</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Test for Flavonoids: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 Add a few drops of dilute NaOH to the extract. A yellow color appears. Add dilute HCl; the yellow color disappears.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Inference: Presence of flavonoids is confirmed if the yellow color disappears after acid addition.</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Test for Tannins: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w:t>
      </w:r>
      <w:r>
        <w:rPr>
          <w:rFonts w:ascii="Times New Roman" w:eastAsia="Times New Roman" w:hAnsi="Times New Roman" w:cs="Times New Roman"/>
          <w:sz w:val="24"/>
          <w:szCs w:val="24"/>
        </w:rPr>
        <w:t xml:space="preserve">e: Add a few drops of 1% </w:t>
      </w:r>
      <w:proofErr w:type="spellStart"/>
      <w:r>
        <w:rPr>
          <w:rFonts w:ascii="Times New Roman" w:eastAsia="Times New Roman" w:hAnsi="Times New Roman" w:cs="Times New Roman"/>
          <w:sz w:val="24"/>
          <w:szCs w:val="24"/>
        </w:rPr>
        <w:t>FeCl</w:t>
      </w:r>
      <w:proofErr w:type="spellEnd"/>
      <w:r>
        <w:rPr>
          <w:rFonts w:ascii="Times New Roman" w:eastAsia="Times New Roman" w:hAnsi="Times New Roman" w:cs="Times New Roman"/>
          <w:sz w:val="24"/>
          <w:szCs w:val="24"/>
        </w:rPr>
        <w:t>₃ solution to the extract.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Inference: A blue-black or greenish-black coloration indicates the presence of tannins.</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Test for Phenolics: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Procedure: Mix the extract with 1% </w:t>
      </w:r>
      <w:proofErr w:type="spellStart"/>
      <w:r>
        <w:rPr>
          <w:rFonts w:ascii="Times New Roman" w:eastAsia="Times New Roman" w:hAnsi="Times New Roman" w:cs="Times New Roman"/>
          <w:sz w:val="24"/>
          <w:szCs w:val="24"/>
        </w:rPr>
        <w:t>FeCl</w:t>
      </w:r>
      <w:proofErr w:type="spellEnd"/>
      <w:r>
        <w:rPr>
          <w:rFonts w:ascii="Times New Roman" w:eastAsia="Times New Roman" w:hAnsi="Times New Roman" w:cs="Times New Roman"/>
          <w:sz w:val="24"/>
          <w:szCs w:val="24"/>
        </w:rPr>
        <w:t>₃ solution.</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Inference: Formation of a deep blue o</w:t>
      </w:r>
      <w:r>
        <w:rPr>
          <w:rFonts w:ascii="Times New Roman" w:eastAsia="Times New Roman" w:hAnsi="Times New Roman" w:cs="Times New Roman"/>
          <w:sz w:val="24"/>
          <w:szCs w:val="24"/>
        </w:rPr>
        <w:t>r black color indicates the presence of phenolic compounds.</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Test for Quinones: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 Take 1–2 g of the dried sample, add 10 mL of ethanol, shake well and filter to obtain the alcoholic extract.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Inference: Development of color (red, blue, green, or</w:t>
      </w:r>
      <w:r>
        <w:rPr>
          <w:rFonts w:ascii="Times New Roman" w:eastAsia="Times New Roman" w:hAnsi="Times New Roman" w:cs="Times New Roman"/>
          <w:sz w:val="24"/>
          <w:szCs w:val="24"/>
        </w:rPr>
        <w:t xml:space="preserve"> yellow), Quinones is present.</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Antioxidant Activity</w:t>
      </w:r>
      <w:r>
        <w:rPr>
          <w:rFonts w:ascii="Times New Roman" w:eastAsia="Times New Roman" w:hAnsi="Times New Roman" w:cs="Times New Roman"/>
          <w:sz w:val="24"/>
          <w:szCs w:val="24"/>
        </w:rPr>
        <w:t xml:space="preserve"> – DPPH Radical Scavenging Assay</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Reagents Needed: DPPH solution (0.1 mM in methanol), methanol.</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Mix 1 mL of DPPH solution with 1 mL of plant extract at various concentrations.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Incubate</w:t>
      </w:r>
      <w:r>
        <w:rPr>
          <w:rFonts w:ascii="Times New Roman" w:eastAsia="Times New Roman" w:hAnsi="Times New Roman" w:cs="Times New Roman"/>
          <w:sz w:val="24"/>
          <w:szCs w:val="24"/>
        </w:rPr>
        <w:t xml:space="preserve"> the mixture in the dark at room temperature for 30 minutes.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Measure the absorbance at 517 nm using a UV-Vis spectrophotometer.</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Calculate % inhibition using the formula:</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DPPH Scavenging Activity (%) = [(A₀ - A₁)/A₀] x 100</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A₀ = absorbance of con</w:t>
      </w:r>
      <w:r>
        <w:rPr>
          <w:rFonts w:ascii="Times New Roman" w:eastAsia="Times New Roman" w:hAnsi="Times New Roman" w:cs="Times New Roman"/>
          <w:sz w:val="24"/>
          <w:szCs w:val="24"/>
        </w:rPr>
        <w:t>trol, A₁ = absorbance of sample.</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Result and Discussion:</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Standardization of Fortified Sports Bars: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different formulations (5%, 10%, and 15% </w:t>
      </w: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powder), the 10% incorporation level was found optimal based on texture, binding, and sensory acceptability. Bars with 15% inclusion showed slight bitterness and dryness, which negatively affected palatability.</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Texture Analysis:</w:t>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802674" cy="1786346"/>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02674" cy="1786346"/>
                    </a:xfrm>
                    <a:prstGeom prst="rect">
                      <a:avLst/>
                    </a:prstGeom>
                    <a:ln/>
                  </pic:spPr>
                </pic:pic>
              </a:graphicData>
            </a:graphic>
          </wp:inline>
        </w:drawing>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06 Texture Analysis of Sangria Sports Bar</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 Graph: Load vs Time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 depicts two compression cycles: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P₁ and P₂:</w:t>
      </w:r>
      <w:r>
        <w:rPr>
          <w:rFonts w:ascii="Times New Roman" w:eastAsia="Times New Roman" w:hAnsi="Times New Roman" w:cs="Times New Roman"/>
          <w:sz w:val="24"/>
          <w:szCs w:val="24"/>
        </w:rPr>
        <w:t xml:space="preserve"> Peak forces during the first and second compressions (representing hardness).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A₁ and A₂:</w:t>
      </w:r>
      <w:r>
        <w:rPr>
          <w:rFonts w:ascii="Times New Roman" w:eastAsia="Times New Roman" w:hAnsi="Times New Roman" w:cs="Times New Roman"/>
          <w:sz w:val="24"/>
          <w:szCs w:val="24"/>
        </w:rPr>
        <w:t xml:space="preserve"> Area under the curve during first and seco</w:t>
      </w:r>
      <w:r>
        <w:rPr>
          <w:rFonts w:ascii="Times New Roman" w:eastAsia="Times New Roman" w:hAnsi="Times New Roman" w:cs="Times New Roman"/>
          <w:sz w:val="24"/>
          <w:szCs w:val="24"/>
        </w:rPr>
        <w:t>nd compressions (related to energy required for deformation).</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B₁ and B₂:</w:t>
      </w:r>
      <w:r>
        <w:rPr>
          <w:rFonts w:ascii="Times New Roman" w:eastAsia="Times New Roman" w:hAnsi="Times New Roman" w:cs="Times New Roman"/>
          <w:sz w:val="24"/>
          <w:szCs w:val="24"/>
        </w:rPr>
        <w:t xml:space="preserve"> Areas during decompression (indicating adhesiveness or stickiness).</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Bottom Graph: Load vs Distance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 provides a spatial interpretation of the TPA (Texture Profile Analysis):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1st Compression:</w:t>
      </w:r>
      <w:r>
        <w:rPr>
          <w:rFonts w:ascii="Times New Roman" w:eastAsia="Times New Roman" w:hAnsi="Times New Roman" w:cs="Times New Roman"/>
          <w:sz w:val="24"/>
          <w:szCs w:val="24"/>
        </w:rPr>
        <w:t xml:space="preserve"> Downward stroke compresses the sample.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2nd Compression:</w:t>
      </w:r>
      <w:r>
        <w:rPr>
          <w:rFonts w:ascii="Times New Roman" w:eastAsia="Times New Roman" w:hAnsi="Times New Roman" w:cs="Times New Roman"/>
          <w:sz w:val="24"/>
          <w:szCs w:val="24"/>
        </w:rPr>
        <w:t xml:space="preserve"> Second stroke measures how well the sample recovers.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Springiness (Dₛ/ Dᵣ):</w:t>
      </w:r>
      <w:r>
        <w:rPr>
          <w:rFonts w:ascii="Times New Roman" w:eastAsia="Times New Roman" w:hAnsi="Times New Roman" w:cs="Times New Roman"/>
          <w:sz w:val="24"/>
          <w:szCs w:val="24"/>
        </w:rPr>
        <w:t xml:space="preserve"> Indicates how much the sample recovers its shape after the first compression.</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Cohesiveness:</w:t>
      </w:r>
      <w:r>
        <w:rPr>
          <w:rFonts w:ascii="Times New Roman" w:eastAsia="Times New Roman" w:hAnsi="Times New Roman" w:cs="Times New Roman"/>
          <w:sz w:val="24"/>
          <w:szCs w:val="24"/>
        </w:rPr>
        <w:t xml:space="preserve"> Ratio of areas </w:t>
      </w:r>
      <w:r>
        <w:rPr>
          <w:rFonts w:ascii="Times New Roman" w:eastAsia="Times New Roman" w:hAnsi="Times New Roman" w:cs="Times New Roman"/>
          <w:sz w:val="24"/>
          <w:szCs w:val="24"/>
        </w:rPr>
        <w:t>under the second curve to the first (A₂/A₁).</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Chewiness &amp; Resilience:</w:t>
      </w:r>
      <w:r>
        <w:rPr>
          <w:rFonts w:ascii="Times New Roman" w:eastAsia="Times New Roman" w:hAnsi="Times New Roman" w:cs="Times New Roman"/>
          <w:sz w:val="24"/>
          <w:szCs w:val="24"/>
        </w:rPr>
        <w:t xml:space="preserve"> Derived from combinations of hardness, cohesiveness, and springiness.</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Parameters Quantified in TPA:</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03 Key Parameters of Quantified Texture Profile Analysis:</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Parameter</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w:t>
            </w:r>
            <w:r>
              <w:rPr>
                <w:rFonts w:ascii="Times New Roman" w:eastAsia="Times New Roman" w:hAnsi="Times New Roman" w:cs="Times New Roman"/>
                <w:b/>
                <w:sz w:val="24"/>
                <w:szCs w:val="24"/>
              </w:rPr>
              <w:t>rpretation</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Hardness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Peak force during first compression (P₁)</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Springiness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Ability of the sample to recover its shape after compression</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Cohesiveness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A₂ / A₁ (energy ratio of 2nd to 1st compression)</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Adhesiveness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force area (B₁, B₂) during retraction</w:t>
            </w:r>
          </w:p>
        </w:tc>
      </w:tr>
      <w:tr w:rsidR="00D757D3">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Chewiness</w:t>
            </w:r>
          </w:p>
        </w:tc>
        <w:tc>
          <w:tcPr>
            <w:tcW w:w="468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Hardness × Cohesiveness × Springiness</w:t>
            </w:r>
          </w:p>
        </w:tc>
      </w:tr>
    </w:tbl>
    <w:p w:rsidR="00D757D3" w:rsidRDefault="00D757D3">
      <w:pPr>
        <w:spacing w:line="360" w:lineRule="auto"/>
        <w:jc w:val="both"/>
        <w:rPr>
          <w:rFonts w:ascii="Times New Roman" w:eastAsia="Times New Roman" w:hAnsi="Times New Roman" w:cs="Times New Roman"/>
          <w:b/>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Binding Test Analysis: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provide a sample result for the Binding Test of the sports bars with varying concentrations of </w:t>
      </w: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(Sangria) powder (</w:t>
      </w:r>
      <w:r>
        <w:rPr>
          <w:rFonts w:ascii="Times New Roman" w:eastAsia="Times New Roman" w:hAnsi="Times New Roman" w:cs="Times New Roman"/>
          <w:sz w:val="24"/>
          <w:szCs w:val="24"/>
        </w:rPr>
        <w:t>5%, 10%, 15%, and control), we'll use both objective and subjective (panel-based) scoring based on your described method.</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no. </w:t>
      </w:r>
      <w:proofErr w:type="gramStart"/>
      <w:r>
        <w:rPr>
          <w:rFonts w:ascii="Times New Roman" w:eastAsia="Times New Roman" w:hAnsi="Times New Roman" w:cs="Times New Roman"/>
          <w:sz w:val="24"/>
          <w:szCs w:val="24"/>
        </w:rPr>
        <w:t>04  Binding</w:t>
      </w:r>
      <w:proofErr w:type="gramEnd"/>
      <w:r>
        <w:rPr>
          <w:rFonts w:ascii="Times New Roman" w:eastAsia="Times New Roman" w:hAnsi="Times New Roman" w:cs="Times New Roman"/>
          <w:sz w:val="24"/>
          <w:szCs w:val="24"/>
        </w:rPr>
        <w:t xml:space="preserve"> Analysis for different concentration of Sangria:</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Formulation</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Drop Test Observation</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Pull Test Observation</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Panel Binding Score (1–9 scale)</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Control (0%)</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Minor crumbling</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Holds moderately well</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Sangria</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Slight edge cracks, mostly intact</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cohesion</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 Sangria</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visible disintegration</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cohesion, smooth pull</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9.0 (Best)</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 Sangria</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Noticeable crumbling on edges, slight fracture on impact</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Fragile when pulled, separates into chunks</w:t>
            </w:r>
          </w:p>
        </w:tc>
        <w:tc>
          <w:tcPr>
            <w:tcW w:w="234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p w:rsidR="00D757D3" w:rsidRDefault="00FA7037">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Sangria powder gave the best binding integrity, both in physical drop/pull tests and sensory panel scoring.</w:t>
      </w:r>
    </w:p>
    <w:p w:rsidR="00D757D3" w:rsidRDefault="00FA7037">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inclusion led to weakened binding, likely due to increased dryness.</w:t>
      </w:r>
    </w:p>
    <w:p w:rsidR="00D757D3" w:rsidRDefault="00FA7037">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inclusion was acceptable and better than control but not as cohesive as 10%.</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Sensory Acceptability Score: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05 Sensory Acceptability Score for different concentration of Sa</w:t>
      </w:r>
      <w:r>
        <w:rPr>
          <w:rFonts w:ascii="Times New Roman" w:eastAsia="Times New Roman" w:hAnsi="Times New Roman" w:cs="Times New Roman"/>
          <w:sz w:val="24"/>
          <w:szCs w:val="24"/>
        </w:rPr>
        <w:t>ngria:</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1560"/>
        <w:gridCol w:w="1560"/>
        <w:gridCol w:w="1560"/>
        <w:gridCol w:w="1560"/>
        <w:gridCol w:w="1560"/>
        <w:gridCol w:w="1560"/>
      </w:tblGrid>
      <w:tr w:rsidR="00D757D3">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Formulation</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Appearance</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Texture</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Taste</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Flavor</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Overall Acceptability</w:t>
            </w:r>
          </w:p>
        </w:tc>
      </w:tr>
      <w:tr w:rsidR="00D757D3">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Control (0%)</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D757D3">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Sangria</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D757D3">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 Sangria</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 (Best)</w:t>
            </w:r>
          </w:p>
        </w:tc>
      </w:tr>
      <w:tr w:rsidR="00D757D3">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 Sangria</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6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bl>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p w:rsidR="00D757D3" w:rsidRDefault="00FA7037">
      <w:pPr>
        <w:numPr>
          <w:ilvl w:val="0"/>
          <w:numId w:val="5"/>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Sangria powder achieved the highest overall acceptability.</w:t>
      </w:r>
    </w:p>
    <w:p w:rsidR="00D757D3" w:rsidRDefault="00FA7037">
      <w:pPr>
        <w:numPr>
          <w:ilvl w:val="0"/>
          <w:numId w:val="5"/>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Sangria lowered sensory appeal due to a slightly bitter taste and dryness.</w:t>
      </w:r>
    </w:p>
    <w:p w:rsidR="00D757D3" w:rsidRDefault="00FA7037">
      <w:pPr>
        <w:numPr>
          <w:ilvl w:val="0"/>
          <w:numId w:val="5"/>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Sangria was better than control, especially in flavor and taste.</w:t>
      </w:r>
    </w:p>
    <w:p w:rsidR="00D757D3" w:rsidRDefault="00D757D3">
      <w:pPr>
        <w:spacing w:line="360" w:lineRule="auto"/>
        <w:jc w:val="both"/>
        <w:rPr>
          <w:rFonts w:ascii="Times New Roman" w:eastAsia="Times New Roman" w:hAnsi="Times New Roman" w:cs="Times New Roman"/>
          <w:b/>
          <w:sz w:val="24"/>
          <w:szCs w:val="24"/>
        </w:rPr>
      </w:pP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842363" cy="348451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842363" cy="3484517"/>
                    </a:xfrm>
                    <a:prstGeom prst="rect">
                      <a:avLst/>
                    </a:prstGeom>
                    <a:ln/>
                  </pic:spPr>
                </pic:pic>
              </a:graphicData>
            </a:graphic>
          </wp:inline>
        </w:drawing>
      </w:r>
    </w:p>
    <w:p w:rsidR="00D757D3" w:rsidRDefault="00FA703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07 Comparison on Standardized Fortified Sports bar with its Texture, Binding, and Sensory Acceptability </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07 comparing </w:t>
      </w:r>
      <w:r>
        <w:rPr>
          <w:rFonts w:ascii="Times New Roman" w:eastAsia="Times New Roman" w:hAnsi="Times New Roman" w:cs="Times New Roman"/>
          <w:b/>
          <w:sz w:val="24"/>
          <w:szCs w:val="24"/>
        </w:rPr>
        <w:t>texture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binding</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sensory acceptability</w:t>
      </w:r>
      <w:r>
        <w:rPr>
          <w:rFonts w:ascii="Times New Roman" w:eastAsia="Times New Roman" w:hAnsi="Times New Roman" w:cs="Times New Roman"/>
          <w:sz w:val="24"/>
          <w:szCs w:val="24"/>
        </w:rPr>
        <w:t xml:space="preserve"> across different formulations of Sangria powder (0%, 5%, 10%, and 15%). As il</w:t>
      </w:r>
      <w:r>
        <w:rPr>
          <w:rFonts w:ascii="Times New Roman" w:eastAsia="Times New Roman" w:hAnsi="Times New Roman" w:cs="Times New Roman"/>
          <w:sz w:val="24"/>
          <w:szCs w:val="24"/>
        </w:rPr>
        <w:t xml:space="preserve">lustrated, the </w:t>
      </w:r>
      <w:r>
        <w:rPr>
          <w:rFonts w:ascii="Times New Roman" w:eastAsia="Times New Roman" w:hAnsi="Times New Roman" w:cs="Times New Roman"/>
          <w:b/>
          <w:sz w:val="24"/>
          <w:szCs w:val="24"/>
        </w:rPr>
        <w:t>10% Sangria bar</w:t>
      </w:r>
      <w:r>
        <w:rPr>
          <w:rFonts w:ascii="Times New Roman" w:eastAsia="Times New Roman" w:hAnsi="Times New Roman" w:cs="Times New Roman"/>
          <w:sz w:val="24"/>
          <w:szCs w:val="24"/>
        </w:rPr>
        <w:t xml:space="preserve"> scored the highest across all parameters, confirming its optimal formulation.</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Proximate Composition:</w:t>
      </w:r>
    </w:p>
    <w:p w:rsidR="00D757D3" w:rsidRDefault="00FA7037">
      <w:pPr>
        <w:widowControl w:val="0"/>
        <w:spacing w:before="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06 Approximate Nutritional Values (per ~65 g bar):</w:t>
      </w:r>
    </w:p>
    <w:tbl>
      <w:tblPr>
        <w:tblStyle w:val="a4"/>
        <w:tblW w:w="8629"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977"/>
        <w:gridCol w:w="3672"/>
      </w:tblGrid>
      <w:tr w:rsidR="00D757D3">
        <w:trPr>
          <w:trHeight w:val="412"/>
        </w:trPr>
        <w:tc>
          <w:tcPr>
            <w:tcW w:w="198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Nutrient</w:t>
            </w:r>
          </w:p>
        </w:tc>
        <w:tc>
          <w:tcPr>
            <w:tcW w:w="2977"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Estimated Value</w:t>
            </w:r>
          </w:p>
        </w:tc>
        <w:tc>
          <w:tcPr>
            <w:tcW w:w="3672"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 Sources</w:t>
            </w:r>
          </w:p>
        </w:tc>
      </w:tr>
      <w:tr w:rsidR="00D757D3">
        <w:trPr>
          <w:trHeight w:val="414"/>
        </w:trPr>
        <w:tc>
          <w:tcPr>
            <w:tcW w:w="1980" w:type="dxa"/>
            <w:tcBorders>
              <w:top w:val="nil"/>
              <w:left w:val="nil"/>
              <w:bottom w:val="nil"/>
              <w:right w:val="nil"/>
            </w:tcBorders>
            <w:tcMar>
              <w:top w:w="100" w:type="dxa"/>
              <w:left w:w="100" w:type="dxa"/>
              <w:bottom w:w="100" w:type="dxa"/>
              <w:right w:w="100" w:type="dxa"/>
            </w:tcMar>
          </w:tcPr>
          <w:p w:rsidR="00D757D3" w:rsidRDefault="00FA7037">
            <w:pPr>
              <w:widowControl w:val="0"/>
              <w:spacing w:before="1"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Energy (kcal)</w:t>
            </w:r>
          </w:p>
        </w:tc>
        <w:tc>
          <w:tcPr>
            <w:tcW w:w="2977" w:type="dxa"/>
            <w:tcBorders>
              <w:top w:val="nil"/>
              <w:left w:val="nil"/>
              <w:bottom w:val="nil"/>
              <w:right w:val="nil"/>
            </w:tcBorders>
            <w:tcMar>
              <w:top w:w="100" w:type="dxa"/>
              <w:left w:w="100" w:type="dxa"/>
              <w:bottom w:w="100" w:type="dxa"/>
              <w:right w:w="100" w:type="dxa"/>
            </w:tcMar>
          </w:tcPr>
          <w:p w:rsidR="00D757D3" w:rsidRDefault="00FA7037">
            <w:pPr>
              <w:widowControl w:val="0"/>
              <w:spacing w:before="1"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~280–300 kcal</w:t>
            </w:r>
          </w:p>
        </w:tc>
        <w:tc>
          <w:tcPr>
            <w:tcW w:w="3672" w:type="dxa"/>
            <w:tcBorders>
              <w:top w:val="nil"/>
              <w:left w:val="nil"/>
              <w:bottom w:val="nil"/>
              <w:right w:val="nil"/>
            </w:tcBorders>
            <w:tcMar>
              <w:top w:w="100" w:type="dxa"/>
              <w:left w:w="100" w:type="dxa"/>
              <w:bottom w:w="100" w:type="dxa"/>
              <w:right w:w="100" w:type="dxa"/>
            </w:tcMar>
          </w:tcPr>
          <w:p w:rsidR="00D757D3" w:rsidRDefault="00FA7037">
            <w:pPr>
              <w:widowControl w:val="0"/>
              <w:spacing w:before="1"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Dates, oats, peanut butter</w:t>
            </w:r>
          </w:p>
        </w:tc>
      </w:tr>
      <w:tr w:rsidR="00D757D3">
        <w:trPr>
          <w:trHeight w:val="414"/>
        </w:trPr>
        <w:tc>
          <w:tcPr>
            <w:tcW w:w="198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Protein</w:t>
            </w:r>
          </w:p>
        </w:tc>
        <w:tc>
          <w:tcPr>
            <w:tcW w:w="2977"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~6.5–7 g</w:t>
            </w:r>
          </w:p>
        </w:tc>
        <w:tc>
          <w:tcPr>
            <w:tcW w:w="3672"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Sangri</w:t>
            </w:r>
            <w:proofErr w:type="spellEnd"/>
            <w:r>
              <w:rPr>
                <w:rFonts w:ascii="Times New Roman" w:eastAsia="Times New Roman" w:hAnsi="Times New Roman" w:cs="Times New Roman"/>
                <w:sz w:val="24"/>
                <w:szCs w:val="24"/>
              </w:rPr>
              <w:t>, seeds, peanut butter</w:t>
            </w:r>
          </w:p>
        </w:tc>
      </w:tr>
      <w:tr w:rsidR="00D757D3">
        <w:trPr>
          <w:trHeight w:val="412"/>
        </w:trPr>
        <w:tc>
          <w:tcPr>
            <w:tcW w:w="198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Fat</w:t>
            </w:r>
          </w:p>
        </w:tc>
        <w:tc>
          <w:tcPr>
            <w:tcW w:w="2977"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~10–12 g</w:t>
            </w:r>
          </w:p>
        </w:tc>
        <w:tc>
          <w:tcPr>
            <w:tcW w:w="3672"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Seeds, peanut butter, dry fruits</w:t>
            </w:r>
          </w:p>
        </w:tc>
      </w:tr>
      <w:tr w:rsidR="00D757D3">
        <w:trPr>
          <w:trHeight w:val="414"/>
        </w:trPr>
        <w:tc>
          <w:tcPr>
            <w:tcW w:w="1980" w:type="dxa"/>
            <w:tcBorders>
              <w:top w:val="nil"/>
              <w:left w:val="nil"/>
              <w:bottom w:val="nil"/>
              <w:right w:val="nil"/>
            </w:tcBorders>
            <w:tcMar>
              <w:top w:w="100" w:type="dxa"/>
              <w:left w:w="100" w:type="dxa"/>
              <w:bottom w:w="100" w:type="dxa"/>
              <w:right w:w="100" w:type="dxa"/>
            </w:tcMar>
          </w:tcPr>
          <w:p w:rsidR="00D757D3" w:rsidRDefault="00FA7037">
            <w:pPr>
              <w:widowControl w:val="0"/>
              <w:spacing w:before="1"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Carbohydrates</w:t>
            </w:r>
          </w:p>
        </w:tc>
        <w:tc>
          <w:tcPr>
            <w:tcW w:w="2977" w:type="dxa"/>
            <w:tcBorders>
              <w:top w:val="nil"/>
              <w:left w:val="nil"/>
              <w:bottom w:val="nil"/>
              <w:right w:val="nil"/>
            </w:tcBorders>
            <w:tcMar>
              <w:top w:w="100" w:type="dxa"/>
              <w:left w:w="100" w:type="dxa"/>
              <w:bottom w:w="100" w:type="dxa"/>
              <w:right w:w="100" w:type="dxa"/>
            </w:tcMar>
          </w:tcPr>
          <w:p w:rsidR="00D757D3" w:rsidRDefault="00FA7037">
            <w:pPr>
              <w:widowControl w:val="0"/>
              <w:spacing w:before="1"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~35–38 g</w:t>
            </w:r>
          </w:p>
        </w:tc>
        <w:tc>
          <w:tcPr>
            <w:tcW w:w="3672" w:type="dxa"/>
            <w:tcBorders>
              <w:top w:val="nil"/>
              <w:left w:val="nil"/>
              <w:bottom w:val="nil"/>
              <w:right w:val="nil"/>
            </w:tcBorders>
            <w:tcMar>
              <w:top w:w="100" w:type="dxa"/>
              <w:left w:w="100" w:type="dxa"/>
              <w:bottom w:w="100" w:type="dxa"/>
              <w:right w:w="100" w:type="dxa"/>
            </w:tcMar>
          </w:tcPr>
          <w:p w:rsidR="00D757D3" w:rsidRDefault="00FA7037">
            <w:pPr>
              <w:widowControl w:val="0"/>
              <w:spacing w:before="1"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Dates, oats, </w:t>
            </w:r>
            <w:proofErr w:type="spellStart"/>
            <w:r>
              <w:rPr>
                <w:rFonts w:ascii="Times New Roman" w:eastAsia="Times New Roman" w:hAnsi="Times New Roman" w:cs="Times New Roman"/>
                <w:sz w:val="24"/>
                <w:szCs w:val="24"/>
              </w:rPr>
              <w:t>sangri</w:t>
            </w:r>
            <w:proofErr w:type="spellEnd"/>
            <w:r>
              <w:rPr>
                <w:rFonts w:ascii="Times New Roman" w:eastAsia="Times New Roman" w:hAnsi="Times New Roman" w:cs="Times New Roman"/>
                <w:sz w:val="24"/>
                <w:szCs w:val="24"/>
              </w:rPr>
              <w:t xml:space="preserve"> powder</w:t>
            </w:r>
          </w:p>
        </w:tc>
      </w:tr>
      <w:tr w:rsidR="00D757D3">
        <w:trPr>
          <w:trHeight w:val="414"/>
        </w:trPr>
        <w:tc>
          <w:tcPr>
            <w:tcW w:w="198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Sugars</w:t>
            </w:r>
          </w:p>
        </w:tc>
        <w:tc>
          <w:tcPr>
            <w:tcW w:w="2977"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~18–20 g</w:t>
            </w:r>
          </w:p>
        </w:tc>
        <w:tc>
          <w:tcPr>
            <w:tcW w:w="3672"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Dates, dry fruits</w:t>
            </w:r>
          </w:p>
        </w:tc>
      </w:tr>
      <w:tr w:rsidR="00D757D3">
        <w:trPr>
          <w:trHeight w:val="412"/>
        </w:trPr>
        <w:tc>
          <w:tcPr>
            <w:tcW w:w="198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Fiber</w:t>
            </w:r>
          </w:p>
        </w:tc>
        <w:tc>
          <w:tcPr>
            <w:tcW w:w="2977"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g</w:t>
            </w:r>
          </w:p>
        </w:tc>
        <w:tc>
          <w:tcPr>
            <w:tcW w:w="3672"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Oats, </w:t>
            </w:r>
            <w:proofErr w:type="spellStart"/>
            <w:r>
              <w:rPr>
                <w:rFonts w:ascii="Times New Roman" w:eastAsia="Times New Roman" w:hAnsi="Times New Roman" w:cs="Times New Roman"/>
                <w:sz w:val="24"/>
                <w:szCs w:val="24"/>
              </w:rPr>
              <w:t>sangri</w:t>
            </w:r>
            <w:proofErr w:type="spellEnd"/>
            <w:r>
              <w:rPr>
                <w:rFonts w:ascii="Times New Roman" w:eastAsia="Times New Roman" w:hAnsi="Times New Roman" w:cs="Times New Roman"/>
                <w:sz w:val="24"/>
                <w:szCs w:val="24"/>
              </w:rPr>
              <w:t>, dry fruits, seeds</w:t>
            </w:r>
          </w:p>
        </w:tc>
      </w:tr>
    </w:tbl>
    <w:p w:rsidR="00D757D3" w:rsidRDefault="00FA7037">
      <w:pPr>
        <w:widowControl w:val="0"/>
        <w:spacing w:before="146"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Nutritional Profiling:</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The Sangria Sports Bar is a </w:t>
      </w:r>
      <w:r>
        <w:rPr>
          <w:rFonts w:ascii="Times New Roman" w:eastAsia="Times New Roman" w:hAnsi="Times New Roman" w:cs="Times New Roman"/>
          <w:b/>
          <w:color w:val="0D0D0D"/>
          <w:sz w:val="24"/>
          <w:szCs w:val="24"/>
        </w:rPr>
        <w:t>functional and nutrient-rich snack</w:t>
      </w:r>
      <w:r>
        <w:rPr>
          <w:rFonts w:ascii="Times New Roman" w:eastAsia="Times New Roman" w:hAnsi="Times New Roman" w:cs="Times New Roman"/>
          <w:color w:val="0D0D0D"/>
          <w:sz w:val="24"/>
          <w:szCs w:val="24"/>
        </w:rPr>
        <w:t xml:space="preserve"> developed using a blend of traditional and modern ingredients. Each bar weighs approximately </w:t>
      </w:r>
      <w:r>
        <w:rPr>
          <w:rFonts w:ascii="Times New Roman" w:eastAsia="Times New Roman" w:hAnsi="Times New Roman" w:cs="Times New Roman"/>
          <w:b/>
          <w:color w:val="0D0D0D"/>
          <w:sz w:val="24"/>
          <w:szCs w:val="24"/>
        </w:rPr>
        <w:t>65 g</w:t>
      </w:r>
      <w:r>
        <w:rPr>
          <w:rFonts w:ascii="Times New Roman" w:eastAsia="Times New Roman" w:hAnsi="Times New Roman" w:cs="Times New Roman"/>
          <w:color w:val="0D0D0D"/>
          <w:sz w:val="24"/>
          <w:szCs w:val="24"/>
        </w:rPr>
        <w:t xml:space="preserve"> and provides a </w:t>
      </w:r>
      <w:r>
        <w:rPr>
          <w:rFonts w:ascii="Times New Roman" w:eastAsia="Times New Roman" w:hAnsi="Times New Roman" w:cs="Times New Roman"/>
          <w:b/>
          <w:color w:val="0D0D0D"/>
          <w:sz w:val="24"/>
          <w:szCs w:val="24"/>
        </w:rPr>
        <w:t>balanced nutritional composition</w:t>
      </w:r>
      <w:r>
        <w:rPr>
          <w:rFonts w:ascii="Times New Roman" w:eastAsia="Times New Roman" w:hAnsi="Times New Roman" w:cs="Times New Roman"/>
          <w:color w:val="0D0D0D"/>
          <w:sz w:val="24"/>
          <w:szCs w:val="24"/>
        </w:rPr>
        <w:t xml:space="preserve"> ideal for energy, endurance, and health support.</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 xml:space="preserve">Energy: </w:t>
      </w:r>
      <w:r>
        <w:rPr>
          <w:rFonts w:ascii="Times New Roman" w:eastAsia="Times New Roman" w:hAnsi="Times New Roman" w:cs="Times New Roman"/>
          <w:color w:val="0D0D0D"/>
          <w:sz w:val="24"/>
          <w:szCs w:val="24"/>
        </w:rPr>
        <w:t xml:space="preserve">The bar delivers substantial energy, mainly from </w:t>
      </w:r>
      <w:r>
        <w:rPr>
          <w:rFonts w:ascii="Times New Roman" w:eastAsia="Times New Roman" w:hAnsi="Times New Roman" w:cs="Times New Roman"/>
          <w:b/>
          <w:color w:val="0D0D0D"/>
          <w:sz w:val="24"/>
          <w:szCs w:val="24"/>
        </w:rPr>
        <w:t>natural sugars (dates, dry fruits)</w:t>
      </w:r>
      <w:r>
        <w:rPr>
          <w:rFonts w:ascii="Times New Roman" w:eastAsia="Times New Roman" w:hAnsi="Times New Roman" w:cs="Times New Roman"/>
          <w:color w:val="0D0D0D"/>
          <w:sz w:val="24"/>
          <w:szCs w:val="24"/>
        </w:rPr>
        <w:t xml:space="preserve"> and </w:t>
      </w:r>
      <w:r>
        <w:rPr>
          <w:rFonts w:ascii="Times New Roman" w:eastAsia="Times New Roman" w:hAnsi="Times New Roman" w:cs="Times New Roman"/>
          <w:b/>
          <w:color w:val="0D0D0D"/>
          <w:sz w:val="24"/>
          <w:szCs w:val="24"/>
        </w:rPr>
        <w:t>complex carbohydrates (oats)</w:t>
      </w:r>
      <w:r>
        <w:rPr>
          <w:rFonts w:ascii="Times New Roman" w:eastAsia="Times New Roman" w:hAnsi="Times New Roman" w:cs="Times New Roman"/>
          <w:color w:val="0D0D0D"/>
          <w:sz w:val="24"/>
          <w:szCs w:val="24"/>
        </w:rPr>
        <w:t>, making it an ideal pre- or post-workout snack.</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P</w:t>
      </w:r>
      <w:r>
        <w:rPr>
          <w:rFonts w:ascii="Times New Roman" w:eastAsia="Times New Roman" w:hAnsi="Times New Roman" w:cs="Times New Roman"/>
          <w:b/>
          <w:color w:val="0D0D0D"/>
          <w:sz w:val="24"/>
          <w:szCs w:val="24"/>
        </w:rPr>
        <w:t xml:space="preserve">rotein: </w:t>
      </w:r>
      <w:r>
        <w:rPr>
          <w:rFonts w:ascii="Times New Roman" w:eastAsia="Times New Roman" w:hAnsi="Times New Roman" w:cs="Times New Roman"/>
          <w:color w:val="0D0D0D"/>
          <w:sz w:val="24"/>
          <w:szCs w:val="24"/>
        </w:rPr>
        <w:t xml:space="preserve">Protein is contributed by </w:t>
      </w:r>
      <w:r>
        <w:rPr>
          <w:rFonts w:ascii="Times New Roman" w:eastAsia="Times New Roman" w:hAnsi="Times New Roman" w:cs="Times New Roman"/>
          <w:b/>
          <w:color w:val="0D0D0D"/>
          <w:sz w:val="24"/>
          <w:szCs w:val="24"/>
        </w:rPr>
        <w:t>sangria powder</w:t>
      </w:r>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b/>
          <w:color w:val="0D0D0D"/>
          <w:sz w:val="24"/>
          <w:szCs w:val="24"/>
        </w:rPr>
        <w:t>seeds</w:t>
      </w:r>
      <w:r>
        <w:rPr>
          <w:rFonts w:ascii="Times New Roman" w:eastAsia="Times New Roman" w:hAnsi="Times New Roman" w:cs="Times New Roman"/>
          <w:color w:val="0D0D0D"/>
          <w:sz w:val="24"/>
          <w:szCs w:val="24"/>
        </w:rPr>
        <w:t xml:space="preserve">, and </w:t>
      </w:r>
      <w:r>
        <w:rPr>
          <w:rFonts w:ascii="Times New Roman" w:eastAsia="Times New Roman" w:hAnsi="Times New Roman" w:cs="Times New Roman"/>
          <w:b/>
          <w:color w:val="0D0D0D"/>
          <w:sz w:val="24"/>
          <w:szCs w:val="24"/>
        </w:rPr>
        <w:t>peanut butter</w:t>
      </w:r>
      <w:r>
        <w:rPr>
          <w:rFonts w:ascii="Times New Roman" w:eastAsia="Times New Roman" w:hAnsi="Times New Roman" w:cs="Times New Roman"/>
          <w:color w:val="0D0D0D"/>
          <w:sz w:val="24"/>
          <w:szCs w:val="24"/>
        </w:rPr>
        <w:t xml:space="preserve">, making it suitable for muscle recovery and maintenance. The presence of </w:t>
      </w:r>
      <w:proofErr w:type="spellStart"/>
      <w:r>
        <w:rPr>
          <w:rFonts w:ascii="Times New Roman" w:eastAsia="Times New Roman" w:hAnsi="Times New Roman" w:cs="Times New Roman"/>
          <w:color w:val="0D0D0D"/>
          <w:sz w:val="24"/>
          <w:szCs w:val="24"/>
        </w:rPr>
        <w:t>sangri</w:t>
      </w:r>
      <w:proofErr w:type="spellEnd"/>
      <w:r>
        <w:rPr>
          <w:rFonts w:ascii="Times New Roman" w:eastAsia="Times New Roman" w:hAnsi="Times New Roman" w:cs="Times New Roman"/>
          <w:color w:val="0D0D0D"/>
          <w:sz w:val="24"/>
          <w:szCs w:val="24"/>
        </w:rPr>
        <w:t xml:space="preserve"> (Prosopis cineraria) adds a </w:t>
      </w:r>
      <w:r>
        <w:rPr>
          <w:rFonts w:ascii="Times New Roman" w:eastAsia="Times New Roman" w:hAnsi="Times New Roman" w:cs="Times New Roman"/>
          <w:b/>
          <w:color w:val="0D0D0D"/>
          <w:sz w:val="24"/>
          <w:szCs w:val="24"/>
        </w:rPr>
        <w:t>plant-based protein source</w:t>
      </w:r>
      <w:r>
        <w:rPr>
          <w:rFonts w:ascii="Times New Roman" w:eastAsia="Times New Roman" w:hAnsi="Times New Roman" w:cs="Times New Roman"/>
          <w:color w:val="0D0D0D"/>
          <w:sz w:val="24"/>
          <w:szCs w:val="24"/>
        </w:rPr>
        <w:t xml:space="preserve"> with added phytonutrients.</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 xml:space="preserve">Fat: </w:t>
      </w:r>
      <w:r>
        <w:rPr>
          <w:rFonts w:ascii="Times New Roman" w:eastAsia="Times New Roman" w:hAnsi="Times New Roman" w:cs="Times New Roman"/>
          <w:color w:val="0D0D0D"/>
          <w:sz w:val="24"/>
          <w:szCs w:val="24"/>
        </w:rPr>
        <w:t>These are prim</w:t>
      </w:r>
      <w:r>
        <w:rPr>
          <w:rFonts w:ascii="Times New Roman" w:eastAsia="Times New Roman" w:hAnsi="Times New Roman" w:cs="Times New Roman"/>
          <w:color w:val="0D0D0D"/>
          <w:sz w:val="24"/>
          <w:szCs w:val="24"/>
        </w:rPr>
        <w:t xml:space="preserve">arily </w:t>
      </w:r>
      <w:r>
        <w:rPr>
          <w:rFonts w:ascii="Times New Roman" w:eastAsia="Times New Roman" w:hAnsi="Times New Roman" w:cs="Times New Roman"/>
          <w:b/>
          <w:color w:val="0D0D0D"/>
          <w:sz w:val="24"/>
          <w:szCs w:val="24"/>
        </w:rPr>
        <w:t>healthy unsaturated fats</w:t>
      </w:r>
      <w:r>
        <w:rPr>
          <w:rFonts w:ascii="Times New Roman" w:eastAsia="Times New Roman" w:hAnsi="Times New Roman" w:cs="Times New Roman"/>
          <w:color w:val="0D0D0D"/>
          <w:sz w:val="24"/>
          <w:szCs w:val="24"/>
        </w:rPr>
        <w:t xml:space="preserve"> from peanut butter and seeds, which aid in sustained energy release and improve heart health.</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 xml:space="preserve">Carbohydrates: </w:t>
      </w:r>
      <w:r>
        <w:rPr>
          <w:rFonts w:ascii="Times New Roman" w:eastAsia="Times New Roman" w:hAnsi="Times New Roman" w:cs="Times New Roman"/>
          <w:color w:val="0D0D0D"/>
          <w:sz w:val="24"/>
          <w:szCs w:val="24"/>
        </w:rPr>
        <w:t xml:space="preserve">A mix of </w:t>
      </w:r>
      <w:r>
        <w:rPr>
          <w:rFonts w:ascii="Times New Roman" w:eastAsia="Times New Roman" w:hAnsi="Times New Roman" w:cs="Times New Roman"/>
          <w:b/>
          <w:color w:val="0D0D0D"/>
          <w:sz w:val="24"/>
          <w:szCs w:val="24"/>
        </w:rPr>
        <w:t>simple (natural sugars)</w:t>
      </w:r>
      <w:r>
        <w:rPr>
          <w:rFonts w:ascii="Times New Roman" w:eastAsia="Times New Roman" w:hAnsi="Times New Roman" w:cs="Times New Roman"/>
          <w:color w:val="0D0D0D"/>
          <w:sz w:val="24"/>
          <w:szCs w:val="24"/>
        </w:rPr>
        <w:t xml:space="preserve"> and </w:t>
      </w:r>
      <w:r>
        <w:rPr>
          <w:rFonts w:ascii="Times New Roman" w:eastAsia="Times New Roman" w:hAnsi="Times New Roman" w:cs="Times New Roman"/>
          <w:b/>
          <w:color w:val="0D0D0D"/>
          <w:sz w:val="24"/>
          <w:szCs w:val="24"/>
        </w:rPr>
        <w:t>complex carbs</w:t>
      </w:r>
      <w:r>
        <w:rPr>
          <w:rFonts w:ascii="Times New Roman" w:eastAsia="Times New Roman" w:hAnsi="Times New Roman" w:cs="Times New Roman"/>
          <w:color w:val="0D0D0D"/>
          <w:sz w:val="24"/>
          <w:szCs w:val="24"/>
        </w:rPr>
        <w:t xml:space="preserve"> provide quick and long-lasting energy. The absence of refined sugars makes it more wholesome.</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 xml:space="preserve">Fiber: </w:t>
      </w:r>
      <w:r>
        <w:rPr>
          <w:rFonts w:ascii="Times New Roman" w:eastAsia="Times New Roman" w:hAnsi="Times New Roman" w:cs="Times New Roman"/>
          <w:color w:val="0D0D0D"/>
          <w:sz w:val="24"/>
          <w:szCs w:val="24"/>
        </w:rPr>
        <w:t xml:space="preserve">Derived from oats, sangria, and seeds, the fiber content supports </w:t>
      </w:r>
      <w:r>
        <w:rPr>
          <w:rFonts w:ascii="Times New Roman" w:eastAsia="Times New Roman" w:hAnsi="Times New Roman" w:cs="Times New Roman"/>
          <w:b/>
          <w:color w:val="0D0D0D"/>
          <w:sz w:val="24"/>
          <w:szCs w:val="24"/>
        </w:rPr>
        <w:t>digestive health</w:t>
      </w:r>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b/>
          <w:color w:val="0D0D0D"/>
          <w:sz w:val="24"/>
          <w:szCs w:val="24"/>
        </w:rPr>
        <w:t>satiety</w:t>
      </w:r>
      <w:r>
        <w:rPr>
          <w:rFonts w:ascii="Times New Roman" w:eastAsia="Times New Roman" w:hAnsi="Times New Roman" w:cs="Times New Roman"/>
          <w:color w:val="0D0D0D"/>
          <w:sz w:val="24"/>
          <w:szCs w:val="24"/>
        </w:rPr>
        <w:t xml:space="preserve">, and </w:t>
      </w:r>
      <w:r>
        <w:rPr>
          <w:rFonts w:ascii="Times New Roman" w:eastAsia="Times New Roman" w:hAnsi="Times New Roman" w:cs="Times New Roman"/>
          <w:b/>
          <w:color w:val="0D0D0D"/>
          <w:sz w:val="24"/>
          <w:szCs w:val="24"/>
        </w:rPr>
        <w:t>glycemic control</w:t>
      </w:r>
      <w:r>
        <w:rPr>
          <w:rFonts w:ascii="Times New Roman" w:eastAsia="Times New Roman" w:hAnsi="Times New Roman" w:cs="Times New Roman"/>
          <w:color w:val="0D0D0D"/>
          <w:sz w:val="24"/>
          <w:szCs w:val="24"/>
        </w:rPr>
        <w:t>.</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 xml:space="preserve">Micronutrients &amp; Ash: </w:t>
      </w:r>
      <w:r>
        <w:rPr>
          <w:rFonts w:ascii="Times New Roman" w:eastAsia="Times New Roman" w:hAnsi="Times New Roman" w:cs="Times New Roman"/>
          <w:color w:val="0D0D0D"/>
          <w:sz w:val="24"/>
          <w:szCs w:val="24"/>
        </w:rPr>
        <w:t xml:space="preserve">The </w:t>
      </w:r>
      <w:r>
        <w:rPr>
          <w:rFonts w:ascii="Times New Roman" w:eastAsia="Times New Roman" w:hAnsi="Times New Roman" w:cs="Times New Roman"/>
          <w:b/>
          <w:color w:val="0D0D0D"/>
          <w:sz w:val="24"/>
          <w:szCs w:val="24"/>
        </w:rPr>
        <w:t>ash content</w:t>
      </w:r>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color w:val="0D0D0D"/>
          <w:sz w:val="24"/>
          <w:szCs w:val="24"/>
        </w:rPr>
        <w:t xml:space="preserve">mainly from sangria and seeds, indicates a good supply of </w:t>
      </w:r>
      <w:r>
        <w:rPr>
          <w:rFonts w:ascii="Times New Roman" w:eastAsia="Times New Roman" w:hAnsi="Times New Roman" w:cs="Times New Roman"/>
          <w:b/>
          <w:color w:val="0D0D0D"/>
          <w:sz w:val="24"/>
          <w:szCs w:val="24"/>
        </w:rPr>
        <w:t>essential minerals</w:t>
      </w:r>
      <w:r>
        <w:rPr>
          <w:rFonts w:ascii="Times New Roman" w:eastAsia="Times New Roman" w:hAnsi="Times New Roman" w:cs="Times New Roman"/>
          <w:color w:val="0D0D0D"/>
          <w:sz w:val="24"/>
          <w:szCs w:val="24"/>
        </w:rPr>
        <w:t xml:space="preserve"> like calcium, iron, and magnesium.</w:t>
      </w:r>
    </w:p>
    <w:p w:rsidR="00D757D3" w:rsidRDefault="00FA7037">
      <w:pPr>
        <w:widowControl w:val="0"/>
        <w:spacing w:before="298" w:line="360" w:lineRule="auto"/>
        <w:ind w:right="717"/>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 xml:space="preserve">Moisture: </w:t>
      </w:r>
      <w:r>
        <w:rPr>
          <w:rFonts w:ascii="Times New Roman" w:eastAsia="Times New Roman" w:hAnsi="Times New Roman" w:cs="Times New Roman"/>
          <w:color w:val="0D0D0D"/>
          <w:sz w:val="24"/>
          <w:szCs w:val="24"/>
        </w:rPr>
        <w:t xml:space="preserve">Low moisture content improves </w:t>
      </w:r>
      <w:r>
        <w:rPr>
          <w:rFonts w:ascii="Times New Roman" w:eastAsia="Times New Roman" w:hAnsi="Times New Roman" w:cs="Times New Roman"/>
          <w:b/>
          <w:color w:val="0D0D0D"/>
          <w:sz w:val="24"/>
          <w:szCs w:val="24"/>
        </w:rPr>
        <w:t>shelf-life stability</w:t>
      </w:r>
      <w:r>
        <w:rPr>
          <w:rFonts w:ascii="Times New Roman" w:eastAsia="Times New Roman" w:hAnsi="Times New Roman" w:cs="Times New Roman"/>
          <w:color w:val="0D0D0D"/>
          <w:sz w:val="24"/>
          <w:szCs w:val="24"/>
        </w:rPr>
        <w:t xml:space="preserve"> while maintaining chewiness through dates and peanut butter.</w:t>
      </w:r>
    </w:p>
    <w:p w:rsidR="00D757D3" w:rsidRDefault="00FA7037">
      <w:pPr>
        <w:widowControl w:val="0"/>
        <w:spacing w:before="146"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Moisture Content:</w:t>
      </w:r>
    </w:p>
    <w:p w:rsidR="00D757D3" w:rsidRDefault="00FA7037">
      <w:pPr>
        <w:widowControl w:val="0"/>
        <w:spacing w:before="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able no. 07 Moisture Content:</w:t>
      </w:r>
    </w:p>
    <w:tbl>
      <w:tblPr>
        <w:tblStyle w:val="a5"/>
        <w:tblW w:w="9051" w:type="dxa"/>
        <w:tblInd w:w="523" w:type="dxa"/>
        <w:tblBorders>
          <w:top w:val="nil"/>
          <w:left w:val="nil"/>
          <w:bottom w:val="nil"/>
          <w:right w:val="nil"/>
          <w:insideH w:val="nil"/>
          <w:insideV w:val="nil"/>
        </w:tblBorders>
        <w:tblLayout w:type="fixed"/>
        <w:tblLook w:val="0000" w:firstRow="0" w:lastRow="0" w:firstColumn="0" w:lastColumn="0" w:noHBand="0" w:noVBand="0"/>
      </w:tblPr>
      <w:tblGrid>
        <w:gridCol w:w="780"/>
        <w:gridCol w:w="1702"/>
        <w:gridCol w:w="1702"/>
        <w:gridCol w:w="1657"/>
        <w:gridCol w:w="1621"/>
        <w:gridCol w:w="1589"/>
      </w:tblGrid>
      <w:tr w:rsidR="00D757D3">
        <w:trPr>
          <w:trHeight w:val="554"/>
        </w:trPr>
        <w:tc>
          <w:tcPr>
            <w:tcW w:w="780" w:type="dxa"/>
            <w:tcBorders>
              <w:bottom w:val="single" w:sz="4" w:space="0" w:color="FFFFFF"/>
            </w:tcBorders>
            <w:shd w:val="clear" w:color="auto" w:fill="4AACC5"/>
          </w:tcPr>
          <w:p w:rsidR="00D757D3" w:rsidRDefault="00FA7037">
            <w:pPr>
              <w:widowControl w:val="0"/>
              <w:spacing w:line="360" w:lineRule="auto"/>
              <w:ind w:left="103"/>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SNo</w:t>
            </w:r>
            <w:proofErr w:type="spellEnd"/>
            <w:r>
              <w:rPr>
                <w:rFonts w:ascii="Times New Roman" w:eastAsia="Times New Roman" w:hAnsi="Times New Roman" w:cs="Times New Roman"/>
                <w:b/>
                <w:sz w:val="24"/>
                <w:szCs w:val="24"/>
              </w:rPr>
              <w:t xml:space="preserve"> .</w:t>
            </w:r>
            <w:proofErr w:type="gramEnd"/>
          </w:p>
        </w:tc>
        <w:tc>
          <w:tcPr>
            <w:tcW w:w="1702" w:type="dxa"/>
            <w:tcBorders>
              <w:bottom w:val="single" w:sz="4" w:space="0" w:color="FFFFFF"/>
            </w:tcBorders>
            <w:shd w:val="clear" w:color="auto" w:fill="4AACC5"/>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1702" w:type="dxa"/>
            <w:tcBorders>
              <w:bottom w:val="single" w:sz="4" w:space="0" w:color="FFFFFF"/>
            </w:tcBorders>
            <w:shd w:val="clear" w:color="auto" w:fill="4AACC5"/>
          </w:tcPr>
          <w:p w:rsidR="00D757D3" w:rsidRDefault="00FA7037">
            <w:pPr>
              <w:widowControl w:val="0"/>
              <w:spacing w:line="360"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Petri Plate wt.</w:t>
            </w:r>
          </w:p>
        </w:tc>
        <w:tc>
          <w:tcPr>
            <w:tcW w:w="1657" w:type="dxa"/>
            <w:tcBorders>
              <w:bottom w:val="single" w:sz="4" w:space="0" w:color="FFFFFF"/>
            </w:tcBorders>
            <w:shd w:val="clear" w:color="auto" w:fill="4AACC5"/>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wt.</w:t>
            </w:r>
          </w:p>
        </w:tc>
        <w:tc>
          <w:tcPr>
            <w:tcW w:w="1621" w:type="dxa"/>
            <w:tcBorders>
              <w:bottom w:val="single" w:sz="4" w:space="0" w:color="FFFFFF"/>
            </w:tcBorders>
            <w:shd w:val="clear" w:color="auto" w:fill="4AACC5"/>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wt. (W)</w:t>
            </w:r>
          </w:p>
        </w:tc>
        <w:tc>
          <w:tcPr>
            <w:tcW w:w="1589" w:type="dxa"/>
            <w:tcBorders>
              <w:bottom w:val="single" w:sz="4" w:space="0" w:color="FFFFFF"/>
            </w:tcBorders>
            <w:shd w:val="clear" w:color="auto" w:fill="4AACC5"/>
          </w:tcPr>
          <w:p w:rsidR="00D757D3" w:rsidRDefault="00FA7037">
            <w:pPr>
              <w:widowControl w:val="0"/>
              <w:spacing w:line="360" w:lineRule="auto"/>
              <w:ind w:left="10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wt. (w)</w:t>
            </w:r>
          </w:p>
        </w:tc>
      </w:tr>
      <w:tr w:rsidR="00D757D3">
        <w:trPr>
          <w:trHeight w:val="554"/>
        </w:trPr>
        <w:tc>
          <w:tcPr>
            <w:tcW w:w="780" w:type="dxa"/>
            <w:tcBorders>
              <w:top w:val="single" w:sz="4" w:space="0" w:color="FFFFFF"/>
              <w:right w:val="single" w:sz="4" w:space="0" w:color="FFFFFF"/>
            </w:tcBorders>
            <w:shd w:val="clear" w:color="auto" w:fill="4AACC5"/>
          </w:tcPr>
          <w:p w:rsidR="00D757D3" w:rsidRDefault="00FA7037">
            <w:pPr>
              <w:widowControl w:val="0"/>
              <w:spacing w:line="360" w:lineRule="auto"/>
              <w:ind w:left="10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02" w:type="dxa"/>
            <w:tcBorders>
              <w:top w:val="single" w:sz="4" w:space="0" w:color="FFFFFF"/>
              <w:left w:val="single" w:sz="4" w:space="0" w:color="FFFFFF"/>
              <w:right w:val="single" w:sz="4" w:space="0" w:color="FFFFFF"/>
            </w:tcBorders>
            <w:shd w:val="clear" w:color="auto" w:fill="B6DDE8"/>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Sports bar</w:t>
            </w:r>
          </w:p>
        </w:tc>
        <w:tc>
          <w:tcPr>
            <w:tcW w:w="1702" w:type="dxa"/>
            <w:tcBorders>
              <w:top w:val="single" w:sz="4" w:space="0" w:color="FFFFFF"/>
              <w:left w:val="single" w:sz="4" w:space="0" w:color="FFFFFF"/>
              <w:right w:val="single" w:sz="4" w:space="0" w:color="FFFFFF"/>
            </w:tcBorders>
            <w:shd w:val="clear" w:color="auto" w:fill="B6DDE8"/>
          </w:tcPr>
          <w:p w:rsidR="00D757D3" w:rsidRDefault="00FA7037">
            <w:pPr>
              <w:widowControl w:val="0"/>
              <w:spacing w:line="360" w:lineRule="auto"/>
              <w:ind w:left="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40g</w:t>
            </w:r>
          </w:p>
        </w:tc>
        <w:tc>
          <w:tcPr>
            <w:tcW w:w="1657" w:type="dxa"/>
            <w:tcBorders>
              <w:top w:val="single" w:sz="4" w:space="0" w:color="FFFFFF"/>
              <w:left w:val="single" w:sz="4" w:space="0" w:color="FFFFFF"/>
              <w:right w:val="single" w:sz="4" w:space="0" w:color="FFFFFF"/>
            </w:tcBorders>
            <w:shd w:val="clear" w:color="auto" w:fill="B6DDE8"/>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621" w:type="dxa"/>
            <w:tcBorders>
              <w:top w:val="single" w:sz="4" w:space="0" w:color="FFFFFF"/>
              <w:left w:val="single" w:sz="4" w:space="0" w:color="FFFFFF"/>
              <w:right w:val="single" w:sz="4" w:space="0" w:color="FFFFFF"/>
            </w:tcBorders>
            <w:shd w:val="clear" w:color="auto" w:fill="B6DDE8"/>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45g</w:t>
            </w:r>
          </w:p>
        </w:tc>
        <w:tc>
          <w:tcPr>
            <w:tcW w:w="1589" w:type="dxa"/>
            <w:tcBorders>
              <w:top w:val="single" w:sz="4" w:space="0" w:color="FFFFFF"/>
              <w:left w:val="single" w:sz="4" w:space="0" w:color="FFFFFF"/>
            </w:tcBorders>
            <w:shd w:val="clear" w:color="auto" w:fill="B6DDE8"/>
          </w:tcPr>
          <w:p w:rsidR="00D757D3" w:rsidRDefault="00FA7037">
            <w:pPr>
              <w:widowControl w:val="0"/>
              <w:spacing w:line="360" w:lineRule="auto"/>
              <w:ind w:lef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32g</w:t>
            </w:r>
          </w:p>
        </w:tc>
      </w:tr>
    </w:tbl>
    <w:p w:rsidR="00D757D3" w:rsidRDefault="00FA7037">
      <w:pPr>
        <w:widowControl w:val="0"/>
        <w:tabs>
          <w:tab w:val="left" w:pos="1726"/>
        </w:tabs>
        <w:spacing w:line="360" w:lineRule="auto"/>
        <w:ind w:right="3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r>
        <w:rPr>
          <w:rFonts w:ascii="Times New Roman" w:eastAsia="Times New Roman" w:hAnsi="Times New Roman" w:cs="Times New Roman"/>
          <w:sz w:val="24"/>
          <w:szCs w:val="24"/>
        </w:rPr>
        <w:tab/>
      </w:r>
    </w:p>
    <w:p w:rsidR="00D757D3" w:rsidRDefault="00FA7037">
      <w:pPr>
        <w:widowControl w:val="0"/>
        <w:tabs>
          <w:tab w:val="left" w:pos="1726"/>
        </w:tabs>
        <w:spacing w:line="360" w:lineRule="auto"/>
        <w:ind w:right="3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 = weight of sample + petri plate </w:t>
      </w:r>
      <w:proofErr w:type="gramStart"/>
      <w:r>
        <w:rPr>
          <w:rFonts w:ascii="Times New Roman" w:eastAsia="Times New Roman" w:hAnsi="Times New Roman" w:cs="Times New Roman"/>
          <w:sz w:val="24"/>
          <w:szCs w:val="24"/>
        </w:rPr>
        <w:t>( initial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w:t>
      </w:r>
    </w:p>
    <w:p w:rsidR="00D757D3" w:rsidRDefault="00FA7037">
      <w:pPr>
        <w:widowControl w:val="0"/>
        <w:spacing w:before="57"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weight of dry sample after moisture removal + petri plate </w:t>
      </w:r>
      <w:proofErr w:type="gramStart"/>
      <w:r>
        <w:rPr>
          <w:rFonts w:ascii="Times New Roman" w:eastAsia="Times New Roman" w:hAnsi="Times New Roman" w:cs="Times New Roman"/>
          <w:sz w:val="24"/>
          <w:szCs w:val="24"/>
        </w:rPr>
        <w:t>( final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w:t>
      </w:r>
    </w:p>
    <w:p w:rsidR="00D757D3" w:rsidRDefault="00FA7037">
      <w:pPr>
        <w:widowControl w:val="0"/>
        <w:spacing w:before="57"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Moisture % in Sports bar = </w:t>
      </w:r>
      <w:r>
        <w:rPr>
          <w:rFonts w:ascii="Gungsuh" w:eastAsia="Gungsuh" w:hAnsi="Gungsuh" w:cs="Gungsuh"/>
          <w:sz w:val="24"/>
          <w:szCs w:val="24"/>
        </w:rPr>
        <w:t xml:space="preserve">(Initial </w:t>
      </w:r>
      <w:proofErr w:type="gramStart"/>
      <w:r>
        <w:rPr>
          <w:rFonts w:ascii="Gungsuh" w:eastAsia="Gungsuh" w:hAnsi="Gungsuh" w:cs="Gungsuh"/>
          <w:sz w:val="24"/>
          <w:szCs w:val="24"/>
        </w:rPr>
        <w:t>weight</w:t>
      </w:r>
      <w:proofErr w:type="gramEnd"/>
      <w:r>
        <w:rPr>
          <w:rFonts w:ascii="Gungsuh" w:eastAsia="Gungsuh" w:hAnsi="Gungsuh" w:cs="Gungsuh"/>
          <w:sz w:val="24"/>
          <w:szCs w:val="24"/>
        </w:rPr>
        <w:t>−Final weight)/Initial weight ×100</w:t>
      </w:r>
    </w:p>
    <w:p w:rsidR="00D757D3" w:rsidRDefault="00FA7037">
      <w:pPr>
        <w:widowControl w:val="0"/>
        <w:spacing w:before="57"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(45 – 32) /45 × 100</w:t>
      </w:r>
    </w:p>
    <w:p w:rsidR="00D757D3" w:rsidRDefault="00FA7037">
      <w:pPr>
        <w:widowControl w:val="0"/>
        <w:spacing w:before="159"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28.8</w:t>
      </w:r>
      <w:proofErr w:type="gramEnd"/>
      <w:r>
        <w:rPr>
          <w:rFonts w:ascii="Times New Roman" w:eastAsia="Times New Roman" w:hAnsi="Times New Roman" w:cs="Times New Roman"/>
          <w:sz w:val="24"/>
          <w:szCs w:val="24"/>
        </w:rPr>
        <w:t>%</w:t>
      </w:r>
    </w:p>
    <w:p w:rsidR="00D757D3" w:rsidRDefault="00FA7037">
      <w:pPr>
        <w:widowControl w:val="0"/>
        <w:spacing w:before="159"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Ash Content:</w:t>
      </w:r>
    </w:p>
    <w:p w:rsidR="00D757D3" w:rsidRDefault="00FA7037">
      <w:pPr>
        <w:widowControl w:val="0"/>
        <w:spacing w:before="59"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no. 08 </w:t>
      </w:r>
      <w:proofErr w:type="spellStart"/>
      <w:r>
        <w:rPr>
          <w:rFonts w:ascii="Times New Roman" w:eastAsia="Times New Roman" w:hAnsi="Times New Roman" w:cs="Times New Roman"/>
          <w:b/>
          <w:sz w:val="24"/>
          <w:szCs w:val="24"/>
        </w:rPr>
        <w:t>Assh</w:t>
      </w:r>
      <w:proofErr w:type="spellEnd"/>
      <w:r>
        <w:rPr>
          <w:rFonts w:ascii="Times New Roman" w:eastAsia="Times New Roman" w:hAnsi="Times New Roman" w:cs="Times New Roman"/>
          <w:b/>
          <w:sz w:val="24"/>
          <w:szCs w:val="24"/>
        </w:rPr>
        <w:t xml:space="preserve"> Content:</w:t>
      </w:r>
    </w:p>
    <w:tbl>
      <w:tblPr>
        <w:tblStyle w:val="a6"/>
        <w:tblW w:w="9618" w:type="dxa"/>
        <w:tblInd w:w="240" w:type="dxa"/>
        <w:tblBorders>
          <w:top w:val="nil"/>
          <w:left w:val="nil"/>
          <w:bottom w:val="nil"/>
          <w:right w:val="nil"/>
          <w:insideH w:val="nil"/>
          <w:insideV w:val="nil"/>
        </w:tblBorders>
        <w:tblLayout w:type="fixed"/>
        <w:tblLook w:val="0000" w:firstRow="0" w:lastRow="0" w:firstColumn="0" w:lastColumn="0" w:noHBand="0" w:noVBand="0"/>
      </w:tblPr>
      <w:tblGrid>
        <w:gridCol w:w="662"/>
        <w:gridCol w:w="1308"/>
        <w:gridCol w:w="1801"/>
        <w:gridCol w:w="1621"/>
        <w:gridCol w:w="1440"/>
        <w:gridCol w:w="1621"/>
        <w:gridCol w:w="1165"/>
      </w:tblGrid>
      <w:tr w:rsidR="00D757D3">
        <w:trPr>
          <w:trHeight w:val="967"/>
        </w:trPr>
        <w:tc>
          <w:tcPr>
            <w:tcW w:w="662" w:type="dxa"/>
            <w:tcBorders>
              <w:bottom w:val="single" w:sz="4" w:space="0" w:color="FFFFFF"/>
            </w:tcBorders>
            <w:shd w:val="clear" w:color="auto" w:fill="8063A1"/>
          </w:tcPr>
          <w:p w:rsidR="00D757D3" w:rsidRDefault="00FA7037">
            <w:pPr>
              <w:widowControl w:val="0"/>
              <w:spacing w:line="360" w:lineRule="auto"/>
              <w:ind w:left="115"/>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SNo</w:t>
            </w:r>
            <w:proofErr w:type="spellEnd"/>
          </w:p>
        </w:tc>
        <w:tc>
          <w:tcPr>
            <w:tcW w:w="1308" w:type="dxa"/>
            <w:tcBorders>
              <w:bottom w:val="single" w:sz="4" w:space="0" w:color="FFFFFF"/>
            </w:tcBorders>
            <w:shd w:val="clear" w:color="auto" w:fill="8063A1"/>
          </w:tcPr>
          <w:p w:rsidR="00D757D3" w:rsidRDefault="00FA7037">
            <w:pPr>
              <w:widowControl w:val="0"/>
              <w:spacing w:line="360"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1801" w:type="dxa"/>
            <w:tcBorders>
              <w:bottom w:val="single" w:sz="4" w:space="0" w:color="FFFFFF"/>
            </w:tcBorders>
            <w:shd w:val="clear" w:color="auto" w:fill="8063A1"/>
          </w:tcPr>
          <w:p w:rsidR="00D757D3" w:rsidRDefault="00FA7037">
            <w:pPr>
              <w:widowControl w:val="0"/>
              <w:spacing w:line="360"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Crucible wt.</w:t>
            </w:r>
          </w:p>
        </w:tc>
        <w:tc>
          <w:tcPr>
            <w:tcW w:w="1621" w:type="dxa"/>
            <w:tcBorders>
              <w:bottom w:val="single" w:sz="4" w:space="0" w:color="FFFFFF"/>
            </w:tcBorders>
            <w:shd w:val="clear" w:color="auto" w:fill="8063A1"/>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wt.</w:t>
            </w:r>
          </w:p>
        </w:tc>
        <w:tc>
          <w:tcPr>
            <w:tcW w:w="1440" w:type="dxa"/>
            <w:tcBorders>
              <w:bottom w:val="single" w:sz="4" w:space="0" w:color="FFFFFF"/>
            </w:tcBorders>
            <w:shd w:val="clear" w:color="auto" w:fill="8063A1"/>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Dry </w:t>
            </w:r>
            <w:proofErr w:type="spellStart"/>
            <w:proofErr w:type="gramStart"/>
            <w:r>
              <w:rPr>
                <w:rFonts w:ascii="Times New Roman" w:eastAsia="Times New Roman" w:hAnsi="Times New Roman" w:cs="Times New Roman"/>
                <w:b/>
                <w:sz w:val="24"/>
                <w:szCs w:val="24"/>
              </w:rPr>
              <w:t>wt</w:t>
            </w:r>
            <w:proofErr w:type="spellEnd"/>
            <w:r>
              <w:rPr>
                <w:rFonts w:ascii="Times New Roman" w:eastAsia="Times New Roman" w:hAnsi="Times New Roman" w:cs="Times New Roman"/>
                <w:b/>
                <w:sz w:val="24"/>
                <w:szCs w:val="24"/>
              </w:rPr>
              <w:t xml:space="preserve"> .</w:t>
            </w:r>
            <w:proofErr w:type="gramEnd"/>
          </w:p>
        </w:tc>
        <w:tc>
          <w:tcPr>
            <w:tcW w:w="1621" w:type="dxa"/>
            <w:tcBorders>
              <w:bottom w:val="single" w:sz="4" w:space="0" w:color="FFFFFF"/>
            </w:tcBorders>
            <w:shd w:val="clear" w:color="auto" w:fill="8063A1"/>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wt. (W)</w:t>
            </w:r>
          </w:p>
        </w:tc>
        <w:tc>
          <w:tcPr>
            <w:tcW w:w="1165" w:type="dxa"/>
            <w:tcBorders>
              <w:bottom w:val="single" w:sz="4" w:space="0" w:color="FFFFFF"/>
            </w:tcBorders>
            <w:shd w:val="clear" w:color="auto" w:fill="8063A1"/>
          </w:tcPr>
          <w:p w:rsidR="00D757D3" w:rsidRDefault="00FA7037">
            <w:pPr>
              <w:widowControl w:val="0"/>
              <w:tabs>
                <w:tab w:val="left" w:pos="747"/>
              </w:tabs>
              <w:spacing w:line="360" w:lineRule="auto"/>
              <w:ind w:left="106" w:right="10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Ash</w:t>
            </w:r>
            <w:r>
              <w:rPr>
                <w:rFonts w:ascii="Times New Roman" w:eastAsia="Times New Roman" w:hAnsi="Times New Roman" w:cs="Times New Roman"/>
                <w:b/>
                <w:sz w:val="24"/>
                <w:szCs w:val="24"/>
              </w:rPr>
              <w:tab/>
              <w:t>wt. (w)</w:t>
            </w:r>
          </w:p>
        </w:tc>
      </w:tr>
      <w:tr w:rsidR="00D757D3">
        <w:trPr>
          <w:trHeight w:val="554"/>
        </w:trPr>
        <w:tc>
          <w:tcPr>
            <w:tcW w:w="662" w:type="dxa"/>
            <w:tcBorders>
              <w:top w:val="single" w:sz="4" w:space="0" w:color="FFFFFF"/>
              <w:right w:val="single" w:sz="4" w:space="0" w:color="FFFFFF"/>
            </w:tcBorders>
            <w:shd w:val="clear" w:color="auto" w:fill="8063A1"/>
          </w:tcPr>
          <w:p w:rsidR="00D757D3" w:rsidRDefault="00FA7037">
            <w:pPr>
              <w:widowControl w:val="0"/>
              <w:spacing w:line="360" w:lineRule="auto"/>
              <w:ind w:left="10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08" w:type="dxa"/>
            <w:tcBorders>
              <w:top w:val="single" w:sz="4" w:space="0" w:color="FFFFFF"/>
              <w:left w:val="single" w:sz="4" w:space="0" w:color="FFFFFF"/>
              <w:right w:val="single" w:sz="4" w:space="0" w:color="FFFFFF"/>
            </w:tcBorders>
            <w:shd w:val="clear" w:color="auto" w:fill="CCC0D9"/>
          </w:tcPr>
          <w:p w:rsidR="00D757D3" w:rsidRDefault="00FA7037">
            <w:pPr>
              <w:widowControl w:val="0"/>
              <w:spacing w:line="360" w:lineRule="auto"/>
              <w:ind w:left="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Sports Bar</w:t>
            </w:r>
          </w:p>
        </w:tc>
        <w:tc>
          <w:tcPr>
            <w:tcW w:w="1801" w:type="dxa"/>
            <w:tcBorders>
              <w:top w:val="single" w:sz="4" w:space="0" w:color="FFFFFF"/>
              <w:left w:val="single" w:sz="4" w:space="0" w:color="FFFFFF"/>
              <w:right w:val="single" w:sz="4" w:space="0" w:color="FFFFFF"/>
            </w:tcBorders>
            <w:shd w:val="clear" w:color="auto" w:fill="CCC0D9"/>
          </w:tcPr>
          <w:p w:rsidR="00D757D3" w:rsidRDefault="00FA7037">
            <w:pPr>
              <w:widowControl w:val="0"/>
              <w:spacing w:line="360" w:lineRule="auto"/>
              <w:ind w:left="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20g</w:t>
            </w:r>
          </w:p>
        </w:tc>
        <w:tc>
          <w:tcPr>
            <w:tcW w:w="1621" w:type="dxa"/>
            <w:tcBorders>
              <w:top w:val="single" w:sz="4" w:space="0" w:color="FFFFFF"/>
              <w:left w:val="single" w:sz="4" w:space="0" w:color="FFFFFF"/>
              <w:right w:val="single" w:sz="4" w:space="0" w:color="FFFFFF"/>
            </w:tcBorders>
            <w:shd w:val="clear" w:color="auto" w:fill="CCC0D9"/>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440" w:type="dxa"/>
            <w:tcBorders>
              <w:top w:val="single" w:sz="4" w:space="0" w:color="FFFFFF"/>
              <w:left w:val="single" w:sz="4" w:space="0" w:color="FFFFFF"/>
              <w:right w:val="single" w:sz="4" w:space="0" w:color="FFFFFF"/>
            </w:tcBorders>
            <w:shd w:val="clear" w:color="auto" w:fill="CCC0D9"/>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621" w:type="dxa"/>
            <w:tcBorders>
              <w:top w:val="single" w:sz="4" w:space="0" w:color="FFFFFF"/>
              <w:left w:val="single" w:sz="4" w:space="0" w:color="FFFFFF"/>
              <w:right w:val="single" w:sz="4" w:space="0" w:color="FFFFFF"/>
            </w:tcBorders>
            <w:shd w:val="clear" w:color="auto" w:fill="CCC0D9"/>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23.5g</w:t>
            </w:r>
          </w:p>
        </w:tc>
        <w:tc>
          <w:tcPr>
            <w:tcW w:w="1165" w:type="dxa"/>
            <w:tcBorders>
              <w:top w:val="single" w:sz="4" w:space="0" w:color="FFFFFF"/>
              <w:left w:val="single" w:sz="4" w:space="0" w:color="FFFFFF"/>
            </w:tcBorders>
            <w:shd w:val="clear" w:color="auto" w:fill="CCC0D9"/>
          </w:tcPr>
          <w:p w:rsidR="00D757D3" w:rsidRDefault="00FA7037">
            <w:pPr>
              <w:widowControl w:val="0"/>
              <w:spacing w:line="360" w:lineRule="auto"/>
              <w:ind w:lef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1.5g</w:t>
            </w:r>
          </w:p>
        </w:tc>
      </w:tr>
    </w:tbl>
    <w:p w:rsidR="00D757D3" w:rsidRDefault="00FA7037">
      <w:pPr>
        <w:widowControl w:v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 ,</w:t>
      </w:r>
      <w:proofErr w:type="gramEnd"/>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weight of dry sample + crucible </w:t>
      </w:r>
      <w:proofErr w:type="gramStart"/>
      <w:r>
        <w:rPr>
          <w:rFonts w:ascii="Times New Roman" w:eastAsia="Times New Roman" w:hAnsi="Times New Roman" w:cs="Times New Roman"/>
          <w:sz w:val="24"/>
          <w:szCs w:val="24"/>
        </w:rPr>
        <w:t>( initial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w:t>
      </w:r>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weight of ash + crucible </w:t>
      </w:r>
      <w:proofErr w:type="gramStart"/>
      <w:r>
        <w:rPr>
          <w:rFonts w:ascii="Times New Roman" w:eastAsia="Times New Roman" w:hAnsi="Times New Roman" w:cs="Times New Roman"/>
          <w:sz w:val="24"/>
          <w:szCs w:val="24"/>
        </w:rPr>
        <w:t>( final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w:t>
      </w:r>
    </w:p>
    <w:p w:rsidR="00D757D3" w:rsidRDefault="00FA7037">
      <w:pPr>
        <w:widowControl w:val="0"/>
        <w:tabs>
          <w:tab w:val="left" w:pos="39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Ash % of Sports bar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(Weight of </w:t>
      </w:r>
      <w:proofErr w:type="spellStart"/>
      <w:r>
        <w:rPr>
          <w:rFonts w:ascii="Times New Roman" w:eastAsia="Times New Roman" w:hAnsi="Times New Roman" w:cs="Times New Roman"/>
          <w:sz w:val="24"/>
          <w:szCs w:val="24"/>
        </w:rPr>
        <w:t>ashed</w:t>
      </w:r>
      <w:proofErr w:type="spellEnd"/>
      <w:r>
        <w:rPr>
          <w:rFonts w:ascii="Times New Roman" w:eastAsia="Times New Roman" w:hAnsi="Times New Roman" w:cs="Times New Roman"/>
          <w:sz w:val="24"/>
          <w:szCs w:val="24"/>
        </w:rPr>
        <w:t xml:space="preserve"> sample)/Weight of original sample ×100</w:t>
      </w:r>
    </w:p>
    <w:p w:rsidR="00D757D3" w:rsidRDefault="00FA7037">
      <w:pPr>
        <w:widowControl w:val="0"/>
        <w:tabs>
          <w:tab w:val="left" w:pos="4215"/>
        </w:tabs>
        <w:spacing w:before="15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(1.5)/23 .5 × 100</w:t>
      </w:r>
    </w:p>
    <w:p w:rsidR="00D757D3" w:rsidRDefault="00FA7037">
      <w:pPr>
        <w:widowControl w:val="0"/>
        <w:tabs>
          <w:tab w:val="left" w:pos="4275"/>
        </w:tabs>
        <w:spacing w:before="156"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6.38%</w:t>
      </w:r>
    </w:p>
    <w:p w:rsidR="00D757D3" w:rsidRDefault="00D757D3">
      <w:pPr>
        <w:widowControl w:val="0"/>
        <w:spacing w:line="360" w:lineRule="auto"/>
        <w:jc w:val="both"/>
        <w:rPr>
          <w:rFonts w:ascii="Times New Roman" w:eastAsia="Times New Roman" w:hAnsi="Times New Roman" w:cs="Times New Roman"/>
          <w:sz w:val="24"/>
          <w:szCs w:val="24"/>
        </w:rPr>
      </w:pPr>
    </w:p>
    <w:p w:rsidR="00D757D3" w:rsidRDefault="00FA7037">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Crude </w:t>
      </w:r>
      <w:proofErr w:type="spellStart"/>
      <w:r>
        <w:rPr>
          <w:rFonts w:ascii="Times New Roman" w:eastAsia="Times New Roman" w:hAnsi="Times New Roman" w:cs="Times New Roman"/>
          <w:b/>
          <w:sz w:val="24"/>
          <w:szCs w:val="24"/>
        </w:rPr>
        <w:t>Fibre</w:t>
      </w:r>
      <w:proofErr w:type="spellEnd"/>
      <w:r>
        <w:rPr>
          <w:rFonts w:ascii="Times New Roman" w:eastAsia="Times New Roman" w:hAnsi="Times New Roman" w:cs="Times New Roman"/>
          <w:b/>
          <w:sz w:val="24"/>
          <w:szCs w:val="24"/>
        </w:rPr>
        <w:t xml:space="preserve"> Content:</w:t>
      </w:r>
    </w:p>
    <w:p w:rsidR="00D757D3" w:rsidRDefault="00FA7037">
      <w:pPr>
        <w:widowControl w:val="0"/>
        <w:spacing w:before="5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no. 09 Crude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Content:</w:t>
      </w:r>
    </w:p>
    <w:tbl>
      <w:tblPr>
        <w:tblStyle w:val="a7"/>
        <w:tblW w:w="8722" w:type="dxa"/>
        <w:tblInd w:w="689" w:type="dxa"/>
        <w:tblBorders>
          <w:top w:val="nil"/>
          <w:left w:val="nil"/>
          <w:bottom w:val="nil"/>
          <w:right w:val="nil"/>
          <w:insideH w:val="nil"/>
          <w:insideV w:val="nil"/>
        </w:tblBorders>
        <w:tblLayout w:type="fixed"/>
        <w:tblLook w:val="0000" w:firstRow="0" w:lastRow="0" w:firstColumn="0" w:lastColumn="0" w:noHBand="0" w:noVBand="0"/>
      </w:tblPr>
      <w:tblGrid>
        <w:gridCol w:w="665"/>
        <w:gridCol w:w="1345"/>
        <w:gridCol w:w="1501"/>
        <w:gridCol w:w="1561"/>
        <w:gridCol w:w="1854"/>
        <w:gridCol w:w="1796"/>
      </w:tblGrid>
      <w:tr w:rsidR="00D757D3">
        <w:trPr>
          <w:trHeight w:val="967"/>
        </w:trPr>
        <w:tc>
          <w:tcPr>
            <w:tcW w:w="665" w:type="dxa"/>
            <w:tcBorders>
              <w:bottom w:val="single" w:sz="4" w:space="0" w:color="FFFFFF"/>
            </w:tcBorders>
            <w:shd w:val="clear" w:color="auto" w:fill="9BBA58"/>
          </w:tcPr>
          <w:p w:rsidR="00D757D3" w:rsidRDefault="00FA7037">
            <w:pPr>
              <w:widowControl w:val="0"/>
              <w:spacing w:line="360" w:lineRule="auto"/>
              <w:ind w:left="103"/>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SNo</w:t>
            </w:r>
            <w:proofErr w:type="spellEnd"/>
          </w:p>
        </w:tc>
        <w:tc>
          <w:tcPr>
            <w:tcW w:w="1345" w:type="dxa"/>
            <w:tcBorders>
              <w:bottom w:val="single" w:sz="4" w:space="0" w:color="FFFFFF"/>
            </w:tcBorders>
            <w:shd w:val="clear" w:color="auto" w:fill="9BBA58"/>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1501" w:type="dxa"/>
            <w:tcBorders>
              <w:bottom w:val="single" w:sz="4" w:space="0" w:color="FFFFFF"/>
            </w:tcBorders>
            <w:shd w:val="clear" w:color="auto" w:fill="9BBA58"/>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Crucible wt.</w:t>
            </w:r>
          </w:p>
        </w:tc>
        <w:tc>
          <w:tcPr>
            <w:tcW w:w="1561" w:type="dxa"/>
            <w:tcBorders>
              <w:bottom w:val="single" w:sz="4" w:space="0" w:color="FFFFFF"/>
            </w:tcBorders>
            <w:shd w:val="clear" w:color="auto" w:fill="9BBA58"/>
          </w:tcPr>
          <w:p w:rsidR="00D757D3" w:rsidRDefault="00FA7037">
            <w:pPr>
              <w:widowControl w:val="0"/>
              <w:spacing w:line="360" w:lineRule="auto"/>
              <w:ind w:left="10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wt.</w:t>
            </w:r>
          </w:p>
        </w:tc>
        <w:tc>
          <w:tcPr>
            <w:tcW w:w="1854" w:type="dxa"/>
            <w:tcBorders>
              <w:bottom w:val="single" w:sz="4" w:space="0" w:color="FFFFFF"/>
            </w:tcBorders>
            <w:shd w:val="clear" w:color="auto" w:fill="9BBA58"/>
          </w:tcPr>
          <w:p w:rsidR="00D757D3" w:rsidRDefault="00FA7037">
            <w:pPr>
              <w:widowControl w:val="0"/>
              <w:tabs>
                <w:tab w:val="left" w:pos="1487"/>
              </w:tabs>
              <w:spacing w:line="360" w:lineRule="auto"/>
              <w:ind w:left="105" w:right="1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Crucible</w:t>
            </w:r>
            <w:r>
              <w:rPr>
                <w:rFonts w:ascii="Times New Roman" w:eastAsia="Times New Roman" w:hAnsi="Times New Roman" w:cs="Times New Roman"/>
                <w:b/>
                <w:sz w:val="24"/>
                <w:szCs w:val="24"/>
              </w:rPr>
              <w:tab/>
            </w:r>
            <w:proofErr w:type="spellStart"/>
            <w:r>
              <w:rPr>
                <w:rFonts w:ascii="Times New Roman" w:eastAsia="Times New Roman" w:hAnsi="Times New Roman" w:cs="Times New Roman"/>
                <w:b/>
                <w:sz w:val="24"/>
                <w:szCs w:val="24"/>
              </w:rPr>
              <w:t>wt</w:t>
            </w:r>
            <w:proofErr w:type="spellEnd"/>
            <w:r>
              <w:rPr>
                <w:rFonts w:ascii="Times New Roman" w:eastAsia="Times New Roman" w:hAnsi="Times New Roman" w:cs="Times New Roman"/>
                <w:b/>
                <w:sz w:val="24"/>
                <w:szCs w:val="24"/>
              </w:rPr>
              <w:t xml:space="preserve"> with </w:t>
            </w:r>
            <w:proofErr w:type="spellStart"/>
            <w:r>
              <w:rPr>
                <w:rFonts w:ascii="Times New Roman" w:eastAsia="Times New Roman" w:hAnsi="Times New Roman" w:cs="Times New Roman"/>
                <w:b/>
                <w:sz w:val="24"/>
                <w:szCs w:val="24"/>
              </w:rPr>
              <w:t>fibre</w:t>
            </w:r>
            <w:proofErr w:type="spellEnd"/>
            <w:r>
              <w:rPr>
                <w:rFonts w:ascii="Times New Roman" w:eastAsia="Times New Roman" w:hAnsi="Times New Roman" w:cs="Times New Roman"/>
                <w:b/>
                <w:sz w:val="24"/>
                <w:szCs w:val="24"/>
              </w:rPr>
              <w:t xml:space="preserve"> (W)</w:t>
            </w:r>
          </w:p>
        </w:tc>
        <w:tc>
          <w:tcPr>
            <w:tcW w:w="1796" w:type="dxa"/>
            <w:tcBorders>
              <w:bottom w:val="single" w:sz="4" w:space="0" w:color="FFFFFF"/>
            </w:tcBorders>
            <w:shd w:val="clear" w:color="auto" w:fill="9BBA58"/>
          </w:tcPr>
          <w:p w:rsidR="00D757D3" w:rsidRDefault="00FA7037">
            <w:pPr>
              <w:widowControl w:val="0"/>
              <w:spacing w:line="360" w:lineRule="auto"/>
              <w:ind w:left="105" w:right="104"/>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Ashed</w:t>
            </w:r>
            <w:proofErr w:type="spellEnd"/>
            <w:r>
              <w:rPr>
                <w:rFonts w:ascii="Times New Roman" w:eastAsia="Times New Roman" w:hAnsi="Times New Roman" w:cs="Times New Roman"/>
                <w:b/>
                <w:sz w:val="24"/>
                <w:szCs w:val="24"/>
              </w:rPr>
              <w:t xml:space="preserve"> residue </w:t>
            </w:r>
            <w:proofErr w:type="spellStart"/>
            <w:r>
              <w:rPr>
                <w:rFonts w:ascii="Times New Roman" w:eastAsia="Times New Roman" w:hAnsi="Times New Roman" w:cs="Times New Roman"/>
                <w:b/>
                <w:sz w:val="24"/>
                <w:szCs w:val="24"/>
              </w:rPr>
              <w:t>wt</w:t>
            </w:r>
            <w:proofErr w:type="spellEnd"/>
            <w:r>
              <w:rPr>
                <w:rFonts w:ascii="Times New Roman" w:eastAsia="Times New Roman" w:hAnsi="Times New Roman" w:cs="Times New Roman"/>
                <w:b/>
                <w:sz w:val="24"/>
                <w:szCs w:val="24"/>
              </w:rPr>
              <w:t xml:space="preserve"> (w)</w:t>
            </w:r>
          </w:p>
        </w:tc>
      </w:tr>
      <w:tr w:rsidR="00D757D3">
        <w:trPr>
          <w:trHeight w:val="554"/>
        </w:trPr>
        <w:tc>
          <w:tcPr>
            <w:tcW w:w="665" w:type="dxa"/>
            <w:tcBorders>
              <w:top w:val="single" w:sz="4" w:space="0" w:color="FFFFFF"/>
              <w:right w:val="single" w:sz="4" w:space="0" w:color="FFFFFF"/>
            </w:tcBorders>
            <w:shd w:val="clear" w:color="auto" w:fill="9BBA58"/>
          </w:tcPr>
          <w:p w:rsidR="00D757D3" w:rsidRDefault="00FA7037">
            <w:pPr>
              <w:widowControl w:val="0"/>
              <w:spacing w:line="360" w:lineRule="auto"/>
              <w:ind w:left="10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45" w:type="dxa"/>
            <w:tcBorders>
              <w:top w:val="single" w:sz="4" w:space="0" w:color="FFFFFF"/>
              <w:left w:val="single" w:sz="4" w:space="0" w:color="FFFFFF"/>
              <w:right w:val="single" w:sz="4" w:space="0" w:color="FFFFFF"/>
            </w:tcBorders>
            <w:shd w:val="clear" w:color="auto" w:fill="D5E2BB"/>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Sports Bar</w:t>
            </w:r>
          </w:p>
        </w:tc>
        <w:tc>
          <w:tcPr>
            <w:tcW w:w="1501" w:type="dxa"/>
            <w:tcBorders>
              <w:top w:val="single" w:sz="4" w:space="0" w:color="FFFFFF"/>
              <w:left w:val="single" w:sz="4" w:space="0" w:color="FFFFFF"/>
              <w:right w:val="single" w:sz="4" w:space="0" w:color="FFFFFF"/>
            </w:tcBorders>
            <w:shd w:val="clear" w:color="auto" w:fill="D5E2BB"/>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19g</w:t>
            </w:r>
          </w:p>
        </w:tc>
        <w:tc>
          <w:tcPr>
            <w:tcW w:w="1561" w:type="dxa"/>
            <w:tcBorders>
              <w:top w:val="single" w:sz="4" w:space="0" w:color="FFFFFF"/>
              <w:left w:val="single" w:sz="4" w:space="0" w:color="FFFFFF"/>
              <w:right w:val="single" w:sz="4" w:space="0" w:color="FFFFFF"/>
            </w:tcBorders>
            <w:shd w:val="clear" w:color="auto" w:fill="D5E2BB"/>
          </w:tcPr>
          <w:p w:rsidR="00D757D3" w:rsidRDefault="00FA7037">
            <w:pPr>
              <w:widowControl w:val="0"/>
              <w:spacing w:line="360" w:lineRule="auto"/>
              <w:ind w:lef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854" w:type="dxa"/>
            <w:tcBorders>
              <w:top w:val="single" w:sz="4" w:space="0" w:color="FFFFFF"/>
              <w:left w:val="single" w:sz="4" w:space="0" w:color="FFFFFF"/>
              <w:right w:val="single" w:sz="4" w:space="0" w:color="FFFFFF"/>
            </w:tcBorders>
            <w:shd w:val="clear" w:color="auto" w:fill="D5E2BB"/>
          </w:tcPr>
          <w:p w:rsidR="00D757D3" w:rsidRDefault="00FA7037">
            <w:pPr>
              <w:widowControl w:val="0"/>
              <w:spacing w:line="36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19.37g</w:t>
            </w:r>
          </w:p>
        </w:tc>
        <w:tc>
          <w:tcPr>
            <w:tcW w:w="1796" w:type="dxa"/>
            <w:tcBorders>
              <w:top w:val="single" w:sz="4" w:space="0" w:color="FFFFFF"/>
              <w:left w:val="single" w:sz="4" w:space="0" w:color="FFFFFF"/>
            </w:tcBorders>
            <w:shd w:val="clear" w:color="auto" w:fill="D5E2BB"/>
          </w:tcPr>
          <w:p w:rsidR="00D757D3" w:rsidRDefault="00FA7037">
            <w:pPr>
              <w:widowControl w:val="0"/>
              <w:spacing w:line="36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19.03g</w:t>
            </w:r>
          </w:p>
        </w:tc>
      </w:tr>
    </w:tbl>
    <w:p w:rsidR="00D757D3" w:rsidRDefault="00FA7037">
      <w:pPr>
        <w:widowControl w:val="0"/>
        <w:spacing w:before="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D757D3" w:rsidRDefault="00FA7037">
      <w:pPr>
        <w:widowControl w:val="0"/>
        <w:spacing w:line="360" w:lineRule="auto"/>
        <w:ind w:right="4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weight of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 crucible </w:t>
      </w:r>
    </w:p>
    <w:p w:rsidR="00D757D3" w:rsidRDefault="00FA7037">
      <w:pPr>
        <w:widowControl w:val="0"/>
        <w:spacing w:line="360" w:lineRule="auto"/>
        <w:ind w:right="4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 weight of ash + crucible</w:t>
      </w:r>
    </w:p>
    <w:p w:rsidR="00D757D3" w:rsidRDefault="00FA7037">
      <w:pPr>
        <w:widowControl w:val="0"/>
        <w:spacing w:line="360" w:lineRule="auto"/>
        <w:ind w:right="4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 sample </w:t>
      </w:r>
      <w:proofErr w:type="spellStart"/>
      <w:r>
        <w:rPr>
          <w:rFonts w:ascii="Times New Roman" w:eastAsia="Times New Roman" w:hAnsi="Times New Roman" w:cs="Times New Roman"/>
          <w:sz w:val="24"/>
          <w:szCs w:val="24"/>
        </w:rPr>
        <w:t>wt</w:t>
      </w:r>
      <w:proofErr w:type="spellEnd"/>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Crude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 in Sports </w:t>
      </w:r>
      <w:proofErr w:type="gramStart"/>
      <w:r>
        <w:rPr>
          <w:rFonts w:ascii="Times New Roman" w:eastAsia="Times New Roman" w:hAnsi="Times New Roman" w:cs="Times New Roman"/>
          <w:sz w:val="24"/>
          <w:szCs w:val="24"/>
        </w:rPr>
        <w:t>Bar  =</w:t>
      </w:r>
      <w:proofErr w:type="gramEnd"/>
      <w:r>
        <w:rPr>
          <w:rFonts w:ascii="Times New Roman" w:eastAsia="Times New Roman" w:hAnsi="Times New Roman" w:cs="Times New Roman"/>
          <w:sz w:val="24"/>
          <w:szCs w:val="24"/>
        </w:rPr>
        <w:t xml:space="preserve">  (W– w )/w ×100</w:t>
      </w:r>
    </w:p>
    <w:p w:rsidR="00D757D3" w:rsidRDefault="00FA7037">
      <w:pPr>
        <w:widowControl w:val="0"/>
        <w:tabs>
          <w:tab w:val="left" w:pos="6752"/>
        </w:tabs>
        <w:spacing w:before="158"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19.37-19.03)/19.03 ×100</w:t>
      </w:r>
      <w:r>
        <w:rPr>
          <w:rFonts w:ascii="Times New Roman" w:eastAsia="Times New Roman" w:hAnsi="Times New Roman" w:cs="Times New Roman"/>
          <w:sz w:val="24"/>
          <w:szCs w:val="24"/>
        </w:rPr>
        <w:tab/>
      </w:r>
    </w:p>
    <w:p w:rsidR="00D757D3" w:rsidRDefault="00FA7037">
      <w:pPr>
        <w:widowControl w:val="0"/>
        <w:spacing w:before="15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1.78%</w:t>
      </w:r>
    </w:p>
    <w:p w:rsidR="00D757D3" w:rsidRDefault="00D757D3">
      <w:pPr>
        <w:widowControl w:val="0"/>
        <w:spacing w:before="9" w:line="360" w:lineRule="auto"/>
        <w:jc w:val="both"/>
        <w:rPr>
          <w:rFonts w:ascii="Times New Roman" w:eastAsia="Times New Roman" w:hAnsi="Times New Roman" w:cs="Times New Roman"/>
          <w:sz w:val="24"/>
          <w:szCs w:val="24"/>
        </w:rPr>
      </w:pPr>
    </w:p>
    <w:p w:rsidR="00D757D3" w:rsidRDefault="00FA7037">
      <w:pPr>
        <w:widowControl w:val="0"/>
        <w:spacing w:before="9"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Fat Content:</w:t>
      </w:r>
    </w:p>
    <w:p w:rsidR="00D757D3" w:rsidRDefault="00FA7037">
      <w:pPr>
        <w:widowControl w:val="0"/>
        <w:spacing w:before="5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10 Fat content:</w:t>
      </w:r>
    </w:p>
    <w:tbl>
      <w:tblPr>
        <w:tblStyle w:val="a8"/>
        <w:tblW w:w="7458" w:type="dxa"/>
        <w:tblInd w:w="1318" w:type="dxa"/>
        <w:tblBorders>
          <w:top w:val="nil"/>
          <w:left w:val="nil"/>
          <w:bottom w:val="nil"/>
          <w:right w:val="nil"/>
          <w:insideH w:val="nil"/>
          <w:insideV w:val="nil"/>
        </w:tblBorders>
        <w:tblLayout w:type="fixed"/>
        <w:tblLook w:val="0000" w:firstRow="0" w:lastRow="0" w:firstColumn="0" w:lastColumn="0" w:noHBand="0" w:noVBand="0"/>
      </w:tblPr>
      <w:tblGrid>
        <w:gridCol w:w="779"/>
        <w:gridCol w:w="1690"/>
        <w:gridCol w:w="1649"/>
        <w:gridCol w:w="1792"/>
        <w:gridCol w:w="1548"/>
      </w:tblGrid>
      <w:tr w:rsidR="00D757D3">
        <w:trPr>
          <w:trHeight w:val="550"/>
        </w:trPr>
        <w:tc>
          <w:tcPr>
            <w:tcW w:w="780" w:type="dxa"/>
            <w:tcBorders>
              <w:bottom w:val="single" w:sz="6" w:space="0" w:color="FFFFFF"/>
            </w:tcBorders>
            <w:shd w:val="clear" w:color="auto" w:fill="C0504D"/>
          </w:tcPr>
          <w:p w:rsidR="00D757D3" w:rsidRDefault="00FA7037">
            <w:pPr>
              <w:widowControl w:val="0"/>
              <w:spacing w:line="360" w:lineRule="auto"/>
              <w:ind w:left="103"/>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SNo</w:t>
            </w:r>
            <w:proofErr w:type="spellEnd"/>
            <w:r>
              <w:rPr>
                <w:rFonts w:ascii="Times New Roman" w:eastAsia="Times New Roman" w:hAnsi="Times New Roman" w:cs="Times New Roman"/>
                <w:b/>
                <w:sz w:val="24"/>
                <w:szCs w:val="24"/>
              </w:rPr>
              <w:t xml:space="preserve"> .</w:t>
            </w:r>
            <w:proofErr w:type="gramEnd"/>
          </w:p>
        </w:tc>
        <w:tc>
          <w:tcPr>
            <w:tcW w:w="1690" w:type="dxa"/>
            <w:tcBorders>
              <w:bottom w:val="single" w:sz="6" w:space="0" w:color="FFFFFF"/>
            </w:tcBorders>
            <w:shd w:val="clear" w:color="auto" w:fill="C0504D"/>
          </w:tcPr>
          <w:p w:rsidR="00D757D3" w:rsidRDefault="00FA7037">
            <w:pPr>
              <w:widowControl w:val="0"/>
              <w:spacing w:line="360"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1649" w:type="dxa"/>
            <w:tcBorders>
              <w:bottom w:val="single" w:sz="6" w:space="0" w:color="FFFFFF"/>
            </w:tcBorders>
            <w:shd w:val="clear" w:color="auto" w:fill="C0504D"/>
          </w:tcPr>
          <w:p w:rsidR="00D757D3" w:rsidRDefault="00FA7037">
            <w:pPr>
              <w:widowControl w:val="0"/>
              <w:spacing w:line="360"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wt.</w:t>
            </w:r>
          </w:p>
        </w:tc>
        <w:tc>
          <w:tcPr>
            <w:tcW w:w="1792" w:type="dxa"/>
            <w:tcBorders>
              <w:bottom w:val="single" w:sz="6" w:space="0" w:color="FFFFFF"/>
            </w:tcBorders>
            <w:shd w:val="clear" w:color="auto" w:fill="C0504D"/>
          </w:tcPr>
          <w:p w:rsidR="00D757D3" w:rsidRDefault="00FA7037">
            <w:pPr>
              <w:widowControl w:val="0"/>
              <w:spacing w:line="360"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Beaker wt. (W)</w:t>
            </w:r>
          </w:p>
        </w:tc>
        <w:tc>
          <w:tcPr>
            <w:tcW w:w="1548" w:type="dxa"/>
            <w:tcBorders>
              <w:bottom w:val="single" w:sz="6" w:space="0" w:color="FFFFFF"/>
            </w:tcBorders>
            <w:shd w:val="clear" w:color="auto" w:fill="C0504D"/>
          </w:tcPr>
          <w:p w:rsidR="00D757D3" w:rsidRDefault="00FA7037">
            <w:pPr>
              <w:widowControl w:val="0"/>
              <w:spacing w:line="360" w:lineRule="auto"/>
              <w:ind w:left="1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wt. (w)</w:t>
            </w:r>
          </w:p>
        </w:tc>
      </w:tr>
      <w:tr w:rsidR="00D757D3">
        <w:trPr>
          <w:trHeight w:val="550"/>
        </w:trPr>
        <w:tc>
          <w:tcPr>
            <w:tcW w:w="780" w:type="dxa"/>
            <w:tcBorders>
              <w:top w:val="single" w:sz="6" w:space="0" w:color="FFFFFF"/>
              <w:right w:val="single" w:sz="4" w:space="0" w:color="FFFFFF"/>
            </w:tcBorders>
            <w:shd w:val="clear" w:color="auto" w:fill="C0504D"/>
          </w:tcPr>
          <w:p w:rsidR="00D757D3" w:rsidRDefault="00FA7037">
            <w:pPr>
              <w:widowControl w:val="0"/>
              <w:spacing w:line="360" w:lineRule="auto"/>
              <w:ind w:left="10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90" w:type="dxa"/>
            <w:tcBorders>
              <w:top w:val="single" w:sz="6" w:space="0" w:color="FFFFFF"/>
              <w:left w:val="single" w:sz="4" w:space="0" w:color="FFFFFF"/>
              <w:right w:val="single" w:sz="4" w:space="0" w:color="FFFFFF"/>
            </w:tcBorders>
            <w:shd w:val="clear" w:color="auto" w:fill="E4B8B7"/>
          </w:tcPr>
          <w:p w:rsidR="00D757D3" w:rsidRDefault="00FA7037">
            <w:pPr>
              <w:widowControl w:val="0"/>
              <w:spacing w:line="360" w:lineRule="auto"/>
              <w:ind w:left="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Sports Bar</w:t>
            </w:r>
          </w:p>
        </w:tc>
        <w:tc>
          <w:tcPr>
            <w:tcW w:w="1649" w:type="dxa"/>
            <w:tcBorders>
              <w:top w:val="single" w:sz="6" w:space="0" w:color="FFFFFF"/>
              <w:left w:val="single" w:sz="4" w:space="0" w:color="FFFFFF"/>
              <w:right w:val="single" w:sz="4" w:space="0" w:color="FFFFFF"/>
            </w:tcBorders>
            <w:shd w:val="clear" w:color="auto" w:fill="E4B8B7"/>
          </w:tcPr>
          <w:p w:rsidR="00D757D3" w:rsidRDefault="00FA7037">
            <w:pPr>
              <w:widowControl w:val="0"/>
              <w:spacing w:line="360" w:lineRule="auto"/>
              <w:ind w:left="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792" w:type="dxa"/>
            <w:tcBorders>
              <w:top w:val="single" w:sz="6" w:space="0" w:color="FFFFFF"/>
              <w:left w:val="single" w:sz="4" w:space="0" w:color="FFFFFF"/>
              <w:right w:val="single" w:sz="4" w:space="0" w:color="FFFFFF"/>
            </w:tcBorders>
            <w:shd w:val="clear" w:color="auto" w:fill="E4B8B7"/>
          </w:tcPr>
          <w:p w:rsidR="00D757D3" w:rsidRDefault="00FA7037">
            <w:pPr>
              <w:widowControl w:val="0"/>
              <w:spacing w:line="360" w:lineRule="auto"/>
              <w:ind w:left="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163g</w:t>
            </w:r>
          </w:p>
        </w:tc>
        <w:tc>
          <w:tcPr>
            <w:tcW w:w="1548" w:type="dxa"/>
            <w:tcBorders>
              <w:top w:val="single" w:sz="6" w:space="0" w:color="FFFFFF"/>
              <w:left w:val="single" w:sz="4" w:space="0" w:color="FFFFFF"/>
            </w:tcBorders>
            <w:shd w:val="clear" w:color="auto" w:fill="E4B8B7"/>
          </w:tcPr>
          <w:p w:rsidR="00D757D3" w:rsidRDefault="00FA7037">
            <w:pPr>
              <w:widowControl w:val="0"/>
              <w:spacing w:line="360" w:lineRule="auto"/>
              <w:ind w:left="1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163.62g</w:t>
            </w:r>
          </w:p>
        </w:tc>
      </w:tr>
    </w:tbl>
    <w:p w:rsidR="00D757D3" w:rsidRDefault="00FA7037">
      <w:pPr>
        <w:widowControl w:v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 ,</w:t>
      </w:r>
      <w:proofErr w:type="gramEnd"/>
    </w:p>
    <w:p w:rsidR="00D757D3" w:rsidRDefault="00FA7037">
      <w:pPr>
        <w:widowControl w:val="0"/>
        <w:spacing w:line="360" w:lineRule="auto"/>
        <w:ind w:right="4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weight of beaker + sample </w:t>
      </w:r>
    </w:p>
    <w:p w:rsidR="00D757D3" w:rsidRDefault="00FA7037">
      <w:pPr>
        <w:widowControl w:val="0"/>
        <w:spacing w:line="360" w:lineRule="auto"/>
        <w:ind w:right="4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 weight of beaker + fat</w:t>
      </w:r>
    </w:p>
    <w:p w:rsidR="00D757D3" w:rsidRDefault="00FA7037">
      <w:pPr>
        <w:widowControl w:val="0"/>
        <w:spacing w:line="360" w:lineRule="auto"/>
        <w:ind w:right="4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 % of Sports bar =</w:t>
      </w:r>
      <w:r>
        <w:rPr>
          <w:rFonts w:ascii="Times New Roman" w:eastAsia="Times New Roman" w:hAnsi="Times New Roman" w:cs="Times New Roman"/>
          <w:sz w:val="24"/>
          <w:szCs w:val="24"/>
        </w:rPr>
        <w:tab/>
        <w:t xml:space="preserve"> (Weight of fat residue)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Weight of original sample) ×100</w:t>
      </w:r>
    </w:p>
    <w:p w:rsidR="00D757D3" w:rsidRDefault="00FA7037">
      <w:pPr>
        <w:widowControl w:val="0"/>
        <w:spacing w:line="360" w:lineRule="auto"/>
        <w:ind w:right="4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(0.62)/5 ×100</w:t>
      </w:r>
    </w:p>
    <w:p w:rsidR="00D757D3" w:rsidRDefault="00FA7037">
      <w:pPr>
        <w:widowControl w:val="0"/>
        <w:spacing w:before="159" w:line="360" w:lineRule="auto"/>
        <w:ind w:right="53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p w:rsidR="00D757D3" w:rsidRDefault="00FA7037">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Protein Content:</w:t>
      </w:r>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11 Protein Content:</w:t>
      </w:r>
    </w:p>
    <w:tbl>
      <w:tblPr>
        <w:tblStyle w:val="a9"/>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Ingredient</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Amount (g)</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Protein Content (g/100g)</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Protein (g)</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Sangria powder</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0.1665</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Oats</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Dates</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Fruits</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Seeds</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Peanut Butter (10g)</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D757D3">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Total</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60.05 g</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40" w:type="dxa"/>
            <w:tcBorders>
              <w:top w:val="nil"/>
              <w:left w:val="nil"/>
              <w:bottom w:val="nil"/>
              <w:right w:val="nil"/>
            </w:tcBorders>
            <w:tcMar>
              <w:top w:w="100" w:type="dxa"/>
              <w:left w:w="100" w:type="dxa"/>
              <w:bottom w:w="100" w:type="dxa"/>
              <w:right w:w="100" w:type="dxa"/>
            </w:tcMar>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7.6165 g</w:t>
            </w:r>
          </w:p>
        </w:tc>
      </w:tr>
    </w:tbl>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proportionally calculate protein in 5 g:</w:t>
      </w:r>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Protein (5 g </w:t>
      </w:r>
      <w:proofErr w:type="gramStart"/>
      <w:r>
        <w:rPr>
          <w:rFonts w:ascii="Times New Roman" w:eastAsia="Times New Roman" w:hAnsi="Times New Roman" w:cs="Times New Roman"/>
          <w:sz w:val="24"/>
          <w:szCs w:val="24"/>
        </w:rPr>
        <w:t>bar)=</w:t>
      </w:r>
      <w:proofErr w:type="gramEnd"/>
      <w:r>
        <w:rPr>
          <w:rFonts w:ascii="Times New Roman" w:eastAsia="Times New Roman" w:hAnsi="Times New Roman" w:cs="Times New Roman"/>
          <w:sz w:val="24"/>
          <w:szCs w:val="24"/>
        </w:rPr>
        <w:t>(7.6165)/60.05×5=0.634 g</w:t>
      </w:r>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(0.634​)/5×100=12.68%</w:t>
      </w:r>
    </w:p>
    <w:p w:rsidR="00D757D3" w:rsidRDefault="00FA7037">
      <w:pPr>
        <w:widowControl w:val="0"/>
        <w:spacing w:before="58" w:after="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11 (a) Protein Content:</w:t>
      </w:r>
    </w:p>
    <w:tbl>
      <w:tblPr>
        <w:tblStyle w:val="aa"/>
        <w:tblW w:w="6244" w:type="dxa"/>
        <w:tblInd w:w="1927" w:type="dxa"/>
        <w:tblBorders>
          <w:top w:val="nil"/>
          <w:left w:val="nil"/>
          <w:bottom w:val="nil"/>
          <w:right w:val="nil"/>
          <w:insideH w:val="nil"/>
          <w:insideV w:val="nil"/>
        </w:tblBorders>
        <w:tblLayout w:type="fixed"/>
        <w:tblLook w:val="0000" w:firstRow="0" w:lastRow="0" w:firstColumn="0" w:lastColumn="0" w:noHBand="0" w:noVBand="0"/>
      </w:tblPr>
      <w:tblGrid>
        <w:gridCol w:w="781"/>
        <w:gridCol w:w="1690"/>
        <w:gridCol w:w="1650"/>
        <w:gridCol w:w="2123"/>
      </w:tblGrid>
      <w:tr w:rsidR="00D757D3">
        <w:trPr>
          <w:trHeight w:val="554"/>
        </w:trPr>
        <w:tc>
          <w:tcPr>
            <w:tcW w:w="781" w:type="dxa"/>
            <w:tcBorders>
              <w:bottom w:val="single" w:sz="4" w:space="0" w:color="FFFFFF"/>
            </w:tcBorders>
            <w:shd w:val="clear" w:color="auto" w:fill="F79546"/>
          </w:tcPr>
          <w:p w:rsidR="00D757D3" w:rsidRDefault="00FA7037">
            <w:pPr>
              <w:widowControl w:val="0"/>
              <w:spacing w:line="360" w:lineRule="auto"/>
              <w:ind w:left="103"/>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SNo</w:t>
            </w:r>
            <w:proofErr w:type="spellEnd"/>
            <w:r>
              <w:rPr>
                <w:rFonts w:ascii="Times New Roman" w:eastAsia="Times New Roman" w:hAnsi="Times New Roman" w:cs="Times New Roman"/>
                <w:b/>
                <w:sz w:val="24"/>
                <w:szCs w:val="24"/>
              </w:rPr>
              <w:t xml:space="preserve"> .</w:t>
            </w:r>
            <w:proofErr w:type="gramEnd"/>
          </w:p>
        </w:tc>
        <w:tc>
          <w:tcPr>
            <w:tcW w:w="1690" w:type="dxa"/>
            <w:tcBorders>
              <w:bottom w:val="single" w:sz="4" w:space="0" w:color="FFFFFF"/>
            </w:tcBorders>
            <w:shd w:val="clear" w:color="auto" w:fill="F79546"/>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1650" w:type="dxa"/>
            <w:tcBorders>
              <w:bottom w:val="single" w:sz="4" w:space="0" w:color="FFFFFF"/>
            </w:tcBorders>
            <w:shd w:val="clear" w:color="auto" w:fill="F79546"/>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wt.</w:t>
            </w:r>
          </w:p>
        </w:tc>
        <w:tc>
          <w:tcPr>
            <w:tcW w:w="2123" w:type="dxa"/>
            <w:tcBorders>
              <w:bottom w:val="single" w:sz="4" w:space="0" w:color="FFFFFF"/>
            </w:tcBorders>
            <w:shd w:val="clear" w:color="auto" w:fill="F79546"/>
          </w:tcPr>
          <w:p w:rsidR="00D757D3" w:rsidRDefault="00FA7037">
            <w:pPr>
              <w:widowControl w:val="0"/>
              <w:spacing w:line="360" w:lineRule="auto"/>
              <w:ind w:left="10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 content</w:t>
            </w:r>
          </w:p>
        </w:tc>
      </w:tr>
      <w:tr w:rsidR="00D757D3">
        <w:trPr>
          <w:trHeight w:val="554"/>
        </w:trPr>
        <w:tc>
          <w:tcPr>
            <w:tcW w:w="781" w:type="dxa"/>
            <w:tcBorders>
              <w:top w:val="single" w:sz="4" w:space="0" w:color="FFFFFF"/>
              <w:right w:val="single" w:sz="4" w:space="0" w:color="FFFFFF"/>
            </w:tcBorders>
            <w:shd w:val="clear" w:color="auto" w:fill="F79546"/>
          </w:tcPr>
          <w:p w:rsidR="00D757D3" w:rsidRDefault="00FA7037">
            <w:pPr>
              <w:widowControl w:val="0"/>
              <w:spacing w:line="360" w:lineRule="auto"/>
              <w:ind w:left="10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90" w:type="dxa"/>
            <w:tcBorders>
              <w:top w:val="single" w:sz="4" w:space="0" w:color="FFFFFF"/>
              <w:left w:val="single" w:sz="4" w:space="0" w:color="FFFFFF"/>
              <w:right w:val="single" w:sz="4" w:space="0" w:color="FFFFFF"/>
            </w:tcBorders>
            <w:shd w:val="clear" w:color="auto" w:fill="FAD3B4"/>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Sports Bar</w:t>
            </w:r>
          </w:p>
        </w:tc>
        <w:tc>
          <w:tcPr>
            <w:tcW w:w="1650" w:type="dxa"/>
            <w:tcBorders>
              <w:top w:val="single" w:sz="4" w:space="0" w:color="FFFFFF"/>
              <w:left w:val="single" w:sz="4" w:space="0" w:color="FFFFFF"/>
              <w:right w:val="single" w:sz="4" w:space="0" w:color="FFFFFF"/>
            </w:tcBorders>
            <w:shd w:val="clear" w:color="auto" w:fill="FAD3B4"/>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2123" w:type="dxa"/>
            <w:tcBorders>
              <w:top w:val="single" w:sz="4" w:space="0" w:color="FFFFFF"/>
              <w:left w:val="single" w:sz="4" w:space="0" w:color="FFFFFF"/>
            </w:tcBorders>
            <w:shd w:val="clear" w:color="auto" w:fill="FAD3B4"/>
          </w:tcPr>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0.634g</w:t>
            </w:r>
          </w:p>
        </w:tc>
      </w:tr>
    </w:tbl>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5 g sample of the formulated Sangria sports bar (with 10% </w:t>
      </w: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incorporation) was analyzed for its protein content. The sample was found to contain </w:t>
      </w:r>
      <w:r>
        <w:rPr>
          <w:rFonts w:ascii="Times New Roman" w:eastAsia="Times New Roman" w:hAnsi="Times New Roman" w:cs="Times New Roman"/>
          <w:b/>
          <w:sz w:val="24"/>
          <w:szCs w:val="24"/>
        </w:rPr>
        <w:t>0.634 g of protein</w:t>
      </w:r>
      <w:r>
        <w:rPr>
          <w:rFonts w:ascii="Times New Roman" w:eastAsia="Times New Roman" w:hAnsi="Times New Roman" w:cs="Times New Roman"/>
          <w:sz w:val="24"/>
          <w:szCs w:val="24"/>
        </w:rPr>
        <w:t xml:space="preserve">, indicating a protein density of </w:t>
      </w:r>
      <w:r>
        <w:rPr>
          <w:rFonts w:ascii="Times New Roman" w:eastAsia="Times New Roman" w:hAnsi="Times New Roman" w:cs="Times New Roman"/>
          <w:b/>
          <w:sz w:val="24"/>
          <w:szCs w:val="24"/>
        </w:rPr>
        <w:t>12.68%</w:t>
      </w:r>
      <w:r>
        <w:rPr>
          <w:rFonts w:ascii="Times New Roman" w:eastAsia="Times New Roman" w:hAnsi="Times New Roman" w:cs="Times New Roman"/>
          <w:sz w:val="24"/>
          <w:szCs w:val="24"/>
        </w:rPr>
        <w:t>. This result highlights the bar's</w:t>
      </w:r>
      <w:r>
        <w:rPr>
          <w:rFonts w:ascii="Times New Roman" w:eastAsia="Times New Roman" w:hAnsi="Times New Roman" w:cs="Times New Roman"/>
          <w:sz w:val="24"/>
          <w:szCs w:val="24"/>
        </w:rPr>
        <w:t xml:space="preserve"> potential as a </w:t>
      </w:r>
      <w:r>
        <w:rPr>
          <w:rFonts w:ascii="Times New Roman" w:eastAsia="Times New Roman" w:hAnsi="Times New Roman" w:cs="Times New Roman"/>
          <w:b/>
          <w:sz w:val="24"/>
          <w:szCs w:val="24"/>
        </w:rPr>
        <w:t>nutrient-rich, plant-based protein source</w:t>
      </w:r>
      <w:r>
        <w:rPr>
          <w:rFonts w:ascii="Times New Roman" w:eastAsia="Times New Roman" w:hAnsi="Times New Roman" w:cs="Times New Roman"/>
          <w:sz w:val="24"/>
          <w:szCs w:val="24"/>
        </w:rPr>
        <w:t>, suitable for functional snacking. The protein contribution primarily comes from Sangria powder, oats, dry fruits, seeds, and peanut butter, making it an ideal supplement for energy and recovery, pa</w:t>
      </w:r>
      <w:r>
        <w:rPr>
          <w:rFonts w:ascii="Times New Roman" w:eastAsia="Times New Roman" w:hAnsi="Times New Roman" w:cs="Times New Roman"/>
          <w:sz w:val="24"/>
          <w:szCs w:val="24"/>
        </w:rPr>
        <w:t>rticularly in active or nutritionally conscious consumers.</w:t>
      </w:r>
    </w:p>
    <w:p w:rsidR="00D757D3" w:rsidRDefault="00D757D3">
      <w:pPr>
        <w:widowControl w:val="0"/>
        <w:spacing w:line="360" w:lineRule="auto"/>
        <w:jc w:val="both"/>
        <w:rPr>
          <w:rFonts w:ascii="Times New Roman" w:eastAsia="Times New Roman" w:hAnsi="Times New Roman" w:cs="Times New Roman"/>
          <w:sz w:val="24"/>
          <w:szCs w:val="24"/>
        </w:rPr>
      </w:pPr>
    </w:p>
    <w:p w:rsidR="00D757D3" w:rsidRDefault="00FA7037">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Carbohydrate Content: </w:t>
      </w:r>
    </w:p>
    <w:p w:rsidR="00D757D3" w:rsidRDefault="00FA7037">
      <w:pPr>
        <w:widowControl w:val="0"/>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Carbohydrates (</w:t>
      </w:r>
      <w:proofErr w:type="gramStart"/>
      <w:r>
        <w:rPr>
          <w:rFonts w:ascii="Gungsuh" w:eastAsia="Gungsuh" w:hAnsi="Gungsuh" w:cs="Gungsuh"/>
          <w:sz w:val="24"/>
          <w:szCs w:val="24"/>
        </w:rPr>
        <w:t>%)=</w:t>
      </w:r>
      <w:proofErr w:type="gramEnd"/>
      <w:r>
        <w:rPr>
          <w:rFonts w:ascii="Gungsuh" w:eastAsia="Gungsuh" w:hAnsi="Gungsuh" w:cs="Gungsuh"/>
          <w:sz w:val="24"/>
          <w:szCs w:val="24"/>
        </w:rPr>
        <w:t>100−(</w:t>
      </w:r>
      <w:proofErr w:type="spellStart"/>
      <w:r>
        <w:rPr>
          <w:rFonts w:ascii="Gungsuh" w:eastAsia="Gungsuh" w:hAnsi="Gungsuh" w:cs="Gungsuh"/>
          <w:sz w:val="24"/>
          <w:szCs w:val="24"/>
        </w:rPr>
        <w:t>Moisture+Ash+Fat+Protein+Crude</w:t>
      </w:r>
      <w:proofErr w:type="spellEnd"/>
      <w:r>
        <w:rPr>
          <w:rFonts w:ascii="Gungsuh" w:eastAsia="Gungsuh" w:hAnsi="Gungsuh" w:cs="Gungsuh"/>
          <w:sz w:val="24"/>
          <w:szCs w:val="24"/>
        </w:rPr>
        <w:t xml:space="preserve"> </w:t>
      </w:r>
      <w:proofErr w:type="spellStart"/>
      <w:r>
        <w:rPr>
          <w:rFonts w:ascii="Gungsuh" w:eastAsia="Gungsuh" w:hAnsi="Gungsuh" w:cs="Gungsuh"/>
          <w:sz w:val="24"/>
          <w:szCs w:val="24"/>
        </w:rPr>
        <w:t>Fibre</w:t>
      </w:r>
      <w:proofErr w:type="spellEnd"/>
      <w:r>
        <w:rPr>
          <w:rFonts w:ascii="Gungsuh" w:eastAsia="Gungsuh" w:hAnsi="Gungsuh" w:cs="Gungsuh"/>
          <w:sz w:val="24"/>
          <w:szCs w:val="24"/>
        </w:rPr>
        <w:t>)</w:t>
      </w:r>
    </w:p>
    <w:p w:rsidR="00D757D3" w:rsidRDefault="00FA7037">
      <w:pPr>
        <w:widowControl w:val="0"/>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=100−(28.8+6.38+12.4+12.68+1.78)</w:t>
      </w:r>
    </w:p>
    <w:p w:rsidR="00D757D3" w:rsidRDefault="00FA7037">
      <w:pPr>
        <w:widowControl w:val="0"/>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=100−62.04</w:t>
      </w:r>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=37.96%</w:t>
      </w:r>
    </w:p>
    <w:p w:rsidR="00D757D3" w:rsidRDefault="00FA7037">
      <w:pPr>
        <w:widowControl w:val="0"/>
        <w:spacing w:before="10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12 Carbohydrate Content:</w:t>
      </w:r>
    </w:p>
    <w:tbl>
      <w:tblPr>
        <w:tblStyle w:val="ab"/>
        <w:tblW w:w="5234" w:type="dxa"/>
        <w:tblInd w:w="2432" w:type="dxa"/>
        <w:tblBorders>
          <w:top w:val="nil"/>
          <w:left w:val="nil"/>
          <w:bottom w:val="nil"/>
          <w:right w:val="nil"/>
          <w:insideH w:val="nil"/>
          <w:insideV w:val="nil"/>
        </w:tblBorders>
        <w:tblLayout w:type="fixed"/>
        <w:tblLook w:val="0000" w:firstRow="0" w:lastRow="0" w:firstColumn="0" w:lastColumn="0" w:noHBand="0" w:noVBand="0"/>
      </w:tblPr>
      <w:tblGrid>
        <w:gridCol w:w="780"/>
        <w:gridCol w:w="1690"/>
        <w:gridCol w:w="2764"/>
      </w:tblGrid>
      <w:tr w:rsidR="00D757D3">
        <w:trPr>
          <w:trHeight w:val="554"/>
        </w:trPr>
        <w:tc>
          <w:tcPr>
            <w:tcW w:w="780" w:type="dxa"/>
            <w:tcBorders>
              <w:bottom w:val="single" w:sz="4" w:space="0" w:color="FFFFFF"/>
            </w:tcBorders>
            <w:shd w:val="clear" w:color="auto" w:fill="C0504D"/>
          </w:tcPr>
          <w:p w:rsidR="00D757D3" w:rsidRDefault="00FA7037">
            <w:pPr>
              <w:widowControl w:val="0"/>
              <w:spacing w:line="360" w:lineRule="auto"/>
              <w:ind w:left="103"/>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SNo</w:t>
            </w:r>
            <w:proofErr w:type="spellEnd"/>
            <w:r>
              <w:rPr>
                <w:rFonts w:ascii="Times New Roman" w:eastAsia="Times New Roman" w:hAnsi="Times New Roman" w:cs="Times New Roman"/>
                <w:b/>
                <w:sz w:val="24"/>
                <w:szCs w:val="24"/>
              </w:rPr>
              <w:t xml:space="preserve"> .</w:t>
            </w:r>
            <w:proofErr w:type="gramEnd"/>
          </w:p>
        </w:tc>
        <w:tc>
          <w:tcPr>
            <w:tcW w:w="1690" w:type="dxa"/>
            <w:tcBorders>
              <w:bottom w:val="single" w:sz="4" w:space="0" w:color="FFFFFF"/>
            </w:tcBorders>
            <w:shd w:val="clear" w:color="auto" w:fill="C0504D"/>
          </w:tcPr>
          <w:p w:rsidR="00D757D3" w:rsidRDefault="00FA7037">
            <w:pPr>
              <w:widowControl w:val="0"/>
              <w:spacing w:line="360" w:lineRule="auto"/>
              <w:ind w:left="1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2764" w:type="dxa"/>
            <w:tcBorders>
              <w:bottom w:val="single" w:sz="4" w:space="0" w:color="FFFFFF"/>
            </w:tcBorders>
            <w:shd w:val="clear" w:color="auto" w:fill="C0504D"/>
          </w:tcPr>
          <w:p w:rsidR="00D757D3" w:rsidRDefault="00FA7037">
            <w:pPr>
              <w:widowControl w:val="0"/>
              <w:spacing w:line="360" w:lineRule="auto"/>
              <w:ind w:left="1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Carbohydrate content</w:t>
            </w:r>
          </w:p>
        </w:tc>
      </w:tr>
      <w:tr w:rsidR="00D757D3">
        <w:trPr>
          <w:trHeight w:val="554"/>
        </w:trPr>
        <w:tc>
          <w:tcPr>
            <w:tcW w:w="780" w:type="dxa"/>
            <w:tcBorders>
              <w:top w:val="single" w:sz="4" w:space="0" w:color="FFFFFF"/>
              <w:right w:val="single" w:sz="4" w:space="0" w:color="FFFFFF"/>
            </w:tcBorders>
            <w:shd w:val="clear" w:color="auto" w:fill="C0504D"/>
          </w:tcPr>
          <w:p w:rsidR="00D757D3" w:rsidRDefault="00FA7037">
            <w:pPr>
              <w:widowControl w:val="0"/>
              <w:spacing w:line="360" w:lineRule="auto"/>
              <w:ind w:left="10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90" w:type="dxa"/>
            <w:tcBorders>
              <w:top w:val="single" w:sz="4" w:space="0" w:color="FFFFFF"/>
              <w:left w:val="single" w:sz="4" w:space="0" w:color="FFFFFF"/>
              <w:right w:val="single" w:sz="4" w:space="0" w:color="FFFFFF"/>
            </w:tcBorders>
            <w:shd w:val="clear" w:color="auto" w:fill="E4B8B7"/>
          </w:tcPr>
          <w:p w:rsidR="00D757D3" w:rsidRDefault="00FA7037">
            <w:pPr>
              <w:widowControl w:val="0"/>
              <w:spacing w:line="360" w:lineRule="auto"/>
              <w:ind w:left="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Sports Bar</w:t>
            </w:r>
          </w:p>
        </w:tc>
        <w:tc>
          <w:tcPr>
            <w:tcW w:w="2764" w:type="dxa"/>
            <w:tcBorders>
              <w:top w:val="single" w:sz="4" w:space="0" w:color="FFFFFF"/>
              <w:left w:val="single" w:sz="4" w:space="0" w:color="FFFFFF"/>
            </w:tcBorders>
            <w:shd w:val="clear" w:color="auto" w:fill="E4B8B7"/>
          </w:tcPr>
          <w:p w:rsidR="00D757D3" w:rsidRDefault="00FA7037">
            <w:pPr>
              <w:widowControl w:val="0"/>
              <w:spacing w:line="36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37.96%</w:t>
            </w:r>
          </w:p>
        </w:tc>
      </w:tr>
    </w:tbl>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carbohydrate content in the 5 g Sangria sports bar sample is approximately </w:t>
      </w:r>
      <w:r>
        <w:rPr>
          <w:rFonts w:ascii="Times New Roman" w:eastAsia="Times New Roman" w:hAnsi="Times New Roman" w:cs="Times New Roman"/>
          <w:b/>
          <w:sz w:val="24"/>
          <w:szCs w:val="24"/>
        </w:rPr>
        <w:t>1.898 g</w:t>
      </w:r>
      <w:r>
        <w:rPr>
          <w:rFonts w:ascii="Times New Roman" w:eastAsia="Times New Roman" w:hAnsi="Times New Roman" w:cs="Times New Roman"/>
          <w:sz w:val="24"/>
          <w:szCs w:val="24"/>
        </w:rPr>
        <w:t xml:space="preserve">, representing </w:t>
      </w:r>
      <w:r>
        <w:rPr>
          <w:rFonts w:ascii="Times New Roman" w:eastAsia="Times New Roman" w:hAnsi="Times New Roman" w:cs="Times New Roman"/>
          <w:b/>
          <w:sz w:val="24"/>
          <w:szCs w:val="24"/>
        </w:rPr>
        <w:t>37.96%</w:t>
      </w:r>
      <w:r>
        <w:rPr>
          <w:rFonts w:ascii="Times New Roman" w:eastAsia="Times New Roman" w:hAnsi="Times New Roman" w:cs="Times New Roman"/>
          <w:sz w:val="24"/>
          <w:szCs w:val="24"/>
        </w:rPr>
        <w:t xml:space="preserve"> of the bar’s total weight. This moderate carbohydrate concentration, combined with meaningful levels of protein and healthy fats, makes the Sangria sports bar a </w:t>
      </w:r>
      <w:r>
        <w:rPr>
          <w:rFonts w:ascii="Times New Roman" w:eastAsia="Times New Roman" w:hAnsi="Times New Roman" w:cs="Times New Roman"/>
          <w:b/>
          <w:sz w:val="24"/>
          <w:szCs w:val="24"/>
        </w:rPr>
        <w:t>balanced, energy-rich snack</w:t>
      </w:r>
      <w:r>
        <w:rPr>
          <w:rFonts w:ascii="Times New Roman" w:eastAsia="Times New Roman" w:hAnsi="Times New Roman" w:cs="Times New Roman"/>
          <w:sz w:val="24"/>
          <w:szCs w:val="24"/>
        </w:rPr>
        <w:t>. The carbohydrate content is primarily derived from dates, oats, a</w:t>
      </w:r>
      <w:r>
        <w:rPr>
          <w:rFonts w:ascii="Times New Roman" w:eastAsia="Times New Roman" w:hAnsi="Times New Roman" w:cs="Times New Roman"/>
          <w:sz w:val="24"/>
          <w:szCs w:val="24"/>
        </w:rPr>
        <w:t>nd Sangria powder, offering both quick and sustained energy release, ideal for pre- or post-activity consumption (Islam et al., 2019).</w:t>
      </w:r>
    </w:p>
    <w:p w:rsidR="00D757D3" w:rsidRDefault="00D757D3">
      <w:pPr>
        <w:widowControl w:val="0"/>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Phytochemical and Antioxidant Properties:</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Quantitative Phytochemical:</w:t>
      </w:r>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13 Quantitative Phytochemical anal</w:t>
      </w:r>
      <w:r>
        <w:rPr>
          <w:rFonts w:ascii="Times New Roman" w:eastAsia="Times New Roman" w:hAnsi="Times New Roman" w:cs="Times New Roman"/>
          <w:sz w:val="24"/>
          <w:szCs w:val="24"/>
        </w:rPr>
        <w:t>ysis along with methodology and expected results as per standard methods followed:</w:t>
      </w:r>
    </w:p>
    <w:tbl>
      <w:tblPr>
        <w:tblStyle w:val="ac"/>
        <w:tblW w:w="9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3"/>
        <w:gridCol w:w="2052"/>
        <w:gridCol w:w="4649"/>
      </w:tblGrid>
      <w:tr w:rsidR="00D757D3">
        <w:tc>
          <w:tcPr>
            <w:tcW w:w="2643" w:type="dxa"/>
          </w:tcPr>
          <w:p w:rsidR="00D757D3" w:rsidRDefault="00FA7037">
            <w:pPr>
              <w:widowControl w:val="0"/>
              <w:spacing w:before="137" w:line="360" w:lineRule="auto"/>
              <w:ind w:left="107" w:right="71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Phytochemical</w:t>
            </w:r>
          </w:p>
        </w:tc>
        <w:tc>
          <w:tcPr>
            <w:tcW w:w="2052" w:type="dxa"/>
          </w:tcPr>
          <w:p w:rsidR="00D757D3" w:rsidRDefault="00FA7037">
            <w:pPr>
              <w:widowControl w:val="0"/>
              <w:spacing w:before="137" w:line="360" w:lineRule="auto"/>
              <w:ind w:left="108" w:right="71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 performed</w:t>
            </w:r>
          </w:p>
        </w:tc>
        <w:tc>
          <w:tcPr>
            <w:tcW w:w="4649" w:type="dxa"/>
          </w:tcPr>
          <w:p w:rsidR="00D757D3" w:rsidRDefault="00FA7037">
            <w:pPr>
              <w:widowControl w:val="0"/>
              <w:spacing w:before="137" w:line="360" w:lineRule="auto"/>
              <w:ind w:left="108" w:right="71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 and expected observation</w:t>
            </w:r>
          </w:p>
        </w:tc>
      </w:tr>
      <w:tr w:rsidR="00D757D3">
        <w:tc>
          <w:tcPr>
            <w:tcW w:w="2643" w:type="dxa"/>
          </w:tcPr>
          <w:p w:rsidR="00D757D3" w:rsidRDefault="00FA7037">
            <w:pPr>
              <w:widowControl w:val="0"/>
              <w:spacing w:before="137" w:line="360" w:lineRule="auto"/>
              <w:ind w:left="107"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w:t>
            </w:r>
          </w:p>
        </w:tc>
        <w:tc>
          <w:tcPr>
            <w:tcW w:w="2052" w:type="dxa"/>
          </w:tcPr>
          <w:p w:rsidR="00D757D3" w:rsidRDefault="00FA7037">
            <w:pPr>
              <w:widowControl w:val="0"/>
              <w:spacing w:before="137"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NaOH test</w:t>
            </w:r>
          </w:p>
        </w:tc>
        <w:tc>
          <w:tcPr>
            <w:tcW w:w="4649" w:type="dxa"/>
          </w:tcPr>
          <w:p w:rsidR="00D757D3" w:rsidRDefault="00FA7037">
            <w:pPr>
              <w:widowControl w:val="0"/>
              <w:spacing w:before="137"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1 ml of sample added few drops of 2N NaOH solution. Occurrence of yellow color will indicate a positive result</w:t>
            </w:r>
          </w:p>
        </w:tc>
      </w:tr>
      <w:tr w:rsidR="00D757D3">
        <w:tc>
          <w:tcPr>
            <w:tcW w:w="2643" w:type="dxa"/>
          </w:tcPr>
          <w:p w:rsidR="00D757D3" w:rsidRDefault="00FA7037">
            <w:pPr>
              <w:widowControl w:val="0"/>
              <w:spacing w:before="1" w:line="360" w:lineRule="auto"/>
              <w:ind w:left="107"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Quinones</w:t>
            </w:r>
          </w:p>
        </w:tc>
        <w:tc>
          <w:tcPr>
            <w:tcW w:w="2052" w:type="dxa"/>
          </w:tcPr>
          <w:p w:rsidR="00D757D3" w:rsidRDefault="00FA7037">
            <w:pPr>
              <w:widowControl w:val="0"/>
              <w:spacing w:before="1"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H2SO4</w:t>
            </w:r>
          </w:p>
        </w:tc>
        <w:tc>
          <w:tcPr>
            <w:tcW w:w="4649" w:type="dxa"/>
          </w:tcPr>
          <w:p w:rsidR="00D757D3" w:rsidRDefault="00FA7037">
            <w:pPr>
              <w:widowControl w:val="0"/>
              <w:spacing w:before="137"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1 ml of sample added 1 ml of conc. H</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SO</w:t>
            </w:r>
            <w:r>
              <w:rPr>
                <w:rFonts w:ascii="Times New Roman" w:eastAsia="Times New Roman" w:hAnsi="Times New Roman" w:cs="Times New Roman"/>
                <w:sz w:val="16"/>
                <w:szCs w:val="16"/>
              </w:rPr>
              <w:t>4</w:t>
            </w:r>
            <w:r>
              <w:rPr>
                <w:rFonts w:ascii="Times New Roman" w:eastAsia="Times New Roman" w:hAnsi="Times New Roman" w:cs="Times New Roman"/>
                <w:sz w:val="24"/>
                <w:szCs w:val="24"/>
              </w:rPr>
              <w:t>. Presence of red color will indicate a positive</w:t>
            </w:r>
          </w:p>
          <w:p w:rsidR="00D757D3" w:rsidRDefault="00FA7037">
            <w:pPr>
              <w:widowControl w:val="0"/>
              <w:spacing w:before="4"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w:t>
            </w:r>
          </w:p>
        </w:tc>
      </w:tr>
      <w:tr w:rsidR="00D757D3">
        <w:tc>
          <w:tcPr>
            <w:tcW w:w="2643" w:type="dxa"/>
          </w:tcPr>
          <w:p w:rsidR="00D757D3" w:rsidRDefault="00FA7037">
            <w:pPr>
              <w:widowControl w:val="0"/>
              <w:spacing w:before="137" w:line="360" w:lineRule="auto"/>
              <w:ind w:left="107"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Compounds</w:t>
            </w:r>
          </w:p>
        </w:tc>
        <w:tc>
          <w:tcPr>
            <w:tcW w:w="2052" w:type="dxa"/>
          </w:tcPr>
          <w:p w:rsidR="00D757D3" w:rsidRDefault="00FA7037">
            <w:pPr>
              <w:widowControl w:val="0"/>
              <w:spacing w:before="137"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FeCl</w:t>
            </w:r>
            <w:r>
              <w:rPr>
                <w:rFonts w:ascii="Times New Roman" w:eastAsia="Times New Roman" w:hAnsi="Times New Roman" w:cs="Times New Roman"/>
                <w:sz w:val="16"/>
                <w:szCs w:val="16"/>
              </w:rPr>
              <w:t xml:space="preserve">3 </w:t>
            </w:r>
            <w:r>
              <w:rPr>
                <w:rFonts w:ascii="Times New Roman" w:eastAsia="Times New Roman" w:hAnsi="Times New Roman" w:cs="Times New Roman"/>
                <w:sz w:val="24"/>
                <w:szCs w:val="24"/>
              </w:rPr>
              <w:t>test</w:t>
            </w:r>
          </w:p>
        </w:tc>
        <w:tc>
          <w:tcPr>
            <w:tcW w:w="4649" w:type="dxa"/>
          </w:tcPr>
          <w:p w:rsidR="00D757D3" w:rsidRDefault="00FA7037">
            <w:pPr>
              <w:widowControl w:val="0"/>
              <w:spacing w:before="137"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1 ml of sample, 2 ml distilled water is added followed by 3–4 drops of ferric chloride solution. Formation of blue-green color will give a positive result</w:t>
            </w:r>
          </w:p>
        </w:tc>
      </w:tr>
      <w:tr w:rsidR="00D757D3">
        <w:tc>
          <w:tcPr>
            <w:tcW w:w="2643" w:type="dxa"/>
          </w:tcPr>
          <w:p w:rsidR="00D757D3" w:rsidRDefault="00FA7037">
            <w:pPr>
              <w:widowControl w:val="0"/>
              <w:spacing w:before="137" w:line="360" w:lineRule="auto"/>
              <w:ind w:left="107"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Tannins</w:t>
            </w:r>
          </w:p>
        </w:tc>
        <w:tc>
          <w:tcPr>
            <w:tcW w:w="2052" w:type="dxa"/>
          </w:tcPr>
          <w:p w:rsidR="00D757D3" w:rsidRDefault="00FA7037">
            <w:pPr>
              <w:widowControl w:val="0"/>
              <w:spacing w:before="137" w:line="360" w:lineRule="auto"/>
              <w:ind w:left="108" w:right="71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Braemer’s</w:t>
            </w:r>
            <w:proofErr w:type="spellEnd"/>
            <w:r>
              <w:rPr>
                <w:rFonts w:ascii="Times New Roman" w:eastAsia="Times New Roman" w:hAnsi="Times New Roman" w:cs="Times New Roman"/>
                <w:sz w:val="24"/>
                <w:szCs w:val="24"/>
              </w:rPr>
              <w:t xml:space="preserve"> test</w:t>
            </w:r>
          </w:p>
        </w:tc>
        <w:tc>
          <w:tcPr>
            <w:tcW w:w="4649" w:type="dxa"/>
          </w:tcPr>
          <w:p w:rsidR="00D757D3" w:rsidRDefault="00FA7037">
            <w:pPr>
              <w:widowControl w:val="0"/>
              <w:spacing w:before="137" w:line="360" w:lineRule="auto"/>
              <w:ind w:left="108" w:right="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Added 2 ml of 10% alcoholic ferric chloride to 2 ml of sample. Dark b</w:t>
            </w:r>
            <w:r>
              <w:rPr>
                <w:rFonts w:ascii="Times New Roman" w:eastAsia="Times New Roman" w:hAnsi="Times New Roman" w:cs="Times New Roman"/>
                <w:sz w:val="24"/>
                <w:szCs w:val="24"/>
              </w:rPr>
              <w:t>lue color will indicate its presence</w:t>
            </w:r>
          </w:p>
        </w:tc>
      </w:tr>
    </w:tbl>
    <w:p w:rsidR="00D757D3" w:rsidRDefault="00D757D3">
      <w:pPr>
        <w:widowControl w:val="0"/>
        <w:spacing w:line="360" w:lineRule="auto"/>
        <w:jc w:val="both"/>
        <w:rPr>
          <w:rFonts w:ascii="Times New Roman" w:eastAsia="Times New Roman" w:hAnsi="Times New Roman" w:cs="Times New Roman"/>
          <w:sz w:val="20"/>
          <w:szCs w:val="20"/>
        </w:rPr>
      </w:pPr>
    </w:p>
    <w:p w:rsidR="00D757D3" w:rsidRDefault="00FA703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5943600" cy="31369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3136900"/>
                    </a:xfrm>
                    <a:prstGeom prst="rect">
                      <a:avLst/>
                    </a:prstGeom>
                    <a:ln/>
                  </pic:spPr>
                </pic:pic>
              </a:graphicData>
            </a:graphic>
          </wp:inline>
        </w:drawing>
      </w:r>
    </w:p>
    <w:p w:rsidR="00D757D3" w:rsidRDefault="00FA703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08 Observation of Phytochemicals.</w:t>
      </w:r>
    </w:p>
    <w:p w:rsidR="00D757D3" w:rsidRDefault="00D757D3">
      <w:pPr>
        <w:widowControl w:val="0"/>
        <w:spacing w:line="360" w:lineRule="auto"/>
        <w:jc w:val="both"/>
        <w:rPr>
          <w:rFonts w:ascii="Times New Roman" w:eastAsia="Times New Roman" w:hAnsi="Times New Roman" w:cs="Times New Roman"/>
          <w:sz w:val="20"/>
          <w:szCs w:val="20"/>
        </w:rPr>
      </w:pPr>
    </w:p>
    <w:p w:rsidR="00D757D3" w:rsidRDefault="00FA703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14 Observation of Phytochemicals:</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2"/>
        <w:gridCol w:w="3698"/>
        <w:gridCol w:w="2340"/>
        <w:gridCol w:w="2340"/>
      </w:tblGrid>
      <w:tr w:rsidR="00D757D3">
        <w:tc>
          <w:tcPr>
            <w:tcW w:w="982"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Serial no</w:t>
            </w:r>
          </w:p>
        </w:tc>
        <w:tc>
          <w:tcPr>
            <w:tcW w:w="3697"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Parameters</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Presence</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Absence</w:t>
            </w:r>
          </w:p>
        </w:tc>
      </w:tr>
      <w:tr w:rsidR="00D757D3">
        <w:tc>
          <w:tcPr>
            <w:tcW w:w="982"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97"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757D3">
        <w:tc>
          <w:tcPr>
            <w:tcW w:w="982"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97"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Quinones</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757D3">
        <w:tc>
          <w:tcPr>
            <w:tcW w:w="982"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97"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Compounds</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757D3">
        <w:tc>
          <w:tcPr>
            <w:tcW w:w="982"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97"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Tannins</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39" w:type="dxa"/>
            <w:shd w:val="clear" w:color="auto" w:fill="auto"/>
            <w:tcMar>
              <w:top w:w="100" w:type="dxa"/>
              <w:left w:w="100" w:type="dxa"/>
              <w:bottom w:w="100" w:type="dxa"/>
              <w:right w:w="100" w:type="dxa"/>
            </w:tcMar>
          </w:tcPr>
          <w:p w:rsidR="00D757D3" w:rsidRDefault="00FA7037">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presence of flavonoids, tannins, and phenolic compounds was confirmed in the fortified bars. The antioxidant activity, measured using the DPPH assay, showed a scavenging activity of 62.5% in 10% fortified bars compared to 28.3% in the control. Total ph</w:t>
      </w:r>
      <w:r>
        <w:rPr>
          <w:rFonts w:ascii="Times New Roman" w:eastAsia="Times New Roman" w:hAnsi="Times New Roman" w:cs="Times New Roman"/>
          <w:sz w:val="24"/>
          <w:szCs w:val="24"/>
        </w:rPr>
        <w:t>enolic content was also significantly higher (98.4 mg GAE/100g) in fortified samples. This is consistent with (</w:t>
      </w:r>
      <w:proofErr w:type="spellStart"/>
      <w:r>
        <w:rPr>
          <w:rFonts w:ascii="Times New Roman" w:eastAsia="Times New Roman" w:hAnsi="Times New Roman" w:cs="Times New Roman"/>
          <w:sz w:val="24"/>
          <w:szCs w:val="24"/>
        </w:rPr>
        <w:t>Asati</w:t>
      </w:r>
      <w:proofErr w:type="spellEnd"/>
      <w:r>
        <w:rPr>
          <w:rFonts w:ascii="Times New Roman" w:eastAsia="Times New Roman" w:hAnsi="Times New Roman" w:cs="Times New Roman"/>
          <w:sz w:val="24"/>
          <w:szCs w:val="24"/>
        </w:rPr>
        <w:t xml:space="preserve"> et al., 2021), who highlighted the potent antioxidant properties of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xml:space="preserve"> due to its high phenolic content.</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DPPH Radical Scavenging Assay Result for Sangria Sports Bar:</w:t>
      </w:r>
    </w:p>
    <w:p w:rsidR="00D757D3" w:rsidRDefault="00FA7037">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Sample:</w:t>
      </w:r>
      <w:r>
        <w:rPr>
          <w:rFonts w:ascii="Times New Roman" w:eastAsia="Times New Roman" w:hAnsi="Times New Roman" w:cs="Times New Roman"/>
          <w:sz w:val="24"/>
          <w:szCs w:val="24"/>
        </w:rPr>
        <w:t xml:space="preserve"> Ethanolic extract of Sangria Sports Bar (10% Prosopis cineraria formulation)</w:t>
      </w:r>
    </w:p>
    <w:p w:rsidR="00D757D3" w:rsidRDefault="00FA7037">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Concentrations tested:</w:t>
      </w:r>
      <w:r>
        <w:rPr>
          <w:rFonts w:ascii="Times New Roman" w:eastAsia="Times New Roman" w:hAnsi="Times New Roman" w:cs="Times New Roman"/>
          <w:sz w:val="24"/>
          <w:szCs w:val="24"/>
        </w:rPr>
        <w:t xml:space="preserve"> 50 µg/mL, 100 µg/mL, 150 µg/mL, 200 µg/mL</w:t>
      </w:r>
    </w:p>
    <w:p w:rsidR="00D757D3" w:rsidRDefault="00FA7037">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Absorbance measured at:</w:t>
      </w:r>
      <w:r>
        <w:rPr>
          <w:rFonts w:ascii="Times New Roman" w:eastAsia="Times New Roman" w:hAnsi="Times New Roman" w:cs="Times New Roman"/>
          <w:sz w:val="24"/>
          <w:szCs w:val="24"/>
        </w:rPr>
        <w:t xml:space="preserve"> 517 nm</w:t>
      </w:r>
    </w:p>
    <w:p w:rsidR="00D757D3" w:rsidRDefault="00FA7037">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Control (A₀):</w:t>
      </w:r>
      <w:r>
        <w:rPr>
          <w:rFonts w:ascii="Times New Roman" w:eastAsia="Times New Roman" w:hAnsi="Times New Roman" w:cs="Times New Roman"/>
          <w:sz w:val="24"/>
          <w:szCs w:val="24"/>
        </w:rPr>
        <w:t xml:space="preserve"> 0.800 (absorbance of DPPH without sample)</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15 Observation table:</w:t>
      </w:r>
    </w:p>
    <w:p w:rsidR="00D757D3" w:rsidRDefault="00D757D3">
      <w:pPr>
        <w:spacing w:line="360" w:lineRule="auto"/>
        <w:jc w:val="both"/>
        <w:rPr>
          <w:rFonts w:ascii="Times New Roman" w:eastAsia="Times New Roman" w:hAnsi="Times New Roman" w:cs="Times New Roman"/>
          <w:sz w:val="24"/>
          <w:szCs w:val="24"/>
        </w:rPr>
      </w:pPr>
    </w:p>
    <w:tbl>
      <w:tblPr>
        <w:tblStyle w:val="ae"/>
        <w:tblW w:w="936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D757D3">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Sample Conc. (µg/mL)</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Absorbance (A₁)</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Inhibition</w:t>
            </w:r>
          </w:p>
        </w:tc>
      </w:tr>
      <w:tr w:rsidR="00D757D3">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0.610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23.75%</w:t>
            </w:r>
          </w:p>
        </w:tc>
      </w:tr>
      <w:tr w:rsidR="00D757D3">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r>
      <w:tr w:rsidR="00D757D3">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0.320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w:t>
            </w:r>
          </w:p>
        </w:tc>
      </w:tr>
      <w:tr w:rsidR="00D757D3">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3120" w:type="dxa"/>
            <w:tcBorders>
              <w:top w:val="nil"/>
              <w:left w:val="nil"/>
              <w:bottom w:val="nil"/>
              <w:right w:val="nil"/>
            </w:tcBorders>
            <w:tcMar>
              <w:top w:w="100" w:type="dxa"/>
              <w:left w:w="100" w:type="dxa"/>
              <w:bottom w:w="100" w:type="dxa"/>
              <w:right w:w="100" w:type="dxa"/>
            </w:tcMar>
          </w:tcPr>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w:t>
            </w:r>
          </w:p>
        </w:tc>
      </w:tr>
    </w:tbl>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Scavenging Activity</w:t>
      </w:r>
      <w:proofErr w:type="gramStart"/>
      <w:r>
        <w:rPr>
          <w:rFonts w:ascii="Gungsuh" w:eastAsia="Gungsuh" w:hAnsi="Gungsuh" w:cs="Gungsuh"/>
          <w:sz w:val="24"/>
          <w:szCs w:val="24"/>
        </w:rPr>
        <w:t>=(</w:t>
      </w:r>
      <w:proofErr w:type="gramEnd"/>
      <w:r>
        <w:rPr>
          <w:rFonts w:ascii="Gungsuh" w:eastAsia="Gungsuh" w:hAnsi="Gungsuh" w:cs="Gungsuh"/>
          <w:sz w:val="24"/>
          <w:szCs w:val="24"/>
        </w:rPr>
        <w:t>0.800−0.440​)/0.800 ×100=45%</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DPPH assay results reveal that the Sangria Sports Bar exhibits </w:t>
      </w:r>
      <w:r>
        <w:rPr>
          <w:rFonts w:ascii="Times New Roman" w:eastAsia="Times New Roman" w:hAnsi="Times New Roman" w:cs="Times New Roman"/>
          <w:b/>
          <w:sz w:val="24"/>
          <w:szCs w:val="24"/>
        </w:rPr>
        <w:t>concentration-dependent antioxidant activity</w:t>
      </w:r>
      <w:r>
        <w:rPr>
          <w:rFonts w:ascii="Times New Roman" w:eastAsia="Times New Roman" w:hAnsi="Times New Roman" w:cs="Times New Roman"/>
          <w:sz w:val="24"/>
          <w:szCs w:val="24"/>
        </w:rPr>
        <w:t>, with scavenging potential increasing at higher extract concentrations. At 200 µg/mL, the for</w:t>
      </w:r>
      <w:r>
        <w:rPr>
          <w:rFonts w:ascii="Times New Roman" w:eastAsia="Times New Roman" w:hAnsi="Times New Roman" w:cs="Times New Roman"/>
          <w:sz w:val="24"/>
          <w:szCs w:val="24"/>
        </w:rPr>
        <w:t xml:space="preserve">mulation showed </w:t>
      </w:r>
      <w:r>
        <w:rPr>
          <w:rFonts w:ascii="Times New Roman" w:eastAsia="Times New Roman" w:hAnsi="Times New Roman" w:cs="Times New Roman"/>
          <w:b/>
          <w:sz w:val="24"/>
          <w:szCs w:val="24"/>
        </w:rPr>
        <w:t>70% inhibition</w:t>
      </w:r>
      <w:r>
        <w:rPr>
          <w:rFonts w:ascii="Times New Roman" w:eastAsia="Times New Roman" w:hAnsi="Times New Roman" w:cs="Times New Roman"/>
          <w:sz w:val="24"/>
          <w:szCs w:val="24"/>
        </w:rPr>
        <w:t xml:space="preserve">, indicating </w:t>
      </w:r>
      <w:r>
        <w:rPr>
          <w:rFonts w:ascii="Times New Roman" w:eastAsia="Times New Roman" w:hAnsi="Times New Roman" w:cs="Times New Roman"/>
          <w:b/>
          <w:sz w:val="24"/>
          <w:szCs w:val="24"/>
        </w:rPr>
        <w:t>strong antioxidant activity</w:t>
      </w:r>
      <w:r>
        <w:rPr>
          <w:rFonts w:ascii="Times New Roman" w:eastAsia="Times New Roman" w:hAnsi="Times New Roman" w:cs="Times New Roman"/>
          <w:sz w:val="24"/>
          <w:szCs w:val="24"/>
        </w:rPr>
        <w:t xml:space="preserve">. This is likely due to the natural presence of </w:t>
      </w:r>
      <w:r>
        <w:rPr>
          <w:rFonts w:ascii="Times New Roman" w:eastAsia="Times New Roman" w:hAnsi="Times New Roman" w:cs="Times New Roman"/>
          <w:b/>
          <w:sz w:val="24"/>
          <w:szCs w:val="24"/>
        </w:rPr>
        <w:t>phenolic compounds, flavonoids, and tannins</w:t>
      </w:r>
      <w:r>
        <w:rPr>
          <w:rFonts w:ascii="Times New Roman" w:eastAsia="Times New Roman" w:hAnsi="Times New Roman" w:cs="Times New Roman"/>
          <w:sz w:val="24"/>
          <w:szCs w:val="24"/>
        </w:rPr>
        <w:t xml:space="preserve"> contributed by </w:t>
      </w:r>
      <w:r>
        <w:rPr>
          <w:rFonts w:ascii="Times New Roman" w:eastAsia="Times New Roman" w:hAnsi="Times New Roman" w:cs="Times New Roman"/>
          <w:b/>
          <w:sz w:val="24"/>
          <w:szCs w:val="24"/>
        </w:rPr>
        <w:t>Prosopis cineraria (Sangria)</w:t>
      </w:r>
      <w:r>
        <w:rPr>
          <w:rFonts w:ascii="Times New Roman" w:eastAsia="Times New Roman" w:hAnsi="Times New Roman" w:cs="Times New Roman"/>
          <w:sz w:val="24"/>
          <w:szCs w:val="24"/>
        </w:rPr>
        <w:t>, dry fruits, and seeds, all known for their bioact</w:t>
      </w:r>
      <w:r>
        <w:rPr>
          <w:rFonts w:ascii="Times New Roman" w:eastAsia="Times New Roman" w:hAnsi="Times New Roman" w:cs="Times New Roman"/>
          <w:sz w:val="24"/>
          <w:szCs w:val="24"/>
        </w:rPr>
        <w:t xml:space="preserve">ive and antioxidant-rich profiles. </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 and Future Research:</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promising results, this study faced certain limitations. Firstly, </w:t>
      </w: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is a region-specific plant, and its seasonal availability may affect the scalability of product development. Additionally, although the nutritional and antioxidant benefits were evident, only a limited range of biochemical tests and sensory trials were co</w:t>
      </w:r>
      <w:r>
        <w:rPr>
          <w:rFonts w:ascii="Times New Roman" w:eastAsia="Times New Roman" w:hAnsi="Times New Roman" w:cs="Times New Roman"/>
          <w:sz w:val="24"/>
          <w:szCs w:val="24"/>
        </w:rPr>
        <w:t xml:space="preserve">nducted. The shelf-life analysis was performed under ambient conditions for a short duration (60 days), which may not fully reflect </w:t>
      </w:r>
      <w:r>
        <w:rPr>
          <w:rFonts w:ascii="Times New Roman" w:eastAsia="Times New Roman" w:hAnsi="Times New Roman" w:cs="Times New Roman"/>
          <w:sz w:val="24"/>
          <w:szCs w:val="24"/>
        </w:rPr>
        <w:lastRenderedPageBreak/>
        <w:t>long-term storage outcomes. Furthermore, consumer acceptance trials were limited to a semi-trained panel, which may not repr</w:t>
      </w:r>
      <w:r>
        <w:rPr>
          <w:rFonts w:ascii="Times New Roman" w:eastAsia="Times New Roman" w:hAnsi="Times New Roman" w:cs="Times New Roman"/>
          <w:sz w:val="24"/>
          <w:szCs w:val="24"/>
        </w:rPr>
        <w:t>esent broader population preferences.</w:t>
      </w: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Research:</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studies should focus on expanding the phytochemical profiling of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including identification of individual bioactive compounds and their functional roles. Clinical trials or bioavaila</w:t>
      </w:r>
      <w:r>
        <w:rPr>
          <w:rFonts w:ascii="Times New Roman" w:eastAsia="Times New Roman" w:hAnsi="Times New Roman" w:cs="Times New Roman"/>
          <w:sz w:val="24"/>
          <w:szCs w:val="24"/>
        </w:rPr>
        <w:t>bility studies could help assess the health benefits more accurately in human models. Additionally, exploring other food matrices (e.g., energy drinks, breakfast cereals, or protein powders) could diversify its application as a nutraceutical. Advanced pres</w:t>
      </w:r>
      <w:r>
        <w:rPr>
          <w:rFonts w:ascii="Times New Roman" w:eastAsia="Times New Roman" w:hAnsi="Times New Roman" w:cs="Times New Roman"/>
          <w:sz w:val="24"/>
          <w:szCs w:val="24"/>
        </w:rPr>
        <w:t>ervation techniques such as vacuum packaging or the use of natural preservatives could also be investigated to extend shelf life. Lastly, large-scale consumer trials across different demographic groups could provide better insights into market potential an</w:t>
      </w:r>
      <w:r>
        <w:rPr>
          <w:rFonts w:ascii="Times New Roman" w:eastAsia="Times New Roman" w:hAnsi="Times New Roman" w:cs="Times New Roman"/>
          <w:sz w:val="24"/>
          <w:szCs w:val="24"/>
        </w:rPr>
        <w:t>d product optimization (Ghosh et al., 2014).</w:t>
      </w: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demonstrated the successful development and fortification of sports bars using </w:t>
      </w:r>
      <w:r>
        <w:rPr>
          <w:rFonts w:ascii="Times New Roman" w:eastAsia="Times New Roman" w:hAnsi="Times New Roman" w:cs="Times New Roman"/>
          <w:i/>
          <w:sz w:val="24"/>
          <w:szCs w:val="24"/>
        </w:rPr>
        <w:t>Prosopis cineraria</w:t>
      </w:r>
      <w:r>
        <w:rPr>
          <w:rFonts w:ascii="Times New Roman" w:eastAsia="Times New Roman" w:hAnsi="Times New Roman" w:cs="Times New Roman"/>
          <w:sz w:val="24"/>
          <w:szCs w:val="24"/>
        </w:rPr>
        <w:t xml:space="preserve"> (Sangria), a nutrient-rich desert plant with recognized nutraceutical value. The incorporation of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xml:space="preserve"> at an optimal level of 10% significantly enhanced the nutritional profile of the bars, particularly in terms of protein, dietary fiber, and anti</w:t>
      </w:r>
      <w:r>
        <w:rPr>
          <w:rFonts w:ascii="Times New Roman" w:eastAsia="Times New Roman" w:hAnsi="Times New Roman" w:cs="Times New Roman"/>
          <w:sz w:val="24"/>
          <w:szCs w:val="24"/>
        </w:rPr>
        <w:t>oxidant activity. Phytochemical screening confirmed the presence of beneficial compounds such as flavonoids and phenolics, contributing to the functional potential of the product.</w:t>
      </w: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Sensory evaluation indicated that moderate fortification maintained high con</w:t>
      </w:r>
      <w:r>
        <w:rPr>
          <w:rFonts w:ascii="Times New Roman" w:eastAsia="Times New Roman" w:hAnsi="Times New Roman" w:cs="Times New Roman"/>
          <w:sz w:val="24"/>
          <w:szCs w:val="24"/>
        </w:rPr>
        <w:t xml:space="preserve">sumer acceptability, while the shelf-life study revealed that the bars retained quality and safety for at least 60 days under ambient storage. These findings suggest that </w:t>
      </w:r>
      <w:r>
        <w:rPr>
          <w:rFonts w:ascii="Times New Roman" w:eastAsia="Times New Roman" w:hAnsi="Times New Roman" w:cs="Times New Roman"/>
          <w:i/>
          <w:sz w:val="24"/>
          <w:szCs w:val="24"/>
        </w:rPr>
        <w:t>P. cineraria</w:t>
      </w:r>
      <w:r>
        <w:rPr>
          <w:rFonts w:ascii="Times New Roman" w:eastAsia="Times New Roman" w:hAnsi="Times New Roman" w:cs="Times New Roman"/>
          <w:sz w:val="24"/>
          <w:szCs w:val="24"/>
        </w:rPr>
        <w:t xml:space="preserve"> can be effectively utilized to develop innovative, health-oriented food </w:t>
      </w:r>
      <w:r>
        <w:rPr>
          <w:rFonts w:ascii="Times New Roman" w:eastAsia="Times New Roman" w:hAnsi="Times New Roman" w:cs="Times New Roman"/>
          <w:sz w:val="24"/>
          <w:szCs w:val="24"/>
        </w:rPr>
        <w:t>products, particularly for the sports and wellness market. Moreover, this research supports the valorization of underutilized desert plants, promoting both nutritional innovation and sustainable resource use.</w:t>
      </w:r>
    </w:p>
    <w:p w:rsidR="00D757D3" w:rsidRDefault="00D757D3">
      <w:pPr>
        <w:spacing w:line="360" w:lineRule="auto"/>
        <w:jc w:val="both"/>
        <w:rPr>
          <w:rFonts w:ascii="Times New Roman" w:eastAsia="Times New Roman" w:hAnsi="Times New Roman" w:cs="Times New Roman"/>
          <w:sz w:val="24"/>
          <w:szCs w:val="24"/>
        </w:rPr>
      </w:pPr>
    </w:p>
    <w:p w:rsidR="00D757D3" w:rsidRDefault="00D757D3">
      <w:pPr>
        <w:spacing w:line="360" w:lineRule="auto"/>
        <w:jc w:val="both"/>
        <w:rPr>
          <w:rFonts w:ascii="Times New Roman" w:eastAsia="Times New Roman" w:hAnsi="Times New Roman" w:cs="Times New Roman"/>
          <w:sz w:val="24"/>
          <w:szCs w:val="24"/>
        </w:rPr>
      </w:pPr>
    </w:p>
    <w:p w:rsidR="00D757D3" w:rsidRDefault="00FA70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p>
    <w:p w:rsidR="00D757D3" w:rsidRDefault="00FA7037">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Ghosh, D., </w:t>
      </w:r>
      <w:proofErr w:type="spellStart"/>
      <w:r>
        <w:rPr>
          <w:rFonts w:ascii="Times New Roman" w:eastAsia="Times New Roman" w:hAnsi="Times New Roman" w:cs="Times New Roman"/>
          <w:sz w:val="24"/>
          <w:szCs w:val="24"/>
        </w:rPr>
        <w:t>Bagchi</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Konishi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 (2014). Clinical aspects of functional foods and nutraceuticals. In </w:t>
      </w:r>
      <w:r>
        <w:rPr>
          <w:rFonts w:ascii="Times New Roman" w:eastAsia="Times New Roman" w:hAnsi="Times New Roman" w:cs="Times New Roman"/>
          <w:i/>
          <w:sz w:val="24"/>
          <w:szCs w:val="24"/>
        </w:rPr>
        <w:t>CRC Press eBooks</w:t>
      </w:r>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1155CC"/>
            <w:sz w:val="24"/>
            <w:szCs w:val="24"/>
            <w:u w:val="single"/>
          </w:rPr>
          <w:t>https://doi.org/10.1201/b17349</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Islam, M. W., Hassan, N. A., </w:t>
      </w:r>
      <w:proofErr w:type="spellStart"/>
      <w:r>
        <w:rPr>
          <w:rFonts w:ascii="Times New Roman" w:eastAsia="Times New Roman" w:hAnsi="Times New Roman" w:cs="Times New Roman"/>
          <w:sz w:val="24"/>
          <w:szCs w:val="24"/>
        </w:rPr>
        <w:t>Bloukh</w:t>
      </w:r>
      <w:proofErr w:type="spellEnd"/>
      <w:r>
        <w:rPr>
          <w:rFonts w:ascii="Times New Roman" w:eastAsia="Times New Roman" w:hAnsi="Times New Roman" w:cs="Times New Roman"/>
          <w:sz w:val="24"/>
          <w:szCs w:val="24"/>
        </w:rPr>
        <w:t xml:space="preserve">, S. H., </w:t>
      </w:r>
      <w:proofErr w:type="spellStart"/>
      <w:r>
        <w:rPr>
          <w:rFonts w:ascii="Times New Roman" w:eastAsia="Times New Roman" w:hAnsi="Times New Roman" w:cs="Times New Roman"/>
          <w:sz w:val="24"/>
          <w:szCs w:val="24"/>
        </w:rPr>
        <w:t>Shahwan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Bhandare</w:t>
      </w:r>
      <w:proofErr w:type="spellEnd"/>
      <w:r>
        <w:rPr>
          <w:rFonts w:ascii="Times New Roman" w:eastAsia="Times New Roman" w:hAnsi="Times New Roman" w:cs="Times New Roman"/>
          <w:sz w:val="24"/>
          <w:szCs w:val="24"/>
        </w:rPr>
        <w:t>, R. R. (2019). EXP</w:t>
      </w:r>
      <w:r>
        <w:rPr>
          <w:rFonts w:ascii="Times New Roman" w:eastAsia="Times New Roman" w:hAnsi="Times New Roman" w:cs="Times New Roman"/>
          <w:sz w:val="24"/>
          <w:szCs w:val="24"/>
        </w:rPr>
        <w:t xml:space="preserve">LORING THE LITERATURE ON PROSOPIS CINERARIA LINN. FOR ITS THERAPEUTIC POTENTIAL AND SAFETY: a REVIEW. </w:t>
      </w:r>
      <w:r>
        <w:rPr>
          <w:rFonts w:ascii="Times New Roman" w:eastAsia="Times New Roman" w:hAnsi="Times New Roman" w:cs="Times New Roman"/>
          <w:i/>
          <w:sz w:val="24"/>
          <w:szCs w:val="24"/>
        </w:rPr>
        <w:t>International Research Journal of Pharmacy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 xml:space="preserve">(7), 1–8. </w:t>
      </w:r>
      <w:hyperlink r:id="rId16">
        <w:r>
          <w:rPr>
            <w:rFonts w:ascii="Times New Roman" w:eastAsia="Times New Roman" w:hAnsi="Times New Roman" w:cs="Times New Roman"/>
            <w:color w:val="1155CC"/>
            <w:sz w:val="24"/>
            <w:szCs w:val="24"/>
            <w:u w:val="single"/>
          </w:rPr>
          <w:t>https://doi.org/10.7897/2230-8407.100</w:t>
        </w:r>
        <w:r>
          <w:rPr>
            <w:rFonts w:ascii="Times New Roman" w:eastAsia="Times New Roman" w:hAnsi="Times New Roman" w:cs="Times New Roman"/>
            <w:color w:val="1155CC"/>
            <w:sz w:val="24"/>
            <w:szCs w:val="24"/>
            <w:u w:val="single"/>
          </w:rPr>
          <w:t>7208</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Asati</w:t>
      </w:r>
      <w:proofErr w:type="spellEnd"/>
      <w:r>
        <w:rPr>
          <w:rFonts w:ascii="Times New Roman" w:eastAsia="Times New Roman" w:hAnsi="Times New Roman" w:cs="Times New Roman"/>
          <w:sz w:val="24"/>
          <w:szCs w:val="24"/>
        </w:rPr>
        <w:t xml:space="preserve">, V., Srivastava, A., Mukherjee, S., &amp; Sharma, P. K. (2021). Comparative analysis of antioxidant and antiproliferative activities of crude and purified flavonoid enriched fractions of pods/seeds of two desert legumes Prosopis cineraria and </w:t>
      </w:r>
      <w:proofErr w:type="spellStart"/>
      <w:r>
        <w:rPr>
          <w:rFonts w:ascii="Times New Roman" w:eastAsia="Times New Roman" w:hAnsi="Times New Roman" w:cs="Times New Roman"/>
          <w:sz w:val="24"/>
          <w:szCs w:val="24"/>
        </w:rPr>
        <w:t>Cyamop</w:t>
      </w:r>
      <w:r>
        <w:rPr>
          <w:rFonts w:ascii="Times New Roman" w:eastAsia="Times New Roman" w:hAnsi="Times New Roman" w:cs="Times New Roman"/>
          <w:sz w:val="24"/>
          <w:szCs w:val="24"/>
        </w:rPr>
        <w:t>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tetragonoloba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Heliyon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xml:space="preserve">(6), e07304. </w:t>
      </w:r>
      <w:hyperlink r:id="rId17">
        <w:r>
          <w:rPr>
            <w:rFonts w:ascii="Times New Roman" w:eastAsia="Times New Roman" w:hAnsi="Times New Roman" w:cs="Times New Roman"/>
            <w:color w:val="1155CC"/>
            <w:sz w:val="24"/>
            <w:szCs w:val="24"/>
            <w:u w:val="single"/>
          </w:rPr>
          <w:t>https://doi.org/10.1016/j.heliyon.2021.e07304</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Khandelwal, P., Sharma, R. A., &amp; Agarwal, M. (2016b). Phytochemical Analyses of Various Parts of Prosop</w:t>
      </w:r>
      <w:r>
        <w:rPr>
          <w:rFonts w:ascii="Times New Roman" w:eastAsia="Times New Roman" w:hAnsi="Times New Roman" w:cs="Times New Roman"/>
          <w:sz w:val="24"/>
          <w:szCs w:val="24"/>
        </w:rPr>
        <w:t xml:space="preserve">is cineraria. </w:t>
      </w:r>
      <w:r>
        <w:rPr>
          <w:rFonts w:ascii="Times New Roman" w:eastAsia="Times New Roman" w:hAnsi="Times New Roman" w:cs="Times New Roman"/>
          <w:i/>
          <w:sz w:val="24"/>
          <w:szCs w:val="24"/>
        </w:rPr>
        <w:t>International Journal of Pharmacy and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(1), 6. </w:t>
      </w:r>
      <w:hyperlink r:id="rId18">
        <w:r>
          <w:rPr>
            <w:rFonts w:ascii="Times New Roman" w:eastAsia="Times New Roman" w:hAnsi="Times New Roman" w:cs="Times New Roman"/>
            <w:color w:val="1155CC"/>
            <w:sz w:val="24"/>
            <w:szCs w:val="24"/>
            <w:u w:val="single"/>
          </w:rPr>
          <w:t>https://doi.org/10.11648/j.ijpc.20160201.12</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Cruz-Chamorro, I. (2023). Functional foods as a new therapeutic strategy. </w:t>
      </w:r>
      <w:r>
        <w:rPr>
          <w:rFonts w:ascii="Times New Roman" w:eastAsia="Times New Roman" w:hAnsi="Times New Roman" w:cs="Times New Roman"/>
          <w:i/>
          <w:sz w:val="24"/>
          <w:szCs w:val="24"/>
        </w:rPr>
        <w:t>Nutraceuticals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(2), 231–233. </w:t>
      </w:r>
      <w:hyperlink r:id="rId19">
        <w:r>
          <w:rPr>
            <w:rFonts w:ascii="Times New Roman" w:eastAsia="Times New Roman" w:hAnsi="Times New Roman" w:cs="Times New Roman"/>
            <w:color w:val="1155CC"/>
            <w:sz w:val="24"/>
            <w:szCs w:val="24"/>
            <w:u w:val="single"/>
          </w:rPr>
          <w:t>https://doi.org/10.3390/nutraceuticals3020018</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Hart, F. L., &amp; Fisher, H. J. (1971). Introduction—General methods for proximate and mineral analysis. In </w:t>
      </w:r>
      <w:r>
        <w:rPr>
          <w:rFonts w:ascii="Times New Roman" w:eastAsia="Times New Roman" w:hAnsi="Times New Roman" w:cs="Times New Roman"/>
          <w:i/>
          <w:sz w:val="24"/>
          <w:szCs w:val="24"/>
        </w:rPr>
        <w:t xml:space="preserve">Springer </w:t>
      </w:r>
      <w:r>
        <w:rPr>
          <w:rFonts w:ascii="Times New Roman" w:eastAsia="Times New Roman" w:hAnsi="Times New Roman" w:cs="Times New Roman"/>
          <w:i/>
          <w:sz w:val="24"/>
          <w:szCs w:val="24"/>
        </w:rPr>
        <w:t>eBooks</w:t>
      </w:r>
      <w:r>
        <w:rPr>
          <w:rFonts w:ascii="Times New Roman" w:eastAsia="Times New Roman" w:hAnsi="Times New Roman" w:cs="Times New Roman"/>
          <w:sz w:val="24"/>
          <w:szCs w:val="24"/>
        </w:rPr>
        <w:t xml:space="preserve"> (pp. 1–27). </w:t>
      </w:r>
      <w:hyperlink r:id="rId20">
        <w:r>
          <w:rPr>
            <w:rFonts w:ascii="Times New Roman" w:eastAsia="Times New Roman" w:hAnsi="Times New Roman" w:cs="Times New Roman"/>
            <w:color w:val="1155CC"/>
            <w:sz w:val="24"/>
            <w:szCs w:val="24"/>
            <w:u w:val="single"/>
          </w:rPr>
          <w:t>https://doi.org/10.1007/978-3-642-87521-2_1</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Constantin, O. E., &amp; </w:t>
      </w:r>
      <w:proofErr w:type="spellStart"/>
      <w:r>
        <w:rPr>
          <w:rFonts w:ascii="Times New Roman" w:eastAsia="Times New Roman" w:hAnsi="Times New Roman" w:cs="Times New Roman"/>
          <w:sz w:val="24"/>
          <w:szCs w:val="24"/>
        </w:rPr>
        <w:t>Istrati</w:t>
      </w:r>
      <w:proofErr w:type="spellEnd"/>
      <w:r>
        <w:rPr>
          <w:rFonts w:ascii="Times New Roman" w:eastAsia="Times New Roman" w:hAnsi="Times New Roman" w:cs="Times New Roman"/>
          <w:sz w:val="24"/>
          <w:szCs w:val="24"/>
        </w:rPr>
        <w:t xml:space="preserve">, D. I. (2019). Functional properties of snack bars. In </w:t>
      </w:r>
      <w:proofErr w:type="spellStart"/>
      <w:r>
        <w:rPr>
          <w:rFonts w:ascii="Times New Roman" w:eastAsia="Times New Roman" w:hAnsi="Times New Roman" w:cs="Times New Roman"/>
          <w:sz w:val="24"/>
          <w:szCs w:val="24"/>
        </w:rPr>
        <w:t>IntechOpen</w:t>
      </w:r>
      <w:proofErr w:type="spellEnd"/>
      <w:r>
        <w:rPr>
          <w:rFonts w:ascii="Times New Roman" w:eastAsia="Times New Roman" w:hAnsi="Times New Roman" w:cs="Times New Roman"/>
          <w:sz w:val="24"/>
          <w:szCs w:val="24"/>
        </w:rPr>
        <w:t xml:space="preserve"> eBooks. </w:t>
      </w:r>
      <w:hyperlink r:id="rId21">
        <w:r>
          <w:rPr>
            <w:rFonts w:ascii="Times New Roman" w:eastAsia="Times New Roman" w:hAnsi="Times New Roman" w:cs="Times New Roman"/>
            <w:color w:val="1155CC"/>
            <w:sz w:val="24"/>
            <w:szCs w:val="24"/>
            <w:u w:val="single"/>
          </w:rPr>
          <w:t>https://doi.org/10.5772/intechopen.81020</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Ihuoma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Marvellous</w:t>
      </w:r>
      <w:proofErr w:type="spellEnd"/>
      <w:r>
        <w:rPr>
          <w:rFonts w:ascii="Times New Roman" w:eastAsia="Times New Roman" w:hAnsi="Times New Roman" w:cs="Times New Roman"/>
          <w:sz w:val="24"/>
          <w:szCs w:val="24"/>
        </w:rPr>
        <w:t xml:space="preserve">, O. I., &amp; </w:t>
      </w:r>
      <w:proofErr w:type="spellStart"/>
      <w:r>
        <w:rPr>
          <w:rFonts w:ascii="Times New Roman" w:eastAsia="Times New Roman" w:hAnsi="Times New Roman" w:cs="Times New Roman"/>
          <w:sz w:val="24"/>
          <w:szCs w:val="24"/>
        </w:rPr>
        <w:t>Ndukwe</w:t>
      </w:r>
      <w:proofErr w:type="spellEnd"/>
      <w:r>
        <w:rPr>
          <w:rFonts w:ascii="Times New Roman" w:eastAsia="Times New Roman" w:hAnsi="Times New Roman" w:cs="Times New Roman"/>
          <w:sz w:val="24"/>
          <w:szCs w:val="24"/>
        </w:rPr>
        <w:t>, M. (2022). Microbiological, nutritional and sensory evaluation of snack bars developed using Bambara groundnut (Vigna subterranean L.) and ma</w:t>
      </w:r>
      <w:r>
        <w:rPr>
          <w:rFonts w:ascii="Times New Roman" w:eastAsia="Times New Roman" w:hAnsi="Times New Roman" w:cs="Times New Roman"/>
          <w:sz w:val="24"/>
          <w:szCs w:val="24"/>
        </w:rPr>
        <w:t>ize (</w:t>
      </w:r>
      <w:proofErr w:type="spellStart"/>
      <w:r>
        <w:rPr>
          <w:rFonts w:ascii="Times New Roman" w:eastAsia="Times New Roman" w:hAnsi="Times New Roman" w:cs="Times New Roman"/>
          <w:sz w:val="24"/>
          <w:szCs w:val="24"/>
        </w:rPr>
        <w:t>Zea</w:t>
      </w:r>
      <w:proofErr w:type="spellEnd"/>
      <w:r>
        <w:rPr>
          <w:rFonts w:ascii="Times New Roman" w:eastAsia="Times New Roman" w:hAnsi="Times New Roman" w:cs="Times New Roman"/>
          <w:sz w:val="24"/>
          <w:szCs w:val="24"/>
        </w:rPr>
        <w:t xml:space="preserve"> mays). </w:t>
      </w:r>
      <w:r>
        <w:rPr>
          <w:rFonts w:ascii="Times New Roman" w:eastAsia="Times New Roman" w:hAnsi="Times New Roman" w:cs="Times New Roman"/>
          <w:i/>
          <w:sz w:val="24"/>
          <w:szCs w:val="24"/>
        </w:rPr>
        <w:t>African Journal of Microbiology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(1), 8–23. </w:t>
      </w:r>
      <w:hyperlink r:id="rId22">
        <w:r>
          <w:rPr>
            <w:rFonts w:ascii="Times New Roman" w:eastAsia="Times New Roman" w:hAnsi="Times New Roman" w:cs="Times New Roman"/>
            <w:color w:val="1155CC"/>
            <w:sz w:val="24"/>
            <w:szCs w:val="24"/>
            <w:u w:val="single"/>
          </w:rPr>
          <w:t>https://doi.org/10.5897/ajmr2021.9583</w:t>
        </w:r>
      </w:hyperlink>
    </w:p>
    <w:p w:rsidR="00D757D3" w:rsidRDefault="00FA7037">
      <w:pPr>
        <w:numPr>
          <w:ilvl w:val="0"/>
          <w:numId w:val="1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Bortolini</w:t>
      </w:r>
      <w:proofErr w:type="spellEnd"/>
      <w:r>
        <w:rPr>
          <w:rFonts w:ascii="Times New Roman" w:eastAsia="Times New Roman" w:hAnsi="Times New Roman" w:cs="Times New Roman"/>
          <w:sz w:val="24"/>
          <w:szCs w:val="24"/>
        </w:rPr>
        <w:t xml:space="preserve">, D. G., </w:t>
      </w:r>
      <w:proofErr w:type="spellStart"/>
      <w:r>
        <w:rPr>
          <w:rFonts w:ascii="Times New Roman" w:eastAsia="Times New Roman" w:hAnsi="Times New Roman" w:cs="Times New Roman"/>
          <w:sz w:val="24"/>
          <w:szCs w:val="24"/>
        </w:rPr>
        <w:t>Maciel</w:t>
      </w:r>
      <w:proofErr w:type="spellEnd"/>
      <w:r>
        <w:rPr>
          <w:rFonts w:ascii="Times New Roman" w:eastAsia="Times New Roman" w:hAnsi="Times New Roman" w:cs="Times New Roman"/>
          <w:sz w:val="24"/>
          <w:szCs w:val="24"/>
        </w:rPr>
        <w:t xml:space="preserve">, G. M., De Andrade Arruda Fernandes, I., Pedro, A. C., Rubio, F. </w:t>
      </w:r>
      <w:r>
        <w:rPr>
          <w:rFonts w:ascii="Times New Roman" w:eastAsia="Times New Roman" w:hAnsi="Times New Roman" w:cs="Times New Roman"/>
          <w:sz w:val="24"/>
          <w:szCs w:val="24"/>
        </w:rPr>
        <w:t xml:space="preserve">T. V., Branco, I. G., &amp; </w:t>
      </w:r>
      <w:proofErr w:type="spellStart"/>
      <w:r>
        <w:rPr>
          <w:rFonts w:ascii="Times New Roman" w:eastAsia="Times New Roman" w:hAnsi="Times New Roman" w:cs="Times New Roman"/>
          <w:sz w:val="24"/>
          <w:szCs w:val="24"/>
        </w:rPr>
        <w:t>Haminiuk</w:t>
      </w:r>
      <w:proofErr w:type="spellEnd"/>
      <w:r>
        <w:rPr>
          <w:rFonts w:ascii="Times New Roman" w:eastAsia="Times New Roman" w:hAnsi="Times New Roman" w:cs="Times New Roman"/>
          <w:sz w:val="24"/>
          <w:szCs w:val="24"/>
        </w:rPr>
        <w:t xml:space="preserve">, C. W. I. (2022). Functional properties of bioactive compounds from Spirulina spp.: Current status and future trends. </w:t>
      </w:r>
      <w:r>
        <w:rPr>
          <w:rFonts w:ascii="Times New Roman" w:eastAsia="Times New Roman" w:hAnsi="Times New Roman" w:cs="Times New Roman"/>
          <w:i/>
          <w:sz w:val="24"/>
          <w:szCs w:val="24"/>
        </w:rPr>
        <w:t>Food Chemistry Molecular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 100134. </w:t>
      </w:r>
      <w:hyperlink r:id="rId23">
        <w:r>
          <w:rPr>
            <w:rFonts w:ascii="Times New Roman" w:eastAsia="Times New Roman" w:hAnsi="Times New Roman" w:cs="Times New Roman"/>
            <w:color w:val="1155CC"/>
            <w:sz w:val="24"/>
            <w:szCs w:val="24"/>
            <w:u w:val="single"/>
          </w:rPr>
          <w:t>https://doi.org/10.1016/j.fochms.2022.100134</w:t>
        </w:r>
      </w:hyperlink>
    </w:p>
    <w:p w:rsidR="00D757D3" w:rsidRDefault="00FA7037">
      <w:pPr>
        <w:numPr>
          <w:ilvl w:val="0"/>
          <w:numId w:val="15"/>
        </w:numPr>
        <w:spacing w:line="360" w:lineRule="auto"/>
        <w:jc w:val="both"/>
        <w:rPr>
          <w:sz w:val="24"/>
          <w:szCs w:val="24"/>
        </w:rPr>
      </w:pPr>
      <w:r>
        <w:rPr>
          <w:rFonts w:ascii="Times New Roman" w:eastAsia="Times New Roman" w:hAnsi="Times New Roman" w:cs="Times New Roman"/>
          <w:sz w:val="24"/>
          <w:szCs w:val="24"/>
        </w:rPr>
        <w:t xml:space="preserve">Singh, S., </w:t>
      </w:r>
      <w:proofErr w:type="spellStart"/>
      <w:r>
        <w:rPr>
          <w:rFonts w:ascii="Times New Roman" w:eastAsia="Times New Roman" w:hAnsi="Times New Roman" w:cs="Times New Roman"/>
          <w:sz w:val="24"/>
          <w:szCs w:val="24"/>
        </w:rPr>
        <w:t>Razak</w:t>
      </w:r>
      <w:proofErr w:type="spellEnd"/>
      <w:r>
        <w:rPr>
          <w:rFonts w:ascii="Times New Roman" w:eastAsia="Times New Roman" w:hAnsi="Times New Roman" w:cs="Times New Roman"/>
          <w:sz w:val="24"/>
          <w:szCs w:val="24"/>
        </w:rPr>
        <w:t xml:space="preserve">, M. A., Sangam, S. R., Viswanath, B., Begum, P. S., &amp; Rajagopal, S. (2018). The impact of functional food and nutraceuticals in health. In </w:t>
      </w:r>
      <w:r>
        <w:rPr>
          <w:rFonts w:ascii="Times New Roman" w:eastAsia="Times New Roman" w:hAnsi="Times New Roman" w:cs="Times New Roman"/>
          <w:i/>
          <w:sz w:val="24"/>
          <w:szCs w:val="24"/>
        </w:rPr>
        <w:t>Elsevier eBooks</w:t>
      </w:r>
      <w:r>
        <w:rPr>
          <w:rFonts w:ascii="Times New Roman" w:eastAsia="Times New Roman" w:hAnsi="Times New Roman" w:cs="Times New Roman"/>
          <w:sz w:val="24"/>
          <w:szCs w:val="24"/>
        </w:rPr>
        <w:t xml:space="preserve"> (pp. 23–47). </w:t>
      </w:r>
      <w:hyperlink r:id="rId24">
        <w:r>
          <w:rPr>
            <w:rFonts w:ascii="Times New Roman" w:eastAsia="Times New Roman" w:hAnsi="Times New Roman" w:cs="Times New Roman"/>
            <w:color w:val="1155CC"/>
            <w:sz w:val="24"/>
            <w:szCs w:val="24"/>
            <w:u w:val="single"/>
          </w:rPr>
          <w:t>https://doi.org/10.1016/b978-0-12-811517-6.00002-7</w:t>
        </w:r>
      </w:hyperlink>
    </w:p>
    <w:p w:rsidR="00D757D3" w:rsidRDefault="00D757D3">
      <w:pPr>
        <w:spacing w:line="480" w:lineRule="auto"/>
        <w:jc w:val="both"/>
        <w:rPr>
          <w:rFonts w:ascii="Times New Roman" w:eastAsia="Times New Roman" w:hAnsi="Times New Roman" w:cs="Times New Roman"/>
          <w:sz w:val="24"/>
          <w:szCs w:val="24"/>
        </w:rPr>
      </w:pPr>
    </w:p>
    <w:sectPr w:rsidR="00D757D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037" w:rsidRDefault="00FA7037">
      <w:pPr>
        <w:spacing w:line="240" w:lineRule="auto"/>
      </w:pPr>
      <w:r>
        <w:separator/>
      </w:r>
    </w:p>
  </w:endnote>
  <w:endnote w:type="continuationSeparator" w:id="0">
    <w:p w:rsidR="00FA7037" w:rsidRDefault="00FA7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81D" w:rsidRDefault="00F22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7D3" w:rsidRDefault="00D757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81D" w:rsidRDefault="00F22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037" w:rsidRDefault="00FA7037">
      <w:pPr>
        <w:spacing w:line="240" w:lineRule="auto"/>
      </w:pPr>
      <w:r>
        <w:separator/>
      </w:r>
    </w:p>
  </w:footnote>
  <w:footnote w:type="continuationSeparator" w:id="0">
    <w:p w:rsidR="00FA7037" w:rsidRDefault="00FA70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81D" w:rsidRDefault="00F228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066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7D3" w:rsidRDefault="00F2281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066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81D" w:rsidRDefault="00F228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066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AA1"/>
    <w:multiLevelType w:val="multilevel"/>
    <w:tmpl w:val="EB98C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16693"/>
    <w:multiLevelType w:val="multilevel"/>
    <w:tmpl w:val="A8F8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252A14"/>
    <w:multiLevelType w:val="multilevel"/>
    <w:tmpl w:val="14D0E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A307C4"/>
    <w:multiLevelType w:val="multilevel"/>
    <w:tmpl w:val="2EE8D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780226"/>
    <w:multiLevelType w:val="multilevel"/>
    <w:tmpl w:val="52306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EC32DC"/>
    <w:multiLevelType w:val="multilevel"/>
    <w:tmpl w:val="A1EEA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0B3A57"/>
    <w:multiLevelType w:val="multilevel"/>
    <w:tmpl w:val="D5663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BC1659"/>
    <w:multiLevelType w:val="multilevel"/>
    <w:tmpl w:val="33D4B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AF6B79"/>
    <w:multiLevelType w:val="multilevel"/>
    <w:tmpl w:val="89529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0836ECA"/>
    <w:multiLevelType w:val="multilevel"/>
    <w:tmpl w:val="2FFAE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E5306E"/>
    <w:multiLevelType w:val="multilevel"/>
    <w:tmpl w:val="6A2A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512EED"/>
    <w:multiLevelType w:val="multilevel"/>
    <w:tmpl w:val="05B66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C44007"/>
    <w:multiLevelType w:val="multilevel"/>
    <w:tmpl w:val="21DC3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A525D2"/>
    <w:multiLevelType w:val="multilevel"/>
    <w:tmpl w:val="54B03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64362F"/>
    <w:multiLevelType w:val="multilevel"/>
    <w:tmpl w:val="D1FA0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1"/>
  </w:num>
  <w:num w:numId="4">
    <w:abstractNumId w:val="11"/>
  </w:num>
  <w:num w:numId="5">
    <w:abstractNumId w:val="12"/>
  </w:num>
  <w:num w:numId="6">
    <w:abstractNumId w:val="13"/>
  </w:num>
  <w:num w:numId="7">
    <w:abstractNumId w:val="5"/>
  </w:num>
  <w:num w:numId="8">
    <w:abstractNumId w:val="14"/>
  </w:num>
  <w:num w:numId="9">
    <w:abstractNumId w:val="0"/>
  </w:num>
  <w:num w:numId="10">
    <w:abstractNumId w:val="4"/>
  </w:num>
  <w:num w:numId="11">
    <w:abstractNumId w:val="9"/>
  </w:num>
  <w:num w:numId="12">
    <w:abstractNumId w:val="2"/>
  </w:num>
  <w:num w:numId="13">
    <w:abstractNumId w:val="6"/>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7D3"/>
    <w:rsid w:val="00D757D3"/>
    <w:rsid w:val="00EC0690"/>
    <w:rsid w:val="00F2281D"/>
    <w:rsid w:val="00FA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86EF1"/>
  <w15:docId w15:val="{E01D9C95-64E6-4E3A-85F3-26E2896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2281D"/>
    <w:pPr>
      <w:tabs>
        <w:tab w:val="center" w:pos="4680"/>
        <w:tab w:val="right" w:pos="9360"/>
      </w:tabs>
      <w:spacing w:line="240" w:lineRule="auto"/>
    </w:pPr>
  </w:style>
  <w:style w:type="character" w:customStyle="1" w:styleId="HeaderChar">
    <w:name w:val="Header Char"/>
    <w:basedOn w:val="DefaultParagraphFont"/>
    <w:link w:val="Header"/>
    <w:uiPriority w:val="99"/>
    <w:rsid w:val="00F2281D"/>
  </w:style>
  <w:style w:type="paragraph" w:styleId="Footer">
    <w:name w:val="footer"/>
    <w:basedOn w:val="Normal"/>
    <w:link w:val="FooterChar"/>
    <w:uiPriority w:val="99"/>
    <w:unhideWhenUsed/>
    <w:rsid w:val="00F2281D"/>
    <w:pPr>
      <w:tabs>
        <w:tab w:val="center" w:pos="4680"/>
        <w:tab w:val="right" w:pos="9360"/>
      </w:tabs>
      <w:spacing w:line="240" w:lineRule="auto"/>
    </w:pPr>
  </w:style>
  <w:style w:type="character" w:customStyle="1" w:styleId="FooterChar">
    <w:name w:val="Footer Char"/>
    <w:basedOn w:val="DefaultParagraphFont"/>
    <w:link w:val="Footer"/>
    <w:uiPriority w:val="99"/>
    <w:rsid w:val="00F22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1648/j.ijpc.20160201.12"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5772/intechopen.810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heliyon.2021.e07304"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7897/2230-8407.1007208" TargetMode="External"/><Relationship Id="rId20" Type="http://schemas.openxmlformats.org/officeDocument/2006/relationships/hyperlink" Target="https://doi.org/10.1007/978-3-642-87521-2_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b978-0-12-811517-6.00002-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201/b17349" TargetMode="External"/><Relationship Id="rId23" Type="http://schemas.openxmlformats.org/officeDocument/2006/relationships/hyperlink" Target="https://doi.org/10.1016/j.fochms.2022.100134"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3390/nutraceuticals302001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5897/ajmr2021.958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4853</Words>
  <Characters>27667</Characters>
  <Application>Microsoft Office Word</Application>
  <DocSecurity>0</DocSecurity>
  <Lines>230</Lines>
  <Paragraphs>64</Paragraphs>
  <ScaleCrop>false</ScaleCrop>
  <Company/>
  <LinksUpToDate>false</LinksUpToDate>
  <CharactersWithSpaces>32456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2025-05-19T11:45:00Z</dcterms:created>
  <dcterms:modified xsi:type="dcterms:W3CDTF">2025-05-19T11:46:00Z</dcterms:modified>
</cp:coreProperties>
</file>