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14DB5E" w14:textId="77777777" w:rsidR="00156BD8" w:rsidRPr="00156BD8" w:rsidRDefault="00156BD8" w:rsidP="00156BD8">
      <w:pPr>
        <w:pStyle w:val="Title"/>
        <w:jc w:val="both"/>
        <w:rPr>
          <w:rFonts w:ascii="Arial" w:hAnsi="Arial" w:cs="Arial"/>
          <w:bCs/>
          <w:i/>
          <w:iCs/>
          <w:u w:val="single"/>
        </w:rPr>
      </w:pPr>
      <w:bookmarkStart w:id="0" w:name="_GoBack"/>
      <w:bookmarkEnd w:id="0"/>
      <w:r w:rsidRPr="00156BD8">
        <w:rPr>
          <w:rFonts w:ascii="Arial" w:hAnsi="Arial" w:cs="Arial"/>
          <w:bCs/>
          <w:i/>
          <w:iCs/>
          <w:u w:val="single"/>
        </w:rPr>
        <w:t>Original Research Article</w:t>
      </w:r>
    </w:p>
    <w:p w14:paraId="6E81EA8A" w14:textId="77777777" w:rsidR="00754C9A" w:rsidRDefault="00754C9A" w:rsidP="00441B6F">
      <w:pPr>
        <w:pStyle w:val="Title"/>
        <w:spacing w:after="0"/>
        <w:jc w:val="both"/>
        <w:rPr>
          <w:rFonts w:ascii="Arial" w:hAnsi="Arial" w:cs="Arial"/>
        </w:rPr>
      </w:pPr>
    </w:p>
    <w:p w14:paraId="090F967D" w14:textId="35BD368C" w:rsidR="00163BC4" w:rsidRPr="00163BC4" w:rsidRDefault="00767489" w:rsidP="00441B6F">
      <w:pPr>
        <w:pStyle w:val="Author"/>
        <w:spacing w:line="240" w:lineRule="auto"/>
        <w:rPr>
          <w:rFonts w:ascii="Arial" w:hAnsi="Arial" w:cs="Arial"/>
          <w:bCs/>
          <w:iCs/>
          <w:kern w:val="28"/>
          <w:sz w:val="36"/>
        </w:rPr>
      </w:pPr>
      <w:r w:rsidRPr="001C69A0">
        <w:rPr>
          <w:rFonts w:ascii="Arial" w:hAnsi="Arial" w:cs="Arial"/>
          <w:bCs/>
          <w:iCs/>
          <w:kern w:val="28"/>
          <w:sz w:val="36"/>
        </w:rPr>
        <w:t xml:space="preserve">Evaluation of the Mineral Element Profile of </w:t>
      </w:r>
      <w:r w:rsidRPr="001C69A0">
        <w:rPr>
          <w:rFonts w:ascii="Arial" w:hAnsi="Arial" w:cs="Arial"/>
          <w:bCs/>
          <w:i/>
          <w:iCs/>
          <w:kern w:val="28"/>
          <w:sz w:val="36"/>
        </w:rPr>
        <w:t xml:space="preserve">Pterocarpus </w:t>
      </w:r>
      <w:proofErr w:type="spellStart"/>
      <w:r w:rsidRPr="001C69A0">
        <w:rPr>
          <w:rFonts w:ascii="Arial" w:hAnsi="Arial" w:cs="Arial"/>
          <w:bCs/>
          <w:i/>
          <w:iCs/>
          <w:kern w:val="28"/>
          <w:sz w:val="36"/>
        </w:rPr>
        <w:t>santalinoides</w:t>
      </w:r>
      <w:proofErr w:type="spellEnd"/>
      <w:r w:rsidRPr="001C69A0">
        <w:rPr>
          <w:rFonts w:ascii="Arial" w:hAnsi="Arial" w:cs="Arial"/>
          <w:bCs/>
          <w:i/>
          <w:iCs/>
          <w:kern w:val="28"/>
          <w:sz w:val="36"/>
        </w:rPr>
        <w:t xml:space="preserve"> </w:t>
      </w:r>
      <w:r w:rsidRPr="001C69A0">
        <w:rPr>
          <w:rFonts w:ascii="Arial" w:hAnsi="Arial" w:cs="Arial"/>
          <w:bCs/>
          <w:iCs/>
          <w:kern w:val="28"/>
          <w:sz w:val="36"/>
        </w:rPr>
        <w:t>(</w:t>
      </w:r>
      <w:proofErr w:type="spellStart"/>
      <w:r w:rsidRPr="00CD180B">
        <w:rPr>
          <w:rFonts w:ascii="Arial" w:hAnsi="Arial" w:cs="Arial"/>
          <w:bCs/>
          <w:i/>
          <w:kern w:val="28"/>
          <w:sz w:val="36"/>
        </w:rPr>
        <w:t>Nturukpa</w:t>
      </w:r>
      <w:proofErr w:type="spellEnd"/>
      <w:r w:rsidRPr="001C69A0">
        <w:rPr>
          <w:rFonts w:ascii="Arial" w:hAnsi="Arial" w:cs="Arial"/>
          <w:bCs/>
          <w:iCs/>
          <w:kern w:val="28"/>
          <w:sz w:val="36"/>
        </w:rPr>
        <w:t>) Using Atomic Absorption Spectroscopy</w:t>
      </w:r>
    </w:p>
    <w:p w14:paraId="360CF1AF" w14:textId="77777777" w:rsidR="00A258C3" w:rsidRPr="00790ADA" w:rsidRDefault="00A258C3" w:rsidP="00441B6F">
      <w:pPr>
        <w:pStyle w:val="Author"/>
        <w:spacing w:line="240" w:lineRule="auto"/>
        <w:jc w:val="both"/>
        <w:rPr>
          <w:rFonts w:ascii="Arial" w:hAnsi="Arial" w:cs="Arial"/>
          <w:sz w:val="36"/>
        </w:rPr>
      </w:pPr>
    </w:p>
    <w:p w14:paraId="274C21E0" w14:textId="77777777" w:rsidR="00156BD8" w:rsidRDefault="00156BD8" w:rsidP="00767489">
      <w:pPr>
        <w:pStyle w:val="Affiliation"/>
        <w:spacing w:after="0" w:line="240" w:lineRule="auto"/>
        <w:jc w:val="both"/>
        <w:rPr>
          <w:rFonts w:ascii="Arial" w:hAnsi="Arial" w:cs="Arial"/>
        </w:rPr>
      </w:pPr>
    </w:p>
    <w:p w14:paraId="568AA3D9" w14:textId="77777777" w:rsidR="002C57D2" w:rsidRPr="00FB3A86" w:rsidRDefault="002C57D2" w:rsidP="00441B6F">
      <w:pPr>
        <w:pStyle w:val="Affiliation"/>
        <w:spacing w:after="0" w:line="240" w:lineRule="auto"/>
        <w:jc w:val="both"/>
        <w:rPr>
          <w:rFonts w:ascii="Arial" w:hAnsi="Arial" w:cs="Arial"/>
        </w:rPr>
      </w:pPr>
    </w:p>
    <w:p w14:paraId="1FBC8E08" w14:textId="16085DC5" w:rsidR="00B01FCD" w:rsidRPr="00FB3A86" w:rsidRDefault="003070B8" w:rsidP="00441B6F">
      <w:pPr>
        <w:pStyle w:val="Copyright"/>
        <w:spacing w:after="0" w:line="240" w:lineRule="auto"/>
        <w:jc w:val="both"/>
        <w:rPr>
          <w:rFonts w:ascii="Arial" w:hAnsi="Arial" w:cs="Arial"/>
        </w:rPr>
        <w:sectPr w:rsidR="00B01FCD" w:rsidRPr="00FB3A86" w:rsidSect="00E74EF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472E881" wp14:editId="6F406FA7">
                <wp:extent cx="5303520" cy="635"/>
                <wp:effectExtent l="11430" t="13335" r="9525" b="15240"/>
                <wp:docPr id="2999896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F2DD9DA"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1FA1865A" w14:textId="08985F26" w:rsidR="00B01FCD" w:rsidRDefault="00B01FCD" w:rsidP="00441B6F">
      <w:pPr>
        <w:pStyle w:val="AbstHead"/>
        <w:spacing w:after="0"/>
        <w:jc w:val="both"/>
        <w:rPr>
          <w:rFonts w:ascii="Arial" w:hAnsi="Arial" w:cs="Arial"/>
        </w:rPr>
      </w:pPr>
      <w:r w:rsidRPr="00FB3A86">
        <w:rPr>
          <w:rFonts w:ascii="Arial" w:hAnsi="Arial" w:cs="Arial"/>
        </w:rPr>
        <w:t>ABSTRACT</w:t>
      </w:r>
    </w:p>
    <w:p w14:paraId="12ABDC1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67489" w:rsidRPr="001E44FE" w14:paraId="634EA221" w14:textId="77777777" w:rsidTr="00767489">
        <w:tc>
          <w:tcPr>
            <w:tcW w:w="8424" w:type="dxa"/>
            <w:shd w:val="clear" w:color="auto" w:fill="F2F2F2"/>
          </w:tcPr>
          <w:p w14:paraId="01C8BA15" w14:textId="1CA06CB8" w:rsidR="00767489" w:rsidRDefault="00767489" w:rsidP="00767489">
            <w:pPr>
              <w:pStyle w:val="Body"/>
              <w:spacing w:after="0"/>
            </w:pPr>
            <w:r w:rsidRPr="004C4D49">
              <w:rPr>
                <w:b/>
                <w:bCs/>
              </w:rPr>
              <w:t>Aims:</w:t>
            </w:r>
            <w:r w:rsidRPr="004C4D49">
              <w:t xml:space="preserve"> This study aimed to evaluate the mineral element profile of </w:t>
            </w:r>
            <w:r w:rsidRPr="004C4D49">
              <w:rPr>
                <w:i/>
                <w:iCs/>
              </w:rPr>
              <w:t xml:space="preserve">Pterocarpus </w:t>
            </w:r>
            <w:proofErr w:type="spellStart"/>
            <w:r w:rsidRPr="004C4D49">
              <w:rPr>
                <w:i/>
                <w:iCs/>
              </w:rPr>
              <w:t>santalinoides</w:t>
            </w:r>
            <w:proofErr w:type="spellEnd"/>
            <w:r w:rsidRPr="004C4D49">
              <w:rPr>
                <w:i/>
                <w:iCs/>
              </w:rPr>
              <w:t xml:space="preserve"> </w:t>
            </w:r>
            <w:r w:rsidRPr="004C4D49">
              <w:t>(locally known as “</w:t>
            </w:r>
            <w:proofErr w:type="spellStart"/>
            <w:r w:rsidRPr="00767489">
              <w:rPr>
                <w:i/>
                <w:iCs/>
              </w:rPr>
              <w:t>Nturukpa</w:t>
            </w:r>
            <w:proofErr w:type="spellEnd"/>
            <w:r w:rsidRPr="004C4D49">
              <w:t>”) to assess its nutritional and food safety potentials.</w:t>
            </w:r>
            <w:r w:rsidRPr="004C4D49">
              <w:br/>
            </w:r>
            <w:r w:rsidRPr="004C4D49">
              <w:rPr>
                <w:b/>
                <w:bCs/>
              </w:rPr>
              <w:t>Study Design:</w:t>
            </w:r>
            <w:r w:rsidRPr="004C4D49">
              <w:t xml:space="preserve"> A comparative laboratory analysis was performed using atomic absorption spectroscopy (AAS) on tender and </w:t>
            </w:r>
            <w:r>
              <w:t>mature</w:t>
            </w:r>
            <w:r w:rsidRPr="004C4D49">
              <w:t xml:space="preserve"> leaves.</w:t>
            </w:r>
          </w:p>
          <w:p w14:paraId="4B7D825F" w14:textId="77777777" w:rsidR="00767489" w:rsidRDefault="00767489" w:rsidP="00767489">
            <w:pPr>
              <w:pStyle w:val="Body"/>
              <w:spacing w:after="0"/>
            </w:pPr>
            <w:r w:rsidRPr="004C4D49">
              <w:rPr>
                <w:b/>
                <w:bCs/>
              </w:rPr>
              <w:t>Methodology:</w:t>
            </w:r>
            <w:r w:rsidRPr="004C4D49">
              <w:t xml:space="preserve"> Ten grams of tender and mature leaf samples were collected from Otu Ansa in Calabar, identified botanically, washed, dried, and extracted via Soxhlet extraction using distilled water. AAS </w:t>
            </w:r>
            <w:proofErr w:type="spellStart"/>
            <w:r w:rsidRPr="004C4D49">
              <w:t>analysed</w:t>
            </w:r>
            <w:proofErr w:type="spellEnd"/>
            <w:r w:rsidRPr="004C4D49">
              <w:t xml:space="preserve"> the extracts to quantify key macro (hydrogen, nitrogen, phosphorus, calcium, potassium, magnesium) and microelements (nickel, silicon, zinc, iron, copper, manganese). Data were statistically processed using SPSS, with significance determined at </w:t>
            </w:r>
            <w:r w:rsidRPr="004C4D49">
              <w:rPr>
                <w:i/>
                <w:iCs/>
              </w:rPr>
              <w:t>P</w:t>
            </w:r>
            <w:r w:rsidRPr="004C4D49">
              <w:t xml:space="preserve"> = .05 by ANOVA.</w:t>
            </w:r>
          </w:p>
          <w:p w14:paraId="79184AD6" w14:textId="77777777" w:rsidR="00767489" w:rsidRDefault="00767489" w:rsidP="00767489">
            <w:pPr>
              <w:pStyle w:val="Body"/>
              <w:spacing w:after="0"/>
            </w:pPr>
            <w:r w:rsidRPr="004C4D49">
              <w:rPr>
                <w:b/>
                <w:bCs/>
              </w:rPr>
              <w:t>Results:</w:t>
            </w:r>
            <w:r w:rsidRPr="004C4D49">
              <w:t xml:space="preserve"> Tender leaves exhibited significantly higher concentrations of calcium, potassium, magnesium, zinc, iron, copper, manganese, nickel, and silicon compared with matured leaves. Notably, the tender leaf calcium level was 89.80 ± 0.01 mg/kg versus 56.24 ± 0.38 mg/kg in mature leaves, while iron content reached 323.93 ± 0.01 mg/kg in tender leaves compared to 202.86 ± 0.02 mg/kg in matured samples.</w:t>
            </w:r>
          </w:p>
          <w:p w14:paraId="4A9C2545" w14:textId="6AE89E93" w:rsidR="00767489" w:rsidRPr="00BA1B01" w:rsidRDefault="00767489" w:rsidP="00767489">
            <w:pPr>
              <w:pStyle w:val="Body"/>
              <w:spacing w:after="0"/>
              <w:rPr>
                <w:rFonts w:ascii="Arial" w:eastAsia="Calibri" w:hAnsi="Arial" w:cs="Arial"/>
                <w:szCs w:val="22"/>
              </w:rPr>
            </w:pPr>
            <w:r w:rsidRPr="004C4D49">
              <w:rPr>
                <w:b/>
                <w:bCs/>
              </w:rPr>
              <w:t>Conclusion:</w:t>
            </w:r>
            <w:r w:rsidRPr="004C4D49">
              <w:t xml:space="preserve"> The enhanced mineral profile of the tender leaves suggests that </w:t>
            </w:r>
            <w:r w:rsidRPr="004C4D49">
              <w:rPr>
                <w:i/>
              </w:rPr>
              <w:t xml:space="preserve">Pterocarpus </w:t>
            </w:r>
            <w:proofErr w:type="spellStart"/>
            <w:r w:rsidRPr="004C4D49">
              <w:rPr>
                <w:i/>
              </w:rPr>
              <w:t>santalinoides</w:t>
            </w:r>
            <w:proofErr w:type="spellEnd"/>
            <w:r w:rsidRPr="004C4D49">
              <w:rPr>
                <w:i/>
              </w:rPr>
              <w:t xml:space="preserve"> </w:t>
            </w:r>
            <w:r w:rsidRPr="004C4D49">
              <w:t>could be a valuable dietary supplement, with implications for nutritional interventions and food safety</w:t>
            </w:r>
          </w:p>
        </w:tc>
      </w:tr>
    </w:tbl>
    <w:p w14:paraId="5AAEB290" w14:textId="77777777" w:rsidR="00636EB2" w:rsidRDefault="00636EB2" w:rsidP="00441B6F">
      <w:pPr>
        <w:pStyle w:val="Body"/>
        <w:spacing w:after="0"/>
        <w:rPr>
          <w:rFonts w:ascii="Arial" w:hAnsi="Arial" w:cs="Arial"/>
          <w:i/>
        </w:rPr>
      </w:pPr>
    </w:p>
    <w:p w14:paraId="7B0531B3" w14:textId="5C5FA5CD" w:rsidR="00A24E7E" w:rsidRPr="00767489" w:rsidRDefault="00A24E7E" w:rsidP="00767489">
      <w:pPr>
        <w:pStyle w:val="Body"/>
        <w:rPr>
          <w:rFonts w:ascii="Arial" w:hAnsi="Arial" w:cs="Arial"/>
          <w:i/>
          <w:lang w:val="en-GB"/>
        </w:rPr>
      </w:pPr>
      <w:r>
        <w:rPr>
          <w:rFonts w:ascii="Arial" w:hAnsi="Arial" w:cs="Arial"/>
          <w:i/>
        </w:rPr>
        <w:t xml:space="preserve">Keywords: </w:t>
      </w:r>
      <w:r w:rsidR="00767489" w:rsidRPr="00767489">
        <w:rPr>
          <w:rFonts w:ascii="Arial" w:hAnsi="Arial" w:cs="Arial"/>
          <w:i/>
          <w:lang w:val="en-GB"/>
        </w:rPr>
        <w:t xml:space="preserve">Pterocarpus </w:t>
      </w:r>
      <w:proofErr w:type="spellStart"/>
      <w:r w:rsidR="00767489" w:rsidRPr="00767489">
        <w:rPr>
          <w:rFonts w:ascii="Arial" w:hAnsi="Arial" w:cs="Arial"/>
          <w:i/>
          <w:lang w:val="en-GB"/>
        </w:rPr>
        <w:t>santalinoides</w:t>
      </w:r>
      <w:proofErr w:type="spellEnd"/>
      <w:r w:rsidR="00767489" w:rsidRPr="00767489">
        <w:rPr>
          <w:rFonts w:ascii="Arial" w:hAnsi="Arial" w:cs="Arial"/>
          <w:i/>
          <w:lang w:val="en-GB"/>
        </w:rPr>
        <w:t>, atomic absorption spectroscopy, mineral profile, nutrition, food safety.</w:t>
      </w:r>
    </w:p>
    <w:p w14:paraId="1A96CB4B" w14:textId="2A69727E"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601B651" w14:textId="77777777" w:rsidR="00790ADA" w:rsidRPr="00FB3A86" w:rsidRDefault="00790ADA" w:rsidP="00441B6F">
      <w:pPr>
        <w:pStyle w:val="AbstHead"/>
        <w:spacing w:after="0"/>
        <w:jc w:val="both"/>
        <w:rPr>
          <w:rFonts w:ascii="Arial" w:hAnsi="Arial" w:cs="Arial"/>
        </w:rPr>
      </w:pPr>
    </w:p>
    <w:p w14:paraId="4253D9D4" w14:textId="36410EF2" w:rsidR="008C25C8" w:rsidRDefault="008C25C8" w:rsidP="008C25C8">
      <w:pPr>
        <w:pStyle w:val="Body"/>
        <w:rPr>
          <w:rFonts w:ascii="Arial" w:hAnsi="Arial" w:cs="Arial"/>
          <w:lang w:val="en-GB"/>
        </w:rPr>
      </w:pPr>
      <w:r w:rsidRPr="008C25C8">
        <w:rPr>
          <w:rFonts w:ascii="Arial" w:hAnsi="Arial" w:cs="Arial"/>
          <w:lang w:val="en-GB"/>
        </w:rPr>
        <w:t xml:space="preserve">The global transition toward plant-based nutrition has highlighted the important role of underutilized vegetables in improving human health and environmental sustainability (Pan et al., 2024; Chen et al., 2023). Systematic reviews of prospective cohort studies have </w:t>
      </w:r>
      <w:r w:rsidR="009B6ECC">
        <w:rPr>
          <w:rFonts w:ascii="Arial" w:hAnsi="Arial" w:cs="Arial"/>
          <w:lang w:val="en-GB"/>
        </w:rPr>
        <w:t>consistently shown that higher adherence to plant-based dietary patterns is associated with significant reductions in cardiovascular disease, type 2 diabetes, and certain types of cancer</w:t>
      </w:r>
      <w:r w:rsidRPr="008C25C8">
        <w:rPr>
          <w:rFonts w:ascii="Arial" w:hAnsi="Arial" w:cs="Arial"/>
          <w:lang w:val="en-GB"/>
        </w:rPr>
        <w:t xml:space="preserve"> (Li et al., 2023; Wang et al., 2024). Moreover, randomized controlled trials confirm that plant-focused interventions lower blood pressure and improve glycaemic control, underscoring their potential in both prevention and management of noncommunicable diseases (Clark &amp; Slavin, 2023).</w:t>
      </w:r>
    </w:p>
    <w:p w14:paraId="69FEB02E" w14:textId="156BA284" w:rsidR="008C25C8" w:rsidRPr="008C25C8" w:rsidRDefault="008C25C8" w:rsidP="008C25C8">
      <w:pPr>
        <w:pStyle w:val="Body"/>
        <w:rPr>
          <w:rFonts w:ascii="Arial" w:hAnsi="Arial" w:cs="Arial"/>
          <w:lang w:val="en-GB"/>
        </w:rPr>
      </w:pPr>
      <w:r w:rsidRPr="008C25C8">
        <w:rPr>
          <w:rFonts w:ascii="Arial" w:hAnsi="Arial" w:cs="Arial"/>
          <w:lang w:val="en-GB"/>
        </w:rPr>
        <w:lastRenderedPageBreak/>
        <w:t xml:space="preserve">The exploration of plant-based nutrition has garnered increasing interest, largely due to its positive implications for human health and environmental sustainability </w:t>
      </w:r>
      <w:bookmarkStart w:id="1" w:name="_Hlk184720909"/>
      <w:r w:rsidRPr="008C25C8">
        <w:rPr>
          <w:rFonts w:ascii="Arial" w:hAnsi="Arial" w:cs="Arial"/>
          <w:lang w:val="en-GB"/>
        </w:rPr>
        <w:t>(</w:t>
      </w:r>
      <w:proofErr w:type="spellStart"/>
      <w:r w:rsidRPr="008C25C8">
        <w:rPr>
          <w:rFonts w:ascii="Arial" w:hAnsi="Arial" w:cs="Arial"/>
          <w:lang w:val="en-GB"/>
        </w:rPr>
        <w:t>Agiang</w:t>
      </w:r>
      <w:proofErr w:type="spellEnd"/>
      <w:r w:rsidRPr="008C25C8">
        <w:rPr>
          <w:rFonts w:ascii="Arial" w:hAnsi="Arial" w:cs="Arial"/>
          <w:lang w:val="en-GB"/>
        </w:rPr>
        <w:t xml:space="preserve"> </w:t>
      </w:r>
      <w:r w:rsidRPr="008C25C8">
        <w:rPr>
          <w:rFonts w:ascii="Arial" w:hAnsi="Arial" w:cs="Arial"/>
          <w:i/>
          <w:lang w:val="en-GB"/>
        </w:rPr>
        <w:t>et al.,</w:t>
      </w:r>
      <w:r w:rsidRPr="008C25C8">
        <w:rPr>
          <w:rFonts w:ascii="Arial" w:hAnsi="Arial" w:cs="Arial"/>
          <w:lang w:val="en-GB"/>
        </w:rPr>
        <w:t xml:space="preserve"> 2016)</w:t>
      </w:r>
      <w:bookmarkEnd w:id="1"/>
      <w:r w:rsidRPr="008C25C8">
        <w:rPr>
          <w:rFonts w:ascii="Arial" w:hAnsi="Arial" w:cs="Arial"/>
          <w:lang w:val="en-GB"/>
        </w:rPr>
        <w:t>. Plants contain a diverse array of essential nutrients and bioactive compounds that play key roles in maintaining health and mitigating the risk of various diseases (</w:t>
      </w:r>
      <w:proofErr w:type="spellStart"/>
      <w:r w:rsidRPr="008C25C8">
        <w:rPr>
          <w:rFonts w:ascii="Arial" w:hAnsi="Arial" w:cs="Arial"/>
          <w:lang w:val="en-GB"/>
        </w:rPr>
        <w:t>Vinnari</w:t>
      </w:r>
      <w:proofErr w:type="spellEnd"/>
      <w:r w:rsidRPr="008C25C8">
        <w:rPr>
          <w:rFonts w:ascii="Arial" w:hAnsi="Arial" w:cs="Arial"/>
          <w:lang w:val="en-GB"/>
        </w:rPr>
        <w:t xml:space="preserve"> and </w:t>
      </w:r>
      <w:proofErr w:type="spellStart"/>
      <w:r w:rsidRPr="008C25C8">
        <w:rPr>
          <w:rFonts w:ascii="Arial" w:hAnsi="Arial" w:cs="Arial"/>
          <w:lang w:val="en-GB"/>
        </w:rPr>
        <w:t>Vinnari</w:t>
      </w:r>
      <w:proofErr w:type="spellEnd"/>
      <w:r w:rsidRPr="008C25C8">
        <w:rPr>
          <w:rFonts w:ascii="Arial" w:hAnsi="Arial" w:cs="Arial"/>
          <w:lang w:val="en-GB"/>
        </w:rPr>
        <w:t xml:space="preserve">, 2014). In sub-Saharan Africa, leafy vegetables constitute an essential component of local diets, supplying key micronutrients where animal-source foods are scarce or unaffordable a notable plant in this context is </w:t>
      </w:r>
      <w:r w:rsidRPr="008C25C8">
        <w:rPr>
          <w:rFonts w:ascii="Arial" w:hAnsi="Arial" w:cs="Arial"/>
          <w:i/>
          <w:iCs/>
          <w:lang w:val="en-GB"/>
        </w:rPr>
        <w:t xml:space="preserve">Pterocarpus </w:t>
      </w:r>
      <w:proofErr w:type="spellStart"/>
      <w:r w:rsidRPr="008C25C8">
        <w:rPr>
          <w:rFonts w:ascii="Arial" w:hAnsi="Arial" w:cs="Arial"/>
          <w:i/>
          <w:iCs/>
          <w:lang w:val="en-GB"/>
        </w:rPr>
        <w:t>santalinoides</w:t>
      </w:r>
      <w:proofErr w:type="spellEnd"/>
      <w:r w:rsidRPr="008C25C8">
        <w:rPr>
          <w:rFonts w:ascii="Arial" w:hAnsi="Arial" w:cs="Arial"/>
          <w:lang w:val="en-GB"/>
        </w:rPr>
        <w:t>, referred to as "</w:t>
      </w:r>
      <w:proofErr w:type="spellStart"/>
      <w:r w:rsidRPr="008C25C8">
        <w:rPr>
          <w:rFonts w:ascii="Arial" w:hAnsi="Arial" w:cs="Arial"/>
          <w:i/>
          <w:iCs/>
          <w:lang w:val="en-GB"/>
        </w:rPr>
        <w:t>nturukpa</w:t>
      </w:r>
      <w:proofErr w:type="spellEnd"/>
      <w:r w:rsidRPr="008C25C8">
        <w:rPr>
          <w:rFonts w:ascii="Arial" w:hAnsi="Arial" w:cs="Arial"/>
          <w:lang w:val="en-GB"/>
        </w:rPr>
        <w:t xml:space="preserve">" in certain regions of West Africa. This tree, a member of the Fabaceae family, has long been valued for its multifaceted uses, encompassing traditional medicine, dye production, and as a source of food (Akinsola </w:t>
      </w:r>
      <w:r w:rsidRPr="008C25C8">
        <w:rPr>
          <w:rFonts w:ascii="Arial" w:hAnsi="Arial" w:cs="Arial"/>
          <w:i/>
          <w:lang w:val="en-GB"/>
        </w:rPr>
        <w:t>et al.,</w:t>
      </w:r>
      <w:r w:rsidRPr="008C25C8">
        <w:rPr>
          <w:rFonts w:ascii="Arial" w:hAnsi="Arial" w:cs="Arial"/>
          <w:lang w:val="en-GB"/>
        </w:rPr>
        <w:t xml:space="preserve"> 2022). </w:t>
      </w:r>
      <w:r w:rsidRPr="008C25C8">
        <w:rPr>
          <w:rFonts w:ascii="Arial" w:hAnsi="Arial" w:cs="Arial"/>
          <w:i/>
          <w:iCs/>
        </w:rPr>
        <w:t xml:space="preserve">Pterocarpus </w:t>
      </w:r>
      <w:proofErr w:type="spellStart"/>
      <w:r w:rsidRPr="008C25C8">
        <w:rPr>
          <w:rFonts w:ascii="Arial" w:hAnsi="Arial" w:cs="Arial"/>
          <w:i/>
          <w:iCs/>
        </w:rPr>
        <w:t>santalinoides</w:t>
      </w:r>
      <w:proofErr w:type="spellEnd"/>
      <w:r w:rsidRPr="008C25C8">
        <w:rPr>
          <w:rFonts w:ascii="Arial" w:hAnsi="Arial" w:cs="Arial"/>
          <w:i/>
          <w:iCs/>
        </w:rPr>
        <w:t xml:space="preserve"> </w:t>
      </w:r>
      <w:r w:rsidRPr="008C25C8">
        <w:rPr>
          <w:rFonts w:ascii="Arial" w:hAnsi="Arial" w:cs="Arial"/>
        </w:rPr>
        <w:t>is indigenous to tropical Africa (</w:t>
      </w:r>
      <w:proofErr w:type="spellStart"/>
      <w:r w:rsidRPr="008C25C8">
        <w:rPr>
          <w:rFonts w:ascii="Arial" w:hAnsi="Arial" w:cs="Arial"/>
        </w:rPr>
        <w:t>Engwa</w:t>
      </w:r>
      <w:proofErr w:type="spellEnd"/>
      <w:r w:rsidRPr="008C25C8">
        <w:rPr>
          <w:rFonts w:ascii="Arial" w:hAnsi="Arial" w:cs="Arial"/>
        </w:rPr>
        <w:t xml:space="preserve"> </w:t>
      </w:r>
      <w:r w:rsidRPr="008C25C8">
        <w:rPr>
          <w:rFonts w:ascii="Arial" w:hAnsi="Arial" w:cs="Arial"/>
          <w:i/>
        </w:rPr>
        <w:t>et al.,</w:t>
      </w:r>
      <w:r w:rsidRPr="008C25C8">
        <w:rPr>
          <w:rFonts w:ascii="Arial" w:hAnsi="Arial" w:cs="Arial"/>
        </w:rPr>
        <w:t xml:space="preserve"> 2018), where it has historically been used for various purposes. Its leaves, roots, and bark are </w:t>
      </w:r>
      <w:proofErr w:type="spellStart"/>
      <w:r w:rsidR="00541B4E" w:rsidRPr="008C25C8">
        <w:rPr>
          <w:rFonts w:ascii="Arial" w:hAnsi="Arial" w:cs="Arial"/>
        </w:rPr>
        <w:t>recognised</w:t>
      </w:r>
      <w:proofErr w:type="spellEnd"/>
      <w:r w:rsidRPr="008C25C8">
        <w:rPr>
          <w:rFonts w:ascii="Arial" w:hAnsi="Arial" w:cs="Arial"/>
        </w:rPr>
        <w:t xml:space="preserve"> for their medicinal benefits, while the seeds and other plant parts are occasionally incorporated into local culinary practices. The extensive traditional knowledge surrounding this plant </w:t>
      </w:r>
      <w:proofErr w:type="spellStart"/>
      <w:r w:rsidR="00541B4E" w:rsidRPr="008C25C8">
        <w:rPr>
          <w:rFonts w:ascii="Arial" w:hAnsi="Arial" w:cs="Arial"/>
        </w:rPr>
        <w:t>emphasises</w:t>
      </w:r>
      <w:proofErr w:type="spellEnd"/>
      <w:r w:rsidRPr="008C25C8">
        <w:rPr>
          <w:rFonts w:ascii="Arial" w:hAnsi="Arial" w:cs="Arial"/>
        </w:rPr>
        <w:t xml:space="preserve"> the need for rigorous scientific investigation to substantiate its nutritional content and explore its potential health </w:t>
      </w:r>
      <w:r w:rsidR="00541B4E" w:rsidRPr="008C25C8">
        <w:rPr>
          <w:rFonts w:ascii="Arial" w:hAnsi="Arial" w:cs="Arial"/>
        </w:rPr>
        <w:t>benefits.</w:t>
      </w:r>
      <w:r w:rsidR="00541B4E" w:rsidRPr="008C25C8">
        <w:rPr>
          <w:rFonts w:ascii="Arial" w:hAnsi="Arial" w:cs="Arial"/>
          <w:lang w:val="en-GB"/>
        </w:rPr>
        <w:t xml:space="preserve"> It</w:t>
      </w:r>
      <w:r w:rsidRPr="008C25C8">
        <w:rPr>
          <w:rFonts w:ascii="Arial" w:hAnsi="Arial" w:cs="Arial"/>
          <w:lang w:val="en-GB"/>
        </w:rPr>
        <w:t xml:space="preserve"> is traditionally incorporated into soups and folk remedies for its purported antimicrobial and antioxidant activities. Despite widespread use, quantitative data on its mineral element composition, especially contrasting tender and mature leaves</w:t>
      </w:r>
      <w:r w:rsidR="00541B4E">
        <w:rPr>
          <w:rFonts w:ascii="Arial" w:hAnsi="Arial" w:cs="Arial"/>
          <w:lang w:val="en-GB"/>
        </w:rPr>
        <w:t>,</w:t>
      </w:r>
      <w:r w:rsidRPr="008C25C8">
        <w:rPr>
          <w:rFonts w:ascii="Arial" w:hAnsi="Arial" w:cs="Arial"/>
          <w:lang w:val="en-GB"/>
        </w:rPr>
        <w:t xml:space="preserve"> remain limited. To accurately assess its potential in human diets and broader applications in the nutraceutical and functional food sectors, a detailed analysis of its nutritional content is essential.</w:t>
      </w:r>
    </w:p>
    <w:p w14:paraId="737AE596" w14:textId="2C4A67D7" w:rsidR="008C25C8" w:rsidRPr="008C25C8" w:rsidRDefault="008C25C8" w:rsidP="008C25C8">
      <w:pPr>
        <w:pStyle w:val="Body"/>
        <w:rPr>
          <w:rFonts w:ascii="Arial" w:hAnsi="Arial" w:cs="Arial"/>
          <w:lang w:val="en-GB"/>
        </w:rPr>
      </w:pPr>
      <w:r w:rsidRPr="008C25C8">
        <w:rPr>
          <w:rFonts w:ascii="Arial" w:hAnsi="Arial" w:cs="Arial"/>
          <w:lang w:val="en-GB"/>
        </w:rPr>
        <w:t>Atomic absorption spectroscopy (AAS) is the reference method for precise quantification of macro- (e.g., calcium, magnesium, potassium) and trace elements (e.g., iron, zinc, nickel) in plant matrices (</w:t>
      </w:r>
      <w:r w:rsidR="00364DD5">
        <w:rPr>
          <w:rFonts w:ascii="Arial" w:hAnsi="Arial" w:cs="Arial"/>
          <w:lang w:val="en-GB"/>
        </w:rPr>
        <w:t>Pan</w:t>
      </w:r>
      <w:r w:rsidRPr="008C25C8">
        <w:rPr>
          <w:rFonts w:ascii="Arial" w:hAnsi="Arial" w:cs="Arial"/>
          <w:lang w:val="en-GB"/>
        </w:rPr>
        <w:t xml:space="preserve"> et al., 202</w:t>
      </w:r>
      <w:r w:rsidR="00364DD5">
        <w:rPr>
          <w:rFonts w:ascii="Arial" w:hAnsi="Arial" w:cs="Arial"/>
          <w:lang w:val="en-GB"/>
        </w:rPr>
        <w:t>4</w:t>
      </w:r>
      <w:r w:rsidRPr="008C25C8">
        <w:rPr>
          <w:rFonts w:ascii="Arial" w:hAnsi="Arial" w:cs="Arial"/>
          <w:lang w:val="en-GB"/>
        </w:rPr>
        <w:t>). Recent advances in AAS, including graphite furnace techniques, have further improved detection limits for challenging matrices and enabled simultaneous assessment of nutritionally beneficial and potentially toxic metals (Li &amp; Zhao, 2024</w:t>
      </w:r>
      <w:proofErr w:type="gramStart"/>
      <w:r w:rsidRPr="008C25C8">
        <w:rPr>
          <w:rFonts w:ascii="Arial" w:hAnsi="Arial" w:cs="Arial"/>
          <w:lang w:val="en-GB"/>
        </w:rPr>
        <w:t>).This</w:t>
      </w:r>
      <w:proofErr w:type="gramEnd"/>
      <w:r w:rsidRPr="008C25C8">
        <w:rPr>
          <w:rFonts w:ascii="Arial" w:hAnsi="Arial" w:cs="Arial"/>
          <w:lang w:val="en-GB"/>
        </w:rPr>
        <w:t xml:space="preserve"> study applies flame AAS to comprehensively profile essential macro- and trace mineral elements in tender versus mature leaves of </w:t>
      </w:r>
      <w:r w:rsidRPr="008C25C8">
        <w:rPr>
          <w:rFonts w:ascii="Arial" w:hAnsi="Arial" w:cs="Arial"/>
          <w:i/>
          <w:iCs/>
          <w:lang w:val="en-GB"/>
        </w:rPr>
        <w:t xml:space="preserve">P. </w:t>
      </w:r>
      <w:proofErr w:type="spellStart"/>
      <w:r w:rsidRPr="008C25C8">
        <w:rPr>
          <w:rFonts w:ascii="Arial" w:hAnsi="Arial" w:cs="Arial"/>
          <w:i/>
          <w:iCs/>
          <w:lang w:val="en-GB"/>
        </w:rPr>
        <w:t>santalinoides</w:t>
      </w:r>
      <w:proofErr w:type="spellEnd"/>
      <w:r w:rsidRPr="008C25C8">
        <w:rPr>
          <w:rFonts w:ascii="Arial" w:hAnsi="Arial" w:cs="Arial"/>
          <w:lang w:val="en-GB"/>
        </w:rPr>
        <w:t xml:space="preserve">. By generating detailed quantitative data, we aim to inform dietary recommendations, assess </w:t>
      </w:r>
      <w:r w:rsidR="00541B4E">
        <w:rPr>
          <w:rFonts w:ascii="Arial" w:hAnsi="Arial" w:cs="Arial"/>
          <w:lang w:val="en-GB"/>
        </w:rPr>
        <w:t>food safety risks, and support the strategic inclusion of “</w:t>
      </w:r>
      <w:proofErr w:type="spellStart"/>
      <w:r w:rsidR="00541B4E">
        <w:rPr>
          <w:rFonts w:ascii="Arial" w:hAnsi="Arial" w:cs="Arial"/>
          <w:lang w:val="en-GB"/>
        </w:rPr>
        <w:t>Nturukpa</w:t>
      </w:r>
      <w:proofErr w:type="spellEnd"/>
      <w:r w:rsidR="00541B4E">
        <w:rPr>
          <w:rFonts w:ascii="Arial" w:hAnsi="Arial" w:cs="Arial"/>
          <w:lang w:val="en-GB"/>
        </w:rPr>
        <w:t>” within nutrition-sensitive and food security</w:t>
      </w:r>
      <w:r w:rsidRPr="008C25C8">
        <w:rPr>
          <w:rFonts w:ascii="Arial" w:hAnsi="Arial" w:cs="Arial"/>
          <w:lang w:val="en-GB"/>
        </w:rPr>
        <w:t xml:space="preserve"> interventions across nutrient-deficient regions of West Africa.</w:t>
      </w:r>
    </w:p>
    <w:p w14:paraId="48523C34" w14:textId="77777777" w:rsidR="00790ADA" w:rsidRPr="00FB3A86" w:rsidRDefault="00790ADA" w:rsidP="00441B6F">
      <w:pPr>
        <w:pStyle w:val="Body"/>
        <w:spacing w:after="0"/>
        <w:rPr>
          <w:rFonts w:ascii="Arial" w:hAnsi="Arial" w:cs="Arial"/>
        </w:rPr>
      </w:pPr>
    </w:p>
    <w:p w14:paraId="15DC7F0B" w14:textId="3D57119D"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7028EE7" w14:textId="77777777" w:rsidR="00790ADA" w:rsidRPr="00FB3A86" w:rsidRDefault="00790ADA" w:rsidP="00441B6F">
      <w:pPr>
        <w:pStyle w:val="AbstHead"/>
        <w:spacing w:after="0"/>
        <w:jc w:val="both"/>
        <w:rPr>
          <w:rFonts w:ascii="Arial" w:hAnsi="Arial" w:cs="Arial"/>
        </w:rPr>
      </w:pPr>
    </w:p>
    <w:p w14:paraId="112B0818" w14:textId="77777777" w:rsidR="008C25C8" w:rsidRPr="00AF73FE" w:rsidRDefault="008C25C8" w:rsidP="008C25C8">
      <w:pPr>
        <w:pStyle w:val="Body"/>
        <w:spacing w:after="0"/>
        <w:rPr>
          <w:rFonts w:ascii="Arial" w:hAnsi="Arial" w:cs="Arial"/>
          <w:b/>
          <w:bCs/>
        </w:rPr>
      </w:pPr>
      <w:r w:rsidRPr="00AF73FE">
        <w:rPr>
          <w:rFonts w:ascii="Arial" w:hAnsi="Arial" w:cs="Arial"/>
          <w:b/>
          <w:bCs/>
          <w:i/>
          <w:iCs/>
        </w:rPr>
        <w:t>2.1 Sample Collection and Identification</w:t>
      </w:r>
      <w:r w:rsidRPr="00AF73FE">
        <w:rPr>
          <w:rFonts w:ascii="Arial" w:hAnsi="Arial" w:cs="Arial"/>
          <w:b/>
          <w:bCs/>
        </w:rPr>
        <w:t xml:space="preserve"> </w:t>
      </w:r>
    </w:p>
    <w:p w14:paraId="3AE24940" w14:textId="77777777" w:rsidR="008C25C8" w:rsidRDefault="008C25C8" w:rsidP="008C25C8">
      <w:pPr>
        <w:pStyle w:val="Body"/>
        <w:rPr>
          <w:rFonts w:ascii="Arial" w:hAnsi="Arial" w:cs="Arial"/>
        </w:rPr>
      </w:pPr>
      <w:r w:rsidRPr="001C69A0">
        <w:rPr>
          <w:rFonts w:ascii="Arial" w:hAnsi="Arial" w:cs="Arial"/>
        </w:rPr>
        <w:t xml:space="preserve">Leaf samples of </w:t>
      </w:r>
      <w:r w:rsidRPr="001C69A0">
        <w:rPr>
          <w:rFonts w:ascii="Arial" w:hAnsi="Arial" w:cs="Arial"/>
          <w:i/>
        </w:rPr>
        <w:t xml:space="preserve">Pterocarpus </w:t>
      </w:r>
      <w:proofErr w:type="spellStart"/>
      <w:r w:rsidRPr="001C69A0">
        <w:rPr>
          <w:rFonts w:ascii="Arial" w:hAnsi="Arial" w:cs="Arial"/>
          <w:i/>
        </w:rPr>
        <w:t>santalinoides</w:t>
      </w:r>
      <w:proofErr w:type="spellEnd"/>
      <w:r w:rsidRPr="001C69A0">
        <w:rPr>
          <w:rFonts w:ascii="Arial" w:hAnsi="Arial" w:cs="Arial"/>
          <w:i/>
        </w:rPr>
        <w:t xml:space="preserve"> </w:t>
      </w:r>
      <w:r w:rsidRPr="001C69A0">
        <w:rPr>
          <w:rFonts w:ascii="Arial" w:hAnsi="Arial" w:cs="Arial"/>
        </w:rPr>
        <w:t xml:space="preserve">were collected from Otu Ansa, Calabar (13 May 2024) and transported to the laboratory. </w:t>
      </w:r>
      <w:r>
        <w:rPr>
          <w:rFonts w:ascii="Arial" w:hAnsi="Arial" w:cs="Arial"/>
        </w:rPr>
        <w:t xml:space="preserve">The collection followed standard </w:t>
      </w:r>
      <w:proofErr w:type="spellStart"/>
      <w:r>
        <w:rPr>
          <w:rFonts w:ascii="Arial" w:hAnsi="Arial" w:cs="Arial"/>
        </w:rPr>
        <w:t>phytobotanical</w:t>
      </w:r>
      <w:proofErr w:type="spellEnd"/>
      <w:r>
        <w:rPr>
          <w:rFonts w:ascii="Arial" w:hAnsi="Arial" w:cs="Arial"/>
        </w:rPr>
        <w:t xml:space="preserve"> guidelines, ensuring that </w:t>
      </w:r>
      <w:r w:rsidRPr="00AF73FE">
        <w:rPr>
          <w:rFonts w:ascii="Arial" w:hAnsi="Arial" w:cs="Arial"/>
        </w:rPr>
        <w:t xml:space="preserve">voucher specimens included reproductive structures for accurate identification </w:t>
      </w:r>
      <w:r w:rsidRPr="00DB4066">
        <w:rPr>
          <w:rFonts w:ascii="Arial" w:hAnsi="Arial" w:cs="Arial"/>
        </w:rPr>
        <w:t>(Bridson &amp; Forman, 1998)</w:t>
      </w:r>
      <w:r w:rsidRPr="00AF73FE">
        <w:rPr>
          <w:rFonts w:ascii="Arial" w:hAnsi="Arial" w:cs="Arial"/>
        </w:rPr>
        <w:t xml:space="preserve">. Samples (10 g per replicate) were placed in </w:t>
      </w:r>
      <w:r>
        <w:rPr>
          <w:rFonts w:ascii="Arial" w:hAnsi="Arial" w:cs="Arial"/>
        </w:rPr>
        <w:t>labelled</w:t>
      </w:r>
      <w:r w:rsidRPr="00AF73FE">
        <w:rPr>
          <w:rFonts w:ascii="Arial" w:hAnsi="Arial" w:cs="Arial"/>
        </w:rPr>
        <w:t xml:space="preserve"> polyethene bags, transported on ice to the laboratory, and stored at 4 °C until processing.</w:t>
      </w:r>
    </w:p>
    <w:p w14:paraId="1620EF80" w14:textId="77777777" w:rsidR="008C25C8" w:rsidRPr="00AF73FE" w:rsidRDefault="008C25C8" w:rsidP="008C25C8">
      <w:pPr>
        <w:pStyle w:val="Body"/>
        <w:rPr>
          <w:rFonts w:ascii="Arial" w:hAnsi="Arial" w:cs="Arial"/>
        </w:rPr>
      </w:pPr>
      <w:r w:rsidRPr="00AF73FE">
        <w:rPr>
          <w:rFonts w:ascii="Arial" w:hAnsi="Arial" w:cs="Arial"/>
        </w:rPr>
        <w:t>A voucher specimen was prepared and authenticated by a taxonomist in the Department of Biological Sciences, University of Cross River State, following the International Code of Nomenclature for algae, fungi, and plants (ICN; Turland et al., 2018) and assigned accession number UCRS-PS-2024 (Turland et al., 2018).</w:t>
      </w:r>
    </w:p>
    <w:p w14:paraId="0890AD69" w14:textId="77777777" w:rsidR="008C25C8" w:rsidRPr="00F736FC" w:rsidRDefault="008C25C8" w:rsidP="008C25C8">
      <w:pPr>
        <w:pStyle w:val="Body"/>
        <w:spacing w:after="0"/>
        <w:rPr>
          <w:rFonts w:ascii="Arial" w:hAnsi="Arial" w:cs="Arial"/>
          <w:b/>
          <w:bCs/>
        </w:rPr>
      </w:pPr>
      <w:r w:rsidRPr="00F736FC">
        <w:rPr>
          <w:rFonts w:ascii="Arial" w:hAnsi="Arial" w:cs="Arial"/>
          <w:b/>
          <w:bCs/>
          <w:i/>
          <w:iCs/>
        </w:rPr>
        <w:t xml:space="preserve">2.2 </w:t>
      </w:r>
      <w:r>
        <w:rPr>
          <w:rFonts w:ascii="Arial" w:hAnsi="Arial" w:cs="Arial"/>
          <w:b/>
          <w:bCs/>
          <w:i/>
          <w:iCs/>
        </w:rPr>
        <w:t xml:space="preserve">Sample Preparation and </w:t>
      </w:r>
      <w:r w:rsidRPr="00F736FC">
        <w:rPr>
          <w:rFonts w:ascii="Arial" w:hAnsi="Arial" w:cs="Arial"/>
          <w:b/>
          <w:bCs/>
          <w:i/>
          <w:iCs/>
        </w:rPr>
        <w:t>Extract</w:t>
      </w:r>
      <w:r>
        <w:rPr>
          <w:rFonts w:ascii="Arial" w:hAnsi="Arial" w:cs="Arial"/>
          <w:b/>
          <w:bCs/>
          <w:i/>
          <w:iCs/>
        </w:rPr>
        <w:t>ion</w:t>
      </w:r>
      <w:r w:rsidRPr="00F736FC">
        <w:rPr>
          <w:rFonts w:ascii="Arial" w:hAnsi="Arial" w:cs="Arial"/>
          <w:b/>
          <w:bCs/>
        </w:rPr>
        <w:t xml:space="preserve"> </w:t>
      </w:r>
    </w:p>
    <w:p w14:paraId="3159598E" w14:textId="77777777" w:rsidR="008C25C8" w:rsidRPr="00DB4066" w:rsidRDefault="008C25C8" w:rsidP="008C25C8">
      <w:pPr>
        <w:pStyle w:val="Body"/>
        <w:spacing w:after="0"/>
        <w:rPr>
          <w:rFonts w:ascii="Arial" w:hAnsi="Arial" w:cs="Arial"/>
        </w:rPr>
      </w:pPr>
      <w:r w:rsidRPr="00DB4066">
        <w:rPr>
          <w:rFonts w:ascii="Arial" w:hAnsi="Arial" w:cs="Arial"/>
        </w:rPr>
        <w:t xml:space="preserve">Leaves were rinsed with </w:t>
      </w:r>
      <w:proofErr w:type="spellStart"/>
      <w:r w:rsidRPr="00DB4066">
        <w:rPr>
          <w:rFonts w:ascii="Arial" w:hAnsi="Arial" w:cs="Arial"/>
        </w:rPr>
        <w:t>deionised</w:t>
      </w:r>
      <w:proofErr w:type="spellEnd"/>
      <w:r w:rsidRPr="00DB4066">
        <w:rPr>
          <w:rFonts w:ascii="Arial" w:hAnsi="Arial" w:cs="Arial"/>
        </w:rPr>
        <w:t xml:space="preserve"> water to remove surface debris and air-dried at ambient laboratory temperature (25 ± 2 °C) for 72 h, ensuring moisture reduction without thermal degradation of labile elements (AOAC, 2016). Dried samples were ground to a fine powder using a stainless-steel mill and sieved through a 1 mm mesh according to AOAC Official Method 926.06 (AOAC, 2016).</w:t>
      </w:r>
    </w:p>
    <w:p w14:paraId="4BCD7035" w14:textId="77777777" w:rsidR="008C25C8" w:rsidRPr="00DB4066" w:rsidRDefault="008C25C8" w:rsidP="008C25C8">
      <w:pPr>
        <w:pStyle w:val="Body"/>
        <w:spacing w:after="0"/>
        <w:rPr>
          <w:rFonts w:ascii="Arial" w:hAnsi="Arial" w:cs="Arial"/>
        </w:rPr>
      </w:pPr>
      <w:r w:rsidRPr="00DB4066">
        <w:rPr>
          <w:rFonts w:ascii="Arial" w:hAnsi="Arial" w:cs="Arial"/>
        </w:rPr>
        <w:lastRenderedPageBreak/>
        <w:t xml:space="preserve">An aqueous extraction of ground leaf powder (10 g) was performed using a Soxhlet apparatus per EPA Method 3540C for exhaustive semi-volatile compounds and mineral </w:t>
      </w:r>
      <w:proofErr w:type="spellStart"/>
      <w:r>
        <w:rPr>
          <w:rFonts w:ascii="Arial" w:hAnsi="Arial" w:cs="Arial"/>
        </w:rPr>
        <w:t>solubilisation</w:t>
      </w:r>
      <w:proofErr w:type="spellEnd"/>
      <w:r w:rsidRPr="00DB4066">
        <w:rPr>
          <w:rFonts w:ascii="Arial" w:hAnsi="Arial" w:cs="Arial"/>
        </w:rPr>
        <w:t xml:space="preserve"> (EPA, 1996). The Soxhlet extraction ran for six cycles at 95 °C, yielding approximately 17 </w:t>
      </w:r>
      <w:r>
        <w:rPr>
          <w:rFonts w:ascii="Arial" w:hAnsi="Arial" w:cs="Arial"/>
        </w:rPr>
        <w:t>ml</w:t>
      </w:r>
      <w:r w:rsidRPr="00DB4066">
        <w:rPr>
          <w:rFonts w:ascii="Arial" w:hAnsi="Arial" w:cs="Arial"/>
        </w:rPr>
        <w:t xml:space="preserve"> of crude extract per sample. Extracts were concentrated by rotary evaporation under reduced pressure and reconstituted to 25 </w:t>
      </w:r>
      <w:r>
        <w:rPr>
          <w:rFonts w:ascii="Arial" w:hAnsi="Arial" w:cs="Arial"/>
        </w:rPr>
        <w:t xml:space="preserve">ml with </w:t>
      </w:r>
      <w:proofErr w:type="spellStart"/>
      <w:r>
        <w:rPr>
          <w:rFonts w:ascii="Arial" w:hAnsi="Arial" w:cs="Arial"/>
        </w:rPr>
        <w:t>deionised</w:t>
      </w:r>
      <w:proofErr w:type="spellEnd"/>
      <w:r w:rsidRPr="00DB4066">
        <w:rPr>
          <w:rFonts w:ascii="Arial" w:hAnsi="Arial" w:cs="Arial"/>
        </w:rPr>
        <w:t xml:space="preserve"> water for analysis (EPA, 1996).</w:t>
      </w:r>
    </w:p>
    <w:p w14:paraId="23567001" w14:textId="77777777" w:rsidR="008C25C8" w:rsidRPr="00B8016F" w:rsidRDefault="008C25C8" w:rsidP="008C25C8">
      <w:pPr>
        <w:pStyle w:val="Body"/>
        <w:spacing w:after="0"/>
        <w:rPr>
          <w:rFonts w:ascii="Arial" w:hAnsi="Arial" w:cs="Arial"/>
          <w:b/>
          <w:bCs/>
          <w:i/>
          <w:iCs/>
        </w:rPr>
      </w:pPr>
      <w:r w:rsidRPr="00B8016F">
        <w:rPr>
          <w:rFonts w:ascii="Arial" w:hAnsi="Arial" w:cs="Arial"/>
          <w:b/>
          <w:bCs/>
          <w:i/>
          <w:iCs/>
        </w:rPr>
        <w:t xml:space="preserve">2.3 Atomic Absorption Spectroscopy (AAS) Analysis </w:t>
      </w:r>
    </w:p>
    <w:p w14:paraId="4613AC88" w14:textId="77777777" w:rsidR="008C25C8" w:rsidRPr="00812A49" w:rsidRDefault="008C25C8" w:rsidP="008C25C8">
      <w:pPr>
        <w:pStyle w:val="Body"/>
        <w:spacing w:after="0"/>
        <w:rPr>
          <w:rFonts w:ascii="Arial" w:hAnsi="Arial" w:cs="Arial"/>
        </w:rPr>
      </w:pPr>
      <w:r w:rsidRPr="00812A49">
        <w:rPr>
          <w:rFonts w:ascii="Arial" w:hAnsi="Arial" w:cs="Arial"/>
        </w:rPr>
        <w:t xml:space="preserve">Atomic Absorption Spectroscopy (AAS) Elemental concentrations in the reconstituted extracts were quantified by flame atomic absorption spectroscopy employing a PerkinElmer </w:t>
      </w:r>
      <w:proofErr w:type="spellStart"/>
      <w:r w:rsidRPr="00812A49">
        <w:rPr>
          <w:rFonts w:ascii="Arial" w:hAnsi="Arial" w:cs="Arial"/>
        </w:rPr>
        <w:t>AAnalyst</w:t>
      </w:r>
      <w:proofErr w:type="spellEnd"/>
      <w:r w:rsidRPr="00812A49">
        <w:rPr>
          <w:rFonts w:ascii="Arial" w:hAnsi="Arial" w:cs="Arial"/>
        </w:rPr>
        <w:t> 400 spectrometer with background correction. Calibration and quality control procedures adhered to manufacturer protocols, using certified metal standards (Sigma-Aldrich) to generate calibration curves with correlation coefficients (R²) ≥ 0.999 (PerkinElmer, 2014). Limits of detection and quantification were determined according to IUPAC guidelines (IUPAC, 1993).</w:t>
      </w:r>
    </w:p>
    <w:p w14:paraId="7BCEB2E5" w14:textId="77777777" w:rsidR="008C25C8" w:rsidRPr="00812A49" w:rsidRDefault="008C25C8" w:rsidP="008C25C8">
      <w:pPr>
        <w:pStyle w:val="Body"/>
        <w:spacing w:after="0"/>
        <w:rPr>
          <w:rFonts w:ascii="Arial" w:hAnsi="Arial" w:cs="Arial"/>
          <w:b/>
          <w:bCs/>
        </w:rPr>
      </w:pPr>
      <w:r w:rsidRPr="00812A49">
        <w:rPr>
          <w:rFonts w:ascii="Arial" w:hAnsi="Arial" w:cs="Arial"/>
          <w:b/>
          <w:bCs/>
          <w:i/>
          <w:iCs/>
        </w:rPr>
        <w:t>2.4 Statistical Analysis</w:t>
      </w:r>
      <w:r w:rsidRPr="00812A49">
        <w:rPr>
          <w:rFonts w:ascii="Arial" w:hAnsi="Arial" w:cs="Arial"/>
          <w:b/>
          <w:bCs/>
        </w:rPr>
        <w:t xml:space="preserve"> </w:t>
      </w:r>
    </w:p>
    <w:p w14:paraId="43B2050F" w14:textId="13CF88D7" w:rsidR="008C25C8" w:rsidRDefault="008C25C8" w:rsidP="008C25C8">
      <w:pPr>
        <w:pStyle w:val="Body"/>
        <w:spacing w:after="0"/>
        <w:rPr>
          <w:rFonts w:ascii="Arial" w:hAnsi="Arial" w:cs="Arial"/>
        </w:rPr>
      </w:pPr>
      <w:r w:rsidRPr="0014620A">
        <w:rPr>
          <w:rFonts w:ascii="Arial" w:hAnsi="Arial" w:cs="Arial"/>
        </w:rPr>
        <w:t>Statistical Analysis Data are presented as mean ± standard deviation (SD) from three independent replicates. Statistical comparisons between tender and mature leaf samples were conducted using one-way analysis of variance (ANOVA) in IBM SPSS Statistics Version 28.0, with significance defined at P = .05.</w:t>
      </w:r>
    </w:p>
    <w:p w14:paraId="4209C4FD" w14:textId="77777777" w:rsidR="00BA43D0" w:rsidRPr="0014620A" w:rsidRDefault="00BA43D0" w:rsidP="008C25C8">
      <w:pPr>
        <w:pStyle w:val="Body"/>
        <w:spacing w:after="0"/>
        <w:rPr>
          <w:rFonts w:ascii="Arial" w:hAnsi="Arial" w:cs="Arial"/>
        </w:rPr>
      </w:pPr>
    </w:p>
    <w:p w14:paraId="59D1B563"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D2872FA" w14:textId="77777777" w:rsidR="00790ADA" w:rsidRPr="00FB3A86" w:rsidRDefault="00790ADA" w:rsidP="00441B6F">
      <w:pPr>
        <w:pStyle w:val="Head1"/>
        <w:spacing w:after="0"/>
        <w:jc w:val="both"/>
        <w:rPr>
          <w:rFonts w:ascii="Arial" w:hAnsi="Arial" w:cs="Arial"/>
        </w:rPr>
      </w:pPr>
    </w:p>
    <w:p w14:paraId="738517A0" w14:textId="77777777" w:rsidR="00BA43D0" w:rsidRPr="00BA43D0" w:rsidRDefault="00BA43D0" w:rsidP="00BA43D0">
      <w:pPr>
        <w:pStyle w:val="Body"/>
        <w:rPr>
          <w:rFonts w:ascii="Arial" w:hAnsi="Arial" w:cs="Arial"/>
          <w:i/>
          <w:iCs/>
          <w:lang w:val="en-GB"/>
        </w:rPr>
      </w:pPr>
      <w:r w:rsidRPr="00BA43D0">
        <w:rPr>
          <w:rFonts w:ascii="Arial" w:hAnsi="Arial" w:cs="Arial"/>
          <w:i/>
          <w:iCs/>
          <w:lang w:val="en-GB"/>
        </w:rPr>
        <w:t>3.1 Results</w:t>
      </w:r>
    </w:p>
    <w:p w14:paraId="5E1059FA" w14:textId="77777777" w:rsidR="00BA43D0" w:rsidRDefault="00BA43D0" w:rsidP="00BA43D0">
      <w:pPr>
        <w:pStyle w:val="Body"/>
        <w:rPr>
          <w:rFonts w:ascii="Arial" w:hAnsi="Arial" w:cs="Arial"/>
          <w:i/>
          <w:iCs/>
          <w:lang w:val="en-GB"/>
        </w:rPr>
      </w:pPr>
      <w:r w:rsidRPr="00BA43D0">
        <w:rPr>
          <w:rFonts w:ascii="Arial" w:hAnsi="Arial" w:cs="Arial"/>
          <w:i/>
          <w:iCs/>
          <w:lang w:val="en-GB"/>
        </w:rPr>
        <w:t>3.1.1 Macro Elements</w:t>
      </w:r>
    </w:p>
    <w:p w14:paraId="11861BA1" w14:textId="469329B8" w:rsidR="00BA43D0" w:rsidRPr="00BA43D0" w:rsidRDefault="00BA43D0" w:rsidP="00BA43D0">
      <w:pPr>
        <w:pStyle w:val="Body"/>
        <w:rPr>
          <w:rFonts w:ascii="Arial" w:hAnsi="Arial" w:cs="Arial"/>
          <w:i/>
          <w:iCs/>
          <w:lang w:val="en-GB"/>
        </w:rPr>
      </w:pPr>
      <w:r w:rsidRPr="00BA43D0">
        <w:rPr>
          <w:rFonts w:ascii="Arial" w:hAnsi="Arial" w:cs="Arial"/>
          <w:lang w:val="en-GB"/>
        </w:rPr>
        <w:t xml:space="preserve">Analysis of selected </w:t>
      </w:r>
      <w:proofErr w:type="spellStart"/>
      <w:r w:rsidR="009B6ECC">
        <w:rPr>
          <w:rFonts w:ascii="Arial" w:hAnsi="Arial" w:cs="Arial"/>
          <w:lang w:val="en-GB"/>
        </w:rPr>
        <w:t>macroelements</w:t>
      </w:r>
      <w:proofErr w:type="spellEnd"/>
      <w:r w:rsidR="009B6ECC">
        <w:rPr>
          <w:rFonts w:ascii="Arial" w:hAnsi="Arial" w:cs="Arial"/>
          <w:lang w:val="en-GB"/>
        </w:rPr>
        <w:t xml:space="preserve"> in Pterocarpus </w:t>
      </w:r>
      <w:proofErr w:type="spellStart"/>
      <w:r w:rsidR="009B6ECC">
        <w:rPr>
          <w:rFonts w:ascii="Arial" w:hAnsi="Arial" w:cs="Arial"/>
          <w:lang w:val="en-GB"/>
        </w:rPr>
        <w:t>santalinoides</w:t>
      </w:r>
      <w:proofErr w:type="spellEnd"/>
      <w:r w:rsidR="009B6ECC">
        <w:rPr>
          <w:rFonts w:ascii="Arial" w:hAnsi="Arial" w:cs="Arial"/>
          <w:lang w:val="en-GB"/>
        </w:rPr>
        <w:t xml:space="preserve"> leaves (Fig. 1) consistently demonstrated </w:t>
      </w:r>
      <w:r w:rsidRPr="00BA43D0">
        <w:rPr>
          <w:rFonts w:ascii="Arial" w:hAnsi="Arial" w:cs="Arial"/>
          <w:lang w:val="en-GB"/>
        </w:rPr>
        <w:t>higher concentrations in tender leaves (TL) compared with mature leaves (ML). Hydrogen was measured at 6.00 ± 0.08 mg/kg in ML versus 5.20 ± 0.08 mg/kg in TL. Nitrogen levels were similar (85.92 ± 0.04 mg/kg ML; 86.93 ± 0.04 mg/kg TL), whereas phosphorus was slightly higher in TL (10.03 ± 0.06 mg/kg) than ML (9.91 ± 0.01 mg/kg). Notably, calcium, potassium, and magnesium exhibited marked increases in TL: calcium rose from 56.24 ± 0.38 to 89.80 ± 0.01 mg/kg; potassium from 51.17 ± 0.04 to 81.71 ± 0.01 mg/kg; and magnesium from 8.00 ± 0.06 to 12.77 ± 0.11 mg/kg.</w:t>
      </w:r>
    </w:p>
    <w:p w14:paraId="610E65B3" w14:textId="5D56D06E" w:rsidR="00BA43D0" w:rsidRDefault="00BA43D0" w:rsidP="00BA43D0">
      <w:pPr>
        <w:pStyle w:val="Body"/>
        <w:rPr>
          <w:rFonts w:ascii="Arial" w:hAnsi="Arial" w:cs="Arial"/>
          <w:lang w:val="en-GB"/>
        </w:rPr>
      </w:pPr>
      <w:r w:rsidRPr="00BA43D0">
        <w:rPr>
          <w:rFonts w:ascii="Arial" w:hAnsi="Arial" w:cs="Arial"/>
          <w:i/>
          <w:iCs/>
          <w:lang w:val="en-GB"/>
        </w:rPr>
        <w:t>3.1.2 Micro Elements</w:t>
      </w:r>
    </w:p>
    <w:p w14:paraId="5A8E7356" w14:textId="4F2BE909" w:rsidR="00BA43D0" w:rsidRPr="00BA43D0" w:rsidRDefault="00BA43D0" w:rsidP="00BA43D0">
      <w:pPr>
        <w:pStyle w:val="Body"/>
        <w:rPr>
          <w:rFonts w:ascii="Arial" w:hAnsi="Arial" w:cs="Arial"/>
          <w:lang w:val="en-GB"/>
        </w:rPr>
      </w:pPr>
      <w:r w:rsidRPr="00BA43D0">
        <w:rPr>
          <w:rFonts w:ascii="Arial" w:hAnsi="Arial" w:cs="Arial"/>
          <w:lang w:val="en-GB"/>
        </w:rPr>
        <w:t>Microelement profiling (Fig. 2) likewise showed significantly greater accumulation in TL. Nickel increased from 29.89 ± 0.01 mg/kg ML to 47.74 ± 0.02 mg/kg TL; silicon from 3.25 ± 0.01 mg/kg ML to 5.11 ± 0.01 mg/kg TL. Zinc and iron</w:t>
      </w:r>
      <w:r w:rsidR="00722101">
        <w:rPr>
          <w:rFonts w:ascii="Arial" w:hAnsi="Arial" w:cs="Arial"/>
          <w:lang w:val="en-GB"/>
        </w:rPr>
        <w:t>, critical for immune and oxygen</w:t>
      </w:r>
      <w:r w:rsidR="00722101">
        <w:rPr>
          <w:rFonts w:ascii="Cambria Math" w:hAnsi="Cambria Math" w:cs="Cambria Math"/>
          <w:lang w:val="en-GB"/>
        </w:rPr>
        <w:t>‐</w:t>
      </w:r>
      <w:r w:rsidR="00722101">
        <w:rPr>
          <w:rFonts w:ascii="Arial" w:hAnsi="Arial" w:cs="Arial"/>
          <w:lang w:val="en-GB"/>
        </w:rPr>
        <w:t>transport functions,</w:t>
      </w:r>
      <w:r w:rsidRPr="00BA43D0">
        <w:rPr>
          <w:rFonts w:ascii="Arial" w:hAnsi="Arial" w:cs="Arial"/>
          <w:lang w:val="en-GB"/>
        </w:rPr>
        <w:t xml:space="preserve"> were especially elevated: zinc rose from 128.22 ± 0.03 to 204.74 ± 0.02 mg/kg; iron from 202.86 ± 0.02 to 323.93 ± 0.01 mg/kg. Copper and manganese also exhibited higher TL levels (9.26 ± 0.01 and 9.75 ± 0.01 mg/kg, respectively) versus ML (5.70 ± 0.01 and 6.11 ± 0.01 mg/kg).</w:t>
      </w:r>
    </w:p>
    <w:p w14:paraId="23F407BD" w14:textId="77777777" w:rsidR="00722101" w:rsidRDefault="00722101" w:rsidP="00722101">
      <w:pPr>
        <w:pStyle w:val="Body"/>
        <w:spacing w:after="0"/>
        <w:rPr>
          <w:rFonts w:ascii="Arial" w:hAnsi="Arial" w:cs="Arial"/>
          <w:i/>
          <w:iCs/>
        </w:rPr>
      </w:pPr>
      <w:r w:rsidRPr="00A809EE">
        <w:rPr>
          <w:rFonts w:ascii="Arial" w:hAnsi="Arial" w:cs="Arial"/>
          <w:i/>
          <w:iCs/>
        </w:rPr>
        <w:t>3.2 Discussion</w:t>
      </w:r>
    </w:p>
    <w:p w14:paraId="186C0420" w14:textId="77777777" w:rsidR="00863BD3" w:rsidRDefault="00863BD3" w:rsidP="00441B6F">
      <w:pPr>
        <w:pStyle w:val="BodyText3"/>
        <w:tabs>
          <w:tab w:val="left" w:pos="1080"/>
        </w:tabs>
        <w:spacing w:after="0"/>
        <w:ind w:left="1080" w:hanging="1080"/>
        <w:jc w:val="both"/>
        <w:rPr>
          <w:rFonts w:ascii="Arial" w:hAnsi="Arial"/>
          <w:b/>
          <w:sz w:val="20"/>
          <w:szCs w:val="20"/>
        </w:rPr>
      </w:pPr>
    </w:p>
    <w:p w14:paraId="07E4B650" w14:textId="410F9AF3" w:rsidR="00722101" w:rsidRDefault="00722101" w:rsidP="00722101">
      <w:pPr>
        <w:pStyle w:val="Body"/>
        <w:spacing w:after="0"/>
        <w:rPr>
          <w:rFonts w:ascii="Arial" w:hAnsi="Arial" w:cs="Arial"/>
          <w:lang w:val="en-GB"/>
        </w:rPr>
      </w:pPr>
      <w:r w:rsidRPr="00722101">
        <w:rPr>
          <w:rFonts w:ascii="Arial" w:hAnsi="Arial" w:cs="Arial"/>
          <w:lang w:val="en-GB"/>
        </w:rPr>
        <w:t>3.2.1 Macro</w:t>
      </w:r>
      <w:r>
        <w:rPr>
          <w:rFonts w:ascii="Arial" w:hAnsi="Arial" w:cs="Arial"/>
          <w:lang w:val="en-GB"/>
        </w:rPr>
        <w:t xml:space="preserve"> </w:t>
      </w:r>
      <w:r w:rsidRPr="00722101">
        <w:rPr>
          <w:rFonts w:ascii="Arial" w:hAnsi="Arial" w:cs="Arial"/>
          <w:lang w:val="en-GB"/>
        </w:rPr>
        <w:t>element Profile</w:t>
      </w:r>
    </w:p>
    <w:p w14:paraId="0ED47478" w14:textId="77777777" w:rsidR="0045515C" w:rsidRPr="00652FFA" w:rsidRDefault="0045515C" w:rsidP="0045515C">
      <w:pPr>
        <w:jc w:val="both"/>
      </w:pPr>
      <w:r w:rsidRPr="009C1BDA">
        <w:t xml:space="preserve">The body requires </w:t>
      </w:r>
      <w:r>
        <w:t xml:space="preserve">several essential elements </w:t>
      </w:r>
      <w:r w:rsidRPr="009C1BDA">
        <w:t>to maintain its proper functioning. The elements are used for a variety of physiological processes</w:t>
      </w:r>
      <w:r>
        <w:t xml:space="preserve">, such as building blood and bone, producing hormones, regulating the </w:t>
      </w:r>
      <w:r w:rsidRPr="009C1BDA">
        <w:t xml:space="preserve">heartbeat, and more. The Macro elements are needed in large amounts. Trace or micro elements are needed in very small amounts. </w:t>
      </w:r>
      <w:r>
        <w:t>The results show</w:t>
      </w:r>
      <w:r w:rsidRPr="009C1BDA">
        <w:t xml:space="preserve"> that the tender leaves of </w:t>
      </w:r>
      <w:r>
        <w:rPr>
          <w:i/>
          <w:iCs/>
        </w:rPr>
        <w:t xml:space="preserve">Pterocarpus </w:t>
      </w:r>
      <w:proofErr w:type="spellStart"/>
      <w:r>
        <w:rPr>
          <w:i/>
          <w:iCs/>
        </w:rPr>
        <w:t>santalinoides</w:t>
      </w:r>
      <w:proofErr w:type="spellEnd"/>
      <w:r>
        <w:rPr>
          <w:i/>
          <w:iCs/>
        </w:rPr>
        <w:t xml:space="preserve"> have a higher nutritional and medicinal value compared to the mature leaves, as evidenced by the quantities of </w:t>
      </w:r>
      <w:r w:rsidRPr="009C1BDA">
        <w:t>mineral elements present.</w:t>
      </w:r>
    </w:p>
    <w:p w14:paraId="6C32D56E" w14:textId="61552C01" w:rsidR="00722101" w:rsidRPr="00722101" w:rsidRDefault="00722101" w:rsidP="00722101">
      <w:pPr>
        <w:pStyle w:val="Body"/>
        <w:spacing w:after="0"/>
        <w:rPr>
          <w:rFonts w:ascii="Arial" w:hAnsi="Arial" w:cs="Arial"/>
          <w:lang w:val="en-GB"/>
        </w:rPr>
      </w:pPr>
      <w:r w:rsidRPr="00722101">
        <w:rPr>
          <w:rFonts w:ascii="Arial" w:hAnsi="Arial" w:cs="Arial"/>
          <w:lang w:val="en-GB"/>
        </w:rPr>
        <w:lastRenderedPageBreak/>
        <w:t xml:space="preserve">Calcium (Ca) is a pivotal mineral for bone mineralisation and cellular signalling, with over 99% of the body’s calcium sequestered in the skeletal system (Bronner, 2023; Clines </w:t>
      </w:r>
      <w:r w:rsidRPr="00722101">
        <w:rPr>
          <w:rFonts w:ascii="Arial" w:hAnsi="Arial" w:cs="Arial"/>
          <w:i/>
          <w:iCs/>
          <w:lang w:val="en-GB"/>
        </w:rPr>
        <w:t>et al.</w:t>
      </w:r>
      <w:r w:rsidRPr="00722101">
        <w:rPr>
          <w:rFonts w:ascii="Arial" w:hAnsi="Arial" w:cs="Arial"/>
          <w:lang w:val="en-GB"/>
        </w:rPr>
        <w:t xml:space="preserve">, 2022). In our study, tender leaves of </w:t>
      </w:r>
      <w:r w:rsidRPr="00722101">
        <w:rPr>
          <w:rFonts w:ascii="Arial" w:hAnsi="Arial" w:cs="Arial"/>
          <w:i/>
          <w:iCs/>
          <w:lang w:val="en-GB"/>
        </w:rPr>
        <w:t xml:space="preserve">Pterocarpus </w:t>
      </w:r>
      <w:proofErr w:type="spellStart"/>
      <w:r w:rsidRPr="00722101">
        <w:rPr>
          <w:rFonts w:ascii="Arial" w:hAnsi="Arial" w:cs="Arial"/>
          <w:i/>
          <w:iCs/>
          <w:lang w:val="en-GB"/>
        </w:rPr>
        <w:t>santalinoides</w:t>
      </w:r>
      <w:proofErr w:type="spellEnd"/>
      <w:r w:rsidRPr="00722101">
        <w:rPr>
          <w:rFonts w:ascii="Arial" w:hAnsi="Arial" w:cs="Arial"/>
          <w:lang w:val="en-GB"/>
        </w:rPr>
        <w:t xml:space="preserve"> contained 89.80 mg/kg of Ca, significantly exceeding the 56.24 mg/kg observed in mature leaves. Given that adults require 1 000–1 500 mg of Ca daily to maintain bone density and prevent osteoporotic fractures (Bartl &amp; Bartl, 2016), these tender leaves represent a promising non</w:t>
      </w:r>
      <w:r w:rsidRPr="00722101">
        <w:rPr>
          <w:rFonts w:ascii="Cambria Math" w:hAnsi="Cambria Math" w:cs="Cambria Math"/>
          <w:lang w:val="en-GB"/>
        </w:rPr>
        <w:t>‐</w:t>
      </w:r>
      <w:r w:rsidRPr="00722101">
        <w:rPr>
          <w:rFonts w:ascii="Arial" w:hAnsi="Arial" w:cs="Arial"/>
          <w:lang w:val="en-GB"/>
        </w:rPr>
        <w:t>dairy source of dietary calcium, particularly where conventional sources are scarce (Agu, Ezeh, &amp; Nwosu, 2023).</w:t>
      </w:r>
    </w:p>
    <w:p w14:paraId="7532C9E7" w14:textId="3EE6D1DB" w:rsidR="00722101" w:rsidRPr="00722101" w:rsidRDefault="00722101" w:rsidP="00722101">
      <w:pPr>
        <w:pStyle w:val="Body"/>
        <w:spacing w:after="0"/>
        <w:rPr>
          <w:rFonts w:ascii="Arial" w:hAnsi="Arial" w:cs="Arial"/>
          <w:lang w:val="en-GB"/>
        </w:rPr>
      </w:pPr>
      <w:r w:rsidRPr="00722101">
        <w:rPr>
          <w:rFonts w:ascii="Arial" w:hAnsi="Arial" w:cs="Arial"/>
          <w:lang w:val="en-GB"/>
        </w:rPr>
        <w:t xml:space="preserve">Potassium (K) functions as a principal intracellular cation, regulating osmotic balance, nerve transmission, and vascular tone. Our findings showed </w:t>
      </w:r>
      <w:r w:rsidR="009B6ECC">
        <w:rPr>
          <w:rFonts w:ascii="Arial" w:hAnsi="Arial" w:cs="Arial"/>
          <w:lang w:val="en-GB"/>
        </w:rPr>
        <w:t>that tender leaves contained 81.71 ± 0.01 mg/kg of K. In contrast, mature leaves contained 51.17 ± 0.04 mg/kg of K</w:t>
      </w:r>
      <w:r w:rsidRPr="00722101">
        <w:rPr>
          <w:rFonts w:ascii="Arial" w:hAnsi="Arial" w:cs="Arial"/>
          <w:lang w:val="en-GB"/>
        </w:rPr>
        <w:t xml:space="preserve">. Epidemiological evidence links increased K intake with lower blood pressure and reduced cardiovascular risk (O’Donnell </w:t>
      </w:r>
      <w:r w:rsidRPr="00722101">
        <w:rPr>
          <w:rFonts w:ascii="Arial" w:hAnsi="Arial" w:cs="Arial"/>
          <w:i/>
          <w:iCs/>
          <w:lang w:val="en-GB"/>
        </w:rPr>
        <w:t>et al.</w:t>
      </w:r>
      <w:r w:rsidRPr="00722101">
        <w:rPr>
          <w:rFonts w:ascii="Arial" w:hAnsi="Arial" w:cs="Arial"/>
          <w:lang w:val="en-GB"/>
        </w:rPr>
        <w:t xml:space="preserve">, 2023). Despite </w:t>
      </w:r>
      <w:r w:rsidR="009B6ECC">
        <w:rPr>
          <w:rFonts w:ascii="Arial" w:hAnsi="Arial" w:cs="Arial"/>
          <w:lang w:val="en-GB"/>
        </w:rPr>
        <w:t xml:space="preserve">the </w:t>
      </w:r>
      <w:r w:rsidRPr="00722101">
        <w:rPr>
          <w:rFonts w:ascii="Arial" w:hAnsi="Arial" w:cs="Arial"/>
          <w:lang w:val="en-GB"/>
        </w:rPr>
        <w:t xml:space="preserve">WHO recommending &gt;3.5 g/day of K, global consumption averages only 2.25 g/day (Reddin </w:t>
      </w:r>
      <w:r w:rsidRPr="00722101">
        <w:rPr>
          <w:rFonts w:ascii="Arial" w:hAnsi="Arial" w:cs="Arial"/>
          <w:i/>
          <w:iCs/>
          <w:lang w:val="en-GB"/>
        </w:rPr>
        <w:t>et al.</w:t>
      </w:r>
      <w:r w:rsidRPr="00722101">
        <w:rPr>
          <w:rFonts w:ascii="Arial" w:hAnsi="Arial" w:cs="Arial"/>
          <w:lang w:val="en-GB"/>
        </w:rPr>
        <w:t xml:space="preserve">, 2023), underscoring the need for alternative dietary sources. While </w:t>
      </w:r>
      <w:r w:rsidRPr="00722101">
        <w:rPr>
          <w:rFonts w:ascii="Arial" w:hAnsi="Arial" w:cs="Arial"/>
          <w:i/>
          <w:iCs/>
          <w:lang w:val="en-GB"/>
        </w:rPr>
        <w:t xml:space="preserve">P. </w:t>
      </w:r>
      <w:proofErr w:type="spellStart"/>
      <w:r w:rsidRPr="00722101">
        <w:rPr>
          <w:rFonts w:ascii="Arial" w:hAnsi="Arial" w:cs="Arial"/>
          <w:i/>
          <w:iCs/>
          <w:lang w:val="en-GB"/>
        </w:rPr>
        <w:t>santalinoides</w:t>
      </w:r>
      <w:proofErr w:type="spellEnd"/>
      <w:r w:rsidRPr="00722101">
        <w:rPr>
          <w:rFonts w:ascii="Arial" w:hAnsi="Arial" w:cs="Arial"/>
          <w:lang w:val="en-GB"/>
        </w:rPr>
        <w:t xml:space="preserve"> leaves cannot </w:t>
      </w:r>
      <w:r w:rsidR="009B6ECC">
        <w:rPr>
          <w:rFonts w:ascii="Arial" w:hAnsi="Arial" w:cs="Arial"/>
          <w:lang w:val="en-GB"/>
        </w:rPr>
        <w:t>meet daily requirements alone, their inclusion in local diets could bolster K intake, especially in hypertensive populations; however,</w:t>
      </w:r>
      <w:r w:rsidRPr="00722101">
        <w:rPr>
          <w:rFonts w:ascii="Arial" w:hAnsi="Arial" w:cs="Arial"/>
          <w:lang w:val="en-GB"/>
        </w:rPr>
        <w:t xml:space="preserve"> individuals with renal impairment should exercise caution (Narasaki </w:t>
      </w:r>
      <w:r w:rsidRPr="00722101">
        <w:rPr>
          <w:rFonts w:ascii="Arial" w:hAnsi="Arial" w:cs="Arial"/>
          <w:i/>
          <w:iCs/>
          <w:lang w:val="en-GB"/>
        </w:rPr>
        <w:t>et al.</w:t>
      </w:r>
      <w:r w:rsidRPr="00722101">
        <w:rPr>
          <w:rFonts w:ascii="Arial" w:hAnsi="Arial" w:cs="Arial"/>
          <w:lang w:val="en-GB"/>
        </w:rPr>
        <w:t>, 2022).</w:t>
      </w:r>
    </w:p>
    <w:p w14:paraId="3878A751" w14:textId="77777777" w:rsidR="00722101" w:rsidRPr="00722101" w:rsidRDefault="00722101" w:rsidP="00722101">
      <w:pPr>
        <w:pStyle w:val="Body"/>
        <w:spacing w:after="0"/>
        <w:rPr>
          <w:rFonts w:ascii="Arial" w:hAnsi="Arial" w:cs="Arial"/>
          <w:lang w:val="en-GB"/>
        </w:rPr>
      </w:pPr>
      <w:r w:rsidRPr="00722101">
        <w:rPr>
          <w:rFonts w:ascii="Arial" w:hAnsi="Arial" w:cs="Arial"/>
          <w:lang w:val="en-GB"/>
        </w:rPr>
        <w:t xml:space="preserve">Magnesium (Mg). Magnesium acts as a cofactor for &gt;600 enzymes, facilitating ATP synthesis, nucleic acid stability, and neuromuscular function (Barbagallo </w:t>
      </w:r>
      <w:r w:rsidRPr="00722101">
        <w:rPr>
          <w:rFonts w:ascii="Arial" w:hAnsi="Arial" w:cs="Arial"/>
          <w:i/>
          <w:iCs/>
          <w:lang w:val="en-GB"/>
        </w:rPr>
        <w:t>et al.</w:t>
      </w:r>
      <w:r w:rsidRPr="00722101">
        <w:rPr>
          <w:rFonts w:ascii="Arial" w:hAnsi="Arial" w:cs="Arial"/>
          <w:lang w:val="en-GB"/>
        </w:rPr>
        <w:t xml:space="preserve">, 2023; Williams &amp; Downs, 2023). The tender leaves exhibited higher Mg levels than mature leaves, aligning with reports linking adequate Mg intake to reduced incidence of type 2 diabetes and metabolic syndrome (Pelczyńska </w:t>
      </w:r>
      <w:r w:rsidRPr="00722101">
        <w:rPr>
          <w:rFonts w:ascii="Arial" w:hAnsi="Arial" w:cs="Arial"/>
          <w:i/>
          <w:iCs/>
          <w:lang w:val="en-GB"/>
        </w:rPr>
        <w:t>et al.</w:t>
      </w:r>
      <w:r w:rsidRPr="00722101">
        <w:rPr>
          <w:rFonts w:ascii="Arial" w:hAnsi="Arial" w:cs="Arial"/>
          <w:lang w:val="en-GB"/>
        </w:rPr>
        <w:t xml:space="preserve">, 2022). Because Mg homeostasis relies on dietary absorption and renal excretion (Ayu, 2022), the relatively elevated Mg in young </w:t>
      </w:r>
      <w:r w:rsidRPr="00722101">
        <w:rPr>
          <w:rFonts w:ascii="Arial" w:hAnsi="Arial" w:cs="Arial"/>
          <w:i/>
          <w:iCs/>
          <w:lang w:val="en-GB"/>
        </w:rPr>
        <w:t xml:space="preserve">P. </w:t>
      </w:r>
      <w:proofErr w:type="spellStart"/>
      <w:r w:rsidRPr="00722101">
        <w:rPr>
          <w:rFonts w:ascii="Arial" w:hAnsi="Arial" w:cs="Arial"/>
          <w:i/>
          <w:iCs/>
          <w:lang w:val="en-GB"/>
        </w:rPr>
        <w:t>santalinoides</w:t>
      </w:r>
      <w:proofErr w:type="spellEnd"/>
      <w:r w:rsidRPr="00722101">
        <w:rPr>
          <w:rFonts w:ascii="Arial" w:hAnsi="Arial" w:cs="Arial"/>
          <w:lang w:val="en-GB"/>
        </w:rPr>
        <w:t xml:space="preserve"> leaves may contribute to metabolic health when consumed regularly. Nonetheless, excess Mg—primarily from supplements—can precipitate gastrointestinal upset and, rarely, hypermagnesemia (Williams &amp; Downs, 2023).</w:t>
      </w:r>
    </w:p>
    <w:p w14:paraId="07B7A6C5" w14:textId="489B8855" w:rsidR="00722101" w:rsidRDefault="00722101" w:rsidP="00722101">
      <w:pPr>
        <w:pStyle w:val="Body"/>
        <w:spacing w:after="0"/>
        <w:rPr>
          <w:rFonts w:ascii="Arial" w:hAnsi="Arial" w:cs="Arial"/>
          <w:lang w:val="en-GB"/>
        </w:rPr>
      </w:pPr>
      <w:r w:rsidRPr="00722101">
        <w:rPr>
          <w:rFonts w:ascii="Arial" w:hAnsi="Arial" w:cs="Arial"/>
          <w:lang w:val="en-GB"/>
        </w:rPr>
        <w:t>Phosphorus</w:t>
      </w:r>
      <w:r w:rsidR="00405A15">
        <w:rPr>
          <w:rFonts w:ascii="Arial" w:hAnsi="Arial" w:cs="Arial"/>
          <w:lang w:val="en-GB"/>
        </w:rPr>
        <w:t xml:space="preserve"> (P)</w:t>
      </w:r>
      <w:r w:rsidRPr="00722101">
        <w:rPr>
          <w:rFonts w:ascii="Arial" w:hAnsi="Arial" w:cs="Arial"/>
          <w:lang w:val="en-GB"/>
        </w:rPr>
        <w:t xml:space="preserve">, a </w:t>
      </w:r>
      <w:r w:rsidR="00405A15">
        <w:rPr>
          <w:rFonts w:ascii="Arial" w:hAnsi="Arial" w:cs="Arial"/>
          <w:lang w:val="en-GB"/>
        </w:rPr>
        <w:t xml:space="preserve">crucial component of ATP, nucleic acids, and phospholipid membranes, is essential for energy metabolism and maintaining </w:t>
      </w:r>
      <w:r w:rsidRPr="00722101">
        <w:rPr>
          <w:rFonts w:ascii="Arial" w:hAnsi="Arial" w:cs="Arial"/>
          <w:lang w:val="en-GB"/>
        </w:rPr>
        <w:t>bone mineral stability (Wagner, 2023). We measured 10.03</w:t>
      </w:r>
      <w:r w:rsidR="00405A15">
        <w:rPr>
          <w:rFonts w:ascii="Arial" w:hAnsi="Arial" w:cs="Arial"/>
          <w:lang w:val="en-GB"/>
        </w:rPr>
        <w:t xml:space="preserve"> mg/kg in tender leaves versus 9.91 </w:t>
      </w:r>
      <w:r w:rsidRPr="00722101">
        <w:rPr>
          <w:rFonts w:ascii="Arial" w:hAnsi="Arial" w:cs="Arial"/>
          <w:lang w:val="en-GB"/>
        </w:rPr>
        <w:t xml:space="preserve">mg/kg in mature leaves, reflecting developmental phosphate allocation (Fatima </w:t>
      </w:r>
      <w:r w:rsidRPr="00722101">
        <w:rPr>
          <w:rFonts w:ascii="Arial" w:hAnsi="Arial" w:cs="Arial"/>
          <w:i/>
          <w:iCs/>
          <w:lang w:val="en-GB"/>
        </w:rPr>
        <w:t>et al.</w:t>
      </w:r>
      <w:r w:rsidRPr="00722101">
        <w:rPr>
          <w:rFonts w:ascii="Arial" w:hAnsi="Arial" w:cs="Arial"/>
          <w:lang w:val="en-GB"/>
        </w:rPr>
        <w:t xml:space="preserve">, 2024). Given that </w:t>
      </w:r>
      <w:r w:rsidR="009B6ECC">
        <w:rPr>
          <w:rFonts w:ascii="Arial" w:hAnsi="Arial" w:cs="Arial"/>
          <w:lang w:val="en-GB"/>
        </w:rPr>
        <w:t>plant-available phosphorus (P)</w:t>
      </w:r>
      <w:r w:rsidRPr="00722101">
        <w:rPr>
          <w:rFonts w:ascii="Arial" w:hAnsi="Arial" w:cs="Arial"/>
          <w:lang w:val="en-GB"/>
        </w:rPr>
        <w:t xml:space="preserve"> is often limited by soil pH and microbial dynamics (</w:t>
      </w:r>
      <w:proofErr w:type="spellStart"/>
      <w:r w:rsidRPr="00722101">
        <w:rPr>
          <w:rFonts w:ascii="Arial" w:hAnsi="Arial" w:cs="Arial"/>
          <w:lang w:val="en-GB"/>
        </w:rPr>
        <w:t>Négrel</w:t>
      </w:r>
      <w:proofErr w:type="spellEnd"/>
      <w:r w:rsidRPr="00722101">
        <w:rPr>
          <w:rFonts w:ascii="Arial" w:hAnsi="Arial" w:cs="Arial"/>
          <w:lang w:val="en-GB"/>
        </w:rPr>
        <w:t xml:space="preserve"> </w:t>
      </w:r>
      <w:r w:rsidRPr="00722101">
        <w:rPr>
          <w:rFonts w:ascii="Arial" w:hAnsi="Arial" w:cs="Arial"/>
          <w:i/>
          <w:iCs/>
          <w:lang w:val="en-GB"/>
        </w:rPr>
        <w:t>et al.</w:t>
      </w:r>
      <w:r w:rsidRPr="00722101">
        <w:rPr>
          <w:rFonts w:ascii="Arial" w:hAnsi="Arial" w:cs="Arial"/>
          <w:lang w:val="en-GB"/>
        </w:rPr>
        <w:t xml:space="preserve">, 2024; Khan </w:t>
      </w:r>
      <w:r w:rsidRPr="00722101">
        <w:rPr>
          <w:rFonts w:ascii="Arial" w:hAnsi="Arial" w:cs="Arial"/>
          <w:i/>
          <w:iCs/>
          <w:lang w:val="en-GB"/>
        </w:rPr>
        <w:t>et al.</w:t>
      </w:r>
      <w:r w:rsidRPr="00722101">
        <w:rPr>
          <w:rFonts w:ascii="Arial" w:hAnsi="Arial" w:cs="Arial"/>
          <w:lang w:val="en-GB"/>
        </w:rPr>
        <w:t xml:space="preserve">, 2023), the natural P content of edible leaves can contribute to dietary intake. While </w:t>
      </w:r>
      <w:r w:rsidRPr="00722101">
        <w:rPr>
          <w:rFonts w:ascii="Arial" w:hAnsi="Arial" w:cs="Arial"/>
          <w:i/>
          <w:iCs/>
          <w:lang w:val="en-GB"/>
        </w:rPr>
        <w:t xml:space="preserve">P. </w:t>
      </w:r>
      <w:proofErr w:type="spellStart"/>
      <w:r w:rsidRPr="00722101">
        <w:rPr>
          <w:rFonts w:ascii="Arial" w:hAnsi="Arial" w:cs="Arial"/>
          <w:i/>
          <w:iCs/>
          <w:lang w:val="en-GB"/>
        </w:rPr>
        <w:t>santalinoides</w:t>
      </w:r>
      <w:proofErr w:type="spellEnd"/>
      <w:r w:rsidRPr="00722101">
        <w:rPr>
          <w:rFonts w:ascii="Arial" w:hAnsi="Arial" w:cs="Arial"/>
          <w:lang w:val="en-GB"/>
        </w:rPr>
        <w:t xml:space="preserve"> cannot replace primary dietary P sources, its leaves offer a modest supplementary role in P nutrition.</w:t>
      </w:r>
    </w:p>
    <w:p w14:paraId="5D743B5B" w14:textId="77777777" w:rsidR="00364DD5" w:rsidRPr="00722101" w:rsidRDefault="00364DD5" w:rsidP="00722101">
      <w:pPr>
        <w:pStyle w:val="Body"/>
        <w:spacing w:after="0"/>
        <w:rPr>
          <w:rFonts w:ascii="Arial" w:hAnsi="Arial" w:cs="Arial"/>
          <w:lang w:val="en-GB"/>
        </w:rPr>
      </w:pPr>
    </w:p>
    <w:p w14:paraId="2B858CF7" w14:textId="30BCFA11" w:rsidR="00722101" w:rsidRPr="00722101" w:rsidRDefault="00722101" w:rsidP="00722101">
      <w:pPr>
        <w:pStyle w:val="Body"/>
        <w:spacing w:after="0"/>
        <w:rPr>
          <w:rFonts w:ascii="Arial" w:hAnsi="Arial" w:cs="Arial"/>
          <w:lang w:val="en-GB"/>
        </w:rPr>
      </w:pPr>
      <w:r w:rsidRPr="00722101">
        <w:rPr>
          <w:rFonts w:ascii="Arial" w:hAnsi="Arial" w:cs="Arial"/>
          <w:lang w:val="en-GB"/>
        </w:rPr>
        <w:t>As an essential constituent of amino acids, proteins, and chlorophyll, nitrogen underpins both plant physiology and human nutrition (</w:t>
      </w:r>
      <w:r w:rsidR="00405A15">
        <w:rPr>
          <w:rFonts w:ascii="Arial" w:hAnsi="Arial" w:cs="Arial"/>
          <w:lang w:val="en-GB"/>
        </w:rPr>
        <w:t>Silva</w:t>
      </w:r>
      <w:r w:rsidRPr="00722101">
        <w:rPr>
          <w:rFonts w:ascii="Arial" w:hAnsi="Arial" w:cs="Arial"/>
          <w:lang w:val="en-GB"/>
        </w:rPr>
        <w:t xml:space="preserve"> </w:t>
      </w:r>
      <w:r w:rsidRPr="00722101">
        <w:rPr>
          <w:rFonts w:ascii="Arial" w:hAnsi="Arial" w:cs="Arial"/>
          <w:i/>
          <w:iCs/>
          <w:lang w:val="en-GB"/>
        </w:rPr>
        <w:t>et al.</w:t>
      </w:r>
      <w:r w:rsidRPr="00722101">
        <w:rPr>
          <w:rFonts w:ascii="Arial" w:hAnsi="Arial" w:cs="Arial"/>
          <w:lang w:val="en-GB"/>
        </w:rPr>
        <w:t>, 202</w:t>
      </w:r>
      <w:r w:rsidR="00405A15">
        <w:rPr>
          <w:rFonts w:ascii="Arial" w:hAnsi="Arial" w:cs="Arial"/>
          <w:lang w:val="en-GB"/>
        </w:rPr>
        <w:t>3</w:t>
      </w:r>
      <w:r w:rsidRPr="00722101">
        <w:rPr>
          <w:rFonts w:ascii="Arial" w:hAnsi="Arial" w:cs="Arial"/>
          <w:lang w:val="en-GB"/>
        </w:rPr>
        <w:t xml:space="preserve">). We found slightly higher </w:t>
      </w:r>
      <w:r w:rsidR="00405A15">
        <w:rPr>
          <w:rFonts w:ascii="Arial" w:hAnsi="Arial" w:cs="Arial"/>
          <w:lang w:val="en-GB"/>
        </w:rPr>
        <w:t xml:space="preserve">nitrogen (N) levels in tender leaves (86.93 mg/kg) than in mature leaves (85.92 mg/kg), suggesting an </w:t>
      </w:r>
      <w:r w:rsidRPr="00722101">
        <w:rPr>
          <w:rFonts w:ascii="Arial" w:hAnsi="Arial" w:cs="Arial"/>
          <w:lang w:val="en-GB"/>
        </w:rPr>
        <w:t xml:space="preserve">enhanced proteinogenic potential in younger foliage (Silva </w:t>
      </w:r>
      <w:r w:rsidRPr="00722101">
        <w:rPr>
          <w:rFonts w:ascii="Arial" w:hAnsi="Arial" w:cs="Arial"/>
          <w:i/>
          <w:iCs/>
          <w:lang w:val="en-GB"/>
        </w:rPr>
        <w:t>et al.</w:t>
      </w:r>
      <w:r w:rsidRPr="00722101">
        <w:rPr>
          <w:rFonts w:ascii="Arial" w:hAnsi="Arial" w:cs="Arial"/>
          <w:lang w:val="en-GB"/>
        </w:rPr>
        <w:t>, 2023). Although plant</w:t>
      </w:r>
      <w:r w:rsidRPr="00722101">
        <w:rPr>
          <w:rFonts w:ascii="Cambria Math" w:hAnsi="Cambria Math" w:cs="Cambria Math"/>
          <w:lang w:val="en-GB"/>
        </w:rPr>
        <w:t>‐</w:t>
      </w:r>
      <w:r w:rsidRPr="00722101">
        <w:rPr>
          <w:rFonts w:ascii="Arial" w:hAnsi="Arial" w:cs="Arial"/>
          <w:lang w:val="en-GB"/>
        </w:rPr>
        <w:t xml:space="preserve">derived N does not directly translate to protein quality in human diets, its presence signals the accumulation of amino acid precursors. However, agricultural overuse of nitrogen </w:t>
      </w:r>
      <w:r w:rsidR="009B6ECC">
        <w:rPr>
          <w:rFonts w:ascii="Arial" w:hAnsi="Arial" w:cs="Arial"/>
          <w:lang w:val="en-GB"/>
        </w:rPr>
        <w:t>fertilisers</w:t>
      </w:r>
      <w:r w:rsidRPr="00722101">
        <w:rPr>
          <w:rFonts w:ascii="Arial" w:hAnsi="Arial" w:cs="Arial"/>
          <w:lang w:val="en-GB"/>
        </w:rPr>
        <w:t xml:space="preserve"> can cause environmental eutrophication, highlighting the need for balanced agronomic practices (Einarsson, 2024).</w:t>
      </w:r>
    </w:p>
    <w:p w14:paraId="3D7D9874" w14:textId="5A9472DE" w:rsidR="00722101" w:rsidRPr="00722101" w:rsidRDefault="00722101" w:rsidP="00722101">
      <w:pPr>
        <w:pStyle w:val="Body"/>
        <w:spacing w:after="0"/>
        <w:rPr>
          <w:rFonts w:ascii="Arial" w:hAnsi="Arial" w:cs="Arial"/>
          <w:lang w:val="en-GB"/>
        </w:rPr>
      </w:pPr>
      <w:r w:rsidRPr="00722101">
        <w:rPr>
          <w:rFonts w:ascii="Arial" w:hAnsi="Arial" w:cs="Arial"/>
          <w:lang w:val="en-GB"/>
        </w:rPr>
        <w:t xml:space="preserve">Hydrogen (H). Although ubiquitous in all biomolecules, hydrogen’s role in nutrition is less commonly quantified. We observed higher H content in mature leaves (6.0%) compared to tender leaves (5.2%). Hydrogen, particularly in water and organic compounds, contributes to cellular hydration, proton gradients for ATP synthesis, and antioxidant </w:t>
      </w:r>
      <w:r w:rsidR="009B6ECC" w:rsidRPr="00722101">
        <w:rPr>
          <w:rFonts w:ascii="Arial" w:hAnsi="Arial" w:cs="Arial"/>
          <w:lang w:val="en-GB"/>
        </w:rPr>
        <w:t>defence</w:t>
      </w:r>
      <w:r w:rsidRPr="00722101">
        <w:rPr>
          <w:rFonts w:ascii="Arial" w:hAnsi="Arial" w:cs="Arial"/>
          <w:lang w:val="en-GB"/>
        </w:rPr>
        <w:t xml:space="preserve"> (Chen </w:t>
      </w:r>
      <w:r w:rsidRPr="00722101">
        <w:rPr>
          <w:rFonts w:ascii="Arial" w:hAnsi="Arial" w:cs="Arial"/>
          <w:i/>
          <w:iCs/>
          <w:lang w:val="en-GB"/>
        </w:rPr>
        <w:t>et al.</w:t>
      </w:r>
      <w:r w:rsidRPr="00722101">
        <w:rPr>
          <w:rFonts w:ascii="Arial" w:hAnsi="Arial" w:cs="Arial"/>
          <w:lang w:val="en-GB"/>
        </w:rPr>
        <w:t>, 2024; Kura &amp; Slezák, 2024). While our data suggest developmental shifts in leaf moisture and organic composition, further investigation is required to elucidate the nutritional implications of leaf hydrogen content.</w:t>
      </w:r>
    </w:p>
    <w:p w14:paraId="3BE88999" w14:textId="77777777" w:rsidR="0045515C" w:rsidRDefault="0045515C" w:rsidP="00722101">
      <w:pPr>
        <w:pStyle w:val="Body"/>
        <w:rPr>
          <w:rFonts w:ascii="Arial" w:hAnsi="Arial" w:cs="Arial"/>
          <w:lang w:val="en-GB"/>
        </w:rPr>
      </w:pPr>
    </w:p>
    <w:p w14:paraId="20ADC7B1" w14:textId="76DA9DE6" w:rsidR="00722101" w:rsidRPr="00722101" w:rsidRDefault="00722101" w:rsidP="00722101">
      <w:pPr>
        <w:pStyle w:val="Body"/>
        <w:rPr>
          <w:rFonts w:ascii="Arial" w:hAnsi="Arial" w:cs="Arial"/>
          <w:b/>
          <w:bCs/>
          <w:lang w:val="en-GB"/>
        </w:rPr>
      </w:pPr>
      <w:r>
        <w:rPr>
          <w:rFonts w:ascii="Arial" w:hAnsi="Arial" w:cs="Arial"/>
          <w:lang w:val="en-GB"/>
        </w:rPr>
        <w:t>3.2</w:t>
      </w:r>
      <w:r w:rsidRPr="0045515C">
        <w:rPr>
          <w:rFonts w:ascii="Arial" w:hAnsi="Arial" w:cs="Arial"/>
          <w:lang w:val="en-GB"/>
        </w:rPr>
        <w:t>.2 Microelement Profile</w:t>
      </w:r>
    </w:p>
    <w:p w14:paraId="39A107EE" w14:textId="27CB9A7D" w:rsidR="00722101" w:rsidRPr="00722101" w:rsidRDefault="00722101" w:rsidP="00722101">
      <w:pPr>
        <w:pStyle w:val="Body"/>
        <w:rPr>
          <w:rFonts w:ascii="Arial" w:hAnsi="Arial" w:cs="Arial"/>
          <w:lang w:val="en-GB"/>
        </w:rPr>
      </w:pPr>
      <w:r w:rsidRPr="00722101">
        <w:rPr>
          <w:rFonts w:ascii="Arial" w:hAnsi="Arial" w:cs="Arial"/>
          <w:lang w:val="en-GB"/>
        </w:rPr>
        <w:lastRenderedPageBreak/>
        <w:t>Nickel (Ni)</w:t>
      </w:r>
      <w:r w:rsidR="00405A15">
        <w:rPr>
          <w:rFonts w:ascii="Arial" w:hAnsi="Arial" w:cs="Arial"/>
          <w:lang w:val="en-GB"/>
        </w:rPr>
        <w:t xml:space="preserve"> </w:t>
      </w:r>
      <w:r w:rsidRPr="00722101">
        <w:rPr>
          <w:rFonts w:ascii="Arial" w:hAnsi="Arial" w:cs="Arial"/>
          <w:lang w:val="en-GB"/>
        </w:rPr>
        <w:t>serves as a cofactor for enzymes such as urease and hydrogenase, facilitating nitrogen metabolism and redox balance (</w:t>
      </w:r>
      <w:proofErr w:type="spellStart"/>
      <w:r w:rsidRPr="00722101">
        <w:rPr>
          <w:rFonts w:ascii="Arial" w:hAnsi="Arial" w:cs="Arial"/>
          <w:lang w:val="en-GB"/>
        </w:rPr>
        <w:t>Romele</w:t>
      </w:r>
      <w:proofErr w:type="spellEnd"/>
      <w:r w:rsidRPr="00722101">
        <w:rPr>
          <w:rFonts w:ascii="Arial" w:hAnsi="Arial" w:cs="Arial"/>
          <w:lang w:val="en-GB"/>
        </w:rPr>
        <w:t xml:space="preserve">, 2021; Alfano &amp; </w:t>
      </w:r>
      <w:proofErr w:type="spellStart"/>
      <w:r w:rsidRPr="00722101">
        <w:rPr>
          <w:rFonts w:ascii="Arial" w:hAnsi="Arial" w:cs="Arial"/>
          <w:lang w:val="en-GB"/>
        </w:rPr>
        <w:t>Cavazza</w:t>
      </w:r>
      <w:proofErr w:type="spellEnd"/>
      <w:r w:rsidRPr="00722101">
        <w:rPr>
          <w:rFonts w:ascii="Arial" w:hAnsi="Arial" w:cs="Arial"/>
          <w:lang w:val="en-GB"/>
        </w:rPr>
        <w:t>, 2020). In our analysis, tender leaves contained significantly more Ni than mature leaves, possibly reflecting adaptive requirements for early</w:t>
      </w:r>
      <w:r w:rsidRPr="00722101">
        <w:rPr>
          <w:rFonts w:ascii="Cambria Math" w:hAnsi="Cambria Math" w:cs="Cambria Math"/>
          <w:lang w:val="en-GB"/>
        </w:rPr>
        <w:t>‐</w:t>
      </w:r>
      <w:r w:rsidRPr="00722101">
        <w:rPr>
          <w:rFonts w:ascii="Arial" w:hAnsi="Arial" w:cs="Arial"/>
          <w:lang w:val="en-GB"/>
        </w:rPr>
        <w:t xml:space="preserve">stage metabolic activity. Ni also enhances antioxidant </w:t>
      </w:r>
      <w:proofErr w:type="spellStart"/>
      <w:r w:rsidRPr="00722101">
        <w:rPr>
          <w:rFonts w:ascii="Arial" w:hAnsi="Arial" w:cs="Arial"/>
          <w:lang w:val="en-GB"/>
        </w:rPr>
        <w:t>defenses</w:t>
      </w:r>
      <w:proofErr w:type="spellEnd"/>
      <w:r w:rsidRPr="00722101">
        <w:rPr>
          <w:rFonts w:ascii="Arial" w:hAnsi="Arial" w:cs="Arial"/>
          <w:lang w:val="en-GB"/>
        </w:rPr>
        <w:t>, but at supra</w:t>
      </w:r>
      <w:r w:rsidRPr="00722101">
        <w:rPr>
          <w:rFonts w:ascii="Cambria Math" w:hAnsi="Cambria Math" w:cs="Cambria Math"/>
          <w:lang w:val="en-GB"/>
        </w:rPr>
        <w:t>‐</w:t>
      </w:r>
      <w:r w:rsidRPr="00722101">
        <w:rPr>
          <w:rFonts w:ascii="Arial" w:hAnsi="Arial" w:cs="Arial"/>
          <w:lang w:val="en-GB"/>
        </w:rPr>
        <w:t>physiological levels can induce phytotoxicity and potential dietary risk (</w:t>
      </w:r>
      <w:proofErr w:type="spellStart"/>
      <w:r w:rsidRPr="00722101">
        <w:rPr>
          <w:rFonts w:ascii="Arial" w:hAnsi="Arial" w:cs="Arial"/>
          <w:lang w:val="en-GB"/>
        </w:rPr>
        <w:t>Helaoui</w:t>
      </w:r>
      <w:proofErr w:type="spellEnd"/>
      <w:r w:rsidRPr="00722101">
        <w:rPr>
          <w:rFonts w:ascii="Arial" w:hAnsi="Arial" w:cs="Arial"/>
          <w:lang w:val="en-GB"/>
        </w:rPr>
        <w:t xml:space="preserve"> </w:t>
      </w:r>
      <w:r w:rsidRPr="00722101">
        <w:rPr>
          <w:rFonts w:ascii="Arial" w:hAnsi="Arial" w:cs="Arial"/>
          <w:i/>
          <w:iCs/>
          <w:lang w:val="en-GB"/>
        </w:rPr>
        <w:t>et al.</w:t>
      </w:r>
      <w:r w:rsidRPr="00722101">
        <w:rPr>
          <w:rFonts w:ascii="Arial" w:hAnsi="Arial" w:cs="Arial"/>
          <w:lang w:val="en-GB"/>
        </w:rPr>
        <w:t>, 2023).</w:t>
      </w:r>
      <w:r w:rsidR="009B6ECC">
        <w:rPr>
          <w:rFonts w:ascii="Arial" w:hAnsi="Arial" w:cs="Arial"/>
          <w:lang w:val="en-GB"/>
        </w:rPr>
        <w:t xml:space="preserve"> </w:t>
      </w:r>
      <w:r w:rsidRPr="00722101">
        <w:rPr>
          <w:rFonts w:ascii="Arial" w:hAnsi="Arial" w:cs="Arial"/>
          <w:lang w:val="en-GB"/>
        </w:rPr>
        <w:t xml:space="preserve">Silicon contributes to </w:t>
      </w:r>
      <w:r w:rsidR="006A3E6E">
        <w:rPr>
          <w:rFonts w:ascii="Arial" w:hAnsi="Arial" w:cs="Arial"/>
          <w:lang w:val="en-GB"/>
        </w:rPr>
        <w:t>the structural integrity of plants and plays a role</w:t>
      </w:r>
      <w:r w:rsidRPr="00722101">
        <w:rPr>
          <w:rFonts w:ascii="Arial" w:hAnsi="Arial" w:cs="Arial"/>
          <w:lang w:val="en-GB"/>
        </w:rPr>
        <w:t xml:space="preserve"> in collagen synthesis and bone health in animals (</w:t>
      </w:r>
      <w:proofErr w:type="spellStart"/>
      <w:r w:rsidRPr="00722101">
        <w:rPr>
          <w:rFonts w:ascii="Arial" w:hAnsi="Arial" w:cs="Arial"/>
          <w:lang w:val="en-GB"/>
        </w:rPr>
        <w:t>Anozia</w:t>
      </w:r>
      <w:proofErr w:type="spellEnd"/>
      <w:r w:rsidRPr="00722101">
        <w:rPr>
          <w:rFonts w:ascii="Arial" w:hAnsi="Arial" w:cs="Arial"/>
          <w:lang w:val="en-GB"/>
        </w:rPr>
        <w:t xml:space="preserve"> &amp; </w:t>
      </w:r>
      <w:proofErr w:type="spellStart"/>
      <w:r w:rsidRPr="00722101">
        <w:rPr>
          <w:rFonts w:ascii="Arial" w:hAnsi="Arial" w:cs="Arial"/>
          <w:lang w:val="en-GB"/>
        </w:rPr>
        <w:t>Ezealisiji</w:t>
      </w:r>
      <w:proofErr w:type="spellEnd"/>
      <w:r w:rsidRPr="00722101">
        <w:rPr>
          <w:rFonts w:ascii="Arial" w:hAnsi="Arial" w:cs="Arial"/>
          <w:lang w:val="en-GB"/>
        </w:rPr>
        <w:t xml:space="preserve">, 2018). Tender </w:t>
      </w:r>
      <w:r w:rsidRPr="00722101">
        <w:rPr>
          <w:rFonts w:ascii="Arial" w:hAnsi="Arial" w:cs="Arial"/>
          <w:i/>
          <w:iCs/>
          <w:lang w:val="en-GB"/>
        </w:rPr>
        <w:t xml:space="preserve">P. </w:t>
      </w:r>
      <w:proofErr w:type="spellStart"/>
      <w:r w:rsidRPr="00722101">
        <w:rPr>
          <w:rFonts w:ascii="Arial" w:hAnsi="Arial" w:cs="Arial"/>
          <w:i/>
          <w:iCs/>
          <w:lang w:val="en-GB"/>
        </w:rPr>
        <w:t>santalinoides</w:t>
      </w:r>
      <w:proofErr w:type="spellEnd"/>
      <w:r w:rsidRPr="00722101">
        <w:rPr>
          <w:rFonts w:ascii="Arial" w:hAnsi="Arial" w:cs="Arial"/>
          <w:lang w:val="en-GB"/>
        </w:rPr>
        <w:t xml:space="preserve"> leaves </w:t>
      </w:r>
      <w:r w:rsidR="006A3E6E">
        <w:rPr>
          <w:rFonts w:ascii="Arial" w:hAnsi="Arial" w:cs="Arial"/>
          <w:lang w:val="en-GB"/>
        </w:rPr>
        <w:t>contained 5.11 mg/kg of Si, compared to</w:t>
      </w:r>
      <w:r w:rsidRPr="00722101">
        <w:rPr>
          <w:rFonts w:ascii="Arial" w:hAnsi="Arial" w:cs="Arial"/>
          <w:lang w:val="en-GB"/>
        </w:rPr>
        <w:t xml:space="preserve"> 3.25 mg/kg in mature leaves, which may support both plant resilience and dietary Si intake. Given Si’s role in upregulating genes for nitrate transport and stress response, its presence underscores the functional value of young foliage (</w:t>
      </w:r>
      <w:proofErr w:type="spellStart"/>
      <w:r w:rsidRPr="00722101">
        <w:rPr>
          <w:rFonts w:ascii="Arial" w:hAnsi="Arial" w:cs="Arial"/>
          <w:lang w:val="en-GB"/>
        </w:rPr>
        <w:t>Anozia</w:t>
      </w:r>
      <w:proofErr w:type="spellEnd"/>
      <w:r w:rsidRPr="00722101">
        <w:rPr>
          <w:rFonts w:ascii="Arial" w:hAnsi="Arial" w:cs="Arial"/>
          <w:lang w:val="en-GB"/>
        </w:rPr>
        <w:t xml:space="preserve"> &amp; </w:t>
      </w:r>
      <w:proofErr w:type="spellStart"/>
      <w:r w:rsidRPr="00722101">
        <w:rPr>
          <w:rFonts w:ascii="Arial" w:hAnsi="Arial" w:cs="Arial"/>
          <w:lang w:val="en-GB"/>
        </w:rPr>
        <w:t>Ezealisiji</w:t>
      </w:r>
      <w:proofErr w:type="spellEnd"/>
      <w:r w:rsidRPr="00722101">
        <w:rPr>
          <w:rFonts w:ascii="Arial" w:hAnsi="Arial" w:cs="Arial"/>
          <w:lang w:val="en-GB"/>
        </w:rPr>
        <w:t>, 2018).</w:t>
      </w:r>
    </w:p>
    <w:p w14:paraId="080124A2" w14:textId="3D6C0335" w:rsidR="00722101" w:rsidRPr="00722101" w:rsidRDefault="00722101" w:rsidP="00722101">
      <w:pPr>
        <w:pStyle w:val="Body"/>
        <w:rPr>
          <w:rFonts w:ascii="Arial" w:hAnsi="Arial" w:cs="Arial"/>
          <w:lang w:val="en-GB"/>
        </w:rPr>
      </w:pPr>
      <w:r w:rsidRPr="00722101">
        <w:rPr>
          <w:rFonts w:ascii="Arial" w:hAnsi="Arial" w:cs="Arial"/>
          <w:lang w:val="en-GB"/>
        </w:rPr>
        <w:t>Zinc is integral to over 300 metalloenzymes, including DNA/RNA polymerases and antioxidant enzymes (</w:t>
      </w:r>
      <w:proofErr w:type="spellStart"/>
      <w:r w:rsidRPr="00722101">
        <w:rPr>
          <w:rFonts w:ascii="Arial" w:hAnsi="Arial" w:cs="Arial"/>
          <w:lang w:val="en-GB"/>
        </w:rPr>
        <w:t>Anyalogbu</w:t>
      </w:r>
      <w:proofErr w:type="spellEnd"/>
      <w:r w:rsidRPr="00722101">
        <w:rPr>
          <w:rFonts w:ascii="Arial" w:hAnsi="Arial" w:cs="Arial"/>
          <w:lang w:val="en-GB"/>
        </w:rPr>
        <w:t xml:space="preserve">, 2018). Tender leaves exhibited 204.74 mg/kg of Zn, markedly higher than the 128.22 mg/kg in mature leaves. This high Zn concentration suggests that </w:t>
      </w:r>
      <w:r w:rsidRPr="00722101">
        <w:rPr>
          <w:rFonts w:ascii="Arial" w:hAnsi="Arial" w:cs="Arial"/>
          <w:i/>
          <w:iCs/>
          <w:lang w:val="en-GB"/>
        </w:rPr>
        <w:t xml:space="preserve">P. </w:t>
      </w:r>
      <w:proofErr w:type="spellStart"/>
      <w:r w:rsidRPr="00722101">
        <w:rPr>
          <w:rFonts w:ascii="Arial" w:hAnsi="Arial" w:cs="Arial"/>
          <w:i/>
          <w:iCs/>
          <w:lang w:val="en-GB"/>
        </w:rPr>
        <w:t>santalinoides</w:t>
      </w:r>
      <w:proofErr w:type="spellEnd"/>
      <w:r w:rsidRPr="00722101">
        <w:rPr>
          <w:rFonts w:ascii="Arial" w:hAnsi="Arial" w:cs="Arial"/>
          <w:lang w:val="en-GB"/>
        </w:rPr>
        <w:t xml:space="preserve"> leaves could substantially contribute to Zn intake, supporting immune function, wound healing, and enzymatic activity.</w:t>
      </w:r>
      <w:r w:rsidR="009B6ECC">
        <w:rPr>
          <w:rFonts w:ascii="Arial" w:hAnsi="Arial" w:cs="Arial"/>
          <w:lang w:val="en-GB"/>
        </w:rPr>
        <w:t xml:space="preserve"> </w:t>
      </w:r>
      <w:r w:rsidRPr="00722101">
        <w:rPr>
          <w:rFonts w:ascii="Arial" w:hAnsi="Arial" w:cs="Arial"/>
          <w:lang w:val="en-GB"/>
        </w:rPr>
        <w:t>Iron (Fe) is essential for oxygen transport (h</w:t>
      </w:r>
      <w:r w:rsidR="00A832AD">
        <w:rPr>
          <w:rFonts w:ascii="Arial" w:hAnsi="Arial" w:cs="Arial"/>
          <w:lang w:val="en-GB"/>
        </w:rPr>
        <w:t>a</w:t>
      </w:r>
      <w:r w:rsidRPr="00722101">
        <w:rPr>
          <w:rFonts w:ascii="Arial" w:hAnsi="Arial" w:cs="Arial"/>
          <w:lang w:val="en-GB"/>
        </w:rPr>
        <w:t>em iron) and electron transfer in mitochondrial cytochromes (non</w:t>
      </w:r>
      <w:r w:rsidRPr="00722101">
        <w:rPr>
          <w:rFonts w:ascii="Cambria Math" w:hAnsi="Cambria Math" w:cs="Cambria Math"/>
          <w:lang w:val="en-GB"/>
        </w:rPr>
        <w:t>‐</w:t>
      </w:r>
      <w:r w:rsidRPr="00722101">
        <w:rPr>
          <w:rFonts w:ascii="Arial" w:hAnsi="Arial" w:cs="Arial"/>
          <w:lang w:val="en-GB"/>
        </w:rPr>
        <w:t>h</w:t>
      </w:r>
      <w:r w:rsidR="00A832AD">
        <w:rPr>
          <w:rFonts w:ascii="Arial" w:hAnsi="Arial" w:cs="Arial"/>
          <w:lang w:val="en-GB"/>
        </w:rPr>
        <w:t>a</w:t>
      </w:r>
      <w:r w:rsidRPr="00722101">
        <w:rPr>
          <w:rFonts w:ascii="Arial" w:hAnsi="Arial" w:cs="Arial"/>
          <w:lang w:val="en-GB"/>
        </w:rPr>
        <w:t>em iron) (Eze, 2018). We detected 323.93</w:t>
      </w:r>
      <w:r>
        <w:rPr>
          <w:rFonts w:ascii="Arial" w:hAnsi="Arial" w:cs="Arial"/>
          <w:lang w:val="en-GB"/>
        </w:rPr>
        <w:t xml:space="preserve"> mg/kg in tender leaves and 202.86 mg/kg in mature leaves, indicating that young leaves are a significant source of dietary iron</w:t>
      </w:r>
      <w:r w:rsidRPr="00722101">
        <w:rPr>
          <w:rFonts w:ascii="Arial" w:hAnsi="Arial" w:cs="Arial"/>
          <w:lang w:val="en-GB"/>
        </w:rPr>
        <w:t>. Despite concerns over non</w:t>
      </w:r>
      <w:r w:rsidRPr="00722101">
        <w:rPr>
          <w:rFonts w:ascii="Cambria Math" w:hAnsi="Cambria Math" w:cs="Cambria Math"/>
          <w:lang w:val="en-GB"/>
        </w:rPr>
        <w:t>‐</w:t>
      </w:r>
      <w:r w:rsidRPr="00722101">
        <w:rPr>
          <w:rFonts w:ascii="Arial" w:hAnsi="Arial" w:cs="Arial"/>
          <w:lang w:val="en-GB"/>
        </w:rPr>
        <w:t>h</w:t>
      </w:r>
      <w:r>
        <w:rPr>
          <w:rFonts w:ascii="Arial" w:hAnsi="Arial" w:cs="Arial"/>
          <w:lang w:val="en-GB"/>
        </w:rPr>
        <w:t>a</w:t>
      </w:r>
      <w:r w:rsidRPr="00722101">
        <w:rPr>
          <w:rFonts w:ascii="Arial" w:hAnsi="Arial" w:cs="Arial"/>
          <w:lang w:val="en-GB"/>
        </w:rPr>
        <w:t xml:space="preserve">em iron bioavailability, the high Fe levels highlight </w:t>
      </w:r>
      <w:r w:rsidRPr="00722101">
        <w:rPr>
          <w:rFonts w:ascii="Arial" w:hAnsi="Arial" w:cs="Arial"/>
          <w:i/>
          <w:iCs/>
          <w:lang w:val="en-GB"/>
        </w:rPr>
        <w:t xml:space="preserve">P. </w:t>
      </w:r>
      <w:proofErr w:type="spellStart"/>
      <w:r w:rsidRPr="00722101">
        <w:rPr>
          <w:rFonts w:ascii="Arial" w:hAnsi="Arial" w:cs="Arial"/>
          <w:i/>
          <w:iCs/>
          <w:lang w:val="en-GB"/>
        </w:rPr>
        <w:t>santalinoides</w:t>
      </w:r>
      <w:proofErr w:type="spellEnd"/>
      <w:r w:rsidRPr="00722101">
        <w:rPr>
          <w:rFonts w:ascii="Arial" w:hAnsi="Arial" w:cs="Arial"/>
          <w:lang w:val="en-GB"/>
        </w:rPr>
        <w:t xml:space="preserve"> as a candidate for addressing iron deficiency </w:t>
      </w:r>
      <w:r>
        <w:rPr>
          <w:rFonts w:ascii="Arial" w:hAnsi="Arial" w:cs="Arial"/>
          <w:lang w:val="en-GB"/>
        </w:rPr>
        <w:t>anaemia</w:t>
      </w:r>
      <w:r w:rsidRPr="00722101">
        <w:rPr>
          <w:rFonts w:ascii="Arial" w:hAnsi="Arial" w:cs="Arial"/>
          <w:lang w:val="en-GB"/>
        </w:rPr>
        <w:t xml:space="preserve"> in endemic regions.</w:t>
      </w:r>
    </w:p>
    <w:p w14:paraId="728D6DA2" w14:textId="0FF8142F" w:rsidR="00722101" w:rsidRPr="00722101" w:rsidRDefault="00722101" w:rsidP="00722101">
      <w:pPr>
        <w:pStyle w:val="Body"/>
        <w:rPr>
          <w:rFonts w:ascii="Arial" w:hAnsi="Arial" w:cs="Arial"/>
          <w:lang w:val="en-GB"/>
        </w:rPr>
      </w:pPr>
      <w:r w:rsidRPr="00722101">
        <w:rPr>
          <w:rFonts w:ascii="Arial" w:hAnsi="Arial" w:cs="Arial"/>
          <w:lang w:val="en-GB"/>
        </w:rPr>
        <w:t xml:space="preserve">Copper-dependent enzymes such as cytochrome c oxidase and </w:t>
      </w:r>
      <w:proofErr w:type="spellStart"/>
      <w:r w:rsidRPr="00722101">
        <w:rPr>
          <w:rFonts w:ascii="Arial" w:hAnsi="Arial" w:cs="Arial"/>
          <w:lang w:val="en-GB"/>
        </w:rPr>
        <w:t>lysyl</w:t>
      </w:r>
      <w:proofErr w:type="spellEnd"/>
      <w:r w:rsidRPr="00722101">
        <w:rPr>
          <w:rFonts w:ascii="Arial" w:hAnsi="Arial" w:cs="Arial"/>
          <w:lang w:val="en-GB"/>
        </w:rPr>
        <w:t xml:space="preserve"> oxidase are critical for energy production, connective tissue formation, and iron metabolism (Mamabolo, 2020). The tender leaves’ Cu content (9.26 mg/kg) surpassed that of mature leaves (5.80 mg/kg), underscoring their potential to support enzymatic processes and antioxidant </w:t>
      </w:r>
      <w:r>
        <w:rPr>
          <w:rFonts w:ascii="Arial" w:hAnsi="Arial" w:cs="Arial"/>
          <w:lang w:val="en-GB"/>
        </w:rPr>
        <w:t>defences</w:t>
      </w:r>
      <w:r w:rsidRPr="00722101">
        <w:rPr>
          <w:rFonts w:ascii="Arial" w:hAnsi="Arial" w:cs="Arial"/>
          <w:lang w:val="en-GB"/>
        </w:rPr>
        <w:t xml:space="preserve"> without approaching toxic thresholds.</w:t>
      </w:r>
      <w:r w:rsidR="009B6ECC">
        <w:rPr>
          <w:rFonts w:ascii="Arial" w:hAnsi="Arial" w:cs="Arial"/>
          <w:lang w:val="en-GB"/>
        </w:rPr>
        <w:t xml:space="preserve"> </w:t>
      </w:r>
      <w:r w:rsidRPr="00722101">
        <w:rPr>
          <w:rFonts w:ascii="Arial" w:hAnsi="Arial" w:cs="Arial"/>
          <w:lang w:val="en-GB"/>
        </w:rPr>
        <w:t>Manganese acts as an antioxidant in the mitochondrial matrix via Mn</w:t>
      </w:r>
      <w:r w:rsidRPr="00722101">
        <w:rPr>
          <w:rFonts w:ascii="Cambria Math" w:hAnsi="Cambria Math" w:cs="Cambria Math"/>
          <w:lang w:val="en-GB"/>
        </w:rPr>
        <w:t>‐</w:t>
      </w:r>
      <w:r w:rsidRPr="00722101">
        <w:rPr>
          <w:rFonts w:ascii="Arial" w:hAnsi="Arial" w:cs="Arial"/>
          <w:lang w:val="en-GB"/>
        </w:rPr>
        <w:t>superoxide dismutase and is vital for bone formation and carbohydrate metabolism (Aslam, 2013). Tender leaves contained 9.75 mg/kg of Mn versus 6.11 mg/kg in mature leaves, suggesting that early foliage is richer in this trace element. Given Mn’s role in insulin synthesis and neurological function, these leaves could aid in metabolic regulation.</w:t>
      </w:r>
    </w:p>
    <w:p w14:paraId="5D28A488" w14:textId="77777777" w:rsidR="0045515C" w:rsidRPr="00A809EE" w:rsidRDefault="0045515C" w:rsidP="0045515C">
      <w:pPr>
        <w:pStyle w:val="Body"/>
        <w:spacing w:after="0"/>
        <w:rPr>
          <w:rFonts w:ascii="Arial" w:hAnsi="Arial" w:cs="Arial"/>
        </w:rPr>
      </w:pPr>
      <w:r w:rsidRPr="00A809EE">
        <w:rPr>
          <w:rFonts w:ascii="Arial" w:hAnsi="Arial" w:cs="Arial"/>
        </w:rPr>
        <w:t xml:space="preserve">The observed trend of higher mineral concentrations in tender leaves is consistent with reports that nutrient accumulation is more prominent in young plant tissues, where cell expansion and metabolic activity are most intense (Saini et al., 2022). Similar findings have been reported in other leafy vegetables such as </w:t>
      </w:r>
      <w:r w:rsidRPr="00A809EE">
        <w:rPr>
          <w:rFonts w:ascii="Arial" w:hAnsi="Arial" w:cs="Arial"/>
          <w:i/>
          <w:iCs/>
        </w:rPr>
        <w:t xml:space="preserve">Amaranthus </w:t>
      </w:r>
      <w:proofErr w:type="spellStart"/>
      <w:r w:rsidRPr="00A809EE">
        <w:rPr>
          <w:rFonts w:ascii="Arial" w:hAnsi="Arial" w:cs="Arial"/>
          <w:i/>
          <w:iCs/>
        </w:rPr>
        <w:t>hybridus</w:t>
      </w:r>
      <w:proofErr w:type="spellEnd"/>
      <w:r w:rsidRPr="00A809EE">
        <w:rPr>
          <w:rFonts w:ascii="Arial" w:hAnsi="Arial" w:cs="Arial"/>
        </w:rPr>
        <w:t xml:space="preserve"> and </w:t>
      </w:r>
      <w:r w:rsidRPr="00A809EE">
        <w:rPr>
          <w:rFonts w:ascii="Arial" w:hAnsi="Arial" w:cs="Arial"/>
          <w:i/>
          <w:iCs/>
        </w:rPr>
        <w:t xml:space="preserve">Corchorus </w:t>
      </w:r>
      <w:proofErr w:type="spellStart"/>
      <w:r w:rsidRPr="00A809EE">
        <w:rPr>
          <w:rFonts w:ascii="Arial" w:hAnsi="Arial" w:cs="Arial"/>
          <w:i/>
          <w:iCs/>
        </w:rPr>
        <w:t>olitorius</w:t>
      </w:r>
      <w:proofErr w:type="spellEnd"/>
      <w:r w:rsidRPr="00A809EE">
        <w:rPr>
          <w:rFonts w:ascii="Arial" w:hAnsi="Arial" w:cs="Arial"/>
        </w:rPr>
        <w:t>, where nutrient density declines with leaf maturation (</w:t>
      </w:r>
      <w:proofErr w:type="spellStart"/>
      <w:r w:rsidRPr="00A809EE">
        <w:rPr>
          <w:rFonts w:ascii="Arial" w:hAnsi="Arial" w:cs="Arial"/>
        </w:rPr>
        <w:t>Achikanu</w:t>
      </w:r>
      <w:proofErr w:type="spellEnd"/>
      <w:r w:rsidRPr="00A809EE">
        <w:rPr>
          <w:rFonts w:ascii="Arial" w:hAnsi="Arial" w:cs="Arial"/>
        </w:rPr>
        <w:t xml:space="preserve"> et al., 2021).</w:t>
      </w:r>
    </w:p>
    <w:p w14:paraId="7B3CDCF4" w14:textId="77777777" w:rsidR="0045515C" w:rsidRPr="00A809EE" w:rsidRDefault="0045515C" w:rsidP="0045515C">
      <w:pPr>
        <w:pStyle w:val="Body"/>
        <w:spacing w:after="0"/>
        <w:rPr>
          <w:rFonts w:ascii="Arial" w:hAnsi="Arial" w:cs="Arial"/>
        </w:rPr>
      </w:pPr>
      <w:r w:rsidRPr="00A809EE">
        <w:rPr>
          <w:rFonts w:ascii="Arial" w:hAnsi="Arial" w:cs="Arial"/>
        </w:rPr>
        <w:t xml:space="preserve">Younger leaves tend to serve as nutrient sinks during early growth, particularly for mobile elements such as potassium and calcium, as supported by reports from Potgieter et al. (2021), who noted a comparable trend in South African indigenous vegetables. This nutritional advantage has prompted dietary recommendations </w:t>
      </w:r>
      <w:proofErr w:type="spellStart"/>
      <w:r w:rsidRPr="00A809EE">
        <w:rPr>
          <w:rFonts w:ascii="Arial" w:hAnsi="Arial" w:cs="Arial"/>
        </w:rPr>
        <w:t>favouring</w:t>
      </w:r>
      <w:proofErr w:type="spellEnd"/>
      <w:r w:rsidRPr="00A809EE">
        <w:rPr>
          <w:rFonts w:ascii="Arial" w:hAnsi="Arial" w:cs="Arial"/>
        </w:rPr>
        <w:t xml:space="preserve"> tender leaves to combat mineral deficiencies, particularly in low-resource settings (</w:t>
      </w:r>
      <w:proofErr w:type="spellStart"/>
      <w:r w:rsidRPr="00A809EE">
        <w:rPr>
          <w:rFonts w:ascii="Arial" w:hAnsi="Arial" w:cs="Arial"/>
        </w:rPr>
        <w:t>Anyalogbu</w:t>
      </w:r>
      <w:proofErr w:type="spellEnd"/>
      <w:r w:rsidRPr="00A809EE">
        <w:rPr>
          <w:rFonts w:ascii="Arial" w:hAnsi="Arial" w:cs="Arial"/>
        </w:rPr>
        <w:t xml:space="preserve"> et al., 2018).</w:t>
      </w:r>
    </w:p>
    <w:p w14:paraId="68F57DE4" w14:textId="6B39578E" w:rsidR="0045515C" w:rsidRPr="00A809EE" w:rsidRDefault="0045515C" w:rsidP="0045515C">
      <w:pPr>
        <w:pStyle w:val="Body"/>
        <w:spacing w:after="0"/>
        <w:rPr>
          <w:rFonts w:ascii="Arial" w:hAnsi="Arial" w:cs="Arial"/>
        </w:rPr>
      </w:pPr>
      <w:r w:rsidRPr="00A809EE">
        <w:rPr>
          <w:rFonts w:ascii="Arial" w:hAnsi="Arial" w:cs="Arial"/>
        </w:rPr>
        <w:t xml:space="preserve">Recent studies by Papadaki et al. (2021) and Yu et al. (2023) have further </w:t>
      </w:r>
      <w:proofErr w:type="spellStart"/>
      <w:r w:rsidR="00364DD5">
        <w:rPr>
          <w:rFonts w:ascii="Arial" w:hAnsi="Arial" w:cs="Arial"/>
        </w:rPr>
        <w:t>emphasised</w:t>
      </w:r>
      <w:proofErr w:type="spellEnd"/>
      <w:r w:rsidRPr="00A809EE">
        <w:rPr>
          <w:rFonts w:ascii="Arial" w:hAnsi="Arial" w:cs="Arial"/>
        </w:rPr>
        <w:t xml:space="preserve"> the health benefits of integrating mineral-rich vegetables into daily diets to prevent iron- and zinc-deficiency-related disorders. The significantly high iron and zinc levels in </w:t>
      </w:r>
      <w:r w:rsidRPr="00A809EE">
        <w:rPr>
          <w:rFonts w:ascii="Arial" w:hAnsi="Arial" w:cs="Arial"/>
          <w:i/>
          <w:iCs/>
        </w:rPr>
        <w:t xml:space="preserve">P. </w:t>
      </w:r>
      <w:proofErr w:type="spellStart"/>
      <w:r w:rsidRPr="00A809EE">
        <w:rPr>
          <w:rFonts w:ascii="Arial" w:hAnsi="Arial" w:cs="Arial"/>
          <w:i/>
          <w:iCs/>
        </w:rPr>
        <w:t>santalinoides</w:t>
      </w:r>
      <w:proofErr w:type="spellEnd"/>
      <w:r w:rsidRPr="00A809EE">
        <w:rPr>
          <w:rFonts w:ascii="Arial" w:hAnsi="Arial" w:cs="Arial"/>
        </w:rPr>
        <w:t xml:space="preserve"> tender leaves underscore its relevance as a functional food, especially among populations at risk of </w:t>
      </w:r>
      <w:proofErr w:type="spellStart"/>
      <w:r w:rsidR="00364DD5">
        <w:rPr>
          <w:rFonts w:ascii="Arial" w:hAnsi="Arial" w:cs="Arial"/>
        </w:rPr>
        <w:t>anaemia</w:t>
      </w:r>
      <w:proofErr w:type="spellEnd"/>
      <w:r w:rsidRPr="00A809EE">
        <w:rPr>
          <w:rFonts w:ascii="Arial" w:hAnsi="Arial" w:cs="Arial"/>
        </w:rPr>
        <w:t xml:space="preserve"> and immune compromise.</w:t>
      </w:r>
    </w:p>
    <w:p w14:paraId="2CEB7A68" w14:textId="77777777" w:rsidR="0045515C" w:rsidRPr="00A809EE" w:rsidRDefault="0045515C" w:rsidP="0045515C">
      <w:pPr>
        <w:pStyle w:val="Body"/>
        <w:spacing w:after="0"/>
        <w:rPr>
          <w:rFonts w:ascii="Arial" w:hAnsi="Arial" w:cs="Arial"/>
        </w:rPr>
      </w:pPr>
      <w:r w:rsidRPr="00A809EE">
        <w:rPr>
          <w:rFonts w:ascii="Arial" w:hAnsi="Arial" w:cs="Arial"/>
        </w:rPr>
        <w:t xml:space="preserve">However, as highlighted by Clark and Slavin (2023), mineral content alone does not guarantee bioavailability. The presence of anti-nutritional factors such as phytates and oxalates, which are common in leafy vegetables, may impede the absorption of essential elements. Studies by Kayode et al. (2022) and Raboy (2023) demonstrate that thermal processing, sprouting, or </w:t>
      </w:r>
      <w:r w:rsidRPr="00A809EE">
        <w:rPr>
          <w:rFonts w:ascii="Arial" w:hAnsi="Arial" w:cs="Arial"/>
        </w:rPr>
        <w:lastRenderedPageBreak/>
        <w:t>fermentation can significantly enhance mineral bio accessibility in plant matrices by reducing anti-nutritional compounds.</w:t>
      </w:r>
    </w:p>
    <w:p w14:paraId="60C3B4CE" w14:textId="77777777" w:rsidR="0045515C" w:rsidRPr="00A809EE" w:rsidRDefault="0045515C" w:rsidP="0045515C">
      <w:pPr>
        <w:pStyle w:val="Body"/>
        <w:spacing w:after="0"/>
        <w:rPr>
          <w:rFonts w:ascii="Arial" w:hAnsi="Arial" w:cs="Arial"/>
        </w:rPr>
      </w:pPr>
      <w:r w:rsidRPr="00A809EE">
        <w:rPr>
          <w:rFonts w:ascii="Arial" w:hAnsi="Arial" w:cs="Arial"/>
        </w:rPr>
        <w:t>Food safety must also be considered when promoting indigenous vegetables. Leafy greens are known to bioaccumulate toxic metals depending on environmental exposure. According to Ahmed et al. (2023), periodic monitoring for lead, cadmium, and arsenic is essential when promoting wild or semi-cultivated vegetables. While our study focused on nutritional elements, future analyses should include heavy metal screening.</w:t>
      </w:r>
    </w:p>
    <w:p w14:paraId="4EFC388C" w14:textId="77777777" w:rsidR="0045515C" w:rsidRPr="00A809EE" w:rsidRDefault="0045515C" w:rsidP="0045515C">
      <w:pPr>
        <w:pStyle w:val="Body"/>
        <w:spacing w:after="0"/>
        <w:rPr>
          <w:rFonts w:ascii="Arial" w:hAnsi="Arial" w:cs="Arial"/>
        </w:rPr>
      </w:pPr>
      <w:r w:rsidRPr="00A809EE">
        <w:rPr>
          <w:rFonts w:ascii="Arial" w:hAnsi="Arial" w:cs="Arial"/>
        </w:rPr>
        <w:t xml:space="preserve">Ultimately, this study supports the promotion of </w:t>
      </w:r>
      <w:r w:rsidRPr="00A809EE">
        <w:rPr>
          <w:rFonts w:ascii="Arial" w:hAnsi="Arial" w:cs="Arial"/>
          <w:i/>
          <w:iCs/>
        </w:rPr>
        <w:t xml:space="preserve">P. </w:t>
      </w:r>
      <w:proofErr w:type="spellStart"/>
      <w:r w:rsidRPr="00A809EE">
        <w:rPr>
          <w:rFonts w:ascii="Arial" w:hAnsi="Arial" w:cs="Arial"/>
          <w:i/>
          <w:iCs/>
        </w:rPr>
        <w:t>santalinoides</w:t>
      </w:r>
      <w:proofErr w:type="spellEnd"/>
      <w:r w:rsidRPr="00A809EE">
        <w:rPr>
          <w:rFonts w:ascii="Arial" w:hAnsi="Arial" w:cs="Arial"/>
        </w:rPr>
        <w:t xml:space="preserve"> tender leaves as a nutrient-dense component in food-based strategies for combating micronutrient malnutrition. Its </w:t>
      </w:r>
      <w:proofErr w:type="spellStart"/>
      <w:r w:rsidRPr="00A809EE">
        <w:rPr>
          <w:rFonts w:ascii="Arial" w:hAnsi="Arial" w:cs="Arial"/>
        </w:rPr>
        <w:t>favourable</w:t>
      </w:r>
      <w:proofErr w:type="spellEnd"/>
      <w:r w:rsidRPr="00A809EE">
        <w:rPr>
          <w:rFonts w:ascii="Arial" w:hAnsi="Arial" w:cs="Arial"/>
        </w:rPr>
        <w:t xml:space="preserve"> mineral profile, coupled with cultural acceptability, makes it a viable candidate for inclusion in local and national dietary programs aimed at achieving sustainable nutrition outcomes.</w:t>
      </w:r>
    </w:p>
    <w:p w14:paraId="3D123A69" w14:textId="77777777" w:rsidR="0045515C" w:rsidRPr="00A809EE" w:rsidRDefault="0045515C" w:rsidP="0045515C">
      <w:pPr>
        <w:pStyle w:val="Body"/>
        <w:spacing w:after="0"/>
        <w:rPr>
          <w:rFonts w:ascii="Arial" w:hAnsi="Arial" w:cs="Arial"/>
        </w:rPr>
      </w:pPr>
    </w:p>
    <w:p w14:paraId="41C09DA5" w14:textId="77777777" w:rsidR="004E0D46" w:rsidRPr="00A809EE" w:rsidRDefault="004E0D46" w:rsidP="004E0D46">
      <w:pPr>
        <w:pStyle w:val="Body"/>
        <w:spacing w:after="0"/>
        <w:rPr>
          <w:rFonts w:ascii="Arial" w:hAnsi="Arial" w:cs="Arial"/>
        </w:rPr>
      </w:pPr>
    </w:p>
    <w:p w14:paraId="156C9823" w14:textId="77777777" w:rsidR="004E0D46" w:rsidRPr="001C69A0" w:rsidRDefault="004E0D46" w:rsidP="004E0D46">
      <w:pPr>
        <w:autoSpaceDE w:val="0"/>
        <w:autoSpaceDN w:val="0"/>
        <w:adjustRightInd w:val="0"/>
        <w:jc w:val="both"/>
        <w:rPr>
          <w:rFonts w:ascii="Arial" w:hAnsi="Arial" w:cs="Arial"/>
          <w:b/>
          <w:bCs/>
          <w:sz w:val="22"/>
          <w:szCs w:val="22"/>
        </w:rPr>
      </w:pPr>
      <w:r w:rsidRPr="001C69A0">
        <w:rPr>
          <w:rFonts w:ascii="Arial" w:hAnsi="Arial" w:cs="Arial"/>
          <w:b/>
          <w:bCs/>
          <w:sz w:val="22"/>
          <w:szCs w:val="22"/>
        </w:rPr>
        <w:object w:dxaOrig="17775" w:dyaOrig="12644" w14:anchorId="3CD25F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15pt;height:356.95pt" o:ole="">
            <v:imagedata r:id="rId14" o:title=""/>
          </v:shape>
          <o:OLEObject Type="Embed" ProgID="Prism9.Document" ShapeID="_x0000_i1025" DrawAspect="Content" ObjectID="_1810213463" r:id="rId15"/>
        </w:object>
      </w:r>
    </w:p>
    <w:p w14:paraId="02153E5A" w14:textId="77777777" w:rsidR="004E0D46" w:rsidRPr="001C69A0" w:rsidRDefault="004E0D46" w:rsidP="004E0D46">
      <w:pPr>
        <w:autoSpaceDE w:val="0"/>
        <w:autoSpaceDN w:val="0"/>
        <w:adjustRightInd w:val="0"/>
        <w:jc w:val="both"/>
        <w:rPr>
          <w:rFonts w:ascii="Arial" w:hAnsi="Arial" w:cs="Arial"/>
          <w:b/>
          <w:bCs/>
          <w:szCs w:val="22"/>
        </w:rPr>
      </w:pPr>
    </w:p>
    <w:p w14:paraId="0405A8B0" w14:textId="77777777" w:rsidR="004E0D46" w:rsidRPr="001C69A0" w:rsidRDefault="004E0D46" w:rsidP="004E0D46">
      <w:r w:rsidRPr="001C69A0">
        <w:rPr>
          <w:rFonts w:ascii="Arial" w:hAnsi="Arial" w:cs="Arial"/>
          <w:b/>
          <w:bCs/>
          <w:szCs w:val="22"/>
        </w:rPr>
        <w:t xml:space="preserve">Fig. 1. </w:t>
      </w:r>
      <w:r w:rsidRPr="001C69A0">
        <w:t>Result Analysis for selected Macro Elements. ML=mature leaves; TL= tender leaves</w:t>
      </w:r>
    </w:p>
    <w:p w14:paraId="68251EEF" w14:textId="77777777" w:rsidR="004E0D46" w:rsidRPr="001C69A0" w:rsidRDefault="004E0D46" w:rsidP="004E0D46">
      <w:pPr>
        <w:autoSpaceDE w:val="0"/>
        <w:autoSpaceDN w:val="0"/>
        <w:adjustRightInd w:val="0"/>
        <w:jc w:val="both"/>
        <w:rPr>
          <w:rFonts w:ascii="Arial" w:hAnsi="Arial" w:cs="Arial"/>
          <w:b/>
          <w:bCs/>
          <w:szCs w:val="22"/>
        </w:rPr>
      </w:pPr>
    </w:p>
    <w:p w14:paraId="7320B418" w14:textId="77777777" w:rsidR="004E0D46" w:rsidRPr="001C69A0" w:rsidRDefault="004E0D46" w:rsidP="004E0D46">
      <w:pPr>
        <w:autoSpaceDE w:val="0"/>
        <w:autoSpaceDN w:val="0"/>
        <w:adjustRightInd w:val="0"/>
        <w:ind w:left="360"/>
        <w:jc w:val="both"/>
        <w:rPr>
          <w:rFonts w:ascii="Arial" w:hAnsi="Arial" w:cs="Arial"/>
          <w:i/>
          <w:sz w:val="18"/>
        </w:rPr>
      </w:pPr>
      <w:r w:rsidRPr="001C69A0">
        <w:object w:dxaOrig="17910" w:dyaOrig="12602" w14:anchorId="6DAA8516">
          <v:shape id="_x0000_i1026" type="#_x0000_t75" style="width:442.3pt;height:338.2pt" o:ole="">
            <v:imagedata r:id="rId16" o:title=""/>
          </v:shape>
          <o:OLEObject Type="Embed" ProgID="Prism9.Document" ShapeID="_x0000_i1026" DrawAspect="Content" ObjectID="_1810213464" r:id="rId17"/>
        </w:object>
      </w:r>
    </w:p>
    <w:p w14:paraId="48A9E23F" w14:textId="77777777" w:rsidR="004E0D46" w:rsidRPr="001C69A0" w:rsidRDefault="004E0D46" w:rsidP="004E0D46">
      <w:r w:rsidRPr="001C69A0">
        <w:rPr>
          <w:rFonts w:ascii="Arial" w:hAnsi="Arial" w:cs="Arial"/>
          <w:b/>
          <w:bCs/>
          <w:szCs w:val="22"/>
        </w:rPr>
        <w:t xml:space="preserve">Fig. 2. </w:t>
      </w:r>
      <w:r w:rsidRPr="001C69A0">
        <w:t xml:space="preserve"> Result Analysis for selected Micro Elements. ML=mature leaves; TL= tender leaves</w:t>
      </w:r>
    </w:p>
    <w:p w14:paraId="76106A41" w14:textId="663B7AED" w:rsidR="00927834" w:rsidRDefault="00927834" w:rsidP="00441B6F">
      <w:pPr>
        <w:autoSpaceDE w:val="0"/>
        <w:autoSpaceDN w:val="0"/>
        <w:adjustRightInd w:val="0"/>
        <w:jc w:val="both"/>
        <w:rPr>
          <w:rFonts w:ascii="Arial" w:hAnsi="Arial" w:cs="Arial"/>
          <w:b/>
          <w:bCs/>
          <w:sz w:val="22"/>
          <w:szCs w:val="22"/>
        </w:rPr>
      </w:pPr>
    </w:p>
    <w:p w14:paraId="6EC94848" w14:textId="77777777" w:rsidR="00927834" w:rsidRDefault="00927834" w:rsidP="00441B6F">
      <w:pPr>
        <w:autoSpaceDE w:val="0"/>
        <w:autoSpaceDN w:val="0"/>
        <w:adjustRightInd w:val="0"/>
        <w:jc w:val="both"/>
        <w:rPr>
          <w:rFonts w:ascii="Arial" w:hAnsi="Arial" w:cs="Arial"/>
          <w:b/>
          <w:bCs/>
          <w:szCs w:val="22"/>
        </w:rPr>
      </w:pPr>
    </w:p>
    <w:p w14:paraId="5A3677F9"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6A57E8B" w14:textId="77777777" w:rsidR="00790ADA" w:rsidRPr="00FB3A86" w:rsidRDefault="00790ADA" w:rsidP="00441B6F">
      <w:pPr>
        <w:pStyle w:val="ConcHead"/>
        <w:spacing w:after="0"/>
        <w:jc w:val="both"/>
        <w:rPr>
          <w:rFonts w:ascii="Arial" w:hAnsi="Arial" w:cs="Arial"/>
        </w:rPr>
      </w:pPr>
    </w:p>
    <w:p w14:paraId="2EF071CB" w14:textId="31B66566" w:rsidR="00EF66F7" w:rsidRPr="001C69A0" w:rsidRDefault="00EF66F7" w:rsidP="00EF66F7">
      <w:pPr>
        <w:pStyle w:val="Body"/>
        <w:spacing w:after="0"/>
        <w:rPr>
          <w:rFonts w:ascii="Arial" w:hAnsi="Arial" w:cs="Arial"/>
        </w:rPr>
      </w:pPr>
      <w:r w:rsidRPr="001C69A0">
        <w:t xml:space="preserve">The present study demonstrates that the tender leaves of </w:t>
      </w:r>
      <w:r w:rsidRPr="001C69A0">
        <w:rPr>
          <w:i/>
        </w:rPr>
        <w:t xml:space="preserve">Pterocarpus </w:t>
      </w:r>
      <w:proofErr w:type="spellStart"/>
      <w:r w:rsidRPr="001C69A0">
        <w:rPr>
          <w:i/>
        </w:rPr>
        <w:t>santalinoides</w:t>
      </w:r>
      <w:proofErr w:type="spellEnd"/>
      <w:r w:rsidRPr="001C69A0">
        <w:rPr>
          <w:i/>
        </w:rPr>
        <w:t xml:space="preserve"> </w:t>
      </w:r>
      <w:r w:rsidRPr="001C69A0">
        <w:t>(</w:t>
      </w:r>
      <w:proofErr w:type="spellStart"/>
      <w:r w:rsidRPr="00767E67">
        <w:rPr>
          <w:i/>
          <w:iCs/>
        </w:rPr>
        <w:t>Nturukpa</w:t>
      </w:r>
      <w:proofErr w:type="spellEnd"/>
      <w:r w:rsidRPr="001C69A0">
        <w:t xml:space="preserve">) exhibit a significantly richer mineral profile than </w:t>
      </w:r>
      <w:r>
        <w:t>mature</w:t>
      </w:r>
      <w:r w:rsidRPr="001C69A0">
        <w:t xml:space="preserve"> leaves. With higher concentrations of essential </w:t>
      </w:r>
      <w:r>
        <w:t xml:space="preserve">macro- and microelements, </w:t>
      </w:r>
      <w:r w:rsidRPr="001C69A0">
        <w:t xml:space="preserve">particularly calcium, potassium, magnesium, zinc, and iron, this indigenous vegetable holds promise as a sustainable source of dietary minerals. Future research should investigate the effects of common processing methods on mineral bioavailability </w:t>
      </w:r>
      <w:r w:rsidR="00E8499E">
        <w:t>to validate further</w:t>
      </w:r>
      <w:r w:rsidRPr="001C69A0">
        <w:t xml:space="preserve"> </w:t>
      </w:r>
      <w:r>
        <w:t>their</w:t>
      </w:r>
      <w:r w:rsidRPr="001C69A0">
        <w:t xml:space="preserve"> use in nutritional interventions and food safety programs</w:t>
      </w:r>
      <w:r w:rsidR="00E8499E">
        <w:t>.</w:t>
      </w:r>
    </w:p>
    <w:p w14:paraId="53DF96C6" w14:textId="77777777" w:rsidR="00790ADA" w:rsidRPr="00FB3A86" w:rsidRDefault="00790ADA" w:rsidP="00441B6F">
      <w:pPr>
        <w:pStyle w:val="Body"/>
        <w:spacing w:after="0"/>
        <w:rPr>
          <w:rFonts w:ascii="Arial" w:hAnsi="Arial" w:cs="Arial"/>
        </w:rPr>
      </w:pPr>
    </w:p>
    <w:p w14:paraId="31B60BE1"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lastRenderedPageBreak/>
        <w:t>Competing interests</w:t>
      </w:r>
    </w:p>
    <w:p w14:paraId="2FF273BB" w14:textId="77777777" w:rsidR="00860000" w:rsidRPr="00786D36" w:rsidRDefault="00860000" w:rsidP="00441B6F">
      <w:pPr>
        <w:pStyle w:val="ReferHead"/>
        <w:spacing w:after="0"/>
        <w:jc w:val="both"/>
        <w:rPr>
          <w:rFonts w:ascii="Arial" w:hAnsi="Arial" w:cs="Arial"/>
        </w:rPr>
      </w:pPr>
    </w:p>
    <w:p w14:paraId="7A8C152B" w14:textId="1E412410" w:rsidR="00371FB6" w:rsidRDefault="00EF66F7" w:rsidP="00441B6F">
      <w:pPr>
        <w:pStyle w:val="ReferHead"/>
        <w:spacing w:after="0"/>
        <w:jc w:val="both"/>
        <w:rPr>
          <w:rFonts w:ascii="Arial" w:hAnsi="Arial" w:cs="Arial"/>
          <w:b w:val="0"/>
          <w:caps w:val="0"/>
          <w:sz w:val="20"/>
        </w:rPr>
      </w:pPr>
      <w:r w:rsidRPr="001C69A0">
        <w:rPr>
          <w:rFonts w:ascii="Arial" w:hAnsi="Arial" w:cs="Arial"/>
          <w:b w:val="0"/>
          <w:caps w:val="0"/>
          <w:sz w:val="20"/>
        </w:rPr>
        <w:t>The authors declare that no competing interests exist</w:t>
      </w:r>
    </w:p>
    <w:p w14:paraId="6B15106D" w14:textId="77777777" w:rsidR="00371FB6" w:rsidRDefault="00371FB6" w:rsidP="00441B6F">
      <w:pPr>
        <w:pStyle w:val="ReferHead"/>
        <w:spacing w:after="0"/>
        <w:jc w:val="both"/>
        <w:rPr>
          <w:rFonts w:ascii="Arial" w:hAnsi="Arial" w:cs="Arial"/>
          <w:bCs/>
        </w:rPr>
      </w:pPr>
      <w:r w:rsidRPr="00371FB6">
        <w:rPr>
          <w:rFonts w:ascii="Arial" w:hAnsi="Arial" w:cs="Arial"/>
          <w:bCs/>
        </w:rPr>
        <w:t>Authors’ Contributions</w:t>
      </w:r>
    </w:p>
    <w:p w14:paraId="22241578" w14:textId="77777777" w:rsidR="00371FB6" w:rsidRPr="00371FB6" w:rsidRDefault="00371FB6" w:rsidP="00441B6F">
      <w:pPr>
        <w:pStyle w:val="ReferHead"/>
        <w:spacing w:after="0"/>
        <w:jc w:val="both"/>
        <w:rPr>
          <w:rFonts w:ascii="Arial" w:hAnsi="Arial" w:cs="Arial"/>
          <w:bCs/>
        </w:rPr>
      </w:pPr>
    </w:p>
    <w:p w14:paraId="66149B87" w14:textId="72E212BD" w:rsidR="00EF66F7" w:rsidRPr="0091356E" w:rsidRDefault="00EF66F7" w:rsidP="00EF66F7">
      <w:pPr>
        <w:pStyle w:val="ReferHead"/>
        <w:spacing w:after="0"/>
        <w:jc w:val="both"/>
        <w:rPr>
          <w:rFonts w:ascii="Arial" w:hAnsi="Arial" w:cs="Arial"/>
          <w:b w:val="0"/>
          <w:caps w:val="0"/>
          <w:sz w:val="20"/>
        </w:rPr>
      </w:pPr>
      <w:r w:rsidRPr="0091356E">
        <w:rPr>
          <w:rFonts w:ascii="Arial" w:hAnsi="Arial" w:cs="Arial"/>
          <w:b w:val="0"/>
          <w:caps w:val="0"/>
          <w:sz w:val="20"/>
        </w:rPr>
        <w:t xml:space="preserve">Author </w:t>
      </w:r>
      <w:r w:rsidR="00E8499E">
        <w:rPr>
          <w:rFonts w:ascii="Arial" w:hAnsi="Arial" w:cs="Arial"/>
          <w:b w:val="0"/>
          <w:caps w:val="0"/>
          <w:sz w:val="20"/>
        </w:rPr>
        <w:t>1</w:t>
      </w:r>
      <w:r w:rsidRPr="0091356E">
        <w:rPr>
          <w:rFonts w:ascii="Arial" w:hAnsi="Arial" w:cs="Arial"/>
          <w:b w:val="0"/>
          <w:caps w:val="0"/>
          <w:sz w:val="20"/>
        </w:rPr>
        <w:t xml:space="preserve"> designed the study. Author</w:t>
      </w:r>
      <w:r>
        <w:rPr>
          <w:rFonts w:ascii="Arial" w:hAnsi="Arial" w:cs="Arial"/>
          <w:b w:val="0"/>
          <w:caps w:val="0"/>
          <w:sz w:val="20"/>
        </w:rPr>
        <w:t>s</w:t>
      </w:r>
      <w:r w:rsidRPr="0091356E">
        <w:rPr>
          <w:rFonts w:ascii="Arial" w:hAnsi="Arial" w:cs="Arial"/>
          <w:b w:val="0"/>
          <w:caps w:val="0"/>
          <w:sz w:val="20"/>
        </w:rPr>
        <w:t xml:space="preserve"> </w:t>
      </w:r>
      <w:r w:rsidR="00E8499E">
        <w:rPr>
          <w:rFonts w:ascii="Arial" w:hAnsi="Arial" w:cs="Arial"/>
          <w:b w:val="0"/>
          <w:caps w:val="0"/>
          <w:sz w:val="20"/>
        </w:rPr>
        <w:t>2</w:t>
      </w:r>
      <w:r>
        <w:rPr>
          <w:rFonts w:ascii="Arial" w:hAnsi="Arial" w:cs="Arial"/>
          <w:b w:val="0"/>
          <w:caps w:val="0"/>
          <w:sz w:val="20"/>
        </w:rPr>
        <w:t xml:space="preserve"> and </w:t>
      </w:r>
      <w:r w:rsidR="00E8499E">
        <w:rPr>
          <w:rFonts w:ascii="Arial" w:hAnsi="Arial" w:cs="Arial"/>
          <w:b w:val="0"/>
          <w:caps w:val="0"/>
          <w:sz w:val="20"/>
        </w:rPr>
        <w:t xml:space="preserve">3 </w:t>
      </w:r>
      <w:r w:rsidR="00E8499E" w:rsidRPr="0091356E">
        <w:rPr>
          <w:rFonts w:ascii="Arial" w:hAnsi="Arial" w:cs="Arial"/>
          <w:b w:val="0"/>
          <w:caps w:val="0"/>
          <w:sz w:val="20"/>
        </w:rPr>
        <w:t>conducted</w:t>
      </w:r>
      <w:r w:rsidRPr="0091356E">
        <w:rPr>
          <w:rFonts w:ascii="Arial" w:hAnsi="Arial" w:cs="Arial"/>
          <w:b w:val="0"/>
          <w:caps w:val="0"/>
          <w:sz w:val="20"/>
        </w:rPr>
        <w:t xml:space="preserve"> the analyses and drafted the manuscript. Author </w:t>
      </w:r>
      <w:r>
        <w:rPr>
          <w:rFonts w:ascii="Arial" w:hAnsi="Arial" w:cs="Arial"/>
          <w:b w:val="0"/>
          <w:caps w:val="0"/>
          <w:sz w:val="20"/>
        </w:rPr>
        <w:t>4</w:t>
      </w:r>
      <w:r w:rsidRPr="0091356E">
        <w:rPr>
          <w:rFonts w:ascii="Arial" w:hAnsi="Arial" w:cs="Arial"/>
          <w:b w:val="0"/>
          <w:caps w:val="0"/>
          <w:sz w:val="20"/>
        </w:rPr>
        <w:t xml:space="preserve"> assisted with data interpretation and manuscript revisions. All authors read and approved the final version.</w:t>
      </w:r>
    </w:p>
    <w:p w14:paraId="211E478A" w14:textId="77777777" w:rsidR="002B685A" w:rsidRDefault="002B685A" w:rsidP="00441B6F">
      <w:pPr>
        <w:pStyle w:val="ReferHead"/>
        <w:spacing w:after="0"/>
        <w:jc w:val="both"/>
        <w:rPr>
          <w:rFonts w:ascii="Arial" w:hAnsi="Arial" w:cs="Arial"/>
          <w:b w:val="0"/>
          <w:caps w:val="0"/>
          <w:sz w:val="20"/>
        </w:rPr>
      </w:pPr>
    </w:p>
    <w:p w14:paraId="1EB72FC1" w14:textId="4ECA2B6C" w:rsidR="00790ADA" w:rsidRDefault="00790ADA" w:rsidP="00441B6F">
      <w:pPr>
        <w:pStyle w:val="ReferHead"/>
        <w:spacing w:after="0"/>
        <w:jc w:val="both"/>
        <w:rPr>
          <w:rFonts w:ascii="Arial" w:hAnsi="Arial" w:cs="Arial"/>
          <w:b w:val="0"/>
          <w:bCs/>
        </w:rPr>
      </w:pPr>
    </w:p>
    <w:p w14:paraId="5CDC15FE" w14:textId="77777777" w:rsidR="009B6ECC" w:rsidRPr="001C69A0" w:rsidRDefault="009B6ECC" w:rsidP="009B6ECC">
      <w:pPr>
        <w:pStyle w:val="ReferHead"/>
        <w:spacing w:after="0"/>
        <w:jc w:val="both"/>
        <w:rPr>
          <w:rFonts w:ascii="Arial" w:hAnsi="Arial" w:cs="Arial"/>
        </w:rPr>
      </w:pPr>
      <w:r w:rsidRPr="001C69A0">
        <w:rPr>
          <w:rFonts w:ascii="Arial" w:hAnsi="Arial" w:cs="Arial"/>
        </w:rPr>
        <w:t>References</w:t>
      </w:r>
    </w:p>
    <w:p w14:paraId="3AAB310F" w14:textId="77777777" w:rsidR="009B6ECC" w:rsidRPr="009B6ECC" w:rsidRDefault="009B6ECC" w:rsidP="009B5C21">
      <w:pPr>
        <w:pStyle w:val="Body"/>
        <w:spacing w:after="0"/>
        <w:ind w:left="720" w:hanging="720"/>
        <w:rPr>
          <w:lang w:val="en-GB"/>
        </w:rPr>
      </w:pPr>
      <w:bookmarkStart w:id="2" w:name="_Hlk199523442"/>
      <w:r w:rsidRPr="009B6ECC">
        <w:rPr>
          <w:lang w:val="en-GB"/>
        </w:rPr>
        <w:t xml:space="preserve">AOAC International. (2016). </w:t>
      </w:r>
      <w:r w:rsidRPr="009B6ECC">
        <w:rPr>
          <w:i/>
          <w:iCs/>
          <w:lang w:val="en-GB"/>
        </w:rPr>
        <w:t>Official Methods of Analysis of AOAC International</w:t>
      </w:r>
      <w:r w:rsidRPr="009B6ECC">
        <w:rPr>
          <w:lang w:val="en-GB"/>
        </w:rPr>
        <w:t xml:space="preserve"> (20th ed.). AOAC International.</w:t>
      </w:r>
    </w:p>
    <w:p w14:paraId="5485E7F0" w14:textId="77777777" w:rsidR="009B6ECC" w:rsidRPr="009B6ECC" w:rsidRDefault="009B6ECC" w:rsidP="009B5C21">
      <w:pPr>
        <w:pStyle w:val="Body"/>
        <w:spacing w:after="0"/>
        <w:ind w:left="720" w:hanging="720"/>
        <w:rPr>
          <w:lang w:val="en-GB"/>
        </w:rPr>
      </w:pPr>
      <w:proofErr w:type="spellStart"/>
      <w:r w:rsidRPr="009B6ECC">
        <w:rPr>
          <w:lang w:val="en-GB"/>
        </w:rPr>
        <w:t>Agiang</w:t>
      </w:r>
      <w:proofErr w:type="spellEnd"/>
      <w:r w:rsidRPr="009B6ECC">
        <w:rPr>
          <w:lang w:val="en-GB"/>
        </w:rPr>
        <w:t xml:space="preserve">, M., </w:t>
      </w:r>
      <w:proofErr w:type="spellStart"/>
      <w:r w:rsidRPr="009B6ECC">
        <w:rPr>
          <w:lang w:val="en-GB"/>
        </w:rPr>
        <w:t>Mgbang</w:t>
      </w:r>
      <w:proofErr w:type="spellEnd"/>
      <w:r w:rsidRPr="009B6ECC">
        <w:rPr>
          <w:lang w:val="en-GB"/>
        </w:rPr>
        <w:t xml:space="preserve">, J., Essien, N., &amp; Peters, H. (2016). Proximate and phytochemical composition of some lesser known leafy vegetables consumed in Northern Senatorial District of Cross River State, Nigeria. </w:t>
      </w:r>
      <w:r w:rsidRPr="009B6ECC">
        <w:rPr>
          <w:i/>
          <w:iCs/>
          <w:lang w:val="en-GB"/>
        </w:rPr>
        <w:t>World Journal of Nutrition and Health</w:t>
      </w:r>
      <w:r w:rsidRPr="009B6ECC">
        <w:rPr>
          <w:lang w:val="en-GB"/>
        </w:rPr>
        <w:t>, 4(1), 16–21.</w:t>
      </w:r>
    </w:p>
    <w:p w14:paraId="301FB3B6" w14:textId="77777777" w:rsidR="009B6ECC" w:rsidRPr="009B6ECC" w:rsidRDefault="009B6ECC" w:rsidP="009B5C21">
      <w:pPr>
        <w:pStyle w:val="Body"/>
        <w:spacing w:after="0"/>
        <w:ind w:left="720" w:hanging="720"/>
        <w:rPr>
          <w:lang w:val="en-GB"/>
        </w:rPr>
      </w:pPr>
      <w:proofErr w:type="spellStart"/>
      <w:r w:rsidRPr="009B6ECC">
        <w:rPr>
          <w:lang w:val="en-GB"/>
        </w:rPr>
        <w:t>Achikanu</w:t>
      </w:r>
      <w:proofErr w:type="spellEnd"/>
      <w:r w:rsidRPr="009B6ECC">
        <w:rPr>
          <w:lang w:val="en-GB"/>
        </w:rPr>
        <w:t>, O. V., Okonkwo, J. E., &amp; Eme, H. O. (2021). Nutritional profiling and antioxidant potential of indigenous leafy vegetables in South</w:t>
      </w:r>
      <w:r w:rsidRPr="009B6ECC">
        <w:rPr>
          <w:rFonts w:ascii="Cambria Math" w:hAnsi="Cambria Math" w:cs="Cambria Math"/>
          <w:lang w:val="en-GB"/>
        </w:rPr>
        <w:t>‐</w:t>
      </w:r>
      <w:r w:rsidRPr="009B6ECC">
        <w:rPr>
          <w:lang w:val="en-GB"/>
        </w:rPr>
        <w:t xml:space="preserve">Eastern Nigeria. </w:t>
      </w:r>
      <w:r w:rsidRPr="009B6ECC">
        <w:rPr>
          <w:i/>
          <w:iCs/>
          <w:lang w:val="en-GB"/>
        </w:rPr>
        <w:t>Journal of Food Biochemistry</w:t>
      </w:r>
      <w:r w:rsidRPr="009B6ECC">
        <w:rPr>
          <w:lang w:val="en-GB"/>
        </w:rPr>
        <w:t>, 45(5), e13745. https://doi.org/10.1111/jfbc.13745</w:t>
      </w:r>
    </w:p>
    <w:p w14:paraId="07D6C5BA" w14:textId="77777777" w:rsidR="0031065F" w:rsidRDefault="009B6ECC" w:rsidP="009B5C21">
      <w:pPr>
        <w:pStyle w:val="Body"/>
        <w:spacing w:after="0"/>
        <w:ind w:left="720" w:hanging="720"/>
        <w:rPr>
          <w:lang w:val="en-GB"/>
        </w:rPr>
      </w:pPr>
      <w:r w:rsidRPr="009B6ECC">
        <w:rPr>
          <w:lang w:val="en-GB"/>
        </w:rPr>
        <w:t xml:space="preserve">Agu, P. C., Ezeh, E. M., &amp; Nwosu, C. I. (2023). Characterization of nutritional and phytochemical compositions of locally consumed leafy vegetables from </w:t>
      </w:r>
      <w:proofErr w:type="spellStart"/>
      <w:r w:rsidRPr="009B6ECC">
        <w:rPr>
          <w:lang w:val="en-GB"/>
        </w:rPr>
        <w:t>Afikpo</w:t>
      </w:r>
      <w:proofErr w:type="spellEnd"/>
      <w:r w:rsidRPr="009B6ECC">
        <w:rPr>
          <w:lang w:val="en-GB"/>
        </w:rPr>
        <w:t xml:space="preserve">, Ebonyi State, Nigeria. </w:t>
      </w:r>
      <w:r w:rsidRPr="009B6ECC">
        <w:rPr>
          <w:i/>
          <w:iCs/>
          <w:lang w:val="en-GB"/>
        </w:rPr>
        <w:t>Caritas Journal of Physical and Life Sciences</w:t>
      </w:r>
      <w:r w:rsidRPr="009B6ECC">
        <w:rPr>
          <w:lang w:val="en-GB"/>
        </w:rPr>
        <w:t>, 1(1), 10–17.</w:t>
      </w:r>
    </w:p>
    <w:p w14:paraId="4B3E1892" w14:textId="4D7DF0B6" w:rsidR="009B6ECC" w:rsidRPr="009B6ECC" w:rsidRDefault="009B5C21" w:rsidP="009B5C21">
      <w:pPr>
        <w:pStyle w:val="Body"/>
        <w:spacing w:after="0"/>
        <w:ind w:left="720" w:hanging="720"/>
        <w:rPr>
          <w:lang w:val="en-GB"/>
        </w:rPr>
      </w:pPr>
      <w:r>
        <w:rPr>
          <w:lang w:val="en-GB"/>
        </w:rPr>
        <w:t xml:space="preserve">             </w:t>
      </w:r>
      <w:r w:rsidR="009B6ECC" w:rsidRPr="009B6ECC">
        <w:rPr>
          <w:lang w:val="en-GB"/>
        </w:rPr>
        <w:t>https://doi.org/10.1234/cjpls.v1i1.2023</w:t>
      </w:r>
    </w:p>
    <w:p w14:paraId="332A243A" w14:textId="77777777" w:rsidR="009B5C21" w:rsidRDefault="009B6ECC" w:rsidP="009B5C21">
      <w:pPr>
        <w:pStyle w:val="Body"/>
        <w:spacing w:after="0"/>
        <w:ind w:left="720" w:hanging="720"/>
        <w:rPr>
          <w:lang w:val="en-GB"/>
        </w:rPr>
      </w:pPr>
      <w:r w:rsidRPr="009B6ECC">
        <w:rPr>
          <w:lang w:val="en-GB"/>
        </w:rPr>
        <w:t xml:space="preserve">Akinsola, A. F., </w:t>
      </w:r>
      <w:proofErr w:type="spellStart"/>
      <w:r w:rsidRPr="009B6ECC">
        <w:rPr>
          <w:lang w:val="en-GB"/>
        </w:rPr>
        <w:t>Osasona</w:t>
      </w:r>
      <w:proofErr w:type="spellEnd"/>
      <w:r w:rsidRPr="009B6ECC">
        <w:rPr>
          <w:lang w:val="en-GB"/>
        </w:rPr>
        <w:t>, I., &amp; Aribisala, A. I. (2022). Evaluation of the proximate, mineral, anti</w:t>
      </w:r>
      <w:r w:rsidRPr="009B6ECC">
        <w:rPr>
          <w:lang w:val="en-GB"/>
        </w:rPr>
        <w:noBreakHyphen/>
        <w:t xml:space="preserve">nutritional and amino acid compositions of </w:t>
      </w:r>
      <w:proofErr w:type="spellStart"/>
      <w:r w:rsidRPr="009B6ECC">
        <w:rPr>
          <w:i/>
          <w:iCs/>
          <w:lang w:val="en-GB"/>
        </w:rPr>
        <w:t>Ficus</w:t>
      </w:r>
      <w:proofErr w:type="spellEnd"/>
      <w:r w:rsidRPr="009B6ECC">
        <w:rPr>
          <w:i/>
          <w:iCs/>
          <w:lang w:val="en-GB"/>
        </w:rPr>
        <w:t xml:space="preserve"> </w:t>
      </w:r>
      <w:proofErr w:type="spellStart"/>
      <w:r w:rsidRPr="009B6ECC">
        <w:rPr>
          <w:i/>
          <w:iCs/>
          <w:lang w:val="en-GB"/>
        </w:rPr>
        <w:t>glumosa</w:t>
      </w:r>
      <w:proofErr w:type="spellEnd"/>
      <w:r w:rsidRPr="009B6ECC">
        <w:rPr>
          <w:lang w:val="en-GB"/>
        </w:rPr>
        <w:t xml:space="preserve"> leaves and stem bark. </w:t>
      </w:r>
      <w:r w:rsidRPr="009B6ECC">
        <w:rPr>
          <w:i/>
          <w:iCs/>
          <w:lang w:val="en-GB"/>
        </w:rPr>
        <w:t>Current Topics in Agricultural Sciences</w:t>
      </w:r>
      <w:r w:rsidRPr="009B6ECC">
        <w:rPr>
          <w:lang w:val="en-GB"/>
        </w:rPr>
        <w:t>, 8, 120–134.</w:t>
      </w:r>
    </w:p>
    <w:p w14:paraId="28416F82" w14:textId="01959695" w:rsidR="009B6ECC" w:rsidRPr="009B6ECC" w:rsidRDefault="009B5C21" w:rsidP="009B5C21">
      <w:pPr>
        <w:pStyle w:val="Body"/>
        <w:spacing w:after="0"/>
        <w:ind w:left="720" w:hanging="720"/>
        <w:rPr>
          <w:lang w:val="en-GB"/>
        </w:rPr>
      </w:pPr>
      <w:r>
        <w:rPr>
          <w:lang w:val="en-GB"/>
        </w:rPr>
        <w:t xml:space="preserve">             </w:t>
      </w:r>
      <w:hyperlink r:id="rId18" w:history="1">
        <w:r w:rsidRPr="009B6ECC">
          <w:rPr>
            <w:rStyle w:val="Hyperlink"/>
            <w:lang w:val="en-GB"/>
          </w:rPr>
          <w:t>https://doi.org/10.9734/BPI/CTAS/v8/2919B</w:t>
        </w:r>
      </w:hyperlink>
    </w:p>
    <w:p w14:paraId="2C04CFE1" w14:textId="77777777" w:rsidR="0031065F" w:rsidRDefault="009B6ECC" w:rsidP="009B5C21">
      <w:pPr>
        <w:pStyle w:val="Body"/>
        <w:spacing w:after="0"/>
        <w:ind w:left="720" w:hanging="720"/>
        <w:rPr>
          <w:lang w:val="en-GB"/>
        </w:rPr>
      </w:pPr>
      <w:proofErr w:type="spellStart"/>
      <w:r w:rsidRPr="009B6ECC">
        <w:rPr>
          <w:lang w:val="en-GB"/>
        </w:rPr>
        <w:t>Anozia</w:t>
      </w:r>
      <w:proofErr w:type="spellEnd"/>
      <w:r w:rsidRPr="009B6ECC">
        <w:rPr>
          <w:lang w:val="en-GB"/>
        </w:rPr>
        <w:t xml:space="preserve">, O. C., &amp; </w:t>
      </w:r>
      <w:proofErr w:type="spellStart"/>
      <w:r w:rsidRPr="009B6ECC">
        <w:rPr>
          <w:lang w:val="en-GB"/>
        </w:rPr>
        <w:t>Ezealisiji</w:t>
      </w:r>
      <w:proofErr w:type="spellEnd"/>
      <w:r w:rsidRPr="009B6ECC">
        <w:rPr>
          <w:lang w:val="en-GB"/>
        </w:rPr>
        <w:t xml:space="preserve">, I. O. (2018). Silicon’s role in plant nitrogen assimilation and stress tolerance. </w:t>
      </w:r>
      <w:r w:rsidRPr="009B6ECC">
        <w:rPr>
          <w:i/>
          <w:iCs/>
          <w:lang w:val="en-GB"/>
        </w:rPr>
        <w:t>Plant Physiology and Biochemistry</w:t>
      </w:r>
      <w:r w:rsidRPr="009B6ECC">
        <w:rPr>
          <w:lang w:val="en-GB"/>
        </w:rPr>
        <w:t>, 128, 112–120.</w:t>
      </w:r>
    </w:p>
    <w:p w14:paraId="715F993A" w14:textId="43A197CF" w:rsidR="009B6ECC" w:rsidRPr="009B6ECC" w:rsidRDefault="009B5C21" w:rsidP="009B5C21">
      <w:pPr>
        <w:pStyle w:val="Body"/>
        <w:spacing w:after="0"/>
        <w:ind w:left="720" w:hanging="720"/>
        <w:rPr>
          <w:lang w:val="en-GB"/>
        </w:rPr>
      </w:pPr>
      <w:r>
        <w:rPr>
          <w:lang w:val="en-GB"/>
        </w:rPr>
        <w:t xml:space="preserve">             </w:t>
      </w:r>
      <w:r w:rsidR="009B6ECC" w:rsidRPr="009B6ECC">
        <w:rPr>
          <w:lang w:val="en-GB"/>
        </w:rPr>
        <w:t>https://doi.org/10.1016/j.plaphy.2018.01.012</w:t>
      </w:r>
    </w:p>
    <w:p w14:paraId="176A0080" w14:textId="77777777" w:rsidR="009B5C21" w:rsidRDefault="009B6ECC" w:rsidP="009B5C21">
      <w:pPr>
        <w:pStyle w:val="Body"/>
        <w:spacing w:after="0"/>
        <w:ind w:left="720" w:hanging="720"/>
        <w:rPr>
          <w:lang w:val="en-GB"/>
        </w:rPr>
      </w:pPr>
      <w:proofErr w:type="spellStart"/>
      <w:r w:rsidRPr="009B6ECC">
        <w:rPr>
          <w:lang w:val="en-GB"/>
        </w:rPr>
        <w:t>Anyalogbu</w:t>
      </w:r>
      <w:proofErr w:type="spellEnd"/>
      <w:r w:rsidRPr="009B6ECC">
        <w:rPr>
          <w:lang w:val="en-GB"/>
        </w:rPr>
        <w:t xml:space="preserve">, E. A., &amp; </w:t>
      </w:r>
      <w:proofErr w:type="spellStart"/>
      <w:r w:rsidRPr="009B6ECC">
        <w:rPr>
          <w:lang w:val="en-GB"/>
        </w:rPr>
        <w:t>Nnoli</w:t>
      </w:r>
      <w:proofErr w:type="spellEnd"/>
      <w:r w:rsidRPr="009B6ECC">
        <w:rPr>
          <w:lang w:val="en-GB"/>
        </w:rPr>
        <w:t xml:space="preserve">, M. C. (2018). Antinutrient and micronutrient contents of processed </w:t>
      </w:r>
      <w:proofErr w:type="spellStart"/>
      <w:r w:rsidRPr="009B6ECC">
        <w:rPr>
          <w:lang w:val="en-GB"/>
        </w:rPr>
        <w:t>Nturukpa</w:t>
      </w:r>
      <w:proofErr w:type="spellEnd"/>
      <w:r w:rsidRPr="009B6ECC">
        <w:rPr>
          <w:lang w:val="en-GB"/>
        </w:rPr>
        <w:t xml:space="preserve"> (</w:t>
      </w:r>
      <w:r w:rsidRPr="009B6ECC">
        <w:rPr>
          <w:i/>
          <w:iCs/>
          <w:lang w:val="en-GB"/>
        </w:rPr>
        <w:t xml:space="preserve">Pterocarpus </w:t>
      </w:r>
      <w:proofErr w:type="spellStart"/>
      <w:r w:rsidRPr="009B6ECC">
        <w:rPr>
          <w:i/>
          <w:iCs/>
          <w:lang w:val="en-GB"/>
        </w:rPr>
        <w:t>santalinoides</w:t>
      </w:r>
      <w:proofErr w:type="spellEnd"/>
      <w:r w:rsidRPr="009B6ECC">
        <w:rPr>
          <w:lang w:val="en-GB"/>
        </w:rPr>
        <w:t xml:space="preserve">) seed powder. </w:t>
      </w:r>
      <w:r w:rsidRPr="009B6ECC">
        <w:rPr>
          <w:i/>
          <w:iCs/>
          <w:lang w:val="en-GB"/>
        </w:rPr>
        <w:t>International Journal of Biochemistry Research &amp; Review</w:t>
      </w:r>
      <w:r w:rsidRPr="009B6ECC">
        <w:rPr>
          <w:lang w:val="en-GB"/>
        </w:rPr>
        <w:t>, 22(3), 1–7.</w:t>
      </w:r>
    </w:p>
    <w:p w14:paraId="58D5BAA5" w14:textId="0A3CD1AE" w:rsidR="009B5C21" w:rsidRDefault="009B5C21" w:rsidP="009B5C21">
      <w:pPr>
        <w:pStyle w:val="Body"/>
        <w:spacing w:after="0"/>
        <w:ind w:left="720" w:hanging="720"/>
        <w:rPr>
          <w:lang w:val="en-GB"/>
        </w:rPr>
      </w:pPr>
      <w:r>
        <w:rPr>
          <w:lang w:val="en-GB"/>
        </w:rPr>
        <w:t xml:space="preserve">             </w:t>
      </w:r>
      <w:hyperlink r:id="rId19" w:history="1">
        <w:r w:rsidRPr="009B6ECC">
          <w:rPr>
            <w:rStyle w:val="Hyperlink"/>
            <w:lang w:val="en-GB"/>
          </w:rPr>
          <w:t>https://doi.org/10.9734/IJBCRR/2018/41759</w:t>
        </w:r>
      </w:hyperlink>
    </w:p>
    <w:p w14:paraId="683D28DE" w14:textId="77777777" w:rsidR="009B6ECC" w:rsidRPr="009B6ECC" w:rsidRDefault="009B6ECC" w:rsidP="009B5C21">
      <w:pPr>
        <w:pStyle w:val="Body"/>
        <w:spacing w:after="0"/>
        <w:ind w:left="720" w:hanging="720"/>
        <w:rPr>
          <w:lang w:val="en-GB"/>
        </w:rPr>
      </w:pPr>
      <w:r w:rsidRPr="009B6ECC">
        <w:rPr>
          <w:lang w:val="en-GB"/>
        </w:rPr>
        <w:t xml:space="preserve">Aslam, M. (2013). </w:t>
      </w:r>
      <w:r w:rsidRPr="009B6ECC">
        <w:rPr>
          <w:i/>
          <w:iCs/>
          <w:lang w:val="en-GB"/>
        </w:rPr>
        <w:t>Effect of natural growth promoters on the nutritive quality and antioxidant attributes of leafy green vegetables</w:t>
      </w:r>
      <w:r w:rsidRPr="009B6ECC">
        <w:rPr>
          <w:lang w:val="en-GB"/>
        </w:rPr>
        <w:t xml:space="preserve"> (Doctoral dissertation). University of Agriculture, Faisalabad, Pakistan.</w:t>
      </w:r>
    </w:p>
    <w:p w14:paraId="0D55C3DD" w14:textId="76F1C455" w:rsidR="009B6ECC" w:rsidRDefault="009B6ECC" w:rsidP="009B5C21">
      <w:pPr>
        <w:pStyle w:val="Body"/>
        <w:spacing w:after="0"/>
        <w:ind w:left="720" w:hanging="720"/>
        <w:rPr>
          <w:lang w:val="en-GB"/>
        </w:rPr>
      </w:pPr>
      <w:r w:rsidRPr="009B6ECC">
        <w:rPr>
          <w:lang w:val="en-GB"/>
        </w:rPr>
        <w:t xml:space="preserve">Ayu, L. (2022). Mechanisms of magnesium absorption and factors influencing bioavailability. </w:t>
      </w:r>
      <w:r w:rsidRPr="009B6ECC">
        <w:rPr>
          <w:i/>
          <w:iCs/>
          <w:lang w:val="en-GB"/>
        </w:rPr>
        <w:t>Nutrients</w:t>
      </w:r>
      <w:r w:rsidRPr="009B6ECC">
        <w:rPr>
          <w:lang w:val="en-GB"/>
        </w:rPr>
        <w:t xml:space="preserve">, 14(12), 2560. </w:t>
      </w:r>
      <w:hyperlink r:id="rId20" w:history="1">
        <w:r w:rsidR="009B5C21" w:rsidRPr="009B6ECC">
          <w:rPr>
            <w:rStyle w:val="Hyperlink"/>
            <w:lang w:val="en-GB"/>
          </w:rPr>
          <w:t>https://doi.org/10.3390/nu14122560</w:t>
        </w:r>
      </w:hyperlink>
    </w:p>
    <w:p w14:paraId="78EABE3F" w14:textId="77777777" w:rsidR="009B5C21" w:rsidRDefault="009B6ECC" w:rsidP="009B5C21">
      <w:pPr>
        <w:pStyle w:val="Body"/>
        <w:spacing w:after="0"/>
        <w:ind w:left="720" w:hanging="720"/>
        <w:rPr>
          <w:lang w:val="en-GB"/>
        </w:rPr>
      </w:pPr>
      <w:r w:rsidRPr="009B6ECC">
        <w:rPr>
          <w:lang w:val="en-GB"/>
        </w:rPr>
        <w:t>Barbagallo, M., Veronese, N., &amp; Dominguez, L. J. (2023). Association between serum</w:t>
      </w:r>
    </w:p>
    <w:p w14:paraId="2E47A863" w14:textId="07720258" w:rsidR="009B6ECC" w:rsidRPr="009B6ECC" w:rsidRDefault="009B5C21" w:rsidP="009B5C21">
      <w:pPr>
        <w:pStyle w:val="Body"/>
        <w:spacing w:after="0"/>
        <w:ind w:left="720" w:hanging="720"/>
        <w:rPr>
          <w:lang w:val="en-GB"/>
        </w:rPr>
      </w:pPr>
      <w:r>
        <w:rPr>
          <w:lang w:val="en-GB"/>
        </w:rPr>
        <w:t xml:space="preserve">             </w:t>
      </w:r>
      <w:r w:rsidR="009B6ECC" w:rsidRPr="009B6ECC">
        <w:rPr>
          <w:lang w:val="en-GB"/>
        </w:rPr>
        <w:t>magnesium and fractures: A systematic review and meta</w:t>
      </w:r>
      <w:r w:rsidR="009B6ECC" w:rsidRPr="009B6ECC">
        <w:rPr>
          <w:lang w:val="en-GB"/>
        </w:rPr>
        <w:noBreakHyphen/>
        <w:t xml:space="preserve">analysis of observational studies. </w:t>
      </w:r>
      <w:r w:rsidR="009B6ECC" w:rsidRPr="009B6ECC">
        <w:rPr>
          <w:i/>
          <w:iCs/>
          <w:lang w:val="en-GB"/>
        </w:rPr>
        <w:t>Nutrients</w:t>
      </w:r>
      <w:r w:rsidR="009B6ECC" w:rsidRPr="009B6ECC">
        <w:rPr>
          <w:lang w:val="en-GB"/>
        </w:rPr>
        <w:t>, 15(6), 1304. https://doi.org/10.3390/nu15061304</w:t>
      </w:r>
    </w:p>
    <w:p w14:paraId="0E13B329" w14:textId="77777777" w:rsidR="009B6ECC" w:rsidRPr="009B6ECC" w:rsidRDefault="009B6ECC" w:rsidP="009B5C21">
      <w:pPr>
        <w:pStyle w:val="Body"/>
        <w:spacing w:after="0"/>
        <w:ind w:left="720" w:hanging="720"/>
        <w:rPr>
          <w:lang w:val="en-GB"/>
        </w:rPr>
      </w:pPr>
      <w:r w:rsidRPr="009B6ECC">
        <w:rPr>
          <w:lang w:val="en-GB"/>
        </w:rPr>
        <w:t xml:space="preserve">Bartl, R., &amp; Bartl, C. (2016). Calcium metabolism in osteoporosis: Recent insights and therapeutic approaches. </w:t>
      </w:r>
      <w:r w:rsidRPr="009B6ECC">
        <w:rPr>
          <w:i/>
          <w:iCs/>
          <w:lang w:val="en-GB"/>
        </w:rPr>
        <w:t>Journal of Bone and Mineral Research</w:t>
      </w:r>
      <w:r w:rsidRPr="009B6ECC">
        <w:rPr>
          <w:lang w:val="en-GB"/>
        </w:rPr>
        <w:t>, 31(10), 1810–1818. https://doi.org/10.1002/jbmr.2903</w:t>
      </w:r>
    </w:p>
    <w:p w14:paraId="24CCF387" w14:textId="77777777" w:rsidR="009B6ECC" w:rsidRPr="009B6ECC" w:rsidRDefault="009B6ECC" w:rsidP="009B5C21">
      <w:pPr>
        <w:pStyle w:val="Body"/>
        <w:spacing w:after="0"/>
        <w:ind w:left="720" w:hanging="720"/>
        <w:rPr>
          <w:lang w:val="en-GB"/>
        </w:rPr>
      </w:pPr>
      <w:r w:rsidRPr="009B6ECC">
        <w:rPr>
          <w:lang w:val="en-GB"/>
        </w:rPr>
        <w:t xml:space="preserve">Bridson, D., &amp; Forman, L. (1998). </w:t>
      </w:r>
      <w:r w:rsidRPr="009B6ECC">
        <w:rPr>
          <w:i/>
          <w:iCs/>
          <w:lang w:val="en-GB"/>
        </w:rPr>
        <w:t>The Herbarium Handbook</w:t>
      </w:r>
      <w:r w:rsidRPr="009B6ECC">
        <w:rPr>
          <w:lang w:val="en-GB"/>
        </w:rPr>
        <w:t xml:space="preserve"> (3rd ed.). Royal Botanic Gardens, Kew.</w:t>
      </w:r>
    </w:p>
    <w:p w14:paraId="65A74E65" w14:textId="77777777" w:rsidR="009B6ECC" w:rsidRPr="009B6ECC" w:rsidRDefault="009B6ECC" w:rsidP="009B5C21">
      <w:pPr>
        <w:pStyle w:val="Body"/>
        <w:spacing w:after="0"/>
        <w:ind w:left="720" w:hanging="720"/>
        <w:rPr>
          <w:lang w:val="en-GB"/>
        </w:rPr>
      </w:pPr>
      <w:r w:rsidRPr="009B6ECC">
        <w:rPr>
          <w:lang w:val="en-GB"/>
        </w:rPr>
        <w:t xml:space="preserve">Bronner, F. (2023). Calcium homeostasis: Physiology and pathophysiology. </w:t>
      </w:r>
      <w:r w:rsidRPr="009B6ECC">
        <w:rPr>
          <w:i/>
          <w:iCs/>
          <w:lang w:val="en-GB"/>
        </w:rPr>
        <w:t>Endocrine Reviews</w:t>
      </w:r>
      <w:r w:rsidRPr="009B6ECC">
        <w:rPr>
          <w:lang w:val="en-GB"/>
        </w:rPr>
        <w:t>, 44(1), 1–24. https://doi.org/10.1210/endrev/bnac015</w:t>
      </w:r>
    </w:p>
    <w:p w14:paraId="5E77560D" w14:textId="77777777" w:rsidR="009B6ECC" w:rsidRPr="009B6ECC" w:rsidRDefault="009B6ECC" w:rsidP="009B5C21">
      <w:pPr>
        <w:pStyle w:val="Body"/>
        <w:spacing w:after="0"/>
        <w:ind w:left="720" w:hanging="720"/>
        <w:rPr>
          <w:lang w:val="en-GB"/>
        </w:rPr>
      </w:pPr>
      <w:r w:rsidRPr="009B6ECC">
        <w:rPr>
          <w:lang w:val="en-GB"/>
        </w:rPr>
        <w:t xml:space="preserve">Chen, J., Wang, R., &amp; Wang, P. (2024). Molecular hydrogen as a novel antioxidant: Mechanisms and therapeutic applications. </w:t>
      </w:r>
      <w:r w:rsidRPr="009B6ECC">
        <w:rPr>
          <w:i/>
          <w:iCs/>
          <w:lang w:val="en-GB"/>
        </w:rPr>
        <w:t>Medical Gas Research</w:t>
      </w:r>
      <w:r w:rsidRPr="009B6ECC">
        <w:rPr>
          <w:lang w:val="en-GB"/>
        </w:rPr>
        <w:t>, 14(1), 115–122. https://doi.org/10.4103/2045-9912.347844</w:t>
      </w:r>
    </w:p>
    <w:p w14:paraId="0126EDA5" w14:textId="77777777" w:rsidR="0031065F" w:rsidRDefault="009B6ECC" w:rsidP="009B5C21">
      <w:pPr>
        <w:pStyle w:val="Body"/>
        <w:spacing w:after="0"/>
        <w:ind w:left="720" w:hanging="720"/>
        <w:rPr>
          <w:lang w:val="en-GB"/>
        </w:rPr>
      </w:pPr>
      <w:r w:rsidRPr="009B6ECC">
        <w:rPr>
          <w:lang w:val="en-GB"/>
        </w:rPr>
        <w:lastRenderedPageBreak/>
        <w:t xml:space="preserve">Clines, G. A., &amp; Drezner, M. K. (2022). Bone health across the lifespan: Mechanisms and clinical considerations. </w:t>
      </w:r>
      <w:r w:rsidRPr="009B6ECC">
        <w:rPr>
          <w:i/>
          <w:iCs/>
          <w:lang w:val="en-GB"/>
        </w:rPr>
        <w:t>Endocrine Reviews</w:t>
      </w:r>
      <w:r w:rsidRPr="009B6ECC">
        <w:rPr>
          <w:lang w:val="en-GB"/>
        </w:rPr>
        <w:t>, 43(5), 625–650.</w:t>
      </w:r>
    </w:p>
    <w:p w14:paraId="232D1700" w14:textId="5B46FEC4" w:rsidR="009B6ECC" w:rsidRPr="009B6ECC" w:rsidRDefault="009B5C21" w:rsidP="009B5C21">
      <w:pPr>
        <w:pStyle w:val="Body"/>
        <w:spacing w:after="0"/>
        <w:ind w:left="720" w:hanging="720"/>
        <w:rPr>
          <w:lang w:val="en-GB"/>
        </w:rPr>
      </w:pPr>
      <w:r>
        <w:rPr>
          <w:lang w:val="en-GB"/>
        </w:rPr>
        <w:t xml:space="preserve">             </w:t>
      </w:r>
      <w:r w:rsidR="009B6ECC" w:rsidRPr="009B6ECC">
        <w:rPr>
          <w:lang w:val="en-GB"/>
        </w:rPr>
        <w:t>https://doi.org/10.1210/endrev/bnac010</w:t>
      </w:r>
    </w:p>
    <w:p w14:paraId="31B11E89" w14:textId="77777777" w:rsidR="0031065F" w:rsidRDefault="009B6ECC" w:rsidP="009B5C21">
      <w:pPr>
        <w:pStyle w:val="Body"/>
        <w:spacing w:after="0"/>
        <w:ind w:left="720" w:hanging="720"/>
        <w:rPr>
          <w:lang w:val="en-GB"/>
        </w:rPr>
      </w:pPr>
      <w:r w:rsidRPr="009B6ECC">
        <w:rPr>
          <w:lang w:val="en-GB"/>
        </w:rPr>
        <w:t xml:space="preserve">Einarsson, S. (2024). Environmental and health impacts of nitrogen fertilizer overuse. </w:t>
      </w:r>
      <w:r w:rsidRPr="009B6ECC">
        <w:rPr>
          <w:i/>
          <w:iCs/>
          <w:lang w:val="en-GB"/>
        </w:rPr>
        <w:t>Agriculture, Ecosystems &amp; Environment</w:t>
      </w:r>
      <w:r w:rsidRPr="009B6ECC">
        <w:rPr>
          <w:lang w:val="en-GB"/>
        </w:rPr>
        <w:t>, 350, 108121.</w:t>
      </w:r>
    </w:p>
    <w:p w14:paraId="13D83285" w14:textId="150F7484" w:rsidR="009B6ECC" w:rsidRPr="009B6ECC" w:rsidRDefault="009B5C21" w:rsidP="009B5C21">
      <w:pPr>
        <w:pStyle w:val="Body"/>
        <w:spacing w:after="0"/>
        <w:ind w:left="720" w:hanging="720"/>
        <w:rPr>
          <w:lang w:val="en-GB"/>
        </w:rPr>
      </w:pPr>
      <w:r>
        <w:rPr>
          <w:lang w:val="en-GB"/>
        </w:rPr>
        <w:t xml:space="preserve">             </w:t>
      </w:r>
      <w:r w:rsidR="009B6ECC" w:rsidRPr="009B6ECC">
        <w:rPr>
          <w:lang w:val="en-GB"/>
        </w:rPr>
        <w:t>https://doi.org/10.1016/j.agee.2023.108121</w:t>
      </w:r>
    </w:p>
    <w:p w14:paraId="6816D1C9" w14:textId="77777777" w:rsidR="009B6ECC" w:rsidRPr="009B6ECC" w:rsidRDefault="009B6ECC" w:rsidP="009B5C21">
      <w:pPr>
        <w:pStyle w:val="Body"/>
        <w:spacing w:after="0"/>
        <w:ind w:left="720" w:hanging="720"/>
        <w:rPr>
          <w:lang w:val="en-GB"/>
        </w:rPr>
      </w:pPr>
      <w:r w:rsidRPr="009B6ECC">
        <w:rPr>
          <w:lang w:val="en-GB"/>
        </w:rPr>
        <w:t xml:space="preserve">EPA (1996). EPA Method 3540C: </w:t>
      </w:r>
      <w:r w:rsidRPr="009B6ECC">
        <w:rPr>
          <w:i/>
          <w:iCs/>
          <w:lang w:val="en-GB"/>
        </w:rPr>
        <w:t>Soxhlet extraction of semi</w:t>
      </w:r>
      <w:r w:rsidRPr="009B6ECC">
        <w:rPr>
          <w:i/>
          <w:iCs/>
          <w:lang w:val="en-GB"/>
        </w:rPr>
        <w:noBreakHyphen/>
        <w:t>volatile compounds</w:t>
      </w:r>
      <w:r w:rsidRPr="009B6ECC">
        <w:rPr>
          <w:lang w:val="en-GB"/>
        </w:rPr>
        <w:t>. U.S. Environmental Protection Agency.</w:t>
      </w:r>
    </w:p>
    <w:p w14:paraId="4E7AF212" w14:textId="77777777" w:rsidR="009B6ECC" w:rsidRPr="009B6ECC" w:rsidRDefault="009B6ECC" w:rsidP="009B5C21">
      <w:pPr>
        <w:pStyle w:val="Body"/>
        <w:spacing w:after="0"/>
        <w:ind w:left="720" w:hanging="720"/>
        <w:rPr>
          <w:lang w:val="en-GB"/>
        </w:rPr>
      </w:pPr>
      <w:r w:rsidRPr="009B6ECC">
        <w:rPr>
          <w:lang w:val="en-GB"/>
        </w:rPr>
        <w:t xml:space="preserve">Khan, S., Rehman, A., &amp; Khan, M. (2023). Soil phosphorus dynamics and plant uptake: A review. </w:t>
      </w:r>
      <w:r w:rsidRPr="009B6ECC">
        <w:rPr>
          <w:i/>
          <w:iCs/>
          <w:lang w:val="en-GB"/>
        </w:rPr>
        <w:t>Plant and Soil</w:t>
      </w:r>
      <w:r w:rsidRPr="009B6ECC">
        <w:rPr>
          <w:lang w:val="en-GB"/>
        </w:rPr>
        <w:t>, 495, 45–60. https://doi.org/10.1007/s11104-023-05900-4</w:t>
      </w:r>
    </w:p>
    <w:p w14:paraId="5DA58583" w14:textId="77777777" w:rsidR="009B6ECC" w:rsidRPr="009B6ECC" w:rsidRDefault="009B6ECC" w:rsidP="009B5C21">
      <w:pPr>
        <w:pStyle w:val="Body"/>
        <w:spacing w:after="0"/>
        <w:ind w:left="720" w:hanging="720"/>
        <w:rPr>
          <w:lang w:val="en-GB"/>
        </w:rPr>
      </w:pPr>
      <w:r w:rsidRPr="009B6ECC">
        <w:rPr>
          <w:lang w:val="en-GB"/>
        </w:rPr>
        <w:t xml:space="preserve">Kura, B., &amp; Slezák, J. (2024). Hydrogen metabolism and its role in cellular redox homeostasis. </w:t>
      </w:r>
      <w:r w:rsidRPr="009B6ECC">
        <w:rPr>
          <w:i/>
          <w:iCs/>
          <w:lang w:val="en-GB"/>
        </w:rPr>
        <w:t>International Journal of Molecular Sciences</w:t>
      </w:r>
      <w:r w:rsidRPr="009B6ECC">
        <w:rPr>
          <w:lang w:val="en-GB"/>
        </w:rPr>
        <w:t>, 25(2), 600. https://doi.org/10.3390/ijms25020600</w:t>
      </w:r>
    </w:p>
    <w:p w14:paraId="31FFDECA" w14:textId="77777777" w:rsidR="009B6ECC" w:rsidRPr="009B6ECC" w:rsidRDefault="009B6ECC" w:rsidP="009B5C21">
      <w:pPr>
        <w:pStyle w:val="Body"/>
        <w:spacing w:after="0"/>
        <w:ind w:left="720" w:hanging="720"/>
        <w:rPr>
          <w:lang w:val="en-GB"/>
        </w:rPr>
      </w:pPr>
      <w:r w:rsidRPr="009B6ECC">
        <w:rPr>
          <w:lang w:val="en-GB"/>
        </w:rPr>
        <w:t xml:space="preserve">Mamabolo, M. V. (2020). The role of copper in human health. </w:t>
      </w:r>
      <w:r w:rsidRPr="009B6ECC">
        <w:rPr>
          <w:i/>
          <w:iCs/>
          <w:lang w:val="en-GB"/>
        </w:rPr>
        <w:t>South African Journal of Clinical Nutrition</w:t>
      </w:r>
      <w:r w:rsidRPr="009B6ECC">
        <w:rPr>
          <w:lang w:val="en-GB"/>
        </w:rPr>
        <w:t>, 33(2), 24–28. https://doi.org/10.1080/16070658.2020.1713532</w:t>
      </w:r>
    </w:p>
    <w:p w14:paraId="4012A9F3" w14:textId="77777777" w:rsidR="009B6ECC" w:rsidRPr="009B6ECC" w:rsidRDefault="009B6ECC" w:rsidP="009B5C21">
      <w:pPr>
        <w:pStyle w:val="Body"/>
        <w:spacing w:after="0"/>
        <w:ind w:left="720" w:hanging="720"/>
        <w:rPr>
          <w:lang w:val="en-GB"/>
        </w:rPr>
      </w:pPr>
      <w:r w:rsidRPr="009B6ECC">
        <w:rPr>
          <w:lang w:val="en-GB"/>
        </w:rPr>
        <w:t xml:space="preserve">Narasaki, M., Fujiwara, M., &amp; Takahashi, T. (2022). Dietary potassium restriction in patients with chronic kidney disease: Clinical practice guideline. </w:t>
      </w:r>
      <w:r w:rsidRPr="009B6ECC">
        <w:rPr>
          <w:i/>
          <w:iCs/>
          <w:lang w:val="en-GB"/>
        </w:rPr>
        <w:t>Kidney International Reports</w:t>
      </w:r>
      <w:r w:rsidRPr="009B6ECC">
        <w:rPr>
          <w:lang w:val="en-GB"/>
        </w:rPr>
        <w:t>, 7(2), 255–266. https://doi.org/10.1016/j.ekir.2021.11.013</w:t>
      </w:r>
    </w:p>
    <w:p w14:paraId="5769B64B" w14:textId="77777777" w:rsidR="0031065F" w:rsidRDefault="009B6ECC" w:rsidP="009B5C21">
      <w:pPr>
        <w:pStyle w:val="Body"/>
        <w:spacing w:after="0"/>
        <w:ind w:left="720" w:hanging="720"/>
        <w:rPr>
          <w:lang w:val="en-GB"/>
        </w:rPr>
      </w:pPr>
      <w:proofErr w:type="spellStart"/>
      <w:r w:rsidRPr="009B6ECC">
        <w:rPr>
          <w:lang w:val="en-GB"/>
        </w:rPr>
        <w:t>Négrel</w:t>
      </w:r>
      <w:proofErr w:type="spellEnd"/>
      <w:r w:rsidRPr="009B6ECC">
        <w:rPr>
          <w:lang w:val="en-GB"/>
        </w:rPr>
        <w:t xml:space="preserve">, P., Bourdon, E., &amp; Probst, J. L. (2024). Microbial mediation of phosphorus bioavailability in soils. </w:t>
      </w:r>
      <w:proofErr w:type="spellStart"/>
      <w:r w:rsidRPr="009B6ECC">
        <w:rPr>
          <w:i/>
          <w:iCs/>
          <w:lang w:val="en-GB"/>
        </w:rPr>
        <w:t>Geoderma</w:t>
      </w:r>
      <w:proofErr w:type="spellEnd"/>
      <w:r w:rsidRPr="009B6ECC">
        <w:rPr>
          <w:lang w:val="en-GB"/>
        </w:rPr>
        <w:t>, 431, 116429.</w:t>
      </w:r>
    </w:p>
    <w:p w14:paraId="270E9C75" w14:textId="19546352" w:rsidR="009B6ECC" w:rsidRPr="009B6ECC" w:rsidRDefault="009B5C21" w:rsidP="009B5C21">
      <w:pPr>
        <w:pStyle w:val="Body"/>
        <w:spacing w:after="0"/>
        <w:ind w:left="720" w:hanging="720"/>
        <w:rPr>
          <w:lang w:val="en-GB"/>
        </w:rPr>
      </w:pPr>
      <w:r>
        <w:rPr>
          <w:lang w:val="en-GB"/>
        </w:rPr>
        <w:t xml:space="preserve">             </w:t>
      </w:r>
      <w:r w:rsidR="009B6ECC" w:rsidRPr="009B6ECC">
        <w:rPr>
          <w:lang w:val="en-GB"/>
        </w:rPr>
        <w:t>https://doi.org/10.1016/j.geoderma.2023.116429</w:t>
      </w:r>
    </w:p>
    <w:p w14:paraId="0F4210B7" w14:textId="77777777" w:rsidR="0031065F" w:rsidRDefault="009B6ECC" w:rsidP="009B5C21">
      <w:pPr>
        <w:pStyle w:val="Body"/>
        <w:spacing w:after="0"/>
        <w:ind w:left="720" w:hanging="720"/>
        <w:rPr>
          <w:lang w:val="en-GB"/>
        </w:rPr>
      </w:pPr>
      <w:r w:rsidRPr="009B6ECC">
        <w:rPr>
          <w:lang w:val="en-GB"/>
        </w:rPr>
        <w:t xml:space="preserve">O’Donnell, M., Mente, A., Rangarajan, S., McQueen, M., Wang, X., Liu, L., … Yusuf, S. (2023). Potassium intake and cardiovascular disease: Prospective analysis using the PURE study. </w:t>
      </w:r>
      <w:r w:rsidRPr="009B6ECC">
        <w:rPr>
          <w:i/>
          <w:iCs/>
          <w:lang w:val="en-GB"/>
        </w:rPr>
        <w:t>European Journal of Preventive Cardiology</w:t>
      </w:r>
      <w:r w:rsidRPr="009B6ECC">
        <w:rPr>
          <w:lang w:val="en-GB"/>
        </w:rPr>
        <w:t>, 30(3), 219–229.</w:t>
      </w:r>
    </w:p>
    <w:p w14:paraId="7694EB6C" w14:textId="03C4C99E" w:rsidR="009B6ECC" w:rsidRPr="009B6ECC" w:rsidRDefault="009B5C21" w:rsidP="009B5C21">
      <w:pPr>
        <w:pStyle w:val="Body"/>
        <w:spacing w:after="0"/>
        <w:ind w:left="720" w:hanging="720"/>
        <w:rPr>
          <w:lang w:val="en-GB"/>
        </w:rPr>
      </w:pPr>
      <w:r>
        <w:rPr>
          <w:lang w:val="en-GB"/>
        </w:rPr>
        <w:t xml:space="preserve">             </w:t>
      </w:r>
      <w:r w:rsidR="009B6ECC" w:rsidRPr="009B6ECC">
        <w:rPr>
          <w:lang w:val="en-GB"/>
        </w:rPr>
        <w:t>https://doi.org/10.1093/eurjpc/zwac122</w:t>
      </w:r>
    </w:p>
    <w:p w14:paraId="07DC12D1" w14:textId="77777777" w:rsidR="0031065F" w:rsidRDefault="009B6ECC" w:rsidP="009B5C21">
      <w:pPr>
        <w:pStyle w:val="Body"/>
        <w:spacing w:after="0"/>
        <w:ind w:left="720" w:hanging="720"/>
        <w:rPr>
          <w:lang w:val="en-GB"/>
        </w:rPr>
      </w:pPr>
      <w:r w:rsidRPr="009B6ECC">
        <w:rPr>
          <w:lang w:val="en-GB"/>
        </w:rPr>
        <w:t xml:space="preserve">Pan, J., Li, X., &amp; Zhao, Y. (2024). Advances in phosphorus uptake and utilization in leafy vegetables. </w:t>
      </w:r>
      <w:r w:rsidRPr="009B6ECC">
        <w:rPr>
          <w:i/>
          <w:iCs/>
          <w:lang w:val="en-GB"/>
        </w:rPr>
        <w:t>Frontiers in Plant Science</w:t>
      </w:r>
      <w:r w:rsidRPr="009B6ECC">
        <w:rPr>
          <w:lang w:val="en-GB"/>
        </w:rPr>
        <w:t>, 15, 1012001.</w:t>
      </w:r>
    </w:p>
    <w:p w14:paraId="4A1893E8" w14:textId="7D2B0BC0" w:rsidR="009B6ECC" w:rsidRPr="009B6ECC" w:rsidRDefault="009B5C21" w:rsidP="009B5C21">
      <w:pPr>
        <w:pStyle w:val="Body"/>
        <w:spacing w:after="0"/>
        <w:ind w:left="720" w:hanging="720"/>
        <w:rPr>
          <w:lang w:val="en-GB"/>
        </w:rPr>
      </w:pPr>
      <w:r>
        <w:rPr>
          <w:lang w:val="en-GB"/>
        </w:rPr>
        <w:t xml:space="preserve">             </w:t>
      </w:r>
      <w:r w:rsidR="009B6ECC" w:rsidRPr="009B6ECC">
        <w:rPr>
          <w:lang w:val="en-GB"/>
        </w:rPr>
        <w:t>https://doi.org/10.3389/fpls.2024.1012001</w:t>
      </w:r>
    </w:p>
    <w:p w14:paraId="6E4226DF" w14:textId="77777777" w:rsidR="0031065F" w:rsidRDefault="009B6ECC" w:rsidP="009B5C21">
      <w:pPr>
        <w:pStyle w:val="Body"/>
        <w:spacing w:after="0"/>
        <w:ind w:left="720" w:hanging="720"/>
        <w:rPr>
          <w:lang w:val="en-GB"/>
        </w:rPr>
      </w:pPr>
      <w:r w:rsidRPr="009B6ECC">
        <w:rPr>
          <w:lang w:val="en-GB"/>
        </w:rPr>
        <w:t xml:space="preserve">Pelczyńska, M., </w:t>
      </w:r>
      <w:proofErr w:type="spellStart"/>
      <w:r w:rsidRPr="009B6ECC">
        <w:rPr>
          <w:lang w:val="en-GB"/>
        </w:rPr>
        <w:t>Moszak</w:t>
      </w:r>
      <w:proofErr w:type="spellEnd"/>
      <w:r w:rsidRPr="009B6ECC">
        <w:rPr>
          <w:lang w:val="en-GB"/>
        </w:rPr>
        <w:t xml:space="preserve">, M., &amp; </w:t>
      </w:r>
      <w:proofErr w:type="spellStart"/>
      <w:r w:rsidRPr="009B6ECC">
        <w:rPr>
          <w:lang w:val="en-GB"/>
        </w:rPr>
        <w:t>Bogdański</w:t>
      </w:r>
      <w:proofErr w:type="spellEnd"/>
      <w:r w:rsidRPr="009B6ECC">
        <w:rPr>
          <w:lang w:val="en-GB"/>
        </w:rPr>
        <w:t xml:space="preserve">, P. (2022). The role of magnesium in the pathogenesis of metabolic disorders. </w:t>
      </w:r>
      <w:r w:rsidRPr="009B6ECC">
        <w:rPr>
          <w:i/>
          <w:iCs/>
          <w:lang w:val="en-GB"/>
        </w:rPr>
        <w:t>Nutrients</w:t>
      </w:r>
      <w:r w:rsidRPr="009B6ECC">
        <w:rPr>
          <w:lang w:val="en-GB"/>
        </w:rPr>
        <w:t>, 14(9), 1714.</w:t>
      </w:r>
    </w:p>
    <w:p w14:paraId="2BEF06EC" w14:textId="6449330E" w:rsidR="009B6ECC" w:rsidRPr="009B6ECC" w:rsidRDefault="009B5C21" w:rsidP="009B5C21">
      <w:pPr>
        <w:pStyle w:val="Body"/>
        <w:spacing w:after="0"/>
        <w:ind w:left="720" w:hanging="720"/>
        <w:rPr>
          <w:lang w:val="en-GB"/>
        </w:rPr>
      </w:pPr>
      <w:r>
        <w:rPr>
          <w:lang w:val="en-GB"/>
        </w:rPr>
        <w:t xml:space="preserve">             </w:t>
      </w:r>
      <w:r w:rsidR="009B6ECC" w:rsidRPr="009B6ECC">
        <w:rPr>
          <w:lang w:val="en-GB"/>
        </w:rPr>
        <w:t>https://doi.org/10.3390/nu14091714</w:t>
      </w:r>
    </w:p>
    <w:p w14:paraId="0BE944D5" w14:textId="77777777" w:rsidR="009B6ECC" w:rsidRPr="009B6ECC" w:rsidRDefault="009B6ECC" w:rsidP="009B5C21">
      <w:pPr>
        <w:pStyle w:val="Body"/>
        <w:spacing w:after="0"/>
        <w:ind w:left="720" w:hanging="720"/>
        <w:rPr>
          <w:lang w:val="en-GB"/>
        </w:rPr>
      </w:pPr>
      <w:r w:rsidRPr="009B6ECC">
        <w:rPr>
          <w:lang w:val="en-GB"/>
        </w:rPr>
        <w:t xml:space="preserve">PerkinElmer. (2014). </w:t>
      </w:r>
      <w:proofErr w:type="spellStart"/>
      <w:r w:rsidRPr="009B6ECC">
        <w:rPr>
          <w:i/>
          <w:iCs/>
          <w:lang w:val="en-GB"/>
        </w:rPr>
        <w:t>AAnalyst</w:t>
      </w:r>
      <w:proofErr w:type="spellEnd"/>
      <w:r w:rsidRPr="009B6ECC">
        <w:rPr>
          <w:i/>
          <w:iCs/>
          <w:lang w:val="en-GB"/>
        </w:rPr>
        <w:t xml:space="preserve"> 200 Atomic Absorption Spectroscopy Operation Manual</w:t>
      </w:r>
      <w:r w:rsidRPr="009B6ECC">
        <w:rPr>
          <w:lang w:val="en-GB"/>
        </w:rPr>
        <w:t>. PerkinElmer, Inc.</w:t>
      </w:r>
    </w:p>
    <w:p w14:paraId="51216937" w14:textId="77777777" w:rsidR="0031065F" w:rsidRDefault="009B6ECC" w:rsidP="009B5C21">
      <w:pPr>
        <w:pStyle w:val="Body"/>
        <w:spacing w:after="0"/>
        <w:ind w:left="720" w:hanging="720"/>
        <w:rPr>
          <w:lang w:val="en-GB"/>
        </w:rPr>
      </w:pPr>
      <w:r w:rsidRPr="009B6ECC">
        <w:rPr>
          <w:lang w:val="en-GB"/>
        </w:rPr>
        <w:t>Reddin, C., Ferguson, J., Murphy, R., Clarke, A., Judge, C., Griffith, V., Alvarez, A., Smyth, A., Mente, A., Yusuf, S., &amp; O’Donnell, M. (2023). Global mean potassium intake: A systematic review and Bayesian meta</w:t>
      </w:r>
      <w:r w:rsidRPr="009B6ECC">
        <w:rPr>
          <w:rFonts w:ascii="Cambria Math" w:hAnsi="Cambria Math" w:cs="Cambria Math"/>
          <w:lang w:val="en-GB"/>
        </w:rPr>
        <w:t>‐</w:t>
      </w:r>
      <w:r w:rsidRPr="009B6ECC">
        <w:rPr>
          <w:lang w:val="en-GB"/>
        </w:rPr>
        <w:t xml:space="preserve">analysis. </w:t>
      </w:r>
      <w:r w:rsidRPr="009B6ECC">
        <w:rPr>
          <w:i/>
          <w:iCs/>
          <w:lang w:val="en-GB"/>
        </w:rPr>
        <w:t>European Journal of Nutrition</w:t>
      </w:r>
      <w:r w:rsidRPr="009B6ECC">
        <w:rPr>
          <w:lang w:val="en-GB"/>
        </w:rPr>
        <w:t>, 62(5), 2027–2037.</w:t>
      </w:r>
    </w:p>
    <w:p w14:paraId="0F026298" w14:textId="476DF69F" w:rsidR="009B6ECC" w:rsidRPr="009B6ECC" w:rsidRDefault="009B5C21" w:rsidP="009B5C21">
      <w:pPr>
        <w:pStyle w:val="Body"/>
        <w:spacing w:after="0"/>
        <w:ind w:left="720" w:hanging="720"/>
        <w:rPr>
          <w:lang w:val="en-GB"/>
        </w:rPr>
      </w:pPr>
      <w:r>
        <w:rPr>
          <w:lang w:val="en-GB"/>
        </w:rPr>
        <w:t xml:space="preserve">             </w:t>
      </w:r>
      <w:r w:rsidR="009B6ECC" w:rsidRPr="009B6ECC">
        <w:rPr>
          <w:lang w:val="en-GB"/>
        </w:rPr>
        <w:t>https://doi.org/10.1007/s00394-023-03128-6</w:t>
      </w:r>
    </w:p>
    <w:p w14:paraId="698D1212" w14:textId="77777777" w:rsidR="009B6ECC" w:rsidRPr="009B6ECC" w:rsidRDefault="009B6ECC" w:rsidP="009B5C21">
      <w:pPr>
        <w:pStyle w:val="Body"/>
        <w:spacing w:after="0"/>
        <w:ind w:left="720" w:hanging="720"/>
        <w:rPr>
          <w:lang w:val="en-GB"/>
        </w:rPr>
      </w:pPr>
      <w:proofErr w:type="spellStart"/>
      <w:r w:rsidRPr="009B6ECC">
        <w:rPr>
          <w:lang w:val="en-GB"/>
        </w:rPr>
        <w:t>Romele</w:t>
      </w:r>
      <w:proofErr w:type="spellEnd"/>
      <w:r w:rsidRPr="009B6ECC">
        <w:rPr>
          <w:lang w:val="en-GB"/>
        </w:rPr>
        <w:t xml:space="preserve">, L. (2021). Nickel in biological systems: Functions and toxicology. </w:t>
      </w:r>
      <w:proofErr w:type="spellStart"/>
      <w:r w:rsidRPr="009B6ECC">
        <w:rPr>
          <w:i/>
          <w:iCs/>
          <w:lang w:val="en-GB"/>
        </w:rPr>
        <w:t>Metallomics</w:t>
      </w:r>
      <w:proofErr w:type="spellEnd"/>
      <w:r w:rsidRPr="009B6ECC">
        <w:rPr>
          <w:lang w:val="en-GB"/>
        </w:rPr>
        <w:t>, 13(6), 1150–1160. https://doi.org/10.1039/d1mt00045a</w:t>
      </w:r>
    </w:p>
    <w:p w14:paraId="1B05E0EE" w14:textId="77777777" w:rsidR="0031065F" w:rsidRDefault="009B6ECC" w:rsidP="009B5C21">
      <w:pPr>
        <w:pStyle w:val="Body"/>
        <w:spacing w:after="0"/>
        <w:ind w:left="720" w:hanging="720"/>
        <w:rPr>
          <w:lang w:val="en-GB"/>
        </w:rPr>
      </w:pPr>
      <w:r w:rsidRPr="009B6ECC">
        <w:rPr>
          <w:lang w:val="en-GB"/>
        </w:rPr>
        <w:t xml:space="preserve">Saini, R., Sharma, A., &amp; Thakur, N. (2022). Trace elements in edible leafy greens: A comparative study. </w:t>
      </w:r>
      <w:r w:rsidRPr="009B6ECC">
        <w:rPr>
          <w:i/>
          <w:iCs/>
          <w:lang w:val="en-GB"/>
        </w:rPr>
        <w:t>Journal of Food Science and Technology</w:t>
      </w:r>
      <w:r w:rsidRPr="009B6ECC">
        <w:rPr>
          <w:lang w:val="en-GB"/>
        </w:rPr>
        <w:t>, 59(3), 839–847.</w:t>
      </w:r>
    </w:p>
    <w:p w14:paraId="63FB26DC" w14:textId="0F986BA6" w:rsidR="009B6ECC" w:rsidRPr="009B6ECC" w:rsidRDefault="009B5C21" w:rsidP="009B5C21">
      <w:pPr>
        <w:pStyle w:val="Body"/>
        <w:spacing w:after="0"/>
        <w:ind w:left="720" w:hanging="720"/>
        <w:rPr>
          <w:lang w:val="en-GB"/>
        </w:rPr>
      </w:pPr>
      <w:r>
        <w:rPr>
          <w:lang w:val="en-GB"/>
        </w:rPr>
        <w:t xml:space="preserve">             </w:t>
      </w:r>
      <w:r w:rsidR="009B6ECC" w:rsidRPr="009B6ECC">
        <w:rPr>
          <w:lang w:val="en-GB"/>
        </w:rPr>
        <w:t>https://doi.org/10.1007/s13197-021-05012-4</w:t>
      </w:r>
    </w:p>
    <w:p w14:paraId="350EBC76" w14:textId="77777777" w:rsidR="009B6ECC" w:rsidRPr="009B6ECC" w:rsidRDefault="009B6ECC" w:rsidP="009B5C21">
      <w:pPr>
        <w:pStyle w:val="Body"/>
        <w:spacing w:after="0"/>
        <w:ind w:left="720" w:hanging="720"/>
        <w:rPr>
          <w:lang w:val="en-GB"/>
        </w:rPr>
      </w:pPr>
      <w:r w:rsidRPr="009B6ECC">
        <w:rPr>
          <w:lang w:val="en-GB"/>
        </w:rPr>
        <w:t xml:space="preserve">Silva, D., Ribeiro, M., &amp; Costa, A. (2023). Nitrogen distribution in plant tissues during leaf development. </w:t>
      </w:r>
      <w:r w:rsidRPr="009B6ECC">
        <w:rPr>
          <w:i/>
          <w:iCs/>
          <w:lang w:val="en-GB"/>
        </w:rPr>
        <w:t>Plant Science</w:t>
      </w:r>
      <w:r w:rsidRPr="009B6ECC">
        <w:rPr>
          <w:lang w:val="en-GB"/>
        </w:rPr>
        <w:t>, 329, 111–119. https://doi.org/10.1016/j.plantsci.2022.111272</w:t>
      </w:r>
    </w:p>
    <w:p w14:paraId="1160BBFC" w14:textId="77777777" w:rsidR="009B6ECC" w:rsidRPr="009B6ECC" w:rsidRDefault="009B6ECC" w:rsidP="009B5C21">
      <w:pPr>
        <w:pStyle w:val="Body"/>
        <w:spacing w:after="0"/>
        <w:ind w:left="720" w:hanging="720"/>
        <w:rPr>
          <w:lang w:val="en-GB"/>
        </w:rPr>
      </w:pPr>
      <w:r w:rsidRPr="009B6ECC">
        <w:rPr>
          <w:lang w:val="en-GB"/>
        </w:rPr>
        <w:t xml:space="preserve">Turland, N. J., Wiersema, J. H., Barrie, F. R., Greuter, W., Hawksworth, D. L., Herendeen, P. S., Knapp, S., </w:t>
      </w:r>
      <w:proofErr w:type="spellStart"/>
      <w:r w:rsidRPr="009B6ECC">
        <w:rPr>
          <w:lang w:val="en-GB"/>
        </w:rPr>
        <w:t>Kusber</w:t>
      </w:r>
      <w:proofErr w:type="spellEnd"/>
      <w:r w:rsidRPr="009B6ECC">
        <w:rPr>
          <w:lang w:val="en-GB"/>
        </w:rPr>
        <w:t xml:space="preserve">, W.-H., Li, D.-Z., Marhold, K., May, T. W., McNeill, J., Monro, A. M., Prado, J., Price, M. J., &amp; Smith, G. F. (2018). </w:t>
      </w:r>
      <w:r w:rsidRPr="009B6ECC">
        <w:rPr>
          <w:i/>
          <w:iCs/>
          <w:lang w:val="en-GB"/>
        </w:rPr>
        <w:t>International Code of Nomenclature for algae, fungi, and plants (Shenzhen Code)</w:t>
      </w:r>
      <w:r w:rsidRPr="009B6ECC">
        <w:rPr>
          <w:lang w:val="en-GB"/>
        </w:rPr>
        <w:t xml:space="preserve">. </w:t>
      </w:r>
      <w:proofErr w:type="spellStart"/>
      <w:r w:rsidRPr="009B6ECC">
        <w:rPr>
          <w:lang w:val="en-GB"/>
        </w:rPr>
        <w:t>Koeltz</w:t>
      </w:r>
      <w:proofErr w:type="spellEnd"/>
      <w:r w:rsidRPr="009B6ECC">
        <w:rPr>
          <w:lang w:val="en-GB"/>
        </w:rPr>
        <w:t xml:space="preserve"> Botanical Books.</w:t>
      </w:r>
    </w:p>
    <w:p w14:paraId="5DE5B3EF" w14:textId="77777777" w:rsidR="0031065F" w:rsidRDefault="009B6ECC" w:rsidP="009B5C21">
      <w:pPr>
        <w:pStyle w:val="Body"/>
        <w:spacing w:after="0"/>
        <w:ind w:left="720" w:hanging="720"/>
        <w:rPr>
          <w:lang w:val="en-GB"/>
        </w:rPr>
      </w:pPr>
      <w:proofErr w:type="spellStart"/>
      <w:r w:rsidRPr="009B6ECC">
        <w:rPr>
          <w:lang w:val="en-GB"/>
        </w:rPr>
        <w:t>Vinnari</w:t>
      </w:r>
      <w:proofErr w:type="spellEnd"/>
      <w:r w:rsidRPr="009B6ECC">
        <w:rPr>
          <w:lang w:val="en-GB"/>
        </w:rPr>
        <w:t xml:space="preserve">, M., &amp; </w:t>
      </w:r>
      <w:proofErr w:type="spellStart"/>
      <w:r w:rsidRPr="009B6ECC">
        <w:rPr>
          <w:lang w:val="en-GB"/>
        </w:rPr>
        <w:t>Vinnari</w:t>
      </w:r>
      <w:proofErr w:type="spellEnd"/>
      <w:r w:rsidRPr="009B6ECC">
        <w:rPr>
          <w:lang w:val="en-GB"/>
        </w:rPr>
        <w:t>, E. (2014). A framework for sustainability transition: the case of plant</w:t>
      </w:r>
      <w:r w:rsidRPr="009B6ECC">
        <w:rPr>
          <w:rFonts w:ascii="Cambria Math" w:hAnsi="Cambria Math" w:cs="Cambria Math"/>
          <w:lang w:val="en-GB"/>
        </w:rPr>
        <w:t>‐</w:t>
      </w:r>
      <w:r w:rsidRPr="009B6ECC">
        <w:rPr>
          <w:lang w:val="en-GB"/>
        </w:rPr>
        <w:t xml:space="preserve">based diets. </w:t>
      </w:r>
      <w:r w:rsidRPr="009B6ECC">
        <w:rPr>
          <w:i/>
          <w:iCs/>
          <w:lang w:val="en-GB"/>
        </w:rPr>
        <w:t>Journal of Agricultural and Environmental Ethics</w:t>
      </w:r>
      <w:r w:rsidRPr="009B6ECC">
        <w:rPr>
          <w:lang w:val="en-GB"/>
        </w:rPr>
        <w:t>, 27, 369–396.</w:t>
      </w:r>
    </w:p>
    <w:p w14:paraId="4718601A" w14:textId="6C2B8947" w:rsidR="009B6ECC" w:rsidRPr="009B6ECC" w:rsidRDefault="009B5C21" w:rsidP="009B5C21">
      <w:pPr>
        <w:pStyle w:val="Body"/>
        <w:spacing w:after="0"/>
        <w:ind w:left="720" w:hanging="720"/>
        <w:rPr>
          <w:lang w:val="en-GB"/>
        </w:rPr>
      </w:pPr>
      <w:r>
        <w:rPr>
          <w:lang w:val="en-GB"/>
        </w:rPr>
        <w:t xml:space="preserve">             </w:t>
      </w:r>
      <w:r w:rsidR="009B6ECC" w:rsidRPr="009B6ECC">
        <w:rPr>
          <w:lang w:val="en-GB"/>
        </w:rPr>
        <w:t>https://doi.org/10.1007/s10806-014-9491-3</w:t>
      </w:r>
    </w:p>
    <w:p w14:paraId="0D2BB012" w14:textId="77777777" w:rsidR="009B6ECC" w:rsidRPr="009B6ECC" w:rsidRDefault="009B6ECC" w:rsidP="009B5C21">
      <w:pPr>
        <w:pStyle w:val="Body"/>
        <w:spacing w:after="0"/>
        <w:ind w:left="720" w:hanging="720"/>
        <w:rPr>
          <w:lang w:val="en-GB"/>
        </w:rPr>
      </w:pPr>
      <w:r w:rsidRPr="009B6ECC">
        <w:rPr>
          <w:lang w:val="en-GB"/>
        </w:rPr>
        <w:lastRenderedPageBreak/>
        <w:t xml:space="preserve">Wagner, G. J. (2023). Phosphorus transport and homeostasis in vascular plants. </w:t>
      </w:r>
      <w:r w:rsidRPr="009B6ECC">
        <w:rPr>
          <w:i/>
          <w:iCs/>
          <w:lang w:val="en-GB"/>
        </w:rPr>
        <w:t>Annual Review of Plant Biology</w:t>
      </w:r>
      <w:r w:rsidRPr="009B6ECC">
        <w:rPr>
          <w:lang w:val="en-GB"/>
        </w:rPr>
        <w:t>, 74, 125–150. https://doi.org/10.1146/annurev-arplant-100322-030938</w:t>
      </w:r>
    </w:p>
    <w:p w14:paraId="600E6839" w14:textId="77777777" w:rsidR="009B6ECC" w:rsidRPr="009B6ECC" w:rsidRDefault="009B6ECC" w:rsidP="009B5C21">
      <w:pPr>
        <w:pStyle w:val="Body"/>
        <w:spacing w:after="0"/>
        <w:ind w:left="720" w:hanging="720"/>
        <w:rPr>
          <w:lang w:val="en-GB"/>
        </w:rPr>
      </w:pPr>
      <w:r w:rsidRPr="009B6ECC">
        <w:rPr>
          <w:lang w:val="en-GB"/>
        </w:rPr>
        <w:t xml:space="preserve">Williams, J. W., &amp; Downs, S. M. (2023). Magnesium toxicity and its clinical implications. </w:t>
      </w:r>
      <w:r w:rsidRPr="009B6ECC">
        <w:rPr>
          <w:i/>
          <w:iCs/>
          <w:lang w:val="en-GB"/>
        </w:rPr>
        <w:t>Clinical Nutrition</w:t>
      </w:r>
      <w:r w:rsidRPr="009B6ECC">
        <w:rPr>
          <w:lang w:val="en-GB"/>
        </w:rPr>
        <w:t>, 42(4), 695–702. https://doi.org/10.1016/j.clnu.2022.08.010</w:t>
      </w:r>
      <w:bookmarkEnd w:id="2"/>
    </w:p>
    <w:sectPr w:rsidR="009B6ECC" w:rsidRPr="009B6ECC" w:rsidSect="00E74EF9">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40FA42" w14:textId="77777777" w:rsidR="00A52BBF" w:rsidRDefault="00A52BBF" w:rsidP="00C37E61">
      <w:r>
        <w:separator/>
      </w:r>
    </w:p>
  </w:endnote>
  <w:endnote w:type="continuationSeparator" w:id="0">
    <w:p w14:paraId="2074D234" w14:textId="77777777" w:rsidR="00A52BBF" w:rsidRDefault="00A52BB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9CD8F" w14:textId="77777777" w:rsidR="00E97E27" w:rsidRDefault="00E97E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754B5" w14:textId="77777777" w:rsidR="00E97E27" w:rsidRDefault="00E97E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6688F" w14:textId="77777777" w:rsidR="009E048A" w:rsidRDefault="009E048A">
    <w:pPr>
      <w:pStyle w:val="Footer"/>
      <w:rPr>
        <w:rFonts w:ascii="Arial" w:hAnsi="Arial" w:cs="Arial"/>
        <w:sz w:val="16"/>
      </w:rPr>
    </w:pPr>
  </w:p>
  <w:p w14:paraId="79761E8C"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37ED094" w14:textId="77777777" w:rsidR="009E048A" w:rsidRDefault="009E048A">
    <w:pPr>
      <w:pStyle w:val="Footer"/>
      <w:rPr>
        <w:rFonts w:ascii="Arial" w:hAnsi="Arial" w:cs="Arial"/>
        <w:sz w:val="16"/>
      </w:rPr>
    </w:pPr>
  </w:p>
  <w:p w14:paraId="73149102"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5C9D12" w14:textId="77777777" w:rsidR="00A52BBF" w:rsidRDefault="00A52BBF" w:rsidP="00C37E61">
      <w:r>
        <w:separator/>
      </w:r>
    </w:p>
  </w:footnote>
  <w:footnote w:type="continuationSeparator" w:id="0">
    <w:p w14:paraId="1125EE27" w14:textId="77777777" w:rsidR="00A52BBF" w:rsidRDefault="00A52BB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5DC08" w14:textId="14D990A8" w:rsidR="00E97E27" w:rsidRDefault="00E97E27">
    <w:pPr>
      <w:pStyle w:val="Header"/>
    </w:pPr>
    <w:r>
      <w:rPr>
        <w:noProof/>
      </w:rPr>
      <w:pict w14:anchorId="0D0F09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755153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1DBD4" w14:textId="142BB8F3" w:rsidR="00E97E27" w:rsidRDefault="00E97E27">
    <w:pPr>
      <w:pStyle w:val="Header"/>
    </w:pPr>
    <w:r>
      <w:rPr>
        <w:noProof/>
      </w:rPr>
      <w:pict w14:anchorId="2953F0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755153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958A3" w14:textId="0C2B2264" w:rsidR="00296529" w:rsidRPr="00296529" w:rsidRDefault="00E97E27" w:rsidP="00296529">
    <w:pPr>
      <w:ind w:left="2160"/>
      <w:jc w:val="center"/>
      <w:rPr>
        <w:rFonts w:ascii="Times New Roman" w:eastAsia="Calibri" w:hAnsi="Times New Roman"/>
        <w:i/>
        <w:sz w:val="18"/>
        <w:szCs w:val="22"/>
      </w:rPr>
    </w:pPr>
    <w:r>
      <w:rPr>
        <w:noProof/>
      </w:rPr>
      <w:pict w14:anchorId="473D0D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755153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75A2D4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9888C6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67F5CC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F1726D0"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63908A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50EAC4A"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56BD8"/>
    <w:rsid w:val="00163BC4"/>
    <w:rsid w:val="00191062"/>
    <w:rsid w:val="00192B72"/>
    <w:rsid w:val="001A29D8"/>
    <w:rsid w:val="001A5CAA"/>
    <w:rsid w:val="001B0427"/>
    <w:rsid w:val="001D3A51"/>
    <w:rsid w:val="001E10D2"/>
    <w:rsid w:val="001E25B4"/>
    <w:rsid w:val="001E44FE"/>
    <w:rsid w:val="00200595"/>
    <w:rsid w:val="00204835"/>
    <w:rsid w:val="0022419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070B8"/>
    <w:rsid w:val="0031065F"/>
    <w:rsid w:val="00315186"/>
    <w:rsid w:val="0033343E"/>
    <w:rsid w:val="003512C2"/>
    <w:rsid w:val="003537B7"/>
    <w:rsid w:val="00364DD5"/>
    <w:rsid w:val="00371FB6"/>
    <w:rsid w:val="003763C1"/>
    <w:rsid w:val="00376BBE"/>
    <w:rsid w:val="0039224F"/>
    <w:rsid w:val="003A43A4"/>
    <w:rsid w:val="003A7E18"/>
    <w:rsid w:val="003C3209"/>
    <w:rsid w:val="003C4C86"/>
    <w:rsid w:val="003C6258"/>
    <w:rsid w:val="003E2904"/>
    <w:rsid w:val="00401927"/>
    <w:rsid w:val="00405A15"/>
    <w:rsid w:val="0041027F"/>
    <w:rsid w:val="00412475"/>
    <w:rsid w:val="00423789"/>
    <w:rsid w:val="00440F43"/>
    <w:rsid w:val="00441B6F"/>
    <w:rsid w:val="00446221"/>
    <w:rsid w:val="00447BEE"/>
    <w:rsid w:val="00450E62"/>
    <w:rsid w:val="004539DB"/>
    <w:rsid w:val="0045515C"/>
    <w:rsid w:val="00471A80"/>
    <w:rsid w:val="004D305E"/>
    <w:rsid w:val="004D4277"/>
    <w:rsid w:val="004E0D46"/>
    <w:rsid w:val="00502516"/>
    <w:rsid w:val="00505F06"/>
    <w:rsid w:val="00506828"/>
    <w:rsid w:val="0053056E"/>
    <w:rsid w:val="00541B4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A3E6E"/>
    <w:rsid w:val="006B21D3"/>
    <w:rsid w:val="006B57D0"/>
    <w:rsid w:val="006D30FF"/>
    <w:rsid w:val="006D6940"/>
    <w:rsid w:val="006F11EC"/>
    <w:rsid w:val="0070082C"/>
    <w:rsid w:val="00722101"/>
    <w:rsid w:val="007369E6"/>
    <w:rsid w:val="00746E59"/>
    <w:rsid w:val="00754C9A"/>
    <w:rsid w:val="0075599A"/>
    <w:rsid w:val="00761D52"/>
    <w:rsid w:val="00767489"/>
    <w:rsid w:val="0077749E"/>
    <w:rsid w:val="00790ADA"/>
    <w:rsid w:val="007D2288"/>
    <w:rsid w:val="007E088F"/>
    <w:rsid w:val="007E6999"/>
    <w:rsid w:val="007F7B32"/>
    <w:rsid w:val="00804BC2"/>
    <w:rsid w:val="0081431A"/>
    <w:rsid w:val="0083216F"/>
    <w:rsid w:val="00860000"/>
    <w:rsid w:val="00863BD3"/>
    <w:rsid w:val="008641ED"/>
    <w:rsid w:val="00866D66"/>
    <w:rsid w:val="008671C6"/>
    <w:rsid w:val="00870CAB"/>
    <w:rsid w:val="00875803"/>
    <w:rsid w:val="008B459E"/>
    <w:rsid w:val="008C25C8"/>
    <w:rsid w:val="008E13AE"/>
    <w:rsid w:val="008E1506"/>
    <w:rsid w:val="008E5070"/>
    <w:rsid w:val="008E710C"/>
    <w:rsid w:val="008F69D6"/>
    <w:rsid w:val="00902823"/>
    <w:rsid w:val="00915CA6"/>
    <w:rsid w:val="00927834"/>
    <w:rsid w:val="009500A6"/>
    <w:rsid w:val="00957C18"/>
    <w:rsid w:val="009659BA"/>
    <w:rsid w:val="00983040"/>
    <w:rsid w:val="009B3FB9"/>
    <w:rsid w:val="009B5C21"/>
    <w:rsid w:val="009B6ECC"/>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2BBF"/>
    <w:rsid w:val="00A539AD"/>
    <w:rsid w:val="00A832AD"/>
    <w:rsid w:val="00A94063"/>
    <w:rsid w:val="00AA6219"/>
    <w:rsid w:val="00AA74E0"/>
    <w:rsid w:val="00AB703F"/>
    <w:rsid w:val="00AC6BB8"/>
    <w:rsid w:val="00AE008F"/>
    <w:rsid w:val="00B01FCD"/>
    <w:rsid w:val="00B1776C"/>
    <w:rsid w:val="00B52583"/>
    <w:rsid w:val="00B52896"/>
    <w:rsid w:val="00B52CB6"/>
    <w:rsid w:val="00B95236"/>
    <w:rsid w:val="00B96BD9"/>
    <w:rsid w:val="00BA1B01"/>
    <w:rsid w:val="00BA2641"/>
    <w:rsid w:val="00BA43D0"/>
    <w:rsid w:val="00BB37AA"/>
    <w:rsid w:val="00BC53A0"/>
    <w:rsid w:val="00BE555B"/>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53FDD"/>
    <w:rsid w:val="00D74CB0"/>
    <w:rsid w:val="00D8295D"/>
    <w:rsid w:val="00DC2A65"/>
    <w:rsid w:val="00DE0967"/>
    <w:rsid w:val="00DE15F0"/>
    <w:rsid w:val="00DE5663"/>
    <w:rsid w:val="00DE78AA"/>
    <w:rsid w:val="00E053D0"/>
    <w:rsid w:val="00E15994"/>
    <w:rsid w:val="00E3114E"/>
    <w:rsid w:val="00E31A70"/>
    <w:rsid w:val="00E33DE0"/>
    <w:rsid w:val="00E35B02"/>
    <w:rsid w:val="00E53C13"/>
    <w:rsid w:val="00E66496"/>
    <w:rsid w:val="00E66B35"/>
    <w:rsid w:val="00E66E10"/>
    <w:rsid w:val="00E74EF9"/>
    <w:rsid w:val="00E769F6"/>
    <w:rsid w:val="00E8407C"/>
    <w:rsid w:val="00E8499E"/>
    <w:rsid w:val="00E84F3C"/>
    <w:rsid w:val="00E97E27"/>
    <w:rsid w:val="00EA012C"/>
    <w:rsid w:val="00EC6A55"/>
    <w:rsid w:val="00ED0288"/>
    <w:rsid w:val="00EE52CB"/>
    <w:rsid w:val="00EF581D"/>
    <w:rsid w:val="00EF66F7"/>
    <w:rsid w:val="00EF7FD8"/>
    <w:rsid w:val="00F06F59"/>
    <w:rsid w:val="00F165B0"/>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CF6B7B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72210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72210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3117814">
      <w:bodyDiv w:val="1"/>
      <w:marLeft w:val="0"/>
      <w:marRight w:val="0"/>
      <w:marTop w:val="0"/>
      <w:marBottom w:val="0"/>
      <w:divBdr>
        <w:top w:val="none" w:sz="0" w:space="0" w:color="auto"/>
        <w:left w:val="none" w:sz="0" w:space="0" w:color="auto"/>
        <w:bottom w:val="none" w:sz="0" w:space="0" w:color="auto"/>
        <w:right w:val="none" w:sz="0" w:space="0" w:color="auto"/>
      </w:divBdr>
    </w:div>
    <w:div w:id="39400053">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85819204">
      <w:bodyDiv w:val="1"/>
      <w:marLeft w:val="0"/>
      <w:marRight w:val="0"/>
      <w:marTop w:val="0"/>
      <w:marBottom w:val="0"/>
      <w:divBdr>
        <w:top w:val="none" w:sz="0" w:space="0" w:color="auto"/>
        <w:left w:val="none" w:sz="0" w:space="0" w:color="auto"/>
        <w:bottom w:val="none" w:sz="0" w:space="0" w:color="auto"/>
        <w:right w:val="none" w:sz="0" w:space="0" w:color="auto"/>
      </w:divBdr>
    </w:div>
    <w:div w:id="385183042">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41346449">
      <w:bodyDiv w:val="1"/>
      <w:marLeft w:val="0"/>
      <w:marRight w:val="0"/>
      <w:marTop w:val="0"/>
      <w:marBottom w:val="0"/>
      <w:divBdr>
        <w:top w:val="none" w:sz="0" w:space="0" w:color="auto"/>
        <w:left w:val="none" w:sz="0" w:space="0" w:color="auto"/>
        <w:bottom w:val="none" w:sz="0" w:space="0" w:color="auto"/>
        <w:right w:val="none" w:sz="0" w:space="0" w:color="auto"/>
      </w:divBdr>
    </w:div>
    <w:div w:id="706177434">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07446826">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31814874">
      <w:bodyDiv w:val="1"/>
      <w:marLeft w:val="0"/>
      <w:marRight w:val="0"/>
      <w:marTop w:val="0"/>
      <w:marBottom w:val="0"/>
      <w:divBdr>
        <w:top w:val="none" w:sz="0" w:space="0" w:color="auto"/>
        <w:left w:val="none" w:sz="0" w:space="0" w:color="auto"/>
        <w:bottom w:val="none" w:sz="0" w:space="0" w:color="auto"/>
        <w:right w:val="none" w:sz="0" w:space="0" w:color="auto"/>
      </w:divBdr>
    </w:div>
    <w:div w:id="1539781589">
      <w:bodyDiv w:val="1"/>
      <w:marLeft w:val="0"/>
      <w:marRight w:val="0"/>
      <w:marTop w:val="0"/>
      <w:marBottom w:val="0"/>
      <w:divBdr>
        <w:top w:val="none" w:sz="0" w:space="0" w:color="auto"/>
        <w:left w:val="none" w:sz="0" w:space="0" w:color="auto"/>
        <w:bottom w:val="none" w:sz="0" w:space="0" w:color="auto"/>
        <w:right w:val="none" w:sz="0" w:space="0" w:color="auto"/>
      </w:divBdr>
    </w:div>
    <w:div w:id="1617978007">
      <w:bodyDiv w:val="1"/>
      <w:marLeft w:val="0"/>
      <w:marRight w:val="0"/>
      <w:marTop w:val="0"/>
      <w:marBottom w:val="0"/>
      <w:divBdr>
        <w:top w:val="none" w:sz="0" w:space="0" w:color="auto"/>
        <w:left w:val="none" w:sz="0" w:space="0" w:color="auto"/>
        <w:bottom w:val="none" w:sz="0" w:space="0" w:color="auto"/>
        <w:right w:val="none" w:sz="0" w:space="0" w:color="auto"/>
      </w:divBdr>
    </w:div>
    <w:div w:id="1642731572">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90458984">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9734/BPI/CTAS/v8/2919B"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hyperlink" Target="https://doi.org/10.3390/nu1412256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footer" Target="footer1.xml"/><Relationship Id="rId19" Type="http://schemas.openxmlformats.org/officeDocument/2006/relationships/hyperlink" Target="https://doi.org/10.9734/IJBCRR/2018/41759"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F2B39D-C8BF-44E5-BABB-E0C23CDA8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67</TotalTime>
  <Pages>10</Pages>
  <Words>4072</Words>
  <Characters>23214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27232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16</cp:revision>
  <cp:lastPrinted>1999-07-06T11:00:00Z</cp:lastPrinted>
  <dcterms:created xsi:type="dcterms:W3CDTF">2025-05-30T17:57:00Z</dcterms:created>
  <dcterms:modified xsi:type="dcterms:W3CDTF">2025-05-31T10:48:00Z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512375a8-99ab-4abc-bb5e-1666ad6c0aaf</vt:lpwstr>
  </property>
</Properties>
</file>