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E8470" w14:textId="675D33D8" w:rsidR="00062369" w:rsidRDefault="002712D4" w:rsidP="00062369">
      <w:pPr>
        <w:pStyle w:val="Title"/>
        <w:widowControl w:val="0"/>
        <w:autoSpaceDE w:val="0"/>
        <w:autoSpaceDN w:val="0"/>
        <w:spacing w:after="0"/>
        <w:ind w:left="495" w:right="983"/>
        <w:contextualSpacing w:val="0"/>
        <w:jc w:val="right"/>
        <w:rPr>
          <w:rFonts w:ascii="Arial" w:eastAsia="Times New Roman" w:hAnsi="Arial" w:cs="Arial"/>
          <w:b/>
          <w:bCs/>
          <w:iCs/>
          <w:spacing w:val="0"/>
          <w:sz w:val="36"/>
          <w:szCs w:val="20"/>
          <w14:ligatures w14:val="none"/>
        </w:rPr>
      </w:pPr>
      <w:r w:rsidRPr="002712D4">
        <w:rPr>
          <w:rFonts w:ascii="Arial" w:eastAsia="Times New Roman" w:hAnsi="Arial" w:cs="Arial"/>
          <w:b/>
          <w:bCs/>
          <w:iCs/>
          <w:spacing w:val="0"/>
          <w:sz w:val="36"/>
          <w:szCs w:val="20"/>
          <w14:ligatures w14:val="none"/>
        </w:rPr>
        <w:t>Original Research Article</w:t>
      </w:r>
    </w:p>
    <w:p w14:paraId="109643B7" w14:textId="77777777" w:rsidR="002712D4" w:rsidRDefault="002712D4" w:rsidP="002712D4"/>
    <w:p w14:paraId="58D2F48D" w14:textId="77777777" w:rsidR="002712D4" w:rsidRPr="002712D4" w:rsidRDefault="002712D4" w:rsidP="002712D4"/>
    <w:p w14:paraId="77AD2C59" w14:textId="6FF8958F" w:rsidR="00E659FE" w:rsidRDefault="001211AA" w:rsidP="00062369">
      <w:pPr>
        <w:pStyle w:val="Title"/>
        <w:widowControl w:val="0"/>
        <w:autoSpaceDE w:val="0"/>
        <w:autoSpaceDN w:val="0"/>
        <w:spacing w:after="0" w:line="360" w:lineRule="auto"/>
        <w:ind w:left="495" w:right="983"/>
        <w:contextualSpacing w:val="0"/>
        <w:jc w:val="right"/>
        <w:rPr>
          <w:rFonts w:ascii="Arial" w:eastAsia="Times New Roman" w:hAnsi="Arial" w:cs="Arial"/>
          <w:b/>
          <w:bCs/>
          <w:iCs/>
          <w:spacing w:val="0"/>
          <w:sz w:val="36"/>
          <w:szCs w:val="20"/>
          <w14:ligatures w14:val="none"/>
        </w:rPr>
      </w:pPr>
      <w:r w:rsidRPr="00062369">
        <w:rPr>
          <w:rFonts w:ascii="Arial" w:eastAsia="Times New Roman" w:hAnsi="Arial" w:cs="Arial"/>
          <w:b/>
          <w:bCs/>
          <w:iCs/>
          <w:spacing w:val="0"/>
          <w:sz w:val="36"/>
          <w:szCs w:val="20"/>
          <w14:ligatures w14:val="none"/>
        </w:rPr>
        <w:t xml:space="preserve">A Comparative Analysis of the Spending Patterns of Undergraduates Based on their Demographic Characteristics at </w:t>
      </w:r>
      <w:proofErr w:type="spellStart"/>
      <w:r w:rsidRPr="00062369">
        <w:rPr>
          <w:rFonts w:ascii="Arial" w:eastAsia="Times New Roman" w:hAnsi="Arial" w:cs="Arial"/>
          <w:b/>
          <w:bCs/>
          <w:iCs/>
          <w:spacing w:val="0"/>
          <w:sz w:val="36"/>
          <w:szCs w:val="20"/>
          <w14:ligatures w14:val="none"/>
        </w:rPr>
        <w:t>Yezin</w:t>
      </w:r>
      <w:proofErr w:type="spellEnd"/>
      <w:r w:rsidRPr="00062369">
        <w:rPr>
          <w:rFonts w:ascii="Arial" w:eastAsia="Times New Roman" w:hAnsi="Arial" w:cs="Arial"/>
          <w:b/>
          <w:bCs/>
          <w:iCs/>
          <w:spacing w:val="0"/>
          <w:sz w:val="36"/>
          <w:szCs w:val="20"/>
          <w14:ligatures w14:val="none"/>
        </w:rPr>
        <w:t xml:space="preserve"> Agricultural University, Myanmar</w:t>
      </w:r>
    </w:p>
    <w:p w14:paraId="64D33762" w14:textId="77777777" w:rsidR="003E1BB3" w:rsidRPr="003E1BB3" w:rsidRDefault="003E1BB3" w:rsidP="003E1BB3"/>
    <w:p w14:paraId="3C151DF1" w14:textId="77777777" w:rsidR="00BF7DEB" w:rsidRDefault="00BF7DEB" w:rsidP="002D0394">
      <w:pPr>
        <w:spacing w:after="0" w:line="276" w:lineRule="auto"/>
        <w:ind w:left="709" w:right="1088"/>
        <w:jc w:val="right"/>
        <w:rPr>
          <w:rFonts w:ascii="Arial" w:eastAsia="Times New Roman" w:hAnsi="Arial" w:cs="Arial"/>
          <w:i/>
          <w:kern w:val="0"/>
          <w:sz w:val="20"/>
          <w:szCs w:val="20"/>
          <w14:ligatures w14:val="none"/>
        </w:rPr>
      </w:pPr>
    </w:p>
    <w:p w14:paraId="3D9054D1" w14:textId="466216E5" w:rsidR="002D0394" w:rsidRPr="00FC2BA0" w:rsidRDefault="002D0394" w:rsidP="002D0394">
      <w:pPr>
        <w:spacing w:after="0" w:line="276" w:lineRule="auto"/>
        <w:ind w:left="709" w:right="1088"/>
        <w:jc w:val="right"/>
        <w:rPr>
          <w:rFonts w:ascii="Arial" w:eastAsia="Times New Roman" w:hAnsi="Arial" w:cs="Arial"/>
          <w:i/>
          <w:kern w:val="0"/>
          <w:sz w:val="20"/>
          <w:szCs w:val="20"/>
          <w14:ligatures w14:val="none"/>
        </w:rPr>
      </w:pPr>
      <w:r>
        <w:rPr>
          <w:rFonts w:ascii="Arial" w:eastAsia="Times New Roman" w:hAnsi="Arial" w:cs="Arial"/>
          <w:i/>
          <w:kern w:val="0"/>
          <w:sz w:val="20"/>
          <w:szCs w:val="20"/>
          <w14:ligatures w14:val="none"/>
        </w:rPr>
        <w:t xml:space="preserve"> </w:t>
      </w:r>
    </w:p>
    <w:p w14:paraId="46DF5CB5" w14:textId="5B4DC1C6" w:rsidR="001211AA" w:rsidRDefault="001211AA" w:rsidP="00EB50B3">
      <w:pPr>
        <w:widowControl w:val="0"/>
        <w:autoSpaceDE w:val="0"/>
        <w:autoSpaceDN w:val="0"/>
        <w:spacing w:after="0" w:line="240" w:lineRule="auto"/>
        <w:ind w:right="983"/>
        <w:rPr>
          <w:rFonts w:ascii="Arial" w:eastAsia="Times New Roman" w:hAnsi="Arial" w:cs="Arial"/>
          <w:b/>
          <w:caps/>
          <w:kern w:val="0"/>
          <w:sz w:val="22"/>
          <w:szCs w:val="20"/>
          <w14:ligatures w14:val="none"/>
        </w:rPr>
      </w:pPr>
      <w:r w:rsidRPr="00EB50B3">
        <w:rPr>
          <w:rFonts w:ascii="Arial" w:eastAsia="Times New Roman" w:hAnsi="Arial" w:cs="Arial"/>
          <w:b/>
          <w:caps/>
          <w:kern w:val="0"/>
          <w:sz w:val="22"/>
          <w:szCs w:val="20"/>
          <w14:ligatures w14:val="none"/>
        </w:rPr>
        <w:t>Abstract</w:t>
      </w:r>
    </w:p>
    <w:p w14:paraId="5834B921" w14:textId="77777777" w:rsidR="00EB50B3" w:rsidRPr="00EB50B3" w:rsidRDefault="00EB50B3" w:rsidP="00EB50B3">
      <w:pPr>
        <w:widowControl w:val="0"/>
        <w:autoSpaceDE w:val="0"/>
        <w:autoSpaceDN w:val="0"/>
        <w:spacing w:after="0" w:line="240" w:lineRule="auto"/>
        <w:ind w:right="983"/>
        <w:rPr>
          <w:rFonts w:ascii="Arial" w:eastAsia="Times New Roman" w:hAnsi="Arial" w:cs="Arial"/>
          <w:b/>
          <w:caps/>
          <w:kern w:val="0"/>
          <w:sz w:val="22"/>
          <w:szCs w:val="20"/>
          <w14:ligatures w14:val="none"/>
        </w:rPr>
      </w:pPr>
    </w:p>
    <w:p w14:paraId="10C0C2AB" w14:textId="44E39095" w:rsidR="000D6BFF" w:rsidRDefault="000D6BFF" w:rsidP="00EB50B3">
      <w:pPr>
        <w:pStyle w:val="Body"/>
        <w:spacing w:after="0"/>
        <w:rPr>
          <w:rFonts w:ascii="Arial" w:eastAsia="Calibri" w:hAnsi="Arial" w:cs="Arial"/>
          <w:szCs w:val="22"/>
        </w:rPr>
      </w:pPr>
      <w:r w:rsidRPr="00EB50B3">
        <w:rPr>
          <w:rFonts w:ascii="Arial" w:eastAsia="Calibri" w:hAnsi="Arial" w:cs="Arial"/>
          <w:szCs w:val="22"/>
        </w:rPr>
        <w:t xml:space="preserve">Increasing expenses for students are becoming a major issue that has an impact on both their academic performance and daily life. The research aimed to explore a comparative analysis of the spending patterns of undergraduates based on their demographic characteristics. The study’s participants were 470 undergraduate students from </w:t>
      </w:r>
      <w:proofErr w:type="spellStart"/>
      <w:r w:rsidRPr="00EB50B3">
        <w:rPr>
          <w:rFonts w:ascii="Arial" w:eastAsia="Calibri" w:hAnsi="Arial" w:cs="Arial"/>
          <w:szCs w:val="22"/>
        </w:rPr>
        <w:t>Yezin</w:t>
      </w:r>
      <w:proofErr w:type="spellEnd"/>
      <w:r w:rsidRPr="00EB50B3">
        <w:rPr>
          <w:rFonts w:ascii="Arial" w:eastAsia="Calibri" w:hAnsi="Arial" w:cs="Arial"/>
          <w:szCs w:val="22"/>
        </w:rPr>
        <w:t xml:space="preserve"> Agricultural University in Myanmar, who were selected using a proportionate stratified random sampling technique. The study used descriptive and inferential statistics as statistical measures for data analysis. </w:t>
      </w:r>
      <w:r w:rsidR="0059147E" w:rsidRPr="00EB50B3">
        <w:rPr>
          <w:rFonts w:ascii="Arial" w:eastAsia="Calibri" w:hAnsi="Arial" w:cs="Arial"/>
          <w:szCs w:val="22"/>
        </w:rPr>
        <w:t>The average age of the students is 24.04 years, indicating that they represent a more mature age. The typical family size was five people, which could involve financial support. Most parents obtained a basic education, with the majority of students' fathers working in agriculture. The average monthly income of the parents was 1,040,000 MMK. Results also indicated the majority of students relied on parental allowances for financial support. In addition, students' income had no significant differences according to their parents' income, but there were significant differences according to their educational level. Furthermore, students' expenses had significant differences according to their educational level and income. It was recommended that educational institutions should develop and implement comprehensive financial literacy programs specifically for undergraduate students.</w:t>
      </w:r>
      <w:r w:rsidR="00CB7A86" w:rsidRPr="00EB50B3">
        <w:rPr>
          <w:rFonts w:ascii="Arial" w:eastAsia="Calibri" w:hAnsi="Arial" w:cs="Arial"/>
          <w:szCs w:val="22"/>
        </w:rPr>
        <w:t xml:space="preserve"> Collaborating with community organizations to offer part-time employment opportunities may assist students in developing better financial management abilities and improving their overall well-being.</w:t>
      </w:r>
    </w:p>
    <w:p w14:paraId="4294FF0F" w14:textId="77777777" w:rsidR="00EB50B3" w:rsidRPr="00EB50B3" w:rsidRDefault="00EB50B3" w:rsidP="00EB50B3">
      <w:pPr>
        <w:pStyle w:val="Body"/>
        <w:spacing w:after="0"/>
        <w:rPr>
          <w:rFonts w:ascii="Arial" w:eastAsia="Calibri" w:hAnsi="Arial" w:cs="Arial"/>
          <w:szCs w:val="22"/>
        </w:rPr>
      </w:pPr>
    </w:p>
    <w:p w14:paraId="2681C0BE" w14:textId="30D4D263" w:rsidR="001211AA" w:rsidRDefault="001211AA" w:rsidP="00EB50B3">
      <w:pPr>
        <w:autoSpaceDE w:val="0"/>
        <w:autoSpaceDN w:val="0"/>
        <w:adjustRightInd w:val="0"/>
        <w:spacing w:after="0" w:line="360" w:lineRule="auto"/>
        <w:jc w:val="both"/>
        <w:rPr>
          <w:rFonts w:ascii="Arial" w:eastAsia="Times New Roman" w:hAnsi="Arial" w:cs="Arial"/>
          <w:i/>
          <w:kern w:val="0"/>
          <w:sz w:val="20"/>
          <w:szCs w:val="20"/>
          <w14:ligatures w14:val="none"/>
        </w:rPr>
      </w:pPr>
      <w:r w:rsidRPr="00EB50B3">
        <w:rPr>
          <w:rFonts w:ascii="Arial" w:eastAsia="Times New Roman" w:hAnsi="Arial" w:cs="Arial"/>
          <w:i/>
          <w:kern w:val="0"/>
          <w:sz w:val="20"/>
          <w:szCs w:val="20"/>
          <w14:ligatures w14:val="none"/>
        </w:rPr>
        <w:t xml:space="preserve">Keywords: </w:t>
      </w:r>
      <w:r w:rsidR="00880B3A" w:rsidRPr="00EB50B3">
        <w:rPr>
          <w:rFonts w:ascii="Arial" w:eastAsia="Times New Roman" w:hAnsi="Arial" w:cs="Arial"/>
          <w:i/>
          <w:kern w:val="0"/>
          <w:sz w:val="20"/>
          <w:szCs w:val="20"/>
          <w14:ligatures w14:val="none"/>
        </w:rPr>
        <w:t>income, s</w:t>
      </w:r>
      <w:r w:rsidR="0028062C" w:rsidRPr="00EB50B3">
        <w:rPr>
          <w:rFonts w:ascii="Arial" w:eastAsia="Times New Roman" w:hAnsi="Arial" w:cs="Arial"/>
          <w:i/>
          <w:kern w:val="0"/>
          <w:sz w:val="20"/>
          <w:szCs w:val="20"/>
          <w14:ligatures w14:val="none"/>
        </w:rPr>
        <w:t xml:space="preserve">pending patterns, undergraduates, </w:t>
      </w:r>
      <w:proofErr w:type="spellStart"/>
      <w:r w:rsidR="0028062C" w:rsidRPr="00EB50B3">
        <w:rPr>
          <w:rFonts w:ascii="Arial" w:eastAsia="Times New Roman" w:hAnsi="Arial" w:cs="Arial"/>
          <w:i/>
          <w:kern w:val="0"/>
          <w:sz w:val="20"/>
          <w:szCs w:val="20"/>
          <w14:ligatures w14:val="none"/>
        </w:rPr>
        <w:t>Yezin</w:t>
      </w:r>
      <w:proofErr w:type="spellEnd"/>
      <w:r w:rsidR="0028062C" w:rsidRPr="00EB50B3">
        <w:rPr>
          <w:rFonts w:ascii="Arial" w:eastAsia="Times New Roman" w:hAnsi="Arial" w:cs="Arial"/>
          <w:i/>
          <w:kern w:val="0"/>
          <w:sz w:val="20"/>
          <w:szCs w:val="20"/>
          <w14:ligatures w14:val="none"/>
        </w:rPr>
        <w:t xml:space="preserve"> Agricultural University, </w:t>
      </w:r>
    </w:p>
    <w:p w14:paraId="7E6A410A" w14:textId="77777777" w:rsidR="00A64104" w:rsidRPr="00EB50B3" w:rsidRDefault="00A64104" w:rsidP="00EB50B3">
      <w:pPr>
        <w:autoSpaceDE w:val="0"/>
        <w:autoSpaceDN w:val="0"/>
        <w:adjustRightInd w:val="0"/>
        <w:spacing w:after="0" w:line="360" w:lineRule="auto"/>
        <w:jc w:val="both"/>
        <w:rPr>
          <w:rFonts w:ascii="Arial" w:eastAsia="Times New Roman" w:hAnsi="Arial" w:cs="Arial"/>
          <w:i/>
          <w:kern w:val="0"/>
          <w:sz w:val="20"/>
          <w:szCs w:val="20"/>
          <w14:ligatures w14:val="none"/>
        </w:rPr>
      </w:pPr>
    </w:p>
    <w:p w14:paraId="27F7E65B" w14:textId="65D991A3" w:rsidR="001211AA" w:rsidRPr="00EB50B3" w:rsidRDefault="00EB50B3" w:rsidP="00EB50B3">
      <w:pPr>
        <w:pStyle w:val="AbstHead"/>
        <w:tabs>
          <w:tab w:val="left" w:pos="284"/>
        </w:tabs>
        <w:spacing w:after="0"/>
        <w:jc w:val="both"/>
        <w:rPr>
          <w:rFonts w:ascii="Arial" w:hAnsi="Arial" w:cs="Arial"/>
        </w:rPr>
      </w:pPr>
      <w:r>
        <w:rPr>
          <w:rFonts w:ascii="Arial" w:hAnsi="Arial" w:cs="Arial"/>
        </w:rPr>
        <w:t>1</w:t>
      </w:r>
      <w:r>
        <w:rPr>
          <w:rFonts w:ascii="Arial" w:hAnsi="Arial" w:cs="Arial"/>
        </w:rPr>
        <w:tab/>
      </w:r>
      <w:r w:rsidR="0028062C" w:rsidRPr="00EB50B3">
        <w:rPr>
          <w:rFonts w:ascii="Arial" w:hAnsi="Arial" w:cs="Arial"/>
        </w:rPr>
        <w:t>Introduction</w:t>
      </w:r>
    </w:p>
    <w:p w14:paraId="6E89F359" w14:textId="64E0D3AD" w:rsidR="0028062C" w:rsidRDefault="005D0954" w:rsidP="00EB50B3">
      <w:pPr>
        <w:pStyle w:val="Body"/>
        <w:spacing w:after="0"/>
        <w:rPr>
          <w:rFonts w:ascii="Arial" w:hAnsi="Arial" w:cs="Arial"/>
        </w:rPr>
      </w:pPr>
      <w:r w:rsidRPr="00EB50B3">
        <w:rPr>
          <w:rFonts w:ascii="Arial" w:hAnsi="Arial" w:cs="Arial"/>
        </w:rPr>
        <w:t xml:space="preserve">A person's financial management skills are crucial for achieving success in life. Effective financial management practices are essential for all societal members, including university students.  University students sometimes face a significant challenge due to limited financial resources that must meet substantial monthly expenditures such as accommodation fees, tuition, food, and other necessities. Consequently, it is important for them to effectively handle their finances. </w:t>
      </w:r>
    </w:p>
    <w:p w14:paraId="0E98F7BF" w14:textId="77777777" w:rsidR="00EB50B3" w:rsidRPr="00EB50B3" w:rsidRDefault="00EB50B3" w:rsidP="00EB50B3">
      <w:pPr>
        <w:pStyle w:val="Body"/>
        <w:spacing w:after="0"/>
        <w:rPr>
          <w:rFonts w:ascii="Arial" w:hAnsi="Arial" w:cs="Arial"/>
        </w:rPr>
      </w:pPr>
    </w:p>
    <w:p w14:paraId="66174B6C" w14:textId="2FA6CDA5" w:rsidR="005D0954" w:rsidRDefault="005D0954" w:rsidP="00EB50B3">
      <w:pPr>
        <w:pStyle w:val="Body"/>
        <w:spacing w:after="0"/>
        <w:rPr>
          <w:rFonts w:ascii="Arial" w:hAnsi="Arial" w:cs="Arial"/>
        </w:rPr>
      </w:pPr>
      <w:r w:rsidRPr="00EB50B3">
        <w:rPr>
          <w:rFonts w:ascii="Arial" w:hAnsi="Arial" w:cs="Arial"/>
        </w:rPr>
        <w:t>People are spending more now that technology has changed, and goods and services are easier to get. Over the years, various factors have caused young people to spend more money. People often have problems with overspending and buying things they do not need. To avoid these issues, young people should learn how to spend and save money wisely so they can be financially stable in the future. But recently people's buying habits have changed a lot because of the outbreak. People's income and ability to buy things have decreased due to the outbreak.</w:t>
      </w:r>
    </w:p>
    <w:p w14:paraId="1F104D2D" w14:textId="77777777" w:rsidR="00EB50B3" w:rsidRPr="00EB50B3" w:rsidRDefault="00EB50B3" w:rsidP="00EB50B3">
      <w:pPr>
        <w:pStyle w:val="Body"/>
        <w:spacing w:after="0"/>
        <w:rPr>
          <w:rFonts w:ascii="Arial" w:hAnsi="Arial" w:cs="Arial"/>
        </w:rPr>
      </w:pPr>
    </w:p>
    <w:p w14:paraId="2E1BC226" w14:textId="350AAE63" w:rsidR="007658C3" w:rsidRDefault="00833117" w:rsidP="00EB50B3">
      <w:pPr>
        <w:pStyle w:val="Body"/>
        <w:spacing w:after="0"/>
        <w:rPr>
          <w:rFonts w:ascii="Arial" w:hAnsi="Arial" w:cs="Arial"/>
        </w:rPr>
      </w:pPr>
      <w:r w:rsidRPr="00EB50B3">
        <w:rPr>
          <w:rFonts w:ascii="Arial" w:hAnsi="Arial" w:cs="Arial"/>
        </w:rPr>
        <w:lastRenderedPageBreak/>
        <w:t xml:space="preserve">Parents help their children to save until they become youth. The younger generation should be taught how to manage their spending and </w:t>
      </w:r>
      <w:r w:rsidR="007A00B4" w:rsidRPr="00EB50B3">
        <w:rPr>
          <w:rFonts w:ascii="Arial" w:hAnsi="Arial" w:cs="Arial"/>
        </w:rPr>
        <w:t>savings</w:t>
      </w:r>
      <w:r w:rsidRPr="00EB50B3">
        <w:rPr>
          <w:rFonts w:ascii="Arial" w:hAnsi="Arial" w:cs="Arial"/>
        </w:rPr>
        <w:t xml:space="preserve"> and how to create budgets for future activities. Many youths are influenced by their family, especially </w:t>
      </w:r>
      <w:r w:rsidR="007A00B4" w:rsidRPr="00EB50B3">
        <w:rPr>
          <w:rFonts w:ascii="Arial" w:hAnsi="Arial" w:cs="Arial"/>
        </w:rPr>
        <w:t>teenagers who</w:t>
      </w:r>
      <w:r w:rsidRPr="00EB50B3">
        <w:rPr>
          <w:rFonts w:ascii="Arial" w:hAnsi="Arial" w:cs="Arial"/>
        </w:rPr>
        <w:t xml:space="preserve"> observe the spending habits of their parents and family members (</w:t>
      </w:r>
      <w:proofErr w:type="spellStart"/>
      <w:r w:rsidRPr="00EB50B3">
        <w:rPr>
          <w:rFonts w:ascii="Arial" w:hAnsi="Arial" w:cs="Arial"/>
        </w:rPr>
        <w:t>Arshath</w:t>
      </w:r>
      <w:proofErr w:type="spellEnd"/>
      <w:r w:rsidRPr="00EB50B3">
        <w:rPr>
          <w:rFonts w:ascii="Arial" w:hAnsi="Arial" w:cs="Arial"/>
        </w:rPr>
        <w:t xml:space="preserve"> et al., 2021).</w:t>
      </w:r>
      <w:r w:rsidR="007A00B4" w:rsidRPr="00EB50B3">
        <w:rPr>
          <w:rFonts w:ascii="Arial" w:hAnsi="Arial" w:cs="Arial"/>
        </w:rPr>
        <w:t xml:space="preserve"> Throughout history, </w:t>
      </w:r>
      <w:r w:rsidR="008358B4" w:rsidRPr="00EB50B3">
        <w:rPr>
          <w:rFonts w:ascii="Arial" w:hAnsi="Arial" w:cs="Arial"/>
        </w:rPr>
        <w:t>educational institutions</w:t>
      </w:r>
      <w:r w:rsidR="007A00B4" w:rsidRPr="00EB50B3">
        <w:rPr>
          <w:rFonts w:ascii="Arial" w:hAnsi="Arial" w:cs="Arial"/>
        </w:rPr>
        <w:t xml:space="preserve"> have used parental support both in and out of the classroom in order to </w:t>
      </w:r>
      <w:r w:rsidR="008358B4" w:rsidRPr="00EB50B3">
        <w:rPr>
          <w:rFonts w:ascii="Arial" w:hAnsi="Arial" w:cs="Arial"/>
        </w:rPr>
        <w:t>increase</w:t>
      </w:r>
      <w:r w:rsidR="007A00B4" w:rsidRPr="00EB50B3">
        <w:rPr>
          <w:rFonts w:ascii="Arial" w:hAnsi="Arial" w:cs="Arial"/>
        </w:rPr>
        <w:t xml:space="preserve"> students’ educational achievement and behavior outcomes. Parental involvement has often been found to influence positively the academic performance of students</w:t>
      </w:r>
      <w:r w:rsidR="008358B4" w:rsidRPr="00EB50B3">
        <w:rPr>
          <w:rFonts w:ascii="Arial" w:hAnsi="Arial" w:cs="Arial"/>
        </w:rPr>
        <w:t xml:space="preserve"> (Aung &amp; Ye, 2018)</w:t>
      </w:r>
      <w:r w:rsidR="007A00B4" w:rsidRPr="00EB50B3">
        <w:rPr>
          <w:rFonts w:ascii="Arial" w:hAnsi="Arial" w:cs="Arial"/>
        </w:rPr>
        <w:t>.</w:t>
      </w:r>
      <w:r w:rsidR="007658C3" w:rsidRPr="00EB50B3">
        <w:rPr>
          <w:rFonts w:ascii="Arial" w:hAnsi="Arial" w:cs="Arial"/>
        </w:rPr>
        <w:t xml:space="preserve"> There is a significant relationship between the influence of peers, parents and level of literacy and the saving and spending habit of youth (Chavali, 2020). </w:t>
      </w:r>
    </w:p>
    <w:p w14:paraId="74D2C234" w14:textId="77777777" w:rsidR="00EB50B3" w:rsidRPr="00EB50B3" w:rsidRDefault="00EB50B3" w:rsidP="00EB50B3">
      <w:pPr>
        <w:pStyle w:val="Body"/>
        <w:spacing w:after="0"/>
        <w:rPr>
          <w:rFonts w:ascii="Arial" w:hAnsi="Arial" w:cs="Arial"/>
        </w:rPr>
      </w:pPr>
    </w:p>
    <w:p w14:paraId="23D28D89" w14:textId="4920C149" w:rsidR="004639C5" w:rsidRDefault="004639C5" w:rsidP="00EB50B3">
      <w:pPr>
        <w:pStyle w:val="Body"/>
        <w:spacing w:after="0"/>
        <w:rPr>
          <w:rFonts w:ascii="Arial" w:hAnsi="Arial" w:cs="Arial"/>
        </w:rPr>
      </w:pPr>
      <w:r w:rsidRPr="00EB50B3">
        <w:rPr>
          <w:rFonts w:ascii="Arial" w:hAnsi="Arial" w:cs="Arial"/>
        </w:rPr>
        <w:t xml:space="preserve">Numerous studies indicate that parents and family significantly influence their children's financial behaviors (Khawar &amp; Sarwar, 2021). Bona (2018) examined the factors shaping the spending habits of college students in the Philippines, revealing that family members heavily impact students' attitudes toward spending and saving. Additionally, Sharif and </w:t>
      </w:r>
      <w:proofErr w:type="spellStart"/>
      <w:r w:rsidRPr="00EB50B3">
        <w:rPr>
          <w:rFonts w:ascii="Arial" w:hAnsi="Arial" w:cs="Arial"/>
        </w:rPr>
        <w:t>Naghavi</w:t>
      </w:r>
      <w:proofErr w:type="spellEnd"/>
      <w:r w:rsidRPr="00EB50B3">
        <w:rPr>
          <w:rFonts w:ascii="Arial" w:hAnsi="Arial" w:cs="Arial"/>
        </w:rPr>
        <w:t xml:space="preserve"> (2020) established a positive correlation between the effectiveness of a spending plan and the financial information youth receive from their parents. The advent of technology has altered the spending and saving patterns among young individuals, with those earning higher incomes experiencing a more pronounced effect on their spending behaviors (</w:t>
      </w:r>
      <w:proofErr w:type="spellStart"/>
      <w:r w:rsidRPr="00EB50B3">
        <w:rPr>
          <w:rFonts w:ascii="Arial" w:hAnsi="Arial" w:cs="Arial"/>
        </w:rPr>
        <w:t>Bugheanu</w:t>
      </w:r>
      <w:proofErr w:type="spellEnd"/>
      <w:r w:rsidRPr="00EB50B3">
        <w:rPr>
          <w:rFonts w:ascii="Arial" w:hAnsi="Arial" w:cs="Arial"/>
        </w:rPr>
        <w:t xml:space="preserve"> &amp; </w:t>
      </w:r>
      <w:proofErr w:type="spellStart"/>
      <w:r w:rsidRPr="00EB50B3">
        <w:rPr>
          <w:rFonts w:ascii="Arial" w:hAnsi="Arial" w:cs="Arial"/>
        </w:rPr>
        <w:t>Străchinaru</w:t>
      </w:r>
      <w:proofErr w:type="spellEnd"/>
      <w:r w:rsidRPr="00EB50B3">
        <w:rPr>
          <w:rFonts w:ascii="Arial" w:hAnsi="Arial" w:cs="Arial"/>
        </w:rPr>
        <w:t>, 2020).</w:t>
      </w:r>
    </w:p>
    <w:p w14:paraId="4D4C0D19" w14:textId="77777777" w:rsidR="00EB50B3" w:rsidRPr="00EB50B3" w:rsidRDefault="00EB50B3" w:rsidP="00EB50B3">
      <w:pPr>
        <w:pStyle w:val="Body"/>
        <w:spacing w:after="0"/>
        <w:rPr>
          <w:rFonts w:ascii="Arial" w:hAnsi="Arial" w:cs="Arial"/>
        </w:rPr>
      </w:pPr>
    </w:p>
    <w:p w14:paraId="631A1839" w14:textId="7D92986F" w:rsidR="003B48CE" w:rsidRDefault="003B48CE" w:rsidP="00EB50B3">
      <w:pPr>
        <w:pStyle w:val="Body"/>
        <w:spacing w:after="0"/>
        <w:rPr>
          <w:rFonts w:ascii="Arial" w:hAnsi="Arial" w:cs="Arial"/>
        </w:rPr>
      </w:pPr>
      <w:r w:rsidRPr="00EB50B3">
        <w:rPr>
          <w:rFonts w:ascii="Arial" w:hAnsi="Arial" w:cs="Arial"/>
        </w:rPr>
        <w:t>It has been observed that young individuals tend to spend more than they save, with a strong preference for utilizing online banking services (</w:t>
      </w:r>
      <w:proofErr w:type="spellStart"/>
      <w:r w:rsidRPr="00EB50B3">
        <w:rPr>
          <w:rFonts w:ascii="Arial" w:hAnsi="Arial" w:cs="Arial"/>
        </w:rPr>
        <w:t>Buszko</w:t>
      </w:r>
      <w:proofErr w:type="spellEnd"/>
      <w:r w:rsidRPr="00EB50B3">
        <w:rPr>
          <w:rFonts w:ascii="Arial" w:hAnsi="Arial" w:cs="Arial"/>
        </w:rPr>
        <w:t xml:space="preserve"> et al., 2020). Research by Glover (2022) revealed that spending habits shift with age, as older individuals generally exhibit decreased spending and increased saving compared to their younger counterparts. Furthermore, </w:t>
      </w:r>
      <w:proofErr w:type="spellStart"/>
      <w:r w:rsidR="007658C3" w:rsidRPr="00EB50B3">
        <w:rPr>
          <w:rFonts w:ascii="Arial" w:hAnsi="Arial" w:cs="Arial"/>
        </w:rPr>
        <w:t>Abawag</w:t>
      </w:r>
      <w:proofErr w:type="spellEnd"/>
      <w:r w:rsidR="007658C3" w:rsidRPr="00EB50B3">
        <w:rPr>
          <w:rFonts w:ascii="Arial" w:hAnsi="Arial" w:cs="Arial"/>
        </w:rPr>
        <w:t xml:space="preserve"> et al.</w:t>
      </w:r>
      <w:r w:rsidRPr="00EB50B3">
        <w:rPr>
          <w:rFonts w:ascii="Arial" w:hAnsi="Arial" w:cs="Arial"/>
        </w:rPr>
        <w:t xml:space="preserve"> (201</w:t>
      </w:r>
      <w:r w:rsidR="007658C3" w:rsidRPr="00EB50B3">
        <w:rPr>
          <w:rFonts w:ascii="Arial" w:hAnsi="Arial" w:cs="Arial"/>
        </w:rPr>
        <w:t>9</w:t>
      </w:r>
      <w:r w:rsidRPr="00EB50B3">
        <w:rPr>
          <w:rFonts w:ascii="Arial" w:hAnsi="Arial" w:cs="Arial"/>
        </w:rPr>
        <w:t>) highlighted significant differences in spending behaviors among students from various educational backgrounds, noting that a substantial portion of their expenditures is allocated to shopping, mobile phone accessories, and fuel. Notably, shopping constitutes the largest share of overall spending across all educational levels, followed by expenses related to motorcycle fuel.</w:t>
      </w:r>
    </w:p>
    <w:p w14:paraId="288F1299" w14:textId="77777777" w:rsidR="00EB50B3" w:rsidRPr="00EB50B3" w:rsidRDefault="00EB50B3" w:rsidP="00EB50B3">
      <w:pPr>
        <w:pStyle w:val="Body"/>
        <w:spacing w:after="0"/>
        <w:rPr>
          <w:rFonts w:ascii="Arial" w:hAnsi="Arial" w:cs="Arial"/>
        </w:rPr>
      </w:pPr>
    </w:p>
    <w:p w14:paraId="5C9C33AC" w14:textId="35C8B64B" w:rsidR="007658C3" w:rsidRDefault="007658C3" w:rsidP="00EB50B3">
      <w:pPr>
        <w:pStyle w:val="Body"/>
        <w:spacing w:after="0"/>
        <w:rPr>
          <w:rFonts w:ascii="Arial" w:hAnsi="Arial" w:cs="Arial"/>
        </w:rPr>
      </w:pPr>
      <w:r w:rsidRPr="00EB50B3">
        <w:rPr>
          <w:rFonts w:ascii="Arial" w:hAnsi="Arial" w:cs="Arial"/>
        </w:rPr>
        <w:t xml:space="preserve">Research indicates a significant disparity in spending habits between male and female youth (Mad et al., 2024). Female students tend to adhere more closely to their budget plans compared to their male counterparts (Li, 2021). Additionally, the financial behaviors of adolescents are often shaped by their parents' money management practices </w:t>
      </w:r>
      <w:r w:rsidR="00B2355F" w:rsidRPr="00EB50B3">
        <w:rPr>
          <w:rFonts w:ascii="Arial" w:hAnsi="Arial" w:cs="Arial"/>
        </w:rPr>
        <w:t>(Zhu, 2018)</w:t>
      </w:r>
      <w:r w:rsidRPr="00EB50B3">
        <w:rPr>
          <w:rFonts w:ascii="Arial" w:hAnsi="Arial" w:cs="Arial"/>
        </w:rPr>
        <w:t xml:space="preserve">. </w:t>
      </w:r>
    </w:p>
    <w:p w14:paraId="07629B9D" w14:textId="77777777" w:rsidR="00EB50B3" w:rsidRPr="00EB50B3" w:rsidRDefault="00EB50B3" w:rsidP="00EB50B3">
      <w:pPr>
        <w:pStyle w:val="Body"/>
        <w:spacing w:after="0"/>
        <w:rPr>
          <w:rFonts w:ascii="Arial" w:hAnsi="Arial" w:cs="Arial"/>
        </w:rPr>
      </w:pPr>
    </w:p>
    <w:p w14:paraId="53DF4EE7" w14:textId="02B7BC39" w:rsidR="005B3D65" w:rsidRPr="00EB50B3" w:rsidRDefault="002954C5" w:rsidP="00EB50B3">
      <w:pPr>
        <w:pStyle w:val="Body"/>
        <w:spacing w:after="0"/>
        <w:rPr>
          <w:rFonts w:ascii="Arial" w:hAnsi="Arial" w:cs="Arial"/>
        </w:rPr>
      </w:pPr>
      <w:r w:rsidRPr="00EB50B3">
        <w:rPr>
          <w:rFonts w:ascii="Arial" w:hAnsi="Arial" w:cs="Arial"/>
        </w:rPr>
        <w:t xml:space="preserve">University students have to adopt effective budgeting practices prior to having financial challenges in life. Numerous studies have been undertaken worldwide to assess the budgeting habits of university students. </w:t>
      </w:r>
      <w:r w:rsidR="004C0DC2" w:rsidRPr="00EB50B3">
        <w:rPr>
          <w:rFonts w:ascii="Arial" w:hAnsi="Arial" w:cs="Arial"/>
        </w:rPr>
        <w:t xml:space="preserve">This study focuses on identifying the spending patterns of undergraduates in </w:t>
      </w:r>
      <w:proofErr w:type="spellStart"/>
      <w:r w:rsidR="007658C3" w:rsidRPr="00EB50B3">
        <w:rPr>
          <w:rFonts w:ascii="Arial" w:hAnsi="Arial" w:cs="Arial"/>
        </w:rPr>
        <w:t>Yezin</w:t>
      </w:r>
      <w:proofErr w:type="spellEnd"/>
      <w:r w:rsidR="007658C3" w:rsidRPr="00EB50B3">
        <w:rPr>
          <w:rFonts w:ascii="Arial" w:hAnsi="Arial" w:cs="Arial"/>
        </w:rPr>
        <w:t xml:space="preserve"> Agricultural University (YAU)</w:t>
      </w:r>
      <w:r w:rsidR="004C0DC2" w:rsidRPr="00EB50B3">
        <w:rPr>
          <w:rFonts w:ascii="Arial" w:hAnsi="Arial" w:cs="Arial"/>
        </w:rPr>
        <w:t xml:space="preserve">, Myanmar. It has been noticed, through reading many academic articles related to this topic, that spending among students was high in general, and on other hand the level of saving was low. </w:t>
      </w:r>
      <w:r w:rsidR="005B3D65" w:rsidRPr="00EB50B3">
        <w:rPr>
          <w:rFonts w:ascii="Arial" w:hAnsi="Arial" w:cs="Arial"/>
        </w:rPr>
        <w:t xml:space="preserve">The </w:t>
      </w:r>
      <w:r w:rsidR="002B28DB" w:rsidRPr="00EB50B3">
        <w:rPr>
          <w:rFonts w:ascii="Arial" w:hAnsi="Arial" w:cs="Arial"/>
        </w:rPr>
        <w:t>following</w:t>
      </w:r>
      <w:r w:rsidR="005B3D65" w:rsidRPr="00EB50B3">
        <w:rPr>
          <w:rFonts w:ascii="Arial" w:hAnsi="Arial" w:cs="Arial"/>
        </w:rPr>
        <w:t xml:space="preserve"> were the research objectives for this quantitative study.</w:t>
      </w:r>
    </w:p>
    <w:p w14:paraId="1A129483" w14:textId="149DDD8D" w:rsidR="005B3D65" w:rsidRPr="00EB50B3" w:rsidRDefault="005B3D65" w:rsidP="00285AAD">
      <w:pPr>
        <w:pStyle w:val="ListParagraph"/>
        <w:numPr>
          <w:ilvl w:val="0"/>
          <w:numId w:val="2"/>
        </w:numPr>
        <w:spacing w:before="100" w:after="120" w:line="360" w:lineRule="auto"/>
        <w:jc w:val="both"/>
        <w:rPr>
          <w:rFonts w:ascii="Arial" w:eastAsia="Times New Roman" w:hAnsi="Arial" w:cs="Arial"/>
          <w:kern w:val="0"/>
          <w:sz w:val="20"/>
          <w:szCs w:val="20"/>
          <w14:ligatures w14:val="none"/>
        </w:rPr>
      </w:pPr>
      <w:r w:rsidRPr="00EB50B3">
        <w:rPr>
          <w:rFonts w:ascii="Arial" w:eastAsia="Times New Roman" w:hAnsi="Arial" w:cs="Arial"/>
          <w:kern w:val="0"/>
          <w:sz w:val="20"/>
          <w:szCs w:val="20"/>
          <w14:ligatures w14:val="none"/>
        </w:rPr>
        <w:t>To identify the demographic characteristics of undergraduates</w:t>
      </w:r>
      <w:r w:rsidR="002B28DB" w:rsidRPr="00EB50B3">
        <w:rPr>
          <w:rFonts w:ascii="Arial" w:eastAsia="Times New Roman" w:hAnsi="Arial" w:cs="Arial"/>
          <w:kern w:val="0"/>
          <w:sz w:val="20"/>
          <w:szCs w:val="20"/>
          <w14:ligatures w14:val="none"/>
        </w:rPr>
        <w:t>.</w:t>
      </w:r>
    </w:p>
    <w:p w14:paraId="1F3190AD" w14:textId="384791BA" w:rsidR="002B28DB" w:rsidRPr="00EB50B3" w:rsidRDefault="002B28DB" w:rsidP="00285AAD">
      <w:pPr>
        <w:pStyle w:val="ListParagraph"/>
        <w:numPr>
          <w:ilvl w:val="0"/>
          <w:numId w:val="2"/>
        </w:numPr>
        <w:spacing w:before="100" w:after="120" w:line="360" w:lineRule="auto"/>
        <w:jc w:val="both"/>
        <w:rPr>
          <w:rFonts w:ascii="Arial" w:eastAsia="Times New Roman" w:hAnsi="Arial" w:cs="Arial"/>
          <w:kern w:val="0"/>
          <w:sz w:val="20"/>
          <w:szCs w:val="20"/>
          <w14:ligatures w14:val="none"/>
        </w:rPr>
      </w:pPr>
      <w:r w:rsidRPr="00EB50B3">
        <w:rPr>
          <w:rFonts w:ascii="Arial" w:eastAsia="Times New Roman" w:hAnsi="Arial" w:cs="Arial"/>
          <w:kern w:val="0"/>
          <w:sz w:val="20"/>
          <w:szCs w:val="20"/>
          <w14:ligatures w14:val="none"/>
        </w:rPr>
        <w:t>To identify the spending pattern of undergraduates.</w:t>
      </w:r>
    </w:p>
    <w:p w14:paraId="24B67431" w14:textId="19E8B691" w:rsidR="00EB50B3" w:rsidRDefault="002B28DB" w:rsidP="00EB50B3">
      <w:pPr>
        <w:pStyle w:val="ListParagraph"/>
        <w:numPr>
          <w:ilvl w:val="0"/>
          <w:numId w:val="2"/>
        </w:numPr>
        <w:spacing w:before="100" w:after="120" w:line="360" w:lineRule="auto"/>
        <w:jc w:val="both"/>
        <w:rPr>
          <w:rFonts w:ascii="Arial" w:eastAsia="Times New Roman" w:hAnsi="Arial" w:cs="Arial"/>
          <w:kern w:val="0"/>
          <w:sz w:val="20"/>
          <w:szCs w:val="20"/>
          <w14:ligatures w14:val="none"/>
        </w:rPr>
      </w:pPr>
      <w:r w:rsidRPr="00EB50B3">
        <w:rPr>
          <w:rFonts w:ascii="Arial" w:eastAsia="Times New Roman" w:hAnsi="Arial" w:cs="Arial"/>
          <w:kern w:val="0"/>
          <w:sz w:val="20"/>
          <w:szCs w:val="20"/>
          <w14:ligatures w14:val="none"/>
        </w:rPr>
        <w:t>To compare undergraduates’ income and expenditure according to their demographics.</w:t>
      </w:r>
    </w:p>
    <w:p w14:paraId="519C6334" w14:textId="071C6844" w:rsidR="003D5C0E" w:rsidRPr="00EB50B3" w:rsidRDefault="00EB50B3" w:rsidP="00EB50B3">
      <w:pPr>
        <w:pStyle w:val="AbstHead"/>
        <w:tabs>
          <w:tab w:val="left" w:pos="284"/>
        </w:tabs>
        <w:spacing w:after="0"/>
        <w:jc w:val="both"/>
        <w:rPr>
          <w:rFonts w:ascii="Arial" w:hAnsi="Arial" w:cs="Arial"/>
        </w:rPr>
      </w:pPr>
      <w:r>
        <w:rPr>
          <w:rFonts w:ascii="Arial" w:hAnsi="Arial" w:cs="Arial"/>
        </w:rPr>
        <w:t>2.</w:t>
      </w:r>
      <w:r>
        <w:rPr>
          <w:rFonts w:ascii="Arial" w:hAnsi="Arial" w:cs="Arial"/>
        </w:rPr>
        <w:tab/>
      </w:r>
      <w:r w:rsidR="00D25D17" w:rsidRPr="00EB50B3">
        <w:rPr>
          <w:rFonts w:ascii="Arial" w:hAnsi="Arial" w:cs="Arial"/>
        </w:rPr>
        <w:t>Materials and Methods</w:t>
      </w:r>
    </w:p>
    <w:p w14:paraId="60A6938D" w14:textId="77777777" w:rsidR="00EB50B3" w:rsidRDefault="003D5C0E" w:rsidP="00EB50B3">
      <w:pPr>
        <w:pStyle w:val="Body"/>
        <w:spacing w:after="0"/>
        <w:rPr>
          <w:rFonts w:ascii="Arial" w:eastAsia="Calibri" w:hAnsi="Arial" w:cs="Arial"/>
          <w:szCs w:val="22"/>
        </w:rPr>
      </w:pPr>
      <w:proofErr w:type="spellStart"/>
      <w:r w:rsidRPr="00EB50B3">
        <w:rPr>
          <w:rFonts w:ascii="Arial" w:eastAsia="Calibri" w:hAnsi="Arial" w:cs="Arial"/>
          <w:szCs w:val="22"/>
        </w:rPr>
        <w:t>Yezin</w:t>
      </w:r>
      <w:proofErr w:type="spellEnd"/>
      <w:r w:rsidRPr="00EB50B3">
        <w:rPr>
          <w:rFonts w:ascii="Arial" w:eastAsia="Calibri" w:hAnsi="Arial" w:cs="Arial"/>
          <w:szCs w:val="22"/>
        </w:rPr>
        <w:t xml:space="preserve"> is a unique blend of urban and rural characteristics, often referred to as a "university village" because of its many scientific research institutions and universities that specialize in forestry, agriculture, and veterinary sciences. Situated within the Nay </w:t>
      </w:r>
      <w:proofErr w:type="spellStart"/>
      <w:r w:rsidRPr="00EB50B3">
        <w:rPr>
          <w:rFonts w:ascii="Arial" w:eastAsia="Calibri" w:hAnsi="Arial" w:cs="Arial"/>
          <w:szCs w:val="22"/>
        </w:rPr>
        <w:t>Pyi</w:t>
      </w:r>
      <w:proofErr w:type="spellEnd"/>
      <w:r w:rsidRPr="00EB50B3">
        <w:rPr>
          <w:rFonts w:ascii="Arial" w:eastAsia="Calibri" w:hAnsi="Arial" w:cs="Arial"/>
          <w:szCs w:val="22"/>
        </w:rPr>
        <w:t xml:space="preserve"> Taw union territory, it is home to </w:t>
      </w:r>
      <w:proofErr w:type="spellStart"/>
      <w:r w:rsidRPr="00EB50B3">
        <w:rPr>
          <w:rFonts w:ascii="Arial" w:eastAsia="Calibri" w:hAnsi="Arial" w:cs="Arial"/>
          <w:szCs w:val="22"/>
        </w:rPr>
        <w:t>Yezin</w:t>
      </w:r>
      <w:proofErr w:type="spellEnd"/>
      <w:r w:rsidRPr="00EB50B3">
        <w:rPr>
          <w:rFonts w:ascii="Arial" w:eastAsia="Calibri" w:hAnsi="Arial" w:cs="Arial"/>
          <w:szCs w:val="22"/>
        </w:rPr>
        <w:t xml:space="preserve"> Agricultural University (YAU), the only institution of higher education in agriculture in Myanmar. YAU plays a crucial role in the community by focusing on teaching, conducting research, and offering extension services to the public.</w:t>
      </w:r>
    </w:p>
    <w:p w14:paraId="36824639" w14:textId="3125038F" w:rsidR="003D5C0E" w:rsidRPr="00EB50B3" w:rsidRDefault="003D5C0E" w:rsidP="00EB50B3">
      <w:pPr>
        <w:pStyle w:val="Body"/>
        <w:spacing w:after="0"/>
        <w:rPr>
          <w:rFonts w:ascii="Arial" w:eastAsia="Calibri" w:hAnsi="Arial" w:cs="Arial"/>
          <w:szCs w:val="22"/>
        </w:rPr>
      </w:pPr>
    </w:p>
    <w:p w14:paraId="4ECF5740" w14:textId="5A28584A" w:rsidR="00285AAD" w:rsidRDefault="00D25D17" w:rsidP="00EB50B3">
      <w:pPr>
        <w:pStyle w:val="Body"/>
        <w:spacing w:after="0"/>
        <w:rPr>
          <w:rFonts w:ascii="Arial" w:eastAsia="Calibri" w:hAnsi="Arial" w:cs="Arial"/>
          <w:szCs w:val="22"/>
        </w:rPr>
      </w:pPr>
      <w:r w:rsidRPr="00EB50B3">
        <w:rPr>
          <w:rFonts w:ascii="Arial" w:eastAsia="Calibri" w:hAnsi="Arial" w:cs="Arial"/>
          <w:szCs w:val="22"/>
        </w:rPr>
        <w:t xml:space="preserve">The sample for this study was 470 undergraduates selected </w:t>
      </w:r>
      <w:r w:rsidR="00CB6DCA" w:rsidRPr="00EB50B3">
        <w:rPr>
          <w:rFonts w:ascii="Arial" w:eastAsia="Calibri" w:hAnsi="Arial" w:cs="Arial"/>
          <w:szCs w:val="22"/>
        </w:rPr>
        <w:t>using</w:t>
      </w:r>
      <w:r w:rsidRPr="00EB50B3">
        <w:rPr>
          <w:rFonts w:ascii="Arial" w:eastAsia="Calibri" w:hAnsi="Arial" w:cs="Arial"/>
          <w:szCs w:val="22"/>
        </w:rPr>
        <w:t xml:space="preserve"> a stratified random sampling technique</w:t>
      </w:r>
      <w:r w:rsidR="00CB6DCA" w:rsidRPr="00EB50B3">
        <w:rPr>
          <w:rFonts w:ascii="Arial" w:eastAsia="Calibri" w:hAnsi="Arial" w:cs="Arial"/>
          <w:szCs w:val="22"/>
        </w:rPr>
        <w:t xml:space="preserve"> from the 5</w:t>
      </w:r>
      <w:r w:rsidR="00CB6DCA" w:rsidRPr="00EB50B3">
        <w:rPr>
          <w:rFonts w:ascii="Arial" w:eastAsia="Calibri" w:hAnsi="Arial" w:cs="Arial"/>
          <w:szCs w:val="22"/>
          <w:vertAlign w:val="superscript"/>
        </w:rPr>
        <w:t>th</w:t>
      </w:r>
      <w:r w:rsidR="00CB6DCA" w:rsidRPr="00EB50B3">
        <w:rPr>
          <w:rFonts w:ascii="Arial" w:eastAsia="Calibri" w:hAnsi="Arial" w:cs="Arial"/>
          <w:szCs w:val="22"/>
        </w:rPr>
        <w:t>, 6</w:t>
      </w:r>
      <w:r w:rsidR="00CB6DCA" w:rsidRPr="00EB50B3">
        <w:rPr>
          <w:rFonts w:ascii="Arial" w:eastAsia="Calibri" w:hAnsi="Arial" w:cs="Arial"/>
          <w:szCs w:val="22"/>
          <w:vertAlign w:val="superscript"/>
        </w:rPr>
        <w:t>th</w:t>
      </w:r>
      <w:r w:rsidR="00CB6DCA" w:rsidRPr="00EB50B3">
        <w:rPr>
          <w:rFonts w:ascii="Arial" w:eastAsia="Calibri" w:hAnsi="Arial" w:cs="Arial"/>
          <w:szCs w:val="22"/>
        </w:rPr>
        <w:t>, 7</w:t>
      </w:r>
      <w:r w:rsidR="00CB6DCA" w:rsidRPr="00EB50B3">
        <w:rPr>
          <w:rFonts w:ascii="Arial" w:eastAsia="Calibri" w:hAnsi="Arial" w:cs="Arial"/>
          <w:szCs w:val="22"/>
          <w:vertAlign w:val="superscript"/>
        </w:rPr>
        <w:t>th</w:t>
      </w:r>
      <w:r w:rsidR="00CB6DCA" w:rsidRPr="00EB50B3">
        <w:rPr>
          <w:rFonts w:ascii="Arial" w:eastAsia="Calibri" w:hAnsi="Arial" w:cs="Arial"/>
          <w:szCs w:val="22"/>
        </w:rPr>
        <w:t>, 8</w:t>
      </w:r>
      <w:r w:rsidR="00CB6DCA" w:rsidRPr="00EB50B3">
        <w:rPr>
          <w:rFonts w:ascii="Arial" w:eastAsia="Calibri" w:hAnsi="Arial" w:cs="Arial"/>
          <w:szCs w:val="22"/>
          <w:vertAlign w:val="superscript"/>
        </w:rPr>
        <w:t>th</w:t>
      </w:r>
      <w:r w:rsidR="00CB6DCA" w:rsidRPr="00EB50B3">
        <w:rPr>
          <w:rFonts w:ascii="Arial" w:eastAsia="Calibri" w:hAnsi="Arial" w:cs="Arial"/>
          <w:szCs w:val="22"/>
        </w:rPr>
        <w:t>, 9</w:t>
      </w:r>
      <w:r w:rsidR="00CB6DCA" w:rsidRPr="00EB50B3">
        <w:rPr>
          <w:rFonts w:ascii="Arial" w:eastAsia="Calibri" w:hAnsi="Arial" w:cs="Arial"/>
          <w:szCs w:val="22"/>
          <w:vertAlign w:val="superscript"/>
        </w:rPr>
        <w:t>th</w:t>
      </w:r>
      <w:r w:rsidR="00CB6DCA" w:rsidRPr="00EB50B3">
        <w:rPr>
          <w:rFonts w:ascii="Arial" w:eastAsia="Calibri" w:hAnsi="Arial" w:cs="Arial"/>
          <w:szCs w:val="22"/>
        </w:rPr>
        <w:t>, and 10</w:t>
      </w:r>
      <w:r w:rsidR="00CB6DCA" w:rsidRPr="00EB50B3">
        <w:rPr>
          <w:rFonts w:ascii="Arial" w:eastAsia="Calibri" w:hAnsi="Arial" w:cs="Arial"/>
          <w:szCs w:val="22"/>
          <w:vertAlign w:val="superscript"/>
        </w:rPr>
        <w:t>th</w:t>
      </w:r>
      <w:r w:rsidR="00CB6DCA" w:rsidRPr="00EB50B3">
        <w:rPr>
          <w:rFonts w:ascii="Arial" w:eastAsia="Calibri" w:hAnsi="Arial" w:cs="Arial"/>
          <w:szCs w:val="22"/>
        </w:rPr>
        <w:t xml:space="preserve"> Semesters</w:t>
      </w:r>
      <w:r w:rsidRPr="00EB50B3">
        <w:rPr>
          <w:rFonts w:ascii="Arial" w:eastAsia="Calibri" w:hAnsi="Arial" w:cs="Arial"/>
          <w:szCs w:val="22"/>
        </w:rPr>
        <w:t xml:space="preserve">. To accomplish the objective of conducting an accurate analysis of the data, </w:t>
      </w:r>
      <w:r w:rsidR="003D5C0E" w:rsidRPr="00EB50B3">
        <w:rPr>
          <w:rFonts w:ascii="Arial" w:eastAsia="Calibri" w:hAnsi="Arial" w:cs="Arial"/>
          <w:szCs w:val="22"/>
        </w:rPr>
        <w:t xml:space="preserve">a well-structured questionnaire was used to collect primary data. </w:t>
      </w:r>
      <w:r w:rsidR="005B3D65" w:rsidRPr="00EB50B3">
        <w:rPr>
          <w:rFonts w:ascii="Arial" w:eastAsia="Calibri" w:hAnsi="Arial" w:cs="Arial"/>
          <w:szCs w:val="22"/>
        </w:rPr>
        <w:t>Additionally, secondary data was sourced from various research journals, books, reports, and online magazines.</w:t>
      </w:r>
      <w:r w:rsidR="003D5C0E" w:rsidRPr="00EB50B3">
        <w:rPr>
          <w:rFonts w:ascii="Arial" w:eastAsia="Calibri" w:hAnsi="Arial" w:cs="Arial"/>
          <w:szCs w:val="22"/>
        </w:rPr>
        <w:t xml:space="preserve"> </w:t>
      </w:r>
      <w:r w:rsidR="005966FB" w:rsidRPr="00EB50B3">
        <w:rPr>
          <w:rFonts w:ascii="Arial" w:eastAsia="Calibri" w:hAnsi="Arial" w:cs="Arial"/>
          <w:szCs w:val="22"/>
        </w:rPr>
        <w:t>The questionnaire included the demographic characteristics of students, including age, gender, occupation, state/region, parental income, parental education level, parental occupations, as well as students' income, sources of earnings, types of spending, and expenditures.</w:t>
      </w:r>
    </w:p>
    <w:p w14:paraId="3FEBFA8B" w14:textId="77777777" w:rsidR="00EB50B3" w:rsidRPr="00EB50B3" w:rsidRDefault="00EB50B3" w:rsidP="00EB50B3">
      <w:pPr>
        <w:pStyle w:val="Body"/>
        <w:spacing w:after="0"/>
        <w:rPr>
          <w:rFonts w:ascii="Arial" w:eastAsia="Calibri" w:hAnsi="Arial" w:cs="Arial"/>
          <w:szCs w:val="22"/>
        </w:rPr>
      </w:pPr>
    </w:p>
    <w:p w14:paraId="7CDAA4FB" w14:textId="1EB6C49B" w:rsidR="00285AAD" w:rsidRDefault="00285AAD" w:rsidP="00EB50B3">
      <w:pPr>
        <w:pStyle w:val="Body"/>
        <w:spacing w:after="0"/>
        <w:rPr>
          <w:rFonts w:ascii="Arial" w:eastAsia="Calibri" w:hAnsi="Arial" w:cs="Arial"/>
          <w:szCs w:val="22"/>
        </w:rPr>
      </w:pPr>
      <w:r w:rsidRPr="00EB50B3">
        <w:rPr>
          <w:rFonts w:ascii="Arial" w:eastAsia="Calibri" w:hAnsi="Arial" w:cs="Arial"/>
          <w:szCs w:val="22"/>
        </w:rPr>
        <w:lastRenderedPageBreak/>
        <w:t xml:space="preserve">Descriptive statistics, including means, standard deviations, frequencies, and percentages, were employed to analyze the demographic profiles of the undergraduate students. </w:t>
      </w:r>
      <w:r w:rsidR="007643C9" w:rsidRPr="00EB50B3">
        <w:rPr>
          <w:rFonts w:ascii="Arial" w:eastAsia="Calibri" w:hAnsi="Arial" w:cs="Arial"/>
          <w:szCs w:val="22"/>
        </w:rPr>
        <w:t>One-Way ANOVA</w:t>
      </w:r>
      <w:r w:rsidR="00CB6DCA" w:rsidRPr="00EB50B3">
        <w:rPr>
          <w:rFonts w:ascii="Arial" w:eastAsia="Calibri" w:hAnsi="Arial" w:cs="Arial"/>
          <w:szCs w:val="22"/>
        </w:rPr>
        <w:t xml:space="preserve"> and Pearson’s chi-square</w:t>
      </w:r>
      <w:r w:rsidR="007643C9" w:rsidRPr="00EB50B3">
        <w:rPr>
          <w:rFonts w:ascii="Arial" w:eastAsia="Calibri" w:hAnsi="Arial" w:cs="Arial"/>
          <w:szCs w:val="22"/>
        </w:rPr>
        <w:t xml:space="preserve"> </w:t>
      </w:r>
      <w:r w:rsidR="00CB6DCA" w:rsidRPr="00EB50B3">
        <w:rPr>
          <w:rFonts w:ascii="Arial" w:eastAsia="Calibri" w:hAnsi="Arial" w:cs="Arial"/>
          <w:szCs w:val="22"/>
        </w:rPr>
        <w:t>were</w:t>
      </w:r>
      <w:r w:rsidR="007643C9" w:rsidRPr="00EB50B3">
        <w:rPr>
          <w:rFonts w:ascii="Arial" w:eastAsia="Calibri" w:hAnsi="Arial" w:cs="Arial"/>
          <w:szCs w:val="22"/>
        </w:rPr>
        <w:t xml:space="preserve"> utilized to</w:t>
      </w:r>
      <w:r w:rsidR="00442D85" w:rsidRPr="00EB50B3">
        <w:rPr>
          <w:rFonts w:ascii="Arial" w:eastAsia="Calibri" w:hAnsi="Arial" w:cs="Arial"/>
          <w:szCs w:val="22"/>
        </w:rPr>
        <w:t xml:space="preserve"> examine the association between the dependent and the independent variables.</w:t>
      </w:r>
    </w:p>
    <w:p w14:paraId="1A58A9BC" w14:textId="77777777" w:rsidR="00EB50B3" w:rsidRPr="00EB50B3" w:rsidRDefault="00EB50B3" w:rsidP="00EB50B3">
      <w:pPr>
        <w:pStyle w:val="Body"/>
        <w:spacing w:after="0"/>
        <w:rPr>
          <w:rFonts w:ascii="Arial" w:eastAsia="Calibri" w:hAnsi="Arial" w:cs="Arial"/>
          <w:szCs w:val="22"/>
        </w:rPr>
      </w:pPr>
    </w:p>
    <w:p w14:paraId="5E8D6F00" w14:textId="42D8DA49" w:rsidR="00046BD2" w:rsidRPr="00EB50B3" w:rsidRDefault="00EB50B3" w:rsidP="00EB50B3">
      <w:pPr>
        <w:pStyle w:val="Head1"/>
        <w:tabs>
          <w:tab w:val="left" w:pos="284"/>
        </w:tabs>
        <w:spacing w:after="0"/>
        <w:jc w:val="both"/>
        <w:rPr>
          <w:rFonts w:ascii="Arial" w:hAnsi="Arial" w:cs="Arial"/>
        </w:rPr>
      </w:pPr>
      <w:r>
        <w:rPr>
          <w:rFonts w:ascii="Arial" w:hAnsi="Arial" w:cs="Arial"/>
        </w:rPr>
        <w:t>3</w:t>
      </w:r>
      <w:r>
        <w:rPr>
          <w:rFonts w:ascii="Arial" w:hAnsi="Arial" w:cs="Arial"/>
        </w:rPr>
        <w:tab/>
      </w:r>
      <w:r w:rsidR="00046BD2" w:rsidRPr="00EB50B3">
        <w:rPr>
          <w:rFonts w:ascii="Arial" w:hAnsi="Arial" w:cs="Arial"/>
        </w:rPr>
        <w:t>Results and Discussion</w:t>
      </w:r>
    </w:p>
    <w:p w14:paraId="5E73B443" w14:textId="05D3EFBB" w:rsidR="00766778" w:rsidRPr="00EB50B3" w:rsidRDefault="00EB50B3" w:rsidP="00046BD2">
      <w:pPr>
        <w:spacing w:before="120" w:after="120" w:line="276" w:lineRule="auto"/>
        <w:jc w:val="both"/>
        <w:rPr>
          <w:rFonts w:ascii="Arial" w:eastAsia="Times New Roman" w:hAnsi="Arial" w:cs="Arial"/>
          <w:b/>
          <w:kern w:val="0"/>
          <w:sz w:val="22"/>
          <w:szCs w:val="20"/>
          <w14:ligatures w14:val="none"/>
        </w:rPr>
      </w:pPr>
      <w:r>
        <w:rPr>
          <w:rFonts w:ascii="Arial" w:eastAsia="Times New Roman" w:hAnsi="Arial" w:cs="Arial"/>
          <w:b/>
          <w:kern w:val="0"/>
          <w:sz w:val="22"/>
          <w:szCs w:val="20"/>
          <w14:ligatures w14:val="none"/>
        </w:rPr>
        <w:t>3.1</w:t>
      </w:r>
      <w:r>
        <w:rPr>
          <w:rFonts w:ascii="Arial" w:eastAsia="Times New Roman" w:hAnsi="Arial" w:cs="Arial"/>
          <w:b/>
          <w:kern w:val="0"/>
          <w:sz w:val="22"/>
          <w:szCs w:val="20"/>
          <w14:ligatures w14:val="none"/>
        </w:rPr>
        <w:tab/>
      </w:r>
      <w:r w:rsidR="00D804C2" w:rsidRPr="00EB50B3">
        <w:rPr>
          <w:rFonts w:ascii="Arial" w:eastAsia="Times New Roman" w:hAnsi="Arial" w:cs="Arial"/>
          <w:b/>
          <w:kern w:val="0"/>
          <w:sz w:val="22"/>
          <w:szCs w:val="20"/>
          <w14:ligatures w14:val="none"/>
        </w:rPr>
        <w:t xml:space="preserve">Demographic </w:t>
      </w:r>
      <w:r w:rsidR="005B0A12" w:rsidRPr="00EB50B3">
        <w:rPr>
          <w:rFonts w:ascii="Arial" w:eastAsia="Times New Roman" w:hAnsi="Arial" w:cs="Arial"/>
          <w:b/>
          <w:kern w:val="0"/>
          <w:sz w:val="22"/>
          <w:szCs w:val="20"/>
          <w14:ligatures w14:val="none"/>
        </w:rPr>
        <w:t>characteristics</w:t>
      </w:r>
      <w:r w:rsidR="00D804C2" w:rsidRPr="00EB50B3">
        <w:rPr>
          <w:rFonts w:ascii="Arial" w:eastAsia="Times New Roman" w:hAnsi="Arial" w:cs="Arial"/>
          <w:b/>
          <w:kern w:val="0"/>
          <w:sz w:val="22"/>
          <w:szCs w:val="20"/>
          <w14:ligatures w14:val="none"/>
        </w:rPr>
        <w:t xml:space="preserve"> of sample students</w:t>
      </w:r>
    </w:p>
    <w:p w14:paraId="59610EFA" w14:textId="13A3813E" w:rsidR="00421CEE" w:rsidRDefault="000D6BFF" w:rsidP="00EB50B3">
      <w:pPr>
        <w:spacing w:after="0" w:line="360" w:lineRule="auto"/>
        <w:jc w:val="both"/>
        <w:rPr>
          <w:rFonts w:ascii="Arial" w:eastAsia="Times New Roman" w:hAnsi="Arial" w:cs="Arial"/>
          <w:kern w:val="0"/>
          <w:sz w:val="20"/>
          <w:szCs w:val="20"/>
          <w14:ligatures w14:val="none"/>
        </w:rPr>
      </w:pPr>
      <w:r w:rsidRPr="00EB50B3">
        <w:rPr>
          <w:rFonts w:ascii="Arial" w:eastAsia="Times New Roman" w:hAnsi="Arial" w:cs="Arial"/>
          <w:kern w:val="0"/>
          <w:sz w:val="20"/>
          <w:szCs w:val="20"/>
          <w14:ligatures w14:val="none"/>
        </w:rPr>
        <w:t>From Table 1,</w:t>
      </w:r>
      <w:r w:rsidR="00371D24" w:rsidRPr="00EB50B3">
        <w:rPr>
          <w:rFonts w:ascii="Arial" w:eastAsia="Times New Roman" w:hAnsi="Arial" w:cs="Arial"/>
          <w:kern w:val="0"/>
          <w:sz w:val="20"/>
          <w:szCs w:val="20"/>
          <w14:ligatures w14:val="none"/>
        </w:rPr>
        <w:t xml:space="preserve"> 106 (22.55%) </w:t>
      </w:r>
      <w:r w:rsidRPr="00EB50B3">
        <w:rPr>
          <w:rFonts w:ascii="Arial" w:eastAsia="Times New Roman" w:hAnsi="Arial" w:cs="Arial"/>
          <w:kern w:val="0"/>
          <w:sz w:val="20"/>
          <w:szCs w:val="20"/>
          <w14:ligatures w14:val="none"/>
        </w:rPr>
        <w:t>students were</w:t>
      </w:r>
      <w:r w:rsidR="00371D24" w:rsidRPr="00EB50B3">
        <w:rPr>
          <w:rFonts w:ascii="Arial" w:eastAsia="Times New Roman" w:hAnsi="Arial" w:cs="Arial"/>
          <w:kern w:val="0"/>
          <w:sz w:val="20"/>
          <w:szCs w:val="20"/>
          <w14:ligatures w14:val="none"/>
        </w:rPr>
        <w:t xml:space="preserve"> in the 5th Semester, 106 (22.55%) </w:t>
      </w:r>
      <w:r w:rsidRPr="00EB50B3">
        <w:rPr>
          <w:rFonts w:ascii="Arial" w:eastAsia="Times New Roman" w:hAnsi="Arial" w:cs="Arial"/>
          <w:kern w:val="0"/>
          <w:sz w:val="20"/>
          <w:szCs w:val="20"/>
          <w14:ligatures w14:val="none"/>
        </w:rPr>
        <w:t xml:space="preserve">students were </w:t>
      </w:r>
      <w:r w:rsidR="00371D24" w:rsidRPr="00EB50B3">
        <w:rPr>
          <w:rFonts w:ascii="Arial" w:eastAsia="Times New Roman" w:hAnsi="Arial" w:cs="Arial"/>
          <w:kern w:val="0"/>
          <w:sz w:val="20"/>
          <w:szCs w:val="20"/>
          <w14:ligatures w14:val="none"/>
        </w:rPr>
        <w:t>in the 6th Semester, 65 (13.83%)</w:t>
      </w:r>
      <w:r w:rsidRPr="00EB50B3">
        <w:rPr>
          <w:rFonts w:ascii="Arial" w:eastAsia="Times New Roman" w:hAnsi="Arial" w:cs="Arial"/>
          <w:kern w:val="0"/>
          <w:sz w:val="20"/>
          <w:szCs w:val="20"/>
          <w14:ligatures w14:val="none"/>
        </w:rPr>
        <w:t xml:space="preserve"> students were</w:t>
      </w:r>
      <w:r w:rsidR="00371D24" w:rsidRPr="00EB50B3">
        <w:rPr>
          <w:rFonts w:ascii="Arial" w:eastAsia="Times New Roman" w:hAnsi="Arial" w:cs="Arial"/>
          <w:kern w:val="0"/>
          <w:sz w:val="20"/>
          <w:szCs w:val="20"/>
          <w14:ligatures w14:val="none"/>
        </w:rPr>
        <w:t xml:space="preserve"> in the 7th Semester, 65 (13.83%)</w:t>
      </w:r>
      <w:r w:rsidRPr="00EB50B3">
        <w:rPr>
          <w:rFonts w:ascii="Arial" w:eastAsia="Times New Roman" w:hAnsi="Arial" w:cs="Arial"/>
          <w:kern w:val="0"/>
          <w:sz w:val="20"/>
          <w:szCs w:val="20"/>
          <w14:ligatures w14:val="none"/>
        </w:rPr>
        <w:t xml:space="preserve"> students were</w:t>
      </w:r>
      <w:r w:rsidR="00371D24" w:rsidRPr="00EB50B3">
        <w:rPr>
          <w:rFonts w:ascii="Arial" w:eastAsia="Times New Roman" w:hAnsi="Arial" w:cs="Arial"/>
          <w:kern w:val="0"/>
          <w:sz w:val="20"/>
          <w:szCs w:val="20"/>
          <w14:ligatures w14:val="none"/>
        </w:rPr>
        <w:t xml:space="preserve"> in the 8th Semester, 68 (14.47%)</w:t>
      </w:r>
      <w:r w:rsidRPr="00EB50B3">
        <w:rPr>
          <w:rFonts w:ascii="Arial" w:eastAsia="Times New Roman" w:hAnsi="Arial" w:cs="Arial"/>
          <w:kern w:val="0"/>
          <w:sz w:val="20"/>
          <w:szCs w:val="20"/>
          <w14:ligatures w14:val="none"/>
        </w:rPr>
        <w:t xml:space="preserve"> students were</w:t>
      </w:r>
      <w:r w:rsidR="00371D24" w:rsidRPr="00EB50B3">
        <w:rPr>
          <w:rFonts w:ascii="Arial" w:eastAsia="Times New Roman" w:hAnsi="Arial" w:cs="Arial"/>
          <w:kern w:val="0"/>
          <w:sz w:val="20"/>
          <w:szCs w:val="20"/>
          <w14:ligatures w14:val="none"/>
        </w:rPr>
        <w:t xml:space="preserve"> in the 9th Semester, and 60 (12.77%) </w:t>
      </w:r>
      <w:r w:rsidRPr="00EB50B3">
        <w:rPr>
          <w:rFonts w:ascii="Arial" w:eastAsia="Times New Roman" w:hAnsi="Arial" w:cs="Arial"/>
          <w:kern w:val="0"/>
          <w:sz w:val="20"/>
          <w:szCs w:val="20"/>
          <w14:ligatures w14:val="none"/>
        </w:rPr>
        <w:t xml:space="preserve">were </w:t>
      </w:r>
      <w:r w:rsidR="00371D24" w:rsidRPr="00EB50B3">
        <w:rPr>
          <w:rFonts w:ascii="Arial" w:eastAsia="Times New Roman" w:hAnsi="Arial" w:cs="Arial"/>
          <w:kern w:val="0"/>
          <w:sz w:val="20"/>
          <w:szCs w:val="20"/>
          <w14:ligatures w14:val="none"/>
        </w:rPr>
        <w:t xml:space="preserve">in the 10th Semester, respectively. </w:t>
      </w:r>
      <w:r w:rsidR="00DC16B5" w:rsidRPr="00EB50B3">
        <w:rPr>
          <w:rFonts w:ascii="Arial" w:eastAsia="Times New Roman" w:hAnsi="Arial" w:cs="Arial"/>
          <w:kern w:val="0"/>
          <w:sz w:val="20"/>
          <w:szCs w:val="20"/>
          <w14:ligatures w14:val="none"/>
        </w:rPr>
        <w:t xml:space="preserve">Among 470 participants in the study, 171 (36.38%) were males and 299 (63.62%) were females. </w:t>
      </w:r>
      <w:r w:rsidR="00CC603F" w:rsidRPr="00EB50B3">
        <w:rPr>
          <w:rFonts w:ascii="Arial" w:eastAsia="Times New Roman" w:hAnsi="Arial" w:cs="Arial"/>
          <w:kern w:val="0"/>
          <w:sz w:val="20"/>
          <w:szCs w:val="20"/>
          <w14:ligatures w14:val="none"/>
        </w:rPr>
        <w:t>A total of 31.49% of the participants reported being employed, while the remaining 68.51% identified as unemployed students.</w:t>
      </w:r>
    </w:p>
    <w:p w14:paraId="2E9C22E9" w14:textId="77777777" w:rsidR="00EB50B3" w:rsidRPr="00EB50B3" w:rsidRDefault="00EB50B3" w:rsidP="00EB50B3">
      <w:pPr>
        <w:spacing w:after="0" w:line="360" w:lineRule="auto"/>
        <w:jc w:val="both"/>
        <w:rPr>
          <w:rFonts w:ascii="Arial" w:eastAsia="Times New Roman" w:hAnsi="Arial" w:cs="Arial"/>
          <w:kern w:val="0"/>
          <w:sz w:val="20"/>
          <w:szCs w:val="20"/>
          <w14:ligatures w14:val="none"/>
        </w:rPr>
      </w:pPr>
    </w:p>
    <w:p w14:paraId="6109E897" w14:textId="70EEB4DE" w:rsidR="00CC603F" w:rsidRPr="00EB50B3" w:rsidRDefault="00CC603F" w:rsidP="00EB50B3">
      <w:pPr>
        <w:spacing w:after="0" w:line="360" w:lineRule="auto"/>
        <w:jc w:val="both"/>
        <w:rPr>
          <w:rFonts w:ascii="Arial" w:eastAsia="Times New Roman" w:hAnsi="Arial" w:cs="Arial"/>
          <w:kern w:val="0"/>
          <w:sz w:val="20"/>
          <w:szCs w:val="20"/>
          <w14:ligatures w14:val="none"/>
        </w:rPr>
      </w:pPr>
      <w:r w:rsidRPr="00EB50B3">
        <w:rPr>
          <w:rFonts w:ascii="Arial" w:eastAsia="Times New Roman" w:hAnsi="Arial" w:cs="Arial"/>
          <w:kern w:val="0"/>
          <w:sz w:val="20"/>
          <w:szCs w:val="20"/>
          <w14:ligatures w14:val="none"/>
        </w:rPr>
        <w:t xml:space="preserve">Table </w:t>
      </w:r>
      <w:r w:rsidRPr="00EB50B3">
        <w:rPr>
          <w:rFonts w:ascii="Arial" w:eastAsia="Times New Roman" w:hAnsi="Arial" w:cs="Arial"/>
          <w:kern w:val="0"/>
          <w:sz w:val="20"/>
          <w:szCs w:val="20"/>
          <w14:ligatures w14:val="none"/>
        </w:rPr>
        <w:fldChar w:fldCharType="begin"/>
      </w:r>
      <w:r w:rsidRPr="00EB50B3">
        <w:rPr>
          <w:rFonts w:ascii="Arial" w:eastAsia="Times New Roman" w:hAnsi="Arial" w:cs="Arial"/>
          <w:kern w:val="0"/>
          <w:sz w:val="20"/>
          <w:szCs w:val="20"/>
          <w14:ligatures w14:val="none"/>
        </w:rPr>
        <w:instrText xml:space="preserve"> SEQ Table \* ARABIC </w:instrText>
      </w:r>
      <w:r w:rsidRPr="00EB50B3">
        <w:rPr>
          <w:rFonts w:ascii="Arial" w:eastAsia="Times New Roman" w:hAnsi="Arial" w:cs="Arial"/>
          <w:kern w:val="0"/>
          <w:sz w:val="20"/>
          <w:szCs w:val="20"/>
          <w14:ligatures w14:val="none"/>
        </w:rPr>
        <w:fldChar w:fldCharType="separate"/>
      </w:r>
      <w:r w:rsidR="00AE6A7B" w:rsidRPr="00EB50B3">
        <w:rPr>
          <w:rFonts w:ascii="Arial" w:eastAsia="Times New Roman" w:hAnsi="Arial" w:cs="Arial"/>
          <w:kern w:val="0"/>
          <w:sz w:val="20"/>
          <w:szCs w:val="20"/>
          <w14:ligatures w14:val="none"/>
        </w:rPr>
        <w:t>1</w:t>
      </w:r>
      <w:r w:rsidRPr="00EB50B3">
        <w:rPr>
          <w:rFonts w:ascii="Arial" w:eastAsia="Times New Roman" w:hAnsi="Arial" w:cs="Arial"/>
          <w:kern w:val="0"/>
          <w:sz w:val="20"/>
          <w:szCs w:val="20"/>
          <w14:ligatures w14:val="none"/>
        </w:rPr>
        <w:fldChar w:fldCharType="end"/>
      </w:r>
      <w:r w:rsidRPr="00EB50B3">
        <w:rPr>
          <w:rFonts w:ascii="Arial" w:eastAsia="Times New Roman" w:hAnsi="Arial" w:cs="Arial"/>
          <w:kern w:val="0"/>
          <w:sz w:val="20"/>
          <w:szCs w:val="20"/>
          <w14:ligatures w14:val="none"/>
        </w:rPr>
        <w:t xml:space="preserve">. </w:t>
      </w:r>
      <w:r w:rsidR="00504AB9" w:rsidRPr="00EB50B3">
        <w:rPr>
          <w:rFonts w:ascii="Arial" w:eastAsia="Times New Roman" w:hAnsi="Arial" w:cs="Arial"/>
          <w:kern w:val="0"/>
          <w:sz w:val="20"/>
          <w:szCs w:val="20"/>
          <w14:ligatures w14:val="none"/>
        </w:rPr>
        <w:t xml:space="preserve">Distribution of </w:t>
      </w:r>
      <w:r w:rsidR="000D6BFF" w:rsidRPr="00EB50B3">
        <w:rPr>
          <w:rFonts w:ascii="Arial" w:eastAsia="Times New Roman" w:hAnsi="Arial" w:cs="Arial"/>
          <w:kern w:val="0"/>
          <w:sz w:val="20"/>
          <w:szCs w:val="20"/>
          <w14:ligatures w14:val="none"/>
        </w:rPr>
        <w:t xml:space="preserve">education level, </w:t>
      </w:r>
      <w:r w:rsidR="00504AB9" w:rsidRPr="00EB50B3">
        <w:rPr>
          <w:rFonts w:ascii="Arial" w:eastAsia="Times New Roman" w:hAnsi="Arial" w:cs="Arial"/>
          <w:kern w:val="0"/>
          <w:sz w:val="20"/>
          <w:szCs w:val="20"/>
          <w14:ligatures w14:val="none"/>
        </w:rPr>
        <w:t>gender and occupation status of</w:t>
      </w:r>
      <w:r w:rsidRPr="00EB50B3">
        <w:rPr>
          <w:rFonts w:ascii="Arial" w:eastAsia="Times New Roman" w:hAnsi="Arial" w:cs="Arial"/>
          <w:kern w:val="0"/>
          <w:sz w:val="20"/>
          <w:szCs w:val="20"/>
          <w14:ligatures w14:val="none"/>
        </w:rPr>
        <w:t xml:space="preserve"> sample students (n=470)</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245"/>
        <w:gridCol w:w="2257"/>
        <w:gridCol w:w="2258"/>
      </w:tblGrid>
      <w:tr w:rsidR="00421CEE" w14:paraId="6185DAD1" w14:textId="77777777" w:rsidTr="00C146CC">
        <w:trPr>
          <w:trHeight w:val="283"/>
        </w:trPr>
        <w:tc>
          <w:tcPr>
            <w:tcW w:w="2266" w:type="dxa"/>
            <w:tcBorders>
              <w:top w:val="single" w:sz="4" w:space="0" w:color="auto"/>
              <w:bottom w:val="single" w:sz="4" w:space="0" w:color="auto"/>
            </w:tcBorders>
          </w:tcPr>
          <w:p w14:paraId="682662C6" w14:textId="682D32AE" w:rsidR="00421CEE" w:rsidRPr="00EB50B3" w:rsidRDefault="00421CEE" w:rsidP="00046BD2">
            <w:pPr>
              <w:jc w:val="center"/>
              <w:rPr>
                <w:rFonts w:ascii="Arial" w:eastAsia="Calibri" w:hAnsi="Arial" w:cs="Arial"/>
                <w:b/>
                <w:kern w:val="0"/>
                <w:sz w:val="20"/>
                <w:szCs w:val="20"/>
                <w14:ligatures w14:val="none"/>
              </w:rPr>
            </w:pPr>
            <w:r w:rsidRPr="00EB50B3">
              <w:rPr>
                <w:rFonts w:ascii="Arial" w:eastAsia="Calibri" w:hAnsi="Arial" w:cs="Arial"/>
                <w:b/>
                <w:kern w:val="0"/>
                <w:sz w:val="20"/>
                <w:szCs w:val="20"/>
                <w14:ligatures w14:val="none"/>
              </w:rPr>
              <w:t>Item</w:t>
            </w:r>
          </w:p>
        </w:tc>
        <w:tc>
          <w:tcPr>
            <w:tcW w:w="2245" w:type="dxa"/>
            <w:tcBorders>
              <w:top w:val="single" w:sz="4" w:space="0" w:color="auto"/>
              <w:bottom w:val="single" w:sz="4" w:space="0" w:color="auto"/>
            </w:tcBorders>
          </w:tcPr>
          <w:p w14:paraId="23A8349A" w14:textId="1494802C" w:rsidR="00421CEE" w:rsidRPr="00EB50B3" w:rsidRDefault="00421CEE" w:rsidP="00046BD2">
            <w:pPr>
              <w:jc w:val="center"/>
              <w:rPr>
                <w:rFonts w:ascii="Arial" w:eastAsia="Calibri" w:hAnsi="Arial" w:cs="Arial"/>
                <w:b/>
                <w:kern w:val="0"/>
                <w:sz w:val="20"/>
                <w:szCs w:val="20"/>
                <w14:ligatures w14:val="none"/>
              </w:rPr>
            </w:pPr>
            <w:r w:rsidRPr="00EB50B3">
              <w:rPr>
                <w:rFonts w:ascii="Arial" w:eastAsia="Calibri" w:hAnsi="Arial" w:cs="Arial"/>
                <w:b/>
                <w:kern w:val="0"/>
                <w:sz w:val="20"/>
                <w:szCs w:val="20"/>
                <w14:ligatures w14:val="none"/>
              </w:rPr>
              <w:t>Grouping</w:t>
            </w:r>
          </w:p>
        </w:tc>
        <w:tc>
          <w:tcPr>
            <w:tcW w:w="2257" w:type="dxa"/>
            <w:tcBorders>
              <w:top w:val="single" w:sz="4" w:space="0" w:color="auto"/>
              <w:bottom w:val="single" w:sz="4" w:space="0" w:color="auto"/>
            </w:tcBorders>
          </w:tcPr>
          <w:p w14:paraId="06F6B64A" w14:textId="3A1BD351" w:rsidR="00421CEE" w:rsidRPr="00EB50B3" w:rsidRDefault="00421CEE" w:rsidP="00046BD2">
            <w:pPr>
              <w:jc w:val="center"/>
              <w:rPr>
                <w:rFonts w:ascii="Arial" w:eastAsia="Calibri" w:hAnsi="Arial" w:cs="Arial"/>
                <w:b/>
                <w:kern w:val="0"/>
                <w:sz w:val="20"/>
                <w:szCs w:val="20"/>
                <w14:ligatures w14:val="none"/>
              </w:rPr>
            </w:pPr>
            <w:r w:rsidRPr="00EB50B3">
              <w:rPr>
                <w:rFonts w:ascii="Arial" w:eastAsia="Calibri" w:hAnsi="Arial" w:cs="Arial"/>
                <w:b/>
                <w:kern w:val="0"/>
                <w:sz w:val="20"/>
                <w:szCs w:val="20"/>
                <w14:ligatures w14:val="none"/>
              </w:rPr>
              <w:t>Frequency</w:t>
            </w:r>
          </w:p>
        </w:tc>
        <w:tc>
          <w:tcPr>
            <w:tcW w:w="2258" w:type="dxa"/>
            <w:tcBorders>
              <w:top w:val="single" w:sz="4" w:space="0" w:color="auto"/>
              <w:bottom w:val="single" w:sz="4" w:space="0" w:color="auto"/>
            </w:tcBorders>
          </w:tcPr>
          <w:p w14:paraId="41BBED27" w14:textId="0C78506B" w:rsidR="00421CEE" w:rsidRPr="00EB50B3" w:rsidRDefault="00421CEE" w:rsidP="00046BD2">
            <w:pPr>
              <w:jc w:val="center"/>
              <w:rPr>
                <w:rFonts w:ascii="Arial" w:eastAsia="Calibri" w:hAnsi="Arial" w:cs="Arial"/>
                <w:b/>
                <w:kern w:val="0"/>
                <w:sz w:val="20"/>
                <w:szCs w:val="20"/>
                <w14:ligatures w14:val="none"/>
              </w:rPr>
            </w:pPr>
            <w:r w:rsidRPr="00EB50B3">
              <w:rPr>
                <w:rFonts w:ascii="Arial" w:eastAsia="Calibri" w:hAnsi="Arial" w:cs="Arial"/>
                <w:b/>
                <w:kern w:val="0"/>
                <w:sz w:val="20"/>
                <w:szCs w:val="20"/>
                <w14:ligatures w14:val="none"/>
              </w:rPr>
              <w:t>Percent</w:t>
            </w:r>
          </w:p>
        </w:tc>
      </w:tr>
      <w:tr w:rsidR="00CA25FE" w14:paraId="4095617B" w14:textId="77777777" w:rsidTr="000D6BFF">
        <w:trPr>
          <w:trHeight w:val="340"/>
        </w:trPr>
        <w:tc>
          <w:tcPr>
            <w:tcW w:w="2266" w:type="dxa"/>
            <w:vMerge w:val="restart"/>
            <w:tcBorders>
              <w:top w:val="single" w:sz="4" w:space="0" w:color="auto"/>
            </w:tcBorders>
          </w:tcPr>
          <w:p w14:paraId="2116E092" w14:textId="019EC7E0" w:rsidR="00CA25FE" w:rsidRPr="00EB50B3" w:rsidRDefault="00CA25FE" w:rsidP="000D6BFF">
            <w:pP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Education level</w:t>
            </w:r>
          </w:p>
        </w:tc>
        <w:tc>
          <w:tcPr>
            <w:tcW w:w="2245" w:type="dxa"/>
            <w:tcBorders>
              <w:top w:val="single" w:sz="4" w:space="0" w:color="auto"/>
              <w:bottom w:val="nil"/>
            </w:tcBorders>
          </w:tcPr>
          <w:p w14:paraId="05B217BC" w14:textId="4CCE9E99" w:rsidR="00CA25FE" w:rsidRPr="00EB50B3" w:rsidRDefault="00CA25FE" w:rsidP="00CA25FE">
            <w:pP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5</w:t>
            </w:r>
            <w:r w:rsidRPr="00EB50B3">
              <w:rPr>
                <w:rFonts w:ascii="Arial" w:eastAsia="Calibri" w:hAnsi="Arial" w:cs="Arial"/>
                <w:kern w:val="0"/>
                <w:sz w:val="20"/>
                <w:szCs w:val="20"/>
                <w:vertAlign w:val="superscript"/>
                <w14:ligatures w14:val="none"/>
              </w:rPr>
              <w:t>th</w:t>
            </w:r>
            <w:r w:rsidRPr="00EB50B3">
              <w:rPr>
                <w:rFonts w:ascii="Arial" w:eastAsia="Calibri" w:hAnsi="Arial" w:cs="Arial"/>
                <w:kern w:val="0"/>
                <w:sz w:val="20"/>
                <w:szCs w:val="20"/>
                <w14:ligatures w14:val="none"/>
              </w:rPr>
              <w:t xml:space="preserve"> Semester</w:t>
            </w:r>
          </w:p>
        </w:tc>
        <w:tc>
          <w:tcPr>
            <w:tcW w:w="2257" w:type="dxa"/>
            <w:tcBorders>
              <w:top w:val="single" w:sz="4" w:space="0" w:color="auto"/>
              <w:bottom w:val="nil"/>
            </w:tcBorders>
          </w:tcPr>
          <w:p w14:paraId="1C4540D8" w14:textId="59ED95A8" w:rsidR="00CA25FE" w:rsidRPr="00EB50B3" w:rsidRDefault="00CA25FE" w:rsidP="00CA25FE">
            <w:pPr>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106</w:t>
            </w:r>
          </w:p>
        </w:tc>
        <w:tc>
          <w:tcPr>
            <w:tcW w:w="2258" w:type="dxa"/>
            <w:tcBorders>
              <w:top w:val="single" w:sz="4" w:space="0" w:color="auto"/>
              <w:bottom w:val="nil"/>
            </w:tcBorders>
          </w:tcPr>
          <w:p w14:paraId="27D56521" w14:textId="364A76D6" w:rsidR="00CA25FE" w:rsidRPr="00EB50B3" w:rsidRDefault="00CA25FE" w:rsidP="00CA25FE">
            <w:pPr>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22.55</w:t>
            </w:r>
          </w:p>
        </w:tc>
      </w:tr>
      <w:tr w:rsidR="00CA25FE" w14:paraId="1C16E2B4" w14:textId="77777777" w:rsidTr="00767F6A">
        <w:trPr>
          <w:trHeight w:val="340"/>
        </w:trPr>
        <w:tc>
          <w:tcPr>
            <w:tcW w:w="2266" w:type="dxa"/>
            <w:vMerge/>
            <w:vAlign w:val="center"/>
          </w:tcPr>
          <w:p w14:paraId="3CAAEC4C" w14:textId="77777777" w:rsidR="00CA25FE" w:rsidRPr="00EB50B3" w:rsidRDefault="00CA25FE" w:rsidP="00CA25FE">
            <w:pPr>
              <w:rPr>
                <w:rFonts w:ascii="Arial" w:eastAsia="Calibri" w:hAnsi="Arial" w:cs="Arial"/>
                <w:kern w:val="0"/>
                <w:sz w:val="20"/>
                <w:szCs w:val="20"/>
                <w14:ligatures w14:val="none"/>
              </w:rPr>
            </w:pPr>
          </w:p>
        </w:tc>
        <w:tc>
          <w:tcPr>
            <w:tcW w:w="2245" w:type="dxa"/>
            <w:tcBorders>
              <w:top w:val="nil"/>
              <w:bottom w:val="nil"/>
            </w:tcBorders>
          </w:tcPr>
          <w:p w14:paraId="0437F375" w14:textId="4E674102" w:rsidR="00CA25FE" w:rsidRPr="00EB50B3" w:rsidRDefault="00CA25FE" w:rsidP="00CA25FE">
            <w:pP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6</w:t>
            </w:r>
            <w:r w:rsidRPr="00EB50B3">
              <w:rPr>
                <w:rFonts w:ascii="Arial" w:eastAsia="Calibri" w:hAnsi="Arial" w:cs="Arial"/>
                <w:kern w:val="0"/>
                <w:sz w:val="20"/>
                <w:szCs w:val="20"/>
                <w:vertAlign w:val="superscript"/>
                <w14:ligatures w14:val="none"/>
              </w:rPr>
              <w:t>th</w:t>
            </w:r>
            <w:r w:rsidRPr="00EB50B3">
              <w:rPr>
                <w:rFonts w:ascii="Arial" w:eastAsia="Calibri" w:hAnsi="Arial" w:cs="Arial"/>
                <w:kern w:val="0"/>
                <w:sz w:val="20"/>
                <w:szCs w:val="20"/>
                <w14:ligatures w14:val="none"/>
              </w:rPr>
              <w:t xml:space="preserve"> Semester</w:t>
            </w:r>
          </w:p>
        </w:tc>
        <w:tc>
          <w:tcPr>
            <w:tcW w:w="2257" w:type="dxa"/>
            <w:tcBorders>
              <w:top w:val="nil"/>
              <w:bottom w:val="nil"/>
            </w:tcBorders>
          </w:tcPr>
          <w:p w14:paraId="71838CCB" w14:textId="6FDD11BB" w:rsidR="00CA25FE" w:rsidRPr="00EB50B3" w:rsidRDefault="00CA25FE" w:rsidP="00CA25FE">
            <w:pPr>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106</w:t>
            </w:r>
          </w:p>
        </w:tc>
        <w:tc>
          <w:tcPr>
            <w:tcW w:w="2258" w:type="dxa"/>
            <w:tcBorders>
              <w:top w:val="nil"/>
              <w:bottom w:val="nil"/>
            </w:tcBorders>
          </w:tcPr>
          <w:p w14:paraId="5EBD37EA" w14:textId="61BDB978" w:rsidR="00CA25FE" w:rsidRPr="00EB50B3" w:rsidRDefault="00CA25FE" w:rsidP="00CA25FE">
            <w:pPr>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22.55</w:t>
            </w:r>
          </w:p>
        </w:tc>
      </w:tr>
      <w:tr w:rsidR="00CA25FE" w14:paraId="0BA152CA" w14:textId="77777777" w:rsidTr="00767F6A">
        <w:trPr>
          <w:trHeight w:val="340"/>
        </w:trPr>
        <w:tc>
          <w:tcPr>
            <w:tcW w:w="2266" w:type="dxa"/>
            <w:vMerge/>
            <w:vAlign w:val="center"/>
          </w:tcPr>
          <w:p w14:paraId="659ED188" w14:textId="77777777" w:rsidR="00CA25FE" w:rsidRPr="00EB50B3" w:rsidRDefault="00CA25FE" w:rsidP="00CA25FE">
            <w:pPr>
              <w:rPr>
                <w:rFonts w:ascii="Arial" w:eastAsia="Calibri" w:hAnsi="Arial" w:cs="Arial"/>
                <w:kern w:val="0"/>
                <w:sz w:val="20"/>
                <w:szCs w:val="20"/>
                <w14:ligatures w14:val="none"/>
              </w:rPr>
            </w:pPr>
          </w:p>
        </w:tc>
        <w:tc>
          <w:tcPr>
            <w:tcW w:w="2245" w:type="dxa"/>
            <w:tcBorders>
              <w:top w:val="nil"/>
              <w:bottom w:val="nil"/>
            </w:tcBorders>
          </w:tcPr>
          <w:p w14:paraId="18D94219" w14:textId="7D83D7CF" w:rsidR="00CA25FE" w:rsidRPr="00EB50B3" w:rsidRDefault="00CA25FE" w:rsidP="00CA25FE">
            <w:pP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7</w:t>
            </w:r>
            <w:r w:rsidRPr="00EB50B3">
              <w:rPr>
                <w:rFonts w:ascii="Arial" w:eastAsia="Calibri" w:hAnsi="Arial" w:cs="Arial"/>
                <w:kern w:val="0"/>
                <w:sz w:val="20"/>
                <w:szCs w:val="20"/>
                <w:vertAlign w:val="superscript"/>
                <w14:ligatures w14:val="none"/>
              </w:rPr>
              <w:t>th</w:t>
            </w:r>
            <w:r w:rsidRPr="00EB50B3">
              <w:rPr>
                <w:rFonts w:ascii="Arial" w:eastAsia="Calibri" w:hAnsi="Arial" w:cs="Arial"/>
                <w:kern w:val="0"/>
                <w:sz w:val="20"/>
                <w:szCs w:val="20"/>
                <w14:ligatures w14:val="none"/>
              </w:rPr>
              <w:t xml:space="preserve"> Semester</w:t>
            </w:r>
          </w:p>
        </w:tc>
        <w:tc>
          <w:tcPr>
            <w:tcW w:w="2257" w:type="dxa"/>
            <w:tcBorders>
              <w:top w:val="nil"/>
              <w:bottom w:val="nil"/>
            </w:tcBorders>
          </w:tcPr>
          <w:p w14:paraId="61C97DF0" w14:textId="44B288DD" w:rsidR="00CA25FE" w:rsidRPr="00EB50B3" w:rsidRDefault="00CA25FE" w:rsidP="00CA25FE">
            <w:pPr>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65</w:t>
            </w:r>
          </w:p>
        </w:tc>
        <w:tc>
          <w:tcPr>
            <w:tcW w:w="2258" w:type="dxa"/>
            <w:tcBorders>
              <w:top w:val="nil"/>
              <w:bottom w:val="nil"/>
            </w:tcBorders>
          </w:tcPr>
          <w:p w14:paraId="09F15D9F" w14:textId="4681269B" w:rsidR="00CA25FE" w:rsidRPr="00EB50B3" w:rsidRDefault="00CA25FE" w:rsidP="00CA25FE">
            <w:pPr>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13.83</w:t>
            </w:r>
          </w:p>
        </w:tc>
      </w:tr>
      <w:tr w:rsidR="00CA25FE" w14:paraId="3819F0B3" w14:textId="77777777" w:rsidTr="00767F6A">
        <w:trPr>
          <w:trHeight w:val="340"/>
        </w:trPr>
        <w:tc>
          <w:tcPr>
            <w:tcW w:w="2266" w:type="dxa"/>
            <w:vMerge/>
            <w:vAlign w:val="center"/>
          </w:tcPr>
          <w:p w14:paraId="6900DFF5" w14:textId="77777777" w:rsidR="00CA25FE" w:rsidRPr="00EB50B3" w:rsidRDefault="00CA25FE" w:rsidP="00CA25FE">
            <w:pPr>
              <w:rPr>
                <w:rFonts w:ascii="Arial" w:eastAsia="Calibri" w:hAnsi="Arial" w:cs="Arial"/>
                <w:kern w:val="0"/>
                <w:sz w:val="20"/>
                <w:szCs w:val="20"/>
                <w14:ligatures w14:val="none"/>
              </w:rPr>
            </w:pPr>
          </w:p>
        </w:tc>
        <w:tc>
          <w:tcPr>
            <w:tcW w:w="2245" w:type="dxa"/>
            <w:tcBorders>
              <w:top w:val="nil"/>
              <w:bottom w:val="nil"/>
            </w:tcBorders>
          </w:tcPr>
          <w:p w14:paraId="619CA646" w14:textId="7A1CC2EB" w:rsidR="00CA25FE" w:rsidRPr="00EB50B3" w:rsidRDefault="00CA25FE" w:rsidP="00CA25FE">
            <w:pP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8</w:t>
            </w:r>
            <w:r w:rsidRPr="00EB50B3">
              <w:rPr>
                <w:rFonts w:ascii="Arial" w:eastAsia="Calibri" w:hAnsi="Arial" w:cs="Arial"/>
                <w:kern w:val="0"/>
                <w:sz w:val="20"/>
                <w:szCs w:val="20"/>
                <w:vertAlign w:val="superscript"/>
                <w14:ligatures w14:val="none"/>
              </w:rPr>
              <w:t>th</w:t>
            </w:r>
            <w:r w:rsidRPr="00EB50B3">
              <w:rPr>
                <w:rFonts w:ascii="Arial" w:eastAsia="Calibri" w:hAnsi="Arial" w:cs="Arial"/>
                <w:kern w:val="0"/>
                <w:sz w:val="20"/>
                <w:szCs w:val="20"/>
                <w14:ligatures w14:val="none"/>
              </w:rPr>
              <w:t xml:space="preserve"> Semester</w:t>
            </w:r>
          </w:p>
        </w:tc>
        <w:tc>
          <w:tcPr>
            <w:tcW w:w="2257" w:type="dxa"/>
            <w:tcBorders>
              <w:top w:val="nil"/>
              <w:bottom w:val="nil"/>
            </w:tcBorders>
          </w:tcPr>
          <w:p w14:paraId="51A3B753" w14:textId="05574FB9" w:rsidR="00CA25FE" w:rsidRPr="00EB50B3" w:rsidRDefault="00CA25FE" w:rsidP="00CA25FE">
            <w:pPr>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65</w:t>
            </w:r>
          </w:p>
        </w:tc>
        <w:tc>
          <w:tcPr>
            <w:tcW w:w="2258" w:type="dxa"/>
            <w:tcBorders>
              <w:top w:val="nil"/>
              <w:bottom w:val="nil"/>
            </w:tcBorders>
          </w:tcPr>
          <w:p w14:paraId="10BCDA93" w14:textId="63B2E55E" w:rsidR="00CA25FE" w:rsidRPr="00EB50B3" w:rsidRDefault="00CA25FE" w:rsidP="00CA25FE">
            <w:pPr>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13.83</w:t>
            </w:r>
          </w:p>
        </w:tc>
      </w:tr>
      <w:tr w:rsidR="00CA25FE" w14:paraId="6C697798" w14:textId="77777777" w:rsidTr="00767F6A">
        <w:trPr>
          <w:trHeight w:val="340"/>
        </w:trPr>
        <w:tc>
          <w:tcPr>
            <w:tcW w:w="2266" w:type="dxa"/>
            <w:vMerge/>
            <w:vAlign w:val="center"/>
          </w:tcPr>
          <w:p w14:paraId="05F40F98" w14:textId="77777777" w:rsidR="00CA25FE" w:rsidRPr="00EB50B3" w:rsidRDefault="00CA25FE" w:rsidP="00CA25FE">
            <w:pPr>
              <w:rPr>
                <w:rFonts w:ascii="Arial" w:eastAsia="Calibri" w:hAnsi="Arial" w:cs="Arial"/>
                <w:kern w:val="0"/>
                <w:sz w:val="20"/>
                <w:szCs w:val="20"/>
                <w14:ligatures w14:val="none"/>
              </w:rPr>
            </w:pPr>
          </w:p>
        </w:tc>
        <w:tc>
          <w:tcPr>
            <w:tcW w:w="2245" w:type="dxa"/>
            <w:tcBorders>
              <w:top w:val="nil"/>
              <w:bottom w:val="nil"/>
            </w:tcBorders>
          </w:tcPr>
          <w:p w14:paraId="7F06DEC8" w14:textId="54C7ECBA" w:rsidR="00CA25FE" w:rsidRPr="00EB50B3" w:rsidRDefault="00CA25FE" w:rsidP="00CA25FE">
            <w:pP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9</w:t>
            </w:r>
            <w:r w:rsidRPr="00EB50B3">
              <w:rPr>
                <w:rFonts w:ascii="Arial" w:eastAsia="Calibri" w:hAnsi="Arial" w:cs="Arial"/>
                <w:kern w:val="0"/>
                <w:sz w:val="20"/>
                <w:szCs w:val="20"/>
                <w:vertAlign w:val="superscript"/>
                <w14:ligatures w14:val="none"/>
              </w:rPr>
              <w:t>th</w:t>
            </w:r>
            <w:r w:rsidRPr="00EB50B3">
              <w:rPr>
                <w:rFonts w:ascii="Arial" w:eastAsia="Calibri" w:hAnsi="Arial" w:cs="Arial"/>
                <w:kern w:val="0"/>
                <w:sz w:val="20"/>
                <w:szCs w:val="20"/>
                <w14:ligatures w14:val="none"/>
              </w:rPr>
              <w:t xml:space="preserve"> Semester</w:t>
            </w:r>
          </w:p>
        </w:tc>
        <w:tc>
          <w:tcPr>
            <w:tcW w:w="2257" w:type="dxa"/>
            <w:tcBorders>
              <w:top w:val="nil"/>
              <w:bottom w:val="nil"/>
            </w:tcBorders>
          </w:tcPr>
          <w:p w14:paraId="459D9112" w14:textId="0F120185" w:rsidR="00CA25FE" w:rsidRPr="00EB50B3" w:rsidRDefault="00CA25FE" w:rsidP="00CA25FE">
            <w:pPr>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68</w:t>
            </w:r>
          </w:p>
        </w:tc>
        <w:tc>
          <w:tcPr>
            <w:tcW w:w="2258" w:type="dxa"/>
            <w:tcBorders>
              <w:top w:val="nil"/>
              <w:bottom w:val="nil"/>
            </w:tcBorders>
          </w:tcPr>
          <w:p w14:paraId="48D34777" w14:textId="611637EA" w:rsidR="00CA25FE" w:rsidRPr="00EB50B3" w:rsidRDefault="00CA25FE" w:rsidP="00CA25FE">
            <w:pPr>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14.47</w:t>
            </w:r>
          </w:p>
        </w:tc>
      </w:tr>
      <w:tr w:rsidR="00CA25FE" w14:paraId="45BB232B" w14:textId="77777777" w:rsidTr="00767F6A">
        <w:trPr>
          <w:trHeight w:val="340"/>
        </w:trPr>
        <w:tc>
          <w:tcPr>
            <w:tcW w:w="2266" w:type="dxa"/>
            <w:vMerge/>
            <w:tcBorders>
              <w:bottom w:val="nil"/>
            </w:tcBorders>
            <w:vAlign w:val="center"/>
          </w:tcPr>
          <w:p w14:paraId="44EA778E" w14:textId="77777777" w:rsidR="00CA25FE" w:rsidRPr="00EB50B3" w:rsidRDefault="00CA25FE" w:rsidP="00CA25FE">
            <w:pPr>
              <w:rPr>
                <w:rFonts w:ascii="Arial" w:eastAsia="Calibri" w:hAnsi="Arial" w:cs="Arial"/>
                <w:kern w:val="0"/>
                <w:sz w:val="20"/>
                <w:szCs w:val="20"/>
                <w14:ligatures w14:val="none"/>
              </w:rPr>
            </w:pPr>
          </w:p>
        </w:tc>
        <w:tc>
          <w:tcPr>
            <w:tcW w:w="2245" w:type="dxa"/>
            <w:tcBorders>
              <w:top w:val="nil"/>
              <w:bottom w:val="single" w:sz="4" w:space="0" w:color="auto"/>
            </w:tcBorders>
          </w:tcPr>
          <w:p w14:paraId="71F962DE" w14:textId="64567804" w:rsidR="00CA25FE" w:rsidRPr="00EB50B3" w:rsidRDefault="00CA25FE" w:rsidP="00CA25FE">
            <w:pP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10</w:t>
            </w:r>
            <w:r w:rsidRPr="00EB50B3">
              <w:rPr>
                <w:rFonts w:ascii="Arial" w:eastAsia="Calibri" w:hAnsi="Arial" w:cs="Arial"/>
                <w:kern w:val="0"/>
                <w:sz w:val="20"/>
                <w:szCs w:val="20"/>
                <w:vertAlign w:val="superscript"/>
                <w14:ligatures w14:val="none"/>
              </w:rPr>
              <w:t>th</w:t>
            </w:r>
            <w:r w:rsidRPr="00EB50B3">
              <w:rPr>
                <w:rFonts w:ascii="Arial" w:eastAsia="Calibri" w:hAnsi="Arial" w:cs="Arial"/>
                <w:kern w:val="0"/>
                <w:sz w:val="20"/>
                <w:szCs w:val="20"/>
                <w14:ligatures w14:val="none"/>
              </w:rPr>
              <w:t xml:space="preserve"> Semester</w:t>
            </w:r>
          </w:p>
        </w:tc>
        <w:tc>
          <w:tcPr>
            <w:tcW w:w="2257" w:type="dxa"/>
            <w:tcBorders>
              <w:top w:val="nil"/>
              <w:bottom w:val="single" w:sz="4" w:space="0" w:color="auto"/>
            </w:tcBorders>
          </w:tcPr>
          <w:p w14:paraId="0752C827" w14:textId="2CC2EF4F" w:rsidR="00CA25FE" w:rsidRPr="00EB50B3" w:rsidRDefault="00CA25FE" w:rsidP="00CA25FE">
            <w:pPr>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60</w:t>
            </w:r>
          </w:p>
        </w:tc>
        <w:tc>
          <w:tcPr>
            <w:tcW w:w="2258" w:type="dxa"/>
            <w:tcBorders>
              <w:top w:val="nil"/>
              <w:bottom w:val="single" w:sz="4" w:space="0" w:color="auto"/>
            </w:tcBorders>
          </w:tcPr>
          <w:p w14:paraId="0DD52A0E" w14:textId="2C6BF403" w:rsidR="00CA25FE" w:rsidRPr="00EB50B3" w:rsidRDefault="00CA25FE" w:rsidP="00CA25FE">
            <w:pPr>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12.77</w:t>
            </w:r>
          </w:p>
        </w:tc>
      </w:tr>
      <w:tr w:rsidR="00421CEE" w14:paraId="10F3831E" w14:textId="77777777" w:rsidTr="000D6BFF">
        <w:trPr>
          <w:trHeight w:val="340"/>
        </w:trPr>
        <w:tc>
          <w:tcPr>
            <w:tcW w:w="2266" w:type="dxa"/>
            <w:vMerge w:val="restart"/>
            <w:tcBorders>
              <w:top w:val="single" w:sz="4" w:space="0" w:color="auto"/>
              <w:bottom w:val="nil"/>
            </w:tcBorders>
          </w:tcPr>
          <w:p w14:paraId="6728621C" w14:textId="477108DB" w:rsidR="00421CEE" w:rsidRPr="00EB50B3" w:rsidRDefault="00421CEE" w:rsidP="000D6BFF">
            <w:pP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Gender</w:t>
            </w:r>
          </w:p>
        </w:tc>
        <w:tc>
          <w:tcPr>
            <w:tcW w:w="2245" w:type="dxa"/>
            <w:tcBorders>
              <w:top w:val="single" w:sz="4" w:space="0" w:color="auto"/>
              <w:bottom w:val="nil"/>
            </w:tcBorders>
          </w:tcPr>
          <w:p w14:paraId="1348B261" w14:textId="6E8C033E" w:rsidR="00421CEE" w:rsidRPr="00EB50B3" w:rsidRDefault="00421CEE" w:rsidP="00046BD2">
            <w:pP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Male</w:t>
            </w:r>
          </w:p>
        </w:tc>
        <w:tc>
          <w:tcPr>
            <w:tcW w:w="2257" w:type="dxa"/>
            <w:tcBorders>
              <w:top w:val="single" w:sz="4" w:space="0" w:color="auto"/>
              <w:bottom w:val="nil"/>
            </w:tcBorders>
          </w:tcPr>
          <w:p w14:paraId="66EFDD6C" w14:textId="21CDFF8F" w:rsidR="00421CEE" w:rsidRPr="00EB50B3" w:rsidRDefault="002171AE" w:rsidP="00046BD2">
            <w:pPr>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171</w:t>
            </w:r>
          </w:p>
        </w:tc>
        <w:tc>
          <w:tcPr>
            <w:tcW w:w="2258" w:type="dxa"/>
            <w:tcBorders>
              <w:top w:val="single" w:sz="4" w:space="0" w:color="auto"/>
              <w:bottom w:val="nil"/>
            </w:tcBorders>
          </w:tcPr>
          <w:p w14:paraId="1B0E5C31" w14:textId="110F732A" w:rsidR="00421CEE" w:rsidRPr="00EB50B3" w:rsidRDefault="002171AE" w:rsidP="00046BD2">
            <w:pPr>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36.38</w:t>
            </w:r>
          </w:p>
        </w:tc>
      </w:tr>
      <w:tr w:rsidR="00421CEE" w14:paraId="22B8D0F4" w14:textId="77777777" w:rsidTr="00767F6A">
        <w:trPr>
          <w:trHeight w:val="340"/>
        </w:trPr>
        <w:tc>
          <w:tcPr>
            <w:tcW w:w="2266" w:type="dxa"/>
            <w:vMerge/>
            <w:tcBorders>
              <w:top w:val="nil"/>
              <w:bottom w:val="single" w:sz="4" w:space="0" w:color="auto"/>
            </w:tcBorders>
          </w:tcPr>
          <w:p w14:paraId="68F9DC07" w14:textId="77777777" w:rsidR="00421CEE" w:rsidRPr="00EB50B3" w:rsidRDefault="00421CEE" w:rsidP="00046BD2">
            <w:pPr>
              <w:rPr>
                <w:rFonts w:ascii="Arial" w:eastAsia="Calibri" w:hAnsi="Arial" w:cs="Arial"/>
                <w:kern w:val="0"/>
                <w:sz w:val="20"/>
                <w:szCs w:val="20"/>
                <w14:ligatures w14:val="none"/>
              </w:rPr>
            </w:pPr>
          </w:p>
        </w:tc>
        <w:tc>
          <w:tcPr>
            <w:tcW w:w="2245" w:type="dxa"/>
            <w:tcBorders>
              <w:top w:val="nil"/>
              <w:bottom w:val="single" w:sz="4" w:space="0" w:color="auto"/>
            </w:tcBorders>
          </w:tcPr>
          <w:p w14:paraId="547AF958" w14:textId="3DC75875" w:rsidR="00421CEE" w:rsidRPr="00EB50B3" w:rsidRDefault="00421CEE" w:rsidP="00046BD2">
            <w:pP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Female</w:t>
            </w:r>
          </w:p>
        </w:tc>
        <w:tc>
          <w:tcPr>
            <w:tcW w:w="2257" w:type="dxa"/>
            <w:tcBorders>
              <w:top w:val="nil"/>
              <w:bottom w:val="single" w:sz="4" w:space="0" w:color="auto"/>
            </w:tcBorders>
          </w:tcPr>
          <w:p w14:paraId="0CBC8807" w14:textId="2CDF3F9B" w:rsidR="00421CEE" w:rsidRPr="00EB50B3" w:rsidRDefault="002171AE" w:rsidP="00046BD2">
            <w:pPr>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299</w:t>
            </w:r>
          </w:p>
        </w:tc>
        <w:tc>
          <w:tcPr>
            <w:tcW w:w="2258" w:type="dxa"/>
            <w:tcBorders>
              <w:top w:val="nil"/>
              <w:bottom w:val="single" w:sz="4" w:space="0" w:color="auto"/>
            </w:tcBorders>
          </w:tcPr>
          <w:p w14:paraId="37BB2CF7" w14:textId="5AD0551E" w:rsidR="00421CEE" w:rsidRPr="00EB50B3" w:rsidRDefault="002171AE" w:rsidP="00046BD2">
            <w:pPr>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63.62</w:t>
            </w:r>
          </w:p>
        </w:tc>
      </w:tr>
      <w:tr w:rsidR="002171AE" w14:paraId="2F908AEE" w14:textId="77777777" w:rsidTr="000D6BFF">
        <w:trPr>
          <w:trHeight w:val="340"/>
        </w:trPr>
        <w:tc>
          <w:tcPr>
            <w:tcW w:w="2266" w:type="dxa"/>
            <w:vMerge w:val="restart"/>
            <w:tcBorders>
              <w:top w:val="single" w:sz="4" w:space="0" w:color="auto"/>
            </w:tcBorders>
          </w:tcPr>
          <w:p w14:paraId="2734F696" w14:textId="5361CF96" w:rsidR="002171AE" w:rsidRPr="00EB50B3" w:rsidRDefault="002171AE" w:rsidP="000D6BFF">
            <w:pP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Occupation</w:t>
            </w:r>
          </w:p>
        </w:tc>
        <w:tc>
          <w:tcPr>
            <w:tcW w:w="2245" w:type="dxa"/>
            <w:tcBorders>
              <w:top w:val="single" w:sz="4" w:space="0" w:color="auto"/>
            </w:tcBorders>
          </w:tcPr>
          <w:p w14:paraId="35E49915" w14:textId="70BFD685" w:rsidR="002171AE" w:rsidRPr="00EB50B3" w:rsidRDefault="002171AE" w:rsidP="00046BD2">
            <w:pP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Yes</w:t>
            </w:r>
          </w:p>
        </w:tc>
        <w:tc>
          <w:tcPr>
            <w:tcW w:w="2257" w:type="dxa"/>
            <w:tcBorders>
              <w:top w:val="single" w:sz="4" w:space="0" w:color="auto"/>
            </w:tcBorders>
          </w:tcPr>
          <w:p w14:paraId="1DD18423" w14:textId="6C14FCB1" w:rsidR="002171AE" w:rsidRPr="00EB50B3" w:rsidRDefault="002171AE" w:rsidP="00046BD2">
            <w:pPr>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148</w:t>
            </w:r>
          </w:p>
        </w:tc>
        <w:tc>
          <w:tcPr>
            <w:tcW w:w="2258" w:type="dxa"/>
            <w:tcBorders>
              <w:top w:val="single" w:sz="4" w:space="0" w:color="auto"/>
            </w:tcBorders>
          </w:tcPr>
          <w:p w14:paraId="09C6ED76" w14:textId="2B99A529" w:rsidR="002171AE" w:rsidRPr="00EB50B3" w:rsidRDefault="002171AE" w:rsidP="00046BD2">
            <w:pPr>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31.49</w:t>
            </w:r>
          </w:p>
        </w:tc>
      </w:tr>
      <w:tr w:rsidR="002171AE" w14:paraId="01992204" w14:textId="77777777" w:rsidTr="00767F6A">
        <w:trPr>
          <w:trHeight w:val="340"/>
        </w:trPr>
        <w:tc>
          <w:tcPr>
            <w:tcW w:w="2266" w:type="dxa"/>
            <w:vMerge/>
          </w:tcPr>
          <w:p w14:paraId="572E95BD" w14:textId="77777777" w:rsidR="002171AE" w:rsidRPr="00EB50B3" w:rsidRDefault="002171AE" w:rsidP="00046BD2">
            <w:pPr>
              <w:rPr>
                <w:rFonts w:ascii="Arial" w:eastAsia="Calibri" w:hAnsi="Arial" w:cs="Arial"/>
                <w:kern w:val="0"/>
                <w:sz w:val="20"/>
                <w:szCs w:val="20"/>
                <w14:ligatures w14:val="none"/>
              </w:rPr>
            </w:pPr>
          </w:p>
        </w:tc>
        <w:tc>
          <w:tcPr>
            <w:tcW w:w="2245" w:type="dxa"/>
          </w:tcPr>
          <w:p w14:paraId="3133663A" w14:textId="2AA3A084" w:rsidR="002171AE" w:rsidRPr="00EB50B3" w:rsidRDefault="002171AE" w:rsidP="00046BD2">
            <w:pP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No</w:t>
            </w:r>
          </w:p>
        </w:tc>
        <w:tc>
          <w:tcPr>
            <w:tcW w:w="2257" w:type="dxa"/>
          </w:tcPr>
          <w:p w14:paraId="1BE58E7F" w14:textId="43DB5F20" w:rsidR="002171AE" w:rsidRPr="00EB50B3" w:rsidRDefault="002171AE" w:rsidP="00046BD2">
            <w:pPr>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322</w:t>
            </w:r>
          </w:p>
        </w:tc>
        <w:tc>
          <w:tcPr>
            <w:tcW w:w="2258" w:type="dxa"/>
          </w:tcPr>
          <w:p w14:paraId="5098664B" w14:textId="6F08B9FB" w:rsidR="002171AE" w:rsidRPr="00EB50B3" w:rsidRDefault="002171AE" w:rsidP="00046BD2">
            <w:pPr>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68.51</w:t>
            </w:r>
          </w:p>
        </w:tc>
      </w:tr>
    </w:tbl>
    <w:p w14:paraId="73EFEE9F" w14:textId="77777777" w:rsidR="00EB50B3" w:rsidRPr="00172DA9" w:rsidRDefault="00EB50B3" w:rsidP="00EB50B3">
      <w:pPr>
        <w:spacing w:after="0" w:line="360" w:lineRule="auto"/>
        <w:jc w:val="both"/>
        <w:rPr>
          <w:rFonts w:ascii="Arial" w:eastAsia="Times New Roman" w:hAnsi="Arial" w:cs="Arial"/>
          <w:kern w:val="0"/>
          <w:sz w:val="20"/>
          <w:szCs w:val="20"/>
          <w14:ligatures w14:val="none"/>
        </w:rPr>
      </w:pPr>
      <w:r w:rsidRPr="00172DA9">
        <w:rPr>
          <w:rFonts w:ascii="Arial" w:eastAsia="Times New Roman" w:hAnsi="Arial" w:cs="Arial"/>
          <w:kern w:val="0"/>
          <w:sz w:val="20"/>
          <w:szCs w:val="20"/>
          <w14:ligatures w14:val="none"/>
        </w:rPr>
        <w:t>Source: Own survey, 2024</w:t>
      </w:r>
    </w:p>
    <w:p w14:paraId="34CFBB02" w14:textId="3855F900" w:rsidR="002171AE" w:rsidRDefault="000D6BFF" w:rsidP="00EB50B3">
      <w:pPr>
        <w:spacing w:after="0" w:line="360" w:lineRule="auto"/>
        <w:jc w:val="both"/>
        <w:rPr>
          <w:rFonts w:ascii="Arial" w:eastAsia="Times New Roman" w:hAnsi="Arial" w:cs="Arial"/>
          <w:kern w:val="0"/>
          <w:sz w:val="20"/>
          <w:szCs w:val="20"/>
          <w14:ligatures w14:val="none"/>
        </w:rPr>
      </w:pPr>
      <w:r w:rsidRPr="00EB50B3">
        <w:rPr>
          <w:rFonts w:ascii="Arial" w:eastAsia="Times New Roman" w:hAnsi="Arial" w:cs="Arial"/>
          <w:kern w:val="0"/>
          <w:sz w:val="20"/>
          <w:szCs w:val="20"/>
          <w14:ligatures w14:val="none"/>
        </w:rPr>
        <w:t>According to the findings,</w:t>
      </w:r>
      <w:r w:rsidR="00767F6A" w:rsidRPr="00EB50B3">
        <w:rPr>
          <w:rFonts w:ascii="Arial" w:eastAsia="Times New Roman" w:hAnsi="Arial" w:cs="Arial"/>
          <w:kern w:val="0"/>
          <w:sz w:val="20"/>
          <w:szCs w:val="20"/>
          <w14:ligatures w14:val="none"/>
        </w:rPr>
        <w:t xml:space="preserve"> the average age of the sample students was 24.04 years, with ages ranging from 19</w:t>
      </w:r>
      <w:r w:rsidRPr="00EB50B3">
        <w:rPr>
          <w:rFonts w:ascii="Arial" w:eastAsia="Times New Roman" w:hAnsi="Arial" w:cs="Arial"/>
          <w:kern w:val="0"/>
          <w:sz w:val="20"/>
          <w:szCs w:val="20"/>
          <w14:ligatures w14:val="none"/>
        </w:rPr>
        <w:t xml:space="preserve"> years</w:t>
      </w:r>
      <w:r w:rsidR="00767F6A" w:rsidRPr="00EB50B3">
        <w:rPr>
          <w:rFonts w:ascii="Arial" w:eastAsia="Times New Roman" w:hAnsi="Arial" w:cs="Arial"/>
          <w:kern w:val="0"/>
          <w:sz w:val="20"/>
          <w:szCs w:val="20"/>
          <w14:ligatures w14:val="none"/>
        </w:rPr>
        <w:t xml:space="preserve"> to 39 years. Additionally, the average family size reported by respondents was 4.78 members, ranging from a minimum of </w:t>
      </w:r>
      <w:r w:rsidRPr="00EB50B3">
        <w:rPr>
          <w:rFonts w:ascii="Arial" w:eastAsia="Times New Roman" w:hAnsi="Arial" w:cs="Arial"/>
          <w:kern w:val="0"/>
          <w:sz w:val="20"/>
          <w:szCs w:val="20"/>
          <w14:ligatures w14:val="none"/>
        </w:rPr>
        <w:t>two</w:t>
      </w:r>
      <w:r w:rsidR="00767F6A" w:rsidRPr="00EB50B3">
        <w:rPr>
          <w:rFonts w:ascii="Arial" w:eastAsia="Times New Roman" w:hAnsi="Arial" w:cs="Arial"/>
          <w:kern w:val="0"/>
          <w:sz w:val="20"/>
          <w:szCs w:val="20"/>
          <w14:ligatures w14:val="none"/>
        </w:rPr>
        <w:t xml:space="preserve"> to a maximum of </w:t>
      </w:r>
      <w:r w:rsidRPr="00EB50B3">
        <w:rPr>
          <w:rFonts w:ascii="Arial" w:eastAsia="Times New Roman" w:hAnsi="Arial" w:cs="Arial"/>
          <w:kern w:val="0"/>
          <w:sz w:val="20"/>
          <w:szCs w:val="20"/>
          <w14:ligatures w14:val="none"/>
        </w:rPr>
        <w:t>twelve</w:t>
      </w:r>
      <w:r w:rsidR="00767F6A" w:rsidRPr="00EB50B3">
        <w:rPr>
          <w:rFonts w:ascii="Arial" w:eastAsia="Times New Roman" w:hAnsi="Arial" w:cs="Arial"/>
          <w:kern w:val="0"/>
          <w:sz w:val="20"/>
          <w:szCs w:val="20"/>
          <w14:ligatures w14:val="none"/>
        </w:rPr>
        <w:t xml:space="preserve"> individuals per family (Table 2)</w:t>
      </w:r>
      <w:r w:rsidR="00371D24" w:rsidRPr="00EB50B3">
        <w:rPr>
          <w:rFonts w:ascii="Arial" w:eastAsia="Times New Roman" w:hAnsi="Arial" w:cs="Arial"/>
          <w:kern w:val="0"/>
          <w:sz w:val="20"/>
          <w:szCs w:val="20"/>
          <w14:ligatures w14:val="none"/>
        </w:rPr>
        <w:t>.</w:t>
      </w:r>
    </w:p>
    <w:p w14:paraId="143FDC61" w14:textId="77777777" w:rsidR="00EB50B3" w:rsidRPr="00EB50B3" w:rsidRDefault="00EB50B3" w:rsidP="00EB50B3">
      <w:pPr>
        <w:spacing w:after="0" w:line="360" w:lineRule="auto"/>
        <w:jc w:val="both"/>
        <w:rPr>
          <w:rFonts w:ascii="Arial" w:eastAsia="Times New Roman" w:hAnsi="Arial" w:cs="Arial"/>
          <w:kern w:val="0"/>
          <w:sz w:val="20"/>
          <w:szCs w:val="20"/>
          <w14:ligatures w14:val="none"/>
        </w:rPr>
      </w:pPr>
    </w:p>
    <w:p w14:paraId="20F11ACF" w14:textId="1A457244" w:rsidR="00CC603F" w:rsidRPr="00EB50B3" w:rsidRDefault="00CC603F" w:rsidP="0045370F">
      <w:pPr>
        <w:spacing w:before="80" w:after="100" w:line="276" w:lineRule="auto"/>
        <w:ind w:left="811" w:hanging="811"/>
        <w:jc w:val="both"/>
        <w:rPr>
          <w:rFonts w:ascii="Arial" w:eastAsia="Times New Roman" w:hAnsi="Arial" w:cs="Arial"/>
          <w:kern w:val="0"/>
          <w:sz w:val="20"/>
          <w:szCs w:val="20"/>
          <w14:ligatures w14:val="none"/>
        </w:rPr>
      </w:pPr>
      <w:r w:rsidRPr="00EB50B3">
        <w:rPr>
          <w:rFonts w:ascii="Arial" w:eastAsia="Times New Roman" w:hAnsi="Arial" w:cs="Arial"/>
          <w:kern w:val="0"/>
          <w:sz w:val="20"/>
          <w:szCs w:val="20"/>
          <w14:ligatures w14:val="none"/>
        </w:rPr>
        <w:t xml:space="preserve">Table </w:t>
      </w:r>
      <w:r w:rsidRPr="00EB50B3">
        <w:rPr>
          <w:rFonts w:ascii="Arial" w:eastAsia="Times New Roman" w:hAnsi="Arial" w:cs="Arial"/>
          <w:kern w:val="0"/>
          <w:sz w:val="20"/>
          <w:szCs w:val="20"/>
          <w14:ligatures w14:val="none"/>
        </w:rPr>
        <w:fldChar w:fldCharType="begin"/>
      </w:r>
      <w:r w:rsidRPr="00EB50B3">
        <w:rPr>
          <w:rFonts w:ascii="Arial" w:eastAsia="Times New Roman" w:hAnsi="Arial" w:cs="Arial"/>
          <w:kern w:val="0"/>
          <w:sz w:val="20"/>
          <w:szCs w:val="20"/>
          <w14:ligatures w14:val="none"/>
        </w:rPr>
        <w:instrText xml:space="preserve"> SEQ Table \* ARABIC </w:instrText>
      </w:r>
      <w:r w:rsidRPr="00EB50B3">
        <w:rPr>
          <w:rFonts w:ascii="Arial" w:eastAsia="Times New Roman" w:hAnsi="Arial" w:cs="Arial"/>
          <w:kern w:val="0"/>
          <w:sz w:val="20"/>
          <w:szCs w:val="20"/>
          <w14:ligatures w14:val="none"/>
        </w:rPr>
        <w:fldChar w:fldCharType="separate"/>
      </w:r>
      <w:r w:rsidR="00AE6A7B" w:rsidRPr="00EB50B3">
        <w:rPr>
          <w:rFonts w:ascii="Arial" w:eastAsia="Times New Roman" w:hAnsi="Arial" w:cs="Arial"/>
          <w:kern w:val="0"/>
          <w:sz w:val="20"/>
          <w:szCs w:val="20"/>
          <w14:ligatures w14:val="none"/>
        </w:rPr>
        <w:t>2</w:t>
      </w:r>
      <w:r w:rsidRPr="00EB50B3">
        <w:rPr>
          <w:rFonts w:ascii="Arial" w:eastAsia="Times New Roman" w:hAnsi="Arial" w:cs="Arial"/>
          <w:kern w:val="0"/>
          <w:sz w:val="20"/>
          <w:szCs w:val="20"/>
          <w14:ligatures w14:val="none"/>
        </w:rPr>
        <w:fldChar w:fldCharType="end"/>
      </w:r>
      <w:r w:rsidRPr="00EB50B3">
        <w:rPr>
          <w:rFonts w:ascii="Arial" w:eastAsia="Times New Roman" w:hAnsi="Arial" w:cs="Arial"/>
          <w:kern w:val="0"/>
          <w:sz w:val="20"/>
          <w:szCs w:val="20"/>
          <w14:ligatures w14:val="none"/>
        </w:rPr>
        <w:t>. Age and household size of the sample students (n=470)</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4"/>
        <w:gridCol w:w="895"/>
        <w:gridCol w:w="1419"/>
        <w:gridCol w:w="1654"/>
        <w:gridCol w:w="1711"/>
        <w:gridCol w:w="843"/>
      </w:tblGrid>
      <w:tr w:rsidR="002171AE" w14:paraId="6A08047A" w14:textId="73C0AD54" w:rsidTr="00EB50B3">
        <w:trPr>
          <w:trHeight w:val="20"/>
        </w:trPr>
        <w:tc>
          <w:tcPr>
            <w:tcW w:w="1387" w:type="pct"/>
            <w:tcBorders>
              <w:top w:val="single" w:sz="4" w:space="0" w:color="auto"/>
              <w:bottom w:val="single" w:sz="4" w:space="0" w:color="auto"/>
            </w:tcBorders>
          </w:tcPr>
          <w:p w14:paraId="6ABAB3F7" w14:textId="0013DCA3" w:rsidR="002171AE" w:rsidRPr="00EB50B3" w:rsidRDefault="002171AE" w:rsidP="00DD2634">
            <w:pPr>
              <w:spacing w:line="276" w:lineRule="auto"/>
              <w:jc w:val="center"/>
              <w:rPr>
                <w:rFonts w:ascii="Arial" w:eastAsia="Calibri" w:hAnsi="Arial" w:cs="Arial"/>
                <w:b/>
                <w:kern w:val="0"/>
                <w:sz w:val="20"/>
                <w:szCs w:val="20"/>
                <w14:ligatures w14:val="none"/>
              </w:rPr>
            </w:pPr>
            <w:r w:rsidRPr="00EB50B3">
              <w:rPr>
                <w:rFonts w:ascii="Arial" w:eastAsia="Calibri" w:hAnsi="Arial" w:cs="Arial"/>
                <w:b/>
                <w:kern w:val="0"/>
                <w:sz w:val="20"/>
                <w:szCs w:val="20"/>
                <w14:ligatures w14:val="none"/>
              </w:rPr>
              <w:t>Item</w:t>
            </w:r>
          </w:p>
        </w:tc>
        <w:tc>
          <w:tcPr>
            <w:tcW w:w="496" w:type="pct"/>
            <w:tcBorders>
              <w:top w:val="single" w:sz="4" w:space="0" w:color="auto"/>
              <w:bottom w:val="single" w:sz="4" w:space="0" w:color="auto"/>
            </w:tcBorders>
          </w:tcPr>
          <w:p w14:paraId="1796F3A2" w14:textId="76E9F7BE" w:rsidR="002171AE" w:rsidRPr="00EB50B3" w:rsidRDefault="002171AE" w:rsidP="00DD2634">
            <w:pPr>
              <w:spacing w:line="276" w:lineRule="auto"/>
              <w:jc w:val="center"/>
              <w:rPr>
                <w:rFonts w:ascii="Arial" w:eastAsia="Calibri" w:hAnsi="Arial" w:cs="Arial"/>
                <w:b/>
                <w:kern w:val="0"/>
                <w:sz w:val="20"/>
                <w:szCs w:val="20"/>
                <w14:ligatures w14:val="none"/>
              </w:rPr>
            </w:pPr>
            <w:r w:rsidRPr="00EB50B3">
              <w:rPr>
                <w:rFonts w:ascii="Arial" w:eastAsia="Calibri" w:hAnsi="Arial" w:cs="Arial"/>
                <w:b/>
                <w:kern w:val="0"/>
                <w:sz w:val="20"/>
                <w:szCs w:val="20"/>
                <w14:ligatures w14:val="none"/>
              </w:rPr>
              <w:t>Unit</w:t>
            </w:r>
          </w:p>
        </w:tc>
        <w:tc>
          <w:tcPr>
            <w:tcW w:w="786" w:type="pct"/>
            <w:tcBorders>
              <w:top w:val="single" w:sz="4" w:space="0" w:color="auto"/>
              <w:bottom w:val="single" w:sz="4" w:space="0" w:color="auto"/>
            </w:tcBorders>
          </w:tcPr>
          <w:p w14:paraId="150D582F" w14:textId="174EF0E9" w:rsidR="002171AE" w:rsidRPr="00EB50B3" w:rsidRDefault="002171AE" w:rsidP="00DD2634">
            <w:pPr>
              <w:spacing w:line="276" w:lineRule="auto"/>
              <w:jc w:val="center"/>
              <w:rPr>
                <w:rFonts w:ascii="Arial" w:eastAsia="Calibri" w:hAnsi="Arial" w:cs="Arial"/>
                <w:b/>
                <w:kern w:val="0"/>
                <w:sz w:val="20"/>
                <w:szCs w:val="20"/>
                <w14:ligatures w14:val="none"/>
              </w:rPr>
            </w:pPr>
            <w:r w:rsidRPr="00EB50B3">
              <w:rPr>
                <w:rFonts w:ascii="Arial" w:eastAsia="Calibri" w:hAnsi="Arial" w:cs="Arial"/>
                <w:b/>
                <w:kern w:val="0"/>
                <w:sz w:val="20"/>
                <w:szCs w:val="20"/>
                <w14:ligatures w14:val="none"/>
              </w:rPr>
              <w:t>Average</w:t>
            </w:r>
          </w:p>
        </w:tc>
        <w:tc>
          <w:tcPr>
            <w:tcW w:w="916" w:type="pct"/>
            <w:tcBorders>
              <w:top w:val="single" w:sz="4" w:space="0" w:color="auto"/>
              <w:bottom w:val="single" w:sz="4" w:space="0" w:color="auto"/>
            </w:tcBorders>
          </w:tcPr>
          <w:p w14:paraId="3BFCBDBE" w14:textId="33742DD4" w:rsidR="002171AE" w:rsidRPr="00EB50B3" w:rsidRDefault="002171AE" w:rsidP="00DD2634">
            <w:pPr>
              <w:spacing w:line="276" w:lineRule="auto"/>
              <w:jc w:val="center"/>
              <w:rPr>
                <w:rFonts w:ascii="Arial" w:eastAsia="Calibri" w:hAnsi="Arial" w:cs="Arial"/>
                <w:b/>
                <w:kern w:val="0"/>
                <w:sz w:val="20"/>
                <w:szCs w:val="20"/>
                <w14:ligatures w14:val="none"/>
              </w:rPr>
            </w:pPr>
            <w:r w:rsidRPr="00EB50B3">
              <w:rPr>
                <w:rFonts w:ascii="Arial" w:eastAsia="Calibri" w:hAnsi="Arial" w:cs="Arial"/>
                <w:b/>
                <w:kern w:val="0"/>
                <w:sz w:val="20"/>
                <w:szCs w:val="20"/>
                <w14:ligatures w14:val="none"/>
              </w:rPr>
              <w:t>Minimum</w:t>
            </w:r>
          </w:p>
        </w:tc>
        <w:tc>
          <w:tcPr>
            <w:tcW w:w="948" w:type="pct"/>
            <w:tcBorders>
              <w:top w:val="single" w:sz="4" w:space="0" w:color="auto"/>
              <w:bottom w:val="single" w:sz="4" w:space="0" w:color="auto"/>
            </w:tcBorders>
          </w:tcPr>
          <w:p w14:paraId="1D1E24C0" w14:textId="1094B89B" w:rsidR="002171AE" w:rsidRPr="00EB50B3" w:rsidRDefault="002171AE" w:rsidP="00DD2634">
            <w:pPr>
              <w:spacing w:line="276" w:lineRule="auto"/>
              <w:jc w:val="center"/>
              <w:rPr>
                <w:rFonts w:ascii="Arial" w:eastAsia="Calibri" w:hAnsi="Arial" w:cs="Arial"/>
                <w:b/>
                <w:kern w:val="0"/>
                <w:sz w:val="20"/>
                <w:szCs w:val="20"/>
                <w14:ligatures w14:val="none"/>
              </w:rPr>
            </w:pPr>
            <w:r w:rsidRPr="00EB50B3">
              <w:rPr>
                <w:rFonts w:ascii="Arial" w:eastAsia="Calibri" w:hAnsi="Arial" w:cs="Arial"/>
                <w:b/>
                <w:kern w:val="0"/>
                <w:sz w:val="20"/>
                <w:szCs w:val="20"/>
                <w14:ligatures w14:val="none"/>
              </w:rPr>
              <w:t>Maximum</w:t>
            </w:r>
          </w:p>
        </w:tc>
        <w:tc>
          <w:tcPr>
            <w:tcW w:w="469" w:type="pct"/>
            <w:tcBorders>
              <w:top w:val="single" w:sz="4" w:space="0" w:color="auto"/>
              <w:bottom w:val="single" w:sz="4" w:space="0" w:color="auto"/>
            </w:tcBorders>
          </w:tcPr>
          <w:p w14:paraId="41C65618" w14:textId="687D8C73" w:rsidR="002171AE" w:rsidRPr="00EB50B3" w:rsidRDefault="002171AE" w:rsidP="00DD2634">
            <w:pPr>
              <w:spacing w:line="276" w:lineRule="auto"/>
              <w:jc w:val="center"/>
              <w:rPr>
                <w:rFonts w:ascii="Arial" w:eastAsia="Calibri" w:hAnsi="Arial" w:cs="Arial"/>
                <w:b/>
                <w:kern w:val="0"/>
                <w:sz w:val="20"/>
                <w:szCs w:val="20"/>
                <w14:ligatures w14:val="none"/>
              </w:rPr>
            </w:pPr>
            <w:r w:rsidRPr="00EB50B3">
              <w:rPr>
                <w:rFonts w:ascii="Arial" w:eastAsia="Calibri" w:hAnsi="Arial" w:cs="Arial"/>
                <w:b/>
                <w:kern w:val="0"/>
                <w:sz w:val="20"/>
                <w:szCs w:val="20"/>
                <w14:ligatures w14:val="none"/>
              </w:rPr>
              <w:t>SD</w:t>
            </w:r>
          </w:p>
        </w:tc>
      </w:tr>
      <w:tr w:rsidR="002171AE" w14:paraId="4CDFAB54" w14:textId="70E1A3D1" w:rsidTr="00EB50B3">
        <w:trPr>
          <w:trHeight w:val="20"/>
        </w:trPr>
        <w:tc>
          <w:tcPr>
            <w:tcW w:w="1387" w:type="pct"/>
            <w:tcBorders>
              <w:top w:val="single" w:sz="4" w:space="0" w:color="auto"/>
            </w:tcBorders>
          </w:tcPr>
          <w:p w14:paraId="5CD7DBD6" w14:textId="493FA6A3" w:rsidR="002171AE" w:rsidRPr="00EB50B3" w:rsidRDefault="002171AE" w:rsidP="00DD2634">
            <w:pPr>
              <w:spacing w:line="276" w:lineRule="auto"/>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Age</w:t>
            </w:r>
          </w:p>
        </w:tc>
        <w:tc>
          <w:tcPr>
            <w:tcW w:w="496" w:type="pct"/>
            <w:tcBorders>
              <w:top w:val="single" w:sz="4" w:space="0" w:color="auto"/>
            </w:tcBorders>
          </w:tcPr>
          <w:p w14:paraId="601975B6" w14:textId="1AA44A31" w:rsidR="002171AE" w:rsidRPr="00EB50B3" w:rsidRDefault="002171AE" w:rsidP="00DD2634">
            <w:pPr>
              <w:spacing w:line="276" w:lineRule="auto"/>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Year</w:t>
            </w:r>
          </w:p>
        </w:tc>
        <w:tc>
          <w:tcPr>
            <w:tcW w:w="786" w:type="pct"/>
            <w:tcBorders>
              <w:top w:val="single" w:sz="4" w:space="0" w:color="auto"/>
            </w:tcBorders>
          </w:tcPr>
          <w:p w14:paraId="4BC5A035" w14:textId="1F2A5E94" w:rsidR="002171AE" w:rsidRPr="00EB50B3" w:rsidRDefault="002171AE" w:rsidP="00DD2634">
            <w:pPr>
              <w:spacing w:line="276" w:lineRule="auto"/>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24.04</w:t>
            </w:r>
          </w:p>
        </w:tc>
        <w:tc>
          <w:tcPr>
            <w:tcW w:w="916" w:type="pct"/>
            <w:tcBorders>
              <w:top w:val="single" w:sz="4" w:space="0" w:color="auto"/>
            </w:tcBorders>
          </w:tcPr>
          <w:p w14:paraId="779FE9F7" w14:textId="0AEC3E2B" w:rsidR="002171AE" w:rsidRPr="00EB50B3" w:rsidRDefault="002171AE" w:rsidP="00DD2634">
            <w:pPr>
              <w:spacing w:line="276" w:lineRule="auto"/>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19.00</w:t>
            </w:r>
          </w:p>
        </w:tc>
        <w:tc>
          <w:tcPr>
            <w:tcW w:w="948" w:type="pct"/>
            <w:tcBorders>
              <w:top w:val="single" w:sz="4" w:space="0" w:color="auto"/>
            </w:tcBorders>
          </w:tcPr>
          <w:p w14:paraId="1C0148BC" w14:textId="71254136" w:rsidR="002171AE" w:rsidRPr="00EB50B3" w:rsidRDefault="002171AE" w:rsidP="00DD2634">
            <w:pPr>
              <w:spacing w:line="276" w:lineRule="auto"/>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39.00</w:t>
            </w:r>
          </w:p>
        </w:tc>
        <w:tc>
          <w:tcPr>
            <w:tcW w:w="469" w:type="pct"/>
            <w:tcBorders>
              <w:top w:val="single" w:sz="4" w:space="0" w:color="auto"/>
            </w:tcBorders>
          </w:tcPr>
          <w:p w14:paraId="1B56859C" w14:textId="3C0B0671" w:rsidR="002171AE" w:rsidRPr="00EB50B3" w:rsidRDefault="002171AE" w:rsidP="00DD2634">
            <w:pPr>
              <w:spacing w:line="276" w:lineRule="auto"/>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4.30</w:t>
            </w:r>
          </w:p>
        </w:tc>
      </w:tr>
      <w:tr w:rsidR="002171AE" w14:paraId="43FD2E63" w14:textId="61506EBD" w:rsidTr="00EB50B3">
        <w:trPr>
          <w:trHeight w:val="20"/>
        </w:trPr>
        <w:tc>
          <w:tcPr>
            <w:tcW w:w="1387" w:type="pct"/>
            <w:tcBorders>
              <w:bottom w:val="single" w:sz="4" w:space="0" w:color="auto"/>
            </w:tcBorders>
          </w:tcPr>
          <w:p w14:paraId="5D5612A4" w14:textId="5C8CC006" w:rsidR="002171AE" w:rsidRPr="00EB50B3" w:rsidRDefault="00504AB9" w:rsidP="00DD2634">
            <w:pPr>
              <w:spacing w:line="276" w:lineRule="auto"/>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Family</w:t>
            </w:r>
            <w:r w:rsidR="002171AE" w:rsidRPr="00EB50B3">
              <w:rPr>
                <w:rFonts w:ascii="Arial" w:eastAsia="Calibri" w:hAnsi="Arial" w:cs="Arial"/>
                <w:kern w:val="0"/>
                <w:sz w:val="20"/>
                <w:szCs w:val="20"/>
                <w14:ligatures w14:val="none"/>
              </w:rPr>
              <w:t xml:space="preserve"> size</w:t>
            </w:r>
          </w:p>
        </w:tc>
        <w:tc>
          <w:tcPr>
            <w:tcW w:w="496" w:type="pct"/>
            <w:tcBorders>
              <w:bottom w:val="single" w:sz="4" w:space="0" w:color="auto"/>
            </w:tcBorders>
          </w:tcPr>
          <w:p w14:paraId="4A15FF6F" w14:textId="381CBECC" w:rsidR="002171AE" w:rsidRPr="00EB50B3" w:rsidRDefault="000D6BFF" w:rsidP="00DD2634">
            <w:pPr>
              <w:spacing w:line="276" w:lineRule="auto"/>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number</w:t>
            </w:r>
          </w:p>
        </w:tc>
        <w:tc>
          <w:tcPr>
            <w:tcW w:w="786" w:type="pct"/>
            <w:tcBorders>
              <w:bottom w:val="single" w:sz="4" w:space="0" w:color="auto"/>
            </w:tcBorders>
          </w:tcPr>
          <w:p w14:paraId="48F527B4" w14:textId="069DF7F4" w:rsidR="002171AE" w:rsidRPr="00EB50B3" w:rsidRDefault="002171AE" w:rsidP="00DD2634">
            <w:pPr>
              <w:spacing w:line="276" w:lineRule="auto"/>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4.78</w:t>
            </w:r>
          </w:p>
        </w:tc>
        <w:tc>
          <w:tcPr>
            <w:tcW w:w="916" w:type="pct"/>
            <w:tcBorders>
              <w:bottom w:val="single" w:sz="4" w:space="0" w:color="auto"/>
            </w:tcBorders>
          </w:tcPr>
          <w:p w14:paraId="00011131" w14:textId="19534D7E" w:rsidR="002171AE" w:rsidRPr="00EB50B3" w:rsidRDefault="002171AE" w:rsidP="00DD2634">
            <w:pPr>
              <w:spacing w:line="276" w:lineRule="auto"/>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2.00</w:t>
            </w:r>
          </w:p>
        </w:tc>
        <w:tc>
          <w:tcPr>
            <w:tcW w:w="948" w:type="pct"/>
            <w:tcBorders>
              <w:bottom w:val="single" w:sz="4" w:space="0" w:color="auto"/>
            </w:tcBorders>
          </w:tcPr>
          <w:p w14:paraId="32695B8A" w14:textId="456B21C3" w:rsidR="002171AE" w:rsidRPr="00EB50B3" w:rsidRDefault="002171AE" w:rsidP="00DD2634">
            <w:pPr>
              <w:spacing w:line="276" w:lineRule="auto"/>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12.00</w:t>
            </w:r>
          </w:p>
        </w:tc>
        <w:tc>
          <w:tcPr>
            <w:tcW w:w="469" w:type="pct"/>
            <w:tcBorders>
              <w:bottom w:val="single" w:sz="4" w:space="0" w:color="auto"/>
            </w:tcBorders>
          </w:tcPr>
          <w:p w14:paraId="65B523EC" w14:textId="30BE7A13" w:rsidR="002171AE" w:rsidRPr="00EB50B3" w:rsidRDefault="002171AE" w:rsidP="00DD2634">
            <w:pPr>
              <w:spacing w:line="276" w:lineRule="auto"/>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1.48</w:t>
            </w:r>
          </w:p>
        </w:tc>
      </w:tr>
    </w:tbl>
    <w:p w14:paraId="4BA9BAE4" w14:textId="77777777" w:rsidR="00EB50B3" w:rsidRPr="00172DA9" w:rsidRDefault="00EB50B3" w:rsidP="00EB50B3">
      <w:pPr>
        <w:spacing w:after="0" w:line="360" w:lineRule="auto"/>
        <w:jc w:val="both"/>
        <w:rPr>
          <w:rFonts w:ascii="Arial" w:eastAsia="Times New Roman" w:hAnsi="Arial" w:cs="Arial"/>
          <w:kern w:val="0"/>
          <w:sz w:val="20"/>
          <w:szCs w:val="20"/>
          <w14:ligatures w14:val="none"/>
        </w:rPr>
      </w:pPr>
      <w:r w:rsidRPr="00172DA9">
        <w:rPr>
          <w:rFonts w:ascii="Arial" w:eastAsia="Times New Roman" w:hAnsi="Arial" w:cs="Arial"/>
          <w:kern w:val="0"/>
          <w:sz w:val="20"/>
          <w:szCs w:val="20"/>
          <w14:ligatures w14:val="none"/>
        </w:rPr>
        <w:t>Source: Own survey, 2024</w:t>
      </w:r>
    </w:p>
    <w:p w14:paraId="57DB201C" w14:textId="4AE44148" w:rsidR="00866BB9" w:rsidRPr="00EB50B3" w:rsidRDefault="00EE14A2" w:rsidP="00EB50B3">
      <w:pPr>
        <w:spacing w:after="0" w:line="360" w:lineRule="auto"/>
        <w:jc w:val="both"/>
        <w:rPr>
          <w:rFonts w:ascii="Arial" w:eastAsia="Times New Roman" w:hAnsi="Arial" w:cs="Arial"/>
          <w:kern w:val="0"/>
          <w:sz w:val="20"/>
          <w:szCs w:val="20"/>
          <w14:ligatures w14:val="none"/>
        </w:rPr>
      </w:pPr>
      <w:r w:rsidRPr="00EB50B3">
        <w:rPr>
          <w:rFonts w:ascii="Arial" w:eastAsia="Times New Roman" w:hAnsi="Arial" w:cs="Arial"/>
          <w:kern w:val="0"/>
          <w:sz w:val="20"/>
          <w:szCs w:val="20"/>
          <w14:ligatures w14:val="none"/>
        </w:rPr>
        <w:t xml:space="preserve">Students at YAU come from all throughout Myanmar and represent a diverse range of ethnic origins. </w:t>
      </w:r>
      <w:r w:rsidR="004507CF" w:rsidRPr="00EB50B3">
        <w:rPr>
          <w:rFonts w:ascii="Arial" w:eastAsia="Times New Roman" w:hAnsi="Arial" w:cs="Arial"/>
          <w:kern w:val="0"/>
          <w:sz w:val="20"/>
          <w:szCs w:val="20"/>
          <w14:ligatures w14:val="none"/>
        </w:rPr>
        <w:t>Based on the ethnic groups</w:t>
      </w:r>
      <w:r w:rsidR="001B1618" w:rsidRPr="00EB50B3">
        <w:rPr>
          <w:rFonts w:ascii="Arial" w:eastAsia="Times New Roman" w:hAnsi="Arial" w:cs="Arial"/>
          <w:kern w:val="0"/>
          <w:sz w:val="20"/>
          <w:szCs w:val="20"/>
          <w14:ligatures w14:val="none"/>
        </w:rPr>
        <w:t xml:space="preserve">, </w:t>
      </w:r>
      <w:r w:rsidR="00E52A5D" w:rsidRPr="00EB50B3">
        <w:rPr>
          <w:rFonts w:ascii="Arial" w:eastAsia="Times New Roman" w:hAnsi="Arial" w:cs="Arial"/>
          <w:kern w:val="0"/>
          <w:sz w:val="20"/>
          <w:szCs w:val="20"/>
          <w14:ligatures w14:val="none"/>
        </w:rPr>
        <w:t>76.60</w:t>
      </w:r>
      <w:r w:rsidR="001B1618" w:rsidRPr="00EB50B3">
        <w:rPr>
          <w:rFonts w:ascii="Arial" w:eastAsia="Times New Roman" w:hAnsi="Arial" w:cs="Arial"/>
          <w:kern w:val="0"/>
          <w:sz w:val="20"/>
          <w:szCs w:val="20"/>
          <w14:ligatures w14:val="none"/>
        </w:rPr>
        <w:t>%</w:t>
      </w:r>
      <w:r w:rsidRPr="00EB50B3">
        <w:rPr>
          <w:rFonts w:ascii="Arial" w:eastAsia="Times New Roman" w:hAnsi="Arial" w:cs="Arial"/>
          <w:kern w:val="0"/>
          <w:sz w:val="20"/>
          <w:szCs w:val="20"/>
          <w14:ligatures w14:val="none"/>
        </w:rPr>
        <w:t xml:space="preserve"> of students </w:t>
      </w:r>
      <w:r w:rsidR="001B1618" w:rsidRPr="00EB50B3">
        <w:rPr>
          <w:rFonts w:ascii="Arial" w:eastAsia="Times New Roman" w:hAnsi="Arial" w:cs="Arial"/>
          <w:kern w:val="0"/>
          <w:sz w:val="20"/>
          <w:szCs w:val="20"/>
          <w14:ligatures w14:val="none"/>
        </w:rPr>
        <w:t>were Myanmar, 0.43%</w:t>
      </w:r>
      <w:r w:rsidRPr="00EB50B3">
        <w:rPr>
          <w:rFonts w:ascii="Arial" w:eastAsia="Times New Roman" w:hAnsi="Arial" w:cs="Arial"/>
          <w:kern w:val="0"/>
          <w:sz w:val="20"/>
          <w:szCs w:val="20"/>
          <w14:ligatures w14:val="none"/>
        </w:rPr>
        <w:t xml:space="preserve"> of</w:t>
      </w:r>
      <w:r w:rsidR="001B1618" w:rsidRPr="00EB50B3">
        <w:rPr>
          <w:rFonts w:ascii="Arial" w:eastAsia="Times New Roman" w:hAnsi="Arial" w:cs="Arial"/>
          <w:kern w:val="0"/>
          <w:sz w:val="20"/>
          <w:szCs w:val="20"/>
          <w14:ligatures w14:val="none"/>
        </w:rPr>
        <w:t xml:space="preserve"> </w:t>
      </w:r>
      <w:r w:rsidRPr="00EB50B3">
        <w:rPr>
          <w:rFonts w:ascii="Arial" w:eastAsia="Times New Roman" w:hAnsi="Arial" w:cs="Arial"/>
          <w:kern w:val="0"/>
          <w:sz w:val="20"/>
          <w:szCs w:val="20"/>
          <w14:ligatures w14:val="none"/>
        </w:rPr>
        <w:t xml:space="preserve">students </w:t>
      </w:r>
      <w:r w:rsidR="001B1618" w:rsidRPr="00EB50B3">
        <w:rPr>
          <w:rFonts w:ascii="Arial" w:eastAsia="Times New Roman" w:hAnsi="Arial" w:cs="Arial"/>
          <w:kern w:val="0"/>
          <w:sz w:val="20"/>
          <w:szCs w:val="20"/>
          <w14:ligatures w14:val="none"/>
        </w:rPr>
        <w:t>were Kachin, 0.43%</w:t>
      </w:r>
      <w:r w:rsidRPr="00EB50B3">
        <w:rPr>
          <w:rFonts w:ascii="Arial" w:eastAsia="Times New Roman" w:hAnsi="Arial" w:cs="Arial"/>
          <w:kern w:val="0"/>
          <w:sz w:val="20"/>
          <w:szCs w:val="20"/>
          <w14:ligatures w14:val="none"/>
        </w:rPr>
        <w:t xml:space="preserve"> of students</w:t>
      </w:r>
      <w:r w:rsidR="001B1618" w:rsidRPr="00EB50B3">
        <w:rPr>
          <w:rFonts w:ascii="Arial" w:eastAsia="Times New Roman" w:hAnsi="Arial" w:cs="Arial"/>
          <w:kern w:val="0"/>
          <w:sz w:val="20"/>
          <w:szCs w:val="20"/>
          <w14:ligatures w14:val="none"/>
        </w:rPr>
        <w:t xml:space="preserve"> were Kayah, 2.13%</w:t>
      </w:r>
      <w:r w:rsidRPr="00EB50B3">
        <w:rPr>
          <w:rFonts w:ascii="Arial" w:eastAsia="Times New Roman" w:hAnsi="Arial" w:cs="Arial"/>
          <w:kern w:val="0"/>
          <w:sz w:val="20"/>
          <w:szCs w:val="20"/>
          <w14:ligatures w14:val="none"/>
        </w:rPr>
        <w:t xml:space="preserve"> of students</w:t>
      </w:r>
      <w:r w:rsidR="001B1618" w:rsidRPr="00EB50B3">
        <w:rPr>
          <w:rFonts w:ascii="Arial" w:eastAsia="Times New Roman" w:hAnsi="Arial" w:cs="Arial"/>
          <w:kern w:val="0"/>
          <w:sz w:val="20"/>
          <w:szCs w:val="20"/>
          <w14:ligatures w14:val="none"/>
        </w:rPr>
        <w:t xml:space="preserve"> were Kayin, </w:t>
      </w:r>
      <w:r w:rsidR="00E52A5D" w:rsidRPr="00EB50B3">
        <w:rPr>
          <w:rFonts w:ascii="Arial" w:eastAsia="Times New Roman" w:hAnsi="Arial" w:cs="Arial"/>
          <w:kern w:val="0"/>
          <w:sz w:val="20"/>
          <w:szCs w:val="20"/>
          <w14:ligatures w14:val="none"/>
        </w:rPr>
        <w:t>1.70</w:t>
      </w:r>
      <w:r w:rsidR="001B1618" w:rsidRPr="00EB50B3">
        <w:rPr>
          <w:rFonts w:ascii="Arial" w:eastAsia="Times New Roman" w:hAnsi="Arial" w:cs="Arial"/>
          <w:kern w:val="0"/>
          <w:sz w:val="20"/>
          <w:szCs w:val="20"/>
          <w14:ligatures w14:val="none"/>
        </w:rPr>
        <w:t>%</w:t>
      </w:r>
      <w:r w:rsidRPr="00EB50B3">
        <w:rPr>
          <w:rFonts w:ascii="Arial" w:eastAsia="Times New Roman" w:hAnsi="Arial" w:cs="Arial"/>
          <w:kern w:val="0"/>
          <w:sz w:val="20"/>
          <w:szCs w:val="20"/>
          <w14:ligatures w14:val="none"/>
        </w:rPr>
        <w:t xml:space="preserve"> of</w:t>
      </w:r>
      <w:r w:rsidR="001B1618" w:rsidRPr="00EB50B3">
        <w:rPr>
          <w:rFonts w:ascii="Arial" w:eastAsia="Times New Roman" w:hAnsi="Arial" w:cs="Arial"/>
          <w:kern w:val="0"/>
          <w:sz w:val="20"/>
          <w:szCs w:val="20"/>
          <w14:ligatures w14:val="none"/>
        </w:rPr>
        <w:t xml:space="preserve"> </w:t>
      </w:r>
      <w:r w:rsidRPr="00EB50B3">
        <w:rPr>
          <w:rFonts w:ascii="Arial" w:eastAsia="Times New Roman" w:hAnsi="Arial" w:cs="Arial"/>
          <w:kern w:val="0"/>
          <w:sz w:val="20"/>
          <w:szCs w:val="20"/>
          <w14:ligatures w14:val="none"/>
        </w:rPr>
        <w:t xml:space="preserve">students </w:t>
      </w:r>
      <w:r w:rsidR="001B1618" w:rsidRPr="00EB50B3">
        <w:rPr>
          <w:rFonts w:ascii="Arial" w:eastAsia="Times New Roman" w:hAnsi="Arial" w:cs="Arial"/>
          <w:kern w:val="0"/>
          <w:sz w:val="20"/>
          <w:szCs w:val="20"/>
          <w14:ligatures w14:val="none"/>
        </w:rPr>
        <w:t>were Chin, 3.</w:t>
      </w:r>
      <w:r w:rsidR="00E52A5D" w:rsidRPr="00EB50B3">
        <w:rPr>
          <w:rFonts w:ascii="Arial" w:eastAsia="Times New Roman" w:hAnsi="Arial" w:cs="Arial"/>
          <w:kern w:val="0"/>
          <w:sz w:val="20"/>
          <w:szCs w:val="20"/>
          <w14:ligatures w14:val="none"/>
        </w:rPr>
        <w:t>19</w:t>
      </w:r>
      <w:r w:rsidR="001B1618" w:rsidRPr="00EB50B3">
        <w:rPr>
          <w:rFonts w:ascii="Arial" w:eastAsia="Times New Roman" w:hAnsi="Arial" w:cs="Arial"/>
          <w:kern w:val="0"/>
          <w:sz w:val="20"/>
          <w:szCs w:val="20"/>
          <w14:ligatures w14:val="none"/>
        </w:rPr>
        <w:t>%</w:t>
      </w:r>
      <w:r w:rsidRPr="00EB50B3">
        <w:rPr>
          <w:rFonts w:ascii="Arial" w:eastAsia="Times New Roman" w:hAnsi="Arial" w:cs="Arial"/>
          <w:kern w:val="0"/>
          <w:sz w:val="20"/>
          <w:szCs w:val="20"/>
          <w14:ligatures w14:val="none"/>
        </w:rPr>
        <w:t xml:space="preserve"> of</w:t>
      </w:r>
      <w:r w:rsidR="001B1618" w:rsidRPr="00EB50B3">
        <w:rPr>
          <w:rFonts w:ascii="Arial" w:eastAsia="Times New Roman" w:hAnsi="Arial" w:cs="Arial"/>
          <w:kern w:val="0"/>
          <w:sz w:val="20"/>
          <w:szCs w:val="20"/>
          <w14:ligatures w14:val="none"/>
        </w:rPr>
        <w:t xml:space="preserve"> </w:t>
      </w:r>
      <w:r w:rsidRPr="00EB50B3">
        <w:rPr>
          <w:rFonts w:ascii="Arial" w:eastAsia="Times New Roman" w:hAnsi="Arial" w:cs="Arial"/>
          <w:kern w:val="0"/>
          <w:sz w:val="20"/>
          <w:szCs w:val="20"/>
          <w14:ligatures w14:val="none"/>
        </w:rPr>
        <w:t xml:space="preserve">students </w:t>
      </w:r>
      <w:r w:rsidR="001B1618" w:rsidRPr="00EB50B3">
        <w:rPr>
          <w:rFonts w:ascii="Arial" w:eastAsia="Times New Roman" w:hAnsi="Arial" w:cs="Arial"/>
          <w:kern w:val="0"/>
          <w:sz w:val="20"/>
          <w:szCs w:val="20"/>
          <w14:ligatures w14:val="none"/>
        </w:rPr>
        <w:t>were Mon, 4.</w:t>
      </w:r>
      <w:r w:rsidR="00E52A5D" w:rsidRPr="00EB50B3">
        <w:rPr>
          <w:rFonts w:ascii="Arial" w:eastAsia="Times New Roman" w:hAnsi="Arial" w:cs="Arial"/>
          <w:kern w:val="0"/>
          <w:sz w:val="20"/>
          <w:szCs w:val="20"/>
          <w14:ligatures w14:val="none"/>
        </w:rPr>
        <w:t>26</w:t>
      </w:r>
      <w:r w:rsidR="001B1618" w:rsidRPr="00EB50B3">
        <w:rPr>
          <w:rFonts w:ascii="Arial" w:eastAsia="Times New Roman" w:hAnsi="Arial" w:cs="Arial"/>
          <w:kern w:val="0"/>
          <w:sz w:val="20"/>
          <w:szCs w:val="20"/>
          <w14:ligatures w14:val="none"/>
        </w:rPr>
        <w:t>%</w:t>
      </w:r>
      <w:r w:rsidRPr="00EB50B3">
        <w:rPr>
          <w:rFonts w:ascii="Arial" w:eastAsia="Times New Roman" w:hAnsi="Arial" w:cs="Arial"/>
          <w:kern w:val="0"/>
          <w:sz w:val="20"/>
          <w:szCs w:val="20"/>
          <w14:ligatures w14:val="none"/>
        </w:rPr>
        <w:t xml:space="preserve"> of</w:t>
      </w:r>
      <w:r w:rsidR="001B1618" w:rsidRPr="00EB50B3">
        <w:rPr>
          <w:rFonts w:ascii="Arial" w:eastAsia="Times New Roman" w:hAnsi="Arial" w:cs="Arial"/>
          <w:kern w:val="0"/>
          <w:sz w:val="20"/>
          <w:szCs w:val="20"/>
          <w14:ligatures w14:val="none"/>
        </w:rPr>
        <w:t xml:space="preserve"> </w:t>
      </w:r>
      <w:r w:rsidRPr="00EB50B3">
        <w:rPr>
          <w:rFonts w:ascii="Arial" w:eastAsia="Times New Roman" w:hAnsi="Arial" w:cs="Arial"/>
          <w:kern w:val="0"/>
          <w:sz w:val="20"/>
          <w:szCs w:val="20"/>
          <w14:ligatures w14:val="none"/>
        </w:rPr>
        <w:t xml:space="preserve">students </w:t>
      </w:r>
      <w:r w:rsidR="001B1618" w:rsidRPr="00EB50B3">
        <w:rPr>
          <w:rFonts w:ascii="Arial" w:eastAsia="Times New Roman" w:hAnsi="Arial" w:cs="Arial"/>
          <w:kern w:val="0"/>
          <w:sz w:val="20"/>
          <w:szCs w:val="20"/>
          <w14:ligatures w14:val="none"/>
        </w:rPr>
        <w:t>were Rakhine, and 11.28%</w:t>
      </w:r>
      <w:r w:rsidRPr="00EB50B3">
        <w:rPr>
          <w:rFonts w:ascii="Arial" w:eastAsia="Times New Roman" w:hAnsi="Arial" w:cs="Arial"/>
          <w:kern w:val="0"/>
          <w:sz w:val="20"/>
          <w:szCs w:val="20"/>
          <w14:ligatures w14:val="none"/>
        </w:rPr>
        <w:t xml:space="preserve"> of students</w:t>
      </w:r>
      <w:r w:rsidR="001B1618" w:rsidRPr="00EB50B3">
        <w:rPr>
          <w:rFonts w:ascii="Arial" w:eastAsia="Times New Roman" w:hAnsi="Arial" w:cs="Arial"/>
          <w:kern w:val="0"/>
          <w:sz w:val="20"/>
          <w:szCs w:val="20"/>
          <w14:ligatures w14:val="none"/>
        </w:rPr>
        <w:t xml:space="preserve"> were Shan</w:t>
      </w:r>
      <w:r w:rsidR="00CC603F" w:rsidRPr="00EB50B3">
        <w:rPr>
          <w:rFonts w:ascii="Arial" w:eastAsia="Times New Roman" w:hAnsi="Arial" w:cs="Arial"/>
          <w:kern w:val="0"/>
          <w:sz w:val="20"/>
          <w:szCs w:val="20"/>
          <w14:ligatures w14:val="none"/>
        </w:rPr>
        <w:t xml:space="preserve"> (</w:t>
      </w:r>
      <w:r w:rsidR="004E77CF" w:rsidRPr="00EB50B3">
        <w:rPr>
          <w:rFonts w:ascii="Arial" w:eastAsia="Times New Roman" w:hAnsi="Arial" w:cs="Arial"/>
          <w:kern w:val="0"/>
          <w:sz w:val="20"/>
          <w:szCs w:val="20"/>
          <w14:ligatures w14:val="none"/>
        </w:rPr>
        <w:t>Table 3</w:t>
      </w:r>
      <w:r w:rsidR="00CC603F" w:rsidRPr="00EB50B3">
        <w:rPr>
          <w:rFonts w:ascii="Arial" w:eastAsia="Times New Roman" w:hAnsi="Arial" w:cs="Arial"/>
          <w:kern w:val="0"/>
          <w:sz w:val="20"/>
          <w:szCs w:val="20"/>
          <w14:ligatures w14:val="none"/>
        </w:rPr>
        <w:t>)</w:t>
      </w:r>
      <w:r w:rsidR="001B1618" w:rsidRPr="00EB50B3">
        <w:rPr>
          <w:rFonts w:ascii="Arial" w:eastAsia="Times New Roman" w:hAnsi="Arial" w:cs="Arial"/>
          <w:kern w:val="0"/>
          <w:sz w:val="20"/>
          <w:szCs w:val="20"/>
          <w14:ligatures w14:val="none"/>
        </w:rPr>
        <w:t>.</w:t>
      </w:r>
      <w:r w:rsidR="00A03395" w:rsidRPr="00EB50B3">
        <w:rPr>
          <w:rFonts w:ascii="Arial" w:eastAsia="Times New Roman" w:hAnsi="Arial" w:cs="Arial"/>
          <w:kern w:val="0"/>
          <w:sz w:val="20"/>
          <w:szCs w:val="20"/>
          <w14:ligatures w14:val="none"/>
        </w:rPr>
        <w:t xml:space="preserve"> </w:t>
      </w:r>
    </w:p>
    <w:p w14:paraId="2012AEF7" w14:textId="40112375" w:rsidR="004E77CF" w:rsidRPr="00EB50B3" w:rsidRDefault="004E77CF" w:rsidP="0045370F">
      <w:pPr>
        <w:spacing w:before="80" w:after="100" w:line="276" w:lineRule="auto"/>
        <w:ind w:left="811" w:hanging="811"/>
        <w:jc w:val="both"/>
        <w:rPr>
          <w:rFonts w:ascii="Arial" w:eastAsia="Times New Roman" w:hAnsi="Arial" w:cs="Arial"/>
          <w:kern w:val="0"/>
          <w:sz w:val="20"/>
          <w:szCs w:val="20"/>
          <w14:ligatures w14:val="none"/>
        </w:rPr>
      </w:pPr>
      <w:r w:rsidRPr="00EB50B3">
        <w:rPr>
          <w:rFonts w:ascii="Arial" w:eastAsia="Times New Roman" w:hAnsi="Arial" w:cs="Arial"/>
          <w:kern w:val="0"/>
          <w:sz w:val="20"/>
          <w:szCs w:val="20"/>
          <w14:ligatures w14:val="none"/>
        </w:rPr>
        <w:t xml:space="preserve">Table </w:t>
      </w:r>
      <w:r w:rsidRPr="00EB50B3">
        <w:rPr>
          <w:rFonts w:ascii="Arial" w:eastAsia="Times New Roman" w:hAnsi="Arial" w:cs="Arial"/>
          <w:kern w:val="0"/>
          <w:sz w:val="20"/>
          <w:szCs w:val="20"/>
          <w14:ligatures w14:val="none"/>
        </w:rPr>
        <w:fldChar w:fldCharType="begin"/>
      </w:r>
      <w:r w:rsidRPr="00EB50B3">
        <w:rPr>
          <w:rFonts w:ascii="Arial" w:eastAsia="Times New Roman" w:hAnsi="Arial" w:cs="Arial"/>
          <w:kern w:val="0"/>
          <w:sz w:val="20"/>
          <w:szCs w:val="20"/>
          <w14:ligatures w14:val="none"/>
        </w:rPr>
        <w:instrText xml:space="preserve"> SEQ Table \* ARABIC </w:instrText>
      </w:r>
      <w:r w:rsidRPr="00EB50B3">
        <w:rPr>
          <w:rFonts w:ascii="Arial" w:eastAsia="Times New Roman" w:hAnsi="Arial" w:cs="Arial"/>
          <w:kern w:val="0"/>
          <w:sz w:val="20"/>
          <w:szCs w:val="20"/>
          <w14:ligatures w14:val="none"/>
        </w:rPr>
        <w:fldChar w:fldCharType="separate"/>
      </w:r>
      <w:r w:rsidR="00AE6A7B" w:rsidRPr="00EB50B3">
        <w:rPr>
          <w:rFonts w:ascii="Arial" w:eastAsia="Times New Roman" w:hAnsi="Arial" w:cs="Arial"/>
          <w:kern w:val="0"/>
          <w:sz w:val="20"/>
          <w:szCs w:val="20"/>
          <w14:ligatures w14:val="none"/>
        </w:rPr>
        <w:t>3</w:t>
      </w:r>
      <w:r w:rsidRPr="00EB50B3">
        <w:rPr>
          <w:rFonts w:ascii="Arial" w:eastAsia="Times New Roman" w:hAnsi="Arial" w:cs="Arial"/>
          <w:kern w:val="0"/>
          <w:sz w:val="20"/>
          <w:szCs w:val="20"/>
          <w14:ligatures w14:val="none"/>
        </w:rPr>
        <w:fldChar w:fldCharType="end"/>
      </w:r>
      <w:r w:rsidRPr="00EB50B3">
        <w:rPr>
          <w:rFonts w:ascii="Arial" w:eastAsia="Times New Roman" w:hAnsi="Arial" w:cs="Arial"/>
          <w:kern w:val="0"/>
          <w:sz w:val="20"/>
          <w:szCs w:val="20"/>
          <w14:ligatures w14:val="none"/>
        </w:rPr>
        <w:t>. Distribution of sample students according to ethnic group (n=470)</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3008"/>
        <w:gridCol w:w="3010"/>
      </w:tblGrid>
      <w:tr w:rsidR="004E77CF" w14:paraId="19EA90C2" w14:textId="77777777" w:rsidTr="00B76580">
        <w:trPr>
          <w:trHeight w:val="20"/>
        </w:trPr>
        <w:tc>
          <w:tcPr>
            <w:tcW w:w="1666" w:type="pct"/>
            <w:tcBorders>
              <w:top w:val="single" w:sz="4" w:space="0" w:color="auto"/>
              <w:bottom w:val="single" w:sz="4" w:space="0" w:color="auto"/>
            </w:tcBorders>
          </w:tcPr>
          <w:p w14:paraId="69FEDC7A" w14:textId="27A66657" w:rsidR="004E77CF" w:rsidRPr="00EB50B3" w:rsidRDefault="00D804C2" w:rsidP="00DD2634">
            <w:pPr>
              <w:spacing w:line="276" w:lineRule="auto"/>
              <w:jc w:val="center"/>
              <w:rPr>
                <w:rFonts w:ascii="Arial" w:eastAsia="Calibri" w:hAnsi="Arial" w:cs="Arial"/>
                <w:b/>
                <w:kern w:val="0"/>
                <w:sz w:val="20"/>
                <w:szCs w:val="20"/>
                <w14:ligatures w14:val="none"/>
              </w:rPr>
            </w:pPr>
            <w:r w:rsidRPr="00EB50B3">
              <w:rPr>
                <w:rFonts w:ascii="Arial" w:eastAsia="Calibri" w:hAnsi="Arial" w:cs="Arial"/>
                <w:b/>
                <w:kern w:val="0"/>
                <w:sz w:val="20"/>
                <w:szCs w:val="20"/>
                <w14:ligatures w14:val="none"/>
              </w:rPr>
              <w:t>Race/Ethnicity</w:t>
            </w:r>
          </w:p>
        </w:tc>
        <w:tc>
          <w:tcPr>
            <w:tcW w:w="1666" w:type="pct"/>
            <w:tcBorders>
              <w:top w:val="single" w:sz="4" w:space="0" w:color="auto"/>
              <w:bottom w:val="single" w:sz="4" w:space="0" w:color="auto"/>
            </w:tcBorders>
          </w:tcPr>
          <w:p w14:paraId="11D42F9F" w14:textId="54DE2A05" w:rsidR="004E77CF" w:rsidRPr="00EB50B3" w:rsidRDefault="004E77CF" w:rsidP="00DD2634">
            <w:pPr>
              <w:spacing w:line="276" w:lineRule="auto"/>
              <w:jc w:val="center"/>
              <w:rPr>
                <w:rFonts w:ascii="Arial" w:eastAsia="Calibri" w:hAnsi="Arial" w:cs="Arial"/>
                <w:b/>
                <w:kern w:val="0"/>
                <w:sz w:val="20"/>
                <w:szCs w:val="20"/>
                <w14:ligatures w14:val="none"/>
              </w:rPr>
            </w:pPr>
            <w:r w:rsidRPr="00EB50B3">
              <w:rPr>
                <w:rFonts w:ascii="Arial" w:eastAsia="Calibri" w:hAnsi="Arial" w:cs="Arial"/>
                <w:b/>
                <w:kern w:val="0"/>
                <w:sz w:val="20"/>
                <w:szCs w:val="20"/>
                <w14:ligatures w14:val="none"/>
              </w:rPr>
              <w:t>Frequency</w:t>
            </w:r>
          </w:p>
        </w:tc>
        <w:tc>
          <w:tcPr>
            <w:tcW w:w="1667" w:type="pct"/>
            <w:tcBorders>
              <w:top w:val="single" w:sz="4" w:space="0" w:color="auto"/>
              <w:bottom w:val="single" w:sz="4" w:space="0" w:color="auto"/>
            </w:tcBorders>
          </w:tcPr>
          <w:p w14:paraId="14339512" w14:textId="77777777" w:rsidR="004E77CF" w:rsidRPr="00EB50B3" w:rsidRDefault="004E77CF" w:rsidP="00DD2634">
            <w:pPr>
              <w:spacing w:line="276" w:lineRule="auto"/>
              <w:jc w:val="center"/>
              <w:rPr>
                <w:rFonts w:ascii="Arial" w:eastAsia="Calibri" w:hAnsi="Arial" w:cs="Arial"/>
                <w:b/>
                <w:kern w:val="0"/>
                <w:sz w:val="20"/>
                <w:szCs w:val="20"/>
                <w14:ligatures w14:val="none"/>
              </w:rPr>
            </w:pPr>
            <w:r w:rsidRPr="00EB50B3">
              <w:rPr>
                <w:rFonts w:ascii="Arial" w:eastAsia="Calibri" w:hAnsi="Arial" w:cs="Arial"/>
                <w:b/>
                <w:kern w:val="0"/>
                <w:sz w:val="20"/>
                <w:szCs w:val="20"/>
                <w14:ligatures w14:val="none"/>
              </w:rPr>
              <w:t>Percent</w:t>
            </w:r>
          </w:p>
        </w:tc>
      </w:tr>
      <w:tr w:rsidR="00E52A5D" w14:paraId="2347DD8C" w14:textId="77777777" w:rsidTr="00B76580">
        <w:trPr>
          <w:trHeight w:val="20"/>
        </w:trPr>
        <w:tc>
          <w:tcPr>
            <w:tcW w:w="1666" w:type="pct"/>
            <w:tcBorders>
              <w:top w:val="single" w:sz="4" w:space="0" w:color="auto"/>
              <w:bottom w:val="nil"/>
            </w:tcBorders>
          </w:tcPr>
          <w:p w14:paraId="1E789894" w14:textId="36EA6469" w:rsidR="00E52A5D" w:rsidRPr="00EB50B3" w:rsidRDefault="00E52A5D" w:rsidP="00DD2634">
            <w:pPr>
              <w:spacing w:line="276" w:lineRule="auto"/>
              <w:ind w:left="457"/>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lastRenderedPageBreak/>
              <w:t>Myanmar</w:t>
            </w:r>
          </w:p>
        </w:tc>
        <w:tc>
          <w:tcPr>
            <w:tcW w:w="1666" w:type="pct"/>
            <w:tcBorders>
              <w:top w:val="single" w:sz="4" w:space="0" w:color="auto"/>
              <w:bottom w:val="nil"/>
            </w:tcBorders>
          </w:tcPr>
          <w:p w14:paraId="3649B90A" w14:textId="1296DE52" w:rsidR="00E52A5D" w:rsidRPr="00EB50B3" w:rsidRDefault="00E52A5D" w:rsidP="00C146CC">
            <w:pPr>
              <w:spacing w:line="276" w:lineRule="auto"/>
              <w:ind w:right="941"/>
              <w:jc w:val="right"/>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360</w:t>
            </w:r>
          </w:p>
        </w:tc>
        <w:tc>
          <w:tcPr>
            <w:tcW w:w="1667" w:type="pct"/>
            <w:tcBorders>
              <w:top w:val="single" w:sz="4" w:space="0" w:color="auto"/>
              <w:bottom w:val="nil"/>
            </w:tcBorders>
          </w:tcPr>
          <w:p w14:paraId="454C82EF" w14:textId="26787C0E" w:rsidR="00E52A5D" w:rsidRPr="00EB50B3" w:rsidRDefault="00E52A5D" w:rsidP="00C146CC">
            <w:pPr>
              <w:spacing w:line="276" w:lineRule="auto"/>
              <w:ind w:right="978"/>
              <w:jc w:val="right"/>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76.60</w:t>
            </w:r>
          </w:p>
        </w:tc>
      </w:tr>
      <w:tr w:rsidR="00E52A5D" w14:paraId="0A70AA47" w14:textId="77777777" w:rsidTr="00B76580">
        <w:trPr>
          <w:trHeight w:val="20"/>
        </w:trPr>
        <w:tc>
          <w:tcPr>
            <w:tcW w:w="1666" w:type="pct"/>
            <w:tcBorders>
              <w:top w:val="nil"/>
              <w:bottom w:val="nil"/>
            </w:tcBorders>
          </w:tcPr>
          <w:p w14:paraId="05AF7BEB" w14:textId="1FD98418" w:rsidR="00E52A5D" w:rsidRPr="00EB50B3" w:rsidRDefault="00E52A5D" w:rsidP="00DD2634">
            <w:pPr>
              <w:spacing w:line="276" w:lineRule="auto"/>
              <w:ind w:left="457"/>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Shan</w:t>
            </w:r>
          </w:p>
        </w:tc>
        <w:tc>
          <w:tcPr>
            <w:tcW w:w="1666" w:type="pct"/>
            <w:tcBorders>
              <w:top w:val="nil"/>
              <w:bottom w:val="nil"/>
            </w:tcBorders>
          </w:tcPr>
          <w:p w14:paraId="6805BFA8" w14:textId="76AD608F" w:rsidR="00E52A5D" w:rsidRPr="00EB50B3" w:rsidRDefault="00E52A5D" w:rsidP="00C146CC">
            <w:pPr>
              <w:spacing w:line="276" w:lineRule="auto"/>
              <w:ind w:right="941"/>
              <w:jc w:val="right"/>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53</w:t>
            </w:r>
          </w:p>
        </w:tc>
        <w:tc>
          <w:tcPr>
            <w:tcW w:w="1667" w:type="pct"/>
            <w:tcBorders>
              <w:top w:val="nil"/>
              <w:bottom w:val="nil"/>
            </w:tcBorders>
          </w:tcPr>
          <w:p w14:paraId="3F96776F" w14:textId="4EFE11D4" w:rsidR="00E52A5D" w:rsidRPr="00EB50B3" w:rsidRDefault="00E52A5D" w:rsidP="00C146CC">
            <w:pPr>
              <w:spacing w:line="276" w:lineRule="auto"/>
              <w:ind w:right="978"/>
              <w:jc w:val="right"/>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11.28</w:t>
            </w:r>
          </w:p>
        </w:tc>
      </w:tr>
      <w:tr w:rsidR="00E52A5D" w14:paraId="520F6AFB" w14:textId="77777777" w:rsidTr="00B76580">
        <w:trPr>
          <w:trHeight w:val="20"/>
        </w:trPr>
        <w:tc>
          <w:tcPr>
            <w:tcW w:w="1666" w:type="pct"/>
            <w:tcBorders>
              <w:top w:val="nil"/>
              <w:bottom w:val="nil"/>
            </w:tcBorders>
          </w:tcPr>
          <w:p w14:paraId="605B3D59" w14:textId="62618F0C" w:rsidR="00E52A5D" w:rsidRPr="00EB50B3" w:rsidRDefault="00E52A5D" w:rsidP="00DD2634">
            <w:pPr>
              <w:spacing w:line="276" w:lineRule="auto"/>
              <w:ind w:left="457"/>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Rakhine</w:t>
            </w:r>
          </w:p>
        </w:tc>
        <w:tc>
          <w:tcPr>
            <w:tcW w:w="1666" w:type="pct"/>
            <w:tcBorders>
              <w:top w:val="nil"/>
              <w:bottom w:val="nil"/>
            </w:tcBorders>
          </w:tcPr>
          <w:p w14:paraId="51D1BC8B" w14:textId="36768F76" w:rsidR="00E52A5D" w:rsidRPr="00EB50B3" w:rsidRDefault="00E52A5D" w:rsidP="00C146CC">
            <w:pPr>
              <w:spacing w:line="276" w:lineRule="auto"/>
              <w:ind w:right="941"/>
              <w:jc w:val="right"/>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20</w:t>
            </w:r>
          </w:p>
        </w:tc>
        <w:tc>
          <w:tcPr>
            <w:tcW w:w="1667" w:type="pct"/>
            <w:tcBorders>
              <w:top w:val="nil"/>
              <w:bottom w:val="nil"/>
            </w:tcBorders>
          </w:tcPr>
          <w:p w14:paraId="763B0A84" w14:textId="603E6979" w:rsidR="00E52A5D" w:rsidRPr="00EB50B3" w:rsidRDefault="00E52A5D" w:rsidP="00C146CC">
            <w:pPr>
              <w:spacing w:line="276" w:lineRule="auto"/>
              <w:ind w:right="978"/>
              <w:jc w:val="right"/>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4.26</w:t>
            </w:r>
          </w:p>
        </w:tc>
      </w:tr>
      <w:tr w:rsidR="00E52A5D" w14:paraId="206D2ABF" w14:textId="77777777" w:rsidTr="00B76580">
        <w:trPr>
          <w:trHeight w:val="20"/>
        </w:trPr>
        <w:tc>
          <w:tcPr>
            <w:tcW w:w="1666" w:type="pct"/>
            <w:tcBorders>
              <w:top w:val="nil"/>
              <w:bottom w:val="nil"/>
            </w:tcBorders>
          </w:tcPr>
          <w:p w14:paraId="620E88DB" w14:textId="6C510D2B" w:rsidR="00E52A5D" w:rsidRPr="00EB50B3" w:rsidRDefault="00E52A5D" w:rsidP="00DD2634">
            <w:pPr>
              <w:spacing w:line="276" w:lineRule="auto"/>
              <w:ind w:left="457"/>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Mon</w:t>
            </w:r>
          </w:p>
        </w:tc>
        <w:tc>
          <w:tcPr>
            <w:tcW w:w="1666" w:type="pct"/>
            <w:tcBorders>
              <w:top w:val="nil"/>
              <w:bottom w:val="nil"/>
            </w:tcBorders>
          </w:tcPr>
          <w:p w14:paraId="5B35D464" w14:textId="791B804B" w:rsidR="00E52A5D" w:rsidRPr="00EB50B3" w:rsidRDefault="00E52A5D" w:rsidP="00C146CC">
            <w:pPr>
              <w:spacing w:line="276" w:lineRule="auto"/>
              <w:ind w:right="941"/>
              <w:jc w:val="right"/>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15</w:t>
            </w:r>
          </w:p>
        </w:tc>
        <w:tc>
          <w:tcPr>
            <w:tcW w:w="1667" w:type="pct"/>
            <w:tcBorders>
              <w:top w:val="nil"/>
              <w:bottom w:val="nil"/>
            </w:tcBorders>
          </w:tcPr>
          <w:p w14:paraId="3B21F2D2" w14:textId="0A39C387" w:rsidR="00E52A5D" w:rsidRPr="00EB50B3" w:rsidRDefault="00E52A5D" w:rsidP="00C146CC">
            <w:pPr>
              <w:spacing w:line="276" w:lineRule="auto"/>
              <w:ind w:right="978"/>
              <w:jc w:val="right"/>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3.19</w:t>
            </w:r>
          </w:p>
        </w:tc>
      </w:tr>
      <w:tr w:rsidR="00E52A5D" w14:paraId="17DE9FCC" w14:textId="77777777" w:rsidTr="00B76580">
        <w:trPr>
          <w:trHeight w:val="20"/>
        </w:trPr>
        <w:tc>
          <w:tcPr>
            <w:tcW w:w="1666" w:type="pct"/>
            <w:tcBorders>
              <w:top w:val="nil"/>
              <w:bottom w:val="nil"/>
            </w:tcBorders>
          </w:tcPr>
          <w:p w14:paraId="09C2301F" w14:textId="79DFDFD2" w:rsidR="00E52A5D" w:rsidRPr="00EB50B3" w:rsidRDefault="00E52A5D" w:rsidP="00DD2634">
            <w:pPr>
              <w:spacing w:line="276" w:lineRule="auto"/>
              <w:ind w:left="457"/>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Kayin</w:t>
            </w:r>
          </w:p>
        </w:tc>
        <w:tc>
          <w:tcPr>
            <w:tcW w:w="1666" w:type="pct"/>
            <w:tcBorders>
              <w:top w:val="nil"/>
              <w:bottom w:val="nil"/>
            </w:tcBorders>
          </w:tcPr>
          <w:p w14:paraId="79BCCA88" w14:textId="7297CA05" w:rsidR="00E52A5D" w:rsidRPr="00EB50B3" w:rsidRDefault="00E52A5D" w:rsidP="00C146CC">
            <w:pPr>
              <w:spacing w:line="276" w:lineRule="auto"/>
              <w:ind w:right="941"/>
              <w:jc w:val="right"/>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10</w:t>
            </w:r>
          </w:p>
        </w:tc>
        <w:tc>
          <w:tcPr>
            <w:tcW w:w="1667" w:type="pct"/>
            <w:tcBorders>
              <w:top w:val="nil"/>
              <w:bottom w:val="nil"/>
            </w:tcBorders>
          </w:tcPr>
          <w:p w14:paraId="5AB2C93A" w14:textId="016EDFFF" w:rsidR="00E52A5D" w:rsidRPr="00EB50B3" w:rsidRDefault="00E52A5D" w:rsidP="00C146CC">
            <w:pPr>
              <w:spacing w:line="276" w:lineRule="auto"/>
              <w:ind w:right="978"/>
              <w:jc w:val="right"/>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2.13</w:t>
            </w:r>
          </w:p>
        </w:tc>
      </w:tr>
      <w:tr w:rsidR="00E52A5D" w14:paraId="5A5F5FFA" w14:textId="77777777" w:rsidTr="00B76580">
        <w:trPr>
          <w:trHeight w:val="20"/>
        </w:trPr>
        <w:tc>
          <w:tcPr>
            <w:tcW w:w="1666" w:type="pct"/>
            <w:tcBorders>
              <w:top w:val="nil"/>
              <w:bottom w:val="nil"/>
            </w:tcBorders>
          </w:tcPr>
          <w:p w14:paraId="6FC0E525" w14:textId="56557854" w:rsidR="00E52A5D" w:rsidRPr="00EB50B3" w:rsidRDefault="00E52A5D" w:rsidP="00DD2634">
            <w:pPr>
              <w:spacing w:line="276" w:lineRule="auto"/>
              <w:ind w:left="457"/>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Chin</w:t>
            </w:r>
          </w:p>
        </w:tc>
        <w:tc>
          <w:tcPr>
            <w:tcW w:w="1666" w:type="pct"/>
            <w:tcBorders>
              <w:top w:val="nil"/>
              <w:bottom w:val="nil"/>
            </w:tcBorders>
          </w:tcPr>
          <w:p w14:paraId="5623B3F3" w14:textId="27F61A30" w:rsidR="00E52A5D" w:rsidRPr="00EB50B3" w:rsidRDefault="00E52A5D" w:rsidP="00C146CC">
            <w:pPr>
              <w:spacing w:line="276" w:lineRule="auto"/>
              <w:ind w:right="941"/>
              <w:jc w:val="right"/>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8</w:t>
            </w:r>
          </w:p>
        </w:tc>
        <w:tc>
          <w:tcPr>
            <w:tcW w:w="1667" w:type="pct"/>
            <w:tcBorders>
              <w:top w:val="nil"/>
              <w:bottom w:val="nil"/>
            </w:tcBorders>
          </w:tcPr>
          <w:p w14:paraId="32BB66B1" w14:textId="63D1A7AD" w:rsidR="00E52A5D" w:rsidRPr="00EB50B3" w:rsidRDefault="00E52A5D" w:rsidP="00C146CC">
            <w:pPr>
              <w:spacing w:line="276" w:lineRule="auto"/>
              <w:ind w:right="978"/>
              <w:jc w:val="right"/>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1.70</w:t>
            </w:r>
          </w:p>
        </w:tc>
      </w:tr>
      <w:tr w:rsidR="00E52A5D" w14:paraId="222EA7E5" w14:textId="77777777" w:rsidTr="00B76580">
        <w:trPr>
          <w:trHeight w:val="20"/>
        </w:trPr>
        <w:tc>
          <w:tcPr>
            <w:tcW w:w="1666" w:type="pct"/>
            <w:tcBorders>
              <w:top w:val="nil"/>
              <w:bottom w:val="nil"/>
            </w:tcBorders>
          </w:tcPr>
          <w:p w14:paraId="1F4EB55A" w14:textId="6287BD4D" w:rsidR="00E52A5D" w:rsidRPr="00EB50B3" w:rsidRDefault="00E52A5D" w:rsidP="00DD2634">
            <w:pPr>
              <w:spacing w:line="276" w:lineRule="auto"/>
              <w:ind w:left="457"/>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Kachin</w:t>
            </w:r>
          </w:p>
        </w:tc>
        <w:tc>
          <w:tcPr>
            <w:tcW w:w="1666" w:type="pct"/>
            <w:tcBorders>
              <w:top w:val="nil"/>
              <w:bottom w:val="nil"/>
            </w:tcBorders>
          </w:tcPr>
          <w:p w14:paraId="298FF704" w14:textId="0C760DA4" w:rsidR="00E52A5D" w:rsidRPr="00EB50B3" w:rsidRDefault="00E52A5D" w:rsidP="00C146CC">
            <w:pPr>
              <w:spacing w:line="276" w:lineRule="auto"/>
              <w:ind w:right="941"/>
              <w:jc w:val="right"/>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2</w:t>
            </w:r>
          </w:p>
        </w:tc>
        <w:tc>
          <w:tcPr>
            <w:tcW w:w="1667" w:type="pct"/>
            <w:tcBorders>
              <w:top w:val="nil"/>
              <w:bottom w:val="nil"/>
            </w:tcBorders>
          </w:tcPr>
          <w:p w14:paraId="13042C92" w14:textId="7DDF682B" w:rsidR="00E52A5D" w:rsidRPr="00EB50B3" w:rsidRDefault="00E52A5D" w:rsidP="00C146CC">
            <w:pPr>
              <w:spacing w:line="276" w:lineRule="auto"/>
              <w:ind w:right="978"/>
              <w:jc w:val="right"/>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0.43</w:t>
            </w:r>
          </w:p>
        </w:tc>
      </w:tr>
      <w:tr w:rsidR="00E52A5D" w14:paraId="6E165B9C" w14:textId="77777777" w:rsidTr="00B76580">
        <w:trPr>
          <w:trHeight w:val="20"/>
        </w:trPr>
        <w:tc>
          <w:tcPr>
            <w:tcW w:w="1666" w:type="pct"/>
            <w:tcBorders>
              <w:top w:val="nil"/>
              <w:bottom w:val="single" w:sz="4" w:space="0" w:color="auto"/>
            </w:tcBorders>
          </w:tcPr>
          <w:p w14:paraId="0B06C177" w14:textId="2230B8FC" w:rsidR="00E52A5D" w:rsidRPr="00EB50B3" w:rsidRDefault="00E52A5D" w:rsidP="00DD2634">
            <w:pPr>
              <w:spacing w:line="276" w:lineRule="auto"/>
              <w:ind w:left="457"/>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Kayah</w:t>
            </w:r>
          </w:p>
        </w:tc>
        <w:tc>
          <w:tcPr>
            <w:tcW w:w="1666" w:type="pct"/>
            <w:tcBorders>
              <w:top w:val="nil"/>
              <w:bottom w:val="single" w:sz="4" w:space="0" w:color="auto"/>
            </w:tcBorders>
          </w:tcPr>
          <w:p w14:paraId="1D38A3E9" w14:textId="42356DE5" w:rsidR="00E52A5D" w:rsidRPr="00EB50B3" w:rsidRDefault="00E52A5D" w:rsidP="00C146CC">
            <w:pPr>
              <w:spacing w:line="276" w:lineRule="auto"/>
              <w:ind w:right="941"/>
              <w:jc w:val="right"/>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2</w:t>
            </w:r>
          </w:p>
        </w:tc>
        <w:tc>
          <w:tcPr>
            <w:tcW w:w="1667" w:type="pct"/>
            <w:tcBorders>
              <w:top w:val="nil"/>
              <w:bottom w:val="single" w:sz="4" w:space="0" w:color="auto"/>
            </w:tcBorders>
          </w:tcPr>
          <w:p w14:paraId="20F4E588" w14:textId="30EB1D20" w:rsidR="00E52A5D" w:rsidRPr="00EB50B3" w:rsidRDefault="00E52A5D" w:rsidP="00C146CC">
            <w:pPr>
              <w:spacing w:line="276" w:lineRule="auto"/>
              <w:ind w:right="978"/>
              <w:jc w:val="right"/>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0.43</w:t>
            </w:r>
          </w:p>
        </w:tc>
      </w:tr>
    </w:tbl>
    <w:p w14:paraId="452101F8" w14:textId="77777777" w:rsidR="00EB50B3" w:rsidRPr="00172DA9" w:rsidRDefault="00EB50B3" w:rsidP="00EB50B3">
      <w:pPr>
        <w:spacing w:after="0" w:line="360" w:lineRule="auto"/>
        <w:jc w:val="both"/>
        <w:rPr>
          <w:rFonts w:ascii="Arial" w:eastAsia="Times New Roman" w:hAnsi="Arial" w:cs="Arial"/>
          <w:kern w:val="0"/>
          <w:sz w:val="20"/>
          <w:szCs w:val="20"/>
          <w14:ligatures w14:val="none"/>
        </w:rPr>
      </w:pPr>
      <w:r w:rsidRPr="00172DA9">
        <w:rPr>
          <w:rFonts w:ascii="Arial" w:eastAsia="Times New Roman" w:hAnsi="Arial" w:cs="Arial"/>
          <w:kern w:val="0"/>
          <w:sz w:val="20"/>
          <w:szCs w:val="20"/>
          <w14:ligatures w14:val="none"/>
        </w:rPr>
        <w:t>Source: Own survey, 2024</w:t>
      </w:r>
    </w:p>
    <w:p w14:paraId="158C3D45" w14:textId="2563301D" w:rsidR="004E77CF" w:rsidRPr="00EB50B3" w:rsidRDefault="00774BA4" w:rsidP="00EB50B3">
      <w:pPr>
        <w:spacing w:after="0" w:line="360" w:lineRule="auto"/>
        <w:jc w:val="both"/>
        <w:rPr>
          <w:rFonts w:ascii="Arial" w:eastAsia="Times New Roman" w:hAnsi="Arial" w:cs="Arial"/>
          <w:kern w:val="0"/>
          <w:sz w:val="20"/>
          <w:szCs w:val="20"/>
          <w14:ligatures w14:val="none"/>
        </w:rPr>
      </w:pPr>
      <w:r w:rsidRPr="00EB50B3">
        <w:rPr>
          <w:rFonts w:ascii="Arial" w:eastAsia="Times New Roman" w:hAnsi="Arial" w:cs="Arial"/>
          <w:kern w:val="0"/>
          <w:sz w:val="20"/>
          <w:szCs w:val="20"/>
          <w14:ligatures w14:val="none"/>
        </w:rPr>
        <w:t xml:space="preserve">Furthermore, 19.36% of students came from Nay </w:t>
      </w:r>
      <w:proofErr w:type="spellStart"/>
      <w:r w:rsidRPr="00EB50B3">
        <w:rPr>
          <w:rFonts w:ascii="Arial" w:eastAsia="Times New Roman" w:hAnsi="Arial" w:cs="Arial"/>
          <w:kern w:val="0"/>
          <w:sz w:val="20"/>
          <w:szCs w:val="20"/>
          <w14:ligatures w14:val="none"/>
        </w:rPr>
        <w:t>Pyi</w:t>
      </w:r>
      <w:proofErr w:type="spellEnd"/>
      <w:r w:rsidRPr="00EB50B3">
        <w:rPr>
          <w:rFonts w:ascii="Arial" w:eastAsia="Times New Roman" w:hAnsi="Arial" w:cs="Arial"/>
          <w:kern w:val="0"/>
          <w:sz w:val="20"/>
          <w:szCs w:val="20"/>
          <w14:ligatures w14:val="none"/>
        </w:rPr>
        <w:t xml:space="preserve"> Taw, followed by 14.04% from Magway, 13.83% from Mandalay, 12.13% from Shan, 9.79% from </w:t>
      </w:r>
      <w:proofErr w:type="spellStart"/>
      <w:r w:rsidRPr="00EB50B3">
        <w:rPr>
          <w:rFonts w:ascii="Arial" w:eastAsia="Times New Roman" w:hAnsi="Arial" w:cs="Arial"/>
          <w:kern w:val="0"/>
          <w:sz w:val="20"/>
          <w:szCs w:val="20"/>
          <w14:ligatures w14:val="none"/>
        </w:rPr>
        <w:t>Sagaing</w:t>
      </w:r>
      <w:proofErr w:type="spellEnd"/>
      <w:r w:rsidRPr="00EB50B3">
        <w:rPr>
          <w:rFonts w:ascii="Arial" w:eastAsia="Times New Roman" w:hAnsi="Arial" w:cs="Arial"/>
          <w:kern w:val="0"/>
          <w:sz w:val="20"/>
          <w:szCs w:val="20"/>
          <w14:ligatures w14:val="none"/>
        </w:rPr>
        <w:t xml:space="preserve">, 8.51% from Bago, 6.81% from Ayeyarwady, 5.74% from Mon, 4.47% from Rakhine, 1.49% from Tanintharyi, 1.28% from Kachin, 1.28% from Yangon, and 0.64% </w:t>
      </w:r>
      <w:r w:rsidR="001416F8" w:rsidRPr="00EB50B3">
        <w:rPr>
          <w:rFonts w:ascii="Arial" w:eastAsia="Times New Roman" w:hAnsi="Arial" w:cs="Arial"/>
          <w:kern w:val="0"/>
          <w:sz w:val="20"/>
          <w:szCs w:val="20"/>
          <w14:ligatures w14:val="none"/>
        </w:rPr>
        <w:t xml:space="preserve">each </w:t>
      </w:r>
      <w:r w:rsidRPr="00EB50B3">
        <w:rPr>
          <w:rFonts w:ascii="Arial" w:eastAsia="Times New Roman" w:hAnsi="Arial" w:cs="Arial"/>
          <w:kern w:val="0"/>
          <w:sz w:val="20"/>
          <w:szCs w:val="20"/>
          <w14:ligatures w14:val="none"/>
        </w:rPr>
        <w:t>from Kayin and Chin (Figure 1).</w:t>
      </w:r>
    </w:p>
    <w:tbl>
      <w:tblPr>
        <w:tblStyle w:val="TableGrid"/>
        <w:tblW w:w="9184" w:type="dxa"/>
        <w:tblLook w:val="04A0" w:firstRow="1" w:lastRow="0" w:firstColumn="1" w:lastColumn="0" w:noHBand="0" w:noVBand="1"/>
      </w:tblPr>
      <w:tblGrid>
        <w:gridCol w:w="9184"/>
      </w:tblGrid>
      <w:tr w:rsidR="00CC603F" w14:paraId="44930C47" w14:textId="77777777" w:rsidTr="00EB50B3">
        <w:trPr>
          <w:trHeight w:val="283"/>
        </w:trPr>
        <w:tc>
          <w:tcPr>
            <w:tcW w:w="9184" w:type="dxa"/>
          </w:tcPr>
          <w:p w14:paraId="7A1DE747" w14:textId="77777777" w:rsidR="00CC603F" w:rsidRDefault="00CC603F" w:rsidP="00204778">
            <w:pPr>
              <w:spacing w:line="360" w:lineRule="auto"/>
              <w:jc w:val="both"/>
            </w:pPr>
            <w:r>
              <w:rPr>
                <w:noProof/>
              </w:rPr>
              <w:drawing>
                <wp:inline distT="0" distB="0" distL="0" distR="0" wp14:anchorId="584ADEA7" wp14:editId="3F3D0CA7">
                  <wp:extent cx="5694680" cy="2135529"/>
                  <wp:effectExtent l="0" t="0" r="0" b="0"/>
                  <wp:docPr id="1687522184" name="Chart 1">
                    <a:extLst xmlns:a="http://schemas.openxmlformats.org/drawingml/2006/main">
                      <a:ext uri="{FF2B5EF4-FFF2-40B4-BE49-F238E27FC236}">
                        <a16:creationId xmlns:a16="http://schemas.microsoft.com/office/drawing/2014/main" id="{04E2F371-65AB-7B23-2F35-F0664EF4EA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83E997C" w14:textId="19963934" w:rsidR="00CC603F" w:rsidRPr="00EB50B3" w:rsidRDefault="00CC603F" w:rsidP="00774BA4">
            <w:pPr>
              <w:spacing w:line="276" w:lineRule="auto"/>
              <w:ind w:left="811" w:hanging="811"/>
              <w:jc w:val="both"/>
              <w:rPr>
                <w:rFonts w:ascii="Arial" w:hAnsi="Arial" w:cs="Arial"/>
                <w:bCs/>
                <w:sz w:val="20"/>
                <w:szCs w:val="20"/>
              </w:rPr>
            </w:pPr>
            <w:r w:rsidRPr="00EB50B3">
              <w:rPr>
                <w:rFonts w:ascii="Arial" w:eastAsia="Calibri" w:hAnsi="Arial" w:cs="Arial"/>
                <w:bCs/>
                <w:kern w:val="0"/>
                <w:sz w:val="20"/>
                <w:szCs w:val="20"/>
                <w14:ligatures w14:val="none"/>
              </w:rPr>
              <w:t xml:space="preserve">Figure </w:t>
            </w:r>
            <w:r w:rsidR="00BA7554" w:rsidRPr="00EB50B3">
              <w:rPr>
                <w:rFonts w:ascii="Arial" w:eastAsia="Calibri" w:hAnsi="Arial" w:cs="Arial"/>
                <w:bCs/>
                <w:kern w:val="0"/>
                <w:sz w:val="20"/>
                <w:szCs w:val="20"/>
                <w14:ligatures w14:val="none"/>
              </w:rPr>
              <w:t>1</w:t>
            </w:r>
            <w:r w:rsidRPr="00EB50B3">
              <w:rPr>
                <w:rFonts w:ascii="Arial" w:eastAsia="Calibri" w:hAnsi="Arial" w:cs="Arial"/>
                <w:bCs/>
                <w:kern w:val="0"/>
                <w:sz w:val="20"/>
                <w:szCs w:val="20"/>
                <w14:ligatures w14:val="none"/>
              </w:rPr>
              <w:t>. Distribution of the sample students according to states/regions (n=470)</w:t>
            </w:r>
          </w:p>
        </w:tc>
      </w:tr>
    </w:tbl>
    <w:p w14:paraId="146FA0FC" w14:textId="77777777" w:rsidR="00EB50B3" w:rsidRPr="00172DA9" w:rsidRDefault="00EB50B3" w:rsidP="00EB50B3">
      <w:pPr>
        <w:spacing w:after="0" w:line="360" w:lineRule="auto"/>
        <w:jc w:val="both"/>
        <w:rPr>
          <w:rFonts w:ascii="Arial" w:eastAsia="Times New Roman" w:hAnsi="Arial" w:cs="Arial"/>
          <w:kern w:val="0"/>
          <w:sz w:val="20"/>
          <w:szCs w:val="20"/>
          <w14:ligatures w14:val="none"/>
        </w:rPr>
      </w:pPr>
      <w:r w:rsidRPr="00172DA9">
        <w:rPr>
          <w:rFonts w:ascii="Arial" w:eastAsia="Times New Roman" w:hAnsi="Arial" w:cs="Arial"/>
          <w:kern w:val="0"/>
          <w:sz w:val="20"/>
          <w:szCs w:val="20"/>
          <w14:ligatures w14:val="none"/>
        </w:rPr>
        <w:t>Source: Own survey, 2024</w:t>
      </w:r>
    </w:p>
    <w:p w14:paraId="75AC78B6" w14:textId="1A3EA610" w:rsidR="00D804C2" w:rsidRPr="00EB50B3" w:rsidRDefault="00EB50B3" w:rsidP="00046BD2">
      <w:pPr>
        <w:spacing w:before="120" w:after="120" w:line="276" w:lineRule="auto"/>
        <w:jc w:val="both"/>
        <w:rPr>
          <w:rFonts w:ascii="Arial" w:eastAsia="Times New Roman" w:hAnsi="Arial" w:cs="Arial"/>
          <w:b/>
          <w:kern w:val="0"/>
          <w:sz w:val="22"/>
          <w:szCs w:val="20"/>
          <w14:ligatures w14:val="none"/>
        </w:rPr>
      </w:pPr>
      <w:r>
        <w:rPr>
          <w:rFonts w:ascii="Arial" w:eastAsia="Times New Roman" w:hAnsi="Arial" w:cs="Arial"/>
          <w:b/>
          <w:kern w:val="0"/>
          <w:sz w:val="22"/>
          <w:szCs w:val="20"/>
          <w14:ligatures w14:val="none"/>
        </w:rPr>
        <w:t>3.2</w:t>
      </w:r>
      <w:r>
        <w:rPr>
          <w:rFonts w:ascii="Arial" w:eastAsia="Times New Roman" w:hAnsi="Arial" w:cs="Arial"/>
          <w:b/>
          <w:kern w:val="0"/>
          <w:sz w:val="22"/>
          <w:szCs w:val="20"/>
          <w14:ligatures w14:val="none"/>
        </w:rPr>
        <w:tab/>
      </w:r>
      <w:r w:rsidR="005B0A12" w:rsidRPr="00EB50B3">
        <w:rPr>
          <w:rFonts w:ascii="Arial" w:eastAsia="Times New Roman" w:hAnsi="Arial" w:cs="Arial"/>
          <w:b/>
          <w:kern w:val="0"/>
          <w:sz w:val="22"/>
          <w:szCs w:val="20"/>
          <w14:ligatures w14:val="none"/>
        </w:rPr>
        <w:t>Parents’ education level of sample students</w:t>
      </w:r>
    </w:p>
    <w:p w14:paraId="00D665F3" w14:textId="776683DA" w:rsidR="00F36657" w:rsidRPr="00EB50B3" w:rsidRDefault="00381C26" w:rsidP="00EB50B3">
      <w:pPr>
        <w:spacing w:after="0" w:line="360" w:lineRule="auto"/>
        <w:jc w:val="both"/>
        <w:rPr>
          <w:rFonts w:ascii="Arial" w:eastAsia="Times New Roman" w:hAnsi="Arial" w:cs="Arial"/>
          <w:kern w:val="0"/>
          <w:sz w:val="20"/>
          <w:szCs w:val="20"/>
          <w14:ligatures w14:val="none"/>
        </w:rPr>
      </w:pPr>
      <w:r w:rsidRPr="00EB50B3">
        <w:rPr>
          <w:rFonts w:ascii="Arial" w:eastAsia="Times New Roman" w:hAnsi="Arial" w:cs="Arial"/>
          <w:kern w:val="0"/>
          <w:sz w:val="20"/>
          <w:szCs w:val="20"/>
          <w14:ligatures w14:val="none"/>
        </w:rPr>
        <w:t xml:space="preserve">The educational backgrounds of the parents of the sampled students are illustrated in Figure 2. </w:t>
      </w:r>
      <w:r w:rsidR="00D611E5" w:rsidRPr="00EB50B3">
        <w:rPr>
          <w:rFonts w:ascii="Arial" w:eastAsia="Times New Roman" w:hAnsi="Arial" w:cs="Arial"/>
          <w:kern w:val="0"/>
          <w:sz w:val="20"/>
          <w:szCs w:val="20"/>
          <w14:ligatures w14:val="none"/>
        </w:rPr>
        <w:t>A total of 8 (1.70%)</w:t>
      </w:r>
      <w:r w:rsidR="00AB3D78" w:rsidRPr="00EB50B3">
        <w:rPr>
          <w:rFonts w:ascii="Arial" w:eastAsia="Times New Roman" w:hAnsi="Arial" w:cs="Arial"/>
          <w:kern w:val="0"/>
          <w:sz w:val="20"/>
          <w:szCs w:val="20"/>
          <w14:ligatures w14:val="none"/>
        </w:rPr>
        <w:t xml:space="preserve"> students</w:t>
      </w:r>
      <w:r w:rsidR="00D611E5" w:rsidRPr="00EB50B3">
        <w:rPr>
          <w:rFonts w:ascii="Arial" w:eastAsia="Times New Roman" w:hAnsi="Arial" w:cs="Arial"/>
          <w:kern w:val="0"/>
          <w:sz w:val="20"/>
          <w:szCs w:val="20"/>
          <w14:ligatures w14:val="none"/>
        </w:rPr>
        <w:t xml:space="preserve"> reported having illiterate fathers, while 330 (70.21%) indicated that their fathers had only completed basic education. Additionally, 111 fathers (23.62%) held bachelor's degrees, and 3 fathers (0.64%) achieved master's degrees or PhDs. </w:t>
      </w:r>
      <w:r w:rsidR="001A2AC6" w:rsidRPr="00EB50B3">
        <w:rPr>
          <w:rFonts w:ascii="Arial" w:eastAsia="Times New Roman" w:hAnsi="Arial" w:cs="Arial"/>
          <w:kern w:val="0"/>
          <w:sz w:val="20"/>
          <w:szCs w:val="20"/>
          <w14:ligatures w14:val="none"/>
        </w:rPr>
        <w:t>Regarding the</w:t>
      </w:r>
      <w:r w:rsidR="00AB3D78" w:rsidRPr="00EB50B3">
        <w:rPr>
          <w:rFonts w:ascii="Arial" w:eastAsia="Times New Roman" w:hAnsi="Arial" w:cs="Arial"/>
          <w:kern w:val="0"/>
          <w:sz w:val="20"/>
          <w:szCs w:val="20"/>
          <w14:ligatures w14:val="none"/>
        </w:rPr>
        <w:t xml:space="preserve"> education level of mothers</w:t>
      </w:r>
      <w:r w:rsidR="00D611E5" w:rsidRPr="00EB50B3">
        <w:rPr>
          <w:rFonts w:ascii="Arial" w:eastAsia="Times New Roman" w:hAnsi="Arial" w:cs="Arial"/>
          <w:kern w:val="0"/>
          <w:sz w:val="20"/>
          <w:szCs w:val="20"/>
          <w14:ligatures w14:val="none"/>
        </w:rPr>
        <w:t>, 78 (16.60%) were illiterate, 306 (65.11%) had only basic education, 30 (6.38%) obtained bachelor's degrees, and 33 (7.02%) possessed master's degrees or PhDs.</w:t>
      </w:r>
    </w:p>
    <w:tbl>
      <w:tblPr>
        <w:tblStyle w:val="TableGrid"/>
        <w:tblW w:w="9016" w:type="dxa"/>
        <w:tblLook w:val="04A0" w:firstRow="1" w:lastRow="0" w:firstColumn="1" w:lastColumn="0" w:noHBand="0" w:noVBand="1"/>
      </w:tblPr>
      <w:tblGrid>
        <w:gridCol w:w="9016"/>
      </w:tblGrid>
      <w:tr w:rsidR="00BA7554" w14:paraId="43E19AD0" w14:textId="77777777" w:rsidTr="00EB50B3">
        <w:trPr>
          <w:trHeight w:val="1524"/>
        </w:trPr>
        <w:tc>
          <w:tcPr>
            <w:tcW w:w="9016" w:type="dxa"/>
          </w:tcPr>
          <w:p w14:paraId="250B7704" w14:textId="77777777" w:rsidR="00BA7554" w:rsidRPr="00EB50B3" w:rsidRDefault="00BA7554" w:rsidP="00DE1CF5">
            <w:pPr>
              <w:spacing w:before="80" w:after="100" w:line="276" w:lineRule="auto"/>
              <w:ind w:left="811" w:hanging="811"/>
              <w:jc w:val="both"/>
              <w:rPr>
                <w:rFonts w:ascii="Arial" w:hAnsi="Arial" w:cs="Arial"/>
                <w:bCs/>
                <w:color w:val="77206D" w:themeColor="accent5" w:themeShade="BF"/>
                <w:sz w:val="20"/>
                <w:szCs w:val="20"/>
              </w:rPr>
            </w:pPr>
            <w:r w:rsidRPr="00EB50B3">
              <w:rPr>
                <w:rFonts w:ascii="Arial" w:eastAsia="Calibri" w:hAnsi="Arial" w:cs="Arial"/>
                <w:bCs/>
                <w:noProof/>
                <w:kern w:val="0"/>
                <w:sz w:val="20"/>
                <w:szCs w:val="20"/>
                <w14:ligatures w14:val="none"/>
              </w:rPr>
              <w:lastRenderedPageBreak/>
              <w:drawing>
                <wp:anchor distT="0" distB="0" distL="114300" distR="114300" simplePos="0" relativeHeight="251666432" behindDoc="0" locked="0" layoutInCell="1" allowOverlap="1" wp14:anchorId="40FCE68B" wp14:editId="394304AF">
                  <wp:simplePos x="0" y="0"/>
                  <wp:positionH relativeFrom="column">
                    <wp:posOffset>-65405</wp:posOffset>
                  </wp:positionH>
                  <wp:positionV relativeFrom="paragraph">
                    <wp:posOffset>0</wp:posOffset>
                  </wp:positionV>
                  <wp:extent cx="5708650" cy="2355215"/>
                  <wp:effectExtent l="0" t="0" r="0" b="0"/>
                  <wp:wrapSquare wrapText="bothSides"/>
                  <wp:docPr id="912404845" name="Chart 1">
                    <a:extLst xmlns:a="http://schemas.openxmlformats.org/drawingml/2006/main">
                      <a:ext uri="{FF2B5EF4-FFF2-40B4-BE49-F238E27FC236}">
                        <a16:creationId xmlns:a16="http://schemas.microsoft.com/office/drawing/2014/main" id="{02AA7A41-7054-7EAD-7F52-6287CE2C17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EB50B3">
              <w:rPr>
                <w:rFonts w:ascii="Arial" w:eastAsia="Calibri" w:hAnsi="Arial" w:cs="Arial"/>
                <w:bCs/>
                <w:kern w:val="0"/>
                <w:sz w:val="20"/>
                <w:szCs w:val="20"/>
                <w14:ligatures w14:val="none"/>
              </w:rPr>
              <w:t>Figure 2. Parents' education level of the sample students (n=470)</w:t>
            </w:r>
          </w:p>
        </w:tc>
      </w:tr>
    </w:tbl>
    <w:p w14:paraId="6ADCFB8E" w14:textId="77777777" w:rsidR="00EB50B3" w:rsidRPr="00172DA9" w:rsidRDefault="00EB50B3" w:rsidP="00EB50B3">
      <w:pPr>
        <w:spacing w:after="0" w:line="360" w:lineRule="auto"/>
        <w:jc w:val="both"/>
        <w:rPr>
          <w:rFonts w:ascii="Arial" w:eastAsia="Times New Roman" w:hAnsi="Arial" w:cs="Arial"/>
          <w:kern w:val="0"/>
          <w:sz w:val="20"/>
          <w:szCs w:val="20"/>
          <w14:ligatures w14:val="none"/>
        </w:rPr>
      </w:pPr>
      <w:r w:rsidRPr="00172DA9">
        <w:rPr>
          <w:rFonts w:ascii="Arial" w:eastAsia="Times New Roman" w:hAnsi="Arial" w:cs="Arial"/>
          <w:kern w:val="0"/>
          <w:sz w:val="20"/>
          <w:szCs w:val="20"/>
          <w14:ligatures w14:val="none"/>
        </w:rPr>
        <w:t>Source: Own survey, 2024</w:t>
      </w:r>
    </w:p>
    <w:p w14:paraId="13424F03" w14:textId="1CDAF0E6" w:rsidR="001A2AC6" w:rsidRPr="00EB50B3" w:rsidRDefault="00EB50B3" w:rsidP="001A2AC6">
      <w:pPr>
        <w:spacing w:before="120" w:after="120" w:line="276" w:lineRule="auto"/>
        <w:jc w:val="both"/>
        <w:rPr>
          <w:rFonts w:ascii="Arial" w:eastAsia="Times New Roman" w:hAnsi="Arial" w:cs="Arial"/>
          <w:b/>
          <w:kern w:val="0"/>
          <w:sz w:val="22"/>
          <w:szCs w:val="20"/>
          <w14:ligatures w14:val="none"/>
        </w:rPr>
      </w:pPr>
      <w:r>
        <w:rPr>
          <w:rFonts w:ascii="Arial" w:eastAsia="Times New Roman" w:hAnsi="Arial" w:cs="Arial"/>
          <w:b/>
          <w:kern w:val="0"/>
          <w:sz w:val="22"/>
          <w:szCs w:val="20"/>
          <w14:ligatures w14:val="none"/>
        </w:rPr>
        <w:t>3.3</w:t>
      </w:r>
      <w:r>
        <w:rPr>
          <w:rFonts w:ascii="Arial" w:eastAsia="Times New Roman" w:hAnsi="Arial" w:cs="Arial"/>
          <w:b/>
          <w:kern w:val="0"/>
          <w:sz w:val="22"/>
          <w:szCs w:val="20"/>
          <w14:ligatures w14:val="none"/>
        </w:rPr>
        <w:tab/>
      </w:r>
      <w:r w:rsidR="001A2AC6" w:rsidRPr="00EB50B3">
        <w:rPr>
          <w:rFonts w:ascii="Arial" w:eastAsia="Times New Roman" w:hAnsi="Arial" w:cs="Arial"/>
          <w:b/>
          <w:kern w:val="0"/>
          <w:sz w:val="22"/>
          <w:szCs w:val="20"/>
          <w14:ligatures w14:val="none"/>
        </w:rPr>
        <w:t>Parents’ occupation status of sample students</w:t>
      </w:r>
    </w:p>
    <w:p w14:paraId="26513A08" w14:textId="1030E907" w:rsidR="00866BB9" w:rsidRPr="00EB50B3" w:rsidRDefault="00BA1580" w:rsidP="00EB50B3">
      <w:pPr>
        <w:spacing w:before="100" w:after="120" w:line="360" w:lineRule="auto"/>
        <w:jc w:val="both"/>
        <w:rPr>
          <w:rFonts w:ascii="Arial" w:eastAsia="Times New Roman" w:hAnsi="Arial" w:cs="Arial"/>
          <w:kern w:val="0"/>
          <w:sz w:val="20"/>
          <w:szCs w:val="20"/>
          <w14:ligatures w14:val="none"/>
        </w:rPr>
      </w:pPr>
      <w:r w:rsidRPr="00EB50B3">
        <w:rPr>
          <w:rFonts w:ascii="Arial" w:eastAsia="Times New Roman" w:hAnsi="Arial" w:cs="Arial"/>
          <w:kern w:val="0"/>
          <w:sz w:val="20"/>
          <w:szCs w:val="20"/>
          <w14:ligatures w14:val="none"/>
        </w:rPr>
        <w:t>In a recent study, data revealed that a</w:t>
      </w:r>
      <w:r w:rsidR="00F36657" w:rsidRPr="00EB50B3">
        <w:rPr>
          <w:rFonts w:ascii="Arial" w:eastAsia="Times New Roman" w:hAnsi="Arial" w:cs="Arial"/>
          <w:kern w:val="0"/>
          <w:sz w:val="20"/>
          <w:szCs w:val="20"/>
          <w14:ligatures w14:val="none"/>
        </w:rPr>
        <w:t xml:space="preserve"> significant portion of the respondents' fathers, specifically 16.60%, were employed in the public sector, while a larger percentage, 24.47%, found employment in the private sector, which served as their primary </w:t>
      </w:r>
      <w:r w:rsidR="00EB50B3" w:rsidRPr="00EB50B3">
        <w:rPr>
          <w:rFonts w:ascii="Arial" w:eastAsia="Times New Roman" w:hAnsi="Arial" w:cs="Arial"/>
          <w:kern w:val="0"/>
          <w:sz w:val="20"/>
          <w:szCs w:val="20"/>
          <w14:ligatures w14:val="none"/>
        </w:rPr>
        <w:t>source</w:t>
      </w:r>
      <w:r w:rsidR="00F36657" w:rsidRPr="00EB50B3">
        <w:rPr>
          <w:rFonts w:ascii="Arial" w:eastAsia="Times New Roman" w:hAnsi="Arial" w:cs="Arial"/>
          <w:kern w:val="0"/>
          <w:sz w:val="20"/>
          <w:szCs w:val="20"/>
          <w14:ligatures w14:val="none"/>
        </w:rPr>
        <w:t xml:space="preserve"> of income. Additionally, fathers from farming households constituted 40.64% of the sample population. Furthermore, a smaller segment, accounting for 6.38%, included fathers who were either dependent, retired, or engaged in household duties. Regarding the mothers of the respondents, 12.77% were employed in the public sector, whereas 20.21% found work in the private sector. Mothers from farming households represented 17.02% of the sample, while those who were dependent, retired, or occupied with household tasks constituted 27.02% of the total. This distribution highlights the diverse employment backgrounds of the parents within the sample population, reflecting varying economic roles and responsibilities (Figure </w:t>
      </w:r>
      <w:r w:rsidR="00680567" w:rsidRPr="00EB50B3">
        <w:rPr>
          <w:rFonts w:ascii="Arial" w:eastAsia="Times New Roman" w:hAnsi="Arial" w:cs="Arial"/>
          <w:kern w:val="0"/>
          <w:sz w:val="20"/>
          <w:szCs w:val="20"/>
          <w14:ligatures w14:val="none"/>
        </w:rPr>
        <w:t>3</w:t>
      </w:r>
      <w:r w:rsidR="00F36657" w:rsidRPr="00EB50B3">
        <w:rPr>
          <w:rFonts w:ascii="Arial" w:eastAsia="Times New Roman" w:hAnsi="Arial" w:cs="Arial"/>
          <w:kern w:val="0"/>
          <w:sz w:val="20"/>
          <w:szCs w:val="20"/>
          <w14:ligatures w14:val="none"/>
        </w:rPr>
        <w:t>).</w:t>
      </w:r>
      <w:r w:rsidR="00A62679" w:rsidRPr="00EB50B3">
        <w:rPr>
          <w:rFonts w:ascii="Arial" w:eastAsia="Times New Roman" w:hAnsi="Arial" w:cs="Arial"/>
          <w:kern w:val="0"/>
          <w:sz w:val="20"/>
          <w:szCs w:val="20"/>
          <w14:ligatures w14:val="none"/>
        </w:rPr>
        <w:t xml:space="preserve"> </w:t>
      </w:r>
    </w:p>
    <w:tbl>
      <w:tblPr>
        <w:tblStyle w:val="TableGrid"/>
        <w:tblW w:w="9016" w:type="dxa"/>
        <w:tblLook w:val="04A0" w:firstRow="1" w:lastRow="0" w:firstColumn="1" w:lastColumn="0" w:noHBand="0" w:noVBand="1"/>
      </w:tblPr>
      <w:tblGrid>
        <w:gridCol w:w="9016"/>
      </w:tblGrid>
      <w:tr w:rsidR="00BA7554" w14:paraId="0B5AF3A6" w14:textId="77777777" w:rsidTr="00F64E90">
        <w:trPr>
          <w:trHeight w:val="2900"/>
        </w:trPr>
        <w:tc>
          <w:tcPr>
            <w:tcW w:w="9016" w:type="dxa"/>
          </w:tcPr>
          <w:p w14:paraId="252158DE" w14:textId="417E19E6" w:rsidR="00BA7554" w:rsidRPr="009D75D4" w:rsidRDefault="00BA7554" w:rsidP="00DE1CF5">
            <w:pPr>
              <w:spacing w:before="80" w:after="100" w:line="276" w:lineRule="auto"/>
              <w:ind w:left="811" w:hanging="811"/>
              <w:jc w:val="both"/>
              <w:rPr>
                <w:rFonts w:ascii="Arial" w:hAnsi="Arial" w:cs="Arial"/>
                <w:bCs/>
              </w:rPr>
            </w:pPr>
            <w:r w:rsidRPr="009D75D4">
              <w:rPr>
                <w:rFonts w:ascii="Arial" w:eastAsia="Calibri" w:hAnsi="Arial" w:cs="Arial"/>
                <w:bCs/>
                <w:noProof/>
                <w:kern w:val="0"/>
                <w:sz w:val="22"/>
                <w:szCs w:val="22"/>
                <w14:ligatures w14:val="none"/>
              </w:rPr>
              <w:drawing>
                <wp:anchor distT="0" distB="0" distL="114300" distR="114300" simplePos="0" relativeHeight="251668480" behindDoc="0" locked="0" layoutInCell="1" allowOverlap="1" wp14:anchorId="3B41E738" wp14:editId="20A0672E">
                  <wp:simplePos x="0" y="0"/>
                  <wp:positionH relativeFrom="column">
                    <wp:posOffset>-65405</wp:posOffset>
                  </wp:positionH>
                  <wp:positionV relativeFrom="paragraph">
                    <wp:posOffset>0</wp:posOffset>
                  </wp:positionV>
                  <wp:extent cx="5708650" cy="2355120"/>
                  <wp:effectExtent l="0" t="0" r="0" b="0"/>
                  <wp:wrapSquare wrapText="bothSides"/>
                  <wp:docPr id="1264943009" name="Chart 1">
                    <a:extLst xmlns:a="http://schemas.openxmlformats.org/drawingml/2006/main">
                      <a:ext uri="{FF2B5EF4-FFF2-40B4-BE49-F238E27FC236}">
                        <a16:creationId xmlns:a16="http://schemas.microsoft.com/office/drawing/2014/main" id="{25835168-5FF5-7AB6-0A0C-11BA636CE1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9D75D4">
              <w:rPr>
                <w:rFonts w:ascii="Arial" w:eastAsia="Calibri" w:hAnsi="Arial" w:cs="Arial"/>
                <w:bCs/>
                <w:kern w:val="0"/>
                <w:sz w:val="22"/>
                <w:szCs w:val="22"/>
                <w14:ligatures w14:val="none"/>
              </w:rPr>
              <w:t xml:space="preserve">Figure </w:t>
            </w:r>
            <w:r w:rsidR="00680567" w:rsidRPr="009D75D4">
              <w:rPr>
                <w:rFonts w:ascii="Arial" w:eastAsia="Calibri" w:hAnsi="Arial" w:cs="Arial"/>
                <w:bCs/>
                <w:kern w:val="0"/>
                <w:sz w:val="22"/>
                <w:szCs w:val="22"/>
                <w14:ligatures w14:val="none"/>
              </w:rPr>
              <w:t>3</w:t>
            </w:r>
            <w:r w:rsidRPr="009D75D4">
              <w:rPr>
                <w:rFonts w:ascii="Arial" w:eastAsia="Calibri" w:hAnsi="Arial" w:cs="Arial"/>
                <w:bCs/>
                <w:kern w:val="0"/>
                <w:sz w:val="22"/>
                <w:szCs w:val="22"/>
                <w14:ligatures w14:val="none"/>
              </w:rPr>
              <w:t>. Parents' occupation of the sample students (n=470)</w:t>
            </w:r>
          </w:p>
        </w:tc>
      </w:tr>
    </w:tbl>
    <w:p w14:paraId="3CB93933" w14:textId="77777777" w:rsidR="009D75D4" w:rsidRPr="00172DA9" w:rsidRDefault="009D75D4" w:rsidP="009D75D4">
      <w:pPr>
        <w:spacing w:after="0" w:line="360" w:lineRule="auto"/>
        <w:jc w:val="both"/>
        <w:rPr>
          <w:rFonts w:ascii="Arial" w:eastAsia="Times New Roman" w:hAnsi="Arial" w:cs="Arial"/>
          <w:kern w:val="0"/>
          <w:sz w:val="20"/>
          <w:szCs w:val="20"/>
          <w14:ligatures w14:val="none"/>
        </w:rPr>
      </w:pPr>
      <w:r w:rsidRPr="00172DA9">
        <w:rPr>
          <w:rFonts w:ascii="Arial" w:eastAsia="Times New Roman" w:hAnsi="Arial" w:cs="Arial"/>
          <w:kern w:val="0"/>
          <w:sz w:val="20"/>
          <w:szCs w:val="20"/>
          <w14:ligatures w14:val="none"/>
        </w:rPr>
        <w:t>Source: Own survey, 2024</w:t>
      </w:r>
    </w:p>
    <w:p w14:paraId="72D6E328" w14:textId="77777777" w:rsidR="00A64104" w:rsidRDefault="00A64104" w:rsidP="00046BD2">
      <w:pPr>
        <w:spacing w:before="120" w:after="120" w:line="276" w:lineRule="auto"/>
        <w:jc w:val="both"/>
        <w:rPr>
          <w:rFonts w:ascii="Arial" w:eastAsia="Times New Roman" w:hAnsi="Arial" w:cs="Arial"/>
          <w:b/>
          <w:kern w:val="0"/>
          <w:sz w:val="22"/>
          <w:szCs w:val="20"/>
          <w14:ligatures w14:val="none"/>
        </w:rPr>
      </w:pPr>
    </w:p>
    <w:p w14:paraId="5A831DF3" w14:textId="385D6ACC" w:rsidR="00866BB9" w:rsidRPr="009D75D4" w:rsidRDefault="009D75D4" w:rsidP="00046BD2">
      <w:pPr>
        <w:spacing w:before="120" w:after="120" w:line="276" w:lineRule="auto"/>
        <w:jc w:val="both"/>
        <w:rPr>
          <w:rFonts w:ascii="Arial" w:eastAsia="Times New Roman" w:hAnsi="Arial" w:cs="Arial"/>
          <w:b/>
          <w:kern w:val="0"/>
          <w:sz w:val="22"/>
          <w:szCs w:val="20"/>
          <w14:ligatures w14:val="none"/>
        </w:rPr>
      </w:pPr>
      <w:r>
        <w:rPr>
          <w:rFonts w:ascii="Arial" w:eastAsia="Times New Roman" w:hAnsi="Arial" w:cs="Arial"/>
          <w:b/>
          <w:kern w:val="0"/>
          <w:sz w:val="22"/>
          <w:szCs w:val="20"/>
          <w14:ligatures w14:val="none"/>
        </w:rPr>
        <w:t>3.4</w:t>
      </w:r>
      <w:r>
        <w:rPr>
          <w:rFonts w:ascii="Arial" w:eastAsia="Times New Roman" w:hAnsi="Arial" w:cs="Arial"/>
          <w:b/>
          <w:kern w:val="0"/>
          <w:sz w:val="22"/>
          <w:szCs w:val="20"/>
          <w14:ligatures w14:val="none"/>
        </w:rPr>
        <w:tab/>
      </w:r>
      <w:r w:rsidR="00D804C2" w:rsidRPr="009D75D4">
        <w:rPr>
          <w:rFonts w:ascii="Arial" w:eastAsia="Times New Roman" w:hAnsi="Arial" w:cs="Arial"/>
          <w:b/>
          <w:kern w:val="0"/>
          <w:sz w:val="22"/>
          <w:szCs w:val="20"/>
          <w14:ligatures w14:val="none"/>
        </w:rPr>
        <w:t>Parents’</w:t>
      </w:r>
      <w:r w:rsidR="00504AB9" w:rsidRPr="009D75D4">
        <w:rPr>
          <w:rFonts w:ascii="Arial" w:eastAsia="Times New Roman" w:hAnsi="Arial" w:cs="Arial"/>
          <w:b/>
          <w:kern w:val="0"/>
          <w:sz w:val="22"/>
          <w:szCs w:val="20"/>
          <w14:ligatures w14:val="none"/>
        </w:rPr>
        <w:t xml:space="preserve"> </w:t>
      </w:r>
      <w:r w:rsidR="00793394" w:rsidRPr="009D75D4">
        <w:rPr>
          <w:rFonts w:ascii="Arial" w:eastAsia="Times New Roman" w:hAnsi="Arial" w:cs="Arial"/>
          <w:b/>
          <w:kern w:val="0"/>
          <w:sz w:val="22"/>
          <w:szCs w:val="20"/>
          <w14:ligatures w14:val="none"/>
        </w:rPr>
        <w:t xml:space="preserve">monthly </w:t>
      </w:r>
      <w:r w:rsidR="00D804C2" w:rsidRPr="009D75D4">
        <w:rPr>
          <w:rFonts w:ascii="Arial" w:eastAsia="Times New Roman" w:hAnsi="Arial" w:cs="Arial"/>
          <w:b/>
          <w:kern w:val="0"/>
          <w:sz w:val="22"/>
          <w:szCs w:val="20"/>
          <w14:ligatures w14:val="none"/>
        </w:rPr>
        <w:t xml:space="preserve">income </w:t>
      </w:r>
      <w:r w:rsidR="003F3D11" w:rsidRPr="009D75D4">
        <w:rPr>
          <w:rFonts w:ascii="Arial" w:eastAsia="Times New Roman" w:hAnsi="Arial" w:cs="Arial"/>
          <w:b/>
          <w:kern w:val="0"/>
          <w:sz w:val="22"/>
          <w:szCs w:val="20"/>
          <w14:ligatures w14:val="none"/>
        </w:rPr>
        <w:t>status</w:t>
      </w:r>
      <w:r w:rsidR="0063586B" w:rsidRPr="009D75D4">
        <w:rPr>
          <w:rFonts w:ascii="Arial" w:eastAsia="Times New Roman" w:hAnsi="Arial" w:cs="Arial"/>
          <w:b/>
          <w:kern w:val="0"/>
          <w:sz w:val="22"/>
          <w:szCs w:val="20"/>
          <w14:ligatures w14:val="none"/>
        </w:rPr>
        <w:t xml:space="preserve"> </w:t>
      </w:r>
      <w:r w:rsidR="00D804C2" w:rsidRPr="009D75D4">
        <w:rPr>
          <w:rFonts w:ascii="Arial" w:eastAsia="Times New Roman" w:hAnsi="Arial" w:cs="Arial"/>
          <w:b/>
          <w:kern w:val="0"/>
          <w:sz w:val="22"/>
          <w:szCs w:val="20"/>
          <w14:ligatures w14:val="none"/>
        </w:rPr>
        <w:t>of sample students</w:t>
      </w:r>
    </w:p>
    <w:p w14:paraId="73EE5C6C" w14:textId="608DCB53" w:rsidR="008A22DA" w:rsidRPr="009D75D4" w:rsidRDefault="003F3D11" w:rsidP="009D75D4">
      <w:pPr>
        <w:spacing w:before="100" w:after="120" w:line="360" w:lineRule="auto"/>
        <w:jc w:val="both"/>
        <w:rPr>
          <w:rFonts w:ascii="Arial" w:eastAsia="Times New Roman" w:hAnsi="Arial" w:cs="Arial"/>
          <w:kern w:val="0"/>
          <w:sz w:val="20"/>
          <w:szCs w:val="20"/>
          <w14:ligatures w14:val="none"/>
        </w:rPr>
      </w:pPr>
      <w:r w:rsidRPr="009D75D4">
        <w:rPr>
          <w:rFonts w:ascii="Arial" w:eastAsia="Times New Roman" w:hAnsi="Arial" w:cs="Arial"/>
          <w:kern w:val="0"/>
          <w:sz w:val="20"/>
          <w:szCs w:val="20"/>
          <w14:ligatures w14:val="none"/>
        </w:rPr>
        <w:lastRenderedPageBreak/>
        <w:t>According to Table 4,</w:t>
      </w:r>
      <w:r w:rsidR="003C37A8" w:rsidRPr="009D75D4">
        <w:rPr>
          <w:rFonts w:ascii="Arial" w:eastAsia="Times New Roman" w:hAnsi="Arial" w:cs="Arial"/>
          <w:kern w:val="0"/>
          <w:sz w:val="20"/>
          <w:szCs w:val="20"/>
          <w14:ligatures w14:val="none"/>
        </w:rPr>
        <w:t xml:space="preserve"> </w:t>
      </w:r>
      <w:r w:rsidR="008A22DA" w:rsidRPr="009D75D4">
        <w:rPr>
          <w:rFonts w:ascii="Arial" w:eastAsia="Times New Roman" w:hAnsi="Arial" w:cs="Arial"/>
          <w:kern w:val="0"/>
          <w:sz w:val="20"/>
          <w:szCs w:val="20"/>
          <w14:ligatures w14:val="none"/>
        </w:rPr>
        <w:t>44.04%</w:t>
      </w:r>
      <w:r w:rsidRPr="009D75D4">
        <w:rPr>
          <w:rFonts w:ascii="Arial" w:eastAsia="Times New Roman" w:hAnsi="Arial" w:cs="Arial"/>
          <w:kern w:val="0"/>
          <w:sz w:val="20"/>
          <w:szCs w:val="20"/>
          <w14:ligatures w14:val="none"/>
        </w:rPr>
        <w:t xml:space="preserve"> of students</w:t>
      </w:r>
      <w:r w:rsidR="008A22DA" w:rsidRPr="009D75D4">
        <w:rPr>
          <w:rFonts w:ascii="Arial" w:eastAsia="Times New Roman" w:hAnsi="Arial" w:cs="Arial"/>
          <w:kern w:val="0"/>
          <w:sz w:val="20"/>
          <w:szCs w:val="20"/>
          <w14:ligatures w14:val="none"/>
        </w:rPr>
        <w:t xml:space="preserve"> reported that their parents' monthly income was 500,000 MMK or less, followed by 35.11% with incomes between 500,001</w:t>
      </w:r>
      <w:r w:rsidR="00504AB9" w:rsidRPr="009D75D4">
        <w:rPr>
          <w:rFonts w:ascii="Arial" w:eastAsia="Times New Roman" w:hAnsi="Arial" w:cs="Arial"/>
          <w:kern w:val="0"/>
          <w:sz w:val="20"/>
          <w:szCs w:val="20"/>
          <w14:ligatures w14:val="none"/>
        </w:rPr>
        <w:t xml:space="preserve"> MMK</w:t>
      </w:r>
      <w:r w:rsidR="008A22DA" w:rsidRPr="009D75D4">
        <w:rPr>
          <w:rFonts w:ascii="Arial" w:eastAsia="Times New Roman" w:hAnsi="Arial" w:cs="Arial"/>
          <w:kern w:val="0"/>
          <w:sz w:val="20"/>
          <w:szCs w:val="20"/>
          <w14:ligatures w14:val="none"/>
        </w:rPr>
        <w:t xml:space="preserve"> and 1,000,000 MMK. </w:t>
      </w:r>
      <w:r w:rsidR="003C37A8" w:rsidRPr="009D75D4">
        <w:rPr>
          <w:rFonts w:ascii="Arial" w:eastAsia="Times New Roman" w:hAnsi="Arial" w:cs="Arial"/>
          <w:kern w:val="0"/>
          <w:sz w:val="20"/>
          <w:szCs w:val="20"/>
          <w14:ligatures w14:val="none"/>
        </w:rPr>
        <w:t xml:space="preserve">A smaller proportion of students’ parents earn between 1,000,001 MMK and 1,500,000 MMK (9.15%), and between 1,500,001 MMK and 2,500,000 MMK (6.60%). </w:t>
      </w:r>
      <w:r w:rsidR="00755008" w:rsidRPr="009D75D4">
        <w:rPr>
          <w:rFonts w:ascii="Arial" w:eastAsia="Times New Roman" w:hAnsi="Arial" w:cs="Arial"/>
          <w:kern w:val="0"/>
          <w:sz w:val="20"/>
          <w:szCs w:val="20"/>
          <w14:ligatures w14:val="none"/>
        </w:rPr>
        <w:t>A small fraction of students indicated that their parents earned between 2,500,001 MMK and 4,000,000 MMK, accounting for 2.13% of the respondents</w:t>
      </w:r>
      <w:r w:rsidR="003C37A8" w:rsidRPr="009D75D4">
        <w:rPr>
          <w:rFonts w:ascii="Arial" w:eastAsia="Times New Roman" w:hAnsi="Arial" w:cs="Arial"/>
          <w:kern w:val="0"/>
          <w:sz w:val="20"/>
          <w:szCs w:val="20"/>
          <w14:ligatures w14:val="none"/>
        </w:rPr>
        <w:t xml:space="preserve"> and over 4,000,000 MMK (2.98%). The mean monthly income of students' parents was 1,040,000 MMK, with a range of incomes from 300,000 MMK to 5,500,000 MMK.</w:t>
      </w:r>
    </w:p>
    <w:p w14:paraId="458963B3" w14:textId="3F25E067" w:rsidR="008A22DA" w:rsidRPr="009D75D4" w:rsidRDefault="008A22DA" w:rsidP="0045370F">
      <w:pPr>
        <w:spacing w:before="80" w:after="100" w:line="276" w:lineRule="auto"/>
        <w:ind w:left="811" w:hanging="811"/>
        <w:jc w:val="both"/>
        <w:rPr>
          <w:rFonts w:ascii="Arial" w:eastAsia="Times New Roman" w:hAnsi="Arial" w:cs="Arial"/>
          <w:kern w:val="0"/>
          <w:sz w:val="20"/>
          <w:szCs w:val="20"/>
          <w14:ligatures w14:val="none"/>
        </w:rPr>
      </w:pPr>
      <w:r w:rsidRPr="009D75D4">
        <w:rPr>
          <w:rFonts w:ascii="Arial" w:eastAsia="Times New Roman" w:hAnsi="Arial" w:cs="Arial"/>
          <w:kern w:val="0"/>
          <w:sz w:val="20"/>
          <w:szCs w:val="20"/>
          <w14:ligatures w14:val="none"/>
        </w:rPr>
        <w:t xml:space="preserve">Table </w:t>
      </w:r>
      <w:r w:rsidRPr="009D75D4">
        <w:rPr>
          <w:rFonts w:ascii="Arial" w:eastAsia="Times New Roman" w:hAnsi="Arial" w:cs="Arial"/>
          <w:kern w:val="0"/>
          <w:sz w:val="20"/>
          <w:szCs w:val="20"/>
          <w14:ligatures w14:val="none"/>
        </w:rPr>
        <w:fldChar w:fldCharType="begin"/>
      </w:r>
      <w:r w:rsidRPr="009D75D4">
        <w:rPr>
          <w:rFonts w:ascii="Arial" w:eastAsia="Times New Roman" w:hAnsi="Arial" w:cs="Arial"/>
          <w:kern w:val="0"/>
          <w:sz w:val="20"/>
          <w:szCs w:val="20"/>
          <w14:ligatures w14:val="none"/>
        </w:rPr>
        <w:instrText xml:space="preserve"> SEQ Table \* ARABIC </w:instrText>
      </w:r>
      <w:r w:rsidRPr="009D75D4">
        <w:rPr>
          <w:rFonts w:ascii="Arial" w:eastAsia="Times New Roman" w:hAnsi="Arial" w:cs="Arial"/>
          <w:kern w:val="0"/>
          <w:sz w:val="20"/>
          <w:szCs w:val="20"/>
          <w14:ligatures w14:val="none"/>
        </w:rPr>
        <w:fldChar w:fldCharType="separate"/>
      </w:r>
      <w:r w:rsidR="00AE6A7B" w:rsidRPr="009D75D4">
        <w:rPr>
          <w:rFonts w:ascii="Arial" w:eastAsia="Times New Roman" w:hAnsi="Arial" w:cs="Arial"/>
          <w:kern w:val="0"/>
          <w:sz w:val="20"/>
          <w:szCs w:val="20"/>
          <w14:ligatures w14:val="none"/>
        </w:rPr>
        <w:t>4</w:t>
      </w:r>
      <w:r w:rsidRPr="009D75D4">
        <w:rPr>
          <w:rFonts w:ascii="Arial" w:eastAsia="Times New Roman" w:hAnsi="Arial" w:cs="Arial"/>
          <w:kern w:val="0"/>
          <w:sz w:val="20"/>
          <w:szCs w:val="20"/>
          <w14:ligatures w14:val="none"/>
        </w:rPr>
        <w:fldChar w:fldCharType="end"/>
      </w:r>
      <w:r w:rsidRPr="009D75D4">
        <w:rPr>
          <w:rFonts w:ascii="Arial" w:eastAsia="Times New Roman" w:hAnsi="Arial" w:cs="Arial"/>
          <w:kern w:val="0"/>
          <w:sz w:val="20"/>
          <w:szCs w:val="20"/>
          <w14:ligatures w14:val="none"/>
        </w:rPr>
        <w:t>. Monthly parents' income information of sample students (n=470)</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5"/>
        <w:gridCol w:w="1924"/>
        <w:gridCol w:w="1367"/>
        <w:gridCol w:w="946"/>
        <w:gridCol w:w="946"/>
        <w:gridCol w:w="948"/>
      </w:tblGrid>
      <w:tr w:rsidR="00B14A35" w14:paraId="01708543" w14:textId="77777777" w:rsidTr="00B14A35">
        <w:tc>
          <w:tcPr>
            <w:tcW w:w="1604" w:type="pct"/>
            <w:tcBorders>
              <w:top w:val="single" w:sz="4" w:space="0" w:color="auto"/>
              <w:bottom w:val="single" w:sz="4" w:space="0" w:color="auto"/>
            </w:tcBorders>
          </w:tcPr>
          <w:p w14:paraId="4EE7613C" w14:textId="00247148" w:rsidR="00D804C2" w:rsidRPr="009D75D4" w:rsidRDefault="00D804C2" w:rsidP="00DD2634">
            <w:pPr>
              <w:spacing w:line="276" w:lineRule="auto"/>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Income (MMK)</w:t>
            </w:r>
          </w:p>
        </w:tc>
        <w:tc>
          <w:tcPr>
            <w:tcW w:w="1823" w:type="pct"/>
            <w:gridSpan w:val="2"/>
            <w:tcBorders>
              <w:top w:val="single" w:sz="4" w:space="0" w:color="auto"/>
              <w:bottom w:val="single" w:sz="4" w:space="0" w:color="auto"/>
            </w:tcBorders>
          </w:tcPr>
          <w:p w14:paraId="1D8A0E32" w14:textId="77777777" w:rsidR="00D804C2" w:rsidRPr="009D75D4" w:rsidRDefault="00D804C2" w:rsidP="00DD2634">
            <w:pPr>
              <w:spacing w:line="276" w:lineRule="auto"/>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Frequency</w:t>
            </w:r>
          </w:p>
        </w:tc>
        <w:tc>
          <w:tcPr>
            <w:tcW w:w="1573" w:type="pct"/>
            <w:gridSpan w:val="3"/>
            <w:tcBorders>
              <w:top w:val="single" w:sz="4" w:space="0" w:color="auto"/>
              <w:bottom w:val="single" w:sz="4" w:space="0" w:color="auto"/>
            </w:tcBorders>
          </w:tcPr>
          <w:p w14:paraId="544F4E02" w14:textId="77777777" w:rsidR="00D804C2" w:rsidRPr="009D75D4" w:rsidRDefault="00D804C2" w:rsidP="00DD2634">
            <w:pPr>
              <w:spacing w:line="276" w:lineRule="auto"/>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Percent</w:t>
            </w:r>
          </w:p>
        </w:tc>
      </w:tr>
      <w:tr w:rsidR="00B14A35" w14:paraId="0481BB19" w14:textId="77777777" w:rsidTr="009008DB">
        <w:tc>
          <w:tcPr>
            <w:tcW w:w="1604" w:type="pct"/>
            <w:tcBorders>
              <w:top w:val="single" w:sz="4" w:space="0" w:color="auto"/>
              <w:bottom w:val="nil"/>
            </w:tcBorders>
          </w:tcPr>
          <w:p w14:paraId="54B50958" w14:textId="316D0629" w:rsidR="001772D4" w:rsidRPr="009D75D4" w:rsidRDefault="001772D4" w:rsidP="00DD2634">
            <w:pPr>
              <w:spacing w:line="276" w:lineRule="auto"/>
              <w:ind w:left="457"/>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&lt;=500,000</w:t>
            </w:r>
          </w:p>
        </w:tc>
        <w:tc>
          <w:tcPr>
            <w:tcW w:w="1823" w:type="pct"/>
            <w:gridSpan w:val="2"/>
            <w:tcBorders>
              <w:top w:val="single" w:sz="4" w:space="0" w:color="auto"/>
              <w:bottom w:val="nil"/>
            </w:tcBorders>
          </w:tcPr>
          <w:p w14:paraId="4034630A" w14:textId="5F4210C9" w:rsidR="001772D4" w:rsidRPr="009D75D4" w:rsidRDefault="001772D4" w:rsidP="009008DB">
            <w:pPr>
              <w:spacing w:line="276" w:lineRule="auto"/>
              <w:ind w:right="1117"/>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207</w:t>
            </w:r>
          </w:p>
        </w:tc>
        <w:tc>
          <w:tcPr>
            <w:tcW w:w="1573" w:type="pct"/>
            <w:gridSpan w:val="3"/>
            <w:tcBorders>
              <w:top w:val="single" w:sz="4" w:space="0" w:color="auto"/>
              <w:bottom w:val="nil"/>
            </w:tcBorders>
          </w:tcPr>
          <w:p w14:paraId="34C8556B" w14:textId="048AC7E3" w:rsidR="001772D4" w:rsidRPr="009D75D4" w:rsidRDefault="001772D4" w:rsidP="009008DB">
            <w:pPr>
              <w:spacing w:line="276" w:lineRule="auto"/>
              <w:ind w:right="985"/>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44.04</w:t>
            </w:r>
          </w:p>
        </w:tc>
      </w:tr>
      <w:tr w:rsidR="00B14A35" w14:paraId="6B885097" w14:textId="77777777" w:rsidTr="009008DB">
        <w:tc>
          <w:tcPr>
            <w:tcW w:w="1604" w:type="pct"/>
            <w:tcBorders>
              <w:top w:val="nil"/>
              <w:bottom w:val="nil"/>
            </w:tcBorders>
          </w:tcPr>
          <w:p w14:paraId="7FF35DA8" w14:textId="3E92204C" w:rsidR="001772D4" w:rsidRPr="009D75D4" w:rsidRDefault="001772D4" w:rsidP="00DD2634">
            <w:pPr>
              <w:spacing w:line="276" w:lineRule="auto"/>
              <w:ind w:left="457"/>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500,001-1,000,000</w:t>
            </w:r>
          </w:p>
        </w:tc>
        <w:tc>
          <w:tcPr>
            <w:tcW w:w="1823" w:type="pct"/>
            <w:gridSpan w:val="2"/>
            <w:tcBorders>
              <w:top w:val="nil"/>
              <w:bottom w:val="nil"/>
            </w:tcBorders>
          </w:tcPr>
          <w:p w14:paraId="365D0359" w14:textId="6BA74D07" w:rsidR="001772D4" w:rsidRPr="009D75D4" w:rsidRDefault="001772D4" w:rsidP="009008DB">
            <w:pPr>
              <w:spacing w:line="276" w:lineRule="auto"/>
              <w:ind w:right="1117"/>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165</w:t>
            </w:r>
          </w:p>
        </w:tc>
        <w:tc>
          <w:tcPr>
            <w:tcW w:w="1573" w:type="pct"/>
            <w:gridSpan w:val="3"/>
            <w:tcBorders>
              <w:top w:val="nil"/>
              <w:bottom w:val="nil"/>
            </w:tcBorders>
          </w:tcPr>
          <w:p w14:paraId="295636FD" w14:textId="0C42F544" w:rsidR="001772D4" w:rsidRPr="009D75D4" w:rsidRDefault="001772D4" w:rsidP="009008DB">
            <w:pPr>
              <w:spacing w:line="276" w:lineRule="auto"/>
              <w:ind w:right="985"/>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35.11</w:t>
            </w:r>
          </w:p>
        </w:tc>
      </w:tr>
      <w:tr w:rsidR="00B14A35" w14:paraId="62661ED6" w14:textId="77777777" w:rsidTr="009008DB">
        <w:tc>
          <w:tcPr>
            <w:tcW w:w="1604" w:type="pct"/>
            <w:tcBorders>
              <w:top w:val="nil"/>
              <w:bottom w:val="nil"/>
            </w:tcBorders>
          </w:tcPr>
          <w:p w14:paraId="67889209" w14:textId="06EDCF71" w:rsidR="001772D4" w:rsidRPr="009D75D4" w:rsidRDefault="001772D4" w:rsidP="00DD2634">
            <w:pPr>
              <w:spacing w:line="276" w:lineRule="auto"/>
              <w:ind w:left="457"/>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1,000,001-1,500,000</w:t>
            </w:r>
          </w:p>
        </w:tc>
        <w:tc>
          <w:tcPr>
            <w:tcW w:w="1823" w:type="pct"/>
            <w:gridSpan w:val="2"/>
            <w:tcBorders>
              <w:top w:val="nil"/>
              <w:bottom w:val="nil"/>
            </w:tcBorders>
          </w:tcPr>
          <w:p w14:paraId="7D5753BC" w14:textId="31B2F2C4" w:rsidR="001772D4" w:rsidRPr="009D75D4" w:rsidRDefault="001772D4" w:rsidP="009008DB">
            <w:pPr>
              <w:spacing w:line="276" w:lineRule="auto"/>
              <w:ind w:right="1117"/>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43</w:t>
            </w:r>
          </w:p>
        </w:tc>
        <w:tc>
          <w:tcPr>
            <w:tcW w:w="1573" w:type="pct"/>
            <w:gridSpan w:val="3"/>
            <w:tcBorders>
              <w:top w:val="nil"/>
              <w:bottom w:val="nil"/>
            </w:tcBorders>
          </w:tcPr>
          <w:p w14:paraId="1A3445CA" w14:textId="39180DC3" w:rsidR="001772D4" w:rsidRPr="009D75D4" w:rsidRDefault="001772D4" w:rsidP="009008DB">
            <w:pPr>
              <w:spacing w:line="276" w:lineRule="auto"/>
              <w:ind w:right="985"/>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9.15</w:t>
            </w:r>
          </w:p>
        </w:tc>
      </w:tr>
      <w:tr w:rsidR="00B14A35" w14:paraId="0D0585A2" w14:textId="77777777" w:rsidTr="009008DB">
        <w:tc>
          <w:tcPr>
            <w:tcW w:w="1604" w:type="pct"/>
            <w:tcBorders>
              <w:top w:val="nil"/>
              <w:bottom w:val="nil"/>
            </w:tcBorders>
          </w:tcPr>
          <w:p w14:paraId="02B9EA63" w14:textId="6C3BCEA1" w:rsidR="001772D4" w:rsidRPr="009D75D4" w:rsidRDefault="001772D4" w:rsidP="00DD2634">
            <w:pPr>
              <w:spacing w:line="276" w:lineRule="auto"/>
              <w:ind w:left="457"/>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1,500,001-2,500,000</w:t>
            </w:r>
          </w:p>
        </w:tc>
        <w:tc>
          <w:tcPr>
            <w:tcW w:w="1823" w:type="pct"/>
            <w:gridSpan w:val="2"/>
            <w:tcBorders>
              <w:top w:val="nil"/>
              <w:bottom w:val="nil"/>
            </w:tcBorders>
          </w:tcPr>
          <w:p w14:paraId="316187FF" w14:textId="01BEB691" w:rsidR="001772D4" w:rsidRPr="009D75D4" w:rsidRDefault="001772D4" w:rsidP="009008DB">
            <w:pPr>
              <w:spacing w:line="276" w:lineRule="auto"/>
              <w:ind w:right="1117"/>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31</w:t>
            </w:r>
          </w:p>
        </w:tc>
        <w:tc>
          <w:tcPr>
            <w:tcW w:w="1573" w:type="pct"/>
            <w:gridSpan w:val="3"/>
            <w:tcBorders>
              <w:top w:val="nil"/>
              <w:bottom w:val="nil"/>
            </w:tcBorders>
          </w:tcPr>
          <w:p w14:paraId="05AB05AE" w14:textId="0C6E894F" w:rsidR="001772D4" w:rsidRPr="009D75D4" w:rsidRDefault="001772D4" w:rsidP="009008DB">
            <w:pPr>
              <w:spacing w:line="276" w:lineRule="auto"/>
              <w:ind w:right="985"/>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6.60</w:t>
            </w:r>
          </w:p>
        </w:tc>
      </w:tr>
      <w:tr w:rsidR="00B14A35" w14:paraId="12823589" w14:textId="77777777" w:rsidTr="009008DB">
        <w:tc>
          <w:tcPr>
            <w:tcW w:w="1604" w:type="pct"/>
            <w:tcBorders>
              <w:top w:val="nil"/>
              <w:bottom w:val="nil"/>
            </w:tcBorders>
          </w:tcPr>
          <w:p w14:paraId="27E44BC7" w14:textId="4D72F99D" w:rsidR="001772D4" w:rsidRPr="009D75D4" w:rsidRDefault="001772D4" w:rsidP="00DD2634">
            <w:pPr>
              <w:spacing w:line="276" w:lineRule="auto"/>
              <w:ind w:left="457"/>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2,500,001-4,000,000</w:t>
            </w:r>
          </w:p>
        </w:tc>
        <w:tc>
          <w:tcPr>
            <w:tcW w:w="1823" w:type="pct"/>
            <w:gridSpan w:val="2"/>
            <w:tcBorders>
              <w:top w:val="nil"/>
              <w:bottom w:val="nil"/>
            </w:tcBorders>
          </w:tcPr>
          <w:p w14:paraId="7C3BE668" w14:textId="2BBEC1A5" w:rsidR="001772D4" w:rsidRPr="009D75D4" w:rsidRDefault="001772D4" w:rsidP="009008DB">
            <w:pPr>
              <w:spacing w:line="276" w:lineRule="auto"/>
              <w:ind w:right="1117"/>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10</w:t>
            </w:r>
          </w:p>
        </w:tc>
        <w:tc>
          <w:tcPr>
            <w:tcW w:w="1573" w:type="pct"/>
            <w:gridSpan w:val="3"/>
            <w:tcBorders>
              <w:top w:val="nil"/>
              <w:bottom w:val="nil"/>
            </w:tcBorders>
          </w:tcPr>
          <w:p w14:paraId="2103312C" w14:textId="5017A4F8" w:rsidR="001772D4" w:rsidRPr="009D75D4" w:rsidRDefault="001772D4" w:rsidP="009008DB">
            <w:pPr>
              <w:spacing w:line="276" w:lineRule="auto"/>
              <w:ind w:right="985"/>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2.13</w:t>
            </w:r>
          </w:p>
        </w:tc>
      </w:tr>
      <w:tr w:rsidR="00B14A35" w14:paraId="79E82C33" w14:textId="77777777" w:rsidTr="009008DB">
        <w:tc>
          <w:tcPr>
            <w:tcW w:w="1604" w:type="pct"/>
            <w:tcBorders>
              <w:top w:val="nil"/>
              <w:bottom w:val="single" w:sz="4" w:space="0" w:color="auto"/>
            </w:tcBorders>
          </w:tcPr>
          <w:p w14:paraId="284C865D" w14:textId="76B4EB69" w:rsidR="001772D4" w:rsidRPr="009D75D4" w:rsidRDefault="001772D4" w:rsidP="00DD2634">
            <w:pPr>
              <w:spacing w:line="276" w:lineRule="auto"/>
              <w:ind w:left="457"/>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&gt;4,000,000</w:t>
            </w:r>
          </w:p>
        </w:tc>
        <w:tc>
          <w:tcPr>
            <w:tcW w:w="1823" w:type="pct"/>
            <w:gridSpan w:val="2"/>
            <w:tcBorders>
              <w:top w:val="nil"/>
              <w:bottom w:val="single" w:sz="4" w:space="0" w:color="auto"/>
            </w:tcBorders>
          </w:tcPr>
          <w:p w14:paraId="1ACB5D1A" w14:textId="1D0F6AE0" w:rsidR="001772D4" w:rsidRPr="009D75D4" w:rsidRDefault="001772D4" w:rsidP="009008DB">
            <w:pPr>
              <w:spacing w:line="276" w:lineRule="auto"/>
              <w:ind w:right="1117"/>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14</w:t>
            </w:r>
          </w:p>
        </w:tc>
        <w:tc>
          <w:tcPr>
            <w:tcW w:w="1573" w:type="pct"/>
            <w:gridSpan w:val="3"/>
            <w:tcBorders>
              <w:top w:val="nil"/>
              <w:bottom w:val="single" w:sz="4" w:space="0" w:color="auto"/>
            </w:tcBorders>
          </w:tcPr>
          <w:p w14:paraId="06BF7495" w14:textId="7383DAC7" w:rsidR="001772D4" w:rsidRPr="009D75D4" w:rsidRDefault="001772D4" w:rsidP="009008DB">
            <w:pPr>
              <w:spacing w:line="276" w:lineRule="auto"/>
              <w:ind w:right="985"/>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2.98</w:t>
            </w:r>
          </w:p>
        </w:tc>
      </w:tr>
      <w:tr w:rsidR="00B14A35" w14:paraId="5561A8C2" w14:textId="77777777" w:rsidTr="00B14A35">
        <w:tc>
          <w:tcPr>
            <w:tcW w:w="1604" w:type="pct"/>
            <w:tcBorders>
              <w:top w:val="single" w:sz="4" w:space="0" w:color="auto"/>
              <w:bottom w:val="single" w:sz="4" w:space="0" w:color="auto"/>
            </w:tcBorders>
          </w:tcPr>
          <w:p w14:paraId="18EAAB66" w14:textId="51AD5847" w:rsidR="00B14A35" w:rsidRPr="009D75D4" w:rsidRDefault="00B14A35" w:rsidP="00DD2634">
            <w:pPr>
              <w:spacing w:line="276" w:lineRule="auto"/>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Item</w:t>
            </w:r>
          </w:p>
        </w:tc>
        <w:tc>
          <w:tcPr>
            <w:tcW w:w="1066" w:type="pct"/>
            <w:tcBorders>
              <w:top w:val="single" w:sz="4" w:space="0" w:color="auto"/>
              <w:bottom w:val="single" w:sz="4" w:space="0" w:color="auto"/>
            </w:tcBorders>
          </w:tcPr>
          <w:p w14:paraId="615A5947" w14:textId="7B95C2BC" w:rsidR="00B14A35" w:rsidRPr="009D75D4" w:rsidRDefault="00B14A35" w:rsidP="00DD2634">
            <w:pPr>
              <w:spacing w:line="276" w:lineRule="auto"/>
              <w:ind w:right="-21"/>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Unit</w:t>
            </w:r>
          </w:p>
        </w:tc>
        <w:tc>
          <w:tcPr>
            <w:tcW w:w="757" w:type="pct"/>
            <w:tcBorders>
              <w:top w:val="single" w:sz="4" w:space="0" w:color="auto"/>
              <w:bottom w:val="single" w:sz="4" w:space="0" w:color="auto"/>
            </w:tcBorders>
          </w:tcPr>
          <w:p w14:paraId="7DBE342E" w14:textId="7221F35D" w:rsidR="00B14A35" w:rsidRPr="009D75D4" w:rsidRDefault="00B14A35" w:rsidP="00DD2634">
            <w:pPr>
              <w:spacing w:line="276" w:lineRule="auto"/>
              <w:ind w:right="-33"/>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Average</w:t>
            </w:r>
          </w:p>
        </w:tc>
        <w:tc>
          <w:tcPr>
            <w:tcW w:w="524" w:type="pct"/>
            <w:tcBorders>
              <w:top w:val="single" w:sz="4" w:space="0" w:color="auto"/>
              <w:bottom w:val="single" w:sz="4" w:space="0" w:color="auto"/>
            </w:tcBorders>
          </w:tcPr>
          <w:p w14:paraId="6B660E29" w14:textId="64502542" w:rsidR="00B14A35" w:rsidRPr="009D75D4" w:rsidRDefault="00B14A35" w:rsidP="00DD2634">
            <w:pPr>
              <w:spacing w:line="276" w:lineRule="auto"/>
              <w:ind w:right="-23"/>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Min.</w:t>
            </w:r>
          </w:p>
        </w:tc>
        <w:tc>
          <w:tcPr>
            <w:tcW w:w="524" w:type="pct"/>
            <w:tcBorders>
              <w:top w:val="single" w:sz="4" w:space="0" w:color="auto"/>
              <w:bottom w:val="single" w:sz="4" w:space="0" w:color="auto"/>
            </w:tcBorders>
          </w:tcPr>
          <w:p w14:paraId="453A2B79" w14:textId="67AB5E74" w:rsidR="00B14A35" w:rsidRPr="009D75D4" w:rsidRDefault="00B14A35" w:rsidP="00DD2634">
            <w:pPr>
              <w:spacing w:line="276" w:lineRule="auto"/>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Max.</w:t>
            </w:r>
          </w:p>
        </w:tc>
        <w:tc>
          <w:tcPr>
            <w:tcW w:w="525" w:type="pct"/>
            <w:tcBorders>
              <w:top w:val="single" w:sz="4" w:space="0" w:color="auto"/>
              <w:bottom w:val="single" w:sz="4" w:space="0" w:color="auto"/>
            </w:tcBorders>
          </w:tcPr>
          <w:p w14:paraId="04E4B789" w14:textId="0F0BCFB2" w:rsidR="00B14A35" w:rsidRPr="009D75D4" w:rsidRDefault="00B14A35" w:rsidP="00DD2634">
            <w:pPr>
              <w:spacing w:line="276" w:lineRule="auto"/>
              <w:ind w:right="-11"/>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SD</w:t>
            </w:r>
          </w:p>
        </w:tc>
      </w:tr>
      <w:tr w:rsidR="00B14A35" w14:paraId="71ABFB6A" w14:textId="77777777" w:rsidTr="00B14A35">
        <w:tc>
          <w:tcPr>
            <w:tcW w:w="1604" w:type="pct"/>
            <w:tcBorders>
              <w:top w:val="single" w:sz="4" w:space="0" w:color="auto"/>
              <w:bottom w:val="single" w:sz="4" w:space="0" w:color="auto"/>
            </w:tcBorders>
          </w:tcPr>
          <w:p w14:paraId="4BB602B6" w14:textId="2C041F21" w:rsidR="00B14A35" w:rsidRPr="009D75D4" w:rsidRDefault="00B14A35" w:rsidP="00DD2634">
            <w:pPr>
              <w:spacing w:line="276" w:lineRule="auto"/>
              <w:ind w:left="457"/>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Income/month</w:t>
            </w:r>
          </w:p>
        </w:tc>
        <w:tc>
          <w:tcPr>
            <w:tcW w:w="1066" w:type="pct"/>
            <w:tcBorders>
              <w:top w:val="single" w:sz="4" w:space="0" w:color="auto"/>
              <w:bottom w:val="single" w:sz="4" w:space="0" w:color="auto"/>
            </w:tcBorders>
          </w:tcPr>
          <w:p w14:paraId="77BEA8F1" w14:textId="529F7E59" w:rsidR="00B14A35" w:rsidRPr="009D75D4" w:rsidRDefault="00046BD2" w:rsidP="00DD2634">
            <w:pPr>
              <w:spacing w:line="276" w:lineRule="auto"/>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t</w:t>
            </w:r>
            <w:r w:rsidR="00B14A35" w:rsidRPr="009D75D4">
              <w:rPr>
                <w:rFonts w:ascii="Arial" w:eastAsia="Calibri" w:hAnsi="Arial" w:cs="Arial"/>
                <w:kern w:val="0"/>
                <w:sz w:val="20"/>
                <w:szCs w:val="20"/>
                <w14:ligatures w14:val="none"/>
              </w:rPr>
              <w:t>housand</w:t>
            </w:r>
            <w:r w:rsidRPr="009D75D4">
              <w:rPr>
                <w:rFonts w:ascii="Arial" w:eastAsia="Calibri" w:hAnsi="Arial" w:cs="Arial"/>
                <w:kern w:val="0"/>
                <w:sz w:val="20"/>
                <w:szCs w:val="20"/>
                <w14:ligatures w14:val="none"/>
              </w:rPr>
              <w:t xml:space="preserve"> </w:t>
            </w:r>
            <w:r w:rsidR="00B14A35" w:rsidRPr="009D75D4">
              <w:rPr>
                <w:rFonts w:ascii="Arial" w:eastAsia="Calibri" w:hAnsi="Arial" w:cs="Arial"/>
                <w:kern w:val="0"/>
                <w:sz w:val="20"/>
                <w:szCs w:val="20"/>
                <w14:ligatures w14:val="none"/>
              </w:rPr>
              <w:t>MMK</w:t>
            </w:r>
          </w:p>
        </w:tc>
        <w:tc>
          <w:tcPr>
            <w:tcW w:w="757" w:type="pct"/>
            <w:tcBorders>
              <w:top w:val="single" w:sz="4" w:space="0" w:color="auto"/>
              <w:bottom w:val="single" w:sz="4" w:space="0" w:color="auto"/>
            </w:tcBorders>
          </w:tcPr>
          <w:p w14:paraId="2092E62C" w14:textId="09E19178" w:rsidR="00B14A35" w:rsidRPr="009D75D4" w:rsidRDefault="00B14A35" w:rsidP="00DD2634">
            <w:pPr>
              <w:spacing w:line="276" w:lineRule="auto"/>
              <w:jc w:val="center"/>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1,040</w:t>
            </w:r>
          </w:p>
        </w:tc>
        <w:tc>
          <w:tcPr>
            <w:tcW w:w="524" w:type="pct"/>
            <w:tcBorders>
              <w:top w:val="single" w:sz="4" w:space="0" w:color="auto"/>
              <w:bottom w:val="single" w:sz="4" w:space="0" w:color="auto"/>
            </w:tcBorders>
          </w:tcPr>
          <w:p w14:paraId="0103E8CA" w14:textId="2D96612B" w:rsidR="00B14A35" w:rsidRPr="009D75D4" w:rsidRDefault="00B14A35" w:rsidP="00DD2634">
            <w:pPr>
              <w:spacing w:line="276" w:lineRule="auto"/>
              <w:jc w:val="center"/>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300</w:t>
            </w:r>
          </w:p>
        </w:tc>
        <w:tc>
          <w:tcPr>
            <w:tcW w:w="524" w:type="pct"/>
            <w:tcBorders>
              <w:top w:val="single" w:sz="4" w:space="0" w:color="auto"/>
              <w:bottom w:val="single" w:sz="4" w:space="0" w:color="auto"/>
            </w:tcBorders>
          </w:tcPr>
          <w:p w14:paraId="0E064C7A" w14:textId="7D1A676A" w:rsidR="00B14A35" w:rsidRPr="009D75D4" w:rsidRDefault="00B14A35" w:rsidP="00DD2634">
            <w:pPr>
              <w:spacing w:line="276" w:lineRule="auto"/>
              <w:jc w:val="center"/>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5,500</w:t>
            </w:r>
          </w:p>
        </w:tc>
        <w:tc>
          <w:tcPr>
            <w:tcW w:w="525" w:type="pct"/>
            <w:tcBorders>
              <w:top w:val="single" w:sz="4" w:space="0" w:color="auto"/>
              <w:bottom w:val="single" w:sz="4" w:space="0" w:color="auto"/>
            </w:tcBorders>
          </w:tcPr>
          <w:p w14:paraId="3E94E899" w14:textId="78FE4192" w:rsidR="00B14A35" w:rsidRPr="009D75D4" w:rsidRDefault="00B14A35" w:rsidP="00DD2634">
            <w:pPr>
              <w:spacing w:line="276" w:lineRule="auto"/>
              <w:jc w:val="center"/>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951</w:t>
            </w:r>
          </w:p>
        </w:tc>
      </w:tr>
    </w:tbl>
    <w:p w14:paraId="02FBE41D" w14:textId="7B1F13FA" w:rsidR="009D75D4" w:rsidRDefault="009D75D4" w:rsidP="0063586B">
      <w:pPr>
        <w:spacing w:before="120" w:after="120" w:line="276" w:lineRule="auto"/>
        <w:jc w:val="both"/>
        <w:rPr>
          <w:rFonts w:ascii="Arial" w:eastAsia="Times New Roman" w:hAnsi="Arial" w:cs="Arial"/>
          <w:b/>
          <w:kern w:val="0"/>
          <w:sz w:val="22"/>
          <w:szCs w:val="20"/>
          <w14:ligatures w14:val="none"/>
        </w:rPr>
      </w:pPr>
      <w:r w:rsidRPr="00172DA9">
        <w:rPr>
          <w:rFonts w:ascii="Arial" w:eastAsia="Times New Roman" w:hAnsi="Arial" w:cs="Arial"/>
          <w:kern w:val="0"/>
          <w:sz w:val="20"/>
          <w:szCs w:val="20"/>
          <w14:ligatures w14:val="none"/>
        </w:rPr>
        <w:t>Source: Own survey, 2024</w:t>
      </w:r>
    </w:p>
    <w:p w14:paraId="0DEC7172" w14:textId="4F838115" w:rsidR="0063586B" w:rsidRPr="009D75D4" w:rsidRDefault="009D75D4" w:rsidP="0063586B">
      <w:pPr>
        <w:spacing w:before="120" w:after="120" w:line="276" w:lineRule="auto"/>
        <w:jc w:val="both"/>
        <w:rPr>
          <w:rFonts w:ascii="Arial" w:eastAsia="Times New Roman" w:hAnsi="Arial" w:cs="Arial"/>
          <w:b/>
          <w:kern w:val="0"/>
          <w:sz w:val="22"/>
          <w:szCs w:val="20"/>
          <w14:ligatures w14:val="none"/>
        </w:rPr>
      </w:pPr>
      <w:r>
        <w:rPr>
          <w:rFonts w:ascii="Arial" w:eastAsia="Times New Roman" w:hAnsi="Arial" w:cs="Arial"/>
          <w:b/>
          <w:kern w:val="0"/>
          <w:sz w:val="22"/>
          <w:szCs w:val="20"/>
          <w14:ligatures w14:val="none"/>
        </w:rPr>
        <w:t>3.5</w:t>
      </w:r>
      <w:r>
        <w:rPr>
          <w:rFonts w:ascii="Arial" w:eastAsia="Times New Roman" w:hAnsi="Arial" w:cs="Arial"/>
          <w:b/>
          <w:kern w:val="0"/>
          <w:sz w:val="22"/>
          <w:szCs w:val="20"/>
          <w14:ligatures w14:val="none"/>
        </w:rPr>
        <w:tab/>
      </w:r>
      <w:r w:rsidR="00151D95" w:rsidRPr="009D75D4">
        <w:rPr>
          <w:rFonts w:ascii="Arial" w:eastAsia="Times New Roman" w:hAnsi="Arial" w:cs="Arial"/>
          <w:b/>
          <w:kern w:val="0"/>
          <w:sz w:val="22"/>
          <w:szCs w:val="20"/>
          <w14:ligatures w14:val="none"/>
        </w:rPr>
        <w:t xml:space="preserve">Income </w:t>
      </w:r>
      <w:r w:rsidR="00357E39" w:rsidRPr="009D75D4">
        <w:rPr>
          <w:rFonts w:ascii="Arial" w:eastAsia="Times New Roman" w:hAnsi="Arial" w:cs="Arial"/>
          <w:b/>
          <w:kern w:val="0"/>
          <w:sz w:val="22"/>
          <w:szCs w:val="20"/>
          <w14:ligatures w14:val="none"/>
        </w:rPr>
        <w:t>sources</w:t>
      </w:r>
      <w:r w:rsidR="00151D95" w:rsidRPr="009D75D4">
        <w:rPr>
          <w:rFonts w:ascii="Arial" w:eastAsia="Times New Roman" w:hAnsi="Arial" w:cs="Arial"/>
          <w:b/>
          <w:kern w:val="0"/>
          <w:sz w:val="22"/>
          <w:szCs w:val="20"/>
          <w14:ligatures w14:val="none"/>
        </w:rPr>
        <w:t xml:space="preserve"> of sample students</w:t>
      </w:r>
    </w:p>
    <w:p w14:paraId="78516C69" w14:textId="36469961" w:rsidR="0032371F" w:rsidRPr="009D75D4" w:rsidRDefault="00B25608" w:rsidP="009D75D4">
      <w:pPr>
        <w:spacing w:before="100" w:after="120" w:line="360" w:lineRule="auto"/>
        <w:jc w:val="both"/>
        <w:rPr>
          <w:rFonts w:ascii="Arial" w:eastAsia="Times New Roman" w:hAnsi="Arial" w:cs="Arial"/>
          <w:kern w:val="0"/>
          <w:sz w:val="20"/>
          <w:szCs w:val="20"/>
          <w14:ligatures w14:val="none"/>
        </w:rPr>
      </w:pPr>
      <w:r w:rsidRPr="009D75D4">
        <w:rPr>
          <w:rFonts w:ascii="Arial" w:eastAsia="Times New Roman" w:hAnsi="Arial" w:cs="Arial"/>
          <w:kern w:val="0"/>
          <w:sz w:val="20"/>
          <w:szCs w:val="20"/>
          <w14:ligatures w14:val="none"/>
        </w:rPr>
        <w:t xml:space="preserve">Income sources of students </w:t>
      </w:r>
      <w:r w:rsidR="00151D95" w:rsidRPr="009D75D4">
        <w:rPr>
          <w:rFonts w:ascii="Arial" w:eastAsia="Times New Roman" w:hAnsi="Arial" w:cs="Arial"/>
          <w:kern w:val="0"/>
          <w:sz w:val="20"/>
          <w:szCs w:val="20"/>
          <w14:ligatures w14:val="none"/>
        </w:rPr>
        <w:t xml:space="preserve">are critical in shaping their educational journey, mental health, and future career prospects. Concerning sources of income, Table 5 described </w:t>
      </w:r>
      <w:r w:rsidR="000873C5" w:rsidRPr="009D75D4">
        <w:rPr>
          <w:rFonts w:ascii="Arial" w:eastAsia="Times New Roman" w:hAnsi="Arial" w:cs="Arial"/>
          <w:kern w:val="0"/>
          <w:sz w:val="20"/>
          <w:szCs w:val="20"/>
          <w14:ligatures w14:val="none"/>
        </w:rPr>
        <w:t>84.68%</w:t>
      </w:r>
      <w:r w:rsidR="00710A21" w:rsidRPr="009D75D4">
        <w:rPr>
          <w:rFonts w:ascii="Arial" w:eastAsia="Times New Roman" w:hAnsi="Arial" w:cs="Arial"/>
          <w:kern w:val="0"/>
          <w:sz w:val="20"/>
          <w:szCs w:val="20"/>
          <w14:ligatures w14:val="none"/>
        </w:rPr>
        <w:t xml:space="preserve"> of students </w:t>
      </w:r>
      <w:r w:rsidR="000873C5" w:rsidRPr="009D75D4">
        <w:rPr>
          <w:rFonts w:ascii="Arial" w:eastAsia="Times New Roman" w:hAnsi="Arial" w:cs="Arial"/>
          <w:kern w:val="0"/>
          <w:sz w:val="20"/>
          <w:szCs w:val="20"/>
          <w14:ligatures w14:val="none"/>
        </w:rPr>
        <w:t xml:space="preserve">depended on parental allowances as their principal source of financial assistance. </w:t>
      </w:r>
      <w:r w:rsidR="00710A21" w:rsidRPr="009D75D4">
        <w:rPr>
          <w:rFonts w:ascii="Arial" w:eastAsia="Times New Roman" w:hAnsi="Arial" w:cs="Arial"/>
          <w:kern w:val="0"/>
          <w:sz w:val="20"/>
          <w:szCs w:val="20"/>
          <w14:ligatures w14:val="none"/>
        </w:rPr>
        <w:t>31.49%</w:t>
      </w:r>
      <w:r w:rsidR="000873C5" w:rsidRPr="009D75D4">
        <w:rPr>
          <w:rFonts w:ascii="Arial" w:eastAsia="Times New Roman" w:hAnsi="Arial" w:cs="Arial"/>
          <w:kern w:val="0"/>
          <w:sz w:val="20"/>
          <w:szCs w:val="20"/>
          <w14:ligatures w14:val="none"/>
        </w:rPr>
        <w:t xml:space="preserve"> of students indicated earning a wage and obtaining different kinds of allowance (25.32%). Only 5.96% of students stated that they got a scholarship, while 3.62%</w:t>
      </w:r>
      <w:r w:rsidR="00710A21" w:rsidRPr="009D75D4">
        <w:rPr>
          <w:rFonts w:ascii="Arial" w:eastAsia="Times New Roman" w:hAnsi="Arial" w:cs="Arial"/>
          <w:kern w:val="0"/>
          <w:sz w:val="20"/>
          <w:szCs w:val="20"/>
          <w14:ligatures w14:val="none"/>
        </w:rPr>
        <w:t xml:space="preserve"> of students</w:t>
      </w:r>
      <w:r w:rsidR="000873C5" w:rsidRPr="009D75D4">
        <w:rPr>
          <w:rFonts w:ascii="Arial" w:eastAsia="Times New Roman" w:hAnsi="Arial" w:cs="Arial"/>
          <w:kern w:val="0"/>
          <w:sz w:val="20"/>
          <w:szCs w:val="20"/>
          <w14:ligatures w14:val="none"/>
        </w:rPr>
        <w:t xml:space="preserve"> received a stipend.</w:t>
      </w:r>
      <w:r w:rsidR="000332FA" w:rsidRPr="009D75D4">
        <w:rPr>
          <w:rFonts w:ascii="Arial" w:eastAsia="Times New Roman" w:hAnsi="Arial" w:cs="Arial"/>
          <w:kern w:val="0"/>
          <w:sz w:val="20"/>
          <w:szCs w:val="20"/>
          <w14:ligatures w14:val="none"/>
        </w:rPr>
        <w:t xml:space="preserve"> This is supported by </w:t>
      </w:r>
      <w:proofErr w:type="spellStart"/>
      <w:r w:rsidR="00480EA9" w:rsidRPr="009D75D4">
        <w:rPr>
          <w:rFonts w:ascii="Arial" w:eastAsia="Times New Roman" w:hAnsi="Arial" w:cs="Arial"/>
          <w:kern w:val="0"/>
          <w:sz w:val="20"/>
          <w:szCs w:val="20"/>
          <w14:ligatures w14:val="none"/>
        </w:rPr>
        <w:t>Roksa</w:t>
      </w:r>
      <w:proofErr w:type="spellEnd"/>
      <w:r w:rsidR="00480EA9" w:rsidRPr="009D75D4">
        <w:rPr>
          <w:rFonts w:ascii="Arial" w:eastAsia="Times New Roman" w:hAnsi="Arial" w:cs="Arial"/>
          <w:kern w:val="0"/>
          <w:sz w:val="20"/>
          <w:szCs w:val="20"/>
          <w14:ligatures w14:val="none"/>
        </w:rPr>
        <w:t xml:space="preserve"> and Kinsley</w:t>
      </w:r>
      <w:r w:rsidR="000332FA" w:rsidRPr="009D75D4">
        <w:rPr>
          <w:rFonts w:ascii="Arial" w:eastAsia="Times New Roman" w:hAnsi="Arial" w:cs="Arial"/>
          <w:kern w:val="0"/>
          <w:sz w:val="20"/>
          <w:szCs w:val="20"/>
          <w14:ligatures w14:val="none"/>
        </w:rPr>
        <w:t xml:space="preserve"> (2022), </w:t>
      </w:r>
      <w:r w:rsidR="00480EA9" w:rsidRPr="009D75D4">
        <w:rPr>
          <w:rFonts w:ascii="Arial" w:eastAsia="Times New Roman" w:hAnsi="Arial" w:cs="Arial"/>
          <w:kern w:val="0"/>
          <w:sz w:val="20"/>
          <w:szCs w:val="20"/>
          <w14:ligatures w14:val="none"/>
        </w:rPr>
        <w:t xml:space="preserve">who stated that </w:t>
      </w:r>
      <w:r w:rsidR="000332FA" w:rsidRPr="009D75D4">
        <w:rPr>
          <w:rFonts w:ascii="Arial" w:eastAsia="Times New Roman" w:hAnsi="Arial" w:cs="Arial"/>
          <w:kern w:val="0"/>
          <w:sz w:val="20"/>
          <w:szCs w:val="20"/>
          <w14:ligatures w14:val="none"/>
        </w:rPr>
        <w:t>many students rely entirely on their families due to the lack of students’ employment programs and financial aid mechanisms.</w:t>
      </w:r>
    </w:p>
    <w:p w14:paraId="4D9F133A" w14:textId="6EECAD51" w:rsidR="0032371F" w:rsidRPr="009D75D4" w:rsidRDefault="0032371F" w:rsidP="0032371F">
      <w:pPr>
        <w:spacing w:before="80" w:after="100" w:line="276" w:lineRule="auto"/>
        <w:ind w:left="811" w:hanging="811"/>
        <w:jc w:val="both"/>
        <w:rPr>
          <w:rFonts w:ascii="Arial" w:eastAsia="Times New Roman" w:hAnsi="Arial" w:cs="Arial"/>
          <w:kern w:val="0"/>
          <w:sz w:val="20"/>
          <w:szCs w:val="20"/>
          <w14:ligatures w14:val="none"/>
        </w:rPr>
      </w:pPr>
      <w:r w:rsidRPr="009D75D4">
        <w:rPr>
          <w:rFonts w:ascii="Arial" w:eastAsia="Times New Roman" w:hAnsi="Arial" w:cs="Arial"/>
          <w:kern w:val="0"/>
          <w:sz w:val="20"/>
          <w:szCs w:val="20"/>
          <w14:ligatures w14:val="none"/>
        </w:rPr>
        <w:t xml:space="preserve">Table </w:t>
      </w:r>
      <w:r w:rsidRPr="009D75D4">
        <w:rPr>
          <w:rFonts w:ascii="Arial" w:eastAsia="Times New Roman" w:hAnsi="Arial" w:cs="Arial"/>
          <w:kern w:val="0"/>
          <w:sz w:val="20"/>
          <w:szCs w:val="20"/>
          <w14:ligatures w14:val="none"/>
        </w:rPr>
        <w:fldChar w:fldCharType="begin"/>
      </w:r>
      <w:r w:rsidRPr="009D75D4">
        <w:rPr>
          <w:rFonts w:ascii="Arial" w:eastAsia="Times New Roman" w:hAnsi="Arial" w:cs="Arial"/>
          <w:kern w:val="0"/>
          <w:sz w:val="20"/>
          <w:szCs w:val="20"/>
          <w14:ligatures w14:val="none"/>
        </w:rPr>
        <w:instrText xml:space="preserve"> SEQ Table \* ARABIC </w:instrText>
      </w:r>
      <w:r w:rsidRPr="009D75D4">
        <w:rPr>
          <w:rFonts w:ascii="Arial" w:eastAsia="Times New Roman" w:hAnsi="Arial" w:cs="Arial"/>
          <w:kern w:val="0"/>
          <w:sz w:val="20"/>
          <w:szCs w:val="20"/>
          <w14:ligatures w14:val="none"/>
        </w:rPr>
        <w:fldChar w:fldCharType="separate"/>
      </w:r>
      <w:r w:rsidR="00AE6A7B" w:rsidRPr="009D75D4">
        <w:rPr>
          <w:rFonts w:ascii="Arial" w:eastAsia="Times New Roman" w:hAnsi="Arial" w:cs="Arial"/>
          <w:kern w:val="0"/>
          <w:sz w:val="20"/>
          <w:szCs w:val="20"/>
          <w14:ligatures w14:val="none"/>
        </w:rPr>
        <w:t>5</w:t>
      </w:r>
      <w:r w:rsidRPr="009D75D4">
        <w:rPr>
          <w:rFonts w:ascii="Arial" w:eastAsia="Times New Roman" w:hAnsi="Arial" w:cs="Arial"/>
          <w:kern w:val="0"/>
          <w:sz w:val="20"/>
          <w:szCs w:val="20"/>
          <w14:ligatures w14:val="none"/>
        </w:rPr>
        <w:fldChar w:fldCharType="end"/>
      </w:r>
      <w:r w:rsidRPr="009D75D4">
        <w:rPr>
          <w:rFonts w:ascii="Arial" w:eastAsia="Times New Roman" w:hAnsi="Arial" w:cs="Arial"/>
          <w:kern w:val="0"/>
          <w:sz w:val="20"/>
          <w:szCs w:val="20"/>
          <w14:ligatures w14:val="none"/>
        </w:rPr>
        <w:t xml:space="preserve">. </w:t>
      </w:r>
      <w:r w:rsidR="00357E39" w:rsidRPr="009D75D4">
        <w:rPr>
          <w:rFonts w:ascii="Arial" w:eastAsia="Times New Roman" w:hAnsi="Arial" w:cs="Arial"/>
          <w:kern w:val="0"/>
          <w:sz w:val="20"/>
          <w:szCs w:val="20"/>
          <w14:ligatures w14:val="none"/>
        </w:rPr>
        <w:t>Income sources of sample students</w:t>
      </w:r>
      <w:r w:rsidRPr="009D75D4">
        <w:rPr>
          <w:rFonts w:ascii="Arial" w:eastAsia="Times New Roman" w:hAnsi="Arial" w:cs="Arial"/>
          <w:kern w:val="0"/>
          <w:sz w:val="20"/>
          <w:szCs w:val="20"/>
          <w14:ligatures w14:val="none"/>
        </w:rPr>
        <w:t xml:space="preserve"> (n=470)</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3"/>
        <w:gridCol w:w="2280"/>
        <w:gridCol w:w="2563"/>
      </w:tblGrid>
      <w:tr w:rsidR="0032371F" w14:paraId="61C2C338" w14:textId="77777777" w:rsidTr="005A2B97">
        <w:trPr>
          <w:trHeight w:val="340"/>
        </w:trPr>
        <w:tc>
          <w:tcPr>
            <w:tcW w:w="2317" w:type="pct"/>
            <w:tcBorders>
              <w:top w:val="single" w:sz="4" w:space="0" w:color="auto"/>
              <w:bottom w:val="single" w:sz="4" w:space="0" w:color="auto"/>
            </w:tcBorders>
          </w:tcPr>
          <w:p w14:paraId="50B8D47B" w14:textId="401F5886" w:rsidR="0032371F" w:rsidRPr="009D75D4" w:rsidRDefault="0032371F" w:rsidP="00DD2634">
            <w:pPr>
              <w:spacing w:line="276" w:lineRule="auto"/>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Source</w:t>
            </w:r>
          </w:p>
        </w:tc>
        <w:tc>
          <w:tcPr>
            <w:tcW w:w="1263" w:type="pct"/>
            <w:tcBorders>
              <w:top w:val="single" w:sz="4" w:space="0" w:color="auto"/>
              <w:bottom w:val="single" w:sz="4" w:space="0" w:color="auto"/>
            </w:tcBorders>
          </w:tcPr>
          <w:p w14:paraId="5DBC604D" w14:textId="77777777" w:rsidR="0032371F" w:rsidRPr="009D75D4" w:rsidRDefault="0032371F" w:rsidP="00DD2634">
            <w:pPr>
              <w:spacing w:line="276" w:lineRule="auto"/>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Frequency</w:t>
            </w:r>
          </w:p>
        </w:tc>
        <w:tc>
          <w:tcPr>
            <w:tcW w:w="1420" w:type="pct"/>
            <w:tcBorders>
              <w:top w:val="single" w:sz="4" w:space="0" w:color="auto"/>
              <w:bottom w:val="single" w:sz="4" w:space="0" w:color="auto"/>
            </w:tcBorders>
          </w:tcPr>
          <w:p w14:paraId="1EC76036" w14:textId="77777777" w:rsidR="0032371F" w:rsidRPr="009D75D4" w:rsidRDefault="0032371F" w:rsidP="00DD2634">
            <w:pPr>
              <w:spacing w:line="276" w:lineRule="auto"/>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Percent</w:t>
            </w:r>
          </w:p>
        </w:tc>
      </w:tr>
      <w:tr w:rsidR="00837716" w14:paraId="48678A1C" w14:textId="77777777" w:rsidTr="005A2B97">
        <w:trPr>
          <w:trHeight w:val="340"/>
        </w:trPr>
        <w:tc>
          <w:tcPr>
            <w:tcW w:w="2317" w:type="pct"/>
            <w:tcBorders>
              <w:top w:val="single" w:sz="4" w:space="0" w:color="auto"/>
              <w:bottom w:val="nil"/>
            </w:tcBorders>
          </w:tcPr>
          <w:p w14:paraId="07C81FC0" w14:textId="5D43303A" w:rsidR="00837716" w:rsidRPr="009D75D4" w:rsidRDefault="00837716" w:rsidP="00DD2634">
            <w:pPr>
              <w:spacing w:line="276" w:lineRule="auto"/>
              <w:ind w:left="457"/>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Parental allowance</w:t>
            </w:r>
          </w:p>
        </w:tc>
        <w:tc>
          <w:tcPr>
            <w:tcW w:w="1263" w:type="pct"/>
            <w:tcBorders>
              <w:top w:val="single" w:sz="4" w:space="0" w:color="auto"/>
              <w:bottom w:val="nil"/>
            </w:tcBorders>
          </w:tcPr>
          <w:p w14:paraId="2376CB83" w14:textId="642C8AB2" w:rsidR="00837716" w:rsidRPr="009D75D4" w:rsidRDefault="00837716" w:rsidP="009008DB">
            <w:pPr>
              <w:spacing w:line="276" w:lineRule="auto"/>
              <w:ind w:right="541"/>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398</w:t>
            </w:r>
          </w:p>
        </w:tc>
        <w:tc>
          <w:tcPr>
            <w:tcW w:w="1420" w:type="pct"/>
            <w:tcBorders>
              <w:top w:val="single" w:sz="4" w:space="0" w:color="auto"/>
              <w:bottom w:val="nil"/>
            </w:tcBorders>
          </w:tcPr>
          <w:p w14:paraId="1F6A345D" w14:textId="1E8126C0" w:rsidR="00837716" w:rsidRPr="009D75D4" w:rsidRDefault="00837716" w:rsidP="009008DB">
            <w:pPr>
              <w:spacing w:line="276" w:lineRule="auto"/>
              <w:ind w:right="843"/>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84.68</w:t>
            </w:r>
          </w:p>
        </w:tc>
      </w:tr>
      <w:tr w:rsidR="00837716" w14:paraId="3205A96C" w14:textId="77777777" w:rsidTr="005A2B97">
        <w:trPr>
          <w:trHeight w:val="340"/>
        </w:trPr>
        <w:tc>
          <w:tcPr>
            <w:tcW w:w="2317" w:type="pct"/>
            <w:tcBorders>
              <w:top w:val="nil"/>
              <w:bottom w:val="nil"/>
            </w:tcBorders>
          </w:tcPr>
          <w:p w14:paraId="472A2219" w14:textId="0588A87D" w:rsidR="00837716" w:rsidRPr="009D75D4" w:rsidRDefault="00837716" w:rsidP="00DD2634">
            <w:pPr>
              <w:spacing w:line="276" w:lineRule="auto"/>
              <w:ind w:left="457"/>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Salary</w:t>
            </w:r>
          </w:p>
        </w:tc>
        <w:tc>
          <w:tcPr>
            <w:tcW w:w="1263" w:type="pct"/>
            <w:tcBorders>
              <w:top w:val="nil"/>
              <w:bottom w:val="nil"/>
            </w:tcBorders>
          </w:tcPr>
          <w:p w14:paraId="366AEF53" w14:textId="6519BA09" w:rsidR="00837716" w:rsidRPr="009D75D4" w:rsidRDefault="00837716" w:rsidP="009008DB">
            <w:pPr>
              <w:spacing w:line="276" w:lineRule="auto"/>
              <w:ind w:right="541"/>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148</w:t>
            </w:r>
          </w:p>
        </w:tc>
        <w:tc>
          <w:tcPr>
            <w:tcW w:w="1420" w:type="pct"/>
            <w:tcBorders>
              <w:top w:val="nil"/>
              <w:bottom w:val="nil"/>
            </w:tcBorders>
          </w:tcPr>
          <w:p w14:paraId="3F6C1F9D" w14:textId="5BB84607" w:rsidR="00837716" w:rsidRPr="009D75D4" w:rsidRDefault="00837716" w:rsidP="009008DB">
            <w:pPr>
              <w:spacing w:line="276" w:lineRule="auto"/>
              <w:ind w:right="843"/>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31.49</w:t>
            </w:r>
          </w:p>
        </w:tc>
      </w:tr>
      <w:tr w:rsidR="00837716" w14:paraId="3EDFA2CA" w14:textId="77777777" w:rsidTr="005A2B97">
        <w:trPr>
          <w:trHeight w:val="340"/>
        </w:trPr>
        <w:tc>
          <w:tcPr>
            <w:tcW w:w="2317" w:type="pct"/>
            <w:tcBorders>
              <w:top w:val="nil"/>
              <w:bottom w:val="nil"/>
            </w:tcBorders>
          </w:tcPr>
          <w:p w14:paraId="328D500B" w14:textId="59CE44DB" w:rsidR="00837716" w:rsidRPr="009D75D4" w:rsidRDefault="00837716" w:rsidP="00DD2634">
            <w:pPr>
              <w:spacing w:line="276" w:lineRule="auto"/>
              <w:ind w:left="457"/>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Other allowance</w:t>
            </w:r>
          </w:p>
        </w:tc>
        <w:tc>
          <w:tcPr>
            <w:tcW w:w="1263" w:type="pct"/>
            <w:tcBorders>
              <w:top w:val="nil"/>
              <w:bottom w:val="nil"/>
            </w:tcBorders>
          </w:tcPr>
          <w:p w14:paraId="7244753C" w14:textId="4ED10D34" w:rsidR="00837716" w:rsidRPr="009D75D4" w:rsidRDefault="00837716" w:rsidP="009008DB">
            <w:pPr>
              <w:spacing w:line="276" w:lineRule="auto"/>
              <w:ind w:right="541"/>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119</w:t>
            </w:r>
          </w:p>
        </w:tc>
        <w:tc>
          <w:tcPr>
            <w:tcW w:w="1420" w:type="pct"/>
            <w:tcBorders>
              <w:top w:val="nil"/>
              <w:bottom w:val="nil"/>
            </w:tcBorders>
          </w:tcPr>
          <w:p w14:paraId="47526453" w14:textId="47634FD0" w:rsidR="00837716" w:rsidRPr="009D75D4" w:rsidRDefault="00837716" w:rsidP="009008DB">
            <w:pPr>
              <w:spacing w:line="276" w:lineRule="auto"/>
              <w:ind w:right="843"/>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25.32</w:t>
            </w:r>
          </w:p>
        </w:tc>
      </w:tr>
      <w:tr w:rsidR="00837716" w14:paraId="74F4C051" w14:textId="77777777" w:rsidTr="005A2B97">
        <w:trPr>
          <w:trHeight w:val="340"/>
        </w:trPr>
        <w:tc>
          <w:tcPr>
            <w:tcW w:w="2317" w:type="pct"/>
            <w:tcBorders>
              <w:top w:val="nil"/>
              <w:bottom w:val="nil"/>
            </w:tcBorders>
          </w:tcPr>
          <w:p w14:paraId="246B54AF" w14:textId="4C54536A" w:rsidR="00837716" w:rsidRPr="009D75D4" w:rsidRDefault="00837716" w:rsidP="00DD2634">
            <w:pPr>
              <w:spacing w:line="276" w:lineRule="auto"/>
              <w:ind w:left="457"/>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Scholarship</w:t>
            </w:r>
          </w:p>
        </w:tc>
        <w:tc>
          <w:tcPr>
            <w:tcW w:w="1263" w:type="pct"/>
            <w:tcBorders>
              <w:top w:val="nil"/>
              <w:bottom w:val="nil"/>
            </w:tcBorders>
          </w:tcPr>
          <w:p w14:paraId="449C7B2A" w14:textId="6DFBDDC2" w:rsidR="00837716" w:rsidRPr="009D75D4" w:rsidRDefault="00837716" w:rsidP="009008DB">
            <w:pPr>
              <w:spacing w:line="276" w:lineRule="auto"/>
              <w:ind w:right="541"/>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28</w:t>
            </w:r>
          </w:p>
        </w:tc>
        <w:tc>
          <w:tcPr>
            <w:tcW w:w="1420" w:type="pct"/>
            <w:tcBorders>
              <w:top w:val="nil"/>
              <w:bottom w:val="nil"/>
            </w:tcBorders>
          </w:tcPr>
          <w:p w14:paraId="422DDFF0" w14:textId="47F9AD2A" w:rsidR="00837716" w:rsidRPr="009D75D4" w:rsidRDefault="00837716" w:rsidP="009008DB">
            <w:pPr>
              <w:spacing w:line="276" w:lineRule="auto"/>
              <w:ind w:right="843"/>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5.96</w:t>
            </w:r>
          </w:p>
        </w:tc>
      </w:tr>
      <w:tr w:rsidR="00837716" w14:paraId="125C79E2" w14:textId="77777777" w:rsidTr="005A2B97">
        <w:trPr>
          <w:trHeight w:val="340"/>
        </w:trPr>
        <w:tc>
          <w:tcPr>
            <w:tcW w:w="2317" w:type="pct"/>
            <w:tcBorders>
              <w:top w:val="nil"/>
              <w:bottom w:val="single" w:sz="4" w:space="0" w:color="auto"/>
            </w:tcBorders>
          </w:tcPr>
          <w:p w14:paraId="1E41507B" w14:textId="6598469B" w:rsidR="00837716" w:rsidRPr="009D75D4" w:rsidRDefault="00837716" w:rsidP="00DD2634">
            <w:pPr>
              <w:spacing w:line="276" w:lineRule="auto"/>
              <w:ind w:left="457"/>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Stipend</w:t>
            </w:r>
          </w:p>
        </w:tc>
        <w:tc>
          <w:tcPr>
            <w:tcW w:w="1263" w:type="pct"/>
            <w:tcBorders>
              <w:top w:val="nil"/>
              <w:bottom w:val="single" w:sz="4" w:space="0" w:color="auto"/>
            </w:tcBorders>
          </w:tcPr>
          <w:p w14:paraId="4AB933A8" w14:textId="65DD0CC9" w:rsidR="00837716" w:rsidRPr="009D75D4" w:rsidRDefault="00837716" w:rsidP="009008DB">
            <w:pPr>
              <w:spacing w:line="276" w:lineRule="auto"/>
              <w:ind w:right="541"/>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17</w:t>
            </w:r>
          </w:p>
        </w:tc>
        <w:tc>
          <w:tcPr>
            <w:tcW w:w="1420" w:type="pct"/>
            <w:tcBorders>
              <w:top w:val="nil"/>
              <w:bottom w:val="single" w:sz="4" w:space="0" w:color="auto"/>
            </w:tcBorders>
          </w:tcPr>
          <w:p w14:paraId="3DFF9DFB" w14:textId="5074EC7D" w:rsidR="00837716" w:rsidRPr="009D75D4" w:rsidRDefault="00837716" w:rsidP="009008DB">
            <w:pPr>
              <w:spacing w:line="276" w:lineRule="auto"/>
              <w:ind w:right="843"/>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3.62</w:t>
            </w:r>
          </w:p>
        </w:tc>
      </w:tr>
    </w:tbl>
    <w:p w14:paraId="06248948" w14:textId="11A0AD97" w:rsidR="009D75D4" w:rsidRDefault="009D75D4" w:rsidP="00357E39">
      <w:pPr>
        <w:spacing w:before="120" w:after="120" w:line="276" w:lineRule="auto"/>
        <w:jc w:val="both"/>
        <w:rPr>
          <w:rFonts w:ascii="Times New Roman" w:eastAsia="Calibri" w:hAnsi="Times New Roman" w:cs="Times New Roman"/>
          <w:b/>
        </w:rPr>
      </w:pPr>
      <w:r w:rsidRPr="00172DA9">
        <w:rPr>
          <w:rFonts w:ascii="Arial" w:eastAsia="Times New Roman" w:hAnsi="Arial" w:cs="Arial"/>
          <w:kern w:val="0"/>
          <w:sz w:val="20"/>
          <w:szCs w:val="20"/>
          <w14:ligatures w14:val="none"/>
        </w:rPr>
        <w:t>Source: Own survey, 2024</w:t>
      </w:r>
    </w:p>
    <w:p w14:paraId="007C5402" w14:textId="6B42528D" w:rsidR="00357E39" w:rsidRPr="009D75D4" w:rsidRDefault="009D75D4" w:rsidP="00357E39">
      <w:pPr>
        <w:spacing w:before="120" w:after="120" w:line="276" w:lineRule="auto"/>
        <w:jc w:val="both"/>
        <w:rPr>
          <w:rFonts w:ascii="Arial" w:eastAsia="Times New Roman" w:hAnsi="Arial" w:cs="Arial"/>
          <w:b/>
          <w:kern w:val="0"/>
          <w:sz w:val="22"/>
          <w:szCs w:val="20"/>
          <w14:ligatures w14:val="none"/>
        </w:rPr>
      </w:pPr>
      <w:r>
        <w:rPr>
          <w:rFonts w:ascii="Arial" w:eastAsia="Times New Roman" w:hAnsi="Arial" w:cs="Arial"/>
          <w:b/>
          <w:kern w:val="0"/>
          <w:sz w:val="22"/>
          <w:szCs w:val="20"/>
          <w14:ligatures w14:val="none"/>
        </w:rPr>
        <w:t>3.6</w:t>
      </w:r>
      <w:r>
        <w:rPr>
          <w:rFonts w:ascii="Arial" w:eastAsia="Times New Roman" w:hAnsi="Arial" w:cs="Arial"/>
          <w:b/>
          <w:kern w:val="0"/>
          <w:sz w:val="22"/>
          <w:szCs w:val="20"/>
          <w14:ligatures w14:val="none"/>
        </w:rPr>
        <w:tab/>
      </w:r>
      <w:r w:rsidR="00357E39" w:rsidRPr="009D75D4">
        <w:rPr>
          <w:rFonts w:ascii="Arial" w:eastAsia="Times New Roman" w:hAnsi="Arial" w:cs="Arial"/>
          <w:b/>
          <w:kern w:val="0"/>
          <w:sz w:val="22"/>
          <w:szCs w:val="20"/>
          <w14:ligatures w14:val="none"/>
        </w:rPr>
        <w:t>Income status of sample students</w:t>
      </w:r>
    </w:p>
    <w:p w14:paraId="0A802732" w14:textId="0FBC00A5" w:rsidR="00C774DF" w:rsidRPr="009D75D4" w:rsidRDefault="00D93795" w:rsidP="009D75D4">
      <w:pPr>
        <w:spacing w:before="100" w:after="120" w:line="360" w:lineRule="auto"/>
        <w:jc w:val="both"/>
        <w:rPr>
          <w:rFonts w:ascii="Arial" w:eastAsia="Times New Roman" w:hAnsi="Arial" w:cs="Arial"/>
          <w:kern w:val="0"/>
          <w:sz w:val="20"/>
          <w:szCs w:val="20"/>
          <w14:ligatures w14:val="none"/>
        </w:rPr>
      </w:pPr>
      <w:r w:rsidRPr="009D75D4">
        <w:rPr>
          <w:rFonts w:ascii="Arial" w:eastAsia="Times New Roman" w:hAnsi="Arial" w:cs="Arial"/>
          <w:kern w:val="0"/>
          <w:sz w:val="20"/>
          <w:szCs w:val="20"/>
          <w14:ligatures w14:val="none"/>
        </w:rPr>
        <w:t>One academic semester takes five months. Students' income was evaluated during these five months. 47.87% of students reported earnings between 1,000,001 MMK and 1,500,000 MMK. Additionally, 28.30% of students indicated their earnings were within the range of 1,500,001 MMK to 2,000,000 MMK. In contrast, 13.62% of students earned above 2,000,000 MMK, while 10.21% reported incomes of 1,000,000 MMK or less.</w:t>
      </w:r>
    </w:p>
    <w:p w14:paraId="6460CEC4" w14:textId="4D29F67A" w:rsidR="00C774DF" w:rsidRPr="009D75D4" w:rsidRDefault="00C774DF" w:rsidP="0045370F">
      <w:pPr>
        <w:spacing w:before="80" w:after="100" w:line="276" w:lineRule="auto"/>
        <w:ind w:left="811" w:hanging="811"/>
        <w:jc w:val="both"/>
        <w:rPr>
          <w:rFonts w:ascii="Arial" w:eastAsia="Times New Roman" w:hAnsi="Arial" w:cs="Arial"/>
          <w:kern w:val="0"/>
          <w:sz w:val="20"/>
          <w:szCs w:val="20"/>
          <w14:ligatures w14:val="none"/>
        </w:rPr>
      </w:pPr>
      <w:r w:rsidRPr="009D75D4">
        <w:rPr>
          <w:rFonts w:ascii="Arial" w:eastAsia="Times New Roman" w:hAnsi="Arial" w:cs="Arial"/>
          <w:kern w:val="0"/>
          <w:sz w:val="20"/>
          <w:szCs w:val="20"/>
          <w14:ligatures w14:val="none"/>
        </w:rPr>
        <w:lastRenderedPageBreak/>
        <w:t xml:space="preserve">Table </w:t>
      </w:r>
      <w:r w:rsidRPr="009D75D4">
        <w:rPr>
          <w:rFonts w:ascii="Arial" w:eastAsia="Times New Roman" w:hAnsi="Arial" w:cs="Arial"/>
          <w:kern w:val="0"/>
          <w:sz w:val="20"/>
          <w:szCs w:val="20"/>
          <w14:ligatures w14:val="none"/>
        </w:rPr>
        <w:fldChar w:fldCharType="begin"/>
      </w:r>
      <w:r w:rsidRPr="009D75D4">
        <w:rPr>
          <w:rFonts w:ascii="Arial" w:eastAsia="Times New Roman" w:hAnsi="Arial" w:cs="Arial"/>
          <w:kern w:val="0"/>
          <w:sz w:val="20"/>
          <w:szCs w:val="20"/>
          <w14:ligatures w14:val="none"/>
        </w:rPr>
        <w:instrText xml:space="preserve"> SEQ Table \* ARABIC </w:instrText>
      </w:r>
      <w:r w:rsidRPr="009D75D4">
        <w:rPr>
          <w:rFonts w:ascii="Arial" w:eastAsia="Times New Roman" w:hAnsi="Arial" w:cs="Arial"/>
          <w:kern w:val="0"/>
          <w:sz w:val="20"/>
          <w:szCs w:val="20"/>
          <w14:ligatures w14:val="none"/>
        </w:rPr>
        <w:fldChar w:fldCharType="separate"/>
      </w:r>
      <w:r w:rsidR="00AE6A7B" w:rsidRPr="009D75D4">
        <w:rPr>
          <w:rFonts w:ascii="Arial" w:eastAsia="Times New Roman" w:hAnsi="Arial" w:cs="Arial"/>
          <w:kern w:val="0"/>
          <w:sz w:val="20"/>
          <w:szCs w:val="20"/>
          <w14:ligatures w14:val="none"/>
        </w:rPr>
        <w:t>6</w:t>
      </w:r>
      <w:r w:rsidRPr="009D75D4">
        <w:rPr>
          <w:rFonts w:ascii="Arial" w:eastAsia="Times New Roman" w:hAnsi="Arial" w:cs="Arial"/>
          <w:kern w:val="0"/>
          <w:sz w:val="20"/>
          <w:szCs w:val="20"/>
          <w14:ligatures w14:val="none"/>
        </w:rPr>
        <w:fldChar w:fldCharType="end"/>
      </w:r>
      <w:r w:rsidRPr="009D75D4">
        <w:rPr>
          <w:rFonts w:ascii="Arial" w:eastAsia="Times New Roman" w:hAnsi="Arial" w:cs="Arial"/>
          <w:kern w:val="0"/>
          <w:sz w:val="20"/>
          <w:szCs w:val="20"/>
          <w14:ligatures w14:val="none"/>
        </w:rPr>
        <w:t xml:space="preserve">. </w:t>
      </w:r>
      <w:r w:rsidR="006C359D" w:rsidRPr="009D75D4">
        <w:rPr>
          <w:rFonts w:ascii="Arial" w:eastAsia="Times New Roman" w:hAnsi="Arial" w:cs="Arial"/>
          <w:kern w:val="0"/>
          <w:sz w:val="20"/>
          <w:szCs w:val="20"/>
          <w14:ligatures w14:val="none"/>
        </w:rPr>
        <w:t>Sample students' income per term (n=470)</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3"/>
        <w:gridCol w:w="2280"/>
        <w:gridCol w:w="2563"/>
      </w:tblGrid>
      <w:tr w:rsidR="00C774DF" w14:paraId="5CB8EBE2" w14:textId="77777777" w:rsidTr="005A2B97">
        <w:trPr>
          <w:trHeight w:val="340"/>
        </w:trPr>
        <w:tc>
          <w:tcPr>
            <w:tcW w:w="2317" w:type="pct"/>
            <w:tcBorders>
              <w:top w:val="single" w:sz="4" w:space="0" w:color="auto"/>
              <w:bottom w:val="single" w:sz="4" w:space="0" w:color="auto"/>
            </w:tcBorders>
          </w:tcPr>
          <w:p w14:paraId="4A2BBADB" w14:textId="77777777" w:rsidR="00C774DF" w:rsidRPr="009D75D4" w:rsidRDefault="00C774DF" w:rsidP="00DD2634">
            <w:pPr>
              <w:spacing w:line="276" w:lineRule="auto"/>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Income (MMK)</w:t>
            </w:r>
          </w:p>
        </w:tc>
        <w:tc>
          <w:tcPr>
            <w:tcW w:w="1263" w:type="pct"/>
            <w:tcBorders>
              <w:top w:val="single" w:sz="4" w:space="0" w:color="auto"/>
              <w:bottom w:val="single" w:sz="4" w:space="0" w:color="auto"/>
            </w:tcBorders>
          </w:tcPr>
          <w:p w14:paraId="0AAC3ED3" w14:textId="77777777" w:rsidR="00C774DF" w:rsidRPr="009D75D4" w:rsidRDefault="00C774DF" w:rsidP="00DD2634">
            <w:pPr>
              <w:spacing w:line="276" w:lineRule="auto"/>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Frequency</w:t>
            </w:r>
          </w:p>
        </w:tc>
        <w:tc>
          <w:tcPr>
            <w:tcW w:w="1420" w:type="pct"/>
            <w:tcBorders>
              <w:top w:val="single" w:sz="4" w:space="0" w:color="auto"/>
              <w:bottom w:val="single" w:sz="4" w:space="0" w:color="auto"/>
            </w:tcBorders>
          </w:tcPr>
          <w:p w14:paraId="0CF2E146" w14:textId="77777777" w:rsidR="00C774DF" w:rsidRPr="009D75D4" w:rsidRDefault="00C774DF" w:rsidP="00DD2634">
            <w:pPr>
              <w:spacing w:line="276" w:lineRule="auto"/>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Percent</w:t>
            </w:r>
          </w:p>
        </w:tc>
      </w:tr>
      <w:tr w:rsidR="00587F83" w14:paraId="79102A23" w14:textId="77777777" w:rsidTr="005A2B97">
        <w:trPr>
          <w:trHeight w:val="340"/>
        </w:trPr>
        <w:tc>
          <w:tcPr>
            <w:tcW w:w="2317" w:type="pct"/>
            <w:tcBorders>
              <w:top w:val="single" w:sz="4" w:space="0" w:color="auto"/>
              <w:bottom w:val="nil"/>
            </w:tcBorders>
          </w:tcPr>
          <w:p w14:paraId="3D3E1272" w14:textId="7B8C6D7D" w:rsidR="00587F83" w:rsidRPr="009D75D4" w:rsidRDefault="00587F83" w:rsidP="00DD2634">
            <w:pPr>
              <w:spacing w:line="276" w:lineRule="auto"/>
              <w:ind w:left="457"/>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&lt;=1,000,000</w:t>
            </w:r>
          </w:p>
        </w:tc>
        <w:tc>
          <w:tcPr>
            <w:tcW w:w="1263" w:type="pct"/>
            <w:tcBorders>
              <w:top w:val="single" w:sz="4" w:space="0" w:color="auto"/>
              <w:bottom w:val="nil"/>
            </w:tcBorders>
          </w:tcPr>
          <w:p w14:paraId="115674FC" w14:textId="474E8F96" w:rsidR="00587F83" w:rsidRPr="009D75D4" w:rsidRDefault="00587F83" w:rsidP="007D31A2">
            <w:pPr>
              <w:spacing w:line="276" w:lineRule="auto"/>
              <w:ind w:right="541"/>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48</w:t>
            </w:r>
          </w:p>
        </w:tc>
        <w:tc>
          <w:tcPr>
            <w:tcW w:w="1420" w:type="pct"/>
            <w:tcBorders>
              <w:top w:val="single" w:sz="4" w:space="0" w:color="auto"/>
              <w:bottom w:val="nil"/>
            </w:tcBorders>
          </w:tcPr>
          <w:p w14:paraId="3CD2ABA8" w14:textId="2BE758CB" w:rsidR="00587F83" w:rsidRPr="009D75D4" w:rsidRDefault="00587F83" w:rsidP="007D31A2">
            <w:pPr>
              <w:spacing w:line="276" w:lineRule="auto"/>
              <w:ind w:right="843"/>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10.21</w:t>
            </w:r>
          </w:p>
        </w:tc>
      </w:tr>
      <w:tr w:rsidR="00587F83" w14:paraId="7139309F" w14:textId="77777777" w:rsidTr="005A2B97">
        <w:trPr>
          <w:trHeight w:val="340"/>
        </w:trPr>
        <w:tc>
          <w:tcPr>
            <w:tcW w:w="2317" w:type="pct"/>
            <w:tcBorders>
              <w:top w:val="nil"/>
              <w:bottom w:val="nil"/>
            </w:tcBorders>
          </w:tcPr>
          <w:p w14:paraId="7C2D864F" w14:textId="2CAC16D6" w:rsidR="00587F83" w:rsidRPr="009D75D4" w:rsidRDefault="00587F83" w:rsidP="00DD2634">
            <w:pPr>
              <w:spacing w:line="276" w:lineRule="auto"/>
              <w:ind w:left="457"/>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1,000,001-1,500,000</w:t>
            </w:r>
          </w:p>
        </w:tc>
        <w:tc>
          <w:tcPr>
            <w:tcW w:w="1263" w:type="pct"/>
            <w:tcBorders>
              <w:top w:val="nil"/>
              <w:bottom w:val="nil"/>
            </w:tcBorders>
          </w:tcPr>
          <w:p w14:paraId="79867FCE" w14:textId="4D96B023" w:rsidR="00587F83" w:rsidRPr="009D75D4" w:rsidRDefault="00587F83" w:rsidP="007D31A2">
            <w:pPr>
              <w:spacing w:line="276" w:lineRule="auto"/>
              <w:ind w:right="541"/>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225</w:t>
            </w:r>
          </w:p>
        </w:tc>
        <w:tc>
          <w:tcPr>
            <w:tcW w:w="1420" w:type="pct"/>
            <w:tcBorders>
              <w:top w:val="nil"/>
              <w:bottom w:val="nil"/>
            </w:tcBorders>
          </w:tcPr>
          <w:p w14:paraId="37E1EC76" w14:textId="28F00782" w:rsidR="00587F83" w:rsidRPr="009D75D4" w:rsidRDefault="00587F83" w:rsidP="007D31A2">
            <w:pPr>
              <w:spacing w:line="276" w:lineRule="auto"/>
              <w:ind w:right="843"/>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47.87</w:t>
            </w:r>
          </w:p>
        </w:tc>
      </w:tr>
      <w:tr w:rsidR="00587F83" w14:paraId="7005965B" w14:textId="77777777" w:rsidTr="005A2B97">
        <w:trPr>
          <w:trHeight w:val="340"/>
        </w:trPr>
        <w:tc>
          <w:tcPr>
            <w:tcW w:w="2317" w:type="pct"/>
            <w:tcBorders>
              <w:top w:val="nil"/>
              <w:bottom w:val="nil"/>
            </w:tcBorders>
          </w:tcPr>
          <w:p w14:paraId="3A0B4816" w14:textId="2A425DE3" w:rsidR="00587F83" w:rsidRPr="009D75D4" w:rsidRDefault="00587F83" w:rsidP="00DD2634">
            <w:pPr>
              <w:spacing w:line="276" w:lineRule="auto"/>
              <w:ind w:left="457"/>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1,500,001-2,000,000</w:t>
            </w:r>
          </w:p>
        </w:tc>
        <w:tc>
          <w:tcPr>
            <w:tcW w:w="1263" w:type="pct"/>
            <w:tcBorders>
              <w:top w:val="nil"/>
              <w:bottom w:val="nil"/>
            </w:tcBorders>
          </w:tcPr>
          <w:p w14:paraId="5DD94570" w14:textId="50B44FE5" w:rsidR="00587F83" w:rsidRPr="009D75D4" w:rsidRDefault="00587F83" w:rsidP="007D31A2">
            <w:pPr>
              <w:spacing w:line="276" w:lineRule="auto"/>
              <w:ind w:right="541"/>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133</w:t>
            </w:r>
          </w:p>
        </w:tc>
        <w:tc>
          <w:tcPr>
            <w:tcW w:w="1420" w:type="pct"/>
            <w:tcBorders>
              <w:top w:val="nil"/>
              <w:bottom w:val="nil"/>
            </w:tcBorders>
          </w:tcPr>
          <w:p w14:paraId="7349C488" w14:textId="3069F389" w:rsidR="00587F83" w:rsidRPr="009D75D4" w:rsidRDefault="00587F83" w:rsidP="007D31A2">
            <w:pPr>
              <w:spacing w:line="276" w:lineRule="auto"/>
              <w:ind w:right="843"/>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28.30</w:t>
            </w:r>
          </w:p>
        </w:tc>
      </w:tr>
      <w:tr w:rsidR="00587F83" w14:paraId="29705AD8" w14:textId="77777777" w:rsidTr="005A2B97">
        <w:trPr>
          <w:trHeight w:val="340"/>
        </w:trPr>
        <w:tc>
          <w:tcPr>
            <w:tcW w:w="2317" w:type="pct"/>
            <w:tcBorders>
              <w:top w:val="nil"/>
              <w:bottom w:val="single" w:sz="4" w:space="0" w:color="auto"/>
            </w:tcBorders>
          </w:tcPr>
          <w:p w14:paraId="21661221" w14:textId="7C81736A" w:rsidR="00587F83" w:rsidRPr="009D75D4" w:rsidRDefault="00587F83" w:rsidP="00DD2634">
            <w:pPr>
              <w:spacing w:line="276" w:lineRule="auto"/>
              <w:ind w:left="457"/>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&gt; 2,000,000</w:t>
            </w:r>
          </w:p>
        </w:tc>
        <w:tc>
          <w:tcPr>
            <w:tcW w:w="1263" w:type="pct"/>
            <w:tcBorders>
              <w:top w:val="nil"/>
              <w:bottom w:val="single" w:sz="4" w:space="0" w:color="auto"/>
            </w:tcBorders>
          </w:tcPr>
          <w:p w14:paraId="63D23335" w14:textId="72C87FC6" w:rsidR="00587F83" w:rsidRPr="009D75D4" w:rsidRDefault="00587F83" w:rsidP="007D31A2">
            <w:pPr>
              <w:spacing w:line="276" w:lineRule="auto"/>
              <w:ind w:right="541"/>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64</w:t>
            </w:r>
          </w:p>
        </w:tc>
        <w:tc>
          <w:tcPr>
            <w:tcW w:w="1420" w:type="pct"/>
            <w:tcBorders>
              <w:top w:val="nil"/>
              <w:bottom w:val="single" w:sz="4" w:space="0" w:color="auto"/>
            </w:tcBorders>
          </w:tcPr>
          <w:p w14:paraId="12037370" w14:textId="10DABBF4" w:rsidR="00587F83" w:rsidRPr="009D75D4" w:rsidRDefault="00587F83" w:rsidP="007D31A2">
            <w:pPr>
              <w:spacing w:line="276" w:lineRule="auto"/>
              <w:ind w:right="843"/>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13.62</w:t>
            </w:r>
          </w:p>
        </w:tc>
      </w:tr>
    </w:tbl>
    <w:p w14:paraId="77AA140D" w14:textId="77777777" w:rsidR="009D75D4" w:rsidRDefault="009D75D4" w:rsidP="009D75D4">
      <w:pPr>
        <w:spacing w:before="120" w:after="120" w:line="276" w:lineRule="auto"/>
        <w:jc w:val="both"/>
        <w:rPr>
          <w:rFonts w:ascii="Times New Roman" w:eastAsia="Calibri" w:hAnsi="Times New Roman" w:cs="Times New Roman"/>
          <w:b/>
        </w:rPr>
      </w:pPr>
      <w:r w:rsidRPr="00172DA9">
        <w:rPr>
          <w:rFonts w:ascii="Arial" w:eastAsia="Times New Roman" w:hAnsi="Arial" w:cs="Arial"/>
          <w:kern w:val="0"/>
          <w:sz w:val="20"/>
          <w:szCs w:val="20"/>
          <w14:ligatures w14:val="none"/>
        </w:rPr>
        <w:t>Source: Own survey, 2024</w:t>
      </w:r>
    </w:p>
    <w:p w14:paraId="0DF8C40A" w14:textId="7EDAA0DC" w:rsidR="00423175" w:rsidRPr="009D75D4" w:rsidRDefault="009D75D4" w:rsidP="00423175">
      <w:pPr>
        <w:spacing w:before="120" w:after="120" w:line="276" w:lineRule="auto"/>
        <w:jc w:val="both"/>
        <w:rPr>
          <w:rFonts w:ascii="Arial" w:eastAsia="Times New Roman" w:hAnsi="Arial" w:cs="Arial"/>
          <w:b/>
          <w:kern w:val="0"/>
          <w:sz w:val="22"/>
          <w:szCs w:val="20"/>
          <w14:ligatures w14:val="none"/>
        </w:rPr>
      </w:pPr>
      <w:r>
        <w:rPr>
          <w:rFonts w:ascii="Arial" w:eastAsia="Times New Roman" w:hAnsi="Arial" w:cs="Arial"/>
          <w:b/>
          <w:kern w:val="0"/>
          <w:sz w:val="22"/>
          <w:szCs w:val="20"/>
          <w14:ligatures w14:val="none"/>
        </w:rPr>
        <w:t>3.7</w:t>
      </w:r>
      <w:r>
        <w:rPr>
          <w:rFonts w:ascii="Arial" w:eastAsia="Times New Roman" w:hAnsi="Arial" w:cs="Arial"/>
          <w:b/>
          <w:kern w:val="0"/>
          <w:sz w:val="22"/>
          <w:szCs w:val="20"/>
          <w14:ligatures w14:val="none"/>
        </w:rPr>
        <w:tab/>
      </w:r>
      <w:r w:rsidR="00423175" w:rsidRPr="009D75D4">
        <w:rPr>
          <w:rFonts w:ascii="Arial" w:eastAsia="Times New Roman" w:hAnsi="Arial" w:cs="Arial"/>
          <w:b/>
          <w:kern w:val="0"/>
          <w:sz w:val="22"/>
          <w:szCs w:val="20"/>
          <w14:ligatures w14:val="none"/>
        </w:rPr>
        <w:t>Income and spending patterns of sample students</w:t>
      </w:r>
    </w:p>
    <w:p w14:paraId="631D4F28" w14:textId="5AAEACA1" w:rsidR="00763616" w:rsidRPr="009D75D4" w:rsidRDefault="00576082" w:rsidP="009D75D4">
      <w:pPr>
        <w:spacing w:before="100" w:after="120" w:line="360" w:lineRule="auto"/>
        <w:jc w:val="both"/>
        <w:rPr>
          <w:rFonts w:ascii="Arial" w:eastAsia="Times New Roman" w:hAnsi="Arial" w:cs="Arial"/>
          <w:kern w:val="0"/>
          <w:sz w:val="20"/>
          <w:szCs w:val="20"/>
          <w14:ligatures w14:val="none"/>
        </w:rPr>
      </w:pPr>
      <w:r w:rsidRPr="009D75D4">
        <w:rPr>
          <w:rFonts w:ascii="Arial" w:eastAsia="Times New Roman" w:hAnsi="Arial" w:cs="Arial"/>
          <w:kern w:val="0"/>
          <w:sz w:val="20"/>
          <w:szCs w:val="20"/>
          <w14:ligatures w14:val="none"/>
        </w:rPr>
        <w:t>The average income per term was 1,458</w:t>
      </w:r>
      <w:r w:rsidR="004A5AFC" w:rsidRPr="009D75D4">
        <w:rPr>
          <w:rFonts w:ascii="Arial" w:eastAsia="Times New Roman" w:hAnsi="Arial" w:cs="Arial"/>
          <w:kern w:val="0"/>
          <w:sz w:val="20"/>
          <w:szCs w:val="20"/>
          <w14:ligatures w14:val="none"/>
        </w:rPr>
        <w:t>,000</w:t>
      </w:r>
      <w:r w:rsidRPr="009D75D4">
        <w:rPr>
          <w:rFonts w:ascii="Arial" w:eastAsia="Times New Roman" w:hAnsi="Arial" w:cs="Arial"/>
          <w:kern w:val="0"/>
          <w:sz w:val="20"/>
          <w:szCs w:val="20"/>
          <w14:ligatures w14:val="none"/>
        </w:rPr>
        <w:t xml:space="preserve"> M</w:t>
      </w:r>
      <w:r w:rsidR="000662AE" w:rsidRPr="009D75D4">
        <w:rPr>
          <w:rFonts w:ascii="Arial" w:eastAsia="Times New Roman" w:hAnsi="Arial" w:cs="Arial"/>
          <w:kern w:val="0"/>
          <w:sz w:val="20"/>
          <w:szCs w:val="20"/>
          <w14:ligatures w14:val="none"/>
        </w:rPr>
        <w:t>M</w:t>
      </w:r>
      <w:r w:rsidRPr="009D75D4">
        <w:rPr>
          <w:rFonts w:ascii="Arial" w:eastAsia="Times New Roman" w:hAnsi="Arial" w:cs="Arial"/>
          <w:kern w:val="0"/>
          <w:sz w:val="20"/>
          <w:szCs w:val="20"/>
          <w14:ligatures w14:val="none"/>
        </w:rPr>
        <w:t>K , with a range from 646</w:t>
      </w:r>
      <w:r w:rsidR="00423175" w:rsidRPr="009D75D4">
        <w:rPr>
          <w:rFonts w:ascii="Arial" w:eastAsia="Times New Roman" w:hAnsi="Arial" w:cs="Arial"/>
          <w:kern w:val="0"/>
          <w:sz w:val="20"/>
          <w:szCs w:val="20"/>
          <w14:ligatures w14:val="none"/>
        </w:rPr>
        <w:t xml:space="preserve"> MMK</w:t>
      </w:r>
      <w:r w:rsidRPr="009D75D4">
        <w:rPr>
          <w:rFonts w:ascii="Arial" w:eastAsia="Times New Roman" w:hAnsi="Arial" w:cs="Arial"/>
          <w:kern w:val="0"/>
          <w:sz w:val="20"/>
          <w:szCs w:val="20"/>
          <w14:ligatures w14:val="none"/>
        </w:rPr>
        <w:t xml:space="preserve"> to 3,587</w:t>
      </w:r>
      <w:r w:rsidR="00754D50" w:rsidRPr="009D75D4">
        <w:rPr>
          <w:rFonts w:ascii="Arial" w:eastAsia="Times New Roman" w:hAnsi="Arial" w:cs="Arial"/>
          <w:kern w:val="0"/>
          <w:sz w:val="20"/>
          <w:szCs w:val="20"/>
          <w14:ligatures w14:val="none"/>
        </w:rPr>
        <w:t>,000</w:t>
      </w:r>
      <w:r w:rsidRPr="009D75D4">
        <w:rPr>
          <w:rFonts w:ascii="Arial" w:eastAsia="Times New Roman" w:hAnsi="Arial" w:cs="Arial"/>
          <w:kern w:val="0"/>
          <w:sz w:val="20"/>
          <w:szCs w:val="20"/>
          <w14:ligatures w14:val="none"/>
        </w:rPr>
        <w:t xml:space="preserve"> MMK. The average total expenditure was 1,061</w:t>
      </w:r>
      <w:r w:rsidR="004A5AFC" w:rsidRPr="009D75D4">
        <w:rPr>
          <w:rFonts w:ascii="Arial" w:eastAsia="Times New Roman" w:hAnsi="Arial" w:cs="Arial"/>
          <w:kern w:val="0"/>
          <w:sz w:val="20"/>
          <w:szCs w:val="20"/>
          <w14:ligatures w14:val="none"/>
        </w:rPr>
        <w:t>,000</w:t>
      </w:r>
      <w:r w:rsidRPr="009D75D4">
        <w:rPr>
          <w:rFonts w:ascii="Arial" w:eastAsia="Times New Roman" w:hAnsi="Arial" w:cs="Arial"/>
          <w:kern w:val="0"/>
          <w:sz w:val="20"/>
          <w:szCs w:val="20"/>
          <w14:ligatures w14:val="none"/>
        </w:rPr>
        <w:t xml:space="preserve"> MMK, including a </w:t>
      </w:r>
      <w:r w:rsidR="000662AE" w:rsidRPr="009D75D4">
        <w:rPr>
          <w:rFonts w:ascii="Arial" w:eastAsia="Times New Roman" w:hAnsi="Arial" w:cs="Arial"/>
          <w:kern w:val="0"/>
          <w:sz w:val="20"/>
          <w:szCs w:val="20"/>
          <w14:ligatures w14:val="none"/>
        </w:rPr>
        <w:t>living expense of 892,000 MMK</w:t>
      </w:r>
      <w:r w:rsidRPr="009D75D4">
        <w:rPr>
          <w:rFonts w:ascii="Arial" w:eastAsia="Times New Roman" w:hAnsi="Arial" w:cs="Arial"/>
          <w:kern w:val="0"/>
          <w:sz w:val="20"/>
          <w:szCs w:val="20"/>
          <w14:ligatures w14:val="none"/>
        </w:rPr>
        <w:t xml:space="preserve">, educational </w:t>
      </w:r>
      <w:r w:rsidR="000662AE" w:rsidRPr="009D75D4">
        <w:rPr>
          <w:rFonts w:ascii="Arial" w:eastAsia="Times New Roman" w:hAnsi="Arial" w:cs="Arial"/>
          <w:kern w:val="0"/>
          <w:sz w:val="20"/>
          <w:szCs w:val="20"/>
          <w14:ligatures w14:val="none"/>
        </w:rPr>
        <w:t>expenses</w:t>
      </w:r>
      <w:r w:rsidRPr="009D75D4">
        <w:rPr>
          <w:rFonts w:ascii="Arial" w:eastAsia="Times New Roman" w:hAnsi="Arial" w:cs="Arial"/>
          <w:kern w:val="0"/>
          <w:sz w:val="20"/>
          <w:szCs w:val="20"/>
          <w14:ligatures w14:val="none"/>
        </w:rPr>
        <w:t xml:space="preserve"> of 102</w:t>
      </w:r>
      <w:r w:rsidR="00754D50" w:rsidRPr="009D75D4">
        <w:rPr>
          <w:rFonts w:ascii="Arial" w:eastAsia="Times New Roman" w:hAnsi="Arial" w:cs="Arial"/>
          <w:kern w:val="0"/>
          <w:sz w:val="20"/>
          <w:szCs w:val="20"/>
          <w14:ligatures w14:val="none"/>
        </w:rPr>
        <w:t>,000</w:t>
      </w:r>
      <w:r w:rsidRPr="009D75D4">
        <w:rPr>
          <w:rFonts w:ascii="Arial" w:eastAsia="Times New Roman" w:hAnsi="Arial" w:cs="Arial"/>
          <w:kern w:val="0"/>
          <w:sz w:val="20"/>
          <w:szCs w:val="20"/>
          <w14:ligatures w14:val="none"/>
        </w:rPr>
        <w:t xml:space="preserve"> MM</w:t>
      </w:r>
      <w:r w:rsidR="00423175" w:rsidRPr="009D75D4">
        <w:rPr>
          <w:rFonts w:ascii="Arial" w:eastAsia="Times New Roman" w:hAnsi="Arial" w:cs="Arial"/>
          <w:kern w:val="0"/>
          <w:sz w:val="20"/>
          <w:szCs w:val="20"/>
          <w14:ligatures w14:val="none"/>
        </w:rPr>
        <w:t>K</w:t>
      </w:r>
      <w:r w:rsidRPr="009D75D4">
        <w:rPr>
          <w:rFonts w:ascii="Arial" w:eastAsia="Times New Roman" w:hAnsi="Arial" w:cs="Arial"/>
          <w:kern w:val="0"/>
          <w:sz w:val="20"/>
          <w:szCs w:val="20"/>
          <w14:ligatures w14:val="none"/>
        </w:rPr>
        <w:t>, and ICT-related expenses averaging 66</w:t>
      </w:r>
      <w:r w:rsidR="00754D50" w:rsidRPr="009D75D4">
        <w:rPr>
          <w:rFonts w:ascii="Arial" w:eastAsia="Times New Roman" w:hAnsi="Arial" w:cs="Arial"/>
          <w:kern w:val="0"/>
          <w:sz w:val="20"/>
          <w:szCs w:val="20"/>
          <w14:ligatures w14:val="none"/>
        </w:rPr>
        <w:t>,000</w:t>
      </w:r>
      <w:r w:rsidRPr="009D75D4">
        <w:rPr>
          <w:rFonts w:ascii="Arial" w:eastAsia="Times New Roman" w:hAnsi="Arial" w:cs="Arial"/>
          <w:kern w:val="0"/>
          <w:sz w:val="20"/>
          <w:szCs w:val="20"/>
          <w14:ligatures w14:val="none"/>
        </w:rPr>
        <w:t xml:space="preserve"> MMK</w:t>
      </w:r>
      <w:r w:rsidR="00423175" w:rsidRPr="009D75D4">
        <w:rPr>
          <w:rFonts w:ascii="Arial" w:eastAsia="Times New Roman" w:hAnsi="Arial" w:cs="Arial"/>
          <w:kern w:val="0"/>
          <w:sz w:val="20"/>
          <w:szCs w:val="20"/>
          <w14:ligatures w14:val="none"/>
        </w:rPr>
        <w:t xml:space="preserve"> (Table 7)</w:t>
      </w:r>
      <w:r w:rsidRPr="009D75D4">
        <w:rPr>
          <w:rFonts w:ascii="Arial" w:eastAsia="Times New Roman" w:hAnsi="Arial" w:cs="Arial"/>
          <w:kern w:val="0"/>
          <w:sz w:val="20"/>
          <w:szCs w:val="20"/>
          <w14:ligatures w14:val="none"/>
        </w:rPr>
        <w:t>.</w:t>
      </w:r>
    </w:p>
    <w:p w14:paraId="553C855A" w14:textId="10349E60" w:rsidR="00423175" w:rsidRPr="009D75D4" w:rsidRDefault="00423175" w:rsidP="00423175">
      <w:pPr>
        <w:spacing w:before="80" w:after="100" w:line="276" w:lineRule="auto"/>
        <w:ind w:left="811" w:hanging="811"/>
        <w:jc w:val="both"/>
        <w:rPr>
          <w:rFonts w:ascii="Arial" w:eastAsia="Times New Roman" w:hAnsi="Arial" w:cs="Arial"/>
          <w:kern w:val="0"/>
          <w:sz w:val="20"/>
          <w:szCs w:val="20"/>
          <w14:ligatures w14:val="none"/>
        </w:rPr>
      </w:pPr>
      <w:r w:rsidRPr="009D75D4">
        <w:rPr>
          <w:rFonts w:ascii="Arial" w:eastAsia="Times New Roman" w:hAnsi="Arial" w:cs="Arial"/>
          <w:kern w:val="0"/>
          <w:sz w:val="20"/>
          <w:szCs w:val="20"/>
          <w14:ligatures w14:val="none"/>
        </w:rPr>
        <w:t xml:space="preserve">Table </w:t>
      </w:r>
      <w:r w:rsidRPr="009D75D4">
        <w:rPr>
          <w:rFonts w:ascii="Arial" w:eastAsia="Times New Roman" w:hAnsi="Arial" w:cs="Arial"/>
          <w:kern w:val="0"/>
          <w:sz w:val="20"/>
          <w:szCs w:val="20"/>
          <w14:ligatures w14:val="none"/>
        </w:rPr>
        <w:fldChar w:fldCharType="begin"/>
      </w:r>
      <w:r w:rsidRPr="009D75D4">
        <w:rPr>
          <w:rFonts w:ascii="Arial" w:eastAsia="Times New Roman" w:hAnsi="Arial" w:cs="Arial"/>
          <w:kern w:val="0"/>
          <w:sz w:val="20"/>
          <w:szCs w:val="20"/>
          <w14:ligatures w14:val="none"/>
        </w:rPr>
        <w:instrText xml:space="preserve"> SEQ Table \* ARABIC </w:instrText>
      </w:r>
      <w:r w:rsidRPr="009D75D4">
        <w:rPr>
          <w:rFonts w:ascii="Arial" w:eastAsia="Times New Roman" w:hAnsi="Arial" w:cs="Arial"/>
          <w:kern w:val="0"/>
          <w:sz w:val="20"/>
          <w:szCs w:val="20"/>
          <w14:ligatures w14:val="none"/>
        </w:rPr>
        <w:fldChar w:fldCharType="separate"/>
      </w:r>
      <w:r w:rsidR="00AE6A7B" w:rsidRPr="009D75D4">
        <w:rPr>
          <w:rFonts w:ascii="Arial" w:eastAsia="Times New Roman" w:hAnsi="Arial" w:cs="Arial"/>
          <w:kern w:val="0"/>
          <w:sz w:val="20"/>
          <w:szCs w:val="20"/>
          <w14:ligatures w14:val="none"/>
        </w:rPr>
        <w:t>7</w:t>
      </w:r>
      <w:r w:rsidRPr="009D75D4">
        <w:rPr>
          <w:rFonts w:ascii="Arial" w:eastAsia="Times New Roman" w:hAnsi="Arial" w:cs="Arial"/>
          <w:kern w:val="0"/>
          <w:sz w:val="20"/>
          <w:szCs w:val="20"/>
          <w14:ligatures w14:val="none"/>
        </w:rPr>
        <w:fldChar w:fldCharType="end"/>
      </w:r>
      <w:r w:rsidRPr="009D75D4">
        <w:rPr>
          <w:rFonts w:ascii="Arial" w:eastAsia="Times New Roman" w:hAnsi="Arial" w:cs="Arial"/>
          <w:kern w:val="0"/>
          <w:sz w:val="20"/>
          <w:szCs w:val="20"/>
          <w14:ligatures w14:val="none"/>
        </w:rPr>
        <w:t xml:space="preserve"> Average income and spending pattern of sample students (n=470)</w:t>
      </w:r>
    </w:p>
    <w:p w14:paraId="4B20FE8C" w14:textId="77777777" w:rsidR="00423175" w:rsidRPr="009D75D4" w:rsidRDefault="00423175" w:rsidP="009D75D4">
      <w:pPr>
        <w:spacing w:before="80" w:after="100" w:line="276" w:lineRule="auto"/>
        <w:ind w:left="811" w:hanging="811"/>
        <w:jc w:val="right"/>
        <w:rPr>
          <w:rFonts w:ascii="Arial" w:eastAsia="Times New Roman" w:hAnsi="Arial" w:cs="Arial"/>
          <w:kern w:val="0"/>
          <w:sz w:val="20"/>
          <w:szCs w:val="20"/>
          <w14:ligatures w14:val="none"/>
        </w:rPr>
      </w:pPr>
      <w:r w:rsidRPr="009D75D4">
        <w:rPr>
          <w:rFonts w:ascii="Arial" w:eastAsia="Times New Roman" w:hAnsi="Arial" w:cs="Arial"/>
          <w:kern w:val="0"/>
          <w:sz w:val="20"/>
          <w:szCs w:val="20"/>
          <w14:ligatures w14:val="none"/>
        </w:rPr>
        <w:t>(Unit: thousand MMK)</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0"/>
        <w:gridCol w:w="1500"/>
        <w:gridCol w:w="1704"/>
        <w:gridCol w:w="1758"/>
        <w:gridCol w:w="924"/>
      </w:tblGrid>
      <w:tr w:rsidR="007D31A2" w14:paraId="7788FF56" w14:textId="77777777" w:rsidTr="005A2B97">
        <w:trPr>
          <w:trHeight w:val="340"/>
        </w:trPr>
        <w:tc>
          <w:tcPr>
            <w:tcW w:w="1739" w:type="pct"/>
            <w:tcBorders>
              <w:top w:val="single" w:sz="4" w:space="0" w:color="auto"/>
              <w:bottom w:val="single" w:sz="4" w:space="0" w:color="auto"/>
            </w:tcBorders>
          </w:tcPr>
          <w:p w14:paraId="37B2CA85" w14:textId="77777777" w:rsidR="007D31A2" w:rsidRPr="009D75D4" w:rsidRDefault="007D31A2" w:rsidP="00DD2634">
            <w:pPr>
              <w:spacing w:line="276" w:lineRule="auto"/>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Item</w:t>
            </w:r>
          </w:p>
        </w:tc>
        <w:tc>
          <w:tcPr>
            <w:tcW w:w="831" w:type="pct"/>
            <w:tcBorders>
              <w:top w:val="single" w:sz="4" w:space="0" w:color="auto"/>
              <w:bottom w:val="single" w:sz="4" w:space="0" w:color="auto"/>
            </w:tcBorders>
          </w:tcPr>
          <w:p w14:paraId="42D521B9" w14:textId="77777777" w:rsidR="007D31A2" w:rsidRPr="009D75D4" w:rsidRDefault="007D31A2" w:rsidP="00DD2634">
            <w:pPr>
              <w:spacing w:line="276" w:lineRule="auto"/>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Average</w:t>
            </w:r>
          </w:p>
        </w:tc>
        <w:tc>
          <w:tcPr>
            <w:tcW w:w="944" w:type="pct"/>
            <w:tcBorders>
              <w:top w:val="single" w:sz="4" w:space="0" w:color="auto"/>
              <w:bottom w:val="single" w:sz="4" w:space="0" w:color="auto"/>
            </w:tcBorders>
          </w:tcPr>
          <w:p w14:paraId="057B8B68" w14:textId="77777777" w:rsidR="007D31A2" w:rsidRPr="009D75D4" w:rsidRDefault="007D31A2" w:rsidP="00DD2634">
            <w:pPr>
              <w:spacing w:line="276" w:lineRule="auto"/>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Minimum</w:t>
            </w:r>
          </w:p>
        </w:tc>
        <w:tc>
          <w:tcPr>
            <w:tcW w:w="974" w:type="pct"/>
            <w:tcBorders>
              <w:top w:val="single" w:sz="4" w:space="0" w:color="auto"/>
              <w:bottom w:val="single" w:sz="4" w:space="0" w:color="auto"/>
            </w:tcBorders>
          </w:tcPr>
          <w:p w14:paraId="6F9FB60C" w14:textId="77777777" w:rsidR="007D31A2" w:rsidRPr="009D75D4" w:rsidRDefault="007D31A2" w:rsidP="00DD2634">
            <w:pPr>
              <w:spacing w:line="276" w:lineRule="auto"/>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Maximum</w:t>
            </w:r>
          </w:p>
        </w:tc>
        <w:tc>
          <w:tcPr>
            <w:tcW w:w="512" w:type="pct"/>
            <w:tcBorders>
              <w:top w:val="single" w:sz="4" w:space="0" w:color="auto"/>
              <w:bottom w:val="single" w:sz="4" w:space="0" w:color="auto"/>
            </w:tcBorders>
          </w:tcPr>
          <w:p w14:paraId="5D17DD13" w14:textId="77777777" w:rsidR="007D31A2" w:rsidRPr="009D75D4" w:rsidRDefault="007D31A2" w:rsidP="00DD2634">
            <w:pPr>
              <w:spacing w:line="276" w:lineRule="auto"/>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SD</w:t>
            </w:r>
          </w:p>
        </w:tc>
      </w:tr>
      <w:tr w:rsidR="007D31A2" w14:paraId="5E99681D" w14:textId="77777777" w:rsidTr="005A2B97">
        <w:trPr>
          <w:trHeight w:val="340"/>
        </w:trPr>
        <w:tc>
          <w:tcPr>
            <w:tcW w:w="1739" w:type="pct"/>
            <w:tcBorders>
              <w:top w:val="single" w:sz="4" w:space="0" w:color="auto"/>
            </w:tcBorders>
          </w:tcPr>
          <w:p w14:paraId="5DB8737C" w14:textId="64032C92" w:rsidR="007D31A2" w:rsidRPr="009D75D4" w:rsidRDefault="007D31A2" w:rsidP="00DD2634">
            <w:pPr>
              <w:spacing w:line="276" w:lineRule="auto"/>
              <w:ind w:left="176"/>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 xml:space="preserve">Income </w:t>
            </w:r>
          </w:p>
        </w:tc>
        <w:tc>
          <w:tcPr>
            <w:tcW w:w="831" w:type="pct"/>
            <w:tcBorders>
              <w:top w:val="single" w:sz="4" w:space="0" w:color="auto"/>
            </w:tcBorders>
          </w:tcPr>
          <w:p w14:paraId="34755FC9" w14:textId="34792D7A" w:rsidR="007D31A2" w:rsidRPr="009D75D4" w:rsidRDefault="007D31A2" w:rsidP="007D31A2">
            <w:pPr>
              <w:spacing w:line="276" w:lineRule="auto"/>
              <w:ind w:right="292"/>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1,458</w:t>
            </w:r>
          </w:p>
        </w:tc>
        <w:tc>
          <w:tcPr>
            <w:tcW w:w="944" w:type="pct"/>
            <w:tcBorders>
              <w:top w:val="single" w:sz="4" w:space="0" w:color="auto"/>
            </w:tcBorders>
          </w:tcPr>
          <w:p w14:paraId="15E87C50" w14:textId="27D282E1" w:rsidR="007D31A2" w:rsidRPr="009D75D4" w:rsidRDefault="007D31A2" w:rsidP="007D31A2">
            <w:pPr>
              <w:spacing w:line="276" w:lineRule="auto"/>
              <w:ind w:right="405"/>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 xml:space="preserve">646 </w:t>
            </w:r>
          </w:p>
        </w:tc>
        <w:tc>
          <w:tcPr>
            <w:tcW w:w="974" w:type="pct"/>
            <w:tcBorders>
              <w:top w:val="single" w:sz="4" w:space="0" w:color="auto"/>
            </w:tcBorders>
          </w:tcPr>
          <w:p w14:paraId="12F5B7D2" w14:textId="51F3B83F" w:rsidR="007D31A2" w:rsidRPr="009D75D4" w:rsidRDefault="007D31A2" w:rsidP="007D31A2">
            <w:pPr>
              <w:spacing w:line="276" w:lineRule="auto"/>
              <w:ind w:right="440"/>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3,587</w:t>
            </w:r>
          </w:p>
        </w:tc>
        <w:tc>
          <w:tcPr>
            <w:tcW w:w="512" w:type="pct"/>
            <w:tcBorders>
              <w:top w:val="single" w:sz="4" w:space="0" w:color="auto"/>
            </w:tcBorders>
          </w:tcPr>
          <w:p w14:paraId="7799B3F3" w14:textId="0DF01FCF" w:rsidR="007D31A2" w:rsidRPr="009D75D4" w:rsidRDefault="007D31A2" w:rsidP="007D31A2">
            <w:pPr>
              <w:spacing w:line="276" w:lineRule="auto"/>
              <w:ind w:right="74"/>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460</w:t>
            </w:r>
          </w:p>
        </w:tc>
      </w:tr>
      <w:tr w:rsidR="007D31A2" w14:paraId="191B0EE7" w14:textId="77777777" w:rsidTr="005A2B97">
        <w:trPr>
          <w:trHeight w:val="340"/>
        </w:trPr>
        <w:tc>
          <w:tcPr>
            <w:tcW w:w="1739" w:type="pct"/>
          </w:tcPr>
          <w:p w14:paraId="0FAE7746" w14:textId="6314570C" w:rsidR="007D31A2" w:rsidRPr="009D75D4" w:rsidRDefault="007D31A2" w:rsidP="00DD2634">
            <w:pPr>
              <w:spacing w:line="276" w:lineRule="auto"/>
              <w:ind w:left="176"/>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Total expenditure</w:t>
            </w:r>
          </w:p>
        </w:tc>
        <w:tc>
          <w:tcPr>
            <w:tcW w:w="831" w:type="pct"/>
          </w:tcPr>
          <w:p w14:paraId="4BA388AB" w14:textId="61A6B1CC" w:rsidR="007D31A2" w:rsidRPr="009D75D4" w:rsidRDefault="007D31A2" w:rsidP="007D31A2">
            <w:pPr>
              <w:spacing w:line="276" w:lineRule="auto"/>
              <w:ind w:right="292"/>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1,061</w:t>
            </w:r>
          </w:p>
        </w:tc>
        <w:tc>
          <w:tcPr>
            <w:tcW w:w="944" w:type="pct"/>
          </w:tcPr>
          <w:p w14:paraId="5BBED9A4" w14:textId="52FFBD4B" w:rsidR="007D31A2" w:rsidRPr="009D75D4" w:rsidRDefault="007D31A2" w:rsidP="007D31A2">
            <w:pPr>
              <w:spacing w:line="276" w:lineRule="auto"/>
              <w:ind w:right="405"/>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 xml:space="preserve">524 </w:t>
            </w:r>
          </w:p>
        </w:tc>
        <w:tc>
          <w:tcPr>
            <w:tcW w:w="974" w:type="pct"/>
          </w:tcPr>
          <w:p w14:paraId="43B05A65" w14:textId="380DCC73" w:rsidR="007D31A2" w:rsidRPr="009D75D4" w:rsidRDefault="007D31A2" w:rsidP="007D31A2">
            <w:pPr>
              <w:spacing w:line="276" w:lineRule="auto"/>
              <w:ind w:right="440"/>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1,902</w:t>
            </w:r>
          </w:p>
        </w:tc>
        <w:tc>
          <w:tcPr>
            <w:tcW w:w="512" w:type="pct"/>
          </w:tcPr>
          <w:p w14:paraId="5F88AB28" w14:textId="04692854" w:rsidR="007D31A2" w:rsidRPr="009D75D4" w:rsidRDefault="007D31A2" w:rsidP="007D31A2">
            <w:pPr>
              <w:spacing w:line="276" w:lineRule="auto"/>
              <w:ind w:right="74"/>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212</w:t>
            </w:r>
          </w:p>
        </w:tc>
      </w:tr>
      <w:tr w:rsidR="007D31A2" w14:paraId="75FE88BF" w14:textId="77777777" w:rsidTr="005A2B97">
        <w:trPr>
          <w:trHeight w:val="340"/>
        </w:trPr>
        <w:tc>
          <w:tcPr>
            <w:tcW w:w="1739" w:type="pct"/>
          </w:tcPr>
          <w:p w14:paraId="25CDD93E" w14:textId="207B2106" w:rsidR="007D31A2" w:rsidRPr="009D75D4" w:rsidRDefault="007D31A2" w:rsidP="00DD2634">
            <w:pPr>
              <w:spacing w:line="276" w:lineRule="auto"/>
              <w:ind w:left="176"/>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Living expenses</w:t>
            </w:r>
          </w:p>
        </w:tc>
        <w:tc>
          <w:tcPr>
            <w:tcW w:w="831" w:type="pct"/>
          </w:tcPr>
          <w:p w14:paraId="460B07BB" w14:textId="73262696" w:rsidR="007D31A2" w:rsidRPr="009D75D4" w:rsidRDefault="007D31A2" w:rsidP="007D31A2">
            <w:pPr>
              <w:spacing w:line="276" w:lineRule="auto"/>
              <w:ind w:right="292"/>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892</w:t>
            </w:r>
          </w:p>
        </w:tc>
        <w:tc>
          <w:tcPr>
            <w:tcW w:w="944" w:type="pct"/>
          </w:tcPr>
          <w:p w14:paraId="3034678D" w14:textId="19A34F12" w:rsidR="007D31A2" w:rsidRPr="009D75D4" w:rsidRDefault="007D31A2" w:rsidP="007D31A2">
            <w:pPr>
              <w:spacing w:line="276" w:lineRule="auto"/>
              <w:ind w:right="405"/>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450</w:t>
            </w:r>
          </w:p>
        </w:tc>
        <w:tc>
          <w:tcPr>
            <w:tcW w:w="974" w:type="pct"/>
          </w:tcPr>
          <w:p w14:paraId="65756529" w14:textId="291D126C" w:rsidR="007D31A2" w:rsidRPr="009D75D4" w:rsidRDefault="007D31A2" w:rsidP="007D31A2">
            <w:pPr>
              <w:spacing w:line="276" w:lineRule="auto"/>
              <w:ind w:right="440"/>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1,740</w:t>
            </w:r>
          </w:p>
        </w:tc>
        <w:tc>
          <w:tcPr>
            <w:tcW w:w="512" w:type="pct"/>
          </w:tcPr>
          <w:p w14:paraId="63B6C709" w14:textId="5B588B81" w:rsidR="007D31A2" w:rsidRPr="009D75D4" w:rsidRDefault="007D31A2" w:rsidP="007D31A2">
            <w:pPr>
              <w:spacing w:line="276" w:lineRule="auto"/>
              <w:ind w:right="74"/>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190</w:t>
            </w:r>
          </w:p>
        </w:tc>
      </w:tr>
      <w:tr w:rsidR="007D31A2" w14:paraId="3E769909" w14:textId="77777777" w:rsidTr="005A2B97">
        <w:trPr>
          <w:trHeight w:val="340"/>
        </w:trPr>
        <w:tc>
          <w:tcPr>
            <w:tcW w:w="1739" w:type="pct"/>
          </w:tcPr>
          <w:p w14:paraId="5FD5A8A4" w14:textId="6BCDC64F" w:rsidR="007D31A2" w:rsidRPr="009D75D4" w:rsidRDefault="007D31A2" w:rsidP="00DD2634">
            <w:pPr>
              <w:spacing w:line="276" w:lineRule="auto"/>
              <w:ind w:left="176"/>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Education expenses</w:t>
            </w:r>
          </w:p>
        </w:tc>
        <w:tc>
          <w:tcPr>
            <w:tcW w:w="831" w:type="pct"/>
          </w:tcPr>
          <w:p w14:paraId="5DDC8B4E" w14:textId="0F2BDFA2" w:rsidR="007D31A2" w:rsidRPr="009D75D4" w:rsidRDefault="007D31A2" w:rsidP="007D31A2">
            <w:pPr>
              <w:spacing w:line="276" w:lineRule="auto"/>
              <w:ind w:right="292"/>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102</w:t>
            </w:r>
          </w:p>
        </w:tc>
        <w:tc>
          <w:tcPr>
            <w:tcW w:w="944" w:type="pct"/>
          </w:tcPr>
          <w:p w14:paraId="70D9061A" w14:textId="212EF35D" w:rsidR="007D31A2" w:rsidRPr="009D75D4" w:rsidRDefault="007D31A2" w:rsidP="007D31A2">
            <w:pPr>
              <w:spacing w:line="276" w:lineRule="auto"/>
              <w:ind w:right="405"/>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27</w:t>
            </w:r>
          </w:p>
        </w:tc>
        <w:tc>
          <w:tcPr>
            <w:tcW w:w="974" w:type="pct"/>
          </w:tcPr>
          <w:p w14:paraId="50CBFA52" w14:textId="213B0264" w:rsidR="007D31A2" w:rsidRPr="009D75D4" w:rsidRDefault="007D31A2" w:rsidP="007D31A2">
            <w:pPr>
              <w:spacing w:line="276" w:lineRule="auto"/>
              <w:ind w:right="440"/>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344</w:t>
            </w:r>
          </w:p>
        </w:tc>
        <w:tc>
          <w:tcPr>
            <w:tcW w:w="512" w:type="pct"/>
          </w:tcPr>
          <w:p w14:paraId="3C4F04C4" w14:textId="6FD7745E" w:rsidR="007D31A2" w:rsidRPr="009D75D4" w:rsidRDefault="007D31A2" w:rsidP="007D31A2">
            <w:pPr>
              <w:spacing w:line="276" w:lineRule="auto"/>
              <w:ind w:right="74"/>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39</w:t>
            </w:r>
          </w:p>
        </w:tc>
      </w:tr>
      <w:tr w:rsidR="007D31A2" w14:paraId="368D826B" w14:textId="77777777" w:rsidTr="005A2B97">
        <w:trPr>
          <w:trHeight w:val="340"/>
        </w:trPr>
        <w:tc>
          <w:tcPr>
            <w:tcW w:w="1739" w:type="pct"/>
            <w:tcBorders>
              <w:bottom w:val="single" w:sz="4" w:space="0" w:color="auto"/>
            </w:tcBorders>
          </w:tcPr>
          <w:p w14:paraId="3E3BFDAC" w14:textId="1C91532E" w:rsidR="007D31A2" w:rsidRPr="009D75D4" w:rsidRDefault="007D31A2" w:rsidP="00DD2634">
            <w:pPr>
              <w:spacing w:line="276" w:lineRule="auto"/>
              <w:ind w:left="176"/>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ICT expenses</w:t>
            </w:r>
          </w:p>
        </w:tc>
        <w:tc>
          <w:tcPr>
            <w:tcW w:w="831" w:type="pct"/>
            <w:tcBorders>
              <w:bottom w:val="single" w:sz="4" w:space="0" w:color="auto"/>
            </w:tcBorders>
          </w:tcPr>
          <w:p w14:paraId="1C7F3571" w14:textId="3A7B7465" w:rsidR="007D31A2" w:rsidRPr="009D75D4" w:rsidRDefault="007D31A2" w:rsidP="007D31A2">
            <w:pPr>
              <w:spacing w:line="276" w:lineRule="auto"/>
              <w:ind w:right="292"/>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66</w:t>
            </w:r>
          </w:p>
        </w:tc>
        <w:tc>
          <w:tcPr>
            <w:tcW w:w="944" w:type="pct"/>
            <w:tcBorders>
              <w:bottom w:val="single" w:sz="4" w:space="0" w:color="auto"/>
            </w:tcBorders>
          </w:tcPr>
          <w:p w14:paraId="5731E865" w14:textId="2D2D1BD0" w:rsidR="007D31A2" w:rsidRPr="009D75D4" w:rsidRDefault="007D31A2" w:rsidP="007D31A2">
            <w:pPr>
              <w:spacing w:line="276" w:lineRule="auto"/>
              <w:ind w:right="405"/>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5</w:t>
            </w:r>
          </w:p>
        </w:tc>
        <w:tc>
          <w:tcPr>
            <w:tcW w:w="974" w:type="pct"/>
            <w:tcBorders>
              <w:bottom w:val="single" w:sz="4" w:space="0" w:color="auto"/>
            </w:tcBorders>
          </w:tcPr>
          <w:p w14:paraId="30AD5B4F" w14:textId="3690BB3A" w:rsidR="007D31A2" w:rsidRPr="009D75D4" w:rsidRDefault="007D31A2" w:rsidP="007D31A2">
            <w:pPr>
              <w:spacing w:line="276" w:lineRule="auto"/>
              <w:ind w:right="440"/>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300</w:t>
            </w:r>
          </w:p>
        </w:tc>
        <w:tc>
          <w:tcPr>
            <w:tcW w:w="512" w:type="pct"/>
            <w:tcBorders>
              <w:bottom w:val="single" w:sz="4" w:space="0" w:color="auto"/>
            </w:tcBorders>
          </w:tcPr>
          <w:p w14:paraId="0594BFC4" w14:textId="696B708B" w:rsidR="007D31A2" w:rsidRPr="009D75D4" w:rsidRDefault="007D31A2" w:rsidP="007D31A2">
            <w:pPr>
              <w:spacing w:line="276" w:lineRule="auto"/>
              <w:ind w:right="74"/>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45</w:t>
            </w:r>
          </w:p>
        </w:tc>
      </w:tr>
    </w:tbl>
    <w:p w14:paraId="550DF591" w14:textId="77777777" w:rsidR="009D75D4" w:rsidRDefault="009D75D4" w:rsidP="009D75D4">
      <w:pPr>
        <w:spacing w:before="120" w:after="120" w:line="276" w:lineRule="auto"/>
        <w:jc w:val="both"/>
        <w:rPr>
          <w:rFonts w:ascii="Times New Roman" w:eastAsia="Calibri" w:hAnsi="Times New Roman" w:cs="Times New Roman"/>
          <w:b/>
        </w:rPr>
      </w:pPr>
      <w:bookmarkStart w:id="0" w:name="_Hlk196343840"/>
      <w:r w:rsidRPr="00172DA9">
        <w:rPr>
          <w:rFonts w:ascii="Arial" w:eastAsia="Times New Roman" w:hAnsi="Arial" w:cs="Arial"/>
          <w:kern w:val="0"/>
          <w:sz w:val="20"/>
          <w:szCs w:val="20"/>
          <w14:ligatures w14:val="none"/>
        </w:rPr>
        <w:t>Source: Own survey, 2024</w:t>
      </w:r>
    </w:p>
    <w:p w14:paraId="185579DE" w14:textId="4F9A254B" w:rsidR="005A2B97" w:rsidRPr="009D75D4" w:rsidRDefault="009D75D4" w:rsidP="005A2B97">
      <w:pPr>
        <w:spacing w:before="120" w:after="120" w:line="276" w:lineRule="auto"/>
        <w:jc w:val="both"/>
        <w:rPr>
          <w:rFonts w:ascii="Arial" w:eastAsia="Times New Roman" w:hAnsi="Arial" w:cs="Arial"/>
          <w:b/>
          <w:kern w:val="0"/>
          <w:sz w:val="22"/>
          <w:szCs w:val="20"/>
          <w14:ligatures w14:val="none"/>
        </w:rPr>
      </w:pPr>
      <w:r>
        <w:rPr>
          <w:rFonts w:ascii="Arial" w:eastAsia="Times New Roman" w:hAnsi="Arial" w:cs="Arial"/>
          <w:b/>
          <w:kern w:val="0"/>
          <w:sz w:val="22"/>
          <w:szCs w:val="20"/>
          <w14:ligatures w14:val="none"/>
        </w:rPr>
        <w:t>3.8</w:t>
      </w:r>
      <w:r>
        <w:rPr>
          <w:rFonts w:ascii="Arial" w:eastAsia="Times New Roman" w:hAnsi="Arial" w:cs="Arial"/>
          <w:b/>
          <w:kern w:val="0"/>
          <w:sz w:val="22"/>
          <w:szCs w:val="20"/>
          <w14:ligatures w14:val="none"/>
        </w:rPr>
        <w:tab/>
      </w:r>
      <w:r w:rsidR="005A2B97" w:rsidRPr="009D75D4">
        <w:rPr>
          <w:rFonts w:ascii="Arial" w:eastAsia="Times New Roman" w:hAnsi="Arial" w:cs="Arial"/>
          <w:b/>
          <w:kern w:val="0"/>
          <w:sz w:val="22"/>
          <w:szCs w:val="20"/>
          <w14:ligatures w14:val="none"/>
        </w:rPr>
        <w:t xml:space="preserve">Ratio of income, </w:t>
      </w:r>
      <w:r w:rsidR="00907E7C" w:rsidRPr="009D75D4">
        <w:rPr>
          <w:rFonts w:ascii="Arial" w:eastAsia="Times New Roman" w:hAnsi="Arial" w:cs="Arial"/>
          <w:b/>
          <w:kern w:val="0"/>
          <w:sz w:val="22"/>
          <w:szCs w:val="20"/>
          <w14:ligatures w14:val="none"/>
        </w:rPr>
        <w:t>total expenses</w:t>
      </w:r>
      <w:r w:rsidR="005A2B97" w:rsidRPr="009D75D4">
        <w:rPr>
          <w:rFonts w:ascii="Arial" w:eastAsia="Times New Roman" w:hAnsi="Arial" w:cs="Arial"/>
          <w:b/>
          <w:kern w:val="0"/>
          <w:sz w:val="22"/>
          <w:szCs w:val="20"/>
          <w14:ligatures w14:val="none"/>
        </w:rPr>
        <w:t>, living</w:t>
      </w:r>
      <w:r w:rsidR="00907E7C" w:rsidRPr="009D75D4">
        <w:rPr>
          <w:rFonts w:ascii="Arial" w:eastAsia="Times New Roman" w:hAnsi="Arial" w:cs="Arial"/>
          <w:b/>
          <w:kern w:val="0"/>
          <w:sz w:val="22"/>
          <w:szCs w:val="20"/>
          <w14:ligatures w14:val="none"/>
        </w:rPr>
        <w:t xml:space="preserve"> expenses</w:t>
      </w:r>
      <w:r w:rsidR="005A2B97" w:rsidRPr="009D75D4">
        <w:rPr>
          <w:rFonts w:ascii="Arial" w:eastAsia="Times New Roman" w:hAnsi="Arial" w:cs="Arial"/>
          <w:b/>
          <w:kern w:val="0"/>
          <w:sz w:val="22"/>
          <w:szCs w:val="20"/>
          <w14:ligatures w14:val="none"/>
        </w:rPr>
        <w:t>, education</w:t>
      </w:r>
      <w:r w:rsidR="00907E7C" w:rsidRPr="009D75D4">
        <w:rPr>
          <w:rFonts w:ascii="Arial" w:eastAsia="Times New Roman" w:hAnsi="Arial" w:cs="Arial"/>
          <w:b/>
          <w:kern w:val="0"/>
          <w:sz w:val="22"/>
          <w:szCs w:val="20"/>
          <w14:ligatures w14:val="none"/>
        </w:rPr>
        <w:t xml:space="preserve"> expenses</w:t>
      </w:r>
      <w:r w:rsidR="005A2B97" w:rsidRPr="009D75D4">
        <w:rPr>
          <w:rFonts w:ascii="Arial" w:eastAsia="Times New Roman" w:hAnsi="Arial" w:cs="Arial"/>
          <w:b/>
          <w:kern w:val="0"/>
          <w:sz w:val="22"/>
          <w:szCs w:val="20"/>
          <w14:ligatures w14:val="none"/>
        </w:rPr>
        <w:t>, and ICT expenses of sample students</w:t>
      </w:r>
    </w:p>
    <w:p w14:paraId="2309F7D3" w14:textId="77777777" w:rsidR="007D1290" w:rsidRPr="009D75D4" w:rsidRDefault="007D1290" w:rsidP="009D75D4">
      <w:pPr>
        <w:spacing w:before="100" w:after="120" w:line="360" w:lineRule="auto"/>
        <w:jc w:val="both"/>
        <w:rPr>
          <w:rFonts w:ascii="Arial" w:eastAsia="Times New Roman" w:hAnsi="Arial" w:cs="Arial"/>
          <w:kern w:val="0"/>
          <w:sz w:val="20"/>
          <w:szCs w:val="20"/>
          <w14:ligatures w14:val="none"/>
        </w:rPr>
      </w:pPr>
      <w:r w:rsidRPr="009D75D4">
        <w:rPr>
          <w:rFonts w:ascii="Arial" w:eastAsia="Times New Roman" w:hAnsi="Arial" w:cs="Arial"/>
          <w:kern w:val="0"/>
          <w:sz w:val="20"/>
          <w:szCs w:val="20"/>
          <w14:ligatures w14:val="none"/>
        </w:rPr>
        <w:t>The student’s semester-wise income expenditure, living expenses, education expenses, and ICT expense ratios are shown in Table 8. According to the results, the typical contribution of expenditure to income of sample students (n=470) was 0.78, and the maximum contribution was 1.83, which means some students struggle with financial problems and they spent more money than they could earn. The average share of living expenses to income was 0.65, which has the same meaning as their living expenses and was higher than their income. Living expenses for students typically include costs related to accommodation, food, transportation, and personal needs. This study revealed that the proportion of income allocated to education and ICT expenses is relatively low among the surveyed students, accounting for less than 0.08 and 0.05 of total income on average, respectively.</w:t>
      </w:r>
    </w:p>
    <w:bookmarkEnd w:id="0"/>
    <w:p w14:paraId="3A5B34E0" w14:textId="77777777" w:rsidR="00A64104" w:rsidRDefault="00A64104" w:rsidP="00BA47C6">
      <w:pPr>
        <w:spacing w:before="80" w:after="100" w:line="276" w:lineRule="auto"/>
        <w:ind w:left="811" w:hanging="811"/>
        <w:jc w:val="both"/>
        <w:rPr>
          <w:rFonts w:ascii="Arial" w:eastAsia="Times New Roman" w:hAnsi="Arial" w:cs="Arial"/>
          <w:kern w:val="0"/>
          <w:sz w:val="20"/>
          <w:szCs w:val="20"/>
          <w14:ligatures w14:val="none"/>
        </w:rPr>
      </w:pPr>
    </w:p>
    <w:p w14:paraId="1AC8604A" w14:textId="77777777" w:rsidR="00A64104" w:rsidRDefault="00A64104" w:rsidP="00BA47C6">
      <w:pPr>
        <w:spacing w:before="80" w:after="100" w:line="276" w:lineRule="auto"/>
        <w:ind w:left="811" w:hanging="811"/>
        <w:jc w:val="both"/>
        <w:rPr>
          <w:rFonts w:ascii="Arial" w:eastAsia="Times New Roman" w:hAnsi="Arial" w:cs="Arial"/>
          <w:kern w:val="0"/>
          <w:sz w:val="20"/>
          <w:szCs w:val="20"/>
          <w14:ligatures w14:val="none"/>
        </w:rPr>
      </w:pPr>
    </w:p>
    <w:p w14:paraId="4E013466" w14:textId="77777777" w:rsidR="00A64104" w:rsidRDefault="00A64104" w:rsidP="00BA47C6">
      <w:pPr>
        <w:spacing w:before="80" w:after="100" w:line="276" w:lineRule="auto"/>
        <w:ind w:left="811" w:hanging="811"/>
        <w:jc w:val="both"/>
        <w:rPr>
          <w:rFonts w:ascii="Arial" w:eastAsia="Times New Roman" w:hAnsi="Arial" w:cs="Arial"/>
          <w:kern w:val="0"/>
          <w:sz w:val="20"/>
          <w:szCs w:val="20"/>
          <w14:ligatures w14:val="none"/>
        </w:rPr>
      </w:pPr>
    </w:p>
    <w:p w14:paraId="5055F1F8" w14:textId="6F98A50F" w:rsidR="00BA47C6" w:rsidRPr="009D75D4" w:rsidRDefault="00BA47C6" w:rsidP="00BA47C6">
      <w:pPr>
        <w:spacing w:before="80" w:after="100" w:line="276" w:lineRule="auto"/>
        <w:ind w:left="811" w:hanging="811"/>
        <w:jc w:val="both"/>
        <w:rPr>
          <w:rFonts w:ascii="Arial" w:eastAsia="Times New Roman" w:hAnsi="Arial" w:cs="Arial"/>
          <w:kern w:val="0"/>
          <w:sz w:val="20"/>
          <w:szCs w:val="20"/>
          <w14:ligatures w14:val="none"/>
        </w:rPr>
      </w:pPr>
      <w:r w:rsidRPr="009D75D4">
        <w:rPr>
          <w:rFonts w:ascii="Arial" w:eastAsia="Times New Roman" w:hAnsi="Arial" w:cs="Arial"/>
          <w:kern w:val="0"/>
          <w:sz w:val="20"/>
          <w:szCs w:val="20"/>
          <w14:ligatures w14:val="none"/>
        </w:rPr>
        <w:t xml:space="preserve">Table </w:t>
      </w:r>
      <w:r w:rsidRPr="009D75D4">
        <w:rPr>
          <w:rFonts w:ascii="Arial" w:eastAsia="Times New Roman" w:hAnsi="Arial" w:cs="Arial"/>
          <w:kern w:val="0"/>
          <w:sz w:val="20"/>
          <w:szCs w:val="20"/>
          <w14:ligatures w14:val="none"/>
        </w:rPr>
        <w:fldChar w:fldCharType="begin"/>
      </w:r>
      <w:r w:rsidRPr="009D75D4">
        <w:rPr>
          <w:rFonts w:ascii="Arial" w:eastAsia="Times New Roman" w:hAnsi="Arial" w:cs="Arial"/>
          <w:kern w:val="0"/>
          <w:sz w:val="20"/>
          <w:szCs w:val="20"/>
          <w14:ligatures w14:val="none"/>
        </w:rPr>
        <w:instrText xml:space="preserve"> SEQ Table \* ARABIC </w:instrText>
      </w:r>
      <w:r w:rsidRPr="009D75D4">
        <w:rPr>
          <w:rFonts w:ascii="Arial" w:eastAsia="Times New Roman" w:hAnsi="Arial" w:cs="Arial"/>
          <w:kern w:val="0"/>
          <w:sz w:val="20"/>
          <w:szCs w:val="20"/>
          <w14:ligatures w14:val="none"/>
        </w:rPr>
        <w:fldChar w:fldCharType="separate"/>
      </w:r>
      <w:r w:rsidR="00AE6A7B" w:rsidRPr="009D75D4">
        <w:rPr>
          <w:rFonts w:ascii="Arial" w:eastAsia="Times New Roman" w:hAnsi="Arial" w:cs="Arial"/>
          <w:kern w:val="0"/>
          <w:sz w:val="20"/>
          <w:szCs w:val="20"/>
          <w14:ligatures w14:val="none"/>
        </w:rPr>
        <w:t>8</w:t>
      </w:r>
      <w:r w:rsidRPr="009D75D4">
        <w:rPr>
          <w:rFonts w:ascii="Arial" w:eastAsia="Times New Roman" w:hAnsi="Arial" w:cs="Arial"/>
          <w:kern w:val="0"/>
          <w:sz w:val="20"/>
          <w:szCs w:val="20"/>
          <w14:ligatures w14:val="none"/>
        </w:rPr>
        <w:fldChar w:fldCharType="end"/>
      </w:r>
      <w:r w:rsidRPr="009D75D4">
        <w:rPr>
          <w:rFonts w:ascii="Arial" w:eastAsia="Times New Roman" w:hAnsi="Arial" w:cs="Arial"/>
          <w:kern w:val="0"/>
          <w:sz w:val="20"/>
          <w:szCs w:val="20"/>
          <w14:ligatures w14:val="none"/>
        </w:rPr>
        <w:t xml:space="preserve"> Ratio of income, total expenses, living expenses, education expenses, and ICT expenses of sample students during five months (n=470)</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9"/>
        <w:gridCol w:w="1385"/>
        <w:gridCol w:w="1614"/>
        <w:gridCol w:w="1670"/>
        <w:gridCol w:w="798"/>
      </w:tblGrid>
      <w:tr w:rsidR="00ED4EC0" w:rsidRPr="009D75D4" w14:paraId="4BE3D80A" w14:textId="77777777" w:rsidTr="001175D9">
        <w:trPr>
          <w:trHeight w:val="340"/>
        </w:trPr>
        <w:tc>
          <w:tcPr>
            <w:tcW w:w="1972" w:type="pct"/>
            <w:tcBorders>
              <w:top w:val="single" w:sz="4" w:space="0" w:color="auto"/>
              <w:bottom w:val="single" w:sz="4" w:space="0" w:color="auto"/>
            </w:tcBorders>
          </w:tcPr>
          <w:p w14:paraId="42505845" w14:textId="77777777" w:rsidR="00ED4EC0" w:rsidRPr="009D75D4" w:rsidRDefault="00ED4EC0" w:rsidP="00D346C8">
            <w:pPr>
              <w:spacing w:line="276" w:lineRule="auto"/>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Item</w:t>
            </w:r>
          </w:p>
        </w:tc>
        <w:tc>
          <w:tcPr>
            <w:tcW w:w="767" w:type="pct"/>
            <w:tcBorders>
              <w:top w:val="single" w:sz="4" w:space="0" w:color="auto"/>
              <w:bottom w:val="single" w:sz="4" w:space="0" w:color="auto"/>
            </w:tcBorders>
          </w:tcPr>
          <w:p w14:paraId="6D05A6BF" w14:textId="77777777" w:rsidR="00ED4EC0" w:rsidRPr="009D75D4" w:rsidRDefault="00ED4EC0" w:rsidP="00D346C8">
            <w:pPr>
              <w:spacing w:line="276" w:lineRule="auto"/>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Average</w:t>
            </w:r>
          </w:p>
        </w:tc>
        <w:tc>
          <w:tcPr>
            <w:tcW w:w="894" w:type="pct"/>
            <w:tcBorders>
              <w:top w:val="single" w:sz="4" w:space="0" w:color="auto"/>
              <w:bottom w:val="single" w:sz="4" w:space="0" w:color="auto"/>
            </w:tcBorders>
          </w:tcPr>
          <w:p w14:paraId="0CDAD278" w14:textId="77777777" w:rsidR="00ED4EC0" w:rsidRPr="009D75D4" w:rsidRDefault="00ED4EC0" w:rsidP="00D346C8">
            <w:pPr>
              <w:spacing w:line="276" w:lineRule="auto"/>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Minimum</w:t>
            </w:r>
          </w:p>
        </w:tc>
        <w:tc>
          <w:tcPr>
            <w:tcW w:w="925" w:type="pct"/>
            <w:tcBorders>
              <w:top w:val="single" w:sz="4" w:space="0" w:color="auto"/>
              <w:bottom w:val="single" w:sz="4" w:space="0" w:color="auto"/>
            </w:tcBorders>
          </w:tcPr>
          <w:p w14:paraId="41C8FA6B" w14:textId="77777777" w:rsidR="00ED4EC0" w:rsidRPr="009D75D4" w:rsidRDefault="00ED4EC0" w:rsidP="00D346C8">
            <w:pPr>
              <w:spacing w:line="276" w:lineRule="auto"/>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Maximum</w:t>
            </w:r>
          </w:p>
        </w:tc>
        <w:tc>
          <w:tcPr>
            <w:tcW w:w="442" w:type="pct"/>
            <w:tcBorders>
              <w:top w:val="single" w:sz="4" w:space="0" w:color="auto"/>
              <w:bottom w:val="single" w:sz="4" w:space="0" w:color="auto"/>
            </w:tcBorders>
          </w:tcPr>
          <w:p w14:paraId="563BB6E2" w14:textId="77777777" w:rsidR="00ED4EC0" w:rsidRPr="009D75D4" w:rsidRDefault="00ED4EC0" w:rsidP="00D346C8">
            <w:pPr>
              <w:spacing w:line="276" w:lineRule="auto"/>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SD</w:t>
            </w:r>
          </w:p>
        </w:tc>
      </w:tr>
      <w:tr w:rsidR="00BE5053" w:rsidRPr="009D75D4" w14:paraId="307DDA64" w14:textId="77777777" w:rsidTr="001175D9">
        <w:trPr>
          <w:trHeight w:val="340"/>
        </w:trPr>
        <w:tc>
          <w:tcPr>
            <w:tcW w:w="1972" w:type="pct"/>
            <w:tcBorders>
              <w:top w:val="single" w:sz="4" w:space="0" w:color="auto"/>
            </w:tcBorders>
          </w:tcPr>
          <w:p w14:paraId="7EE3CC99" w14:textId="45170F86" w:rsidR="00BE5053" w:rsidRPr="009D75D4" w:rsidRDefault="00BE5053" w:rsidP="00D346C8">
            <w:pPr>
              <w:spacing w:line="276" w:lineRule="auto"/>
              <w:ind w:left="176"/>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 xml:space="preserve">Expenditure/Income </w:t>
            </w:r>
          </w:p>
        </w:tc>
        <w:tc>
          <w:tcPr>
            <w:tcW w:w="767" w:type="pct"/>
            <w:tcBorders>
              <w:top w:val="single" w:sz="4" w:space="0" w:color="auto"/>
            </w:tcBorders>
          </w:tcPr>
          <w:p w14:paraId="4EC0770F" w14:textId="05458679" w:rsidR="00BE5053" w:rsidRPr="009D75D4" w:rsidRDefault="00BE5053" w:rsidP="00D346C8">
            <w:pPr>
              <w:spacing w:line="276" w:lineRule="auto"/>
              <w:jc w:val="center"/>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0.78</w:t>
            </w:r>
          </w:p>
        </w:tc>
        <w:tc>
          <w:tcPr>
            <w:tcW w:w="894" w:type="pct"/>
            <w:tcBorders>
              <w:top w:val="single" w:sz="4" w:space="0" w:color="auto"/>
            </w:tcBorders>
          </w:tcPr>
          <w:p w14:paraId="48A45DA7" w14:textId="57447CEA" w:rsidR="00BE5053" w:rsidRPr="009D75D4" w:rsidRDefault="00BE5053" w:rsidP="00D346C8">
            <w:pPr>
              <w:spacing w:line="276" w:lineRule="auto"/>
              <w:jc w:val="center"/>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0.24</w:t>
            </w:r>
          </w:p>
        </w:tc>
        <w:tc>
          <w:tcPr>
            <w:tcW w:w="925" w:type="pct"/>
            <w:tcBorders>
              <w:top w:val="single" w:sz="4" w:space="0" w:color="auto"/>
            </w:tcBorders>
          </w:tcPr>
          <w:p w14:paraId="64A9BC63" w14:textId="7978F63F" w:rsidR="00BE5053" w:rsidRPr="009D75D4" w:rsidRDefault="00BE5053" w:rsidP="00D346C8">
            <w:pPr>
              <w:spacing w:line="276" w:lineRule="auto"/>
              <w:jc w:val="center"/>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1.83</w:t>
            </w:r>
          </w:p>
        </w:tc>
        <w:tc>
          <w:tcPr>
            <w:tcW w:w="442" w:type="pct"/>
            <w:tcBorders>
              <w:top w:val="single" w:sz="4" w:space="0" w:color="auto"/>
            </w:tcBorders>
          </w:tcPr>
          <w:p w14:paraId="5EAD114F" w14:textId="308BB58A" w:rsidR="00BE5053" w:rsidRPr="009D75D4" w:rsidRDefault="00BE5053" w:rsidP="00D346C8">
            <w:pPr>
              <w:spacing w:line="276" w:lineRule="auto"/>
              <w:jc w:val="center"/>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0.21</w:t>
            </w:r>
          </w:p>
        </w:tc>
      </w:tr>
      <w:tr w:rsidR="00BE5053" w:rsidRPr="009D75D4" w14:paraId="403BABA0" w14:textId="77777777" w:rsidTr="001175D9">
        <w:trPr>
          <w:trHeight w:val="340"/>
        </w:trPr>
        <w:tc>
          <w:tcPr>
            <w:tcW w:w="1972" w:type="pct"/>
          </w:tcPr>
          <w:p w14:paraId="2A64C11D" w14:textId="52EB60E5" w:rsidR="00BE5053" w:rsidRPr="009D75D4" w:rsidRDefault="00BE5053" w:rsidP="00D346C8">
            <w:pPr>
              <w:spacing w:line="276" w:lineRule="auto"/>
              <w:ind w:left="176"/>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lastRenderedPageBreak/>
              <w:t xml:space="preserve">Living </w:t>
            </w:r>
            <w:r w:rsidR="00C85AA2" w:rsidRPr="009D75D4">
              <w:rPr>
                <w:rFonts w:ascii="Arial" w:eastAsia="Calibri" w:hAnsi="Arial" w:cs="Arial"/>
                <w:kern w:val="0"/>
                <w:sz w:val="20"/>
                <w:szCs w:val="20"/>
                <w14:ligatures w14:val="none"/>
              </w:rPr>
              <w:t>expenses</w:t>
            </w:r>
            <w:r w:rsidRPr="009D75D4">
              <w:rPr>
                <w:rFonts w:ascii="Arial" w:eastAsia="Calibri" w:hAnsi="Arial" w:cs="Arial"/>
                <w:kern w:val="0"/>
                <w:sz w:val="20"/>
                <w:szCs w:val="20"/>
                <w14:ligatures w14:val="none"/>
              </w:rPr>
              <w:t>/Income</w:t>
            </w:r>
          </w:p>
        </w:tc>
        <w:tc>
          <w:tcPr>
            <w:tcW w:w="767" w:type="pct"/>
          </w:tcPr>
          <w:p w14:paraId="76514BA0" w14:textId="4FDBF566" w:rsidR="00BE5053" w:rsidRPr="009D75D4" w:rsidRDefault="00BE5053" w:rsidP="00D346C8">
            <w:pPr>
              <w:spacing w:line="276" w:lineRule="auto"/>
              <w:jc w:val="center"/>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0.65</w:t>
            </w:r>
          </w:p>
        </w:tc>
        <w:tc>
          <w:tcPr>
            <w:tcW w:w="894" w:type="pct"/>
          </w:tcPr>
          <w:p w14:paraId="27CF2E04" w14:textId="4462259E" w:rsidR="00BE5053" w:rsidRPr="009D75D4" w:rsidRDefault="00BE5053" w:rsidP="00D346C8">
            <w:pPr>
              <w:spacing w:line="276" w:lineRule="auto"/>
              <w:jc w:val="center"/>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0.21</w:t>
            </w:r>
          </w:p>
        </w:tc>
        <w:tc>
          <w:tcPr>
            <w:tcW w:w="925" w:type="pct"/>
          </w:tcPr>
          <w:p w14:paraId="522510B7" w14:textId="0449F6E5" w:rsidR="00BE5053" w:rsidRPr="009D75D4" w:rsidRDefault="00BE5053" w:rsidP="00D346C8">
            <w:pPr>
              <w:spacing w:line="276" w:lineRule="auto"/>
              <w:jc w:val="center"/>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1.30</w:t>
            </w:r>
          </w:p>
        </w:tc>
        <w:tc>
          <w:tcPr>
            <w:tcW w:w="442" w:type="pct"/>
          </w:tcPr>
          <w:p w14:paraId="72FF1E56" w14:textId="24915029" w:rsidR="00BE5053" w:rsidRPr="009D75D4" w:rsidRDefault="00BE5053" w:rsidP="00D346C8">
            <w:pPr>
              <w:spacing w:line="276" w:lineRule="auto"/>
              <w:jc w:val="center"/>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0.18</w:t>
            </w:r>
          </w:p>
        </w:tc>
      </w:tr>
      <w:tr w:rsidR="00BE5053" w:rsidRPr="009D75D4" w14:paraId="769CF244" w14:textId="77777777" w:rsidTr="001175D9">
        <w:trPr>
          <w:trHeight w:val="340"/>
        </w:trPr>
        <w:tc>
          <w:tcPr>
            <w:tcW w:w="1972" w:type="pct"/>
          </w:tcPr>
          <w:p w14:paraId="0EEB4A62" w14:textId="0F707222" w:rsidR="00BE5053" w:rsidRPr="009D75D4" w:rsidRDefault="00C85AA2" w:rsidP="00D346C8">
            <w:pPr>
              <w:spacing w:line="276" w:lineRule="auto"/>
              <w:ind w:left="176"/>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Education expenses</w:t>
            </w:r>
            <w:r w:rsidR="00BE5053" w:rsidRPr="009D75D4">
              <w:rPr>
                <w:rFonts w:ascii="Arial" w:eastAsia="Calibri" w:hAnsi="Arial" w:cs="Arial"/>
                <w:kern w:val="0"/>
                <w:sz w:val="20"/>
                <w:szCs w:val="20"/>
                <w14:ligatures w14:val="none"/>
              </w:rPr>
              <w:t>/Income</w:t>
            </w:r>
          </w:p>
        </w:tc>
        <w:tc>
          <w:tcPr>
            <w:tcW w:w="767" w:type="pct"/>
          </w:tcPr>
          <w:p w14:paraId="73915842" w14:textId="56C1CF15" w:rsidR="00BE5053" w:rsidRPr="009D75D4" w:rsidRDefault="00BE5053" w:rsidP="00D346C8">
            <w:pPr>
              <w:spacing w:line="276" w:lineRule="auto"/>
              <w:jc w:val="center"/>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0.08</w:t>
            </w:r>
          </w:p>
        </w:tc>
        <w:tc>
          <w:tcPr>
            <w:tcW w:w="894" w:type="pct"/>
          </w:tcPr>
          <w:p w14:paraId="29F3C0D5" w14:textId="64324007" w:rsidR="00BE5053" w:rsidRPr="009D75D4" w:rsidRDefault="00BE5053" w:rsidP="00D346C8">
            <w:pPr>
              <w:spacing w:line="276" w:lineRule="auto"/>
              <w:jc w:val="center"/>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0.02</w:t>
            </w:r>
          </w:p>
        </w:tc>
        <w:tc>
          <w:tcPr>
            <w:tcW w:w="925" w:type="pct"/>
          </w:tcPr>
          <w:p w14:paraId="073971BE" w14:textId="76CF3FDB" w:rsidR="00BE5053" w:rsidRPr="009D75D4" w:rsidRDefault="00BE5053" w:rsidP="00D346C8">
            <w:pPr>
              <w:spacing w:line="276" w:lineRule="auto"/>
              <w:jc w:val="center"/>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0.36</w:t>
            </w:r>
          </w:p>
        </w:tc>
        <w:tc>
          <w:tcPr>
            <w:tcW w:w="442" w:type="pct"/>
          </w:tcPr>
          <w:p w14:paraId="41CD28A4" w14:textId="07D1A34E" w:rsidR="00BE5053" w:rsidRPr="009D75D4" w:rsidRDefault="00BE5053" w:rsidP="00D346C8">
            <w:pPr>
              <w:spacing w:line="276" w:lineRule="auto"/>
              <w:jc w:val="center"/>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0.04</w:t>
            </w:r>
          </w:p>
        </w:tc>
      </w:tr>
      <w:tr w:rsidR="00BE5053" w:rsidRPr="009D75D4" w14:paraId="7F5F2DCB" w14:textId="77777777" w:rsidTr="001175D9">
        <w:trPr>
          <w:trHeight w:val="340"/>
        </w:trPr>
        <w:tc>
          <w:tcPr>
            <w:tcW w:w="1972" w:type="pct"/>
            <w:tcBorders>
              <w:bottom w:val="single" w:sz="4" w:space="0" w:color="auto"/>
            </w:tcBorders>
          </w:tcPr>
          <w:p w14:paraId="5DFFCA9E" w14:textId="5A7CFFB4" w:rsidR="00BE5053" w:rsidRPr="009D75D4" w:rsidRDefault="00BE5053" w:rsidP="00D346C8">
            <w:pPr>
              <w:spacing w:line="276" w:lineRule="auto"/>
              <w:ind w:left="176"/>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 xml:space="preserve">ICT </w:t>
            </w:r>
            <w:r w:rsidR="00C85AA2" w:rsidRPr="009D75D4">
              <w:rPr>
                <w:rFonts w:ascii="Arial" w:eastAsia="Calibri" w:hAnsi="Arial" w:cs="Arial"/>
                <w:kern w:val="0"/>
                <w:sz w:val="20"/>
                <w:szCs w:val="20"/>
                <w14:ligatures w14:val="none"/>
              </w:rPr>
              <w:t>expenses</w:t>
            </w:r>
            <w:r w:rsidRPr="009D75D4">
              <w:rPr>
                <w:rFonts w:ascii="Arial" w:eastAsia="Calibri" w:hAnsi="Arial" w:cs="Arial"/>
                <w:kern w:val="0"/>
                <w:sz w:val="20"/>
                <w:szCs w:val="20"/>
                <w14:ligatures w14:val="none"/>
              </w:rPr>
              <w:t>/Income</w:t>
            </w:r>
          </w:p>
        </w:tc>
        <w:tc>
          <w:tcPr>
            <w:tcW w:w="767" w:type="pct"/>
            <w:tcBorders>
              <w:bottom w:val="single" w:sz="4" w:space="0" w:color="auto"/>
            </w:tcBorders>
          </w:tcPr>
          <w:p w14:paraId="390D0962" w14:textId="7695DE1C" w:rsidR="00BE5053" w:rsidRPr="009D75D4" w:rsidRDefault="00BE5053" w:rsidP="00D346C8">
            <w:pPr>
              <w:spacing w:line="276" w:lineRule="auto"/>
              <w:jc w:val="center"/>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0.05</w:t>
            </w:r>
          </w:p>
        </w:tc>
        <w:tc>
          <w:tcPr>
            <w:tcW w:w="894" w:type="pct"/>
            <w:tcBorders>
              <w:bottom w:val="single" w:sz="4" w:space="0" w:color="auto"/>
            </w:tcBorders>
          </w:tcPr>
          <w:p w14:paraId="442DC35A" w14:textId="6E76C33E" w:rsidR="00BE5053" w:rsidRPr="009D75D4" w:rsidRDefault="00BE5053" w:rsidP="00D346C8">
            <w:pPr>
              <w:spacing w:line="276" w:lineRule="auto"/>
              <w:jc w:val="center"/>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0.00</w:t>
            </w:r>
          </w:p>
        </w:tc>
        <w:tc>
          <w:tcPr>
            <w:tcW w:w="925" w:type="pct"/>
            <w:tcBorders>
              <w:bottom w:val="single" w:sz="4" w:space="0" w:color="auto"/>
            </w:tcBorders>
          </w:tcPr>
          <w:p w14:paraId="2AAC29DD" w14:textId="5D2D1117" w:rsidR="00BE5053" w:rsidRPr="009D75D4" w:rsidRDefault="00BE5053" w:rsidP="00D346C8">
            <w:pPr>
              <w:spacing w:line="276" w:lineRule="auto"/>
              <w:jc w:val="center"/>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0.20</w:t>
            </w:r>
          </w:p>
        </w:tc>
        <w:tc>
          <w:tcPr>
            <w:tcW w:w="442" w:type="pct"/>
            <w:tcBorders>
              <w:bottom w:val="single" w:sz="4" w:space="0" w:color="auto"/>
            </w:tcBorders>
          </w:tcPr>
          <w:p w14:paraId="29CED8C8" w14:textId="24F58B08" w:rsidR="00BE5053" w:rsidRPr="009D75D4" w:rsidRDefault="00BE5053" w:rsidP="00D346C8">
            <w:pPr>
              <w:spacing w:line="276" w:lineRule="auto"/>
              <w:jc w:val="center"/>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0.03</w:t>
            </w:r>
          </w:p>
        </w:tc>
      </w:tr>
    </w:tbl>
    <w:p w14:paraId="120F54B0" w14:textId="30DF6E3F" w:rsidR="009D75D4" w:rsidRDefault="009D75D4" w:rsidP="009D75D4">
      <w:pPr>
        <w:spacing w:before="100" w:after="120" w:line="360" w:lineRule="auto"/>
        <w:jc w:val="both"/>
        <w:rPr>
          <w:rFonts w:ascii="Times New Roman" w:eastAsia="Calibri" w:hAnsi="Times New Roman" w:cs="Times New Roman"/>
          <w:kern w:val="0"/>
          <w14:ligatures w14:val="none"/>
        </w:rPr>
      </w:pPr>
      <w:bookmarkStart w:id="1" w:name="_Hlk196343878"/>
      <w:r w:rsidRPr="00172DA9">
        <w:rPr>
          <w:rFonts w:ascii="Arial" w:eastAsia="Times New Roman" w:hAnsi="Arial" w:cs="Arial"/>
          <w:kern w:val="0"/>
          <w:sz w:val="20"/>
          <w:szCs w:val="20"/>
          <w14:ligatures w14:val="none"/>
        </w:rPr>
        <w:t>Source: Own survey, 2024</w:t>
      </w:r>
    </w:p>
    <w:p w14:paraId="41EAB656" w14:textId="6927A3DC" w:rsidR="00EB295D" w:rsidRPr="009D75D4" w:rsidRDefault="009670F7" w:rsidP="009D75D4">
      <w:pPr>
        <w:spacing w:before="100" w:after="120" w:line="360" w:lineRule="auto"/>
        <w:jc w:val="both"/>
        <w:rPr>
          <w:rFonts w:ascii="Arial" w:eastAsia="Times New Roman" w:hAnsi="Arial" w:cs="Arial"/>
          <w:kern w:val="0"/>
          <w:sz w:val="20"/>
          <w:szCs w:val="20"/>
          <w14:ligatures w14:val="none"/>
        </w:rPr>
      </w:pPr>
      <w:r w:rsidRPr="009D75D4">
        <w:rPr>
          <w:rFonts w:ascii="Arial" w:eastAsia="Times New Roman" w:hAnsi="Arial" w:cs="Arial"/>
          <w:kern w:val="0"/>
          <w:sz w:val="20"/>
          <w:szCs w:val="20"/>
          <w14:ligatures w14:val="none"/>
        </w:rPr>
        <w:t>The comparison of students' income based on parental income levels is presented in Table</w:t>
      </w:r>
      <w:r w:rsidR="00A64104">
        <w:rPr>
          <w:rFonts w:ascii="Arial" w:eastAsia="Times New Roman" w:hAnsi="Arial" w:cs="Arial"/>
          <w:kern w:val="0"/>
          <w:sz w:val="20"/>
          <w:szCs w:val="20"/>
          <w14:ligatures w14:val="none"/>
        </w:rPr>
        <w:t xml:space="preserve"> 9</w:t>
      </w:r>
      <w:r w:rsidRPr="009D75D4">
        <w:rPr>
          <w:rFonts w:ascii="Arial" w:eastAsia="Times New Roman" w:hAnsi="Arial" w:cs="Arial"/>
          <w:kern w:val="0"/>
          <w:sz w:val="20"/>
          <w:szCs w:val="20"/>
          <w14:ligatures w14:val="none"/>
        </w:rPr>
        <w:t xml:space="preserve">. </w:t>
      </w:r>
      <w:r w:rsidR="00EB295D" w:rsidRPr="009D75D4">
        <w:rPr>
          <w:rFonts w:ascii="Arial" w:eastAsia="Times New Roman" w:hAnsi="Arial" w:cs="Arial"/>
          <w:kern w:val="0"/>
          <w:sz w:val="20"/>
          <w:szCs w:val="20"/>
          <w14:ligatures w14:val="none"/>
        </w:rPr>
        <w:t xml:space="preserve">The result </w:t>
      </w:r>
      <w:r w:rsidR="002734CE" w:rsidRPr="009D75D4">
        <w:rPr>
          <w:rFonts w:ascii="Arial" w:eastAsia="Times New Roman" w:hAnsi="Arial" w:cs="Arial"/>
          <w:kern w:val="0"/>
          <w:sz w:val="20"/>
          <w:szCs w:val="20"/>
          <w14:ligatures w14:val="none"/>
        </w:rPr>
        <w:t>is</w:t>
      </w:r>
      <w:r w:rsidR="00BA47C6" w:rsidRPr="009D75D4">
        <w:rPr>
          <w:rFonts w:ascii="Arial" w:eastAsia="Times New Roman" w:hAnsi="Arial" w:cs="Arial"/>
          <w:kern w:val="0"/>
          <w:sz w:val="20"/>
          <w:szCs w:val="20"/>
          <w14:ligatures w14:val="none"/>
        </w:rPr>
        <w:t xml:space="preserve"> statistically insignificant at the p-value is greater than 0.05 and it is concluded</w:t>
      </w:r>
      <w:r w:rsidR="00EB295D" w:rsidRPr="009D75D4">
        <w:rPr>
          <w:rFonts w:ascii="Arial" w:eastAsia="Times New Roman" w:hAnsi="Arial" w:cs="Arial"/>
          <w:kern w:val="0"/>
          <w:sz w:val="20"/>
          <w:szCs w:val="20"/>
          <w14:ligatures w14:val="none"/>
        </w:rPr>
        <w:t xml:space="preserve"> </w:t>
      </w:r>
      <w:r w:rsidR="00BA47C6" w:rsidRPr="009D75D4">
        <w:rPr>
          <w:rFonts w:ascii="Arial" w:eastAsia="Times New Roman" w:hAnsi="Arial" w:cs="Arial"/>
          <w:kern w:val="0"/>
          <w:sz w:val="20"/>
          <w:szCs w:val="20"/>
          <w14:ligatures w14:val="none"/>
        </w:rPr>
        <w:t>that there is no association between the</w:t>
      </w:r>
      <w:r w:rsidR="00EB295D" w:rsidRPr="009D75D4">
        <w:rPr>
          <w:rFonts w:ascii="Arial" w:eastAsia="Times New Roman" w:hAnsi="Arial" w:cs="Arial"/>
          <w:kern w:val="0"/>
          <w:sz w:val="20"/>
          <w:szCs w:val="20"/>
          <w14:ligatures w14:val="none"/>
        </w:rPr>
        <w:t xml:space="preserve"> students' income across the various parental income categories. </w:t>
      </w:r>
      <w:r w:rsidR="004E1198" w:rsidRPr="009D75D4">
        <w:rPr>
          <w:rFonts w:ascii="Arial" w:eastAsia="Times New Roman" w:hAnsi="Arial" w:cs="Arial"/>
          <w:kern w:val="0"/>
          <w:sz w:val="20"/>
          <w:szCs w:val="20"/>
          <w14:ligatures w14:val="none"/>
        </w:rPr>
        <w:t>According to previous research, t</w:t>
      </w:r>
      <w:r w:rsidR="00A90B12" w:rsidRPr="009D75D4">
        <w:rPr>
          <w:rFonts w:ascii="Arial" w:eastAsia="Times New Roman" w:hAnsi="Arial" w:cs="Arial"/>
          <w:kern w:val="0"/>
          <w:sz w:val="20"/>
          <w:szCs w:val="20"/>
          <w14:ligatures w14:val="none"/>
        </w:rPr>
        <w:t xml:space="preserve">his finding implies that students, irrespective of their family's financial situation, generally earn comparable amounts while attending school. A potential reason for this trend is that student earnings are more influenced by personal initiative, the flexibility of academic schedules, and the availability of local job opportunities, rather than by their family's socioeconomic status (Cooper, 2020). Furthermore, </w:t>
      </w:r>
      <w:r w:rsidR="004E1198" w:rsidRPr="009D75D4">
        <w:rPr>
          <w:rFonts w:ascii="Arial" w:eastAsia="Times New Roman" w:hAnsi="Arial" w:cs="Arial"/>
          <w:kern w:val="0"/>
          <w:sz w:val="20"/>
          <w:szCs w:val="20"/>
          <w14:ligatures w14:val="none"/>
        </w:rPr>
        <w:t xml:space="preserve">previous research discussed that </w:t>
      </w:r>
      <w:r w:rsidR="00A90B12" w:rsidRPr="009D75D4">
        <w:rPr>
          <w:rFonts w:ascii="Arial" w:eastAsia="Times New Roman" w:hAnsi="Arial" w:cs="Arial"/>
          <w:kern w:val="0"/>
          <w:sz w:val="20"/>
          <w:szCs w:val="20"/>
          <w14:ligatures w14:val="none"/>
        </w:rPr>
        <w:t>many students may depend on part-time jobs, scholarships, or stipends that are not directly linked to their parents' income (</w:t>
      </w:r>
      <w:proofErr w:type="spellStart"/>
      <w:r w:rsidR="00A90B12" w:rsidRPr="009D75D4">
        <w:rPr>
          <w:rFonts w:ascii="Arial" w:eastAsia="Times New Roman" w:hAnsi="Arial" w:cs="Arial"/>
          <w:kern w:val="0"/>
          <w:sz w:val="20"/>
          <w:szCs w:val="20"/>
          <w14:ligatures w14:val="none"/>
        </w:rPr>
        <w:t>Kishwer</w:t>
      </w:r>
      <w:proofErr w:type="spellEnd"/>
      <w:r w:rsidR="00A90B12" w:rsidRPr="009D75D4">
        <w:rPr>
          <w:rFonts w:ascii="Arial" w:eastAsia="Times New Roman" w:hAnsi="Arial" w:cs="Arial"/>
          <w:kern w:val="0"/>
          <w:sz w:val="20"/>
          <w:szCs w:val="20"/>
          <w14:ligatures w14:val="none"/>
        </w:rPr>
        <w:t xml:space="preserve"> et al., 2023).</w:t>
      </w:r>
    </w:p>
    <w:p w14:paraId="3EA57102" w14:textId="1BCD089B" w:rsidR="00A3636C" w:rsidRPr="009D75D4" w:rsidRDefault="00A3636C" w:rsidP="00A3636C">
      <w:pPr>
        <w:spacing w:before="80" w:after="100" w:line="276" w:lineRule="auto"/>
        <w:ind w:left="811" w:hanging="811"/>
        <w:jc w:val="both"/>
        <w:rPr>
          <w:rFonts w:ascii="Arial" w:eastAsia="Times New Roman" w:hAnsi="Arial" w:cs="Arial"/>
          <w:kern w:val="0"/>
          <w:sz w:val="20"/>
          <w:szCs w:val="20"/>
          <w14:ligatures w14:val="none"/>
        </w:rPr>
      </w:pPr>
      <w:r w:rsidRPr="009D75D4">
        <w:rPr>
          <w:rFonts w:ascii="Arial" w:eastAsia="Times New Roman" w:hAnsi="Arial" w:cs="Arial"/>
          <w:kern w:val="0"/>
          <w:sz w:val="20"/>
          <w:szCs w:val="20"/>
          <w14:ligatures w14:val="none"/>
        </w:rPr>
        <w:t xml:space="preserve">Table </w:t>
      </w:r>
      <w:r w:rsidRPr="009D75D4">
        <w:rPr>
          <w:rFonts w:ascii="Arial" w:eastAsia="Times New Roman" w:hAnsi="Arial" w:cs="Arial"/>
          <w:kern w:val="0"/>
          <w:sz w:val="20"/>
          <w:szCs w:val="20"/>
          <w14:ligatures w14:val="none"/>
        </w:rPr>
        <w:fldChar w:fldCharType="begin"/>
      </w:r>
      <w:r w:rsidRPr="009D75D4">
        <w:rPr>
          <w:rFonts w:ascii="Arial" w:eastAsia="Times New Roman" w:hAnsi="Arial" w:cs="Arial"/>
          <w:kern w:val="0"/>
          <w:sz w:val="20"/>
          <w:szCs w:val="20"/>
          <w14:ligatures w14:val="none"/>
        </w:rPr>
        <w:instrText xml:space="preserve"> SEQ Table \* ARABIC </w:instrText>
      </w:r>
      <w:r w:rsidRPr="009D75D4">
        <w:rPr>
          <w:rFonts w:ascii="Arial" w:eastAsia="Times New Roman" w:hAnsi="Arial" w:cs="Arial"/>
          <w:kern w:val="0"/>
          <w:sz w:val="20"/>
          <w:szCs w:val="20"/>
          <w14:ligatures w14:val="none"/>
        </w:rPr>
        <w:fldChar w:fldCharType="separate"/>
      </w:r>
      <w:r w:rsidR="00AE6A7B" w:rsidRPr="009D75D4">
        <w:rPr>
          <w:rFonts w:ascii="Arial" w:eastAsia="Times New Roman" w:hAnsi="Arial" w:cs="Arial"/>
          <w:kern w:val="0"/>
          <w:sz w:val="20"/>
          <w:szCs w:val="20"/>
          <w14:ligatures w14:val="none"/>
        </w:rPr>
        <w:t>9</w:t>
      </w:r>
      <w:r w:rsidRPr="009D75D4">
        <w:rPr>
          <w:rFonts w:ascii="Arial" w:eastAsia="Times New Roman" w:hAnsi="Arial" w:cs="Arial"/>
          <w:kern w:val="0"/>
          <w:sz w:val="20"/>
          <w:szCs w:val="20"/>
          <w14:ligatures w14:val="none"/>
        </w:rPr>
        <w:fldChar w:fldCharType="end"/>
      </w:r>
      <w:r w:rsidRPr="009D75D4">
        <w:rPr>
          <w:rFonts w:ascii="Arial" w:eastAsia="Times New Roman" w:hAnsi="Arial" w:cs="Arial"/>
          <w:kern w:val="0"/>
          <w:sz w:val="20"/>
          <w:szCs w:val="20"/>
          <w14:ligatures w14:val="none"/>
        </w:rPr>
        <w:t xml:space="preserve"> Comparison of students' income according to different parent income (n=470)</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9"/>
        <w:gridCol w:w="1953"/>
        <w:gridCol w:w="909"/>
        <w:gridCol w:w="1742"/>
        <w:gridCol w:w="1045"/>
        <w:gridCol w:w="1188"/>
      </w:tblGrid>
      <w:tr w:rsidR="00BA47C6" w:rsidRPr="00BA47C6" w14:paraId="7C80908C" w14:textId="77777777" w:rsidTr="009D75D4">
        <w:trPr>
          <w:trHeight w:val="340"/>
        </w:trPr>
        <w:tc>
          <w:tcPr>
            <w:tcW w:w="1215" w:type="pct"/>
            <w:tcBorders>
              <w:top w:val="single" w:sz="4" w:space="0" w:color="auto"/>
              <w:bottom w:val="single" w:sz="4" w:space="0" w:color="auto"/>
            </w:tcBorders>
          </w:tcPr>
          <w:bookmarkEnd w:id="1"/>
          <w:p w14:paraId="426568A0" w14:textId="5DD186DE" w:rsidR="00EB295D" w:rsidRPr="00A64104" w:rsidRDefault="00EB295D" w:rsidP="00D346C8">
            <w:pPr>
              <w:spacing w:line="276" w:lineRule="auto"/>
              <w:jc w:val="center"/>
              <w:rPr>
                <w:rFonts w:ascii="Arial" w:eastAsia="Calibri" w:hAnsi="Arial" w:cs="Arial"/>
                <w:b/>
                <w:kern w:val="0"/>
                <w:sz w:val="20"/>
                <w:szCs w:val="20"/>
                <w14:ligatures w14:val="none"/>
              </w:rPr>
            </w:pPr>
            <w:r w:rsidRPr="00A64104">
              <w:rPr>
                <w:rFonts w:ascii="Arial" w:eastAsia="Calibri" w:hAnsi="Arial" w:cs="Arial"/>
                <w:b/>
                <w:kern w:val="0"/>
                <w:sz w:val="20"/>
                <w:szCs w:val="20"/>
                <w14:ligatures w14:val="none"/>
              </w:rPr>
              <w:t>Students’ income</w:t>
            </w:r>
          </w:p>
        </w:tc>
        <w:tc>
          <w:tcPr>
            <w:tcW w:w="1084" w:type="pct"/>
            <w:tcBorders>
              <w:top w:val="single" w:sz="4" w:space="0" w:color="auto"/>
              <w:bottom w:val="single" w:sz="4" w:space="0" w:color="auto"/>
            </w:tcBorders>
          </w:tcPr>
          <w:p w14:paraId="476BA9AD" w14:textId="77777777" w:rsidR="00EB295D" w:rsidRPr="00A64104" w:rsidRDefault="00EB295D" w:rsidP="00D346C8">
            <w:pPr>
              <w:spacing w:line="276" w:lineRule="auto"/>
              <w:jc w:val="center"/>
              <w:rPr>
                <w:rFonts w:ascii="Arial" w:eastAsia="Calibri" w:hAnsi="Arial" w:cs="Arial"/>
                <w:b/>
                <w:kern w:val="0"/>
                <w:sz w:val="20"/>
                <w:szCs w:val="20"/>
                <w14:ligatures w14:val="none"/>
              </w:rPr>
            </w:pPr>
            <w:r w:rsidRPr="00A64104">
              <w:rPr>
                <w:rFonts w:ascii="Arial" w:eastAsia="Calibri" w:hAnsi="Arial" w:cs="Arial"/>
                <w:b/>
                <w:kern w:val="0"/>
                <w:sz w:val="20"/>
                <w:szCs w:val="20"/>
                <w14:ligatures w14:val="none"/>
              </w:rPr>
              <w:t>Sum of square</w:t>
            </w:r>
          </w:p>
        </w:tc>
        <w:tc>
          <w:tcPr>
            <w:tcW w:w="493" w:type="pct"/>
            <w:tcBorders>
              <w:top w:val="single" w:sz="4" w:space="0" w:color="auto"/>
              <w:bottom w:val="single" w:sz="4" w:space="0" w:color="auto"/>
            </w:tcBorders>
          </w:tcPr>
          <w:p w14:paraId="08592CBD" w14:textId="77777777" w:rsidR="00EB295D" w:rsidRPr="00A64104" w:rsidRDefault="00EB295D" w:rsidP="00D346C8">
            <w:pPr>
              <w:spacing w:line="276" w:lineRule="auto"/>
              <w:jc w:val="center"/>
              <w:rPr>
                <w:rFonts w:ascii="Arial" w:eastAsia="Calibri" w:hAnsi="Arial" w:cs="Arial"/>
                <w:b/>
                <w:kern w:val="0"/>
                <w:sz w:val="20"/>
                <w:szCs w:val="20"/>
                <w14:ligatures w14:val="none"/>
              </w:rPr>
            </w:pPr>
            <w:proofErr w:type="spellStart"/>
            <w:r w:rsidRPr="00A64104">
              <w:rPr>
                <w:rFonts w:ascii="Arial" w:eastAsia="Calibri" w:hAnsi="Arial" w:cs="Arial"/>
                <w:b/>
                <w:kern w:val="0"/>
                <w:sz w:val="20"/>
                <w:szCs w:val="20"/>
                <w14:ligatures w14:val="none"/>
              </w:rPr>
              <w:t>df</w:t>
            </w:r>
            <w:proofErr w:type="spellEnd"/>
          </w:p>
        </w:tc>
        <w:tc>
          <w:tcPr>
            <w:tcW w:w="967" w:type="pct"/>
            <w:tcBorders>
              <w:top w:val="single" w:sz="4" w:space="0" w:color="auto"/>
              <w:bottom w:val="single" w:sz="4" w:space="0" w:color="auto"/>
            </w:tcBorders>
          </w:tcPr>
          <w:p w14:paraId="60160ECC" w14:textId="77777777" w:rsidR="00EB295D" w:rsidRPr="00A64104" w:rsidRDefault="00EB295D" w:rsidP="00D346C8">
            <w:pPr>
              <w:spacing w:line="276" w:lineRule="auto"/>
              <w:jc w:val="center"/>
              <w:rPr>
                <w:rFonts w:ascii="Arial" w:eastAsia="Calibri" w:hAnsi="Arial" w:cs="Arial"/>
                <w:b/>
                <w:kern w:val="0"/>
                <w:sz w:val="20"/>
                <w:szCs w:val="20"/>
                <w14:ligatures w14:val="none"/>
              </w:rPr>
            </w:pPr>
            <w:r w:rsidRPr="00A64104">
              <w:rPr>
                <w:rFonts w:ascii="Arial" w:eastAsia="Calibri" w:hAnsi="Arial" w:cs="Arial"/>
                <w:b/>
                <w:kern w:val="0"/>
                <w:sz w:val="20"/>
                <w:szCs w:val="20"/>
                <w14:ligatures w14:val="none"/>
              </w:rPr>
              <w:t>Mean square</w:t>
            </w:r>
          </w:p>
        </w:tc>
        <w:tc>
          <w:tcPr>
            <w:tcW w:w="581" w:type="pct"/>
            <w:tcBorders>
              <w:top w:val="single" w:sz="4" w:space="0" w:color="auto"/>
              <w:bottom w:val="single" w:sz="4" w:space="0" w:color="auto"/>
            </w:tcBorders>
          </w:tcPr>
          <w:p w14:paraId="49429488" w14:textId="77777777" w:rsidR="00EB295D" w:rsidRPr="00A64104" w:rsidRDefault="00EB295D" w:rsidP="00D346C8">
            <w:pPr>
              <w:spacing w:line="276" w:lineRule="auto"/>
              <w:jc w:val="center"/>
              <w:rPr>
                <w:rFonts w:ascii="Arial" w:eastAsia="Calibri" w:hAnsi="Arial" w:cs="Arial"/>
                <w:b/>
                <w:kern w:val="0"/>
                <w:sz w:val="20"/>
                <w:szCs w:val="20"/>
                <w14:ligatures w14:val="none"/>
              </w:rPr>
            </w:pPr>
            <w:r w:rsidRPr="00A64104">
              <w:rPr>
                <w:rFonts w:ascii="Arial" w:eastAsia="Calibri" w:hAnsi="Arial" w:cs="Arial"/>
                <w:b/>
                <w:kern w:val="0"/>
                <w:sz w:val="20"/>
                <w:szCs w:val="20"/>
                <w14:ligatures w14:val="none"/>
              </w:rPr>
              <w:t>F</w:t>
            </w:r>
          </w:p>
        </w:tc>
        <w:tc>
          <w:tcPr>
            <w:tcW w:w="660" w:type="pct"/>
            <w:tcBorders>
              <w:top w:val="single" w:sz="4" w:space="0" w:color="auto"/>
              <w:bottom w:val="single" w:sz="4" w:space="0" w:color="auto"/>
            </w:tcBorders>
          </w:tcPr>
          <w:p w14:paraId="1A48F8E1" w14:textId="77777777" w:rsidR="00EB295D" w:rsidRPr="00A64104" w:rsidRDefault="00EB295D" w:rsidP="00D346C8">
            <w:pPr>
              <w:spacing w:line="276" w:lineRule="auto"/>
              <w:jc w:val="center"/>
              <w:rPr>
                <w:rFonts w:ascii="Arial" w:eastAsia="Calibri" w:hAnsi="Arial" w:cs="Arial"/>
                <w:b/>
                <w:kern w:val="0"/>
                <w:sz w:val="20"/>
                <w:szCs w:val="20"/>
                <w14:ligatures w14:val="none"/>
              </w:rPr>
            </w:pPr>
            <w:r w:rsidRPr="00A64104">
              <w:rPr>
                <w:rFonts w:ascii="Arial" w:eastAsia="Calibri" w:hAnsi="Arial" w:cs="Arial"/>
                <w:b/>
                <w:kern w:val="0"/>
                <w:sz w:val="20"/>
                <w:szCs w:val="20"/>
                <w14:ligatures w14:val="none"/>
              </w:rPr>
              <w:t>Sig.</w:t>
            </w:r>
          </w:p>
        </w:tc>
      </w:tr>
      <w:tr w:rsidR="00BA47C6" w:rsidRPr="00BA47C6" w14:paraId="5AFFFD99" w14:textId="77777777" w:rsidTr="009D75D4">
        <w:trPr>
          <w:trHeight w:val="340"/>
        </w:trPr>
        <w:tc>
          <w:tcPr>
            <w:tcW w:w="1215" w:type="pct"/>
            <w:tcBorders>
              <w:top w:val="single" w:sz="4" w:space="0" w:color="auto"/>
            </w:tcBorders>
          </w:tcPr>
          <w:p w14:paraId="6B364FA1" w14:textId="77777777" w:rsidR="00BA47C6" w:rsidRPr="00A64104" w:rsidRDefault="00BA47C6" w:rsidP="00BA47C6">
            <w:pPr>
              <w:spacing w:line="276" w:lineRule="auto"/>
              <w:ind w:left="176"/>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Between Groups</w:t>
            </w:r>
          </w:p>
        </w:tc>
        <w:tc>
          <w:tcPr>
            <w:tcW w:w="1084" w:type="pct"/>
            <w:tcBorders>
              <w:top w:val="single" w:sz="4" w:space="0" w:color="auto"/>
            </w:tcBorders>
          </w:tcPr>
          <w:p w14:paraId="1D99CE99" w14:textId="6F7F2A79" w:rsidR="00BA47C6" w:rsidRPr="00A64104" w:rsidRDefault="00BA47C6" w:rsidP="00BA47C6">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0.193</w:t>
            </w:r>
          </w:p>
        </w:tc>
        <w:tc>
          <w:tcPr>
            <w:tcW w:w="493" w:type="pct"/>
            <w:tcBorders>
              <w:top w:val="single" w:sz="4" w:space="0" w:color="auto"/>
            </w:tcBorders>
          </w:tcPr>
          <w:p w14:paraId="309787D8" w14:textId="2D8AFC4B" w:rsidR="00BA47C6" w:rsidRPr="00A64104" w:rsidRDefault="00BA47C6" w:rsidP="00BA47C6">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3</w:t>
            </w:r>
          </w:p>
        </w:tc>
        <w:tc>
          <w:tcPr>
            <w:tcW w:w="967" w:type="pct"/>
            <w:tcBorders>
              <w:top w:val="single" w:sz="4" w:space="0" w:color="auto"/>
            </w:tcBorders>
          </w:tcPr>
          <w:p w14:paraId="40432F27" w14:textId="7C8D522C" w:rsidR="00BA47C6" w:rsidRPr="00A64104" w:rsidRDefault="00BA47C6" w:rsidP="00BA47C6">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0.064</w:t>
            </w:r>
          </w:p>
        </w:tc>
        <w:tc>
          <w:tcPr>
            <w:tcW w:w="581" w:type="pct"/>
            <w:vMerge w:val="restart"/>
            <w:tcBorders>
              <w:top w:val="single" w:sz="4" w:space="0" w:color="auto"/>
            </w:tcBorders>
            <w:vAlign w:val="center"/>
          </w:tcPr>
          <w:p w14:paraId="6C74C228" w14:textId="434D5872" w:rsidR="00BA47C6" w:rsidRPr="00A64104" w:rsidRDefault="00BA47C6" w:rsidP="00D353AF">
            <w:pPr>
              <w:spacing w:line="276" w:lineRule="auto"/>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0.250</w:t>
            </w:r>
          </w:p>
        </w:tc>
        <w:tc>
          <w:tcPr>
            <w:tcW w:w="660" w:type="pct"/>
            <w:vMerge w:val="restart"/>
            <w:tcBorders>
              <w:top w:val="single" w:sz="4" w:space="0" w:color="auto"/>
            </w:tcBorders>
            <w:vAlign w:val="center"/>
          </w:tcPr>
          <w:p w14:paraId="56497450" w14:textId="2878DCAB" w:rsidR="00BA47C6" w:rsidRPr="00A64104" w:rsidRDefault="00BA47C6" w:rsidP="00D353AF">
            <w:pPr>
              <w:spacing w:line="276" w:lineRule="auto"/>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0.861</w:t>
            </w:r>
            <w:r w:rsidRPr="00A64104">
              <w:rPr>
                <w:rFonts w:ascii="Arial" w:eastAsia="Calibri" w:hAnsi="Arial" w:cs="Arial"/>
                <w:kern w:val="0"/>
                <w:sz w:val="20"/>
                <w:szCs w:val="20"/>
                <w:vertAlign w:val="superscript"/>
                <w14:ligatures w14:val="none"/>
              </w:rPr>
              <w:t>ns</w:t>
            </w:r>
          </w:p>
        </w:tc>
      </w:tr>
      <w:tr w:rsidR="00BA47C6" w:rsidRPr="00BA47C6" w14:paraId="50115CA9" w14:textId="77777777" w:rsidTr="009D75D4">
        <w:trPr>
          <w:trHeight w:val="340"/>
        </w:trPr>
        <w:tc>
          <w:tcPr>
            <w:tcW w:w="1215" w:type="pct"/>
            <w:tcBorders>
              <w:bottom w:val="single" w:sz="4" w:space="0" w:color="auto"/>
            </w:tcBorders>
          </w:tcPr>
          <w:p w14:paraId="29B0BCF0" w14:textId="77777777" w:rsidR="00E06DB5" w:rsidRPr="00A64104" w:rsidRDefault="00E06DB5" w:rsidP="00E06DB5">
            <w:pPr>
              <w:spacing w:line="276" w:lineRule="auto"/>
              <w:ind w:left="176"/>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Within Groups</w:t>
            </w:r>
          </w:p>
        </w:tc>
        <w:tc>
          <w:tcPr>
            <w:tcW w:w="1084" w:type="pct"/>
            <w:tcBorders>
              <w:bottom w:val="single" w:sz="4" w:space="0" w:color="auto"/>
            </w:tcBorders>
          </w:tcPr>
          <w:p w14:paraId="7C4CFB4E" w14:textId="65D6F226" w:rsidR="00E06DB5" w:rsidRPr="00A64104" w:rsidRDefault="00E06DB5" w:rsidP="00BA47C6">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120.038</w:t>
            </w:r>
          </w:p>
        </w:tc>
        <w:tc>
          <w:tcPr>
            <w:tcW w:w="493" w:type="pct"/>
            <w:tcBorders>
              <w:bottom w:val="single" w:sz="4" w:space="0" w:color="auto"/>
            </w:tcBorders>
          </w:tcPr>
          <w:p w14:paraId="3051E16A" w14:textId="02148815" w:rsidR="00E06DB5" w:rsidRPr="00A64104" w:rsidRDefault="00E06DB5" w:rsidP="00BA47C6">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466</w:t>
            </w:r>
          </w:p>
        </w:tc>
        <w:tc>
          <w:tcPr>
            <w:tcW w:w="967" w:type="pct"/>
            <w:tcBorders>
              <w:bottom w:val="single" w:sz="4" w:space="0" w:color="auto"/>
            </w:tcBorders>
          </w:tcPr>
          <w:p w14:paraId="50415F92" w14:textId="549669AE" w:rsidR="00E06DB5" w:rsidRPr="00A64104" w:rsidRDefault="00E06DB5" w:rsidP="00BA47C6">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0.258</w:t>
            </w:r>
          </w:p>
        </w:tc>
        <w:tc>
          <w:tcPr>
            <w:tcW w:w="581" w:type="pct"/>
            <w:vMerge/>
          </w:tcPr>
          <w:p w14:paraId="76FC497D" w14:textId="77777777" w:rsidR="00E06DB5" w:rsidRPr="00A64104" w:rsidRDefault="00E06DB5" w:rsidP="00BA47C6">
            <w:pPr>
              <w:spacing w:line="276" w:lineRule="auto"/>
              <w:ind w:right="359"/>
              <w:jc w:val="right"/>
              <w:rPr>
                <w:rFonts w:ascii="Arial" w:eastAsia="Calibri" w:hAnsi="Arial" w:cs="Arial"/>
                <w:kern w:val="0"/>
                <w:sz w:val="20"/>
                <w:szCs w:val="20"/>
                <w14:ligatures w14:val="none"/>
              </w:rPr>
            </w:pPr>
          </w:p>
        </w:tc>
        <w:tc>
          <w:tcPr>
            <w:tcW w:w="660" w:type="pct"/>
            <w:vMerge/>
          </w:tcPr>
          <w:p w14:paraId="479C3E5D" w14:textId="77777777" w:rsidR="00E06DB5" w:rsidRPr="00A64104" w:rsidRDefault="00E06DB5" w:rsidP="00BA47C6">
            <w:pPr>
              <w:spacing w:line="276" w:lineRule="auto"/>
              <w:ind w:right="359"/>
              <w:jc w:val="right"/>
              <w:rPr>
                <w:rFonts w:ascii="Arial" w:eastAsia="Calibri" w:hAnsi="Arial" w:cs="Arial"/>
                <w:kern w:val="0"/>
                <w:sz w:val="20"/>
                <w:szCs w:val="20"/>
                <w14:ligatures w14:val="none"/>
              </w:rPr>
            </w:pPr>
          </w:p>
        </w:tc>
      </w:tr>
      <w:tr w:rsidR="00BA47C6" w:rsidRPr="00BA47C6" w14:paraId="3E2E3E8F" w14:textId="77777777" w:rsidTr="009D75D4">
        <w:trPr>
          <w:trHeight w:val="340"/>
        </w:trPr>
        <w:tc>
          <w:tcPr>
            <w:tcW w:w="1215" w:type="pct"/>
            <w:tcBorders>
              <w:top w:val="single" w:sz="4" w:space="0" w:color="auto"/>
              <w:bottom w:val="single" w:sz="4" w:space="0" w:color="auto"/>
            </w:tcBorders>
          </w:tcPr>
          <w:p w14:paraId="451CA84B" w14:textId="77777777" w:rsidR="00E06DB5" w:rsidRPr="00A64104" w:rsidRDefault="00E06DB5" w:rsidP="00E06DB5">
            <w:pPr>
              <w:spacing w:line="276" w:lineRule="auto"/>
              <w:ind w:left="176"/>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Total</w:t>
            </w:r>
          </w:p>
        </w:tc>
        <w:tc>
          <w:tcPr>
            <w:tcW w:w="1084" w:type="pct"/>
            <w:tcBorders>
              <w:top w:val="single" w:sz="4" w:space="0" w:color="auto"/>
              <w:bottom w:val="single" w:sz="4" w:space="0" w:color="auto"/>
            </w:tcBorders>
          </w:tcPr>
          <w:p w14:paraId="77712A79" w14:textId="09847D89" w:rsidR="00E06DB5" w:rsidRPr="00A64104" w:rsidRDefault="00E06DB5" w:rsidP="00BA47C6">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120.232</w:t>
            </w:r>
          </w:p>
        </w:tc>
        <w:tc>
          <w:tcPr>
            <w:tcW w:w="493" w:type="pct"/>
            <w:tcBorders>
              <w:top w:val="single" w:sz="4" w:space="0" w:color="auto"/>
              <w:bottom w:val="single" w:sz="4" w:space="0" w:color="auto"/>
            </w:tcBorders>
          </w:tcPr>
          <w:p w14:paraId="4B774D02" w14:textId="3AD098B5" w:rsidR="00E06DB5" w:rsidRPr="00A64104" w:rsidRDefault="00E06DB5" w:rsidP="00BA47C6">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469</w:t>
            </w:r>
          </w:p>
        </w:tc>
        <w:tc>
          <w:tcPr>
            <w:tcW w:w="967" w:type="pct"/>
            <w:tcBorders>
              <w:top w:val="single" w:sz="4" w:space="0" w:color="auto"/>
              <w:bottom w:val="single" w:sz="4" w:space="0" w:color="auto"/>
            </w:tcBorders>
          </w:tcPr>
          <w:p w14:paraId="3AD212AE" w14:textId="77777777" w:rsidR="00E06DB5" w:rsidRPr="00A64104" w:rsidRDefault="00E06DB5" w:rsidP="00BA47C6">
            <w:pPr>
              <w:spacing w:line="276" w:lineRule="auto"/>
              <w:ind w:right="359"/>
              <w:jc w:val="right"/>
              <w:rPr>
                <w:rFonts w:ascii="Arial" w:eastAsia="Calibri" w:hAnsi="Arial" w:cs="Arial"/>
                <w:kern w:val="0"/>
                <w:sz w:val="20"/>
                <w:szCs w:val="20"/>
                <w14:ligatures w14:val="none"/>
              </w:rPr>
            </w:pPr>
          </w:p>
        </w:tc>
        <w:tc>
          <w:tcPr>
            <w:tcW w:w="581" w:type="pct"/>
            <w:tcBorders>
              <w:bottom w:val="single" w:sz="4" w:space="0" w:color="auto"/>
            </w:tcBorders>
          </w:tcPr>
          <w:p w14:paraId="28236598" w14:textId="77777777" w:rsidR="00E06DB5" w:rsidRPr="00A64104" w:rsidRDefault="00E06DB5" w:rsidP="00BA47C6">
            <w:pPr>
              <w:spacing w:line="276" w:lineRule="auto"/>
              <w:ind w:right="359"/>
              <w:jc w:val="right"/>
              <w:rPr>
                <w:rFonts w:ascii="Arial" w:eastAsia="Calibri" w:hAnsi="Arial" w:cs="Arial"/>
                <w:kern w:val="0"/>
                <w:sz w:val="20"/>
                <w:szCs w:val="20"/>
                <w14:ligatures w14:val="none"/>
              </w:rPr>
            </w:pPr>
          </w:p>
        </w:tc>
        <w:tc>
          <w:tcPr>
            <w:tcW w:w="660" w:type="pct"/>
            <w:tcBorders>
              <w:bottom w:val="single" w:sz="4" w:space="0" w:color="auto"/>
            </w:tcBorders>
          </w:tcPr>
          <w:p w14:paraId="70FD3D86" w14:textId="77777777" w:rsidR="00E06DB5" w:rsidRPr="00A64104" w:rsidRDefault="00E06DB5" w:rsidP="00BA47C6">
            <w:pPr>
              <w:spacing w:line="276" w:lineRule="auto"/>
              <w:ind w:right="359"/>
              <w:jc w:val="right"/>
              <w:rPr>
                <w:rFonts w:ascii="Arial" w:eastAsia="Calibri" w:hAnsi="Arial" w:cs="Arial"/>
                <w:kern w:val="0"/>
                <w:sz w:val="20"/>
                <w:szCs w:val="20"/>
                <w14:ligatures w14:val="none"/>
              </w:rPr>
            </w:pPr>
          </w:p>
        </w:tc>
      </w:tr>
      <w:tr w:rsidR="009D75D4" w:rsidRPr="00BA47C6" w14:paraId="08FF322B" w14:textId="77777777" w:rsidTr="009D75D4">
        <w:trPr>
          <w:trHeight w:val="340"/>
        </w:trPr>
        <w:tc>
          <w:tcPr>
            <w:tcW w:w="5000" w:type="pct"/>
            <w:gridSpan w:val="6"/>
            <w:tcBorders>
              <w:top w:val="single" w:sz="4" w:space="0" w:color="auto"/>
            </w:tcBorders>
          </w:tcPr>
          <w:p w14:paraId="66F61136" w14:textId="4DA92DD4" w:rsidR="009D75D4" w:rsidRPr="00A64104" w:rsidRDefault="009D75D4" w:rsidP="009D75D4">
            <w:pPr>
              <w:spacing w:line="276" w:lineRule="auto"/>
              <w:jc w:val="both"/>
              <w:rPr>
                <w:rFonts w:ascii="Arial" w:eastAsia="Calibri" w:hAnsi="Arial" w:cs="Arial"/>
                <w:bCs/>
                <w:kern w:val="0"/>
                <w:sz w:val="20"/>
                <w:szCs w:val="20"/>
                <w14:ligatures w14:val="none"/>
              </w:rPr>
            </w:pPr>
            <w:r w:rsidRPr="00A64104">
              <w:rPr>
                <w:rFonts w:ascii="Arial" w:eastAsia="Calibri" w:hAnsi="Arial" w:cs="Arial"/>
                <w:bCs/>
                <w:kern w:val="0"/>
                <w:sz w:val="20"/>
                <w:szCs w:val="20"/>
                <w14:ligatures w14:val="none"/>
              </w:rPr>
              <w:t>Note: * p &lt; 0.05, ** p &lt; 0.01, *** p &lt; 0.001, ns = not significant</w:t>
            </w:r>
          </w:p>
        </w:tc>
      </w:tr>
    </w:tbl>
    <w:p w14:paraId="5F8CAF16" w14:textId="2CC40C2F" w:rsidR="009D75D4" w:rsidRDefault="009D75D4" w:rsidP="009D75D4">
      <w:pPr>
        <w:spacing w:before="100" w:after="120" w:line="360" w:lineRule="auto"/>
        <w:jc w:val="both"/>
        <w:rPr>
          <w:rFonts w:ascii="Times New Roman" w:eastAsia="Calibri" w:hAnsi="Times New Roman" w:cs="Times New Roman"/>
          <w:kern w:val="0"/>
          <w14:ligatures w14:val="none"/>
        </w:rPr>
      </w:pPr>
      <w:bookmarkStart w:id="2" w:name="_Hlk196343886"/>
      <w:r w:rsidRPr="00172DA9">
        <w:rPr>
          <w:rFonts w:ascii="Arial" w:eastAsia="Times New Roman" w:hAnsi="Arial" w:cs="Arial"/>
          <w:kern w:val="0"/>
          <w:sz w:val="20"/>
          <w:szCs w:val="20"/>
          <w14:ligatures w14:val="none"/>
        </w:rPr>
        <w:t>Source: Own survey, 2024</w:t>
      </w:r>
    </w:p>
    <w:p w14:paraId="5AEEFE8B" w14:textId="3073A4F9" w:rsidR="00812115" w:rsidRPr="009D75D4" w:rsidRDefault="00DD5A83" w:rsidP="009D75D4">
      <w:pPr>
        <w:spacing w:before="100" w:after="120" w:line="360" w:lineRule="auto"/>
        <w:jc w:val="both"/>
        <w:rPr>
          <w:rFonts w:ascii="Arial" w:eastAsia="Times New Roman" w:hAnsi="Arial" w:cs="Arial"/>
          <w:kern w:val="0"/>
          <w:sz w:val="20"/>
          <w:szCs w:val="20"/>
          <w14:ligatures w14:val="none"/>
        </w:rPr>
      </w:pPr>
      <w:r w:rsidRPr="009D75D4">
        <w:rPr>
          <w:rFonts w:ascii="Arial" w:eastAsia="Times New Roman" w:hAnsi="Arial" w:cs="Arial"/>
          <w:kern w:val="0"/>
          <w:sz w:val="20"/>
          <w:szCs w:val="20"/>
          <w14:ligatures w14:val="none"/>
        </w:rPr>
        <w:t>Table 1</w:t>
      </w:r>
      <w:r w:rsidR="00A3636C" w:rsidRPr="009D75D4">
        <w:rPr>
          <w:rFonts w:ascii="Arial" w:eastAsia="Times New Roman" w:hAnsi="Arial" w:cs="Arial"/>
          <w:kern w:val="0"/>
          <w:sz w:val="20"/>
          <w:szCs w:val="20"/>
          <w14:ligatures w14:val="none"/>
        </w:rPr>
        <w:t>0</w:t>
      </w:r>
      <w:r w:rsidRPr="009D75D4">
        <w:rPr>
          <w:rFonts w:ascii="Arial" w:eastAsia="Times New Roman" w:hAnsi="Arial" w:cs="Arial"/>
          <w:kern w:val="0"/>
          <w:sz w:val="20"/>
          <w:szCs w:val="20"/>
          <w14:ligatures w14:val="none"/>
        </w:rPr>
        <w:t xml:space="preserve"> presents a comparison of students' income across different semesters of study. The probability of students' income according to different semesters of study was 0.000, which is less than the 0.05 level of significance. Therefore, there were significant differences in students' income according to different semesters of study. According to Owusu et al. (2020), first-year students often rely more heavily on parental allowances as they adjust to academic life and typically have fewer external income sources. Research has shown that early in university life, financial dependence on family is highest.</w:t>
      </w:r>
    </w:p>
    <w:bookmarkEnd w:id="2"/>
    <w:p w14:paraId="59A15683" w14:textId="22F7E62B" w:rsidR="00892E1D" w:rsidRPr="00A64104" w:rsidRDefault="00892E1D" w:rsidP="00A64104">
      <w:pPr>
        <w:spacing w:before="80" w:after="100" w:line="276" w:lineRule="auto"/>
        <w:ind w:left="811" w:hanging="811"/>
        <w:jc w:val="both"/>
        <w:rPr>
          <w:rFonts w:ascii="Arial" w:eastAsia="Times New Roman" w:hAnsi="Arial" w:cs="Arial"/>
          <w:kern w:val="0"/>
          <w:sz w:val="20"/>
          <w:szCs w:val="20"/>
          <w14:ligatures w14:val="none"/>
        </w:rPr>
      </w:pPr>
      <w:r w:rsidRPr="00A64104">
        <w:rPr>
          <w:rFonts w:ascii="Arial" w:eastAsia="Times New Roman" w:hAnsi="Arial" w:cs="Arial"/>
          <w:kern w:val="0"/>
          <w:sz w:val="20"/>
          <w:szCs w:val="20"/>
          <w14:ligatures w14:val="none"/>
        </w:rPr>
        <w:t xml:space="preserve">Table </w:t>
      </w:r>
      <w:r w:rsidRPr="00A64104">
        <w:rPr>
          <w:rFonts w:ascii="Arial" w:eastAsia="Times New Roman" w:hAnsi="Arial" w:cs="Arial"/>
          <w:kern w:val="0"/>
          <w:sz w:val="20"/>
          <w:szCs w:val="20"/>
          <w14:ligatures w14:val="none"/>
        </w:rPr>
        <w:fldChar w:fldCharType="begin"/>
      </w:r>
      <w:r w:rsidRPr="00A64104">
        <w:rPr>
          <w:rFonts w:ascii="Arial" w:eastAsia="Times New Roman" w:hAnsi="Arial" w:cs="Arial"/>
          <w:kern w:val="0"/>
          <w:sz w:val="20"/>
          <w:szCs w:val="20"/>
          <w14:ligatures w14:val="none"/>
        </w:rPr>
        <w:instrText xml:space="preserve"> SEQ Table \* ARABIC </w:instrText>
      </w:r>
      <w:r w:rsidRPr="00A64104">
        <w:rPr>
          <w:rFonts w:ascii="Arial" w:eastAsia="Times New Roman" w:hAnsi="Arial" w:cs="Arial"/>
          <w:kern w:val="0"/>
          <w:sz w:val="20"/>
          <w:szCs w:val="20"/>
          <w14:ligatures w14:val="none"/>
        </w:rPr>
        <w:fldChar w:fldCharType="separate"/>
      </w:r>
      <w:r w:rsidR="00AE6A7B" w:rsidRPr="00A64104">
        <w:rPr>
          <w:rFonts w:ascii="Arial" w:eastAsia="Times New Roman" w:hAnsi="Arial" w:cs="Arial"/>
          <w:kern w:val="0"/>
          <w:sz w:val="20"/>
          <w:szCs w:val="20"/>
          <w14:ligatures w14:val="none"/>
        </w:rPr>
        <w:t>10</w:t>
      </w:r>
      <w:r w:rsidRPr="00A64104">
        <w:rPr>
          <w:rFonts w:ascii="Arial" w:eastAsia="Times New Roman" w:hAnsi="Arial" w:cs="Arial"/>
          <w:kern w:val="0"/>
          <w:sz w:val="20"/>
          <w:szCs w:val="20"/>
          <w14:ligatures w14:val="none"/>
        </w:rPr>
        <w:fldChar w:fldCharType="end"/>
      </w:r>
      <w:r w:rsidRPr="00A64104">
        <w:rPr>
          <w:rFonts w:ascii="Arial" w:eastAsia="Times New Roman" w:hAnsi="Arial" w:cs="Arial"/>
          <w:kern w:val="0"/>
          <w:sz w:val="20"/>
          <w:szCs w:val="20"/>
          <w14:ligatures w14:val="none"/>
        </w:rPr>
        <w:t xml:space="preserve"> Comparison of students’ income according to different </w:t>
      </w:r>
      <w:r w:rsidR="00DD5A83" w:rsidRPr="00A64104">
        <w:rPr>
          <w:rFonts w:ascii="Arial" w:eastAsia="Times New Roman" w:hAnsi="Arial" w:cs="Arial"/>
          <w:kern w:val="0"/>
          <w:sz w:val="20"/>
          <w:szCs w:val="20"/>
          <w14:ligatures w14:val="none"/>
        </w:rPr>
        <w:t>semesters of study</w:t>
      </w:r>
      <w:r w:rsidRPr="00A64104">
        <w:rPr>
          <w:rFonts w:ascii="Arial" w:eastAsia="Times New Roman" w:hAnsi="Arial" w:cs="Arial"/>
          <w:kern w:val="0"/>
          <w:sz w:val="20"/>
          <w:szCs w:val="20"/>
          <w14:ligatures w14:val="none"/>
        </w:rPr>
        <w:t xml:space="preserve"> (n=470)</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921"/>
        <w:gridCol w:w="910"/>
        <w:gridCol w:w="1708"/>
        <w:gridCol w:w="1045"/>
        <w:gridCol w:w="1282"/>
      </w:tblGrid>
      <w:tr w:rsidR="00F678D1" w:rsidRPr="00F678D1" w14:paraId="6FA88DFC" w14:textId="77777777" w:rsidTr="00A64104">
        <w:trPr>
          <w:trHeight w:val="340"/>
        </w:trPr>
        <w:tc>
          <w:tcPr>
            <w:tcW w:w="1197" w:type="pct"/>
            <w:tcBorders>
              <w:top w:val="single" w:sz="4" w:space="0" w:color="auto"/>
              <w:bottom w:val="single" w:sz="4" w:space="0" w:color="auto"/>
            </w:tcBorders>
          </w:tcPr>
          <w:p w14:paraId="5B37F32D" w14:textId="77777777" w:rsidR="00453857" w:rsidRPr="00A64104" w:rsidRDefault="00453857" w:rsidP="00D346C8">
            <w:pPr>
              <w:spacing w:line="276" w:lineRule="auto"/>
              <w:jc w:val="center"/>
              <w:rPr>
                <w:rFonts w:ascii="Arial" w:eastAsia="Calibri" w:hAnsi="Arial" w:cs="Arial"/>
                <w:b/>
                <w:kern w:val="0"/>
                <w:sz w:val="20"/>
                <w:szCs w:val="20"/>
                <w14:ligatures w14:val="none"/>
              </w:rPr>
            </w:pPr>
            <w:r w:rsidRPr="00A64104">
              <w:rPr>
                <w:rFonts w:ascii="Arial" w:eastAsia="Calibri" w:hAnsi="Arial" w:cs="Arial"/>
                <w:b/>
                <w:kern w:val="0"/>
                <w:sz w:val="20"/>
                <w:szCs w:val="20"/>
                <w14:ligatures w14:val="none"/>
              </w:rPr>
              <w:t>Students’ income</w:t>
            </w:r>
          </w:p>
        </w:tc>
        <w:tc>
          <w:tcPr>
            <w:tcW w:w="1064" w:type="pct"/>
            <w:tcBorders>
              <w:top w:val="single" w:sz="4" w:space="0" w:color="auto"/>
              <w:bottom w:val="single" w:sz="4" w:space="0" w:color="auto"/>
            </w:tcBorders>
          </w:tcPr>
          <w:p w14:paraId="0C78F12C" w14:textId="77777777" w:rsidR="00453857" w:rsidRPr="00A64104" w:rsidRDefault="00453857" w:rsidP="00D346C8">
            <w:pPr>
              <w:spacing w:line="276" w:lineRule="auto"/>
              <w:jc w:val="center"/>
              <w:rPr>
                <w:rFonts w:ascii="Arial" w:eastAsia="Calibri" w:hAnsi="Arial" w:cs="Arial"/>
                <w:b/>
                <w:kern w:val="0"/>
                <w:sz w:val="20"/>
                <w:szCs w:val="20"/>
                <w14:ligatures w14:val="none"/>
              </w:rPr>
            </w:pPr>
            <w:r w:rsidRPr="00A64104">
              <w:rPr>
                <w:rFonts w:ascii="Arial" w:eastAsia="Calibri" w:hAnsi="Arial" w:cs="Arial"/>
                <w:b/>
                <w:kern w:val="0"/>
                <w:sz w:val="20"/>
                <w:szCs w:val="20"/>
                <w14:ligatures w14:val="none"/>
              </w:rPr>
              <w:t>Sum of square</w:t>
            </w:r>
          </w:p>
        </w:tc>
        <w:tc>
          <w:tcPr>
            <w:tcW w:w="504" w:type="pct"/>
            <w:tcBorders>
              <w:top w:val="single" w:sz="4" w:space="0" w:color="auto"/>
              <w:bottom w:val="single" w:sz="4" w:space="0" w:color="auto"/>
            </w:tcBorders>
          </w:tcPr>
          <w:p w14:paraId="16C8E713" w14:textId="77777777" w:rsidR="00453857" w:rsidRPr="00A64104" w:rsidRDefault="00453857" w:rsidP="00D346C8">
            <w:pPr>
              <w:spacing w:line="276" w:lineRule="auto"/>
              <w:jc w:val="center"/>
              <w:rPr>
                <w:rFonts w:ascii="Arial" w:eastAsia="Calibri" w:hAnsi="Arial" w:cs="Arial"/>
                <w:b/>
                <w:kern w:val="0"/>
                <w:sz w:val="20"/>
                <w:szCs w:val="20"/>
                <w14:ligatures w14:val="none"/>
              </w:rPr>
            </w:pPr>
            <w:proofErr w:type="spellStart"/>
            <w:r w:rsidRPr="00A64104">
              <w:rPr>
                <w:rFonts w:ascii="Arial" w:eastAsia="Calibri" w:hAnsi="Arial" w:cs="Arial"/>
                <w:b/>
                <w:kern w:val="0"/>
                <w:sz w:val="20"/>
                <w:szCs w:val="20"/>
                <w14:ligatures w14:val="none"/>
              </w:rPr>
              <w:t>df</w:t>
            </w:r>
            <w:proofErr w:type="spellEnd"/>
          </w:p>
        </w:tc>
        <w:tc>
          <w:tcPr>
            <w:tcW w:w="946" w:type="pct"/>
            <w:tcBorders>
              <w:top w:val="single" w:sz="4" w:space="0" w:color="auto"/>
              <w:bottom w:val="single" w:sz="4" w:space="0" w:color="auto"/>
            </w:tcBorders>
          </w:tcPr>
          <w:p w14:paraId="34557F52" w14:textId="77777777" w:rsidR="00453857" w:rsidRPr="00A64104" w:rsidRDefault="00453857" w:rsidP="00D346C8">
            <w:pPr>
              <w:spacing w:line="276" w:lineRule="auto"/>
              <w:jc w:val="center"/>
              <w:rPr>
                <w:rFonts w:ascii="Arial" w:eastAsia="Calibri" w:hAnsi="Arial" w:cs="Arial"/>
                <w:b/>
                <w:kern w:val="0"/>
                <w:sz w:val="20"/>
                <w:szCs w:val="20"/>
                <w14:ligatures w14:val="none"/>
              </w:rPr>
            </w:pPr>
            <w:r w:rsidRPr="00A64104">
              <w:rPr>
                <w:rFonts w:ascii="Arial" w:eastAsia="Calibri" w:hAnsi="Arial" w:cs="Arial"/>
                <w:b/>
                <w:kern w:val="0"/>
                <w:sz w:val="20"/>
                <w:szCs w:val="20"/>
                <w14:ligatures w14:val="none"/>
              </w:rPr>
              <w:t>Mean square</w:t>
            </w:r>
          </w:p>
        </w:tc>
        <w:tc>
          <w:tcPr>
            <w:tcW w:w="579" w:type="pct"/>
            <w:tcBorders>
              <w:top w:val="single" w:sz="4" w:space="0" w:color="auto"/>
              <w:bottom w:val="single" w:sz="4" w:space="0" w:color="auto"/>
            </w:tcBorders>
          </w:tcPr>
          <w:p w14:paraId="4F024833" w14:textId="77777777" w:rsidR="00453857" w:rsidRPr="00A64104" w:rsidRDefault="00453857" w:rsidP="00D346C8">
            <w:pPr>
              <w:spacing w:line="276" w:lineRule="auto"/>
              <w:jc w:val="center"/>
              <w:rPr>
                <w:rFonts w:ascii="Arial" w:eastAsia="Calibri" w:hAnsi="Arial" w:cs="Arial"/>
                <w:b/>
                <w:kern w:val="0"/>
                <w:sz w:val="20"/>
                <w:szCs w:val="20"/>
                <w14:ligatures w14:val="none"/>
              </w:rPr>
            </w:pPr>
            <w:r w:rsidRPr="00A64104">
              <w:rPr>
                <w:rFonts w:ascii="Arial" w:eastAsia="Calibri" w:hAnsi="Arial" w:cs="Arial"/>
                <w:b/>
                <w:kern w:val="0"/>
                <w:sz w:val="20"/>
                <w:szCs w:val="20"/>
                <w14:ligatures w14:val="none"/>
              </w:rPr>
              <w:t>F</w:t>
            </w:r>
          </w:p>
        </w:tc>
        <w:tc>
          <w:tcPr>
            <w:tcW w:w="710" w:type="pct"/>
            <w:tcBorders>
              <w:top w:val="single" w:sz="4" w:space="0" w:color="auto"/>
              <w:bottom w:val="single" w:sz="4" w:space="0" w:color="auto"/>
            </w:tcBorders>
          </w:tcPr>
          <w:p w14:paraId="2598BD72" w14:textId="77777777" w:rsidR="00453857" w:rsidRPr="00A64104" w:rsidRDefault="00453857" w:rsidP="00D346C8">
            <w:pPr>
              <w:spacing w:line="276" w:lineRule="auto"/>
              <w:jc w:val="center"/>
              <w:rPr>
                <w:rFonts w:ascii="Arial" w:eastAsia="Calibri" w:hAnsi="Arial" w:cs="Arial"/>
                <w:b/>
                <w:kern w:val="0"/>
                <w:sz w:val="20"/>
                <w:szCs w:val="20"/>
                <w14:ligatures w14:val="none"/>
              </w:rPr>
            </w:pPr>
            <w:r w:rsidRPr="00A64104">
              <w:rPr>
                <w:rFonts w:ascii="Arial" w:eastAsia="Calibri" w:hAnsi="Arial" w:cs="Arial"/>
                <w:b/>
                <w:kern w:val="0"/>
                <w:sz w:val="20"/>
                <w:szCs w:val="20"/>
                <w14:ligatures w14:val="none"/>
              </w:rPr>
              <w:t>Sig.</w:t>
            </w:r>
          </w:p>
        </w:tc>
      </w:tr>
      <w:tr w:rsidR="00F678D1" w:rsidRPr="00F678D1" w14:paraId="31FB3E65" w14:textId="77777777" w:rsidTr="00A64104">
        <w:trPr>
          <w:trHeight w:val="340"/>
        </w:trPr>
        <w:tc>
          <w:tcPr>
            <w:tcW w:w="1197" w:type="pct"/>
            <w:tcBorders>
              <w:top w:val="single" w:sz="4" w:space="0" w:color="auto"/>
            </w:tcBorders>
          </w:tcPr>
          <w:p w14:paraId="305BF901" w14:textId="77777777" w:rsidR="00F678D1" w:rsidRPr="00A64104" w:rsidRDefault="00F678D1" w:rsidP="00F678D1">
            <w:pPr>
              <w:spacing w:line="276" w:lineRule="auto"/>
              <w:ind w:left="176"/>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Between Groups</w:t>
            </w:r>
          </w:p>
        </w:tc>
        <w:tc>
          <w:tcPr>
            <w:tcW w:w="1064" w:type="pct"/>
            <w:tcBorders>
              <w:top w:val="single" w:sz="4" w:space="0" w:color="auto"/>
            </w:tcBorders>
          </w:tcPr>
          <w:p w14:paraId="536C69F6" w14:textId="755B31CF" w:rsidR="00F678D1" w:rsidRPr="00A64104" w:rsidRDefault="00F678D1" w:rsidP="00F678D1">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5.635</w:t>
            </w:r>
          </w:p>
        </w:tc>
        <w:tc>
          <w:tcPr>
            <w:tcW w:w="504" w:type="pct"/>
            <w:tcBorders>
              <w:top w:val="single" w:sz="4" w:space="0" w:color="auto"/>
            </w:tcBorders>
          </w:tcPr>
          <w:p w14:paraId="0129F0F7" w14:textId="4692BF12" w:rsidR="00F678D1" w:rsidRPr="00A64104" w:rsidRDefault="00F678D1" w:rsidP="00F678D1">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5</w:t>
            </w:r>
          </w:p>
        </w:tc>
        <w:tc>
          <w:tcPr>
            <w:tcW w:w="946" w:type="pct"/>
            <w:tcBorders>
              <w:top w:val="single" w:sz="4" w:space="0" w:color="auto"/>
            </w:tcBorders>
          </w:tcPr>
          <w:p w14:paraId="410DEB1A" w14:textId="06B8EC89" w:rsidR="00F678D1" w:rsidRPr="00A64104" w:rsidRDefault="00F678D1" w:rsidP="00F678D1">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1.127</w:t>
            </w:r>
          </w:p>
        </w:tc>
        <w:tc>
          <w:tcPr>
            <w:tcW w:w="579" w:type="pct"/>
            <w:vMerge w:val="restart"/>
            <w:tcBorders>
              <w:top w:val="single" w:sz="4" w:space="0" w:color="auto"/>
            </w:tcBorders>
            <w:vAlign w:val="center"/>
          </w:tcPr>
          <w:p w14:paraId="4E012734" w14:textId="2FBB5410" w:rsidR="00F678D1" w:rsidRPr="00A64104" w:rsidRDefault="00F678D1" w:rsidP="00FF4DD5">
            <w:pPr>
              <w:spacing w:line="276" w:lineRule="auto"/>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4.563</w:t>
            </w:r>
          </w:p>
        </w:tc>
        <w:tc>
          <w:tcPr>
            <w:tcW w:w="710" w:type="pct"/>
            <w:vMerge w:val="restart"/>
            <w:tcBorders>
              <w:top w:val="single" w:sz="4" w:space="0" w:color="auto"/>
            </w:tcBorders>
            <w:vAlign w:val="center"/>
          </w:tcPr>
          <w:p w14:paraId="1D49C445" w14:textId="79AF19F9" w:rsidR="00F678D1" w:rsidRPr="00A64104" w:rsidRDefault="00F678D1" w:rsidP="00FF4DD5">
            <w:pPr>
              <w:spacing w:line="276" w:lineRule="auto"/>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0.000</w:t>
            </w:r>
            <w:r w:rsidRPr="00A64104">
              <w:rPr>
                <w:rFonts w:ascii="Arial" w:eastAsia="Calibri" w:hAnsi="Arial" w:cs="Arial"/>
                <w:kern w:val="0"/>
                <w:sz w:val="20"/>
                <w:szCs w:val="20"/>
                <w:vertAlign w:val="superscript"/>
                <w14:ligatures w14:val="none"/>
              </w:rPr>
              <w:t>***</w:t>
            </w:r>
          </w:p>
        </w:tc>
      </w:tr>
      <w:tr w:rsidR="00F678D1" w:rsidRPr="00F678D1" w14:paraId="6E39D9F6" w14:textId="77777777" w:rsidTr="00A64104">
        <w:trPr>
          <w:trHeight w:val="340"/>
        </w:trPr>
        <w:tc>
          <w:tcPr>
            <w:tcW w:w="1197" w:type="pct"/>
            <w:tcBorders>
              <w:bottom w:val="single" w:sz="4" w:space="0" w:color="auto"/>
            </w:tcBorders>
          </w:tcPr>
          <w:p w14:paraId="0E956C6E" w14:textId="77777777" w:rsidR="00F678D1" w:rsidRPr="00A64104" w:rsidRDefault="00F678D1" w:rsidP="00F678D1">
            <w:pPr>
              <w:spacing w:line="276" w:lineRule="auto"/>
              <w:ind w:left="176"/>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Within Groups</w:t>
            </w:r>
          </w:p>
        </w:tc>
        <w:tc>
          <w:tcPr>
            <w:tcW w:w="1064" w:type="pct"/>
            <w:tcBorders>
              <w:bottom w:val="single" w:sz="4" w:space="0" w:color="auto"/>
            </w:tcBorders>
          </w:tcPr>
          <w:p w14:paraId="156D733B" w14:textId="7F56F2D2" w:rsidR="00F678D1" w:rsidRPr="00A64104" w:rsidRDefault="00F678D1" w:rsidP="00F678D1">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114.597</w:t>
            </w:r>
          </w:p>
        </w:tc>
        <w:tc>
          <w:tcPr>
            <w:tcW w:w="504" w:type="pct"/>
            <w:tcBorders>
              <w:bottom w:val="single" w:sz="4" w:space="0" w:color="auto"/>
            </w:tcBorders>
          </w:tcPr>
          <w:p w14:paraId="22EA6BE9" w14:textId="45AE6530" w:rsidR="00F678D1" w:rsidRPr="00A64104" w:rsidRDefault="00F678D1" w:rsidP="00F678D1">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464</w:t>
            </w:r>
          </w:p>
        </w:tc>
        <w:tc>
          <w:tcPr>
            <w:tcW w:w="946" w:type="pct"/>
            <w:tcBorders>
              <w:bottom w:val="single" w:sz="4" w:space="0" w:color="auto"/>
            </w:tcBorders>
          </w:tcPr>
          <w:p w14:paraId="163A9C71" w14:textId="059CC8E0" w:rsidR="00F678D1" w:rsidRPr="00A64104" w:rsidRDefault="00F678D1" w:rsidP="00F678D1">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0.247</w:t>
            </w:r>
          </w:p>
        </w:tc>
        <w:tc>
          <w:tcPr>
            <w:tcW w:w="579" w:type="pct"/>
            <w:vMerge/>
            <w:vAlign w:val="center"/>
          </w:tcPr>
          <w:p w14:paraId="619069E0" w14:textId="77777777" w:rsidR="00F678D1" w:rsidRPr="00A64104" w:rsidRDefault="00F678D1" w:rsidP="00F678D1">
            <w:pPr>
              <w:spacing w:line="276" w:lineRule="auto"/>
              <w:ind w:right="359"/>
              <w:jc w:val="right"/>
              <w:rPr>
                <w:rFonts w:ascii="Arial" w:eastAsia="Calibri" w:hAnsi="Arial" w:cs="Arial"/>
                <w:kern w:val="0"/>
                <w:sz w:val="20"/>
                <w:szCs w:val="20"/>
                <w14:ligatures w14:val="none"/>
              </w:rPr>
            </w:pPr>
          </w:p>
        </w:tc>
        <w:tc>
          <w:tcPr>
            <w:tcW w:w="710" w:type="pct"/>
            <w:vMerge/>
            <w:vAlign w:val="center"/>
          </w:tcPr>
          <w:p w14:paraId="7C3A9382" w14:textId="77777777" w:rsidR="00F678D1" w:rsidRPr="00A64104" w:rsidRDefault="00F678D1" w:rsidP="00F678D1">
            <w:pPr>
              <w:spacing w:line="276" w:lineRule="auto"/>
              <w:ind w:right="359"/>
              <w:jc w:val="right"/>
              <w:rPr>
                <w:rFonts w:ascii="Arial" w:eastAsia="Calibri" w:hAnsi="Arial" w:cs="Arial"/>
                <w:kern w:val="0"/>
                <w:sz w:val="20"/>
                <w:szCs w:val="20"/>
                <w14:ligatures w14:val="none"/>
              </w:rPr>
            </w:pPr>
          </w:p>
        </w:tc>
      </w:tr>
      <w:tr w:rsidR="00F678D1" w:rsidRPr="00F678D1" w14:paraId="33342156" w14:textId="77777777" w:rsidTr="00A64104">
        <w:trPr>
          <w:trHeight w:val="340"/>
        </w:trPr>
        <w:tc>
          <w:tcPr>
            <w:tcW w:w="1197" w:type="pct"/>
            <w:tcBorders>
              <w:top w:val="single" w:sz="4" w:space="0" w:color="auto"/>
              <w:bottom w:val="single" w:sz="4" w:space="0" w:color="auto"/>
            </w:tcBorders>
          </w:tcPr>
          <w:p w14:paraId="3C6B9666" w14:textId="77777777" w:rsidR="00F678D1" w:rsidRPr="00A64104" w:rsidRDefault="00F678D1" w:rsidP="00F678D1">
            <w:pPr>
              <w:spacing w:line="276" w:lineRule="auto"/>
              <w:ind w:left="176"/>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Total</w:t>
            </w:r>
          </w:p>
        </w:tc>
        <w:tc>
          <w:tcPr>
            <w:tcW w:w="1064" w:type="pct"/>
            <w:tcBorders>
              <w:top w:val="single" w:sz="4" w:space="0" w:color="auto"/>
              <w:bottom w:val="single" w:sz="4" w:space="0" w:color="auto"/>
            </w:tcBorders>
          </w:tcPr>
          <w:p w14:paraId="06758D6B" w14:textId="3E62ABBD" w:rsidR="00F678D1" w:rsidRPr="00A64104" w:rsidRDefault="00F678D1" w:rsidP="00F678D1">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120.232</w:t>
            </w:r>
          </w:p>
        </w:tc>
        <w:tc>
          <w:tcPr>
            <w:tcW w:w="504" w:type="pct"/>
            <w:tcBorders>
              <w:top w:val="single" w:sz="4" w:space="0" w:color="auto"/>
              <w:bottom w:val="single" w:sz="4" w:space="0" w:color="auto"/>
            </w:tcBorders>
          </w:tcPr>
          <w:p w14:paraId="66BEE47C" w14:textId="6A634940" w:rsidR="00F678D1" w:rsidRPr="00A64104" w:rsidRDefault="00F678D1" w:rsidP="00F678D1">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469</w:t>
            </w:r>
          </w:p>
        </w:tc>
        <w:tc>
          <w:tcPr>
            <w:tcW w:w="946" w:type="pct"/>
            <w:tcBorders>
              <w:top w:val="single" w:sz="4" w:space="0" w:color="auto"/>
              <w:bottom w:val="single" w:sz="4" w:space="0" w:color="auto"/>
            </w:tcBorders>
          </w:tcPr>
          <w:p w14:paraId="4450661A" w14:textId="77777777" w:rsidR="00F678D1" w:rsidRPr="00A64104" w:rsidRDefault="00F678D1" w:rsidP="00F678D1">
            <w:pPr>
              <w:spacing w:line="276" w:lineRule="auto"/>
              <w:ind w:right="359"/>
              <w:jc w:val="right"/>
              <w:rPr>
                <w:rFonts w:ascii="Arial" w:eastAsia="Calibri" w:hAnsi="Arial" w:cs="Arial"/>
                <w:kern w:val="0"/>
                <w:sz w:val="20"/>
                <w:szCs w:val="20"/>
                <w14:ligatures w14:val="none"/>
              </w:rPr>
            </w:pPr>
          </w:p>
        </w:tc>
        <w:tc>
          <w:tcPr>
            <w:tcW w:w="579" w:type="pct"/>
            <w:tcBorders>
              <w:bottom w:val="single" w:sz="4" w:space="0" w:color="auto"/>
            </w:tcBorders>
          </w:tcPr>
          <w:p w14:paraId="5B69D35A" w14:textId="77777777" w:rsidR="00F678D1" w:rsidRPr="00A64104" w:rsidRDefault="00F678D1" w:rsidP="00F678D1">
            <w:pPr>
              <w:spacing w:line="276" w:lineRule="auto"/>
              <w:ind w:right="359"/>
              <w:jc w:val="right"/>
              <w:rPr>
                <w:rFonts w:ascii="Arial" w:eastAsia="Calibri" w:hAnsi="Arial" w:cs="Arial"/>
                <w:kern w:val="0"/>
                <w:sz w:val="20"/>
                <w:szCs w:val="20"/>
                <w14:ligatures w14:val="none"/>
              </w:rPr>
            </w:pPr>
          </w:p>
        </w:tc>
        <w:tc>
          <w:tcPr>
            <w:tcW w:w="710" w:type="pct"/>
            <w:tcBorders>
              <w:bottom w:val="single" w:sz="4" w:space="0" w:color="auto"/>
            </w:tcBorders>
          </w:tcPr>
          <w:p w14:paraId="05DE10B8" w14:textId="77777777" w:rsidR="00F678D1" w:rsidRPr="00A64104" w:rsidRDefault="00F678D1" w:rsidP="00F678D1">
            <w:pPr>
              <w:spacing w:line="276" w:lineRule="auto"/>
              <w:ind w:right="359"/>
              <w:jc w:val="right"/>
              <w:rPr>
                <w:rFonts w:ascii="Arial" w:eastAsia="Calibri" w:hAnsi="Arial" w:cs="Arial"/>
                <w:kern w:val="0"/>
                <w:sz w:val="20"/>
                <w:szCs w:val="20"/>
                <w14:ligatures w14:val="none"/>
              </w:rPr>
            </w:pPr>
          </w:p>
        </w:tc>
      </w:tr>
      <w:tr w:rsidR="00A64104" w:rsidRPr="00F678D1" w14:paraId="0E303BF6" w14:textId="77777777" w:rsidTr="00A64104">
        <w:trPr>
          <w:trHeight w:val="340"/>
        </w:trPr>
        <w:tc>
          <w:tcPr>
            <w:tcW w:w="5000" w:type="pct"/>
            <w:gridSpan w:val="6"/>
            <w:tcBorders>
              <w:top w:val="single" w:sz="4" w:space="0" w:color="auto"/>
            </w:tcBorders>
          </w:tcPr>
          <w:p w14:paraId="58B761D0" w14:textId="19C61567" w:rsidR="00A64104" w:rsidRPr="00A64104" w:rsidRDefault="00A64104" w:rsidP="00A64104">
            <w:pPr>
              <w:spacing w:line="276" w:lineRule="auto"/>
              <w:jc w:val="both"/>
              <w:rPr>
                <w:rFonts w:ascii="Arial" w:eastAsia="Calibri" w:hAnsi="Arial" w:cs="Arial"/>
                <w:bCs/>
                <w:kern w:val="0"/>
                <w:sz w:val="20"/>
                <w:szCs w:val="20"/>
                <w14:ligatures w14:val="none"/>
              </w:rPr>
            </w:pPr>
            <w:r w:rsidRPr="00A64104">
              <w:rPr>
                <w:rFonts w:ascii="Arial" w:eastAsia="Calibri" w:hAnsi="Arial" w:cs="Arial"/>
                <w:bCs/>
                <w:kern w:val="0"/>
                <w:sz w:val="20"/>
                <w:szCs w:val="20"/>
                <w14:ligatures w14:val="none"/>
              </w:rPr>
              <w:t>Note: * p &lt; 0.05, ** p &lt; 0.01, *** p &lt; 0.001, ns = not significant</w:t>
            </w:r>
          </w:p>
        </w:tc>
      </w:tr>
    </w:tbl>
    <w:p w14:paraId="18D15B12" w14:textId="1AF2EEBF" w:rsidR="00A64104" w:rsidRDefault="00A64104" w:rsidP="00A64104">
      <w:pPr>
        <w:spacing w:before="100" w:after="120" w:line="360" w:lineRule="auto"/>
        <w:jc w:val="both"/>
        <w:rPr>
          <w:rFonts w:ascii="Arial" w:eastAsia="Times New Roman" w:hAnsi="Arial" w:cs="Arial"/>
          <w:kern w:val="0"/>
          <w:sz w:val="20"/>
          <w:szCs w:val="20"/>
          <w14:ligatures w14:val="none"/>
        </w:rPr>
      </w:pPr>
      <w:bookmarkStart w:id="3" w:name="_Hlk196343892"/>
      <w:r w:rsidRPr="00172DA9">
        <w:rPr>
          <w:rFonts w:ascii="Arial" w:eastAsia="Times New Roman" w:hAnsi="Arial" w:cs="Arial"/>
          <w:kern w:val="0"/>
          <w:sz w:val="20"/>
          <w:szCs w:val="20"/>
          <w14:ligatures w14:val="none"/>
        </w:rPr>
        <w:t>Source: Own survey, 2024</w:t>
      </w:r>
    </w:p>
    <w:p w14:paraId="2A3962CC" w14:textId="4E867F60" w:rsidR="00C522FD" w:rsidRPr="00A64104" w:rsidRDefault="00ED392F" w:rsidP="00A64104">
      <w:pPr>
        <w:spacing w:before="100" w:after="120" w:line="360" w:lineRule="auto"/>
        <w:jc w:val="both"/>
        <w:rPr>
          <w:rFonts w:ascii="Arial" w:eastAsia="Times New Roman" w:hAnsi="Arial" w:cs="Arial"/>
          <w:kern w:val="0"/>
          <w:sz w:val="20"/>
          <w:szCs w:val="20"/>
          <w14:ligatures w14:val="none"/>
        </w:rPr>
      </w:pPr>
      <w:r w:rsidRPr="00A64104">
        <w:rPr>
          <w:rFonts w:ascii="Arial" w:eastAsia="Times New Roman" w:hAnsi="Arial" w:cs="Arial"/>
          <w:kern w:val="0"/>
          <w:sz w:val="20"/>
          <w:szCs w:val="20"/>
          <w14:ligatures w14:val="none"/>
        </w:rPr>
        <w:t>As mentioned in the following Table 1</w:t>
      </w:r>
      <w:r w:rsidR="00A3636C" w:rsidRPr="00A64104">
        <w:rPr>
          <w:rFonts w:ascii="Arial" w:eastAsia="Times New Roman" w:hAnsi="Arial" w:cs="Arial"/>
          <w:kern w:val="0"/>
          <w:sz w:val="20"/>
          <w:szCs w:val="20"/>
          <w14:ligatures w14:val="none"/>
        </w:rPr>
        <w:t>1</w:t>
      </w:r>
      <w:r w:rsidRPr="00A64104">
        <w:rPr>
          <w:rFonts w:ascii="Arial" w:eastAsia="Times New Roman" w:hAnsi="Arial" w:cs="Arial"/>
          <w:kern w:val="0"/>
          <w:sz w:val="20"/>
          <w:szCs w:val="20"/>
          <w14:ligatures w14:val="none"/>
        </w:rPr>
        <w:t xml:space="preserve">, the probability significance of students’ expenses during the five months according to education level of students was 0.000, which was smaller than the 0.05 level of significance. Therefore, there were significant differences in students’ expenses according to different education levels of study. This is supported by Montalto et al (2019), who stated that students with </w:t>
      </w:r>
      <w:r w:rsidRPr="00A64104">
        <w:rPr>
          <w:rFonts w:ascii="Arial" w:eastAsia="Times New Roman" w:hAnsi="Arial" w:cs="Arial"/>
          <w:kern w:val="0"/>
          <w:sz w:val="20"/>
          <w:szCs w:val="20"/>
          <w14:ligatures w14:val="none"/>
        </w:rPr>
        <w:lastRenderedPageBreak/>
        <w:t>higher income level tend to allocate more resources toward flexible and academic-related expenses, while those with limited income often struggle to cover essential costs.</w:t>
      </w:r>
    </w:p>
    <w:bookmarkEnd w:id="3"/>
    <w:p w14:paraId="21267BC6" w14:textId="6720072E" w:rsidR="00DD5A83" w:rsidRPr="00A64104" w:rsidRDefault="00DD5A83" w:rsidP="00A64104">
      <w:pPr>
        <w:spacing w:before="80" w:after="100" w:line="276" w:lineRule="auto"/>
        <w:ind w:left="811" w:hanging="811"/>
        <w:jc w:val="both"/>
        <w:rPr>
          <w:rFonts w:ascii="Arial" w:eastAsia="Times New Roman" w:hAnsi="Arial" w:cs="Arial"/>
          <w:kern w:val="0"/>
          <w:sz w:val="20"/>
          <w:szCs w:val="20"/>
          <w14:ligatures w14:val="none"/>
        </w:rPr>
      </w:pPr>
      <w:r w:rsidRPr="00A64104">
        <w:rPr>
          <w:rFonts w:ascii="Arial" w:eastAsia="Times New Roman" w:hAnsi="Arial" w:cs="Arial"/>
          <w:kern w:val="0"/>
          <w:sz w:val="20"/>
          <w:szCs w:val="20"/>
          <w14:ligatures w14:val="none"/>
        </w:rPr>
        <w:t xml:space="preserve">Table </w:t>
      </w:r>
      <w:r w:rsidRPr="00A64104">
        <w:rPr>
          <w:rFonts w:ascii="Arial" w:eastAsia="Times New Roman" w:hAnsi="Arial" w:cs="Arial"/>
          <w:kern w:val="0"/>
          <w:sz w:val="20"/>
          <w:szCs w:val="20"/>
          <w14:ligatures w14:val="none"/>
        </w:rPr>
        <w:fldChar w:fldCharType="begin"/>
      </w:r>
      <w:r w:rsidRPr="00A64104">
        <w:rPr>
          <w:rFonts w:ascii="Arial" w:eastAsia="Times New Roman" w:hAnsi="Arial" w:cs="Arial"/>
          <w:kern w:val="0"/>
          <w:sz w:val="20"/>
          <w:szCs w:val="20"/>
          <w14:ligatures w14:val="none"/>
        </w:rPr>
        <w:instrText xml:space="preserve"> SEQ Table \* ARABIC </w:instrText>
      </w:r>
      <w:r w:rsidRPr="00A64104">
        <w:rPr>
          <w:rFonts w:ascii="Arial" w:eastAsia="Times New Roman" w:hAnsi="Arial" w:cs="Arial"/>
          <w:kern w:val="0"/>
          <w:sz w:val="20"/>
          <w:szCs w:val="20"/>
          <w14:ligatures w14:val="none"/>
        </w:rPr>
        <w:fldChar w:fldCharType="separate"/>
      </w:r>
      <w:r w:rsidR="00AE6A7B" w:rsidRPr="00A64104">
        <w:rPr>
          <w:rFonts w:ascii="Arial" w:eastAsia="Times New Roman" w:hAnsi="Arial" w:cs="Arial"/>
          <w:kern w:val="0"/>
          <w:sz w:val="20"/>
          <w:szCs w:val="20"/>
          <w14:ligatures w14:val="none"/>
        </w:rPr>
        <w:t>11</w:t>
      </w:r>
      <w:r w:rsidRPr="00A64104">
        <w:rPr>
          <w:rFonts w:ascii="Arial" w:eastAsia="Times New Roman" w:hAnsi="Arial" w:cs="Arial"/>
          <w:kern w:val="0"/>
          <w:sz w:val="20"/>
          <w:szCs w:val="20"/>
          <w14:ligatures w14:val="none"/>
        </w:rPr>
        <w:fldChar w:fldCharType="end"/>
      </w:r>
      <w:r w:rsidRPr="00A64104">
        <w:rPr>
          <w:rFonts w:ascii="Arial" w:eastAsia="Times New Roman" w:hAnsi="Arial" w:cs="Arial"/>
          <w:kern w:val="0"/>
          <w:sz w:val="20"/>
          <w:szCs w:val="20"/>
          <w14:ligatures w14:val="none"/>
        </w:rPr>
        <w:t xml:space="preserve"> Comparison of students' expenditure </w:t>
      </w:r>
      <w:r w:rsidR="00C522FD" w:rsidRPr="00A64104">
        <w:rPr>
          <w:rFonts w:ascii="Arial" w:eastAsia="Times New Roman" w:hAnsi="Arial" w:cs="Arial"/>
          <w:kern w:val="0"/>
          <w:sz w:val="20"/>
          <w:szCs w:val="20"/>
          <w14:ligatures w14:val="none"/>
        </w:rPr>
        <w:t>according to different income of students</w:t>
      </w:r>
      <w:r w:rsidRPr="00A64104">
        <w:rPr>
          <w:rFonts w:ascii="Arial" w:eastAsia="Times New Roman" w:hAnsi="Arial" w:cs="Arial"/>
          <w:kern w:val="0"/>
          <w:sz w:val="20"/>
          <w:szCs w:val="20"/>
          <w14:ligatures w14:val="none"/>
        </w:rPr>
        <w:t xml:space="preserve"> (n=470)</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1595"/>
        <w:gridCol w:w="909"/>
        <w:gridCol w:w="1664"/>
        <w:gridCol w:w="1187"/>
        <w:gridCol w:w="1276"/>
      </w:tblGrid>
      <w:tr w:rsidR="00C522FD" w:rsidRPr="00A64104" w14:paraId="0EED23AC" w14:textId="77777777" w:rsidTr="00A64104">
        <w:trPr>
          <w:trHeight w:val="340"/>
        </w:trPr>
        <w:tc>
          <w:tcPr>
            <w:tcW w:w="1334" w:type="pct"/>
            <w:tcBorders>
              <w:top w:val="single" w:sz="4" w:space="0" w:color="auto"/>
              <w:bottom w:val="single" w:sz="4" w:space="0" w:color="auto"/>
            </w:tcBorders>
          </w:tcPr>
          <w:p w14:paraId="2B20C60F" w14:textId="28B2490B" w:rsidR="00C60D4C" w:rsidRPr="00A64104" w:rsidRDefault="00C60D4C" w:rsidP="00D346C8">
            <w:pPr>
              <w:spacing w:line="276" w:lineRule="auto"/>
              <w:jc w:val="center"/>
              <w:rPr>
                <w:rFonts w:ascii="Arial" w:eastAsia="Calibri" w:hAnsi="Arial" w:cs="Arial"/>
                <w:b/>
                <w:kern w:val="0"/>
                <w:sz w:val="20"/>
                <w:szCs w:val="20"/>
                <w14:ligatures w14:val="none"/>
              </w:rPr>
            </w:pPr>
            <w:r w:rsidRPr="00A64104">
              <w:rPr>
                <w:rFonts w:ascii="Arial" w:eastAsia="Calibri" w:hAnsi="Arial" w:cs="Arial"/>
                <w:b/>
                <w:kern w:val="0"/>
                <w:sz w:val="20"/>
                <w:szCs w:val="20"/>
                <w14:ligatures w14:val="none"/>
              </w:rPr>
              <w:t xml:space="preserve">Students’ </w:t>
            </w:r>
            <w:r w:rsidR="00453857" w:rsidRPr="00A64104">
              <w:rPr>
                <w:rFonts w:ascii="Arial" w:eastAsia="Calibri" w:hAnsi="Arial" w:cs="Arial"/>
                <w:b/>
                <w:kern w:val="0"/>
                <w:sz w:val="20"/>
                <w:szCs w:val="20"/>
                <w14:ligatures w14:val="none"/>
              </w:rPr>
              <w:t>expenditure</w:t>
            </w:r>
          </w:p>
        </w:tc>
        <w:tc>
          <w:tcPr>
            <w:tcW w:w="891" w:type="pct"/>
            <w:tcBorders>
              <w:top w:val="single" w:sz="4" w:space="0" w:color="auto"/>
              <w:bottom w:val="single" w:sz="4" w:space="0" w:color="auto"/>
            </w:tcBorders>
          </w:tcPr>
          <w:p w14:paraId="235AFA2E" w14:textId="77777777" w:rsidR="00C60D4C" w:rsidRPr="00A64104" w:rsidRDefault="00C60D4C" w:rsidP="00D346C8">
            <w:pPr>
              <w:spacing w:line="276" w:lineRule="auto"/>
              <w:jc w:val="center"/>
              <w:rPr>
                <w:rFonts w:ascii="Arial" w:eastAsia="Calibri" w:hAnsi="Arial" w:cs="Arial"/>
                <w:b/>
                <w:kern w:val="0"/>
                <w:sz w:val="20"/>
                <w:szCs w:val="20"/>
                <w14:ligatures w14:val="none"/>
              </w:rPr>
            </w:pPr>
            <w:r w:rsidRPr="00A64104">
              <w:rPr>
                <w:rFonts w:ascii="Arial" w:eastAsia="Calibri" w:hAnsi="Arial" w:cs="Arial"/>
                <w:b/>
                <w:kern w:val="0"/>
                <w:sz w:val="20"/>
                <w:szCs w:val="20"/>
                <w14:ligatures w14:val="none"/>
              </w:rPr>
              <w:t>Sum of square</w:t>
            </w:r>
          </w:p>
        </w:tc>
        <w:tc>
          <w:tcPr>
            <w:tcW w:w="493" w:type="pct"/>
            <w:tcBorders>
              <w:top w:val="single" w:sz="4" w:space="0" w:color="auto"/>
              <w:bottom w:val="single" w:sz="4" w:space="0" w:color="auto"/>
            </w:tcBorders>
          </w:tcPr>
          <w:p w14:paraId="743C6A2F" w14:textId="77777777" w:rsidR="00C60D4C" w:rsidRPr="00A64104" w:rsidRDefault="00C60D4C" w:rsidP="00D346C8">
            <w:pPr>
              <w:spacing w:line="276" w:lineRule="auto"/>
              <w:jc w:val="center"/>
              <w:rPr>
                <w:rFonts w:ascii="Arial" w:eastAsia="Calibri" w:hAnsi="Arial" w:cs="Arial"/>
                <w:b/>
                <w:kern w:val="0"/>
                <w:sz w:val="20"/>
                <w:szCs w:val="20"/>
                <w14:ligatures w14:val="none"/>
              </w:rPr>
            </w:pPr>
            <w:proofErr w:type="spellStart"/>
            <w:r w:rsidRPr="00A64104">
              <w:rPr>
                <w:rFonts w:ascii="Arial" w:eastAsia="Calibri" w:hAnsi="Arial" w:cs="Arial"/>
                <w:b/>
                <w:kern w:val="0"/>
                <w:sz w:val="20"/>
                <w:szCs w:val="20"/>
                <w14:ligatures w14:val="none"/>
              </w:rPr>
              <w:t>df</w:t>
            </w:r>
            <w:proofErr w:type="spellEnd"/>
          </w:p>
        </w:tc>
        <w:tc>
          <w:tcPr>
            <w:tcW w:w="929" w:type="pct"/>
            <w:tcBorders>
              <w:top w:val="single" w:sz="4" w:space="0" w:color="auto"/>
              <w:bottom w:val="single" w:sz="4" w:space="0" w:color="auto"/>
            </w:tcBorders>
          </w:tcPr>
          <w:p w14:paraId="4CC2851C" w14:textId="77777777" w:rsidR="00C60D4C" w:rsidRPr="00A64104" w:rsidRDefault="00C60D4C" w:rsidP="00D346C8">
            <w:pPr>
              <w:spacing w:line="276" w:lineRule="auto"/>
              <w:jc w:val="center"/>
              <w:rPr>
                <w:rFonts w:ascii="Arial" w:eastAsia="Calibri" w:hAnsi="Arial" w:cs="Arial"/>
                <w:b/>
                <w:kern w:val="0"/>
                <w:sz w:val="20"/>
                <w:szCs w:val="20"/>
                <w14:ligatures w14:val="none"/>
              </w:rPr>
            </w:pPr>
            <w:r w:rsidRPr="00A64104">
              <w:rPr>
                <w:rFonts w:ascii="Arial" w:eastAsia="Calibri" w:hAnsi="Arial" w:cs="Arial"/>
                <w:b/>
                <w:kern w:val="0"/>
                <w:sz w:val="20"/>
                <w:szCs w:val="20"/>
                <w14:ligatures w14:val="none"/>
              </w:rPr>
              <w:t>Mean square</w:t>
            </w:r>
          </w:p>
        </w:tc>
        <w:tc>
          <w:tcPr>
            <w:tcW w:w="639" w:type="pct"/>
            <w:tcBorders>
              <w:top w:val="single" w:sz="4" w:space="0" w:color="auto"/>
              <w:bottom w:val="single" w:sz="4" w:space="0" w:color="auto"/>
            </w:tcBorders>
          </w:tcPr>
          <w:p w14:paraId="5D795CB6" w14:textId="77777777" w:rsidR="00C60D4C" w:rsidRPr="00A64104" w:rsidRDefault="00C60D4C" w:rsidP="00D346C8">
            <w:pPr>
              <w:spacing w:line="276" w:lineRule="auto"/>
              <w:jc w:val="center"/>
              <w:rPr>
                <w:rFonts w:ascii="Arial" w:eastAsia="Calibri" w:hAnsi="Arial" w:cs="Arial"/>
                <w:b/>
                <w:kern w:val="0"/>
                <w:sz w:val="20"/>
                <w:szCs w:val="20"/>
                <w14:ligatures w14:val="none"/>
              </w:rPr>
            </w:pPr>
            <w:r w:rsidRPr="00A64104">
              <w:rPr>
                <w:rFonts w:ascii="Arial" w:eastAsia="Calibri" w:hAnsi="Arial" w:cs="Arial"/>
                <w:b/>
                <w:kern w:val="0"/>
                <w:sz w:val="20"/>
                <w:szCs w:val="20"/>
                <w14:ligatures w14:val="none"/>
              </w:rPr>
              <w:t>F</w:t>
            </w:r>
          </w:p>
        </w:tc>
        <w:tc>
          <w:tcPr>
            <w:tcW w:w="713" w:type="pct"/>
            <w:tcBorders>
              <w:top w:val="single" w:sz="4" w:space="0" w:color="auto"/>
              <w:bottom w:val="single" w:sz="4" w:space="0" w:color="auto"/>
            </w:tcBorders>
          </w:tcPr>
          <w:p w14:paraId="13E68E48" w14:textId="77777777" w:rsidR="00C60D4C" w:rsidRPr="00A64104" w:rsidRDefault="00C60D4C" w:rsidP="00D346C8">
            <w:pPr>
              <w:spacing w:line="276" w:lineRule="auto"/>
              <w:jc w:val="center"/>
              <w:rPr>
                <w:rFonts w:ascii="Arial" w:eastAsia="Calibri" w:hAnsi="Arial" w:cs="Arial"/>
                <w:b/>
                <w:kern w:val="0"/>
                <w:sz w:val="20"/>
                <w:szCs w:val="20"/>
                <w14:ligatures w14:val="none"/>
              </w:rPr>
            </w:pPr>
            <w:r w:rsidRPr="00A64104">
              <w:rPr>
                <w:rFonts w:ascii="Arial" w:eastAsia="Calibri" w:hAnsi="Arial" w:cs="Arial"/>
                <w:b/>
                <w:kern w:val="0"/>
                <w:sz w:val="20"/>
                <w:szCs w:val="20"/>
                <w14:ligatures w14:val="none"/>
              </w:rPr>
              <w:t>Sig.</w:t>
            </w:r>
          </w:p>
        </w:tc>
      </w:tr>
      <w:tr w:rsidR="00C522FD" w:rsidRPr="00A64104" w14:paraId="3E8C553D" w14:textId="77777777" w:rsidTr="00A64104">
        <w:trPr>
          <w:trHeight w:val="340"/>
        </w:trPr>
        <w:tc>
          <w:tcPr>
            <w:tcW w:w="1334" w:type="pct"/>
            <w:tcBorders>
              <w:top w:val="single" w:sz="4" w:space="0" w:color="auto"/>
            </w:tcBorders>
          </w:tcPr>
          <w:p w14:paraId="3A7E23D9" w14:textId="77777777" w:rsidR="00C522FD" w:rsidRPr="00A64104" w:rsidRDefault="00C522FD" w:rsidP="00C522FD">
            <w:pPr>
              <w:spacing w:line="276" w:lineRule="auto"/>
              <w:ind w:left="176"/>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Between Groups</w:t>
            </w:r>
          </w:p>
        </w:tc>
        <w:tc>
          <w:tcPr>
            <w:tcW w:w="891" w:type="pct"/>
            <w:tcBorders>
              <w:top w:val="single" w:sz="4" w:space="0" w:color="auto"/>
            </w:tcBorders>
          </w:tcPr>
          <w:p w14:paraId="143215AD" w14:textId="13063751" w:rsidR="00C522FD" w:rsidRPr="00A64104" w:rsidRDefault="00C522FD" w:rsidP="00C522FD">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30.139</w:t>
            </w:r>
          </w:p>
        </w:tc>
        <w:tc>
          <w:tcPr>
            <w:tcW w:w="493" w:type="pct"/>
            <w:tcBorders>
              <w:top w:val="single" w:sz="4" w:space="0" w:color="auto"/>
            </w:tcBorders>
          </w:tcPr>
          <w:p w14:paraId="60763928" w14:textId="7084D485" w:rsidR="00C522FD" w:rsidRPr="00A64104" w:rsidRDefault="00C522FD" w:rsidP="00C522FD">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3</w:t>
            </w:r>
          </w:p>
        </w:tc>
        <w:tc>
          <w:tcPr>
            <w:tcW w:w="929" w:type="pct"/>
            <w:tcBorders>
              <w:top w:val="single" w:sz="4" w:space="0" w:color="auto"/>
            </w:tcBorders>
          </w:tcPr>
          <w:p w14:paraId="327B8CEC" w14:textId="32D9F811" w:rsidR="00C522FD" w:rsidRPr="00A64104" w:rsidRDefault="00C522FD" w:rsidP="00C522FD">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10.046</w:t>
            </w:r>
          </w:p>
        </w:tc>
        <w:tc>
          <w:tcPr>
            <w:tcW w:w="639" w:type="pct"/>
            <w:vMerge w:val="restart"/>
            <w:tcBorders>
              <w:top w:val="single" w:sz="4" w:space="0" w:color="auto"/>
            </w:tcBorders>
            <w:vAlign w:val="center"/>
          </w:tcPr>
          <w:p w14:paraId="48DA07F6" w14:textId="41641247" w:rsidR="00C522FD" w:rsidRPr="00A64104" w:rsidRDefault="00C522FD" w:rsidP="00C522FD">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25.590</w:t>
            </w:r>
          </w:p>
        </w:tc>
        <w:tc>
          <w:tcPr>
            <w:tcW w:w="713" w:type="pct"/>
            <w:vMerge w:val="restart"/>
            <w:tcBorders>
              <w:top w:val="single" w:sz="4" w:space="0" w:color="auto"/>
            </w:tcBorders>
            <w:vAlign w:val="center"/>
          </w:tcPr>
          <w:p w14:paraId="6F70341E" w14:textId="371DF760" w:rsidR="00C522FD" w:rsidRPr="00A64104" w:rsidRDefault="00C522FD" w:rsidP="00C522FD">
            <w:pPr>
              <w:spacing w:line="276" w:lineRule="auto"/>
              <w:ind w:right="359"/>
              <w:jc w:val="right"/>
              <w:rPr>
                <w:rFonts w:ascii="Arial" w:eastAsia="Calibri" w:hAnsi="Arial" w:cs="Arial"/>
                <w:kern w:val="0"/>
                <w:sz w:val="20"/>
                <w:szCs w:val="20"/>
                <w:vertAlign w:val="superscript"/>
                <w14:ligatures w14:val="none"/>
              </w:rPr>
            </w:pPr>
            <w:r w:rsidRPr="00A64104">
              <w:rPr>
                <w:rFonts w:ascii="Arial" w:eastAsia="Calibri" w:hAnsi="Arial" w:cs="Arial"/>
                <w:kern w:val="0"/>
                <w:sz w:val="20"/>
                <w:szCs w:val="20"/>
                <w14:ligatures w14:val="none"/>
              </w:rPr>
              <w:t>0.000</w:t>
            </w:r>
            <w:r w:rsidRPr="00A64104">
              <w:rPr>
                <w:rFonts w:ascii="Arial" w:eastAsia="Calibri" w:hAnsi="Arial" w:cs="Arial"/>
                <w:kern w:val="0"/>
                <w:sz w:val="20"/>
                <w:szCs w:val="20"/>
                <w:vertAlign w:val="superscript"/>
                <w14:ligatures w14:val="none"/>
              </w:rPr>
              <w:t>***</w:t>
            </w:r>
          </w:p>
        </w:tc>
      </w:tr>
      <w:tr w:rsidR="00C522FD" w:rsidRPr="00A64104" w14:paraId="3CDEDE13" w14:textId="77777777" w:rsidTr="00A64104">
        <w:trPr>
          <w:trHeight w:val="340"/>
        </w:trPr>
        <w:tc>
          <w:tcPr>
            <w:tcW w:w="1334" w:type="pct"/>
            <w:tcBorders>
              <w:bottom w:val="single" w:sz="4" w:space="0" w:color="auto"/>
            </w:tcBorders>
          </w:tcPr>
          <w:p w14:paraId="28AEE632" w14:textId="77777777" w:rsidR="00C522FD" w:rsidRPr="00A64104" w:rsidRDefault="00C522FD" w:rsidP="00C522FD">
            <w:pPr>
              <w:spacing w:line="276" w:lineRule="auto"/>
              <w:ind w:left="176"/>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Within Groups</w:t>
            </w:r>
          </w:p>
        </w:tc>
        <w:tc>
          <w:tcPr>
            <w:tcW w:w="891" w:type="pct"/>
            <w:tcBorders>
              <w:bottom w:val="single" w:sz="4" w:space="0" w:color="auto"/>
            </w:tcBorders>
          </w:tcPr>
          <w:p w14:paraId="58C1C841" w14:textId="1BDB7919" w:rsidR="00C522FD" w:rsidRPr="00A64104" w:rsidRDefault="00C522FD" w:rsidP="00C522FD">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182.944</w:t>
            </w:r>
          </w:p>
        </w:tc>
        <w:tc>
          <w:tcPr>
            <w:tcW w:w="493" w:type="pct"/>
            <w:tcBorders>
              <w:bottom w:val="single" w:sz="4" w:space="0" w:color="auto"/>
            </w:tcBorders>
          </w:tcPr>
          <w:p w14:paraId="1D2C5961" w14:textId="4DC161CA" w:rsidR="00C522FD" w:rsidRPr="00A64104" w:rsidRDefault="00C522FD" w:rsidP="00C522FD">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466</w:t>
            </w:r>
          </w:p>
        </w:tc>
        <w:tc>
          <w:tcPr>
            <w:tcW w:w="929" w:type="pct"/>
            <w:tcBorders>
              <w:bottom w:val="single" w:sz="4" w:space="0" w:color="auto"/>
            </w:tcBorders>
          </w:tcPr>
          <w:p w14:paraId="496DAA11" w14:textId="340C1B92" w:rsidR="00C522FD" w:rsidRPr="00A64104" w:rsidRDefault="00C522FD" w:rsidP="00C522FD">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0.393</w:t>
            </w:r>
          </w:p>
        </w:tc>
        <w:tc>
          <w:tcPr>
            <w:tcW w:w="639" w:type="pct"/>
            <w:vMerge/>
            <w:vAlign w:val="center"/>
          </w:tcPr>
          <w:p w14:paraId="0F222120" w14:textId="77777777" w:rsidR="00C522FD" w:rsidRPr="00A64104" w:rsidRDefault="00C522FD" w:rsidP="00C522FD">
            <w:pPr>
              <w:spacing w:line="276" w:lineRule="auto"/>
              <w:ind w:right="359"/>
              <w:jc w:val="right"/>
              <w:rPr>
                <w:rFonts w:ascii="Arial" w:eastAsia="Calibri" w:hAnsi="Arial" w:cs="Arial"/>
                <w:kern w:val="0"/>
                <w:sz w:val="20"/>
                <w:szCs w:val="20"/>
                <w14:ligatures w14:val="none"/>
              </w:rPr>
            </w:pPr>
          </w:p>
        </w:tc>
        <w:tc>
          <w:tcPr>
            <w:tcW w:w="713" w:type="pct"/>
            <w:vMerge/>
            <w:vAlign w:val="center"/>
          </w:tcPr>
          <w:p w14:paraId="2B5D7F06" w14:textId="77777777" w:rsidR="00C522FD" w:rsidRPr="00A64104" w:rsidRDefault="00C522FD" w:rsidP="00C522FD">
            <w:pPr>
              <w:spacing w:line="276" w:lineRule="auto"/>
              <w:ind w:right="359"/>
              <w:jc w:val="right"/>
              <w:rPr>
                <w:rFonts w:ascii="Arial" w:eastAsia="Calibri" w:hAnsi="Arial" w:cs="Arial"/>
                <w:kern w:val="0"/>
                <w:sz w:val="20"/>
                <w:szCs w:val="20"/>
                <w14:ligatures w14:val="none"/>
              </w:rPr>
            </w:pPr>
          </w:p>
        </w:tc>
      </w:tr>
      <w:tr w:rsidR="00C522FD" w:rsidRPr="00A64104" w14:paraId="15BCC2E5" w14:textId="77777777" w:rsidTr="00A64104">
        <w:trPr>
          <w:trHeight w:val="340"/>
        </w:trPr>
        <w:tc>
          <w:tcPr>
            <w:tcW w:w="1334" w:type="pct"/>
            <w:tcBorders>
              <w:top w:val="single" w:sz="4" w:space="0" w:color="auto"/>
              <w:bottom w:val="single" w:sz="4" w:space="0" w:color="auto"/>
            </w:tcBorders>
          </w:tcPr>
          <w:p w14:paraId="4CFA5106" w14:textId="77777777" w:rsidR="00C522FD" w:rsidRPr="00A64104" w:rsidRDefault="00C522FD" w:rsidP="00C522FD">
            <w:pPr>
              <w:spacing w:line="276" w:lineRule="auto"/>
              <w:ind w:left="176"/>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Total</w:t>
            </w:r>
          </w:p>
        </w:tc>
        <w:tc>
          <w:tcPr>
            <w:tcW w:w="891" w:type="pct"/>
            <w:tcBorders>
              <w:top w:val="single" w:sz="4" w:space="0" w:color="auto"/>
              <w:bottom w:val="single" w:sz="4" w:space="0" w:color="auto"/>
            </w:tcBorders>
          </w:tcPr>
          <w:p w14:paraId="3A033004" w14:textId="23E78952" w:rsidR="00C522FD" w:rsidRPr="00A64104" w:rsidRDefault="00C522FD" w:rsidP="00C522FD">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213.083</w:t>
            </w:r>
          </w:p>
        </w:tc>
        <w:tc>
          <w:tcPr>
            <w:tcW w:w="493" w:type="pct"/>
            <w:tcBorders>
              <w:top w:val="single" w:sz="4" w:space="0" w:color="auto"/>
              <w:bottom w:val="single" w:sz="4" w:space="0" w:color="auto"/>
            </w:tcBorders>
          </w:tcPr>
          <w:p w14:paraId="2755E551" w14:textId="048BCA10" w:rsidR="00C522FD" w:rsidRPr="00A64104" w:rsidRDefault="00C522FD" w:rsidP="00C522FD">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469</w:t>
            </w:r>
          </w:p>
        </w:tc>
        <w:tc>
          <w:tcPr>
            <w:tcW w:w="929" w:type="pct"/>
            <w:tcBorders>
              <w:top w:val="single" w:sz="4" w:space="0" w:color="auto"/>
              <w:bottom w:val="single" w:sz="4" w:space="0" w:color="auto"/>
            </w:tcBorders>
          </w:tcPr>
          <w:p w14:paraId="254B226E" w14:textId="77777777" w:rsidR="00C522FD" w:rsidRPr="00A64104" w:rsidRDefault="00C522FD" w:rsidP="00C522FD">
            <w:pPr>
              <w:spacing w:line="276" w:lineRule="auto"/>
              <w:ind w:right="359"/>
              <w:jc w:val="right"/>
              <w:rPr>
                <w:rFonts w:ascii="Arial" w:eastAsia="Calibri" w:hAnsi="Arial" w:cs="Arial"/>
                <w:kern w:val="0"/>
                <w:sz w:val="20"/>
                <w:szCs w:val="20"/>
                <w14:ligatures w14:val="none"/>
              </w:rPr>
            </w:pPr>
          </w:p>
        </w:tc>
        <w:tc>
          <w:tcPr>
            <w:tcW w:w="639" w:type="pct"/>
            <w:vAlign w:val="center"/>
          </w:tcPr>
          <w:p w14:paraId="4E748CCF" w14:textId="77777777" w:rsidR="00C522FD" w:rsidRPr="00A64104" w:rsidRDefault="00C522FD" w:rsidP="00C522FD">
            <w:pPr>
              <w:spacing w:line="276" w:lineRule="auto"/>
              <w:ind w:right="359"/>
              <w:jc w:val="right"/>
              <w:rPr>
                <w:rFonts w:ascii="Arial" w:eastAsia="Calibri" w:hAnsi="Arial" w:cs="Arial"/>
                <w:kern w:val="0"/>
                <w:sz w:val="20"/>
                <w:szCs w:val="20"/>
                <w14:ligatures w14:val="none"/>
              </w:rPr>
            </w:pPr>
          </w:p>
        </w:tc>
        <w:tc>
          <w:tcPr>
            <w:tcW w:w="713" w:type="pct"/>
            <w:vAlign w:val="center"/>
          </w:tcPr>
          <w:p w14:paraId="684AB98A" w14:textId="77777777" w:rsidR="00C522FD" w:rsidRPr="00A64104" w:rsidRDefault="00C522FD" w:rsidP="00C522FD">
            <w:pPr>
              <w:spacing w:line="276" w:lineRule="auto"/>
              <w:ind w:right="359"/>
              <w:jc w:val="right"/>
              <w:rPr>
                <w:rFonts w:ascii="Arial" w:eastAsia="Calibri" w:hAnsi="Arial" w:cs="Arial"/>
                <w:kern w:val="0"/>
                <w:sz w:val="20"/>
                <w:szCs w:val="20"/>
                <w14:ligatures w14:val="none"/>
              </w:rPr>
            </w:pPr>
          </w:p>
        </w:tc>
      </w:tr>
      <w:tr w:rsidR="00A64104" w:rsidRPr="00A64104" w14:paraId="3D4E79E0" w14:textId="77777777" w:rsidTr="00A64104">
        <w:trPr>
          <w:trHeight w:val="340"/>
        </w:trPr>
        <w:tc>
          <w:tcPr>
            <w:tcW w:w="5000" w:type="pct"/>
            <w:gridSpan w:val="6"/>
            <w:tcBorders>
              <w:top w:val="single" w:sz="4" w:space="0" w:color="auto"/>
              <w:bottom w:val="single" w:sz="4" w:space="0" w:color="auto"/>
            </w:tcBorders>
          </w:tcPr>
          <w:p w14:paraId="0422922D" w14:textId="02808A6A" w:rsidR="00A64104" w:rsidRPr="00A64104" w:rsidRDefault="00A64104" w:rsidP="00A64104">
            <w:pPr>
              <w:spacing w:line="276" w:lineRule="auto"/>
              <w:jc w:val="both"/>
              <w:rPr>
                <w:rFonts w:ascii="Arial" w:eastAsia="Calibri" w:hAnsi="Arial" w:cs="Arial"/>
                <w:bCs/>
                <w:kern w:val="0"/>
                <w:sz w:val="20"/>
                <w:szCs w:val="20"/>
                <w14:ligatures w14:val="none"/>
              </w:rPr>
            </w:pPr>
            <w:r w:rsidRPr="00A64104">
              <w:rPr>
                <w:rFonts w:ascii="Arial" w:eastAsia="Calibri" w:hAnsi="Arial" w:cs="Arial"/>
                <w:bCs/>
                <w:kern w:val="0"/>
                <w:sz w:val="20"/>
                <w:szCs w:val="20"/>
                <w14:ligatures w14:val="none"/>
              </w:rPr>
              <w:t>Note: * p &lt; 0.05, ** p &lt; 0.01, *** p &lt; 0.001, ns = not significant</w:t>
            </w:r>
          </w:p>
        </w:tc>
      </w:tr>
    </w:tbl>
    <w:p w14:paraId="72CB159A" w14:textId="4CC89239" w:rsidR="00A64104" w:rsidRPr="00A64104" w:rsidRDefault="00A64104" w:rsidP="00A64104">
      <w:pPr>
        <w:spacing w:before="100" w:after="120" w:line="360" w:lineRule="auto"/>
        <w:jc w:val="both"/>
        <w:rPr>
          <w:rFonts w:ascii="Arial" w:eastAsia="Times New Roman" w:hAnsi="Arial" w:cs="Arial"/>
          <w:kern w:val="0"/>
          <w:sz w:val="20"/>
          <w:szCs w:val="20"/>
          <w14:ligatures w14:val="none"/>
        </w:rPr>
      </w:pPr>
      <w:bookmarkStart w:id="4" w:name="_Hlk196343899"/>
      <w:r w:rsidRPr="00172DA9">
        <w:rPr>
          <w:rFonts w:ascii="Arial" w:eastAsia="Times New Roman" w:hAnsi="Arial" w:cs="Arial"/>
          <w:kern w:val="0"/>
          <w:sz w:val="20"/>
          <w:szCs w:val="20"/>
          <w14:ligatures w14:val="none"/>
        </w:rPr>
        <w:t>Source: Own survey, 2024</w:t>
      </w:r>
    </w:p>
    <w:p w14:paraId="29B2BF15" w14:textId="1A2AB0BD" w:rsidR="002E57DA" w:rsidRPr="00A64104" w:rsidRDefault="002E57DA" w:rsidP="00A64104">
      <w:pPr>
        <w:spacing w:before="100" w:after="120" w:line="360" w:lineRule="auto"/>
        <w:jc w:val="both"/>
        <w:rPr>
          <w:rFonts w:ascii="Arial" w:eastAsia="Times New Roman" w:hAnsi="Arial" w:cs="Arial"/>
          <w:kern w:val="0"/>
          <w:sz w:val="20"/>
          <w:szCs w:val="20"/>
          <w14:ligatures w14:val="none"/>
        </w:rPr>
      </w:pPr>
      <w:r w:rsidRPr="00A64104">
        <w:rPr>
          <w:rFonts w:ascii="Arial" w:eastAsia="Times New Roman" w:hAnsi="Arial" w:cs="Arial"/>
          <w:kern w:val="0"/>
          <w:sz w:val="20"/>
          <w:szCs w:val="20"/>
          <w14:ligatures w14:val="none"/>
        </w:rPr>
        <w:t>From Table 1</w:t>
      </w:r>
      <w:r w:rsidR="00A3636C" w:rsidRPr="00A64104">
        <w:rPr>
          <w:rFonts w:ascii="Arial" w:eastAsia="Times New Roman" w:hAnsi="Arial" w:cs="Arial"/>
          <w:kern w:val="0"/>
          <w:sz w:val="20"/>
          <w:szCs w:val="20"/>
          <w14:ligatures w14:val="none"/>
        </w:rPr>
        <w:t>2</w:t>
      </w:r>
      <w:r w:rsidRPr="00A64104">
        <w:rPr>
          <w:rFonts w:ascii="Arial" w:eastAsia="Times New Roman" w:hAnsi="Arial" w:cs="Arial"/>
          <w:kern w:val="0"/>
          <w:sz w:val="20"/>
          <w:szCs w:val="20"/>
          <w14:ligatures w14:val="none"/>
        </w:rPr>
        <w:t>, it is found that the value of (F) equals 7.996 with a level of significance of 0.000, and a value of less than 0.05. This means that there are statistically significant differences between the students’ expenditure and their education level of study. This result is supported by previous studies indicating that students in higher semesters tend to spend more, particularly on academic resources, personal technology (ICT), transportation, and living expenses (</w:t>
      </w:r>
      <w:r w:rsidR="00796D6C" w:rsidRPr="00A64104">
        <w:rPr>
          <w:rFonts w:ascii="Arial" w:eastAsia="Times New Roman" w:hAnsi="Arial" w:cs="Arial"/>
          <w:kern w:val="0"/>
          <w:sz w:val="20"/>
          <w:szCs w:val="20"/>
          <w14:ligatures w14:val="none"/>
        </w:rPr>
        <w:t>Shahryar and Tan</w:t>
      </w:r>
      <w:r w:rsidRPr="00A64104">
        <w:rPr>
          <w:rFonts w:ascii="Arial" w:eastAsia="Times New Roman" w:hAnsi="Arial" w:cs="Arial"/>
          <w:kern w:val="0"/>
          <w:sz w:val="20"/>
          <w:szCs w:val="20"/>
          <w14:ligatures w14:val="none"/>
        </w:rPr>
        <w:t>, 20</w:t>
      </w:r>
      <w:r w:rsidR="00796D6C" w:rsidRPr="00A64104">
        <w:rPr>
          <w:rFonts w:ascii="Arial" w:eastAsia="Times New Roman" w:hAnsi="Arial" w:cs="Arial"/>
          <w:kern w:val="0"/>
          <w:sz w:val="20"/>
          <w:szCs w:val="20"/>
          <w14:ligatures w14:val="none"/>
        </w:rPr>
        <w:t>14</w:t>
      </w:r>
      <w:r w:rsidRPr="00A64104">
        <w:rPr>
          <w:rFonts w:ascii="Arial" w:eastAsia="Times New Roman" w:hAnsi="Arial" w:cs="Arial"/>
          <w:kern w:val="0"/>
          <w:sz w:val="20"/>
          <w:szCs w:val="20"/>
          <w14:ligatures w14:val="none"/>
        </w:rPr>
        <w:t>; Robotham, 2012).</w:t>
      </w:r>
    </w:p>
    <w:bookmarkEnd w:id="4"/>
    <w:p w14:paraId="11D68DA8" w14:textId="5DEB722C" w:rsidR="00ED392F" w:rsidRPr="00A64104" w:rsidRDefault="00ED392F" w:rsidP="00A64104">
      <w:pPr>
        <w:spacing w:before="80" w:after="100" w:line="276" w:lineRule="auto"/>
        <w:ind w:left="811" w:hanging="811"/>
        <w:jc w:val="both"/>
        <w:rPr>
          <w:rFonts w:ascii="Arial" w:eastAsia="Times New Roman" w:hAnsi="Arial" w:cs="Arial"/>
          <w:kern w:val="0"/>
          <w:sz w:val="20"/>
          <w:szCs w:val="20"/>
          <w14:ligatures w14:val="none"/>
        </w:rPr>
      </w:pPr>
      <w:r w:rsidRPr="00A64104">
        <w:rPr>
          <w:rFonts w:ascii="Arial" w:eastAsia="Times New Roman" w:hAnsi="Arial" w:cs="Arial"/>
          <w:kern w:val="0"/>
          <w:sz w:val="20"/>
          <w:szCs w:val="20"/>
          <w14:ligatures w14:val="none"/>
        </w:rPr>
        <w:t xml:space="preserve">Table </w:t>
      </w:r>
      <w:r w:rsidRPr="00A64104">
        <w:rPr>
          <w:rFonts w:ascii="Arial" w:eastAsia="Times New Roman" w:hAnsi="Arial" w:cs="Arial"/>
          <w:kern w:val="0"/>
          <w:sz w:val="20"/>
          <w:szCs w:val="20"/>
          <w14:ligatures w14:val="none"/>
        </w:rPr>
        <w:fldChar w:fldCharType="begin"/>
      </w:r>
      <w:r w:rsidRPr="00A64104">
        <w:rPr>
          <w:rFonts w:ascii="Arial" w:eastAsia="Times New Roman" w:hAnsi="Arial" w:cs="Arial"/>
          <w:kern w:val="0"/>
          <w:sz w:val="20"/>
          <w:szCs w:val="20"/>
          <w14:ligatures w14:val="none"/>
        </w:rPr>
        <w:instrText xml:space="preserve"> SEQ Table \* ARABIC </w:instrText>
      </w:r>
      <w:r w:rsidRPr="00A64104">
        <w:rPr>
          <w:rFonts w:ascii="Arial" w:eastAsia="Times New Roman" w:hAnsi="Arial" w:cs="Arial"/>
          <w:kern w:val="0"/>
          <w:sz w:val="20"/>
          <w:szCs w:val="20"/>
          <w14:ligatures w14:val="none"/>
        </w:rPr>
        <w:fldChar w:fldCharType="separate"/>
      </w:r>
      <w:r w:rsidR="00AE6A7B" w:rsidRPr="00A64104">
        <w:rPr>
          <w:rFonts w:ascii="Arial" w:eastAsia="Times New Roman" w:hAnsi="Arial" w:cs="Arial"/>
          <w:kern w:val="0"/>
          <w:sz w:val="20"/>
          <w:szCs w:val="20"/>
          <w14:ligatures w14:val="none"/>
        </w:rPr>
        <w:t>12</w:t>
      </w:r>
      <w:r w:rsidRPr="00A64104">
        <w:rPr>
          <w:rFonts w:ascii="Arial" w:eastAsia="Times New Roman" w:hAnsi="Arial" w:cs="Arial"/>
          <w:kern w:val="0"/>
          <w:sz w:val="20"/>
          <w:szCs w:val="20"/>
          <w14:ligatures w14:val="none"/>
        </w:rPr>
        <w:fldChar w:fldCharType="end"/>
      </w:r>
      <w:r w:rsidRPr="00A64104">
        <w:rPr>
          <w:rFonts w:ascii="Arial" w:eastAsia="Times New Roman" w:hAnsi="Arial" w:cs="Arial"/>
          <w:kern w:val="0"/>
          <w:sz w:val="20"/>
          <w:szCs w:val="20"/>
          <w14:ligatures w14:val="none"/>
        </w:rPr>
        <w:t xml:space="preserve"> Comparison of students' </w:t>
      </w:r>
      <w:r w:rsidR="00796D6C" w:rsidRPr="00A64104">
        <w:rPr>
          <w:rFonts w:ascii="Arial" w:eastAsia="Times New Roman" w:hAnsi="Arial" w:cs="Arial"/>
          <w:kern w:val="0"/>
          <w:sz w:val="20"/>
          <w:szCs w:val="20"/>
          <w14:ligatures w14:val="none"/>
        </w:rPr>
        <w:t>expenses</w:t>
      </w:r>
      <w:r w:rsidRPr="00A64104">
        <w:rPr>
          <w:rFonts w:ascii="Arial" w:eastAsia="Times New Roman" w:hAnsi="Arial" w:cs="Arial"/>
          <w:kern w:val="0"/>
          <w:sz w:val="20"/>
          <w:szCs w:val="20"/>
          <w14:ligatures w14:val="none"/>
        </w:rPr>
        <w:t xml:space="preserve"> </w:t>
      </w:r>
      <w:r w:rsidR="00796D6C" w:rsidRPr="00A64104">
        <w:rPr>
          <w:rFonts w:ascii="Arial" w:eastAsia="Times New Roman" w:hAnsi="Arial" w:cs="Arial"/>
          <w:kern w:val="0"/>
          <w:sz w:val="20"/>
          <w:szCs w:val="20"/>
          <w14:ligatures w14:val="none"/>
        </w:rPr>
        <w:t xml:space="preserve">among </w:t>
      </w:r>
      <w:r w:rsidRPr="00A64104">
        <w:rPr>
          <w:rFonts w:ascii="Arial" w:eastAsia="Times New Roman" w:hAnsi="Arial" w:cs="Arial"/>
          <w:kern w:val="0"/>
          <w:sz w:val="20"/>
          <w:szCs w:val="20"/>
          <w14:ligatures w14:val="none"/>
        </w:rPr>
        <w:t xml:space="preserve">different semesters </w:t>
      </w:r>
      <w:r w:rsidR="00796D6C" w:rsidRPr="00A64104">
        <w:rPr>
          <w:rFonts w:ascii="Arial" w:eastAsia="Times New Roman" w:hAnsi="Arial" w:cs="Arial"/>
          <w:kern w:val="0"/>
          <w:sz w:val="20"/>
          <w:szCs w:val="20"/>
          <w14:ligatures w14:val="none"/>
        </w:rPr>
        <w:t xml:space="preserve">of students </w:t>
      </w:r>
      <w:r w:rsidRPr="00A64104">
        <w:rPr>
          <w:rFonts w:ascii="Arial" w:eastAsia="Times New Roman" w:hAnsi="Arial" w:cs="Arial"/>
          <w:kern w:val="0"/>
          <w:sz w:val="20"/>
          <w:szCs w:val="20"/>
          <w14:ligatures w14:val="none"/>
        </w:rPr>
        <w:t>(n=470)</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1675"/>
        <w:gridCol w:w="910"/>
        <w:gridCol w:w="1708"/>
        <w:gridCol w:w="1045"/>
        <w:gridCol w:w="1282"/>
      </w:tblGrid>
      <w:tr w:rsidR="009203A4" w:rsidRPr="00A64104" w14:paraId="1367524C" w14:textId="77777777" w:rsidTr="00A64104">
        <w:trPr>
          <w:trHeight w:val="340"/>
        </w:trPr>
        <w:tc>
          <w:tcPr>
            <w:tcW w:w="1333" w:type="pct"/>
            <w:tcBorders>
              <w:top w:val="single" w:sz="4" w:space="0" w:color="auto"/>
              <w:bottom w:val="single" w:sz="4" w:space="0" w:color="auto"/>
            </w:tcBorders>
          </w:tcPr>
          <w:p w14:paraId="7B9419B8" w14:textId="5979488E" w:rsidR="00453857" w:rsidRPr="00A64104" w:rsidRDefault="00453857" w:rsidP="00D346C8">
            <w:pPr>
              <w:spacing w:line="276" w:lineRule="auto"/>
              <w:jc w:val="center"/>
              <w:rPr>
                <w:rFonts w:ascii="Arial" w:eastAsia="Calibri" w:hAnsi="Arial" w:cs="Arial"/>
                <w:b/>
                <w:kern w:val="0"/>
                <w:sz w:val="20"/>
                <w:szCs w:val="20"/>
                <w14:ligatures w14:val="none"/>
              </w:rPr>
            </w:pPr>
            <w:r w:rsidRPr="00A64104">
              <w:rPr>
                <w:rFonts w:ascii="Arial" w:eastAsia="Calibri" w:hAnsi="Arial" w:cs="Arial"/>
                <w:b/>
                <w:kern w:val="0"/>
                <w:sz w:val="20"/>
                <w:szCs w:val="20"/>
                <w14:ligatures w14:val="none"/>
              </w:rPr>
              <w:t>Students’ expenditure</w:t>
            </w:r>
          </w:p>
        </w:tc>
        <w:tc>
          <w:tcPr>
            <w:tcW w:w="928" w:type="pct"/>
            <w:tcBorders>
              <w:top w:val="single" w:sz="4" w:space="0" w:color="auto"/>
              <w:bottom w:val="single" w:sz="4" w:space="0" w:color="auto"/>
            </w:tcBorders>
          </w:tcPr>
          <w:p w14:paraId="7BAB97B5" w14:textId="77777777" w:rsidR="00453857" w:rsidRPr="00A64104" w:rsidRDefault="00453857" w:rsidP="00D346C8">
            <w:pPr>
              <w:spacing w:line="276" w:lineRule="auto"/>
              <w:jc w:val="center"/>
              <w:rPr>
                <w:rFonts w:ascii="Arial" w:eastAsia="Calibri" w:hAnsi="Arial" w:cs="Arial"/>
                <w:b/>
                <w:kern w:val="0"/>
                <w:sz w:val="20"/>
                <w:szCs w:val="20"/>
                <w14:ligatures w14:val="none"/>
              </w:rPr>
            </w:pPr>
            <w:r w:rsidRPr="00A64104">
              <w:rPr>
                <w:rFonts w:ascii="Arial" w:eastAsia="Calibri" w:hAnsi="Arial" w:cs="Arial"/>
                <w:b/>
                <w:kern w:val="0"/>
                <w:sz w:val="20"/>
                <w:szCs w:val="20"/>
                <w14:ligatures w14:val="none"/>
              </w:rPr>
              <w:t>Sum of square</w:t>
            </w:r>
          </w:p>
        </w:tc>
        <w:tc>
          <w:tcPr>
            <w:tcW w:w="504" w:type="pct"/>
            <w:tcBorders>
              <w:top w:val="single" w:sz="4" w:space="0" w:color="auto"/>
              <w:bottom w:val="single" w:sz="4" w:space="0" w:color="auto"/>
            </w:tcBorders>
          </w:tcPr>
          <w:p w14:paraId="00E8024E" w14:textId="77777777" w:rsidR="00453857" w:rsidRPr="00A64104" w:rsidRDefault="00453857" w:rsidP="00D346C8">
            <w:pPr>
              <w:spacing w:line="276" w:lineRule="auto"/>
              <w:jc w:val="center"/>
              <w:rPr>
                <w:rFonts w:ascii="Arial" w:eastAsia="Calibri" w:hAnsi="Arial" w:cs="Arial"/>
                <w:b/>
                <w:kern w:val="0"/>
                <w:sz w:val="20"/>
                <w:szCs w:val="20"/>
                <w14:ligatures w14:val="none"/>
              </w:rPr>
            </w:pPr>
            <w:proofErr w:type="spellStart"/>
            <w:r w:rsidRPr="00A64104">
              <w:rPr>
                <w:rFonts w:ascii="Arial" w:eastAsia="Calibri" w:hAnsi="Arial" w:cs="Arial"/>
                <w:b/>
                <w:kern w:val="0"/>
                <w:sz w:val="20"/>
                <w:szCs w:val="20"/>
                <w14:ligatures w14:val="none"/>
              </w:rPr>
              <w:t>df</w:t>
            </w:r>
            <w:proofErr w:type="spellEnd"/>
          </w:p>
        </w:tc>
        <w:tc>
          <w:tcPr>
            <w:tcW w:w="946" w:type="pct"/>
            <w:tcBorders>
              <w:top w:val="single" w:sz="4" w:space="0" w:color="auto"/>
              <w:bottom w:val="single" w:sz="4" w:space="0" w:color="auto"/>
            </w:tcBorders>
          </w:tcPr>
          <w:p w14:paraId="5FAD0E13" w14:textId="77777777" w:rsidR="00453857" w:rsidRPr="00A64104" w:rsidRDefault="00453857" w:rsidP="00D346C8">
            <w:pPr>
              <w:spacing w:line="276" w:lineRule="auto"/>
              <w:jc w:val="center"/>
              <w:rPr>
                <w:rFonts w:ascii="Arial" w:eastAsia="Calibri" w:hAnsi="Arial" w:cs="Arial"/>
                <w:b/>
                <w:kern w:val="0"/>
                <w:sz w:val="20"/>
                <w:szCs w:val="20"/>
                <w14:ligatures w14:val="none"/>
              </w:rPr>
            </w:pPr>
            <w:r w:rsidRPr="00A64104">
              <w:rPr>
                <w:rFonts w:ascii="Arial" w:eastAsia="Calibri" w:hAnsi="Arial" w:cs="Arial"/>
                <w:b/>
                <w:kern w:val="0"/>
                <w:sz w:val="20"/>
                <w:szCs w:val="20"/>
                <w14:ligatures w14:val="none"/>
              </w:rPr>
              <w:t>Mean square</w:t>
            </w:r>
          </w:p>
        </w:tc>
        <w:tc>
          <w:tcPr>
            <w:tcW w:w="579" w:type="pct"/>
            <w:tcBorders>
              <w:top w:val="single" w:sz="4" w:space="0" w:color="auto"/>
              <w:bottom w:val="single" w:sz="4" w:space="0" w:color="auto"/>
            </w:tcBorders>
          </w:tcPr>
          <w:p w14:paraId="0D01E166" w14:textId="77777777" w:rsidR="00453857" w:rsidRPr="00A64104" w:rsidRDefault="00453857" w:rsidP="00D346C8">
            <w:pPr>
              <w:spacing w:line="276" w:lineRule="auto"/>
              <w:jc w:val="center"/>
              <w:rPr>
                <w:rFonts w:ascii="Arial" w:eastAsia="Calibri" w:hAnsi="Arial" w:cs="Arial"/>
                <w:b/>
                <w:kern w:val="0"/>
                <w:sz w:val="20"/>
                <w:szCs w:val="20"/>
                <w14:ligatures w14:val="none"/>
              </w:rPr>
            </w:pPr>
            <w:r w:rsidRPr="00A64104">
              <w:rPr>
                <w:rFonts w:ascii="Arial" w:eastAsia="Calibri" w:hAnsi="Arial" w:cs="Arial"/>
                <w:b/>
                <w:kern w:val="0"/>
                <w:sz w:val="20"/>
                <w:szCs w:val="20"/>
                <w14:ligatures w14:val="none"/>
              </w:rPr>
              <w:t>F</w:t>
            </w:r>
          </w:p>
        </w:tc>
        <w:tc>
          <w:tcPr>
            <w:tcW w:w="711" w:type="pct"/>
            <w:tcBorders>
              <w:top w:val="single" w:sz="4" w:space="0" w:color="auto"/>
              <w:bottom w:val="single" w:sz="4" w:space="0" w:color="auto"/>
            </w:tcBorders>
          </w:tcPr>
          <w:p w14:paraId="1C30B39D" w14:textId="77777777" w:rsidR="00453857" w:rsidRPr="00A64104" w:rsidRDefault="00453857" w:rsidP="00D346C8">
            <w:pPr>
              <w:spacing w:line="276" w:lineRule="auto"/>
              <w:jc w:val="center"/>
              <w:rPr>
                <w:rFonts w:ascii="Arial" w:eastAsia="Calibri" w:hAnsi="Arial" w:cs="Arial"/>
                <w:b/>
                <w:kern w:val="0"/>
                <w:sz w:val="20"/>
                <w:szCs w:val="20"/>
                <w14:ligatures w14:val="none"/>
              </w:rPr>
            </w:pPr>
            <w:r w:rsidRPr="00A64104">
              <w:rPr>
                <w:rFonts w:ascii="Arial" w:eastAsia="Calibri" w:hAnsi="Arial" w:cs="Arial"/>
                <w:b/>
                <w:kern w:val="0"/>
                <w:sz w:val="20"/>
                <w:szCs w:val="20"/>
                <w14:ligatures w14:val="none"/>
              </w:rPr>
              <w:t>Sig.</w:t>
            </w:r>
          </w:p>
        </w:tc>
      </w:tr>
      <w:tr w:rsidR="009203A4" w:rsidRPr="00A64104" w14:paraId="3F78204C" w14:textId="77777777" w:rsidTr="00A64104">
        <w:trPr>
          <w:trHeight w:val="340"/>
        </w:trPr>
        <w:tc>
          <w:tcPr>
            <w:tcW w:w="1333" w:type="pct"/>
            <w:tcBorders>
              <w:top w:val="single" w:sz="4" w:space="0" w:color="auto"/>
            </w:tcBorders>
          </w:tcPr>
          <w:p w14:paraId="7DCCF34A" w14:textId="77777777" w:rsidR="009203A4" w:rsidRPr="00A64104" w:rsidRDefault="009203A4" w:rsidP="009203A4">
            <w:pPr>
              <w:spacing w:line="276" w:lineRule="auto"/>
              <w:ind w:left="176"/>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Between Groups</w:t>
            </w:r>
          </w:p>
        </w:tc>
        <w:tc>
          <w:tcPr>
            <w:tcW w:w="928" w:type="pct"/>
            <w:tcBorders>
              <w:top w:val="single" w:sz="4" w:space="0" w:color="auto"/>
            </w:tcBorders>
          </w:tcPr>
          <w:p w14:paraId="3A9E5B3D" w14:textId="0D65C9D4" w:rsidR="009203A4" w:rsidRPr="00A64104" w:rsidRDefault="009203A4" w:rsidP="009203A4">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16.904</w:t>
            </w:r>
          </w:p>
        </w:tc>
        <w:tc>
          <w:tcPr>
            <w:tcW w:w="504" w:type="pct"/>
            <w:tcBorders>
              <w:top w:val="single" w:sz="4" w:space="0" w:color="auto"/>
            </w:tcBorders>
          </w:tcPr>
          <w:p w14:paraId="681F08A7" w14:textId="14FC8F41" w:rsidR="009203A4" w:rsidRPr="00A64104" w:rsidRDefault="009203A4" w:rsidP="009203A4">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5</w:t>
            </w:r>
          </w:p>
        </w:tc>
        <w:tc>
          <w:tcPr>
            <w:tcW w:w="946" w:type="pct"/>
            <w:tcBorders>
              <w:top w:val="single" w:sz="4" w:space="0" w:color="auto"/>
            </w:tcBorders>
          </w:tcPr>
          <w:p w14:paraId="099BD22D" w14:textId="38105DCC" w:rsidR="009203A4" w:rsidRPr="00A64104" w:rsidRDefault="009203A4" w:rsidP="009203A4">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3.381</w:t>
            </w:r>
          </w:p>
        </w:tc>
        <w:tc>
          <w:tcPr>
            <w:tcW w:w="579" w:type="pct"/>
            <w:vMerge w:val="restart"/>
            <w:tcBorders>
              <w:top w:val="single" w:sz="4" w:space="0" w:color="auto"/>
            </w:tcBorders>
            <w:vAlign w:val="center"/>
          </w:tcPr>
          <w:p w14:paraId="39DAC437" w14:textId="5C493425" w:rsidR="009203A4" w:rsidRPr="00A64104" w:rsidRDefault="009203A4" w:rsidP="00D353AF">
            <w:pPr>
              <w:spacing w:line="276" w:lineRule="auto"/>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7.996</w:t>
            </w:r>
          </w:p>
        </w:tc>
        <w:tc>
          <w:tcPr>
            <w:tcW w:w="711" w:type="pct"/>
            <w:vMerge w:val="restart"/>
            <w:tcBorders>
              <w:top w:val="single" w:sz="4" w:space="0" w:color="auto"/>
            </w:tcBorders>
            <w:vAlign w:val="center"/>
          </w:tcPr>
          <w:p w14:paraId="18A650D8" w14:textId="7F6262AD" w:rsidR="009203A4" w:rsidRPr="00A64104" w:rsidRDefault="009203A4" w:rsidP="00D353AF">
            <w:pPr>
              <w:spacing w:line="276" w:lineRule="auto"/>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0.000</w:t>
            </w:r>
            <w:r w:rsidRPr="00A64104">
              <w:rPr>
                <w:rFonts w:ascii="Arial" w:eastAsia="Calibri" w:hAnsi="Arial" w:cs="Arial"/>
                <w:kern w:val="0"/>
                <w:sz w:val="20"/>
                <w:szCs w:val="20"/>
                <w:vertAlign w:val="superscript"/>
                <w14:ligatures w14:val="none"/>
              </w:rPr>
              <w:t>***</w:t>
            </w:r>
          </w:p>
        </w:tc>
      </w:tr>
      <w:tr w:rsidR="009203A4" w:rsidRPr="00A64104" w14:paraId="611F5969" w14:textId="77777777" w:rsidTr="00A64104">
        <w:trPr>
          <w:trHeight w:val="340"/>
        </w:trPr>
        <w:tc>
          <w:tcPr>
            <w:tcW w:w="1333" w:type="pct"/>
            <w:tcBorders>
              <w:bottom w:val="single" w:sz="4" w:space="0" w:color="auto"/>
            </w:tcBorders>
          </w:tcPr>
          <w:p w14:paraId="7E7BD56D" w14:textId="77777777" w:rsidR="009203A4" w:rsidRPr="00A64104" w:rsidRDefault="009203A4" w:rsidP="009203A4">
            <w:pPr>
              <w:spacing w:line="276" w:lineRule="auto"/>
              <w:ind w:left="176"/>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Within Groups</w:t>
            </w:r>
          </w:p>
        </w:tc>
        <w:tc>
          <w:tcPr>
            <w:tcW w:w="928" w:type="pct"/>
            <w:tcBorders>
              <w:bottom w:val="single" w:sz="4" w:space="0" w:color="auto"/>
            </w:tcBorders>
          </w:tcPr>
          <w:p w14:paraId="6FB7C449" w14:textId="3A9BD705" w:rsidR="009203A4" w:rsidRPr="00A64104" w:rsidRDefault="009203A4" w:rsidP="009203A4">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196.179</w:t>
            </w:r>
          </w:p>
        </w:tc>
        <w:tc>
          <w:tcPr>
            <w:tcW w:w="504" w:type="pct"/>
            <w:tcBorders>
              <w:bottom w:val="single" w:sz="4" w:space="0" w:color="auto"/>
            </w:tcBorders>
          </w:tcPr>
          <w:p w14:paraId="77F210F0" w14:textId="07949B7C" w:rsidR="009203A4" w:rsidRPr="00A64104" w:rsidRDefault="009203A4" w:rsidP="009203A4">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464</w:t>
            </w:r>
          </w:p>
        </w:tc>
        <w:tc>
          <w:tcPr>
            <w:tcW w:w="946" w:type="pct"/>
            <w:tcBorders>
              <w:bottom w:val="single" w:sz="4" w:space="0" w:color="auto"/>
            </w:tcBorders>
          </w:tcPr>
          <w:p w14:paraId="1C80C119" w14:textId="0D9ED50C" w:rsidR="009203A4" w:rsidRPr="00A64104" w:rsidRDefault="009203A4" w:rsidP="009203A4">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0.423</w:t>
            </w:r>
          </w:p>
        </w:tc>
        <w:tc>
          <w:tcPr>
            <w:tcW w:w="579" w:type="pct"/>
            <w:vMerge/>
          </w:tcPr>
          <w:p w14:paraId="127CA3F1" w14:textId="77777777" w:rsidR="009203A4" w:rsidRPr="00A64104" w:rsidRDefault="009203A4" w:rsidP="009203A4">
            <w:pPr>
              <w:spacing w:line="276" w:lineRule="auto"/>
              <w:ind w:right="359"/>
              <w:jc w:val="right"/>
              <w:rPr>
                <w:rFonts w:ascii="Arial" w:eastAsia="Calibri" w:hAnsi="Arial" w:cs="Arial"/>
                <w:kern w:val="0"/>
                <w:sz w:val="20"/>
                <w:szCs w:val="20"/>
                <w14:ligatures w14:val="none"/>
              </w:rPr>
            </w:pPr>
          </w:p>
        </w:tc>
        <w:tc>
          <w:tcPr>
            <w:tcW w:w="711" w:type="pct"/>
            <w:vMerge/>
          </w:tcPr>
          <w:p w14:paraId="52AA0F72" w14:textId="77777777" w:rsidR="009203A4" w:rsidRPr="00A64104" w:rsidRDefault="009203A4" w:rsidP="009203A4">
            <w:pPr>
              <w:spacing w:line="276" w:lineRule="auto"/>
              <w:ind w:right="359"/>
              <w:jc w:val="right"/>
              <w:rPr>
                <w:rFonts w:ascii="Arial" w:eastAsia="Calibri" w:hAnsi="Arial" w:cs="Arial"/>
                <w:kern w:val="0"/>
                <w:sz w:val="20"/>
                <w:szCs w:val="20"/>
                <w14:ligatures w14:val="none"/>
              </w:rPr>
            </w:pPr>
          </w:p>
        </w:tc>
      </w:tr>
      <w:tr w:rsidR="009203A4" w:rsidRPr="00A64104" w14:paraId="2F8F731E" w14:textId="77777777" w:rsidTr="00A64104">
        <w:trPr>
          <w:trHeight w:val="340"/>
        </w:trPr>
        <w:tc>
          <w:tcPr>
            <w:tcW w:w="1333" w:type="pct"/>
            <w:tcBorders>
              <w:top w:val="single" w:sz="4" w:space="0" w:color="auto"/>
              <w:bottom w:val="single" w:sz="4" w:space="0" w:color="auto"/>
            </w:tcBorders>
          </w:tcPr>
          <w:p w14:paraId="0AB5F88D" w14:textId="77777777" w:rsidR="009203A4" w:rsidRPr="00A64104" w:rsidRDefault="009203A4" w:rsidP="009203A4">
            <w:pPr>
              <w:spacing w:line="276" w:lineRule="auto"/>
              <w:ind w:left="176"/>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Total</w:t>
            </w:r>
          </w:p>
        </w:tc>
        <w:tc>
          <w:tcPr>
            <w:tcW w:w="928" w:type="pct"/>
            <w:tcBorders>
              <w:top w:val="single" w:sz="4" w:space="0" w:color="auto"/>
              <w:bottom w:val="single" w:sz="4" w:space="0" w:color="auto"/>
            </w:tcBorders>
          </w:tcPr>
          <w:p w14:paraId="020CDFD1" w14:textId="6F7948F4" w:rsidR="009203A4" w:rsidRPr="00A64104" w:rsidRDefault="009203A4" w:rsidP="009203A4">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213.083</w:t>
            </w:r>
          </w:p>
        </w:tc>
        <w:tc>
          <w:tcPr>
            <w:tcW w:w="504" w:type="pct"/>
            <w:tcBorders>
              <w:top w:val="single" w:sz="4" w:space="0" w:color="auto"/>
              <w:bottom w:val="single" w:sz="4" w:space="0" w:color="auto"/>
            </w:tcBorders>
          </w:tcPr>
          <w:p w14:paraId="42F2F6F2" w14:textId="1AF0B88C" w:rsidR="009203A4" w:rsidRPr="00A64104" w:rsidRDefault="009203A4" w:rsidP="009203A4">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469</w:t>
            </w:r>
          </w:p>
        </w:tc>
        <w:tc>
          <w:tcPr>
            <w:tcW w:w="946" w:type="pct"/>
            <w:tcBorders>
              <w:top w:val="single" w:sz="4" w:space="0" w:color="auto"/>
              <w:bottom w:val="single" w:sz="4" w:space="0" w:color="auto"/>
            </w:tcBorders>
          </w:tcPr>
          <w:p w14:paraId="7DF86739" w14:textId="77777777" w:rsidR="009203A4" w:rsidRPr="00A64104" w:rsidRDefault="009203A4" w:rsidP="009203A4">
            <w:pPr>
              <w:spacing w:line="276" w:lineRule="auto"/>
              <w:ind w:right="359"/>
              <w:jc w:val="right"/>
              <w:rPr>
                <w:rFonts w:ascii="Arial" w:eastAsia="Calibri" w:hAnsi="Arial" w:cs="Arial"/>
                <w:kern w:val="0"/>
                <w:sz w:val="20"/>
                <w:szCs w:val="20"/>
                <w14:ligatures w14:val="none"/>
              </w:rPr>
            </w:pPr>
          </w:p>
        </w:tc>
        <w:tc>
          <w:tcPr>
            <w:tcW w:w="579" w:type="pct"/>
          </w:tcPr>
          <w:p w14:paraId="3D9CE739" w14:textId="77777777" w:rsidR="009203A4" w:rsidRPr="00A64104" w:rsidRDefault="009203A4" w:rsidP="009203A4">
            <w:pPr>
              <w:spacing w:line="276" w:lineRule="auto"/>
              <w:ind w:right="359"/>
              <w:jc w:val="right"/>
              <w:rPr>
                <w:rFonts w:ascii="Arial" w:eastAsia="Calibri" w:hAnsi="Arial" w:cs="Arial"/>
                <w:kern w:val="0"/>
                <w:sz w:val="20"/>
                <w:szCs w:val="20"/>
                <w14:ligatures w14:val="none"/>
              </w:rPr>
            </w:pPr>
          </w:p>
        </w:tc>
        <w:tc>
          <w:tcPr>
            <w:tcW w:w="711" w:type="pct"/>
          </w:tcPr>
          <w:p w14:paraId="475F56BD" w14:textId="77777777" w:rsidR="009203A4" w:rsidRPr="00A64104" w:rsidRDefault="009203A4" w:rsidP="009203A4">
            <w:pPr>
              <w:spacing w:line="276" w:lineRule="auto"/>
              <w:ind w:right="359"/>
              <w:jc w:val="right"/>
              <w:rPr>
                <w:rFonts w:ascii="Arial" w:eastAsia="Calibri" w:hAnsi="Arial" w:cs="Arial"/>
                <w:kern w:val="0"/>
                <w:sz w:val="20"/>
                <w:szCs w:val="20"/>
                <w14:ligatures w14:val="none"/>
              </w:rPr>
            </w:pPr>
          </w:p>
        </w:tc>
      </w:tr>
      <w:tr w:rsidR="00A64104" w:rsidRPr="00A64104" w14:paraId="706E2D7A" w14:textId="77777777" w:rsidTr="00A64104">
        <w:trPr>
          <w:trHeight w:val="340"/>
        </w:trPr>
        <w:tc>
          <w:tcPr>
            <w:tcW w:w="5000" w:type="pct"/>
            <w:gridSpan w:val="6"/>
            <w:tcBorders>
              <w:top w:val="single" w:sz="4" w:space="0" w:color="auto"/>
              <w:bottom w:val="single" w:sz="4" w:space="0" w:color="auto"/>
            </w:tcBorders>
          </w:tcPr>
          <w:p w14:paraId="024371B7" w14:textId="65234302" w:rsidR="00A64104" w:rsidRPr="00A64104" w:rsidRDefault="00A64104" w:rsidP="00A64104">
            <w:pPr>
              <w:spacing w:line="276" w:lineRule="auto"/>
              <w:jc w:val="both"/>
              <w:rPr>
                <w:rFonts w:ascii="Arial" w:eastAsia="Calibri" w:hAnsi="Arial" w:cs="Arial"/>
                <w:bCs/>
                <w:kern w:val="0"/>
                <w:sz w:val="20"/>
                <w:szCs w:val="20"/>
                <w14:ligatures w14:val="none"/>
              </w:rPr>
            </w:pPr>
            <w:r w:rsidRPr="00A64104">
              <w:rPr>
                <w:rFonts w:ascii="Arial" w:eastAsia="Calibri" w:hAnsi="Arial" w:cs="Arial"/>
                <w:bCs/>
                <w:kern w:val="0"/>
                <w:sz w:val="20"/>
                <w:szCs w:val="20"/>
                <w14:ligatures w14:val="none"/>
              </w:rPr>
              <w:t>Note: * p &lt; 0.05, ** p &lt; 0.01, *** p &lt; 0.001, ns = not significant</w:t>
            </w:r>
          </w:p>
        </w:tc>
      </w:tr>
    </w:tbl>
    <w:p w14:paraId="4900254C" w14:textId="77777777" w:rsidR="00A64104" w:rsidRPr="00A64104" w:rsidRDefault="00A64104" w:rsidP="00A64104">
      <w:pPr>
        <w:spacing w:before="100" w:after="120" w:line="360" w:lineRule="auto"/>
        <w:jc w:val="both"/>
        <w:rPr>
          <w:rFonts w:ascii="Arial" w:eastAsia="Times New Roman" w:hAnsi="Arial" w:cs="Arial"/>
          <w:kern w:val="0"/>
          <w:sz w:val="20"/>
          <w:szCs w:val="20"/>
          <w14:ligatures w14:val="none"/>
        </w:rPr>
      </w:pPr>
      <w:r w:rsidRPr="00172DA9">
        <w:rPr>
          <w:rFonts w:ascii="Arial" w:eastAsia="Times New Roman" w:hAnsi="Arial" w:cs="Arial"/>
          <w:kern w:val="0"/>
          <w:sz w:val="20"/>
          <w:szCs w:val="20"/>
          <w14:ligatures w14:val="none"/>
        </w:rPr>
        <w:t>Source: Own survey, 2024</w:t>
      </w:r>
    </w:p>
    <w:p w14:paraId="7F07265B" w14:textId="7706A349" w:rsidR="00984BAD" w:rsidRPr="00A64104" w:rsidRDefault="00A64104" w:rsidP="00A64104">
      <w:pPr>
        <w:pStyle w:val="Head1"/>
        <w:tabs>
          <w:tab w:val="left" w:pos="284"/>
        </w:tabs>
        <w:spacing w:after="0"/>
        <w:jc w:val="both"/>
        <w:rPr>
          <w:rFonts w:ascii="Arial" w:hAnsi="Arial" w:cs="Arial"/>
        </w:rPr>
      </w:pPr>
      <w:r>
        <w:rPr>
          <w:rFonts w:ascii="Arial" w:hAnsi="Arial" w:cs="Arial"/>
        </w:rPr>
        <w:t>4</w:t>
      </w:r>
      <w:r>
        <w:rPr>
          <w:rFonts w:ascii="Arial" w:hAnsi="Arial" w:cs="Arial"/>
        </w:rPr>
        <w:tab/>
      </w:r>
      <w:r w:rsidRPr="00A64104">
        <w:rPr>
          <w:rFonts w:ascii="Arial" w:hAnsi="Arial" w:cs="Arial"/>
        </w:rPr>
        <w:t>CONCLUSION</w:t>
      </w:r>
    </w:p>
    <w:p w14:paraId="58DC6784" w14:textId="77777777" w:rsidR="00D71DA4" w:rsidRDefault="00D71DA4" w:rsidP="00A64104">
      <w:pPr>
        <w:spacing w:after="0" w:line="360" w:lineRule="auto"/>
        <w:jc w:val="both"/>
        <w:rPr>
          <w:rFonts w:ascii="Arial" w:eastAsia="Times New Roman" w:hAnsi="Arial" w:cs="Arial"/>
          <w:kern w:val="0"/>
          <w:sz w:val="20"/>
          <w:szCs w:val="20"/>
          <w14:ligatures w14:val="none"/>
        </w:rPr>
      </w:pPr>
    </w:p>
    <w:p w14:paraId="61407E21" w14:textId="5E46B00A" w:rsidR="0092606C" w:rsidRDefault="00F8783C" w:rsidP="00A64104">
      <w:pPr>
        <w:spacing w:after="0" w:line="360" w:lineRule="auto"/>
        <w:jc w:val="both"/>
        <w:rPr>
          <w:rFonts w:ascii="Arial" w:eastAsia="Times New Roman" w:hAnsi="Arial" w:cs="Arial"/>
          <w:kern w:val="0"/>
          <w:sz w:val="20"/>
          <w:szCs w:val="20"/>
          <w14:ligatures w14:val="none"/>
        </w:rPr>
      </w:pPr>
      <w:r w:rsidRPr="00A64104">
        <w:rPr>
          <w:rFonts w:ascii="Arial" w:eastAsia="Times New Roman" w:hAnsi="Arial" w:cs="Arial"/>
          <w:kern w:val="0"/>
          <w:sz w:val="20"/>
          <w:szCs w:val="20"/>
          <w14:ligatures w14:val="none"/>
        </w:rPr>
        <w:t xml:space="preserve">In addition to the previously discussed results, the findings indicated that a diverse student population, representing many ethnic groups, exists throughout Myanmar. The students' average age is 24.04 years, which suggests that they are a maturer population. Also, the average family size is five people, which could </w:t>
      </w:r>
      <w:r w:rsidR="0092606C" w:rsidRPr="00A64104">
        <w:rPr>
          <w:rFonts w:ascii="Arial" w:eastAsia="Times New Roman" w:hAnsi="Arial" w:cs="Arial"/>
          <w:kern w:val="0"/>
          <w:sz w:val="20"/>
          <w:szCs w:val="20"/>
          <w14:ligatures w14:val="none"/>
        </w:rPr>
        <w:t>influence</w:t>
      </w:r>
      <w:r w:rsidRPr="00A64104">
        <w:rPr>
          <w:rFonts w:ascii="Arial" w:eastAsia="Times New Roman" w:hAnsi="Arial" w:cs="Arial"/>
          <w:kern w:val="0"/>
          <w:sz w:val="20"/>
          <w:szCs w:val="20"/>
          <w14:ligatures w14:val="none"/>
        </w:rPr>
        <w:t xml:space="preserve"> financial aid.</w:t>
      </w:r>
      <w:r w:rsidR="0092606C" w:rsidRPr="00A64104">
        <w:rPr>
          <w:rFonts w:ascii="Arial" w:eastAsia="Times New Roman" w:hAnsi="Arial" w:cs="Arial"/>
          <w:kern w:val="0"/>
          <w:sz w:val="20"/>
          <w:szCs w:val="20"/>
          <w14:ligatures w14:val="none"/>
        </w:rPr>
        <w:t xml:space="preserve"> The majority of the parents possess just a basic education, and most of the students' fathers are employed as farmers. The parents' average monthly income is 1,040,000 MMK. The analysis indicate</w:t>
      </w:r>
      <w:r w:rsidR="00CF4BC8" w:rsidRPr="00A64104">
        <w:rPr>
          <w:rFonts w:ascii="Arial" w:eastAsia="Times New Roman" w:hAnsi="Arial" w:cs="Arial"/>
          <w:kern w:val="0"/>
          <w:sz w:val="20"/>
          <w:szCs w:val="20"/>
          <w14:ligatures w14:val="none"/>
        </w:rPr>
        <w:t>d</w:t>
      </w:r>
      <w:r w:rsidR="0092606C" w:rsidRPr="00A64104">
        <w:rPr>
          <w:rFonts w:ascii="Arial" w:eastAsia="Times New Roman" w:hAnsi="Arial" w:cs="Arial"/>
          <w:kern w:val="0"/>
          <w:sz w:val="20"/>
          <w:szCs w:val="20"/>
          <w14:ligatures w14:val="none"/>
        </w:rPr>
        <w:t xml:space="preserve"> that the primary source of students' income </w:t>
      </w:r>
      <w:r w:rsidR="00CF4BC8" w:rsidRPr="00A64104">
        <w:rPr>
          <w:rFonts w:ascii="Arial" w:eastAsia="Times New Roman" w:hAnsi="Arial" w:cs="Arial"/>
          <w:kern w:val="0"/>
          <w:sz w:val="20"/>
          <w:szCs w:val="20"/>
          <w14:ligatures w14:val="none"/>
        </w:rPr>
        <w:t>depended on</w:t>
      </w:r>
      <w:r w:rsidR="0092606C" w:rsidRPr="00A64104">
        <w:rPr>
          <w:rFonts w:ascii="Arial" w:eastAsia="Times New Roman" w:hAnsi="Arial" w:cs="Arial"/>
          <w:kern w:val="0"/>
          <w:sz w:val="20"/>
          <w:szCs w:val="20"/>
          <w14:ligatures w14:val="none"/>
        </w:rPr>
        <w:t xml:space="preserve"> their parents.</w:t>
      </w:r>
    </w:p>
    <w:p w14:paraId="74991EAF" w14:textId="77777777" w:rsidR="00A64104" w:rsidRPr="00A64104" w:rsidRDefault="00A64104" w:rsidP="00A64104">
      <w:pPr>
        <w:spacing w:after="0" w:line="360" w:lineRule="auto"/>
        <w:jc w:val="both"/>
        <w:rPr>
          <w:rFonts w:ascii="Arial" w:eastAsia="Times New Roman" w:hAnsi="Arial" w:cs="Arial"/>
          <w:kern w:val="0"/>
          <w:sz w:val="20"/>
          <w:szCs w:val="20"/>
          <w14:ligatures w14:val="none"/>
        </w:rPr>
      </w:pPr>
    </w:p>
    <w:p w14:paraId="4DF2B571" w14:textId="5AB08D5F" w:rsidR="00D97D95" w:rsidRDefault="00CF4BC8" w:rsidP="00D97D95">
      <w:pPr>
        <w:spacing w:after="0" w:line="360" w:lineRule="auto"/>
        <w:jc w:val="both"/>
        <w:rPr>
          <w:rFonts w:ascii="Arial" w:eastAsia="Times New Roman" w:hAnsi="Arial" w:cs="Arial"/>
          <w:kern w:val="0"/>
          <w:sz w:val="20"/>
          <w:szCs w:val="20"/>
          <w14:ligatures w14:val="none"/>
        </w:rPr>
      </w:pPr>
      <w:r w:rsidRPr="00A64104">
        <w:rPr>
          <w:rFonts w:ascii="Arial" w:eastAsia="Times New Roman" w:hAnsi="Arial" w:cs="Arial"/>
          <w:kern w:val="0"/>
          <w:sz w:val="20"/>
          <w:szCs w:val="20"/>
          <w14:ligatures w14:val="none"/>
        </w:rPr>
        <w:t xml:space="preserve">The study also found that students spent a significant 78% of their income on living expenses. </w:t>
      </w:r>
      <w:r w:rsidR="000A46BE" w:rsidRPr="00A64104">
        <w:rPr>
          <w:rFonts w:ascii="Arial" w:eastAsia="Times New Roman" w:hAnsi="Arial" w:cs="Arial"/>
          <w:kern w:val="0"/>
          <w:sz w:val="20"/>
          <w:szCs w:val="20"/>
          <w14:ligatures w14:val="none"/>
        </w:rPr>
        <w:t>The expenses of education and ICT were significantly reduced, indicating that students prioritize essential living expenses above academic and ICT expense</w:t>
      </w:r>
      <w:r w:rsidR="00D97D95">
        <w:rPr>
          <w:rFonts w:ascii="Arial" w:eastAsia="Times New Roman" w:hAnsi="Arial" w:cs="Arial"/>
          <w:kern w:val="0"/>
          <w:sz w:val="20"/>
          <w:szCs w:val="20"/>
          <w14:ligatures w14:val="none"/>
        </w:rPr>
        <w:t xml:space="preserve">s. </w:t>
      </w:r>
      <w:proofErr w:type="spellStart"/>
      <w:r w:rsidR="00D97D95">
        <w:rPr>
          <w:rFonts w:ascii="Arial" w:eastAsia="Times New Roman" w:hAnsi="Arial" w:cs="Arial"/>
          <w:kern w:val="0"/>
          <w:sz w:val="20"/>
          <w:szCs w:val="20"/>
          <w14:ligatures w14:val="none"/>
        </w:rPr>
        <w:t>Yezin</w:t>
      </w:r>
      <w:proofErr w:type="spellEnd"/>
      <w:r w:rsidR="00D97D95" w:rsidRPr="00D97D95">
        <w:rPr>
          <w:rFonts w:ascii="Arial" w:eastAsia="Times New Roman" w:hAnsi="Arial" w:cs="Arial"/>
          <w:kern w:val="0"/>
          <w:sz w:val="20"/>
          <w:szCs w:val="20"/>
          <w14:ligatures w14:val="none"/>
        </w:rPr>
        <w:t xml:space="preserve"> Agricultural </w:t>
      </w:r>
      <w:proofErr w:type="spellStart"/>
      <w:r w:rsidR="00D97D95">
        <w:rPr>
          <w:rFonts w:ascii="Arial" w:eastAsia="Times New Roman" w:hAnsi="Arial" w:cs="Arial"/>
          <w:kern w:val="0"/>
          <w:sz w:val="20"/>
          <w:szCs w:val="20"/>
          <w14:ligatures w14:val="none"/>
        </w:rPr>
        <w:t>Univeristy</w:t>
      </w:r>
      <w:proofErr w:type="spellEnd"/>
      <w:r w:rsidR="00D97D95" w:rsidRPr="00D97D95">
        <w:rPr>
          <w:rFonts w:ascii="Arial" w:eastAsia="Times New Roman" w:hAnsi="Arial" w:cs="Arial"/>
          <w:kern w:val="0"/>
          <w:sz w:val="20"/>
          <w:szCs w:val="20"/>
          <w14:ligatures w14:val="none"/>
        </w:rPr>
        <w:t xml:space="preserve">, the </w:t>
      </w:r>
      <w:r w:rsidR="00D97D95">
        <w:rPr>
          <w:rFonts w:ascii="Arial" w:eastAsia="Times New Roman" w:hAnsi="Arial" w:cs="Arial"/>
          <w:kern w:val="0"/>
          <w:sz w:val="20"/>
          <w:szCs w:val="20"/>
          <w14:ligatures w14:val="none"/>
        </w:rPr>
        <w:t>only</w:t>
      </w:r>
      <w:r w:rsidR="00D97D95" w:rsidRPr="00D97D95">
        <w:rPr>
          <w:rFonts w:ascii="Arial" w:eastAsia="Times New Roman" w:hAnsi="Arial" w:cs="Arial"/>
          <w:kern w:val="0"/>
          <w:sz w:val="20"/>
          <w:szCs w:val="20"/>
          <w14:ligatures w14:val="none"/>
        </w:rPr>
        <w:t xml:space="preserve"> agricultural public </w:t>
      </w:r>
      <w:r w:rsidR="00D97D95">
        <w:rPr>
          <w:rFonts w:ascii="Arial" w:eastAsia="Times New Roman" w:hAnsi="Arial" w:cs="Arial"/>
          <w:kern w:val="0"/>
          <w:sz w:val="20"/>
          <w:szCs w:val="20"/>
          <w14:ligatures w14:val="none"/>
        </w:rPr>
        <w:t>university</w:t>
      </w:r>
      <w:r w:rsidR="00D97D95" w:rsidRPr="00D97D95">
        <w:rPr>
          <w:rFonts w:ascii="Arial" w:eastAsia="Times New Roman" w:hAnsi="Arial" w:cs="Arial"/>
          <w:kern w:val="0"/>
          <w:sz w:val="20"/>
          <w:szCs w:val="20"/>
          <w14:ligatures w14:val="none"/>
        </w:rPr>
        <w:t xml:space="preserve"> in Myanmar, is fully government-funded, offering comprehensive education and training in agricultural disciplines at no additional expense.</w:t>
      </w:r>
    </w:p>
    <w:p w14:paraId="39D9C089" w14:textId="77777777" w:rsidR="00D97D95" w:rsidRPr="00D97D95" w:rsidRDefault="00D97D95" w:rsidP="00D97D95">
      <w:pPr>
        <w:spacing w:after="0" w:line="360" w:lineRule="auto"/>
        <w:jc w:val="both"/>
        <w:rPr>
          <w:rFonts w:ascii="Arial" w:eastAsia="Times New Roman" w:hAnsi="Arial" w:cs="Arial"/>
          <w:kern w:val="0"/>
          <w:sz w:val="20"/>
          <w:szCs w:val="20"/>
          <w14:ligatures w14:val="none"/>
        </w:rPr>
      </w:pPr>
    </w:p>
    <w:p w14:paraId="6AB49E1F" w14:textId="73277D39" w:rsidR="00FE47A4" w:rsidRDefault="008B3C1B" w:rsidP="00A64104">
      <w:pPr>
        <w:spacing w:after="0" w:line="360" w:lineRule="auto"/>
        <w:jc w:val="both"/>
        <w:rPr>
          <w:rFonts w:ascii="Arial" w:eastAsia="Times New Roman" w:hAnsi="Arial" w:cs="Arial"/>
          <w:kern w:val="0"/>
          <w:sz w:val="20"/>
          <w:szCs w:val="20"/>
          <w14:ligatures w14:val="none"/>
        </w:rPr>
      </w:pPr>
      <w:r w:rsidRPr="00A64104">
        <w:rPr>
          <w:rFonts w:ascii="Arial" w:eastAsia="Times New Roman" w:hAnsi="Arial" w:cs="Arial"/>
          <w:kern w:val="0"/>
          <w:sz w:val="20"/>
          <w:szCs w:val="20"/>
          <w14:ligatures w14:val="none"/>
        </w:rPr>
        <w:lastRenderedPageBreak/>
        <w:t xml:space="preserve">The reduced expense of education is because students are not taking as many additional courses as advanced ICT and language classes. </w:t>
      </w:r>
      <w:r w:rsidR="000A46BE" w:rsidRPr="00A64104">
        <w:rPr>
          <w:rFonts w:ascii="Arial" w:eastAsia="Times New Roman" w:hAnsi="Arial" w:cs="Arial"/>
          <w:kern w:val="0"/>
          <w:sz w:val="20"/>
          <w:szCs w:val="20"/>
          <w14:ligatures w14:val="none"/>
        </w:rPr>
        <w:t>One reason why information and technology expenses are going down is that university internet access is free.</w:t>
      </w:r>
      <w:r w:rsidR="00F04A59" w:rsidRPr="00A64104">
        <w:rPr>
          <w:rFonts w:ascii="Arial" w:eastAsia="Times New Roman" w:hAnsi="Arial" w:cs="Arial"/>
          <w:kern w:val="0"/>
          <w:sz w:val="20"/>
          <w:szCs w:val="20"/>
          <w14:ligatures w14:val="none"/>
        </w:rPr>
        <w:t xml:space="preserve"> Additionally, there are lower costs for purchasing and maintaining ICT devices and services.</w:t>
      </w:r>
      <w:r w:rsidR="005F632C" w:rsidRPr="00A64104">
        <w:rPr>
          <w:rFonts w:ascii="Arial" w:eastAsia="Times New Roman" w:hAnsi="Arial" w:cs="Arial"/>
          <w:kern w:val="0"/>
          <w:sz w:val="20"/>
          <w:szCs w:val="20"/>
          <w14:ligatures w14:val="none"/>
        </w:rPr>
        <w:t xml:space="preserve"> </w:t>
      </w:r>
      <w:r w:rsidR="00D871AA" w:rsidRPr="00A64104">
        <w:rPr>
          <w:rFonts w:ascii="Arial" w:eastAsia="Times New Roman" w:hAnsi="Arial" w:cs="Arial"/>
          <w:kern w:val="0"/>
          <w:sz w:val="20"/>
          <w:szCs w:val="20"/>
          <w14:ligatures w14:val="none"/>
        </w:rPr>
        <w:t xml:space="preserve">In addition, </w:t>
      </w:r>
      <w:r w:rsidR="005F632C" w:rsidRPr="00A64104">
        <w:rPr>
          <w:rFonts w:ascii="Arial" w:eastAsia="Times New Roman" w:hAnsi="Arial" w:cs="Arial"/>
          <w:kern w:val="0"/>
          <w:sz w:val="20"/>
          <w:szCs w:val="20"/>
          <w14:ligatures w14:val="none"/>
        </w:rPr>
        <w:t>s</w:t>
      </w:r>
      <w:r w:rsidR="00A3636C" w:rsidRPr="00A64104">
        <w:rPr>
          <w:rFonts w:ascii="Arial" w:eastAsia="Times New Roman" w:hAnsi="Arial" w:cs="Arial"/>
          <w:kern w:val="0"/>
          <w:sz w:val="20"/>
          <w:szCs w:val="20"/>
          <w14:ligatures w14:val="none"/>
        </w:rPr>
        <w:t xml:space="preserve">tudents' income had no significant differences according to their parents' income, but there were significant differences according to their educational level. </w:t>
      </w:r>
      <w:r w:rsidR="002A52C5" w:rsidRPr="00A64104">
        <w:rPr>
          <w:rFonts w:ascii="Arial" w:eastAsia="Times New Roman" w:hAnsi="Arial" w:cs="Arial"/>
          <w:kern w:val="0"/>
          <w:sz w:val="20"/>
          <w:szCs w:val="20"/>
          <w14:ligatures w14:val="none"/>
        </w:rPr>
        <w:t>Furthermore</w:t>
      </w:r>
      <w:r w:rsidR="00A3636C" w:rsidRPr="00A64104">
        <w:rPr>
          <w:rFonts w:ascii="Arial" w:eastAsia="Times New Roman" w:hAnsi="Arial" w:cs="Arial"/>
          <w:kern w:val="0"/>
          <w:sz w:val="20"/>
          <w:szCs w:val="20"/>
          <w14:ligatures w14:val="none"/>
        </w:rPr>
        <w:t>, students' expenses had significant differences according to their educational level and income.</w:t>
      </w:r>
    </w:p>
    <w:p w14:paraId="34FA3CF2" w14:textId="77777777" w:rsidR="00A64104" w:rsidRPr="00A64104" w:rsidRDefault="00A64104" w:rsidP="00A64104">
      <w:pPr>
        <w:spacing w:after="0" w:line="360" w:lineRule="auto"/>
        <w:jc w:val="both"/>
        <w:rPr>
          <w:rFonts w:ascii="Arial" w:eastAsia="Times New Roman" w:hAnsi="Arial" w:cs="Arial"/>
          <w:kern w:val="0"/>
          <w:sz w:val="20"/>
          <w:szCs w:val="20"/>
          <w14:ligatures w14:val="none"/>
        </w:rPr>
      </w:pPr>
    </w:p>
    <w:p w14:paraId="2A2893E5" w14:textId="2298D3F4" w:rsidR="0004274A" w:rsidRDefault="0004274A" w:rsidP="00A64104">
      <w:pPr>
        <w:spacing w:after="0" w:line="360" w:lineRule="auto"/>
        <w:jc w:val="both"/>
        <w:rPr>
          <w:rFonts w:ascii="Arial" w:eastAsia="Times New Roman" w:hAnsi="Arial" w:cs="Arial"/>
          <w:kern w:val="0"/>
          <w:sz w:val="20"/>
          <w:szCs w:val="20"/>
          <w14:ligatures w14:val="none"/>
        </w:rPr>
      </w:pPr>
      <w:r w:rsidRPr="00A64104">
        <w:rPr>
          <w:rFonts w:ascii="Arial" w:eastAsia="Times New Roman" w:hAnsi="Arial" w:cs="Arial"/>
          <w:kern w:val="0"/>
          <w:sz w:val="20"/>
          <w:szCs w:val="20"/>
          <w14:ligatures w14:val="none"/>
        </w:rPr>
        <w:t xml:space="preserve">To improve students' financial well-being, it is essential to increase financial support plans, ensuring stable and sufficient assistance that addresses both educational and personal needs. Students should actively contribute to planning and financial management workshops to improve their spending habits and develop effective financial planning strategies. Moreover, looking for financial assistance programs designed </w:t>
      </w:r>
      <w:r w:rsidR="006825A5" w:rsidRPr="00A64104">
        <w:rPr>
          <w:rFonts w:ascii="Arial" w:eastAsia="Times New Roman" w:hAnsi="Arial" w:cs="Arial"/>
          <w:kern w:val="0"/>
          <w:sz w:val="20"/>
          <w:szCs w:val="20"/>
          <w14:ligatures w14:val="none"/>
        </w:rPr>
        <w:t>for</w:t>
      </w:r>
      <w:r w:rsidRPr="00A64104">
        <w:rPr>
          <w:rFonts w:ascii="Arial" w:eastAsia="Times New Roman" w:hAnsi="Arial" w:cs="Arial"/>
          <w:kern w:val="0"/>
          <w:sz w:val="20"/>
          <w:szCs w:val="20"/>
          <w14:ligatures w14:val="none"/>
        </w:rPr>
        <w:t xml:space="preserve"> specific student groups, such as low-income students, working students, or those with dependents, can help improve financial challenges. Exploring opportunities for grants, scholarships, or low-interest student loans can further ease financial burdens and improve retention rates. Moreover, collaborating with local businesses or organizations to secure part-time job opportunities or paid internships can provide financial relief while contributing to students' professional development. </w:t>
      </w:r>
    </w:p>
    <w:p w14:paraId="3D7CAD88" w14:textId="77777777" w:rsidR="00A64104" w:rsidRPr="00A64104" w:rsidRDefault="00A64104" w:rsidP="00A64104">
      <w:pPr>
        <w:spacing w:after="0" w:line="360" w:lineRule="auto"/>
        <w:jc w:val="both"/>
        <w:rPr>
          <w:rFonts w:ascii="Arial" w:eastAsia="Times New Roman" w:hAnsi="Arial" w:cs="Arial"/>
          <w:kern w:val="0"/>
          <w:sz w:val="20"/>
          <w:szCs w:val="20"/>
          <w14:ligatures w14:val="none"/>
        </w:rPr>
      </w:pPr>
    </w:p>
    <w:p w14:paraId="35B3BD29" w14:textId="03CF949C" w:rsidR="00BA7269" w:rsidRPr="00A64104" w:rsidRDefault="0004274A" w:rsidP="00A64104">
      <w:pPr>
        <w:spacing w:after="0" w:line="360" w:lineRule="auto"/>
        <w:jc w:val="both"/>
        <w:rPr>
          <w:rFonts w:ascii="Arial" w:eastAsia="Times New Roman" w:hAnsi="Arial" w:cs="Arial"/>
          <w:kern w:val="0"/>
          <w:sz w:val="20"/>
          <w:szCs w:val="20"/>
          <w14:ligatures w14:val="none"/>
        </w:rPr>
      </w:pPr>
      <w:r w:rsidRPr="00A64104">
        <w:rPr>
          <w:rFonts w:ascii="Arial" w:eastAsia="Times New Roman" w:hAnsi="Arial" w:cs="Arial"/>
          <w:kern w:val="0"/>
          <w:sz w:val="20"/>
          <w:szCs w:val="20"/>
          <w14:ligatures w14:val="none"/>
        </w:rPr>
        <w:t>Teachers play a crucial role in encouraging financial literacy among students. Integrating financial literacy topics into relevant subjects can equip students with essential financial management skills, enabling them to make informed financial decisions. Furthermore, guiding students in identifying and accessing available financial assistance programs and scholarships can ensure they take full advantage of the financial resources available to them.</w:t>
      </w:r>
    </w:p>
    <w:p w14:paraId="29FF8A7E" w14:textId="77777777" w:rsidR="00A64104" w:rsidRPr="00164FA3" w:rsidRDefault="00A64104" w:rsidP="00A64104">
      <w:pPr>
        <w:pStyle w:val="Head1"/>
        <w:tabs>
          <w:tab w:val="left" w:pos="284"/>
        </w:tabs>
        <w:spacing w:after="0"/>
        <w:jc w:val="both"/>
        <w:rPr>
          <w:rFonts w:ascii="Arial" w:hAnsi="Arial" w:cs="Arial"/>
        </w:rPr>
      </w:pPr>
      <w:r w:rsidRPr="00164FA3">
        <w:rPr>
          <w:rFonts w:ascii="Arial" w:hAnsi="Arial" w:cs="Arial"/>
        </w:rPr>
        <w:t>DISCLAIMER (ARTIFICIAL INTELLIGENCE)</w:t>
      </w:r>
    </w:p>
    <w:p w14:paraId="4B70D78B" w14:textId="77777777" w:rsidR="00A64104" w:rsidRDefault="00A64104" w:rsidP="00A64104">
      <w:pPr>
        <w:spacing w:after="0" w:line="360" w:lineRule="auto"/>
        <w:jc w:val="both"/>
        <w:rPr>
          <w:rFonts w:ascii="Arial" w:eastAsia="Times New Roman" w:hAnsi="Arial" w:cs="Arial"/>
          <w:kern w:val="0"/>
          <w:sz w:val="20"/>
          <w:szCs w:val="20"/>
          <w14:ligatures w14:val="none"/>
        </w:rPr>
      </w:pPr>
    </w:p>
    <w:p w14:paraId="4309CC2F" w14:textId="77777777" w:rsidR="00A64104" w:rsidRDefault="00A64104" w:rsidP="00A64104">
      <w:pPr>
        <w:spacing w:after="0" w:line="360" w:lineRule="auto"/>
        <w:jc w:val="both"/>
        <w:rPr>
          <w:rFonts w:ascii="Arial" w:eastAsia="Times New Roman" w:hAnsi="Arial" w:cs="Arial"/>
          <w:kern w:val="0"/>
          <w:sz w:val="20"/>
          <w:szCs w:val="20"/>
          <w14:ligatures w14:val="none"/>
        </w:rPr>
      </w:pPr>
      <w:r w:rsidRPr="00164FA3">
        <w:rPr>
          <w:rFonts w:ascii="Arial" w:eastAsia="Times New Roman" w:hAnsi="Arial" w:cs="Arial"/>
          <w:kern w:val="0"/>
          <w:sz w:val="20"/>
          <w:szCs w:val="20"/>
          <w14:ligatures w14:val="none"/>
        </w:rPr>
        <w:t xml:space="preserve">The  author(s)  hereby  declare  that  generative  AI technologies  have  been  used  during  the  writing and editing of this manuscript. The details of the AI usage are as follows: </w:t>
      </w:r>
      <w:proofErr w:type="spellStart"/>
      <w:r w:rsidRPr="00164FA3">
        <w:rPr>
          <w:rFonts w:ascii="Arial" w:eastAsia="Times New Roman" w:hAnsi="Arial" w:cs="Arial"/>
          <w:kern w:val="0"/>
          <w:sz w:val="20"/>
          <w:szCs w:val="20"/>
          <w14:ligatures w14:val="none"/>
        </w:rPr>
        <w:t>Quillbot</w:t>
      </w:r>
      <w:proofErr w:type="spellEnd"/>
      <w:r w:rsidRPr="00164FA3">
        <w:rPr>
          <w:rFonts w:ascii="Arial" w:eastAsia="Times New Roman" w:hAnsi="Arial" w:cs="Arial"/>
          <w:kern w:val="0"/>
          <w:sz w:val="20"/>
          <w:szCs w:val="20"/>
          <w14:ligatures w14:val="none"/>
        </w:rPr>
        <w:t>:  Employed  for  paraphrasing  and refining sentence flow to enhance readability and coherence</w:t>
      </w:r>
      <w:r>
        <w:rPr>
          <w:rFonts w:ascii="Arial" w:eastAsia="Times New Roman" w:hAnsi="Arial" w:cs="Arial"/>
          <w:kern w:val="0"/>
          <w:sz w:val="20"/>
          <w:szCs w:val="20"/>
          <w14:ligatures w14:val="none"/>
        </w:rPr>
        <w:t>.</w:t>
      </w:r>
    </w:p>
    <w:p w14:paraId="19F70A9A" w14:textId="77777777" w:rsidR="00A64104" w:rsidRDefault="00A64104" w:rsidP="00A64104">
      <w:pPr>
        <w:spacing w:after="0" w:line="360" w:lineRule="auto"/>
        <w:jc w:val="both"/>
        <w:rPr>
          <w:rFonts w:ascii="Arial" w:eastAsia="Times New Roman" w:hAnsi="Arial" w:cs="Arial"/>
          <w:kern w:val="0"/>
          <w:sz w:val="20"/>
          <w:szCs w:val="20"/>
          <w14:ligatures w14:val="none"/>
        </w:rPr>
      </w:pPr>
    </w:p>
    <w:p w14:paraId="64D52F2D" w14:textId="5756047D" w:rsidR="00984BAD" w:rsidRPr="00A64104" w:rsidRDefault="00984BAD" w:rsidP="00A64104">
      <w:pPr>
        <w:spacing w:after="0" w:line="360" w:lineRule="auto"/>
        <w:jc w:val="both"/>
        <w:rPr>
          <w:rFonts w:ascii="Arial" w:eastAsia="Times New Roman" w:hAnsi="Arial" w:cs="Arial"/>
          <w:kern w:val="0"/>
          <w:sz w:val="20"/>
          <w:szCs w:val="20"/>
          <w14:ligatures w14:val="none"/>
        </w:rPr>
      </w:pPr>
      <w:r w:rsidRPr="00A64104">
        <w:rPr>
          <w:rFonts w:ascii="Arial" w:eastAsia="Times New Roman" w:hAnsi="Arial" w:cs="Arial"/>
          <w:kern w:val="0"/>
          <w:sz w:val="20"/>
          <w:szCs w:val="20"/>
          <w14:ligatures w14:val="none"/>
        </w:rPr>
        <w:br w:type="page"/>
      </w:r>
    </w:p>
    <w:p w14:paraId="723A1248" w14:textId="5F874E56" w:rsidR="00C60D4C" w:rsidRPr="00A64104" w:rsidRDefault="009B1F44" w:rsidP="00A64104">
      <w:pPr>
        <w:pStyle w:val="ReferHead"/>
        <w:spacing w:after="0"/>
        <w:jc w:val="both"/>
        <w:rPr>
          <w:rFonts w:ascii="Arial" w:hAnsi="Arial" w:cs="Arial"/>
        </w:rPr>
      </w:pPr>
      <w:r w:rsidRPr="00A64104">
        <w:rPr>
          <w:rFonts w:ascii="Arial" w:hAnsi="Arial" w:cs="Arial"/>
        </w:rPr>
        <w:lastRenderedPageBreak/>
        <w:t>References</w:t>
      </w:r>
    </w:p>
    <w:p w14:paraId="7E9E83C7" w14:textId="6ABA970E" w:rsidR="003B48CE" w:rsidRDefault="003B48CE" w:rsidP="00A64104">
      <w:pPr>
        <w:spacing w:after="120" w:line="276" w:lineRule="auto"/>
        <w:ind w:left="360" w:hanging="360"/>
        <w:jc w:val="both"/>
        <w:rPr>
          <w:rFonts w:ascii="Arial" w:eastAsia="Calibri" w:hAnsi="Arial" w:cs="Arial"/>
          <w:kern w:val="0"/>
          <w:sz w:val="20"/>
          <w:szCs w:val="20"/>
          <w14:ligatures w14:val="none"/>
        </w:rPr>
      </w:pPr>
      <w:proofErr w:type="spellStart"/>
      <w:r w:rsidRPr="00A64104">
        <w:rPr>
          <w:rFonts w:ascii="Arial" w:eastAsia="Calibri" w:hAnsi="Arial" w:cs="Arial"/>
          <w:kern w:val="0"/>
          <w:sz w:val="20"/>
          <w:szCs w:val="20"/>
          <w14:ligatures w14:val="none"/>
        </w:rPr>
        <w:t>Abawag</w:t>
      </w:r>
      <w:proofErr w:type="spellEnd"/>
      <w:r w:rsidRPr="00A64104">
        <w:rPr>
          <w:rFonts w:ascii="Arial" w:eastAsia="Calibri" w:hAnsi="Arial" w:cs="Arial"/>
          <w:kern w:val="0"/>
          <w:sz w:val="20"/>
          <w:szCs w:val="20"/>
          <w14:ligatures w14:val="none"/>
        </w:rPr>
        <w:t xml:space="preserve">, C. F. N. B., Ancheta, J. R. S., Domingo, I. J. B., Rabina, G. A., </w:t>
      </w:r>
      <w:proofErr w:type="spellStart"/>
      <w:r w:rsidRPr="00A64104">
        <w:rPr>
          <w:rFonts w:ascii="Arial" w:eastAsia="Calibri" w:hAnsi="Arial" w:cs="Arial"/>
          <w:kern w:val="0"/>
          <w:sz w:val="20"/>
          <w:szCs w:val="20"/>
          <w14:ligatures w14:val="none"/>
        </w:rPr>
        <w:t>Saciote</w:t>
      </w:r>
      <w:proofErr w:type="spellEnd"/>
      <w:r w:rsidRPr="00A64104">
        <w:rPr>
          <w:rFonts w:ascii="Arial" w:eastAsia="Calibri" w:hAnsi="Arial" w:cs="Arial"/>
          <w:kern w:val="0"/>
          <w:sz w:val="20"/>
          <w:szCs w:val="20"/>
          <w14:ligatures w14:val="none"/>
        </w:rPr>
        <w:t>, A. D. N., &amp; Taguinod, G. M. M. (2019). Spending behavior of management students. Research Paper. Senior High School, University of Saint Louis, Tuguegarao City, Cagayan.</w:t>
      </w:r>
    </w:p>
    <w:p w14:paraId="0DCEC9F9"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763970C5" w14:textId="3F88CFF3" w:rsidR="00833117" w:rsidRDefault="00833117" w:rsidP="00A64104">
      <w:pPr>
        <w:spacing w:after="120" w:line="276" w:lineRule="auto"/>
        <w:ind w:left="360" w:hanging="360"/>
        <w:jc w:val="both"/>
        <w:rPr>
          <w:rFonts w:ascii="Arial" w:hAnsi="Arial" w:cs="Arial"/>
          <w:sz w:val="20"/>
          <w:szCs w:val="20"/>
        </w:rPr>
      </w:pPr>
      <w:proofErr w:type="spellStart"/>
      <w:r w:rsidRPr="00A64104">
        <w:rPr>
          <w:rFonts w:ascii="Arial" w:eastAsia="Calibri" w:hAnsi="Arial" w:cs="Arial"/>
          <w:kern w:val="0"/>
          <w:sz w:val="20"/>
          <w:szCs w:val="20"/>
          <w14:ligatures w14:val="none"/>
        </w:rPr>
        <w:t>Arshath</w:t>
      </w:r>
      <w:proofErr w:type="spellEnd"/>
      <w:r w:rsidRPr="00A64104">
        <w:rPr>
          <w:rFonts w:ascii="Arial" w:eastAsia="Calibri" w:hAnsi="Arial" w:cs="Arial"/>
          <w:kern w:val="0"/>
          <w:sz w:val="20"/>
          <w:szCs w:val="20"/>
          <w14:ligatures w14:val="none"/>
        </w:rPr>
        <w:t xml:space="preserve">, T., </w:t>
      </w:r>
      <w:proofErr w:type="spellStart"/>
      <w:r w:rsidRPr="00A64104">
        <w:rPr>
          <w:rFonts w:ascii="Arial" w:eastAsia="Calibri" w:hAnsi="Arial" w:cs="Arial"/>
          <w:kern w:val="0"/>
          <w:sz w:val="20"/>
          <w:szCs w:val="20"/>
          <w14:ligatures w14:val="none"/>
        </w:rPr>
        <w:t>Rawahi</w:t>
      </w:r>
      <w:proofErr w:type="spellEnd"/>
      <w:r w:rsidRPr="00A64104">
        <w:rPr>
          <w:rFonts w:ascii="Arial" w:eastAsia="Calibri" w:hAnsi="Arial" w:cs="Arial"/>
          <w:kern w:val="0"/>
          <w:sz w:val="20"/>
          <w:szCs w:val="20"/>
          <w14:ligatures w14:val="none"/>
        </w:rPr>
        <w:t xml:space="preserve">, K. a. H. A., Hinai, A. a. M. A., </w:t>
      </w:r>
      <w:proofErr w:type="spellStart"/>
      <w:r w:rsidRPr="00A64104">
        <w:rPr>
          <w:rFonts w:ascii="Arial" w:eastAsia="Calibri" w:hAnsi="Arial" w:cs="Arial"/>
          <w:kern w:val="0"/>
          <w:sz w:val="20"/>
          <w:szCs w:val="20"/>
          <w14:ligatures w14:val="none"/>
        </w:rPr>
        <w:t>Shuraiqi</w:t>
      </w:r>
      <w:proofErr w:type="spellEnd"/>
      <w:r w:rsidRPr="00A64104">
        <w:rPr>
          <w:rFonts w:ascii="Arial" w:eastAsia="Calibri" w:hAnsi="Arial" w:cs="Arial"/>
          <w:kern w:val="0"/>
          <w:sz w:val="20"/>
          <w:szCs w:val="20"/>
          <w14:ligatures w14:val="none"/>
        </w:rPr>
        <w:t xml:space="preserve">, A. K. N. A., &amp; Hasani, H. M. S. A. (2021). An analysis of the spending and saving pattern of the students of the University of Technology and Applied Sciences. Journal of Emerging Technologies and Innovative Research, 8(6). </w:t>
      </w:r>
      <w:hyperlink r:id="rId11" w:history="1">
        <w:r w:rsidRPr="00A64104">
          <w:rPr>
            <w:rStyle w:val="Hyperlink"/>
            <w:rFonts w:ascii="Arial" w:eastAsia="Calibri" w:hAnsi="Arial" w:cs="Arial"/>
            <w:kern w:val="0"/>
            <w:sz w:val="20"/>
            <w:szCs w:val="20"/>
            <w14:ligatures w14:val="none"/>
          </w:rPr>
          <w:t>https://www.jetir.org/papers/JETIR2106648.pdf</w:t>
        </w:r>
      </w:hyperlink>
    </w:p>
    <w:p w14:paraId="6A6C7F37"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776373FD" w14:textId="4AA45A39" w:rsidR="008358B4" w:rsidRDefault="008358B4" w:rsidP="00A64104">
      <w:pPr>
        <w:spacing w:after="120" w:line="276" w:lineRule="auto"/>
        <w:ind w:left="360" w:hanging="360"/>
        <w:jc w:val="both"/>
        <w:rPr>
          <w:rFonts w:ascii="Arial" w:hAnsi="Arial" w:cs="Arial"/>
          <w:sz w:val="20"/>
          <w:szCs w:val="20"/>
        </w:rPr>
      </w:pPr>
      <w:r w:rsidRPr="00A64104">
        <w:rPr>
          <w:rFonts w:ascii="Arial" w:eastAsia="Calibri" w:hAnsi="Arial" w:cs="Arial"/>
          <w:kern w:val="0"/>
          <w:sz w:val="20"/>
          <w:szCs w:val="20"/>
          <w14:ligatures w14:val="none"/>
        </w:rPr>
        <w:t xml:space="preserve">Awng, N. B. S., &amp; Ye, Y. (2018). A Comparative Study of University Students’ Perceptions Towards Parental Involvement According to Their Demographics at Myanmar Institute of Theology in Yangon, Myanmar. Scholar: Human Sciences, 10(2), 132. Retrieved from </w:t>
      </w:r>
      <w:hyperlink r:id="rId12" w:history="1">
        <w:r w:rsidR="004639C5" w:rsidRPr="00A64104">
          <w:rPr>
            <w:rStyle w:val="Hyperlink"/>
            <w:rFonts w:ascii="Arial" w:eastAsia="Calibri" w:hAnsi="Arial" w:cs="Arial"/>
            <w:kern w:val="0"/>
            <w:sz w:val="20"/>
            <w:szCs w:val="20"/>
            <w14:ligatures w14:val="none"/>
          </w:rPr>
          <w:t>https://assumptionjournal.au.edu/index.php/Scholar/article/view/2768</w:t>
        </w:r>
      </w:hyperlink>
    </w:p>
    <w:p w14:paraId="3C2E6B1B"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37F0A675" w14:textId="1E077496" w:rsidR="003830E4" w:rsidRDefault="003830E4" w:rsidP="00A64104">
      <w:pPr>
        <w:spacing w:after="120" w:line="276" w:lineRule="auto"/>
        <w:ind w:left="360" w:hanging="360"/>
        <w:jc w:val="both"/>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 xml:space="preserve">Brown, A. L., &amp; Murphy, J. R. (2019). Student spending behavior in higher education: A longitudinal perspective. Journal of College Student Development, 60(4), 451–467. </w:t>
      </w:r>
      <w:hyperlink r:id="rId13" w:history="1">
        <w:r w:rsidR="00A64104" w:rsidRPr="00E66430">
          <w:rPr>
            <w:rStyle w:val="Hyperlink"/>
            <w:rFonts w:ascii="Arial" w:eastAsia="Calibri" w:hAnsi="Arial" w:cs="Arial"/>
            <w:kern w:val="0"/>
            <w:sz w:val="20"/>
            <w:szCs w:val="20"/>
            <w14:ligatures w14:val="none"/>
          </w:rPr>
          <w:t>https://doi.org/10.1353/csd.2019.0041</w:t>
        </w:r>
      </w:hyperlink>
    </w:p>
    <w:p w14:paraId="0CE928C8"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41242D0E" w14:textId="20679EE3" w:rsidR="004639C5" w:rsidRDefault="004639C5" w:rsidP="00A64104">
      <w:pPr>
        <w:spacing w:after="120" w:line="276" w:lineRule="auto"/>
        <w:ind w:left="360" w:hanging="360"/>
        <w:jc w:val="both"/>
        <w:rPr>
          <w:rFonts w:ascii="Arial" w:eastAsia="Calibri" w:hAnsi="Arial" w:cs="Arial"/>
          <w:kern w:val="0"/>
          <w:sz w:val="20"/>
          <w:szCs w:val="20"/>
          <w14:ligatures w14:val="none"/>
        </w:rPr>
      </w:pPr>
      <w:proofErr w:type="spellStart"/>
      <w:r w:rsidRPr="00A64104">
        <w:rPr>
          <w:rFonts w:ascii="Arial" w:eastAsia="Calibri" w:hAnsi="Arial" w:cs="Arial"/>
          <w:kern w:val="0"/>
          <w:sz w:val="20"/>
          <w:szCs w:val="20"/>
          <w14:ligatures w14:val="none"/>
        </w:rPr>
        <w:t>Bugheanu</w:t>
      </w:r>
      <w:proofErr w:type="spellEnd"/>
      <w:r w:rsidRPr="00A64104">
        <w:rPr>
          <w:rFonts w:ascii="Arial" w:eastAsia="Calibri" w:hAnsi="Arial" w:cs="Arial"/>
          <w:kern w:val="0"/>
          <w:sz w:val="20"/>
          <w:szCs w:val="20"/>
          <w14:ligatures w14:val="none"/>
        </w:rPr>
        <w:t xml:space="preserve">, A., &amp; </w:t>
      </w:r>
      <w:proofErr w:type="spellStart"/>
      <w:r w:rsidRPr="00A64104">
        <w:rPr>
          <w:rFonts w:ascii="Arial" w:eastAsia="Calibri" w:hAnsi="Arial" w:cs="Arial"/>
          <w:kern w:val="0"/>
          <w:sz w:val="20"/>
          <w:szCs w:val="20"/>
          <w14:ligatures w14:val="none"/>
        </w:rPr>
        <w:t>Străchinaru</w:t>
      </w:r>
      <w:proofErr w:type="spellEnd"/>
      <w:r w:rsidRPr="00A64104">
        <w:rPr>
          <w:rFonts w:ascii="Arial" w:eastAsia="Calibri" w:hAnsi="Arial" w:cs="Arial"/>
          <w:kern w:val="0"/>
          <w:sz w:val="20"/>
          <w:szCs w:val="20"/>
          <w14:ligatures w14:val="none"/>
        </w:rPr>
        <w:t xml:space="preserve">, A. (2020). Financial spending behavior patterns based on education, gender and age. Studies in Business and Economics, 15(2), 62–68. </w:t>
      </w:r>
      <w:hyperlink r:id="rId14" w:history="1">
        <w:r w:rsidR="00A64104" w:rsidRPr="00E66430">
          <w:rPr>
            <w:rStyle w:val="Hyperlink"/>
            <w:rFonts w:ascii="Arial" w:eastAsia="Calibri" w:hAnsi="Arial" w:cs="Arial"/>
            <w:kern w:val="0"/>
            <w:sz w:val="20"/>
            <w:szCs w:val="20"/>
            <w14:ligatures w14:val="none"/>
          </w:rPr>
          <w:t>https://doi.org/10.2478/sbe-2020-0025</w:t>
        </w:r>
      </w:hyperlink>
    </w:p>
    <w:p w14:paraId="63ED41D6"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7BFFD256" w14:textId="049EA894" w:rsidR="003B48CE" w:rsidRDefault="003B48CE" w:rsidP="00A64104">
      <w:pPr>
        <w:spacing w:after="120" w:line="276" w:lineRule="auto"/>
        <w:ind w:left="360" w:hanging="360"/>
        <w:jc w:val="both"/>
        <w:rPr>
          <w:rFonts w:ascii="Arial" w:eastAsia="Calibri" w:hAnsi="Arial" w:cs="Arial"/>
          <w:kern w:val="0"/>
          <w:sz w:val="20"/>
          <w:szCs w:val="20"/>
          <w14:ligatures w14:val="none"/>
        </w:rPr>
      </w:pPr>
      <w:proofErr w:type="spellStart"/>
      <w:r w:rsidRPr="00A64104">
        <w:rPr>
          <w:rFonts w:ascii="Arial" w:eastAsia="Calibri" w:hAnsi="Arial" w:cs="Arial"/>
          <w:kern w:val="0"/>
          <w:sz w:val="20"/>
          <w:szCs w:val="20"/>
          <w14:ligatures w14:val="none"/>
        </w:rPr>
        <w:t>Buszko</w:t>
      </w:r>
      <w:proofErr w:type="spellEnd"/>
      <w:r w:rsidRPr="00A64104">
        <w:rPr>
          <w:rFonts w:ascii="Arial" w:eastAsia="Calibri" w:hAnsi="Arial" w:cs="Arial"/>
          <w:kern w:val="0"/>
          <w:sz w:val="20"/>
          <w:szCs w:val="20"/>
          <w14:ligatures w14:val="none"/>
        </w:rPr>
        <w:t xml:space="preserve">, M., </w:t>
      </w:r>
      <w:proofErr w:type="spellStart"/>
      <w:r w:rsidRPr="00A64104">
        <w:rPr>
          <w:rFonts w:ascii="Arial" w:eastAsia="Calibri" w:hAnsi="Arial" w:cs="Arial"/>
          <w:kern w:val="0"/>
          <w:sz w:val="20"/>
          <w:szCs w:val="20"/>
          <w14:ligatures w14:val="none"/>
        </w:rPr>
        <w:t>Dziawgo</w:t>
      </w:r>
      <w:proofErr w:type="spellEnd"/>
      <w:r w:rsidRPr="00A64104">
        <w:rPr>
          <w:rFonts w:ascii="Arial" w:eastAsia="Calibri" w:hAnsi="Arial" w:cs="Arial"/>
          <w:kern w:val="0"/>
          <w:sz w:val="20"/>
          <w:szCs w:val="20"/>
          <w14:ligatures w14:val="none"/>
        </w:rPr>
        <w:t xml:space="preserve">, L., Krupa, D., &amp; Chojnacka, M. (2020). Adoption of banking products and services by young people: motives, terms, and preferences. In Eurasian studies in business and economics (pp. 299–316). </w:t>
      </w:r>
      <w:hyperlink r:id="rId15" w:history="1">
        <w:r w:rsidR="00A64104" w:rsidRPr="00E66430">
          <w:rPr>
            <w:rStyle w:val="Hyperlink"/>
            <w:rFonts w:ascii="Arial" w:eastAsia="Calibri" w:hAnsi="Arial" w:cs="Arial"/>
            <w:kern w:val="0"/>
            <w:sz w:val="20"/>
            <w:szCs w:val="20"/>
            <w14:ligatures w14:val="none"/>
          </w:rPr>
          <w:t>https://doi.org/10.1007/978-3-030-35051-2_20</w:t>
        </w:r>
      </w:hyperlink>
    </w:p>
    <w:p w14:paraId="1210616C"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165CEFA1" w14:textId="73180835" w:rsidR="004C0DC2" w:rsidRDefault="004C0DC2" w:rsidP="00A64104">
      <w:pPr>
        <w:spacing w:after="120" w:line="276" w:lineRule="auto"/>
        <w:ind w:left="360" w:hanging="360"/>
        <w:jc w:val="both"/>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Chavali, K. (2020). Saving and spending habits of youth in sultanate of Oman. Journal of critical reviews, 7(2), 718-722.</w:t>
      </w:r>
    </w:p>
    <w:p w14:paraId="0C7818B3"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0CD0DCDF" w14:textId="1C12FBC8" w:rsidR="003830E4" w:rsidRDefault="003830E4" w:rsidP="00A64104">
      <w:pPr>
        <w:spacing w:after="120" w:line="276" w:lineRule="auto"/>
        <w:ind w:left="360" w:hanging="360"/>
        <w:jc w:val="both"/>
        <w:rPr>
          <w:rFonts w:ascii="Arial" w:hAnsi="Arial" w:cs="Arial"/>
          <w:sz w:val="20"/>
          <w:szCs w:val="20"/>
        </w:rPr>
      </w:pPr>
      <w:r w:rsidRPr="00A64104">
        <w:rPr>
          <w:rFonts w:ascii="Arial" w:eastAsia="Calibri" w:hAnsi="Arial" w:cs="Arial"/>
          <w:kern w:val="0"/>
          <w:sz w:val="20"/>
          <w:szCs w:val="20"/>
          <w14:ligatures w14:val="none"/>
        </w:rPr>
        <w:t xml:space="preserve">Chen, Y. (2020). Financial challenges among college students: A study of semester-based changes in expenditure. Higher Education Research &amp; Development, 39(6), 1234–1247. </w:t>
      </w:r>
      <w:hyperlink r:id="rId16" w:history="1">
        <w:r w:rsidR="00812115" w:rsidRPr="00A64104">
          <w:rPr>
            <w:rStyle w:val="Hyperlink"/>
            <w:rFonts w:ascii="Arial" w:eastAsia="Calibri" w:hAnsi="Arial" w:cs="Arial"/>
            <w:kern w:val="0"/>
            <w:sz w:val="20"/>
            <w:szCs w:val="20"/>
            <w14:ligatures w14:val="none"/>
          </w:rPr>
          <w:t>https://doi.org/10.1080/07294360.2020.1737654</w:t>
        </w:r>
      </w:hyperlink>
    </w:p>
    <w:p w14:paraId="06169F4A"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4CC51246" w14:textId="2F65D9A4" w:rsidR="00A90B12" w:rsidRDefault="00A90B12" w:rsidP="00A64104">
      <w:pPr>
        <w:spacing w:after="120" w:line="276" w:lineRule="auto"/>
        <w:ind w:left="360" w:hanging="360"/>
        <w:jc w:val="both"/>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Cooper, M., &amp; Pugh, A. J. (2020). Families across the income spectrum: A decade in review. Journal of Marriage and Family, 82(1), 272-299.</w:t>
      </w:r>
    </w:p>
    <w:p w14:paraId="473E9A00"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307516BB" w14:textId="43936876" w:rsidR="00F6111C" w:rsidRDefault="00F6111C" w:rsidP="00A64104">
      <w:pPr>
        <w:spacing w:after="120" w:line="276" w:lineRule="auto"/>
        <w:ind w:left="360" w:hanging="360"/>
        <w:jc w:val="both"/>
        <w:rPr>
          <w:rFonts w:ascii="Arial" w:eastAsia="Calibri" w:hAnsi="Arial" w:cs="Arial"/>
          <w:kern w:val="0"/>
          <w:sz w:val="20"/>
          <w:szCs w:val="20"/>
          <w14:ligatures w14:val="none"/>
        </w:rPr>
      </w:pPr>
      <w:proofErr w:type="spellStart"/>
      <w:r w:rsidRPr="00A64104">
        <w:rPr>
          <w:rFonts w:ascii="Arial" w:eastAsia="Calibri" w:hAnsi="Arial" w:cs="Arial"/>
          <w:kern w:val="0"/>
          <w:sz w:val="20"/>
          <w:szCs w:val="20"/>
          <w14:ligatures w14:val="none"/>
        </w:rPr>
        <w:t>Glasmeier</w:t>
      </w:r>
      <w:proofErr w:type="spellEnd"/>
      <w:r w:rsidRPr="00A64104">
        <w:rPr>
          <w:rFonts w:ascii="Arial" w:eastAsia="Calibri" w:hAnsi="Arial" w:cs="Arial"/>
          <w:kern w:val="0"/>
          <w:sz w:val="20"/>
          <w:szCs w:val="20"/>
          <w14:ligatures w14:val="none"/>
        </w:rPr>
        <w:t>, A. K. (2018). Income inequality and growing disparity: Spatial patterns of inequality and the case of the USA. </w:t>
      </w:r>
      <w:r w:rsidRPr="00A64104">
        <w:rPr>
          <w:rFonts w:ascii="Arial" w:eastAsia="Calibri" w:hAnsi="Arial" w:cs="Arial"/>
          <w:i/>
          <w:iCs/>
          <w:kern w:val="0"/>
          <w:sz w:val="20"/>
          <w:szCs w:val="20"/>
          <w14:ligatures w14:val="none"/>
        </w:rPr>
        <w:t>The new Oxford handbook of economic geography</w:t>
      </w:r>
      <w:r w:rsidRPr="00A64104">
        <w:rPr>
          <w:rFonts w:ascii="Arial" w:eastAsia="Calibri" w:hAnsi="Arial" w:cs="Arial"/>
          <w:kern w:val="0"/>
          <w:sz w:val="20"/>
          <w:szCs w:val="20"/>
          <w14:ligatures w14:val="none"/>
        </w:rPr>
        <w:t>, 63-77.</w:t>
      </w:r>
    </w:p>
    <w:p w14:paraId="5C5752A5"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64771D9B" w14:textId="57BD5728" w:rsidR="003B48CE" w:rsidRDefault="003B48CE" w:rsidP="00A64104">
      <w:pPr>
        <w:spacing w:after="120" w:line="276" w:lineRule="auto"/>
        <w:ind w:left="360" w:hanging="360"/>
        <w:jc w:val="both"/>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Glover, B. C. (2022). The Consumption and Saving Habits of Young Adults During Their Transitional Period to Adulthood. Senior Projects Spring 2022. 151.</w:t>
      </w:r>
    </w:p>
    <w:p w14:paraId="3D935AB9" w14:textId="400A92DC" w:rsidR="00A90B12" w:rsidRDefault="00A90B12" w:rsidP="00A64104">
      <w:pPr>
        <w:spacing w:after="120" w:line="276" w:lineRule="auto"/>
        <w:ind w:left="360" w:hanging="360"/>
        <w:jc w:val="both"/>
        <w:rPr>
          <w:rFonts w:ascii="Arial" w:eastAsia="Calibri" w:hAnsi="Arial" w:cs="Arial"/>
          <w:kern w:val="0"/>
          <w:sz w:val="20"/>
          <w:szCs w:val="20"/>
          <w14:ligatures w14:val="none"/>
        </w:rPr>
      </w:pPr>
      <w:proofErr w:type="spellStart"/>
      <w:r w:rsidRPr="00A64104">
        <w:rPr>
          <w:rFonts w:ascii="Arial" w:eastAsia="Calibri" w:hAnsi="Arial" w:cs="Arial"/>
          <w:kern w:val="0"/>
          <w:sz w:val="20"/>
          <w:szCs w:val="20"/>
          <w14:ligatures w14:val="none"/>
        </w:rPr>
        <w:lastRenderedPageBreak/>
        <w:t>Kishwer</w:t>
      </w:r>
      <w:proofErr w:type="spellEnd"/>
      <w:r w:rsidRPr="00A64104">
        <w:rPr>
          <w:rFonts w:ascii="Arial" w:eastAsia="Calibri" w:hAnsi="Arial" w:cs="Arial"/>
          <w:kern w:val="0"/>
          <w:sz w:val="20"/>
          <w:szCs w:val="20"/>
          <w14:ligatures w14:val="none"/>
        </w:rPr>
        <w:t xml:space="preserve">, R., Akhtar, D. Z., Farooq, D. M., Faiza, M., Khan, D. M. S., &amp; </w:t>
      </w:r>
      <w:proofErr w:type="spellStart"/>
      <w:r w:rsidRPr="00A64104">
        <w:rPr>
          <w:rFonts w:ascii="Arial" w:eastAsia="Calibri" w:hAnsi="Arial" w:cs="Arial"/>
          <w:kern w:val="0"/>
          <w:sz w:val="20"/>
          <w:szCs w:val="20"/>
          <w14:ligatures w14:val="none"/>
        </w:rPr>
        <w:t>Naimat</w:t>
      </w:r>
      <w:proofErr w:type="spellEnd"/>
      <w:r w:rsidRPr="00A64104">
        <w:rPr>
          <w:rFonts w:ascii="Arial" w:eastAsia="Calibri" w:hAnsi="Arial" w:cs="Arial"/>
          <w:kern w:val="0"/>
          <w:sz w:val="20"/>
          <w:szCs w:val="20"/>
          <w14:ligatures w14:val="none"/>
        </w:rPr>
        <w:t xml:space="preserve">, R. (2023). Impact of Part-Time Job On </w:t>
      </w:r>
      <w:proofErr w:type="spellStart"/>
      <w:r w:rsidRPr="00A64104">
        <w:rPr>
          <w:rFonts w:ascii="Arial" w:eastAsia="Calibri" w:hAnsi="Arial" w:cs="Arial"/>
          <w:kern w:val="0"/>
          <w:sz w:val="20"/>
          <w:szCs w:val="20"/>
          <w14:ligatures w14:val="none"/>
        </w:rPr>
        <w:t>Students'academic</w:t>
      </w:r>
      <w:proofErr w:type="spellEnd"/>
      <w:r w:rsidRPr="00A64104">
        <w:rPr>
          <w:rFonts w:ascii="Arial" w:eastAsia="Calibri" w:hAnsi="Arial" w:cs="Arial"/>
          <w:kern w:val="0"/>
          <w:sz w:val="20"/>
          <w:szCs w:val="20"/>
          <w14:ligatures w14:val="none"/>
        </w:rPr>
        <w:t xml:space="preserve"> Achievement and Satisfaction: A Case of Teacher Education Program at International Islamic University Islamabad. </w:t>
      </w:r>
      <w:r w:rsidRPr="00A64104">
        <w:rPr>
          <w:rFonts w:ascii="Arial" w:eastAsia="Calibri" w:hAnsi="Arial" w:cs="Arial"/>
          <w:i/>
          <w:iCs/>
          <w:kern w:val="0"/>
          <w:sz w:val="20"/>
          <w:szCs w:val="20"/>
          <w14:ligatures w14:val="none"/>
        </w:rPr>
        <w:t>Bulletin of Business and Economics (BBE)</w:t>
      </w:r>
      <w:r w:rsidRPr="00A64104">
        <w:rPr>
          <w:rFonts w:ascii="Arial" w:eastAsia="Calibri" w:hAnsi="Arial" w:cs="Arial"/>
          <w:kern w:val="0"/>
          <w:sz w:val="20"/>
          <w:szCs w:val="20"/>
          <w14:ligatures w14:val="none"/>
        </w:rPr>
        <w:t>, </w:t>
      </w:r>
      <w:r w:rsidRPr="00A64104">
        <w:rPr>
          <w:rFonts w:ascii="Arial" w:eastAsia="Calibri" w:hAnsi="Arial" w:cs="Arial"/>
          <w:i/>
          <w:iCs/>
          <w:kern w:val="0"/>
          <w:sz w:val="20"/>
          <w:szCs w:val="20"/>
          <w14:ligatures w14:val="none"/>
        </w:rPr>
        <w:t>12</w:t>
      </w:r>
      <w:r w:rsidRPr="00A64104">
        <w:rPr>
          <w:rFonts w:ascii="Arial" w:eastAsia="Calibri" w:hAnsi="Arial" w:cs="Arial"/>
          <w:kern w:val="0"/>
          <w:sz w:val="20"/>
          <w:szCs w:val="20"/>
          <w14:ligatures w14:val="none"/>
        </w:rPr>
        <w:t>(2), 157-163.</w:t>
      </w:r>
    </w:p>
    <w:p w14:paraId="6AC71AC5"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19056C0C" w14:textId="68B5C021" w:rsidR="004639C5" w:rsidRDefault="004639C5" w:rsidP="00A64104">
      <w:pPr>
        <w:spacing w:after="120" w:line="276" w:lineRule="auto"/>
        <w:ind w:left="360" w:hanging="360"/>
        <w:jc w:val="both"/>
        <w:rPr>
          <w:rFonts w:ascii="Arial" w:hAnsi="Arial" w:cs="Arial"/>
          <w:sz w:val="20"/>
          <w:szCs w:val="20"/>
        </w:rPr>
      </w:pPr>
      <w:r w:rsidRPr="00A64104">
        <w:rPr>
          <w:rFonts w:ascii="Arial" w:eastAsia="Calibri" w:hAnsi="Arial" w:cs="Arial"/>
          <w:kern w:val="0"/>
          <w:sz w:val="20"/>
          <w:szCs w:val="20"/>
          <w14:ligatures w14:val="none"/>
        </w:rPr>
        <w:t xml:space="preserve">Khawar, S., &amp; Sarwar, A. (2021). Financial literacy and financial behavior with the mediating effect of family financial socialization in the financial institutions of Lahore, Pakistan. Future Business Journal, 7(1). </w:t>
      </w:r>
      <w:hyperlink r:id="rId17" w:history="1">
        <w:r w:rsidR="00A11507" w:rsidRPr="00A64104">
          <w:rPr>
            <w:rStyle w:val="Hyperlink"/>
            <w:rFonts w:ascii="Arial" w:eastAsia="Calibri" w:hAnsi="Arial" w:cs="Arial"/>
            <w:kern w:val="0"/>
            <w:sz w:val="20"/>
            <w:szCs w:val="20"/>
            <w14:ligatures w14:val="none"/>
          </w:rPr>
          <w:t>https://doi.org/10.1186/s43093-021-00064-x</w:t>
        </w:r>
      </w:hyperlink>
    </w:p>
    <w:p w14:paraId="2AB1990F"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4E4A45C8" w14:textId="77777777" w:rsidR="00A11507" w:rsidRDefault="00A11507" w:rsidP="00A64104">
      <w:pPr>
        <w:spacing w:after="120" w:line="276" w:lineRule="auto"/>
        <w:ind w:left="360" w:hanging="360"/>
        <w:jc w:val="both"/>
        <w:rPr>
          <w:rFonts w:ascii="Arial" w:eastAsia="Calibri" w:hAnsi="Arial" w:cs="Arial"/>
          <w:kern w:val="0"/>
          <w:sz w:val="20"/>
          <w:szCs w:val="20"/>
          <w14:ligatures w14:val="none"/>
        </w:rPr>
      </w:pPr>
      <w:proofErr w:type="spellStart"/>
      <w:r w:rsidRPr="00A64104">
        <w:rPr>
          <w:rFonts w:ascii="Arial" w:eastAsia="Calibri" w:hAnsi="Arial" w:cs="Arial"/>
          <w:kern w:val="0"/>
          <w:sz w:val="20"/>
          <w:szCs w:val="20"/>
          <w14:ligatures w14:val="none"/>
        </w:rPr>
        <w:t>Krejcie</w:t>
      </w:r>
      <w:proofErr w:type="spellEnd"/>
      <w:r w:rsidRPr="00A64104">
        <w:rPr>
          <w:rFonts w:ascii="Arial" w:eastAsia="Calibri" w:hAnsi="Arial" w:cs="Arial"/>
          <w:kern w:val="0"/>
          <w:sz w:val="20"/>
          <w:szCs w:val="20"/>
          <w14:ligatures w14:val="none"/>
        </w:rPr>
        <w:t>, R.V., &amp; Morgan, D.W., (1970). Determining Sample Size for Research Activities. Educational and Psychological Measurement.</w:t>
      </w:r>
    </w:p>
    <w:p w14:paraId="6BE658B1"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588B39A8" w14:textId="73A43BAE" w:rsidR="007658C3" w:rsidRDefault="007658C3" w:rsidP="00A64104">
      <w:pPr>
        <w:spacing w:after="120" w:line="276" w:lineRule="auto"/>
        <w:ind w:left="360" w:hanging="360"/>
        <w:jc w:val="both"/>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Li, Z. (2021, August). The gender psychology of mental accounting financial decision making. In 2021 5th International Conference on Business and Information Management (pp. 62-68).</w:t>
      </w:r>
    </w:p>
    <w:p w14:paraId="3FA3114D"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66540ECE" w14:textId="27C383F0" w:rsidR="000C5932" w:rsidRDefault="000C5932" w:rsidP="00A64104">
      <w:pPr>
        <w:spacing w:after="120" w:line="276" w:lineRule="auto"/>
        <w:ind w:left="360" w:hanging="360"/>
        <w:jc w:val="both"/>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 xml:space="preserve">Lusardi, A. (2019). Financial literacy and the need for financial education: Evidence and implications. </w:t>
      </w:r>
      <w:r w:rsidRPr="00A64104">
        <w:rPr>
          <w:rFonts w:ascii="Arial" w:eastAsia="Calibri" w:hAnsi="Arial" w:cs="Arial"/>
          <w:i/>
          <w:iCs/>
          <w:kern w:val="0"/>
          <w:sz w:val="20"/>
          <w:szCs w:val="20"/>
          <w14:ligatures w14:val="none"/>
        </w:rPr>
        <w:t>Swiss Journal of Economics and Statistics</w:t>
      </w:r>
      <w:r w:rsidRPr="00A64104">
        <w:rPr>
          <w:rFonts w:ascii="Arial" w:eastAsia="Calibri" w:hAnsi="Arial" w:cs="Arial"/>
          <w:kern w:val="0"/>
          <w:sz w:val="20"/>
          <w:szCs w:val="20"/>
          <w14:ligatures w14:val="none"/>
        </w:rPr>
        <w:t xml:space="preserve">, </w:t>
      </w:r>
      <w:r w:rsidRPr="00A64104">
        <w:rPr>
          <w:rFonts w:ascii="Arial" w:eastAsia="Calibri" w:hAnsi="Arial" w:cs="Arial"/>
          <w:i/>
          <w:iCs/>
          <w:kern w:val="0"/>
          <w:sz w:val="20"/>
          <w:szCs w:val="20"/>
          <w14:ligatures w14:val="none"/>
        </w:rPr>
        <w:t>155</w:t>
      </w:r>
      <w:r w:rsidRPr="00A64104">
        <w:rPr>
          <w:rFonts w:ascii="Arial" w:eastAsia="Calibri" w:hAnsi="Arial" w:cs="Arial"/>
          <w:kern w:val="0"/>
          <w:sz w:val="20"/>
          <w:szCs w:val="20"/>
          <w14:ligatures w14:val="none"/>
        </w:rPr>
        <w:t xml:space="preserve">(1), 1–8. </w:t>
      </w:r>
      <w:hyperlink r:id="rId18" w:history="1">
        <w:r w:rsidR="00A64104" w:rsidRPr="00E66430">
          <w:rPr>
            <w:rStyle w:val="Hyperlink"/>
            <w:rFonts w:ascii="Arial" w:eastAsia="Calibri" w:hAnsi="Arial" w:cs="Arial"/>
            <w:kern w:val="0"/>
            <w:sz w:val="20"/>
            <w:szCs w:val="20"/>
            <w14:ligatures w14:val="none"/>
          </w:rPr>
          <w:t>https://doi.org/10.1186/s41937-019-0027-5</w:t>
        </w:r>
      </w:hyperlink>
    </w:p>
    <w:p w14:paraId="3EF8B982"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3D0699AF" w14:textId="546DBF4D" w:rsidR="007658C3" w:rsidRDefault="007658C3" w:rsidP="00A64104">
      <w:pPr>
        <w:spacing w:after="120" w:line="276" w:lineRule="auto"/>
        <w:ind w:left="360" w:hanging="360"/>
        <w:jc w:val="both"/>
        <w:rPr>
          <w:rFonts w:ascii="Arial" w:hAnsi="Arial" w:cs="Arial"/>
          <w:sz w:val="20"/>
          <w:szCs w:val="20"/>
        </w:rPr>
      </w:pPr>
      <w:r w:rsidRPr="00A64104">
        <w:rPr>
          <w:rFonts w:ascii="Arial" w:eastAsia="Calibri" w:hAnsi="Arial" w:cs="Arial"/>
          <w:kern w:val="0"/>
          <w:sz w:val="20"/>
          <w:szCs w:val="20"/>
          <w14:ligatures w14:val="none"/>
        </w:rPr>
        <w:t xml:space="preserve">Mad, S., Omar, N. A., Ahmad, M., &amp; Zawawi, M. M. (2024). The Impact of Financial Literacy on Saving Habits among Malaysian Youth: A Gender-Based Analysis. International Journal of Research and Innovation in Social Science, VIII(VIII), 4381–4392. </w:t>
      </w:r>
      <w:hyperlink r:id="rId19" w:history="1">
        <w:r w:rsidR="00812115" w:rsidRPr="00A64104">
          <w:rPr>
            <w:rStyle w:val="Hyperlink"/>
            <w:rFonts w:ascii="Arial" w:eastAsia="Calibri" w:hAnsi="Arial" w:cs="Arial"/>
            <w:kern w:val="0"/>
            <w:sz w:val="20"/>
            <w:szCs w:val="20"/>
            <w14:ligatures w14:val="none"/>
          </w:rPr>
          <w:t>https://doi.org/10.47772/ijriss.2024.8080335</w:t>
        </w:r>
      </w:hyperlink>
    </w:p>
    <w:p w14:paraId="19723BAF"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34A18326" w14:textId="1F186084" w:rsidR="002734CE" w:rsidRDefault="002734CE" w:rsidP="00A64104">
      <w:pPr>
        <w:spacing w:after="120" w:line="276" w:lineRule="auto"/>
        <w:ind w:left="360" w:hanging="360"/>
        <w:jc w:val="both"/>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 xml:space="preserve">Masereka, B., Muhammad, T., &amp; Rahim, A. (2023). Influence of Family Income Level on Academic Performance Among Secondary School Students of </w:t>
      </w:r>
      <w:proofErr w:type="spellStart"/>
      <w:r w:rsidRPr="00A64104">
        <w:rPr>
          <w:rFonts w:ascii="Arial" w:eastAsia="Calibri" w:hAnsi="Arial" w:cs="Arial"/>
          <w:kern w:val="0"/>
          <w:sz w:val="20"/>
          <w:szCs w:val="20"/>
          <w14:ligatures w14:val="none"/>
        </w:rPr>
        <w:t>Kitswamba</w:t>
      </w:r>
      <w:proofErr w:type="spellEnd"/>
      <w:r w:rsidRPr="00A64104">
        <w:rPr>
          <w:rFonts w:ascii="Arial" w:eastAsia="Calibri" w:hAnsi="Arial" w:cs="Arial"/>
          <w:kern w:val="0"/>
          <w:sz w:val="20"/>
          <w:szCs w:val="20"/>
          <w14:ligatures w14:val="none"/>
        </w:rPr>
        <w:t xml:space="preserve"> and </w:t>
      </w:r>
      <w:proofErr w:type="spellStart"/>
      <w:r w:rsidRPr="00A64104">
        <w:rPr>
          <w:rFonts w:ascii="Arial" w:eastAsia="Calibri" w:hAnsi="Arial" w:cs="Arial"/>
          <w:kern w:val="0"/>
          <w:sz w:val="20"/>
          <w:szCs w:val="20"/>
          <w14:ligatures w14:val="none"/>
        </w:rPr>
        <w:t>Rugendabara</w:t>
      </w:r>
      <w:proofErr w:type="spellEnd"/>
      <w:r w:rsidRPr="00A64104">
        <w:rPr>
          <w:rFonts w:ascii="Arial" w:eastAsia="Calibri" w:hAnsi="Arial" w:cs="Arial"/>
          <w:kern w:val="0"/>
          <w:sz w:val="20"/>
          <w:szCs w:val="20"/>
          <w14:ligatures w14:val="none"/>
        </w:rPr>
        <w:t>-Kikongo Town Councils, Kasese District, Uganda.</w:t>
      </w:r>
    </w:p>
    <w:p w14:paraId="46F8756D"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57F6875A" w14:textId="1545DFA5" w:rsidR="004154B8" w:rsidRDefault="004154B8" w:rsidP="00A64104">
      <w:pPr>
        <w:spacing w:after="120" w:line="276" w:lineRule="auto"/>
        <w:ind w:left="360" w:hanging="360"/>
        <w:jc w:val="both"/>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 xml:space="preserve">Morgan, A. C., LaBerge, N., Larremore, D. B., </w:t>
      </w:r>
      <w:proofErr w:type="spellStart"/>
      <w:r w:rsidRPr="00A64104">
        <w:rPr>
          <w:rFonts w:ascii="Arial" w:eastAsia="Calibri" w:hAnsi="Arial" w:cs="Arial"/>
          <w:kern w:val="0"/>
          <w:sz w:val="20"/>
          <w:szCs w:val="20"/>
          <w14:ligatures w14:val="none"/>
        </w:rPr>
        <w:t>Galesic</w:t>
      </w:r>
      <w:proofErr w:type="spellEnd"/>
      <w:r w:rsidRPr="00A64104">
        <w:rPr>
          <w:rFonts w:ascii="Arial" w:eastAsia="Calibri" w:hAnsi="Arial" w:cs="Arial"/>
          <w:kern w:val="0"/>
          <w:sz w:val="20"/>
          <w:szCs w:val="20"/>
          <w14:ligatures w14:val="none"/>
        </w:rPr>
        <w:t xml:space="preserve">, M., Brand, J. E., &amp; </w:t>
      </w:r>
      <w:proofErr w:type="spellStart"/>
      <w:r w:rsidRPr="00A64104">
        <w:rPr>
          <w:rFonts w:ascii="Arial" w:eastAsia="Calibri" w:hAnsi="Arial" w:cs="Arial"/>
          <w:kern w:val="0"/>
          <w:sz w:val="20"/>
          <w:szCs w:val="20"/>
          <w14:ligatures w14:val="none"/>
        </w:rPr>
        <w:t>Clauset</w:t>
      </w:r>
      <w:proofErr w:type="spellEnd"/>
      <w:r w:rsidRPr="00A64104">
        <w:rPr>
          <w:rFonts w:ascii="Arial" w:eastAsia="Calibri" w:hAnsi="Arial" w:cs="Arial"/>
          <w:kern w:val="0"/>
          <w:sz w:val="20"/>
          <w:szCs w:val="20"/>
          <w14:ligatures w14:val="none"/>
        </w:rPr>
        <w:t>, A. (2022). Socioeconomic roots of academic faculty. </w:t>
      </w:r>
      <w:r w:rsidRPr="00A64104">
        <w:rPr>
          <w:rFonts w:ascii="Arial" w:eastAsia="Calibri" w:hAnsi="Arial" w:cs="Arial"/>
          <w:i/>
          <w:iCs/>
          <w:kern w:val="0"/>
          <w:sz w:val="20"/>
          <w:szCs w:val="20"/>
          <w14:ligatures w14:val="none"/>
        </w:rPr>
        <w:t xml:space="preserve">Nature human </w:t>
      </w:r>
      <w:proofErr w:type="spellStart"/>
      <w:r w:rsidRPr="00A64104">
        <w:rPr>
          <w:rFonts w:ascii="Arial" w:eastAsia="Calibri" w:hAnsi="Arial" w:cs="Arial"/>
          <w:i/>
          <w:iCs/>
          <w:kern w:val="0"/>
          <w:sz w:val="20"/>
          <w:szCs w:val="20"/>
          <w14:ligatures w14:val="none"/>
        </w:rPr>
        <w:t>behaviour</w:t>
      </w:r>
      <w:proofErr w:type="spellEnd"/>
      <w:r w:rsidRPr="00A64104">
        <w:rPr>
          <w:rFonts w:ascii="Arial" w:eastAsia="Calibri" w:hAnsi="Arial" w:cs="Arial"/>
          <w:kern w:val="0"/>
          <w:sz w:val="20"/>
          <w:szCs w:val="20"/>
          <w14:ligatures w14:val="none"/>
        </w:rPr>
        <w:t>, </w:t>
      </w:r>
      <w:r w:rsidRPr="00A64104">
        <w:rPr>
          <w:rFonts w:ascii="Arial" w:eastAsia="Calibri" w:hAnsi="Arial" w:cs="Arial"/>
          <w:i/>
          <w:iCs/>
          <w:kern w:val="0"/>
          <w:sz w:val="20"/>
          <w:szCs w:val="20"/>
          <w14:ligatures w14:val="none"/>
        </w:rPr>
        <w:t>6</w:t>
      </w:r>
      <w:r w:rsidRPr="00A64104">
        <w:rPr>
          <w:rFonts w:ascii="Arial" w:eastAsia="Calibri" w:hAnsi="Arial" w:cs="Arial"/>
          <w:kern w:val="0"/>
          <w:sz w:val="20"/>
          <w:szCs w:val="20"/>
          <w14:ligatures w14:val="none"/>
        </w:rPr>
        <w:t>(12), 1625-1633.</w:t>
      </w:r>
    </w:p>
    <w:p w14:paraId="63F23049"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2D10B72F" w14:textId="5B6CB54D" w:rsidR="00DD5A83" w:rsidRDefault="00DD5A83" w:rsidP="00A64104">
      <w:pPr>
        <w:spacing w:after="120" w:line="276" w:lineRule="auto"/>
        <w:ind w:left="360" w:hanging="360"/>
        <w:jc w:val="both"/>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 xml:space="preserve">Owusu, G. M. Y., Ansong, R., Koomson, T. A. A., &amp; Addo-Yobo, A. A. (2020). Savings and investment </w:t>
      </w:r>
      <w:proofErr w:type="spellStart"/>
      <w:r w:rsidRPr="00A64104">
        <w:rPr>
          <w:rFonts w:ascii="Arial" w:eastAsia="Calibri" w:hAnsi="Arial" w:cs="Arial"/>
          <w:kern w:val="0"/>
          <w:sz w:val="20"/>
          <w:szCs w:val="20"/>
          <w14:ligatures w14:val="none"/>
        </w:rPr>
        <w:t>behaviour</w:t>
      </w:r>
      <w:proofErr w:type="spellEnd"/>
      <w:r w:rsidRPr="00A64104">
        <w:rPr>
          <w:rFonts w:ascii="Arial" w:eastAsia="Calibri" w:hAnsi="Arial" w:cs="Arial"/>
          <w:kern w:val="0"/>
          <w:sz w:val="20"/>
          <w:szCs w:val="20"/>
          <w14:ligatures w14:val="none"/>
        </w:rPr>
        <w:t xml:space="preserve"> of young adults: the role of financial literacy and parental financial </w:t>
      </w:r>
      <w:proofErr w:type="spellStart"/>
      <w:r w:rsidRPr="00A64104">
        <w:rPr>
          <w:rFonts w:ascii="Arial" w:eastAsia="Calibri" w:hAnsi="Arial" w:cs="Arial"/>
          <w:kern w:val="0"/>
          <w:sz w:val="20"/>
          <w:szCs w:val="20"/>
          <w14:ligatures w14:val="none"/>
        </w:rPr>
        <w:t>behaviour</w:t>
      </w:r>
      <w:proofErr w:type="spellEnd"/>
      <w:r w:rsidRPr="00A64104">
        <w:rPr>
          <w:rFonts w:ascii="Arial" w:eastAsia="Calibri" w:hAnsi="Arial" w:cs="Arial"/>
          <w:kern w:val="0"/>
          <w:sz w:val="20"/>
          <w:szCs w:val="20"/>
          <w14:ligatures w14:val="none"/>
        </w:rPr>
        <w:t>. </w:t>
      </w:r>
      <w:r w:rsidRPr="00A64104">
        <w:rPr>
          <w:rFonts w:ascii="Arial" w:eastAsia="Calibri" w:hAnsi="Arial" w:cs="Arial"/>
          <w:i/>
          <w:iCs/>
          <w:kern w:val="0"/>
          <w:sz w:val="20"/>
          <w:szCs w:val="20"/>
          <w14:ligatures w14:val="none"/>
        </w:rPr>
        <w:t>African Journal of Management Research</w:t>
      </w:r>
      <w:r w:rsidRPr="00A64104">
        <w:rPr>
          <w:rFonts w:ascii="Arial" w:eastAsia="Calibri" w:hAnsi="Arial" w:cs="Arial"/>
          <w:kern w:val="0"/>
          <w:sz w:val="20"/>
          <w:szCs w:val="20"/>
          <w14:ligatures w14:val="none"/>
        </w:rPr>
        <w:t>, </w:t>
      </w:r>
      <w:r w:rsidRPr="00A64104">
        <w:rPr>
          <w:rFonts w:ascii="Arial" w:eastAsia="Calibri" w:hAnsi="Arial" w:cs="Arial"/>
          <w:i/>
          <w:iCs/>
          <w:kern w:val="0"/>
          <w:sz w:val="20"/>
          <w:szCs w:val="20"/>
          <w14:ligatures w14:val="none"/>
        </w:rPr>
        <w:t>27</w:t>
      </w:r>
      <w:r w:rsidRPr="00A64104">
        <w:rPr>
          <w:rFonts w:ascii="Arial" w:eastAsia="Calibri" w:hAnsi="Arial" w:cs="Arial"/>
          <w:kern w:val="0"/>
          <w:sz w:val="20"/>
          <w:szCs w:val="20"/>
          <w14:ligatures w14:val="none"/>
        </w:rPr>
        <w:t>(1), 75-92.</w:t>
      </w:r>
    </w:p>
    <w:p w14:paraId="339EF016"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5F24EC75" w14:textId="3A035640" w:rsidR="00812115" w:rsidRDefault="00812115" w:rsidP="00A64104">
      <w:pPr>
        <w:spacing w:after="120" w:line="276" w:lineRule="auto"/>
        <w:ind w:left="360" w:hanging="360"/>
        <w:jc w:val="both"/>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Perna, L. W. (2010). Understanding the working college student: New research and its implications for policy and practice. Stylus Publishing.</w:t>
      </w:r>
    </w:p>
    <w:p w14:paraId="56845A89"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7FA18E28" w14:textId="5D737165" w:rsidR="00F6111C" w:rsidRPr="00A64104" w:rsidRDefault="00F6111C" w:rsidP="00A64104">
      <w:pPr>
        <w:spacing w:after="120" w:line="276" w:lineRule="auto"/>
        <w:ind w:left="360" w:hanging="360"/>
        <w:jc w:val="both"/>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Raza, S., Hameed, M., Abbas, N., Rizvi, S. W., &amp; Sarfaraz, A. (2023). The dynamic interplay of socioeconomic factors in educational attainment: a holistic analysis of socioeconomic status and academic success. </w:t>
      </w:r>
      <w:r w:rsidRPr="00A64104">
        <w:rPr>
          <w:rFonts w:ascii="Arial" w:eastAsia="Calibri" w:hAnsi="Arial" w:cs="Arial"/>
          <w:i/>
          <w:iCs/>
          <w:kern w:val="0"/>
          <w:sz w:val="20"/>
          <w:szCs w:val="20"/>
          <w14:ligatures w14:val="none"/>
        </w:rPr>
        <w:t>Int J Learn Divers Identities</w:t>
      </w:r>
      <w:r w:rsidRPr="00A64104">
        <w:rPr>
          <w:rFonts w:ascii="Arial" w:eastAsia="Calibri" w:hAnsi="Arial" w:cs="Arial"/>
          <w:kern w:val="0"/>
          <w:sz w:val="20"/>
          <w:szCs w:val="20"/>
          <w14:ligatures w14:val="none"/>
        </w:rPr>
        <w:t>, </w:t>
      </w:r>
      <w:r w:rsidRPr="00A64104">
        <w:rPr>
          <w:rFonts w:ascii="Arial" w:eastAsia="Calibri" w:hAnsi="Arial" w:cs="Arial"/>
          <w:i/>
          <w:iCs/>
          <w:kern w:val="0"/>
          <w:sz w:val="20"/>
          <w:szCs w:val="20"/>
          <w14:ligatures w14:val="none"/>
        </w:rPr>
        <w:t>30</w:t>
      </w:r>
      <w:r w:rsidRPr="00A64104">
        <w:rPr>
          <w:rFonts w:ascii="Arial" w:eastAsia="Calibri" w:hAnsi="Arial" w:cs="Arial"/>
          <w:kern w:val="0"/>
          <w:sz w:val="20"/>
          <w:szCs w:val="20"/>
          <w14:ligatures w14:val="none"/>
        </w:rPr>
        <w:t>(2), 204-13.</w:t>
      </w:r>
    </w:p>
    <w:p w14:paraId="5B0B736C" w14:textId="272E79E2" w:rsidR="009B1F44" w:rsidRDefault="009B1F44" w:rsidP="00A64104">
      <w:pPr>
        <w:spacing w:after="120" w:line="276" w:lineRule="auto"/>
        <w:ind w:left="360" w:hanging="360"/>
        <w:jc w:val="both"/>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Robb, C. A., Moody, B., &amp; Abdel-Ghany, M. (2012). College student financial behavior: An analysis of credit card use and debt. Journal of Financial Counseling and Planning, 23(1), 21–36.</w:t>
      </w:r>
    </w:p>
    <w:p w14:paraId="2B77055E"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57D4B8C6" w14:textId="77777777" w:rsidR="00480EA9" w:rsidRDefault="00480EA9" w:rsidP="00A64104">
      <w:pPr>
        <w:spacing w:after="120" w:line="276" w:lineRule="auto"/>
        <w:ind w:left="360" w:hanging="360"/>
        <w:jc w:val="both"/>
        <w:rPr>
          <w:rFonts w:ascii="Arial" w:eastAsia="Calibri" w:hAnsi="Arial" w:cs="Arial"/>
          <w:kern w:val="0"/>
          <w:sz w:val="20"/>
          <w:szCs w:val="20"/>
          <w14:ligatures w14:val="none"/>
        </w:rPr>
      </w:pPr>
      <w:proofErr w:type="spellStart"/>
      <w:r w:rsidRPr="00A64104">
        <w:rPr>
          <w:rFonts w:ascii="Arial" w:eastAsia="Calibri" w:hAnsi="Arial" w:cs="Arial"/>
          <w:kern w:val="0"/>
          <w:sz w:val="20"/>
          <w:szCs w:val="20"/>
          <w14:ligatures w14:val="none"/>
        </w:rPr>
        <w:t>Roksa</w:t>
      </w:r>
      <w:proofErr w:type="spellEnd"/>
      <w:r w:rsidRPr="00A64104">
        <w:rPr>
          <w:rFonts w:ascii="Arial" w:eastAsia="Calibri" w:hAnsi="Arial" w:cs="Arial"/>
          <w:kern w:val="0"/>
          <w:sz w:val="20"/>
          <w:szCs w:val="20"/>
          <w14:ligatures w14:val="none"/>
        </w:rPr>
        <w:t xml:space="preserve">, J., &amp; Kinsley, P. (2019). The role of family support in facilitating academic success of low-income students. </w:t>
      </w:r>
      <w:r w:rsidRPr="00A64104">
        <w:rPr>
          <w:rFonts w:ascii="Arial" w:eastAsia="Calibri" w:hAnsi="Arial" w:cs="Arial"/>
          <w:i/>
          <w:iCs/>
          <w:kern w:val="0"/>
          <w:sz w:val="20"/>
          <w:szCs w:val="20"/>
          <w14:ligatures w14:val="none"/>
        </w:rPr>
        <w:t>Research in Higher Education</w:t>
      </w:r>
      <w:r w:rsidRPr="00A64104">
        <w:rPr>
          <w:rFonts w:ascii="Arial" w:eastAsia="Calibri" w:hAnsi="Arial" w:cs="Arial"/>
          <w:kern w:val="0"/>
          <w:sz w:val="20"/>
          <w:szCs w:val="20"/>
          <w14:ligatures w14:val="none"/>
        </w:rPr>
        <w:t xml:space="preserve">, </w:t>
      </w:r>
      <w:r w:rsidRPr="00A64104">
        <w:rPr>
          <w:rFonts w:ascii="Arial" w:eastAsia="Calibri" w:hAnsi="Arial" w:cs="Arial"/>
          <w:i/>
          <w:iCs/>
          <w:kern w:val="0"/>
          <w:sz w:val="20"/>
          <w:szCs w:val="20"/>
          <w14:ligatures w14:val="none"/>
        </w:rPr>
        <w:t>60</w:t>
      </w:r>
      <w:r w:rsidRPr="00A64104">
        <w:rPr>
          <w:rFonts w:ascii="Arial" w:eastAsia="Calibri" w:hAnsi="Arial" w:cs="Arial"/>
          <w:kern w:val="0"/>
          <w:sz w:val="20"/>
          <w:szCs w:val="20"/>
          <w14:ligatures w14:val="none"/>
        </w:rPr>
        <w:t>, 415-436.</w:t>
      </w:r>
    </w:p>
    <w:p w14:paraId="5F50850C"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6532ABE4" w14:textId="18BC1C5B" w:rsidR="00796D6C" w:rsidRDefault="00796D6C" w:rsidP="00A64104">
      <w:pPr>
        <w:spacing w:after="120" w:line="276" w:lineRule="auto"/>
        <w:ind w:left="360" w:hanging="360"/>
        <w:jc w:val="both"/>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Robotham, D. (2012). Student part</w:t>
      </w:r>
      <w:r w:rsidRPr="00A64104">
        <w:rPr>
          <w:rFonts w:ascii="Cambria Math" w:eastAsia="Calibri" w:hAnsi="Cambria Math" w:cs="Cambria Math"/>
          <w:kern w:val="0"/>
          <w:sz w:val="20"/>
          <w:szCs w:val="20"/>
          <w14:ligatures w14:val="none"/>
        </w:rPr>
        <w:t>‐</w:t>
      </w:r>
      <w:r w:rsidRPr="00A64104">
        <w:rPr>
          <w:rFonts w:ascii="Arial" w:eastAsia="Calibri" w:hAnsi="Arial" w:cs="Arial"/>
          <w:kern w:val="0"/>
          <w:sz w:val="20"/>
          <w:szCs w:val="20"/>
          <w14:ligatures w14:val="none"/>
        </w:rPr>
        <w:t>time employment: characteristics and consequences. Education+ Training, 54(1), 65-75.</w:t>
      </w:r>
    </w:p>
    <w:p w14:paraId="0CF7D927"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253902DB" w14:textId="1526A0D7" w:rsidR="004639C5" w:rsidRDefault="004639C5" w:rsidP="00A64104">
      <w:pPr>
        <w:spacing w:after="120" w:line="276" w:lineRule="auto"/>
        <w:ind w:left="360" w:hanging="360"/>
        <w:jc w:val="both"/>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 xml:space="preserve">Sharif, S. P., &amp; </w:t>
      </w:r>
      <w:proofErr w:type="spellStart"/>
      <w:r w:rsidRPr="00A64104">
        <w:rPr>
          <w:rFonts w:ascii="Arial" w:eastAsia="Calibri" w:hAnsi="Arial" w:cs="Arial"/>
          <w:kern w:val="0"/>
          <w:sz w:val="20"/>
          <w:szCs w:val="20"/>
          <w14:ligatures w14:val="none"/>
        </w:rPr>
        <w:t>Naghavi</w:t>
      </w:r>
      <w:proofErr w:type="spellEnd"/>
      <w:r w:rsidRPr="00A64104">
        <w:rPr>
          <w:rFonts w:ascii="Arial" w:eastAsia="Calibri" w:hAnsi="Arial" w:cs="Arial"/>
          <w:kern w:val="0"/>
          <w:sz w:val="20"/>
          <w:szCs w:val="20"/>
          <w14:ligatures w14:val="none"/>
        </w:rPr>
        <w:t xml:space="preserve">, N. (2020). Family financial socialization, financial information seeking behavior and financial literacy among youth. Asia-Pacific Journal of Business Administration, 12(2), 163–181. </w:t>
      </w:r>
      <w:hyperlink r:id="rId20" w:history="1">
        <w:r w:rsidR="00A64104" w:rsidRPr="00E66430">
          <w:rPr>
            <w:rStyle w:val="Hyperlink"/>
            <w:rFonts w:ascii="Arial" w:eastAsia="Calibri" w:hAnsi="Arial" w:cs="Arial"/>
            <w:kern w:val="0"/>
            <w:sz w:val="20"/>
            <w:szCs w:val="20"/>
            <w14:ligatures w14:val="none"/>
          </w:rPr>
          <w:t>https://doi.org/10.1108/apjba-09-2019-0196</w:t>
        </w:r>
      </w:hyperlink>
    </w:p>
    <w:p w14:paraId="5CB577CA"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6157EFFE" w14:textId="7FE6A830" w:rsidR="009B1F44" w:rsidRDefault="009B1F44" w:rsidP="00A64104">
      <w:pPr>
        <w:spacing w:after="120" w:line="276" w:lineRule="auto"/>
        <w:ind w:left="360" w:hanging="360"/>
        <w:jc w:val="both"/>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Sirin, S. R. (2005). Socioeconomic status and academic achievement: A meta-analytic review of research. Review of Educational Research, 75(3), 417–453.</w:t>
      </w:r>
    </w:p>
    <w:p w14:paraId="51912184"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112D0165" w14:textId="2A170B1C" w:rsidR="00796D6C" w:rsidRDefault="00796D6C" w:rsidP="00A64104">
      <w:pPr>
        <w:spacing w:after="120" w:line="276" w:lineRule="auto"/>
        <w:ind w:left="360" w:hanging="360"/>
        <w:jc w:val="both"/>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 xml:space="preserve">Shahryar, S., &amp; Tan, S. T. (2014). Spending </w:t>
      </w:r>
      <w:r w:rsidR="009F1BC8" w:rsidRPr="00A64104">
        <w:rPr>
          <w:rFonts w:ascii="Arial" w:eastAsia="Calibri" w:hAnsi="Arial" w:cs="Arial"/>
          <w:kern w:val="0"/>
          <w:sz w:val="20"/>
          <w:szCs w:val="20"/>
          <w14:ligatures w14:val="none"/>
        </w:rPr>
        <w:t>behaviors</w:t>
      </w:r>
      <w:r w:rsidRPr="00A64104">
        <w:rPr>
          <w:rFonts w:ascii="Arial" w:eastAsia="Calibri" w:hAnsi="Arial" w:cs="Arial"/>
          <w:kern w:val="0"/>
          <w:sz w:val="20"/>
          <w:szCs w:val="20"/>
          <w14:ligatures w14:val="none"/>
        </w:rPr>
        <w:t xml:space="preserve"> of a case of Asian university students. Asian Social Science, 10(2), 64-69.</w:t>
      </w:r>
    </w:p>
    <w:p w14:paraId="1B270F4E"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495D5AE6" w14:textId="32E3F612" w:rsidR="009B1F44" w:rsidRPr="00A64104" w:rsidRDefault="00B2355F" w:rsidP="00A64104">
      <w:pPr>
        <w:spacing w:after="120" w:line="276" w:lineRule="auto"/>
        <w:ind w:left="360" w:hanging="360"/>
        <w:jc w:val="both"/>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 xml:space="preserve">Zhu, A. Y. F. (2018). Links between family poverty and the financial behaviors of adolescents: Parental roles. Child Indicators Research, 12(4), 1259–1273. </w:t>
      </w:r>
      <w:hyperlink r:id="rId21" w:history="1">
        <w:r w:rsidR="004639C5" w:rsidRPr="00A64104">
          <w:rPr>
            <w:rStyle w:val="Hyperlink"/>
            <w:rFonts w:ascii="Arial" w:eastAsia="Calibri" w:hAnsi="Arial" w:cs="Arial"/>
            <w:kern w:val="0"/>
            <w:sz w:val="20"/>
            <w:szCs w:val="20"/>
            <w14:ligatures w14:val="none"/>
          </w:rPr>
          <w:t>https://doi.org/10.1007/s12187-018-9588-6</w:t>
        </w:r>
      </w:hyperlink>
    </w:p>
    <w:sectPr w:rsidR="009B1F44" w:rsidRPr="00A64104" w:rsidSect="00BF7DEB">
      <w:headerReference w:type="even" r:id="rId22"/>
      <w:headerReference w:type="default" r:id="rId23"/>
      <w:footerReference w:type="even" r:id="rId24"/>
      <w:footerReference w:type="default" r:id="rId25"/>
      <w:headerReference w:type="first" r:id="rId26"/>
      <w:footerReference w:type="first" r:id="rId2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3E463" w14:textId="77777777" w:rsidR="003F5B3C" w:rsidRDefault="003F5B3C" w:rsidP="00984BAD">
      <w:pPr>
        <w:spacing w:after="0" w:line="240" w:lineRule="auto"/>
      </w:pPr>
      <w:r>
        <w:separator/>
      </w:r>
    </w:p>
  </w:endnote>
  <w:endnote w:type="continuationSeparator" w:id="0">
    <w:p w14:paraId="4EF638DA" w14:textId="77777777" w:rsidR="003F5B3C" w:rsidRDefault="003F5B3C" w:rsidP="00984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A1374" w14:textId="77777777" w:rsidR="00BF7DEB" w:rsidRDefault="00BF7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15F1A" w14:textId="77777777" w:rsidR="00BF7DEB" w:rsidRDefault="00BF7D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F57E1" w14:textId="77777777" w:rsidR="00BF7DEB" w:rsidRDefault="00BF7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77647" w14:textId="77777777" w:rsidR="003F5B3C" w:rsidRDefault="003F5B3C" w:rsidP="00984BAD">
      <w:pPr>
        <w:spacing w:after="0" w:line="240" w:lineRule="auto"/>
      </w:pPr>
      <w:r>
        <w:separator/>
      </w:r>
    </w:p>
  </w:footnote>
  <w:footnote w:type="continuationSeparator" w:id="0">
    <w:p w14:paraId="417733FF" w14:textId="77777777" w:rsidR="003F5B3C" w:rsidRDefault="003F5B3C" w:rsidP="00984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9D251" w14:textId="6B8A28E1" w:rsidR="00BF7DEB" w:rsidRDefault="00BF7DEB">
    <w:pPr>
      <w:pStyle w:val="Header"/>
    </w:pPr>
    <w:r>
      <w:rPr>
        <w:noProof/>
      </w:rPr>
      <w:pict w14:anchorId="22B742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40057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60250" w14:textId="7C28415C" w:rsidR="00BF7DEB" w:rsidRDefault="00BF7DEB">
    <w:pPr>
      <w:pStyle w:val="Header"/>
    </w:pPr>
    <w:r>
      <w:rPr>
        <w:noProof/>
      </w:rPr>
      <w:pict w14:anchorId="117CCF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40058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FDF5F" w14:textId="12AFF643" w:rsidR="00BF7DEB" w:rsidRDefault="00BF7DEB">
    <w:pPr>
      <w:pStyle w:val="Header"/>
    </w:pPr>
    <w:r>
      <w:rPr>
        <w:noProof/>
      </w:rPr>
      <w:pict w14:anchorId="1FA4DC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40057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16691"/>
    <w:multiLevelType w:val="hybridMultilevel"/>
    <w:tmpl w:val="39C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D06600"/>
    <w:multiLevelType w:val="hybridMultilevel"/>
    <w:tmpl w:val="252EA75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24162396">
    <w:abstractNumId w:val="0"/>
  </w:num>
  <w:num w:numId="2" w16cid:durableId="1423381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4B1"/>
    <w:rsid w:val="000055DE"/>
    <w:rsid w:val="000056A1"/>
    <w:rsid w:val="00006DBE"/>
    <w:rsid w:val="0001436F"/>
    <w:rsid w:val="0001632B"/>
    <w:rsid w:val="000332FA"/>
    <w:rsid w:val="0004274A"/>
    <w:rsid w:val="00046BD2"/>
    <w:rsid w:val="00062369"/>
    <w:rsid w:val="000662AE"/>
    <w:rsid w:val="000703B2"/>
    <w:rsid w:val="00072EE0"/>
    <w:rsid w:val="00083E34"/>
    <w:rsid w:val="000873C5"/>
    <w:rsid w:val="000A3740"/>
    <w:rsid w:val="000A46BE"/>
    <w:rsid w:val="000C5932"/>
    <w:rsid w:val="000D6BFF"/>
    <w:rsid w:val="000E5959"/>
    <w:rsid w:val="001001CA"/>
    <w:rsid w:val="00102D2A"/>
    <w:rsid w:val="00112EEF"/>
    <w:rsid w:val="001175D9"/>
    <w:rsid w:val="001211AA"/>
    <w:rsid w:val="001416F8"/>
    <w:rsid w:val="00151D95"/>
    <w:rsid w:val="001663DE"/>
    <w:rsid w:val="001772D4"/>
    <w:rsid w:val="00183DC1"/>
    <w:rsid w:val="00195886"/>
    <w:rsid w:val="001A2AC6"/>
    <w:rsid w:val="001B1618"/>
    <w:rsid w:val="001B1CB7"/>
    <w:rsid w:val="001C47CB"/>
    <w:rsid w:val="001F6544"/>
    <w:rsid w:val="00212E69"/>
    <w:rsid w:val="002171AE"/>
    <w:rsid w:val="002177B2"/>
    <w:rsid w:val="00221913"/>
    <w:rsid w:val="00240F4B"/>
    <w:rsid w:val="002449EE"/>
    <w:rsid w:val="00254C35"/>
    <w:rsid w:val="00264B05"/>
    <w:rsid w:val="002712D4"/>
    <w:rsid w:val="002734CE"/>
    <w:rsid w:val="0027510B"/>
    <w:rsid w:val="0028062C"/>
    <w:rsid w:val="002845CB"/>
    <w:rsid w:val="00285AAD"/>
    <w:rsid w:val="00291A0A"/>
    <w:rsid w:val="002954C5"/>
    <w:rsid w:val="00295BC1"/>
    <w:rsid w:val="002A52C5"/>
    <w:rsid w:val="002A73B8"/>
    <w:rsid w:val="002A79CB"/>
    <w:rsid w:val="002B28DB"/>
    <w:rsid w:val="002B32D1"/>
    <w:rsid w:val="002C69C5"/>
    <w:rsid w:val="002D0394"/>
    <w:rsid w:val="002D60AE"/>
    <w:rsid w:val="002E57DA"/>
    <w:rsid w:val="002E74DE"/>
    <w:rsid w:val="002F2753"/>
    <w:rsid w:val="002F40FF"/>
    <w:rsid w:val="00321508"/>
    <w:rsid w:val="0032371F"/>
    <w:rsid w:val="0033002E"/>
    <w:rsid w:val="00357E39"/>
    <w:rsid w:val="003645A9"/>
    <w:rsid w:val="00371D24"/>
    <w:rsid w:val="00381C26"/>
    <w:rsid w:val="003830E4"/>
    <w:rsid w:val="003A7A22"/>
    <w:rsid w:val="003B0164"/>
    <w:rsid w:val="003B3589"/>
    <w:rsid w:val="003B48CE"/>
    <w:rsid w:val="003C37A8"/>
    <w:rsid w:val="003D1ACF"/>
    <w:rsid w:val="003D5C0E"/>
    <w:rsid w:val="003D6262"/>
    <w:rsid w:val="003E1BB3"/>
    <w:rsid w:val="003F3D11"/>
    <w:rsid w:val="003F4056"/>
    <w:rsid w:val="003F5B3C"/>
    <w:rsid w:val="003F7639"/>
    <w:rsid w:val="0040508F"/>
    <w:rsid w:val="004154B8"/>
    <w:rsid w:val="00415BF3"/>
    <w:rsid w:val="00421A7D"/>
    <w:rsid w:val="00421CEE"/>
    <w:rsid w:val="00423175"/>
    <w:rsid w:val="00440C7F"/>
    <w:rsid w:val="00442D85"/>
    <w:rsid w:val="00443D27"/>
    <w:rsid w:val="00444128"/>
    <w:rsid w:val="004507CF"/>
    <w:rsid w:val="0045370F"/>
    <w:rsid w:val="00453857"/>
    <w:rsid w:val="00457448"/>
    <w:rsid w:val="004639C5"/>
    <w:rsid w:val="004755A0"/>
    <w:rsid w:val="00480EA9"/>
    <w:rsid w:val="0048515B"/>
    <w:rsid w:val="00486F6E"/>
    <w:rsid w:val="004879AF"/>
    <w:rsid w:val="004A5AFC"/>
    <w:rsid w:val="004B19D1"/>
    <w:rsid w:val="004C0DC2"/>
    <w:rsid w:val="004C26D1"/>
    <w:rsid w:val="004E1198"/>
    <w:rsid w:val="004E77CF"/>
    <w:rsid w:val="00504AB9"/>
    <w:rsid w:val="00505A3A"/>
    <w:rsid w:val="0051059E"/>
    <w:rsid w:val="005214B5"/>
    <w:rsid w:val="0052767B"/>
    <w:rsid w:val="00551B72"/>
    <w:rsid w:val="005611E5"/>
    <w:rsid w:val="00561877"/>
    <w:rsid w:val="00562448"/>
    <w:rsid w:val="00576082"/>
    <w:rsid w:val="005817C6"/>
    <w:rsid w:val="00587F83"/>
    <w:rsid w:val="0059147E"/>
    <w:rsid w:val="00592963"/>
    <w:rsid w:val="005966FB"/>
    <w:rsid w:val="005A2B97"/>
    <w:rsid w:val="005A67A2"/>
    <w:rsid w:val="005B0A12"/>
    <w:rsid w:val="005B0C96"/>
    <w:rsid w:val="005B3D65"/>
    <w:rsid w:val="005C7F55"/>
    <w:rsid w:val="005D0431"/>
    <w:rsid w:val="005D0954"/>
    <w:rsid w:val="005D2E52"/>
    <w:rsid w:val="005D49BD"/>
    <w:rsid w:val="005D7411"/>
    <w:rsid w:val="005F632C"/>
    <w:rsid w:val="0061262E"/>
    <w:rsid w:val="0063586B"/>
    <w:rsid w:val="00636B10"/>
    <w:rsid w:val="00642D45"/>
    <w:rsid w:val="00663EDC"/>
    <w:rsid w:val="00666AD7"/>
    <w:rsid w:val="00680567"/>
    <w:rsid w:val="006825A5"/>
    <w:rsid w:val="006A02E7"/>
    <w:rsid w:val="006A09D9"/>
    <w:rsid w:val="006B50E0"/>
    <w:rsid w:val="006C359D"/>
    <w:rsid w:val="006E43C3"/>
    <w:rsid w:val="006E67FB"/>
    <w:rsid w:val="006F1F64"/>
    <w:rsid w:val="006F2D3C"/>
    <w:rsid w:val="00710A21"/>
    <w:rsid w:val="00721FF2"/>
    <w:rsid w:val="0072244F"/>
    <w:rsid w:val="007371F8"/>
    <w:rsid w:val="00750BB2"/>
    <w:rsid w:val="007544B1"/>
    <w:rsid w:val="00754D50"/>
    <w:rsid w:val="00755008"/>
    <w:rsid w:val="0076215B"/>
    <w:rsid w:val="007633FB"/>
    <w:rsid w:val="00763616"/>
    <w:rsid w:val="007643C9"/>
    <w:rsid w:val="007658C3"/>
    <w:rsid w:val="00766778"/>
    <w:rsid w:val="00767F6A"/>
    <w:rsid w:val="00774BA4"/>
    <w:rsid w:val="00793394"/>
    <w:rsid w:val="00796D6C"/>
    <w:rsid w:val="007A00B4"/>
    <w:rsid w:val="007A2015"/>
    <w:rsid w:val="007D1290"/>
    <w:rsid w:val="007D31A2"/>
    <w:rsid w:val="007E237C"/>
    <w:rsid w:val="007F3D42"/>
    <w:rsid w:val="0080578D"/>
    <w:rsid w:val="00810995"/>
    <w:rsid w:val="00812115"/>
    <w:rsid w:val="00827CD8"/>
    <w:rsid w:val="00830972"/>
    <w:rsid w:val="00833117"/>
    <w:rsid w:val="008358B4"/>
    <w:rsid w:val="00837716"/>
    <w:rsid w:val="0085558F"/>
    <w:rsid w:val="00866BB9"/>
    <w:rsid w:val="0087360C"/>
    <w:rsid w:val="00880B3A"/>
    <w:rsid w:val="00882C6A"/>
    <w:rsid w:val="00892E1D"/>
    <w:rsid w:val="008A22DA"/>
    <w:rsid w:val="008A6B0D"/>
    <w:rsid w:val="008B3C1B"/>
    <w:rsid w:val="008B6840"/>
    <w:rsid w:val="008C24E9"/>
    <w:rsid w:val="008F7E04"/>
    <w:rsid w:val="009008DB"/>
    <w:rsid w:val="00907E7C"/>
    <w:rsid w:val="00912BC2"/>
    <w:rsid w:val="009203A4"/>
    <w:rsid w:val="009226FA"/>
    <w:rsid w:val="0092606C"/>
    <w:rsid w:val="00963FC8"/>
    <w:rsid w:val="009670F7"/>
    <w:rsid w:val="009672B7"/>
    <w:rsid w:val="00984BAD"/>
    <w:rsid w:val="00990298"/>
    <w:rsid w:val="009B04C9"/>
    <w:rsid w:val="009B1F44"/>
    <w:rsid w:val="009B4D24"/>
    <w:rsid w:val="009B5E9B"/>
    <w:rsid w:val="009C0A53"/>
    <w:rsid w:val="009D12AE"/>
    <w:rsid w:val="009D75D4"/>
    <w:rsid w:val="009F1BC8"/>
    <w:rsid w:val="009F3415"/>
    <w:rsid w:val="00A03395"/>
    <w:rsid w:val="00A05C34"/>
    <w:rsid w:val="00A07826"/>
    <w:rsid w:val="00A11507"/>
    <w:rsid w:val="00A3636C"/>
    <w:rsid w:val="00A37386"/>
    <w:rsid w:val="00A62679"/>
    <w:rsid w:val="00A6307B"/>
    <w:rsid w:val="00A64104"/>
    <w:rsid w:val="00A71F4B"/>
    <w:rsid w:val="00A7478A"/>
    <w:rsid w:val="00A7694E"/>
    <w:rsid w:val="00A90B12"/>
    <w:rsid w:val="00AA2934"/>
    <w:rsid w:val="00AA2EEE"/>
    <w:rsid w:val="00AA7D73"/>
    <w:rsid w:val="00AB3D78"/>
    <w:rsid w:val="00AE6A7B"/>
    <w:rsid w:val="00AF383E"/>
    <w:rsid w:val="00B07BB2"/>
    <w:rsid w:val="00B14A35"/>
    <w:rsid w:val="00B21627"/>
    <w:rsid w:val="00B2355F"/>
    <w:rsid w:val="00B25608"/>
    <w:rsid w:val="00B4779C"/>
    <w:rsid w:val="00B76580"/>
    <w:rsid w:val="00B864C3"/>
    <w:rsid w:val="00BA1580"/>
    <w:rsid w:val="00BA47C6"/>
    <w:rsid w:val="00BA7269"/>
    <w:rsid w:val="00BA7554"/>
    <w:rsid w:val="00BB5B43"/>
    <w:rsid w:val="00BC4E91"/>
    <w:rsid w:val="00BC563C"/>
    <w:rsid w:val="00BD0D86"/>
    <w:rsid w:val="00BD22B6"/>
    <w:rsid w:val="00BE3B48"/>
    <w:rsid w:val="00BE5053"/>
    <w:rsid w:val="00BF7DEB"/>
    <w:rsid w:val="00C007FD"/>
    <w:rsid w:val="00C1396E"/>
    <w:rsid w:val="00C146CC"/>
    <w:rsid w:val="00C522FD"/>
    <w:rsid w:val="00C60D4C"/>
    <w:rsid w:val="00C6163C"/>
    <w:rsid w:val="00C74745"/>
    <w:rsid w:val="00C774DF"/>
    <w:rsid w:val="00C85AA2"/>
    <w:rsid w:val="00C90493"/>
    <w:rsid w:val="00CA25FE"/>
    <w:rsid w:val="00CA5688"/>
    <w:rsid w:val="00CA5BA4"/>
    <w:rsid w:val="00CB6DCA"/>
    <w:rsid w:val="00CB7A86"/>
    <w:rsid w:val="00CC603F"/>
    <w:rsid w:val="00CF4BC8"/>
    <w:rsid w:val="00D25D17"/>
    <w:rsid w:val="00D346C8"/>
    <w:rsid w:val="00D353AF"/>
    <w:rsid w:val="00D41440"/>
    <w:rsid w:val="00D46993"/>
    <w:rsid w:val="00D51D12"/>
    <w:rsid w:val="00D548B0"/>
    <w:rsid w:val="00D611E5"/>
    <w:rsid w:val="00D6593D"/>
    <w:rsid w:val="00D6747D"/>
    <w:rsid w:val="00D71DA4"/>
    <w:rsid w:val="00D804C2"/>
    <w:rsid w:val="00D80DF0"/>
    <w:rsid w:val="00D871AA"/>
    <w:rsid w:val="00D93795"/>
    <w:rsid w:val="00D9601B"/>
    <w:rsid w:val="00D97D95"/>
    <w:rsid w:val="00DA1D45"/>
    <w:rsid w:val="00DC16B5"/>
    <w:rsid w:val="00DD2634"/>
    <w:rsid w:val="00DD4D39"/>
    <w:rsid w:val="00DD5A83"/>
    <w:rsid w:val="00E06DB5"/>
    <w:rsid w:val="00E529A5"/>
    <w:rsid w:val="00E52A5D"/>
    <w:rsid w:val="00E52FC4"/>
    <w:rsid w:val="00E60041"/>
    <w:rsid w:val="00E6082D"/>
    <w:rsid w:val="00E6402D"/>
    <w:rsid w:val="00E659FE"/>
    <w:rsid w:val="00E72142"/>
    <w:rsid w:val="00E74035"/>
    <w:rsid w:val="00EB295D"/>
    <w:rsid w:val="00EB50B3"/>
    <w:rsid w:val="00ED392F"/>
    <w:rsid w:val="00ED4EC0"/>
    <w:rsid w:val="00ED60BC"/>
    <w:rsid w:val="00EE14A2"/>
    <w:rsid w:val="00EF0CF8"/>
    <w:rsid w:val="00F04A59"/>
    <w:rsid w:val="00F058AD"/>
    <w:rsid w:val="00F12075"/>
    <w:rsid w:val="00F36657"/>
    <w:rsid w:val="00F44CC6"/>
    <w:rsid w:val="00F6111C"/>
    <w:rsid w:val="00F64C73"/>
    <w:rsid w:val="00F64E90"/>
    <w:rsid w:val="00F65461"/>
    <w:rsid w:val="00F678D1"/>
    <w:rsid w:val="00F848A2"/>
    <w:rsid w:val="00F861DC"/>
    <w:rsid w:val="00F8783C"/>
    <w:rsid w:val="00FB6D7E"/>
    <w:rsid w:val="00FC6ABC"/>
    <w:rsid w:val="00FE01E1"/>
    <w:rsid w:val="00FE1C29"/>
    <w:rsid w:val="00FE47A4"/>
    <w:rsid w:val="00FE53F6"/>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D4911"/>
  <w15:chartTrackingRefBased/>
  <w15:docId w15:val="{D2DD041D-078B-4DB1-B56C-3333DFAC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4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44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44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44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44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44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44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44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44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4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44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44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44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44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44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44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44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44B1"/>
    <w:rPr>
      <w:rFonts w:eastAsiaTheme="majorEastAsia" w:cstheme="majorBidi"/>
      <w:color w:val="272727" w:themeColor="text1" w:themeTint="D8"/>
    </w:rPr>
  </w:style>
  <w:style w:type="paragraph" w:styleId="Title">
    <w:name w:val="Title"/>
    <w:basedOn w:val="Normal"/>
    <w:next w:val="Normal"/>
    <w:link w:val="TitleChar"/>
    <w:uiPriority w:val="10"/>
    <w:qFormat/>
    <w:rsid w:val="007544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4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4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44B1"/>
    <w:pPr>
      <w:spacing w:before="160"/>
      <w:jc w:val="center"/>
    </w:pPr>
    <w:rPr>
      <w:i/>
      <w:iCs/>
      <w:color w:val="404040" w:themeColor="text1" w:themeTint="BF"/>
    </w:rPr>
  </w:style>
  <w:style w:type="character" w:customStyle="1" w:styleId="QuoteChar">
    <w:name w:val="Quote Char"/>
    <w:basedOn w:val="DefaultParagraphFont"/>
    <w:link w:val="Quote"/>
    <w:uiPriority w:val="29"/>
    <w:rsid w:val="007544B1"/>
    <w:rPr>
      <w:i/>
      <w:iCs/>
      <w:color w:val="404040" w:themeColor="text1" w:themeTint="BF"/>
    </w:rPr>
  </w:style>
  <w:style w:type="paragraph" w:styleId="ListParagraph">
    <w:name w:val="List Paragraph"/>
    <w:basedOn w:val="Normal"/>
    <w:uiPriority w:val="34"/>
    <w:qFormat/>
    <w:rsid w:val="007544B1"/>
    <w:pPr>
      <w:ind w:left="720"/>
      <w:contextualSpacing/>
    </w:pPr>
  </w:style>
  <w:style w:type="character" w:styleId="IntenseEmphasis">
    <w:name w:val="Intense Emphasis"/>
    <w:basedOn w:val="DefaultParagraphFont"/>
    <w:uiPriority w:val="21"/>
    <w:qFormat/>
    <w:rsid w:val="007544B1"/>
    <w:rPr>
      <w:i/>
      <w:iCs/>
      <w:color w:val="0F4761" w:themeColor="accent1" w:themeShade="BF"/>
    </w:rPr>
  </w:style>
  <w:style w:type="paragraph" w:styleId="IntenseQuote">
    <w:name w:val="Intense Quote"/>
    <w:basedOn w:val="Normal"/>
    <w:next w:val="Normal"/>
    <w:link w:val="IntenseQuoteChar"/>
    <w:uiPriority w:val="30"/>
    <w:qFormat/>
    <w:rsid w:val="007544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44B1"/>
    <w:rPr>
      <w:i/>
      <w:iCs/>
      <w:color w:val="0F4761" w:themeColor="accent1" w:themeShade="BF"/>
    </w:rPr>
  </w:style>
  <w:style w:type="character" w:styleId="IntenseReference">
    <w:name w:val="Intense Reference"/>
    <w:basedOn w:val="DefaultParagraphFont"/>
    <w:uiPriority w:val="32"/>
    <w:qFormat/>
    <w:rsid w:val="007544B1"/>
    <w:rPr>
      <w:b/>
      <w:bCs/>
      <w:smallCaps/>
      <w:color w:val="0F4761" w:themeColor="accent1" w:themeShade="BF"/>
      <w:spacing w:val="5"/>
    </w:rPr>
  </w:style>
  <w:style w:type="table" w:styleId="TableGrid">
    <w:name w:val="Table Grid"/>
    <w:basedOn w:val="TableNormal"/>
    <w:uiPriority w:val="39"/>
    <w:rsid w:val="00A03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03395"/>
    <w:pPr>
      <w:spacing w:after="200" w:line="240" w:lineRule="auto"/>
    </w:pPr>
    <w:rPr>
      <w:i/>
      <w:iCs/>
      <w:color w:val="0E2841" w:themeColor="text2"/>
      <w:sz w:val="18"/>
      <w:szCs w:val="18"/>
    </w:rPr>
  </w:style>
  <w:style w:type="paragraph" w:styleId="Header">
    <w:name w:val="header"/>
    <w:basedOn w:val="Normal"/>
    <w:link w:val="HeaderChar"/>
    <w:uiPriority w:val="99"/>
    <w:unhideWhenUsed/>
    <w:rsid w:val="00984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BAD"/>
  </w:style>
  <w:style w:type="paragraph" w:styleId="Footer">
    <w:name w:val="footer"/>
    <w:basedOn w:val="Normal"/>
    <w:link w:val="FooterChar"/>
    <w:uiPriority w:val="99"/>
    <w:unhideWhenUsed/>
    <w:rsid w:val="00984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BAD"/>
  </w:style>
  <w:style w:type="paragraph" w:customStyle="1" w:styleId="Caption1">
    <w:name w:val="Caption 1"/>
    <w:basedOn w:val="Caption"/>
    <w:link w:val="Caption1Char"/>
    <w:qFormat/>
    <w:rsid w:val="001211AA"/>
    <w:pPr>
      <w:widowControl w:val="0"/>
      <w:suppressAutoHyphens/>
      <w:spacing w:after="0" w:line="300" w:lineRule="exact"/>
      <w:jc w:val="center"/>
    </w:pPr>
    <w:rPr>
      <w:rFonts w:ascii="Times New Roman" w:eastAsia="SimSun" w:hAnsi="Times New Roman" w:cs="Times New Roman"/>
      <w:b/>
      <w:bCs/>
      <w:i w:val="0"/>
      <w:iCs w:val="0"/>
      <w:color w:val="1F497D"/>
      <w:kern w:val="1"/>
      <w:sz w:val="20"/>
      <w:szCs w:val="20"/>
      <w:lang w:eastAsia="ar-SA" w:bidi="my-MM"/>
      <w14:ligatures w14:val="none"/>
    </w:rPr>
  </w:style>
  <w:style w:type="character" w:customStyle="1" w:styleId="Caption1Char">
    <w:name w:val="Caption 1 Char"/>
    <w:basedOn w:val="DefaultParagraphFont"/>
    <w:link w:val="Caption1"/>
    <w:rsid w:val="001211AA"/>
    <w:rPr>
      <w:rFonts w:ascii="Times New Roman" w:eastAsia="SimSun" w:hAnsi="Times New Roman" w:cs="Times New Roman"/>
      <w:b/>
      <w:bCs/>
      <w:color w:val="1F497D"/>
      <w:kern w:val="1"/>
      <w:sz w:val="20"/>
      <w:szCs w:val="20"/>
      <w:lang w:eastAsia="ar-SA" w:bidi="my-MM"/>
      <w14:ligatures w14:val="none"/>
    </w:rPr>
  </w:style>
  <w:style w:type="paragraph" w:styleId="FootnoteText">
    <w:name w:val="footnote text"/>
    <w:basedOn w:val="Normal"/>
    <w:link w:val="FootnoteTextChar"/>
    <w:uiPriority w:val="99"/>
    <w:semiHidden/>
    <w:unhideWhenUsed/>
    <w:rsid w:val="001211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11AA"/>
    <w:rPr>
      <w:sz w:val="20"/>
      <w:szCs w:val="20"/>
    </w:rPr>
  </w:style>
  <w:style w:type="character" w:styleId="FootnoteReference">
    <w:name w:val="footnote reference"/>
    <w:basedOn w:val="DefaultParagraphFont"/>
    <w:uiPriority w:val="99"/>
    <w:semiHidden/>
    <w:unhideWhenUsed/>
    <w:rsid w:val="001211AA"/>
    <w:rPr>
      <w:vertAlign w:val="superscript"/>
    </w:rPr>
  </w:style>
  <w:style w:type="character" w:styleId="CommentReference">
    <w:name w:val="annotation reference"/>
    <w:basedOn w:val="DefaultParagraphFont"/>
    <w:uiPriority w:val="99"/>
    <w:semiHidden/>
    <w:unhideWhenUsed/>
    <w:rsid w:val="00254C35"/>
    <w:rPr>
      <w:sz w:val="16"/>
      <w:szCs w:val="16"/>
    </w:rPr>
  </w:style>
  <w:style w:type="paragraph" w:styleId="CommentText">
    <w:name w:val="annotation text"/>
    <w:basedOn w:val="Normal"/>
    <w:link w:val="CommentTextChar"/>
    <w:uiPriority w:val="99"/>
    <w:unhideWhenUsed/>
    <w:rsid w:val="00254C35"/>
    <w:pPr>
      <w:spacing w:line="240" w:lineRule="auto"/>
    </w:pPr>
    <w:rPr>
      <w:sz w:val="20"/>
      <w:szCs w:val="20"/>
    </w:rPr>
  </w:style>
  <w:style w:type="character" w:customStyle="1" w:styleId="CommentTextChar">
    <w:name w:val="Comment Text Char"/>
    <w:basedOn w:val="DefaultParagraphFont"/>
    <w:link w:val="CommentText"/>
    <w:uiPriority w:val="99"/>
    <w:rsid w:val="00254C35"/>
    <w:rPr>
      <w:sz w:val="20"/>
      <w:szCs w:val="20"/>
    </w:rPr>
  </w:style>
  <w:style w:type="paragraph" w:styleId="CommentSubject">
    <w:name w:val="annotation subject"/>
    <w:basedOn w:val="CommentText"/>
    <w:next w:val="CommentText"/>
    <w:link w:val="CommentSubjectChar"/>
    <w:uiPriority w:val="99"/>
    <w:semiHidden/>
    <w:unhideWhenUsed/>
    <w:rsid w:val="00254C35"/>
    <w:rPr>
      <w:b/>
      <w:bCs/>
    </w:rPr>
  </w:style>
  <w:style w:type="character" w:customStyle="1" w:styleId="CommentSubjectChar">
    <w:name w:val="Comment Subject Char"/>
    <w:basedOn w:val="CommentTextChar"/>
    <w:link w:val="CommentSubject"/>
    <w:uiPriority w:val="99"/>
    <w:semiHidden/>
    <w:rsid w:val="00254C35"/>
    <w:rPr>
      <w:b/>
      <w:bCs/>
      <w:sz w:val="20"/>
      <w:szCs w:val="20"/>
    </w:rPr>
  </w:style>
  <w:style w:type="character" w:styleId="Hyperlink">
    <w:name w:val="Hyperlink"/>
    <w:basedOn w:val="DefaultParagraphFont"/>
    <w:uiPriority w:val="99"/>
    <w:unhideWhenUsed/>
    <w:rsid w:val="00833117"/>
    <w:rPr>
      <w:color w:val="467886" w:themeColor="hyperlink"/>
      <w:u w:val="single"/>
    </w:rPr>
  </w:style>
  <w:style w:type="character" w:styleId="UnresolvedMention">
    <w:name w:val="Unresolved Mention"/>
    <w:basedOn w:val="DefaultParagraphFont"/>
    <w:uiPriority w:val="99"/>
    <w:semiHidden/>
    <w:unhideWhenUsed/>
    <w:rsid w:val="00833117"/>
    <w:rPr>
      <w:color w:val="605E5C"/>
      <w:shd w:val="clear" w:color="auto" w:fill="E1DFDD"/>
    </w:rPr>
  </w:style>
  <w:style w:type="character" w:styleId="LineNumber">
    <w:name w:val="line number"/>
    <w:basedOn w:val="DefaultParagraphFont"/>
    <w:uiPriority w:val="99"/>
    <w:semiHidden/>
    <w:unhideWhenUsed/>
    <w:rsid w:val="00062369"/>
  </w:style>
  <w:style w:type="paragraph" w:customStyle="1" w:styleId="Body">
    <w:name w:val="Body"/>
    <w:basedOn w:val="Normal"/>
    <w:rsid w:val="00EB50B3"/>
    <w:pPr>
      <w:spacing w:after="240" w:line="240" w:lineRule="auto"/>
      <w:jc w:val="both"/>
    </w:pPr>
    <w:rPr>
      <w:rFonts w:ascii="Helvetica" w:eastAsia="Times New Roman" w:hAnsi="Helvetica" w:cs="Times New Roman"/>
      <w:kern w:val="0"/>
      <w:sz w:val="20"/>
      <w:szCs w:val="20"/>
      <w14:ligatures w14:val="none"/>
    </w:rPr>
  </w:style>
  <w:style w:type="paragraph" w:customStyle="1" w:styleId="AbstHead">
    <w:name w:val="Abst Head"/>
    <w:basedOn w:val="Normal"/>
    <w:rsid w:val="00EB50B3"/>
    <w:pPr>
      <w:keepNext/>
      <w:spacing w:after="240" w:line="240" w:lineRule="auto"/>
    </w:pPr>
    <w:rPr>
      <w:rFonts w:ascii="Helvetica" w:eastAsia="Times New Roman" w:hAnsi="Helvetica" w:cs="Times New Roman"/>
      <w:b/>
      <w:caps/>
      <w:kern w:val="0"/>
      <w:sz w:val="22"/>
      <w:szCs w:val="20"/>
      <w14:ligatures w14:val="none"/>
    </w:rPr>
  </w:style>
  <w:style w:type="paragraph" w:customStyle="1" w:styleId="Head1">
    <w:name w:val="Head1"/>
    <w:basedOn w:val="Normal"/>
    <w:rsid w:val="00EB50B3"/>
    <w:pPr>
      <w:keepNext/>
      <w:spacing w:after="240" w:line="240" w:lineRule="auto"/>
    </w:pPr>
    <w:rPr>
      <w:rFonts w:ascii="Helvetica" w:eastAsia="Times New Roman" w:hAnsi="Helvetica" w:cs="Times New Roman"/>
      <w:b/>
      <w:caps/>
      <w:kern w:val="0"/>
      <w:sz w:val="22"/>
      <w:szCs w:val="20"/>
      <w14:ligatures w14:val="none"/>
    </w:rPr>
  </w:style>
  <w:style w:type="paragraph" w:customStyle="1" w:styleId="ReferHead">
    <w:name w:val="Refer Head"/>
    <w:basedOn w:val="Normal"/>
    <w:rsid w:val="00A64104"/>
    <w:pPr>
      <w:keepNext/>
      <w:spacing w:after="240" w:line="240" w:lineRule="auto"/>
    </w:pPr>
    <w:rPr>
      <w:rFonts w:ascii="Helvetica" w:eastAsia="Times New Roman" w:hAnsi="Helvetica" w:cs="Times New Roman"/>
      <w:b/>
      <w:caps/>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11234">
      <w:bodyDiv w:val="1"/>
      <w:marLeft w:val="0"/>
      <w:marRight w:val="0"/>
      <w:marTop w:val="0"/>
      <w:marBottom w:val="0"/>
      <w:divBdr>
        <w:top w:val="none" w:sz="0" w:space="0" w:color="auto"/>
        <w:left w:val="none" w:sz="0" w:space="0" w:color="auto"/>
        <w:bottom w:val="none" w:sz="0" w:space="0" w:color="auto"/>
        <w:right w:val="none" w:sz="0" w:space="0" w:color="auto"/>
      </w:divBdr>
    </w:div>
    <w:div w:id="614949869">
      <w:bodyDiv w:val="1"/>
      <w:marLeft w:val="0"/>
      <w:marRight w:val="0"/>
      <w:marTop w:val="0"/>
      <w:marBottom w:val="0"/>
      <w:divBdr>
        <w:top w:val="none" w:sz="0" w:space="0" w:color="auto"/>
        <w:left w:val="none" w:sz="0" w:space="0" w:color="auto"/>
        <w:bottom w:val="none" w:sz="0" w:space="0" w:color="auto"/>
        <w:right w:val="none" w:sz="0" w:space="0" w:color="auto"/>
      </w:divBdr>
    </w:div>
    <w:div w:id="901646981">
      <w:bodyDiv w:val="1"/>
      <w:marLeft w:val="0"/>
      <w:marRight w:val="0"/>
      <w:marTop w:val="0"/>
      <w:marBottom w:val="0"/>
      <w:divBdr>
        <w:top w:val="none" w:sz="0" w:space="0" w:color="auto"/>
        <w:left w:val="none" w:sz="0" w:space="0" w:color="auto"/>
        <w:bottom w:val="none" w:sz="0" w:space="0" w:color="auto"/>
        <w:right w:val="none" w:sz="0" w:space="0" w:color="auto"/>
      </w:divBdr>
    </w:div>
    <w:div w:id="1061250869">
      <w:bodyDiv w:val="1"/>
      <w:marLeft w:val="0"/>
      <w:marRight w:val="0"/>
      <w:marTop w:val="0"/>
      <w:marBottom w:val="0"/>
      <w:divBdr>
        <w:top w:val="none" w:sz="0" w:space="0" w:color="auto"/>
        <w:left w:val="none" w:sz="0" w:space="0" w:color="auto"/>
        <w:bottom w:val="none" w:sz="0" w:space="0" w:color="auto"/>
        <w:right w:val="none" w:sz="0" w:space="0" w:color="auto"/>
      </w:divBdr>
    </w:div>
    <w:div w:id="1193491432">
      <w:bodyDiv w:val="1"/>
      <w:marLeft w:val="0"/>
      <w:marRight w:val="0"/>
      <w:marTop w:val="0"/>
      <w:marBottom w:val="0"/>
      <w:divBdr>
        <w:top w:val="none" w:sz="0" w:space="0" w:color="auto"/>
        <w:left w:val="none" w:sz="0" w:space="0" w:color="auto"/>
        <w:bottom w:val="none" w:sz="0" w:space="0" w:color="auto"/>
        <w:right w:val="none" w:sz="0" w:space="0" w:color="auto"/>
      </w:divBdr>
    </w:div>
    <w:div w:id="1293442633">
      <w:bodyDiv w:val="1"/>
      <w:marLeft w:val="0"/>
      <w:marRight w:val="0"/>
      <w:marTop w:val="0"/>
      <w:marBottom w:val="0"/>
      <w:divBdr>
        <w:top w:val="none" w:sz="0" w:space="0" w:color="auto"/>
        <w:left w:val="none" w:sz="0" w:space="0" w:color="auto"/>
        <w:bottom w:val="none" w:sz="0" w:space="0" w:color="auto"/>
        <w:right w:val="none" w:sz="0" w:space="0" w:color="auto"/>
      </w:divBdr>
    </w:div>
    <w:div w:id="1301034532">
      <w:bodyDiv w:val="1"/>
      <w:marLeft w:val="0"/>
      <w:marRight w:val="0"/>
      <w:marTop w:val="0"/>
      <w:marBottom w:val="0"/>
      <w:divBdr>
        <w:top w:val="none" w:sz="0" w:space="0" w:color="auto"/>
        <w:left w:val="none" w:sz="0" w:space="0" w:color="auto"/>
        <w:bottom w:val="none" w:sz="0" w:space="0" w:color="auto"/>
        <w:right w:val="none" w:sz="0" w:space="0" w:color="auto"/>
      </w:divBdr>
    </w:div>
    <w:div w:id="1323461001">
      <w:bodyDiv w:val="1"/>
      <w:marLeft w:val="0"/>
      <w:marRight w:val="0"/>
      <w:marTop w:val="0"/>
      <w:marBottom w:val="0"/>
      <w:divBdr>
        <w:top w:val="none" w:sz="0" w:space="0" w:color="auto"/>
        <w:left w:val="none" w:sz="0" w:space="0" w:color="auto"/>
        <w:bottom w:val="none" w:sz="0" w:space="0" w:color="auto"/>
        <w:right w:val="none" w:sz="0" w:space="0" w:color="auto"/>
      </w:divBdr>
    </w:div>
    <w:div w:id="1351418977">
      <w:bodyDiv w:val="1"/>
      <w:marLeft w:val="0"/>
      <w:marRight w:val="0"/>
      <w:marTop w:val="0"/>
      <w:marBottom w:val="0"/>
      <w:divBdr>
        <w:top w:val="none" w:sz="0" w:space="0" w:color="auto"/>
        <w:left w:val="none" w:sz="0" w:space="0" w:color="auto"/>
        <w:bottom w:val="none" w:sz="0" w:space="0" w:color="auto"/>
        <w:right w:val="none" w:sz="0" w:space="0" w:color="auto"/>
      </w:divBdr>
    </w:div>
    <w:div w:id="1356033574">
      <w:bodyDiv w:val="1"/>
      <w:marLeft w:val="0"/>
      <w:marRight w:val="0"/>
      <w:marTop w:val="0"/>
      <w:marBottom w:val="0"/>
      <w:divBdr>
        <w:top w:val="none" w:sz="0" w:space="0" w:color="auto"/>
        <w:left w:val="none" w:sz="0" w:space="0" w:color="auto"/>
        <w:bottom w:val="none" w:sz="0" w:space="0" w:color="auto"/>
        <w:right w:val="none" w:sz="0" w:space="0" w:color="auto"/>
      </w:divBdr>
    </w:div>
    <w:div w:id="1493640869">
      <w:bodyDiv w:val="1"/>
      <w:marLeft w:val="0"/>
      <w:marRight w:val="0"/>
      <w:marTop w:val="0"/>
      <w:marBottom w:val="0"/>
      <w:divBdr>
        <w:top w:val="none" w:sz="0" w:space="0" w:color="auto"/>
        <w:left w:val="none" w:sz="0" w:space="0" w:color="auto"/>
        <w:bottom w:val="none" w:sz="0" w:space="0" w:color="auto"/>
        <w:right w:val="none" w:sz="0" w:space="0" w:color="auto"/>
      </w:divBdr>
    </w:div>
    <w:div w:id="1561941556">
      <w:bodyDiv w:val="1"/>
      <w:marLeft w:val="0"/>
      <w:marRight w:val="0"/>
      <w:marTop w:val="0"/>
      <w:marBottom w:val="0"/>
      <w:divBdr>
        <w:top w:val="none" w:sz="0" w:space="0" w:color="auto"/>
        <w:left w:val="none" w:sz="0" w:space="0" w:color="auto"/>
        <w:bottom w:val="none" w:sz="0" w:space="0" w:color="auto"/>
        <w:right w:val="none" w:sz="0" w:space="0" w:color="auto"/>
      </w:divBdr>
      <w:divsChild>
        <w:div w:id="296491242">
          <w:marLeft w:val="0"/>
          <w:marRight w:val="0"/>
          <w:marTop w:val="0"/>
          <w:marBottom w:val="0"/>
          <w:divBdr>
            <w:top w:val="none" w:sz="0" w:space="0" w:color="auto"/>
            <w:left w:val="none" w:sz="0" w:space="0" w:color="auto"/>
            <w:bottom w:val="none" w:sz="0" w:space="0" w:color="auto"/>
            <w:right w:val="none" w:sz="0" w:space="0" w:color="auto"/>
          </w:divBdr>
        </w:div>
      </w:divsChild>
    </w:div>
    <w:div w:id="1648633846">
      <w:bodyDiv w:val="1"/>
      <w:marLeft w:val="0"/>
      <w:marRight w:val="0"/>
      <w:marTop w:val="0"/>
      <w:marBottom w:val="0"/>
      <w:divBdr>
        <w:top w:val="none" w:sz="0" w:space="0" w:color="auto"/>
        <w:left w:val="none" w:sz="0" w:space="0" w:color="auto"/>
        <w:bottom w:val="none" w:sz="0" w:space="0" w:color="auto"/>
        <w:right w:val="none" w:sz="0" w:space="0" w:color="auto"/>
      </w:divBdr>
    </w:div>
    <w:div w:id="1725448751">
      <w:bodyDiv w:val="1"/>
      <w:marLeft w:val="0"/>
      <w:marRight w:val="0"/>
      <w:marTop w:val="0"/>
      <w:marBottom w:val="0"/>
      <w:divBdr>
        <w:top w:val="none" w:sz="0" w:space="0" w:color="auto"/>
        <w:left w:val="none" w:sz="0" w:space="0" w:color="auto"/>
        <w:bottom w:val="none" w:sz="0" w:space="0" w:color="auto"/>
        <w:right w:val="none" w:sz="0" w:space="0" w:color="auto"/>
      </w:divBdr>
    </w:div>
    <w:div w:id="1784106595">
      <w:bodyDiv w:val="1"/>
      <w:marLeft w:val="0"/>
      <w:marRight w:val="0"/>
      <w:marTop w:val="0"/>
      <w:marBottom w:val="0"/>
      <w:divBdr>
        <w:top w:val="none" w:sz="0" w:space="0" w:color="auto"/>
        <w:left w:val="none" w:sz="0" w:space="0" w:color="auto"/>
        <w:bottom w:val="none" w:sz="0" w:space="0" w:color="auto"/>
        <w:right w:val="none" w:sz="0" w:space="0" w:color="auto"/>
      </w:divBdr>
    </w:div>
    <w:div w:id="1797288133">
      <w:bodyDiv w:val="1"/>
      <w:marLeft w:val="0"/>
      <w:marRight w:val="0"/>
      <w:marTop w:val="0"/>
      <w:marBottom w:val="0"/>
      <w:divBdr>
        <w:top w:val="none" w:sz="0" w:space="0" w:color="auto"/>
        <w:left w:val="none" w:sz="0" w:space="0" w:color="auto"/>
        <w:bottom w:val="none" w:sz="0" w:space="0" w:color="auto"/>
        <w:right w:val="none" w:sz="0" w:space="0" w:color="auto"/>
      </w:divBdr>
    </w:div>
    <w:div w:id="2103837943">
      <w:bodyDiv w:val="1"/>
      <w:marLeft w:val="0"/>
      <w:marRight w:val="0"/>
      <w:marTop w:val="0"/>
      <w:marBottom w:val="0"/>
      <w:divBdr>
        <w:top w:val="none" w:sz="0" w:space="0" w:color="auto"/>
        <w:left w:val="none" w:sz="0" w:space="0" w:color="auto"/>
        <w:bottom w:val="none" w:sz="0" w:space="0" w:color="auto"/>
        <w:right w:val="none" w:sz="0" w:space="0" w:color="auto"/>
      </w:divBdr>
      <w:divsChild>
        <w:div w:id="1182666246">
          <w:marLeft w:val="0"/>
          <w:marRight w:val="0"/>
          <w:marTop w:val="0"/>
          <w:marBottom w:val="0"/>
          <w:divBdr>
            <w:top w:val="none" w:sz="0" w:space="0" w:color="auto"/>
            <w:left w:val="none" w:sz="0" w:space="0" w:color="auto"/>
            <w:bottom w:val="none" w:sz="0" w:space="0" w:color="auto"/>
            <w:right w:val="none" w:sz="0" w:space="0" w:color="auto"/>
          </w:divBdr>
        </w:div>
      </w:divsChild>
    </w:div>
    <w:div w:id="212272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353/csd.2019.0041" TargetMode="External"/><Relationship Id="rId18" Type="http://schemas.openxmlformats.org/officeDocument/2006/relationships/hyperlink" Target="https://doi.org/10.1186/s41937-019-0027-5"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oi.org/10.1007/s12187-018-9588-6" TargetMode="External"/><Relationship Id="rId7" Type="http://schemas.openxmlformats.org/officeDocument/2006/relationships/endnotes" Target="endnotes.xml"/><Relationship Id="rId12" Type="http://schemas.openxmlformats.org/officeDocument/2006/relationships/hyperlink" Target="https://assumptionjournal.au.edu/index.php/Scholar/article/view/2768" TargetMode="External"/><Relationship Id="rId17" Type="http://schemas.openxmlformats.org/officeDocument/2006/relationships/hyperlink" Target="https://doi.org/10.1186/s43093-021-00064-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080/07294360.2020.1737654" TargetMode="External"/><Relationship Id="rId20" Type="http://schemas.openxmlformats.org/officeDocument/2006/relationships/hyperlink" Target="https://doi.org/10.1108/apjba-09-2019-019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etir.org/papers/JETIR2106648.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07/978-3-030-35051-2_2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hyperlink" Target="https://doi.org/10.47772/ijriss.2024.8080335"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2478/sbe-2020-0025" TargetMode="External"/><Relationship Id="rId22" Type="http://schemas.openxmlformats.org/officeDocument/2006/relationships/header" Target="head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2025_PhD_Disstation\Data_Analysis\VI,VIII,X_Survey_Data%20(2.3%20(version%201).xlsb.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2025_PhD_Disstation\Data_Analysis\VI,VIII,X_Survey_Data%20(2.3%20(version%201).xlsb.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2025_PhD_Disstation\Data_Analysis\VI,VIII,X_Survey_Data%20(2.3%20(version%201).xlsb.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Pt>
            <c:idx val="0"/>
            <c:invertIfNegative val="0"/>
            <c:bubble3D val="0"/>
            <c:spPr>
              <a:solidFill>
                <a:schemeClr val="accent6">
                  <a:lumMod val="75000"/>
                </a:schemeClr>
              </a:solidFill>
              <a:ln>
                <a:noFill/>
              </a:ln>
              <a:effectLst/>
              <a:sp3d/>
            </c:spPr>
            <c:extLst>
              <c:ext xmlns:c16="http://schemas.microsoft.com/office/drawing/2014/chart" uri="{C3380CC4-5D6E-409C-BE32-E72D297353CC}">
                <c16:uniqueId val="{00000001-68BE-4D54-930B-65F890883973}"/>
              </c:ext>
            </c:extLst>
          </c:dPt>
          <c:dPt>
            <c:idx val="1"/>
            <c:invertIfNegative val="0"/>
            <c:bubble3D val="0"/>
            <c:spPr>
              <a:solidFill>
                <a:srgbClr val="FFCCCC"/>
              </a:solidFill>
              <a:ln>
                <a:noFill/>
              </a:ln>
              <a:effectLst/>
              <a:sp3d/>
            </c:spPr>
            <c:extLst>
              <c:ext xmlns:c16="http://schemas.microsoft.com/office/drawing/2014/chart" uri="{C3380CC4-5D6E-409C-BE32-E72D297353CC}">
                <c16:uniqueId val="{00000003-68BE-4D54-930B-65F890883973}"/>
              </c:ext>
            </c:extLst>
          </c:dPt>
          <c:dPt>
            <c:idx val="2"/>
            <c:invertIfNegative val="0"/>
            <c:bubble3D val="0"/>
            <c:spPr>
              <a:solidFill>
                <a:srgbClr val="FFFF00"/>
              </a:solidFill>
              <a:ln>
                <a:noFill/>
              </a:ln>
              <a:effectLst/>
              <a:sp3d/>
            </c:spPr>
            <c:extLst>
              <c:ext xmlns:c16="http://schemas.microsoft.com/office/drawing/2014/chart" uri="{C3380CC4-5D6E-409C-BE32-E72D297353CC}">
                <c16:uniqueId val="{00000005-68BE-4D54-930B-65F890883973}"/>
              </c:ext>
            </c:extLst>
          </c:dPt>
          <c:dPt>
            <c:idx val="3"/>
            <c:invertIfNegative val="0"/>
            <c:bubble3D val="0"/>
            <c:spPr>
              <a:solidFill>
                <a:schemeClr val="accent2">
                  <a:lumMod val="75000"/>
                </a:schemeClr>
              </a:solidFill>
              <a:ln>
                <a:noFill/>
              </a:ln>
              <a:effectLst/>
              <a:sp3d/>
            </c:spPr>
            <c:extLst>
              <c:ext xmlns:c16="http://schemas.microsoft.com/office/drawing/2014/chart" uri="{C3380CC4-5D6E-409C-BE32-E72D297353CC}">
                <c16:uniqueId val="{00000007-68BE-4D54-930B-65F890883973}"/>
              </c:ext>
            </c:extLst>
          </c:dPt>
          <c:dPt>
            <c:idx val="4"/>
            <c:invertIfNegative val="0"/>
            <c:bubble3D val="0"/>
            <c:spPr>
              <a:solidFill>
                <a:srgbClr val="FFCC00"/>
              </a:solidFill>
              <a:ln>
                <a:noFill/>
              </a:ln>
              <a:effectLst/>
              <a:sp3d/>
            </c:spPr>
            <c:extLst>
              <c:ext xmlns:c16="http://schemas.microsoft.com/office/drawing/2014/chart" uri="{C3380CC4-5D6E-409C-BE32-E72D297353CC}">
                <c16:uniqueId val="{00000009-68BE-4D54-930B-65F890883973}"/>
              </c:ext>
            </c:extLst>
          </c:dPt>
          <c:dPt>
            <c:idx val="5"/>
            <c:invertIfNegative val="0"/>
            <c:bubble3D val="0"/>
            <c:spPr>
              <a:solidFill>
                <a:srgbClr val="993366"/>
              </a:solidFill>
              <a:ln>
                <a:noFill/>
              </a:ln>
              <a:effectLst/>
              <a:sp3d/>
            </c:spPr>
            <c:extLst>
              <c:ext xmlns:c16="http://schemas.microsoft.com/office/drawing/2014/chart" uri="{C3380CC4-5D6E-409C-BE32-E72D297353CC}">
                <c16:uniqueId val="{0000000B-68BE-4D54-930B-65F890883973}"/>
              </c:ext>
            </c:extLst>
          </c:dPt>
          <c:dPt>
            <c:idx val="6"/>
            <c:invertIfNegative val="0"/>
            <c:bubble3D val="0"/>
            <c:spPr>
              <a:solidFill>
                <a:srgbClr val="000099"/>
              </a:solidFill>
              <a:ln>
                <a:noFill/>
              </a:ln>
              <a:effectLst/>
              <a:sp3d/>
            </c:spPr>
            <c:extLst>
              <c:ext xmlns:c16="http://schemas.microsoft.com/office/drawing/2014/chart" uri="{C3380CC4-5D6E-409C-BE32-E72D297353CC}">
                <c16:uniqueId val="{0000000D-68BE-4D54-930B-65F890883973}"/>
              </c:ext>
            </c:extLst>
          </c:dPt>
          <c:dPt>
            <c:idx val="7"/>
            <c:invertIfNegative val="0"/>
            <c:bubble3D val="0"/>
            <c:spPr>
              <a:solidFill>
                <a:srgbClr val="00FFCC"/>
              </a:solidFill>
              <a:ln>
                <a:noFill/>
              </a:ln>
              <a:effectLst/>
              <a:sp3d/>
            </c:spPr>
            <c:extLst>
              <c:ext xmlns:c16="http://schemas.microsoft.com/office/drawing/2014/chart" uri="{C3380CC4-5D6E-409C-BE32-E72D297353CC}">
                <c16:uniqueId val="{0000000F-68BE-4D54-930B-65F890883973}"/>
              </c:ext>
            </c:extLst>
          </c:dPt>
          <c:dPt>
            <c:idx val="8"/>
            <c:invertIfNegative val="0"/>
            <c:bubble3D val="0"/>
            <c:spPr>
              <a:solidFill>
                <a:srgbClr val="CC00FF"/>
              </a:solidFill>
              <a:ln>
                <a:noFill/>
              </a:ln>
              <a:effectLst/>
              <a:sp3d/>
            </c:spPr>
            <c:extLst>
              <c:ext xmlns:c16="http://schemas.microsoft.com/office/drawing/2014/chart" uri="{C3380CC4-5D6E-409C-BE32-E72D297353CC}">
                <c16:uniqueId val="{00000011-68BE-4D54-930B-65F890883973}"/>
              </c:ext>
            </c:extLst>
          </c:dPt>
          <c:dPt>
            <c:idx val="9"/>
            <c:invertIfNegative val="0"/>
            <c:bubble3D val="0"/>
            <c:spPr>
              <a:solidFill>
                <a:srgbClr val="99CC00"/>
              </a:solidFill>
              <a:ln>
                <a:noFill/>
              </a:ln>
              <a:effectLst/>
              <a:sp3d/>
            </c:spPr>
            <c:extLst>
              <c:ext xmlns:c16="http://schemas.microsoft.com/office/drawing/2014/chart" uri="{C3380CC4-5D6E-409C-BE32-E72D297353CC}">
                <c16:uniqueId val="{00000013-68BE-4D54-930B-65F890883973}"/>
              </c:ext>
            </c:extLst>
          </c:dPt>
          <c:dPt>
            <c:idx val="10"/>
            <c:invertIfNegative val="0"/>
            <c:bubble3D val="0"/>
            <c:spPr>
              <a:solidFill>
                <a:srgbClr val="FF3399"/>
              </a:solidFill>
              <a:ln>
                <a:noFill/>
              </a:ln>
              <a:effectLst/>
              <a:sp3d/>
            </c:spPr>
            <c:extLst>
              <c:ext xmlns:c16="http://schemas.microsoft.com/office/drawing/2014/chart" uri="{C3380CC4-5D6E-409C-BE32-E72D297353CC}">
                <c16:uniqueId val="{00000015-68BE-4D54-930B-65F890883973}"/>
              </c:ext>
            </c:extLst>
          </c:dPt>
          <c:dPt>
            <c:idx val="11"/>
            <c:invertIfNegative val="0"/>
            <c:bubble3D val="0"/>
            <c:spPr>
              <a:solidFill>
                <a:srgbClr val="0099FF"/>
              </a:solidFill>
              <a:ln>
                <a:noFill/>
              </a:ln>
              <a:effectLst/>
              <a:sp3d/>
            </c:spPr>
            <c:extLst>
              <c:ext xmlns:c16="http://schemas.microsoft.com/office/drawing/2014/chart" uri="{C3380CC4-5D6E-409C-BE32-E72D297353CC}">
                <c16:uniqueId val="{00000017-68BE-4D54-930B-65F890883973}"/>
              </c:ext>
            </c:extLst>
          </c:dPt>
          <c:dPt>
            <c:idx val="12"/>
            <c:invertIfNegative val="0"/>
            <c:bubble3D val="0"/>
            <c:spPr>
              <a:solidFill>
                <a:srgbClr val="C00000"/>
              </a:solidFill>
              <a:ln>
                <a:noFill/>
              </a:ln>
              <a:effectLst/>
              <a:sp3d/>
            </c:spPr>
            <c:extLst>
              <c:ext xmlns:c16="http://schemas.microsoft.com/office/drawing/2014/chart" uri="{C3380CC4-5D6E-409C-BE32-E72D297353CC}">
                <c16:uniqueId val="{00000019-68BE-4D54-930B-65F890883973}"/>
              </c:ext>
            </c:extLst>
          </c:dPt>
          <c:dPt>
            <c:idx val="13"/>
            <c:invertIfNegative val="0"/>
            <c:bubble3D val="0"/>
            <c:spPr>
              <a:solidFill>
                <a:srgbClr val="B2B2B2"/>
              </a:solidFill>
              <a:ln>
                <a:noFill/>
              </a:ln>
              <a:effectLst/>
              <a:sp3d/>
            </c:spPr>
            <c:extLst>
              <c:ext xmlns:c16="http://schemas.microsoft.com/office/drawing/2014/chart" uri="{C3380CC4-5D6E-409C-BE32-E72D297353CC}">
                <c16:uniqueId val="{0000001B-68BE-4D54-930B-65F890883973}"/>
              </c:ext>
            </c:extLst>
          </c:dPt>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Sheet2!$B$48:$B$61</c:f>
              <c:strCache>
                <c:ptCount val="14"/>
                <c:pt idx="0">
                  <c:v>Nay Pyi Taw</c:v>
                </c:pt>
                <c:pt idx="1">
                  <c:v>Magway</c:v>
                </c:pt>
                <c:pt idx="2">
                  <c:v>Mandalay</c:v>
                </c:pt>
                <c:pt idx="3">
                  <c:v>Shan</c:v>
                </c:pt>
                <c:pt idx="4">
                  <c:v>Sagaing</c:v>
                </c:pt>
                <c:pt idx="5">
                  <c:v>Bago</c:v>
                </c:pt>
                <c:pt idx="6">
                  <c:v>Ayeyarwady</c:v>
                </c:pt>
                <c:pt idx="7">
                  <c:v>Mon</c:v>
                </c:pt>
                <c:pt idx="8">
                  <c:v>Rakhine</c:v>
                </c:pt>
                <c:pt idx="9">
                  <c:v>Tanintharyi</c:v>
                </c:pt>
                <c:pt idx="10">
                  <c:v>Kachin</c:v>
                </c:pt>
                <c:pt idx="11">
                  <c:v>Yangon</c:v>
                </c:pt>
                <c:pt idx="12">
                  <c:v>Kayin</c:v>
                </c:pt>
                <c:pt idx="13">
                  <c:v>Chin</c:v>
                </c:pt>
              </c:strCache>
            </c:strRef>
          </c:cat>
          <c:val>
            <c:numRef>
              <c:f>Sheet2!$Q$48:$Q$61</c:f>
              <c:numCache>
                <c:formatCode>0.00</c:formatCode>
                <c:ptCount val="14"/>
                <c:pt idx="0">
                  <c:v>19.361702127659576</c:v>
                </c:pt>
                <c:pt idx="1">
                  <c:v>14.042553191489363</c:v>
                </c:pt>
                <c:pt idx="2">
                  <c:v>13.829787234042554</c:v>
                </c:pt>
                <c:pt idx="3">
                  <c:v>12.127659574468085</c:v>
                </c:pt>
                <c:pt idx="4">
                  <c:v>9.787234042553191</c:v>
                </c:pt>
                <c:pt idx="5">
                  <c:v>8.5106382978723403</c:v>
                </c:pt>
                <c:pt idx="6">
                  <c:v>6.8085106382978724</c:v>
                </c:pt>
                <c:pt idx="7">
                  <c:v>5.7446808510638299</c:v>
                </c:pt>
                <c:pt idx="8">
                  <c:v>4.4680851063829792</c:v>
                </c:pt>
                <c:pt idx="9">
                  <c:v>1.4893617021276597</c:v>
                </c:pt>
                <c:pt idx="10">
                  <c:v>1.2765957446808509</c:v>
                </c:pt>
                <c:pt idx="11">
                  <c:v>1.2765957446808509</c:v>
                </c:pt>
                <c:pt idx="12">
                  <c:v>0.63829787234042545</c:v>
                </c:pt>
                <c:pt idx="13">
                  <c:v>0.63829787234042545</c:v>
                </c:pt>
              </c:numCache>
            </c:numRef>
          </c:val>
          <c:extLst>
            <c:ext xmlns:c16="http://schemas.microsoft.com/office/drawing/2014/chart" uri="{C3380CC4-5D6E-409C-BE32-E72D297353CC}">
              <c16:uniqueId val="{0000001C-68BE-4D54-930B-65F890883973}"/>
            </c:ext>
          </c:extLst>
        </c:ser>
        <c:dLbls>
          <c:showLegendKey val="0"/>
          <c:showVal val="1"/>
          <c:showCatName val="0"/>
          <c:showSerName val="0"/>
          <c:showPercent val="0"/>
          <c:showBubbleSize val="0"/>
        </c:dLbls>
        <c:gapWidth val="76"/>
        <c:shape val="box"/>
        <c:axId val="1537168640"/>
        <c:axId val="1537166240"/>
        <c:axId val="0"/>
      </c:bar3DChart>
      <c:catAx>
        <c:axId val="1537168640"/>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r>
                  <a:rPr lang="en-US" b="0">
                    <a:latin typeface="Arial" panose="020B0604020202020204" pitchFamily="34" charset="0"/>
                    <a:cs typeface="Arial" panose="020B0604020202020204" pitchFamily="34" charset="0"/>
                  </a:rPr>
                  <a:t>States/Regions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37166240"/>
        <c:crosses val="autoZero"/>
        <c:auto val="1"/>
        <c:lblAlgn val="ctr"/>
        <c:lblOffset val="100"/>
        <c:noMultiLvlLbl val="0"/>
      </c:catAx>
      <c:valAx>
        <c:axId val="1537166240"/>
        <c:scaling>
          <c:orientation val="minMax"/>
          <c:max val="8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r>
                  <a:rPr lang="en-US" b="0">
                    <a:latin typeface="Arial" panose="020B0604020202020204" pitchFamily="34" charset="0"/>
                    <a:cs typeface="Arial" panose="020B0604020202020204" pitchFamily="34" charset="0"/>
                  </a:rPr>
                  <a:t>Percent of students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title>
        <c:numFmt formatCode="0.0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37168640"/>
        <c:crosses val="autoZero"/>
        <c:crossBetween val="between"/>
        <c:majorUnit val="20"/>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Sheet2!$AU$15</c:f>
              <c:strCache>
                <c:ptCount val="1"/>
                <c:pt idx="0">
                  <c:v>Father</c:v>
                </c:pt>
              </c:strCache>
            </c:strRef>
          </c:tx>
          <c:spPr>
            <a:solidFill>
              <a:schemeClr val="accent2">
                <a:lumMod val="5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Sheet2!$AR$16:$AR$19</c:f>
              <c:strCache>
                <c:ptCount val="4"/>
                <c:pt idx="0">
                  <c:v>Illiterate</c:v>
                </c:pt>
                <c:pt idx="1">
                  <c:v>Basic education</c:v>
                </c:pt>
                <c:pt idx="2">
                  <c:v>Bachelor</c:v>
                </c:pt>
                <c:pt idx="3">
                  <c:v>M.Sc or PhD</c:v>
                </c:pt>
              </c:strCache>
            </c:strRef>
          </c:cat>
          <c:val>
            <c:numRef>
              <c:f>Sheet2!$AU$16:$AU$19</c:f>
              <c:numCache>
                <c:formatCode>0.00</c:formatCode>
                <c:ptCount val="4"/>
                <c:pt idx="0">
                  <c:v>1.7021276595744681</c:v>
                </c:pt>
                <c:pt idx="1">
                  <c:v>70.212765957446805</c:v>
                </c:pt>
                <c:pt idx="2">
                  <c:v>23.617021276595747</c:v>
                </c:pt>
                <c:pt idx="3">
                  <c:v>0.63829787234042545</c:v>
                </c:pt>
              </c:numCache>
            </c:numRef>
          </c:val>
          <c:extLst>
            <c:ext xmlns:c16="http://schemas.microsoft.com/office/drawing/2014/chart" uri="{C3380CC4-5D6E-409C-BE32-E72D297353CC}">
              <c16:uniqueId val="{00000000-E68A-4070-8818-891D71D0D723}"/>
            </c:ext>
          </c:extLst>
        </c:ser>
        <c:ser>
          <c:idx val="1"/>
          <c:order val="1"/>
          <c:tx>
            <c:strRef>
              <c:f>Sheet2!$AV$15</c:f>
              <c:strCache>
                <c:ptCount val="1"/>
                <c:pt idx="0">
                  <c:v>Mother</c:v>
                </c:pt>
              </c:strCache>
            </c:strRef>
          </c:tx>
          <c:spPr>
            <a:solidFill>
              <a:srgbClr val="00B0F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Sheet2!$AR$16:$AR$19</c:f>
              <c:strCache>
                <c:ptCount val="4"/>
                <c:pt idx="0">
                  <c:v>Illiterate</c:v>
                </c:pt>
                <c:pt idx="1">
                  <c:v>Basic education</c:v>
                </c:pt>
                <c:pt idx="2">
                  <c:v>Bachelor</c:v>
                </c:pt>
                <c:pt idx="3">
                  <c:v>M.Sc or PhD</c:v>
                </c:pt>
              </c:strCache>
            </c:strRef>
          </c:cat>
          <c:val>
            <c:numRef>
              <c:f>Sheet2!$AV$16:$AV$19</c:f>
              <c:numCache>
                <c:formatCode>0.00</c:formatCode>
                <c:ptCount val="4"/>
                <c:pt idx="0">
                  <c:v>3.1914893617021276</c:v>
                </c:pt>
                <c:pt idx="1">
                  <c:v>71.063829787234042</c:v>
                </c:pt>
                <c:pt idx="2">
                  <c:v>22.978723404255319</c:v>
                </c:pt>
                <c:pt idx="3">
                  <c:v>1.0638297872340425</c:v>
                </c:pt>
              </c:numCache>
            </c:numRef>
          </c:val>
          <c:extLst>
            <c:ext xmlns:c16="http://schemas.microsoft.com/office/drawing/2014/chart" uri="{C3380CC4-5D6E-409C-BE32-E72D297353CC}">
              <c16:uniqueId val="{00000001-E68A-4070-8818-891D71D0D723}"/>
            </c:ext>
          </c:extLst>
        </c:ser>
        <c:dLbls>
          <c:showLegendKey val="0"/>
          <c:showVal val="1"/>
          <c:showCatName val="0"/>
          <c:showSerName val="0"/>
          <c:showPercent val="0"/>
          <c:showBubbleSize val="0"/>
        </c:dLbls>
        <c:gapWidth val="67"/>
        <c:shape val="box"/>
        <c:axId val="639275711"/>
        <c:axId val="639256031"/>
        <c:axId val="0"/>
      </c:bar3DChart>
      <c:catAx>
        <c:axId val="639275711"/>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0">
                    <a:solidFill>
                      <a:sysClr val="windowText" lastClr="000000"/>
                    </a:solidFill>
                    <a:latin typeface="Arial" panose="020B0604020202020204" pitchFamily="34" charset="0"/>
                    <a:cs typeface="Arial" panose="020B0604020202020204" pitchFamily="34" charset="0"/>
                  </a:rPr>
                  <a:t>Education level</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39256031"/>
        <c:crosses val="autoZero"/>
        <c:auto val="1"/>
        <c:lblAlgn val="ctr"/>
        <c:lblOffset val="100"/>
        <c:noMultiLvlLbl val="0"/>
      </c:catAx>
      <c:valAx>
        <c:axId val="639256031"/>
        <c:scaling>
          <c:orientation val="minMax"/>
          <c:max val="100"/>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0">
                    <a:solidFill>
                      <a:sysClr val="windowText" lastClr="000000"/>
                    </a:solidFill>
                    <a:latin typeface="Arial" panose="020B0604020202020204" pitchFamily="34" charset="0"/>
                    <a:cs typeface="Arial" panose="020B0604020202020204" pitchFamily="34" charset="0"/>
                  </a:rPr>
                  <a:t>Percent of sample</a:t>
                </a:r>
                <a:r>
                  <a:rPr lang="en-US" b="0" baseline="0">
                    <a:solidFill>
                      <a:sysClr val="windowText" lastClr="000000"/>
                    </a:solidFill>
                    <a:latin typeface="Arial" panose="020B0604020202020204" pitchFamily="34" charset="0"/>
                    <a:cs typeface="Arial" panose="020B0604020202020204" pitchFamily="34" charset="0"/>
                  </a:rPr>
                  <a:t> students</a:t>
                </a:r>
                <a:endParaRPr lang="en-US" b="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39275711"/>
        <c:crosses val="autoZero"/>
        <c:crossBetween val="between"/>
      </c:valAx>
      <c:spPr>
        <a:noFill/>
        <a:ln>
          <a:noFill/>
        </a:ln>
        <a:effectLst/>
      </c:spPr>
    </c:plotArea>
    <c:legend>
      <c:legendPos val="r"/>
      <c:layout>
        <c:manualLayout>
          <c:xMode val="edge"/>
          <c:yMode val="edge"/>
          <c:x val="0.81205670643100947"/>
          <c:y val="0.41346093276801943"/>
          <c:w val="9.3522692710621469E-2"/>
          <c:h val="0.1730781344639612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Sheet2!$BA$15</c:f>
              <c:strCache>
                <c:ptCount val="1"/>
                <c:pt idx="0">
                  <c:v>Father</c:v>
                </c:pt>
              </c:strCache>
            </c:strRef>
          </c:tx>
          <c:spPr>
            <a:solidFill>
              <a:schemeClr val="accent2">
                <a:lumMod val="5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Sheet2!$AX$16:$AX$19</c:f>
              <c:strCache>
                <c:ptCount val="4"/>
                <c:pt idx="0">
                  <c:v>Public sector</c:v>
                </c:pt>
                <c:pt idx="1">
                  <c:v>Private sector</c:v>
                </c:pt>
                <c:pt idx="2">
                  <c:v>Farmer</c:v>
                </c:pt>
                <c:pt idx="3">
                  <c:v>Dependents</c:v>
                </c:pt>
              </c:strCache>
            </c:strRef>
          </c:cat>
          <c:val>
            <c:numRef>
              <c:f>Sheet2!$BA$16:$BA$19</c:f>
              <c:numCache>
                <c:formatCode>0.00</c:formatCode>
                <c:ptCount val="4"/>
                <c:pt idx="0">
                  <c:v>16.595744680851062</c:v>
                </c:pt>
                <c:pt idx="1">
                  <c:v>24.468085106382979</c:v>
                </c:pt>
                <c:pt idx="2">
                  <c:v>40.638297872340424</c:v>
                </c:pt>
                <c:pt idx="3">
                  <c:v>6.3829787234042552</c:v>
                </c:pt>
              </c:numCache>
            </c:numRef>
          </c:val>
          <c:extLst>
            <c:ext xmlns:c16="http://schemas.microsoft.com/office/drawing/2014/chart" uri="{C3380CC4-5D6E-409C-BE32-E72D297353CC}">
              <c16:uniqueId val="{00000000-F4E4-4BA2-BCEB-30A1A4432D8C}"/>
            </c:ext>
          </c:extLst>
        </c:ser>
        <c:ser>
          <c:idx val="1"/>
          <c:order val="1"/>
          <c:tx>
            <c:strRef>
              <c:f>Sheet2!$BB$15</c:f>
              <c:strCache>
                <c:ptCount val="1"/>
                <c:pt idx="0">
                  <c:v>Mother</c:v>
                </c:pt>
              </c:strCache>
            </c:strRef>
          </c:tx>
          <c:spPr>
            <a:solidFill>
              <a:srgbClr val="00B0F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Sheet2!$AX$16:$AX$19</c:f>
              <c:strCache>
                <c:ptCount val="4"/>
                <c:pt idx="0">
                  <c:v>Public sector</c:v>
                </c:pt>
                <c:pt idx="1">
                  <c:v>Private sector</c:v>
                </c:pt>
                <c:pt idx="2">
                  <c:v>Farmer</c:v>
                </c:pt>
                <c:pt idx="3">
                  <c:v>Dependents</c:v>
                </c:pt>
              </c:strCache>
            </c:strRef>
          </c:cat>
          <c:val>
            <c:numRef>
              <c:f>Sheet2!$BB$16:$BB$19</c:f>
              <c:numCache>
                <c:formatCode>0.00</c:formatCode>
                <c:ptCount val="4"/>
                <c:pt idx="0">
                  <c:v>12.76595744680851</c:v>
                </c:pt>
                <c:pt idx="1">
                  <c:v>20.212765957446805</c:v>
                </c:pt>
                <c:pt idx="2">
                  <c:v>17.021276595744681</c:v>
                </c:pt>
                <c:pt idx="3">
                  <c:v>27.021276595744681</c:v>
                </c:pt>
              </c:numCache>
            </c:numRef>
          </c:val>
          <c:extLst>
            <c:ext xmlns:c16="http://schemas.microsoft.com/office/drawing/2014/chart" uri="{C3380CC4-5D6E-409C-BE32-E72D297353CC}">
              <c16:uniqueId val="{00000001-F4E4-4BA2-BCEB-30A1A4432D8C}"/>
            </c:ext>
          </c:extLst>
        </c:ser>
        <c:dLbls>
          <c:showLegendKey val="0"/>
          <c:showVal val="1"/>
          <c:showCatName val="0"/>
          <c:showSerName val="0"/>
          <c:showPercent val="0"/>
          <c:showBubbleSize val="0"/>
        </c:dLbls>
        <c:gapWidth val="76"/>
        <c:shape val="box"/>
        <c:axId val="907625647"/>
        <c:axId val="907638607"/>
        <c:axId val="0"/>
      </c:bar3DChart>
      <c:catAx>
        <c:axId val="907625647"/>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0">
                    <a:solidFill>
                      <a:sysClr val="windowText" lastClr="000000"/>
                    </a:solidFill>
                    <a:latin typeface="Arial" panose="020B0604020202020204" pitchFamily="34" charset="0"/>
                    <a:cs typeface="Arial" panose="020B0604020202020204" pitchFamily="34" charset="0"/>
                  </a:rPr>
                  <a:t>Occupation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07638607"/>
        <c:crosses val="autoZero"/>
        <c:auto val="1"/>
        <c:lblAlgn val="ctr"/>
        <c:lblOffset val="100"/>
        <c:noMultiLvlLbl val="0"/>
      </c:catAx>
      <c:valAx>
        <c:axId val="907638607"/>
        <c:scaling>
          <c:orientation val="minMax"/>
          <c:max val="100"/>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0">
                    <a:solidFill>
                      <a:sysClr val="windowText" lastClr="000000"/>
                    </a:solidFill>
                    <a:latin typeface="Arial" panose="020B0604020202020204" pitchFamily="34" charset="0"/>
                    <a:cs typeface="Arial" panose="020B0604020202020204" pitchFamily="34" charset="0"/>
                  </a:rPr>
                  <a:t>Percent of sample students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07625647"/>
        <c:crosses val="autoZero"/>
        <c:crossBetween val="between"/>
      </c:valAx>
      <c:spPr>
        <a:noFill/>
        <a:ln>
          <a:noFill/>
        </a:ln>
        <a:effectLst/>
      </c:spPr>
    </c:plotArea>
    <c:legend>
      <c:legendPos val="r"/>
      <c:layout>
        <c:manualLayout>
          <c:xMode val="edge"/>
          <c:yMode val="edge"/>
          <c:x val="0.82073064559922226"/>
          <c:y val="0.37163914994496655"/>
          <c:w val="9.6955672532034715E-2"/>
          <c:h val="0.1814528829057658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83F73-6117-47DE-A135-68B2B4819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4687</Words>
  <Characters>26719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Yee Mon</dc:creator>
  <cp:keywords/>
  <dc:description/>
  <cp:lastModifiedBy>Editor-22</cp:lastModifiedBy>
  <cp:revision>6</cp:revision>
  <cp:lastPrinted>2025-05-07T12:05:00Z</cp:lastPrinted>
  <dcterms:created xsi:type="dcterms:W3CDTF">2025-06-18T05:17:00Z</dcterms:created>
  <dcterms:modified xsi:type="dcterms:W3CDTF">2025-06-19T06:57:00Z</dcterms:modified>
</cp:coreProperties>
</file>