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37B4CA4" w14:textId="77777777" w:rsidR="001B489B" w:rsidRDefault="001B489B" w:rsidP="002309B8">
      <w:pPr>
        <w:jc w:val="right"/>
        <w:rPr>
          <w:rFonts w:ascii="Arial" w:hAnsi="Arial" w:cs="Arial"/>
          <w:b/>
          <w:noProof/>
          <w:sz w:val="28"/>
          <w:szCs w:val="28"/>
          <w:lang w:eastAsia="en-PH"/>
        </w:rPr>
      </w:pPr>
    </w:p>
    <w:p w14:paraId="77F35F6E" w14:textId="286929BB" w:rsidR="002309B8" w:rsidRDefault="00B20ABE" w:rsidP="002E7F0F">
      <w:pPr>
        <w:jc w:val="right"/>
        <w:rPr>
          <w:rFonts w:ascii="Arial" w:hAnsi="Arial" w:cs="Arial"/>
          <w:b/>
          <w:noProof/>
          <w:sz w:val="28"/>
          <w:szCs w:val="28"/>
          <w:lang w:eastAsia="en-PH"/>
        </w:rPr>
      </w:pPr>
      <w:r w:rsidRPr="00B20ABE">
        <w:rPr>
          <w:rFonts w:ascii="Arial" w:hAnsi="Arial" w:cs="Arial"/>
          <w:b/>
          <w:noProof/>
          <w:sz w:val="28"/>
          <w:szCs w:val="28"/>
          <w:lang w:eastAsia="en-PH"/>
        </w:rPr>
        <w:t>ATTRACTIVE CLASSROOM ORGANIZATION AND CREATING COMMUNITY TEACHING OF TEACHERS IN PUBLIC ELEMENTARY SCHOOLS</w:t>
      </w:r>
    </w:p>
    <w:p w14:paraId="6572AFCA" w14:textId="77777777" w:rsidR="005D3FA5" w:rsidRPr="002309B8" w:rsidRDefault="005D3FA5" w:rsidP="002E7F0F">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E7A9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 xml:space="preserve">ABSTRACT </w:t>
      </w:r>
    </w:p>
    <w:p w14:paraId="3D835972" w14:textId="77777777" w:rsidR="00717F2E" w:rsidRPr="007E5C64"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E5C64" w14:paraId="4274D69E" w14:textId="77777777" w:rsidTr="008825C9">
        <w:trPr>
          <w:trHeight w:val="3167"/>
        </w:trPr>
        <w:tc>
          <w:tcPr>
            <w:tcW w:w="9576" w:type="dxa"/>
            <w:shd w:val="clear" w:color="auto" w:fill="F2F2F2"/>
          </w:tcPr>
          <w:p w14:paraId="10E1D353" w14:textId="4D1DE036" w:rsidR="00717F2E" w:rsidRPr="007E5C64" w:rsidRDefault="009C0A64" w:rsidP="00896129">
            <w:pPr>
              <w:jc w:val="both"/>
              <w:rPr>
                <w:rFonts w:ascii="Arial" w:hAnsi="Arial" w:cs="Arial"/>
                <w:iCs/>
                <w:sz w:val="20"/>
                <w:szCs w:val="20"/>
              </w:rPr>
            </w:pPr>
            <w:r w:rsidRPr="009C0A64">
              <w:rPr>
                <w:rFonts w:ascii="Arial" w:hAnsi="Arial" w:cs="Arial"/>
                <w:iCs/>
                <w:sz w:val="20"/>
                <w:szCs w:val="20"/>
              </w:rPr>
              <w:t xml:space="preserve">This study aimed to determine the significant relationship between attractive classroom organization and creating community teaching among public elementary school teachers in </w:t>
            </w:r>
            <w:proofErr w:type="spellStart"/>
            <w:r w:rsidRPr="009C0A64">
              <w:rPr>
                <w:rFonts w:ascii="Arial" w:hAnsi="Arial" w:cs="Arial"/>
                <w:iCs/>
                <w:sz w:val="20"/>
                <w:szCs w:val="20"/>
              </w:rPr>
              <w:t>Talomo</w:t>
            </w:r>
            <w:proofErr w:type="spellEnd"/>
            <w:r w:rsidRPr="009C0A64">
              <w:rPr>
                <w:rFonts w:ascii="Arial" w:hAnsi="Arial" w:cs="Arial"/>
                <w:iCs/>
                <w:sz w:val="20"/>
                <w:szCs w:val="20"/>
              </w:rPr>
              <w:t xml:space="preserve"> West District, Division of Davao City. A descriptive-correlational research design was employed, with a sample of 138 public elementary school teachers selected through universal sampling. Data were gathered through standardized questionnaires administered in the school setting. The data were analyzed using mean, Pearson product-moment correlation, and multiple linear regression analyses. The findings indicated that attractive classroom organization—specifically in the domains of concepts, sensitivity, needs, and risk-taking—was oftentimes manifested, while creating community teaching—in terms of supportive, instructional, preventive, and responsive dimensions—was sometimes demonstrated by the teachers. Correlation analysis revealed a significant positive relationship between attractive classroom organization and creating community teaching. Furthermore, the various domains of attractive classroom organization significantly influenced the creating community teaching of teachers. It is recommended that schools may implement capacity-building initiatives such as training programs and conferences organized by the Department of Education to enhance classroom organization and foster community-oriented teaching. These efforts will support teacher competence, reinforce best educational practices, and promote improved learning environments for students.</w:t>
            </w:r>
          </w:p>
        </w:tc>
      </w:tr>
    </w:tbl>
    <w:p w14:paraId="175A3F79" w14:textId="77777777" w:rsidR="00717F2E" w:rsidRPr="007E5C64" w:rsidRDefault="00717F2E">
      <w:pPr>
        <w:pStyle w:val="Body"/>
        <w:spacing w:after="0"/>
        <w:rPr>
          <w:rFonts w:ascii="Arial" w:hAnsi="Arial" w:cs="Arial"/>
          <w:i/>
        </w:rPr>
      </w:pPr>
    </w:p>
    <w:p w14:paraId="63DA1D4D" w14:textId="4872A98A" w:rsidR="00DC2754" w:rsidRPr="007E5C64" w:rsidRDefault="00180859" w:rsidP="00BB0E63">
      <w:pPr>
        <w:jc w:val="both"/>
        <w:rPr>
          <w:rFonts w:ascii="Arial" w:hAnsi="Arial" w:cs="Arial"/>
          <w:iCs/>
          <w:sz w:val="20"/>
          <w:szCs w:val="20"/>
        </w:rPr>
      </w:pPr>
      <w:r w:rsidRPr="007E5C64">
        <w:rPr>
          <w:rFonts w:ascii="Arial" w:hAnsi="Arial" w:cs="Arial"/>
          <w:i/>
          <w:iCs/>
          <w:sz w:val="20"/>
          <w:szCs w:val="20"/>
        </w:rPr>
        <w:t>Keywords</w:t>
      </w:r>
      <w:r w:rsidRPr="007E5C64">
        <w:rPr>
          <w:rFonts w:ascii="Arial" w:hAnsi="Arial" w:cs="Arial"/>
          <w:sz w:val="20"/>
          <w:szCs w:val="20"/>
        </w:rPr>
        <w:t xml:space="preserve">: </w:t>
      </w:r>
      <w:r w:rsidR="00377AD0" w:rsidRPr="009C0A64">
        <w:rPr>
          <w:rFonts w:ascii="Arial" w:hAnsi="Arial" w:cs="Arial"/>
          <w:iCs/>
          <w:sz w:val="20"/>
          <w:szCs w:val="20"/>
        </w:rPr>
        <w:t>Attractive Classroom Organization</w:t>
      </w:r>
      <w:r w:rsidR="00377AD0" w:rsidRPr="007E5C64">
        <w:rPr>
          <w:rFonts w:ascii="Arial" w:hAnsi="Arial" w:cs="Arial"/>
          <w:iCs/>
          <w:sz w:val="20"/>
          <w:szCs w:val="20"/>
        </w:rPr>
        <w:t xml:space="preserve">, </w:t>
      </w:r>
      <w:r w:rsidR="00377AD0" w:rsidRPr="00055D31">
        <w:rPr>
          <w:rFonts w:ascii="Arial" w:hAnsi="Arial" w:cs="Arial"/>
          <w:iCs/>
          <w:sz w:val="20"/>
          <w:szCs w:val="20"/>
        </w:rPr>
        <w:t>Creating Community Teaching</w:t>
      </w:r>
      <w:r w:rsidR="00BB0E63" w:rsidRPr="007E5C64">
        <w:rPr>
          <w:rFonts w:ascii="Arial" w:hAnsi="Arial" w:cs="Arial"/>
          <w:iCs/>
          <w:sz w:val="20"/>
          <w:szCs w:val="20"/>
        </w:rPr>
        <w:t>, Public Elementary School Students, Descriptive-Correlational, Education</w:t>
      </w:r>
    </w:p>
    <w:p w14:paraId="63A7B6AA" w14:textId="77777777" w:rsidR="00BB0E63" w:rsidRPr="007E5C64" w:rsidRDefault="00BB0E63" w:rsidP="00BB0E63">
      <w:pPr>
        <w:jc w:val="both"/>
        <w:rPr>
          <w:rFonts w:ascii="Arial" w:hAnsi="Arial" w:cs="Arial"/>
          <w:sz w:val="20"/>
          <w:szCs w:val="20"/>
        </w:rPr>
      </w:pPr>
    </w:p>
    <w:p w14:paraId="0C7D9A8E"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1. INTRODUCTION</w:t>
      </w:r>
    </w:p>
    <w:p w14:paraId="499EF934" w14:textId="77777777" w:rsidR="00717F2E" w:rsidRPr="007E5C64" w:rsidRDefault="00717F2E">
      <w:pPr>
        <w:pStyle w:val="AbstHead"/>
        <w:spacing w:after="0"/>
        <w:jc w:val="both"/>
        <w:rPr>
          <w:rFonts w:ascii="Arial" w:hAnsi="Arial" w:cs="Arial"/>
          <w:sz w:val="20"/>
        </w:rPr>
      </w:pPr>
    </w:p>
    <w:p w14:paraId="06E68D5C" w14:textId="39F303FB" w:rsidR="009770DF" w:rsidRPr="009770DF" w:rsidRDefault="009770DF" w:rsidP="009770DF">
      <w:pPr>
        <w:jc w:val="both"/>
        <w:rPr>
          <w:rFonts w:ascii="Arial" w:hAnsi="Arial"/>
          <w:sz w:val="20"/>
          <w:szCs w:val="20"/>
        </w:rPr>
      </w:pPr>
      <w:r w:rsidRPr="009770DF">
        <w:rPr>
          <w:rFonts w:ascii="Arial" w:hAnsi="Arial"/>
          <w:sz w:val="20"/>
          <w:szCs w:val="20"/>
        </w:rPr>
        <w:t>Creating community teaching has emerged as a critical component of modern education, yet many teachers struggle to implement it effectively in classroom settings</w:t>
      </w:r>
      <w:r w:rsidR="00772172">
        <w:rPr>
          <w:rFonts w:ascii="Arial" w:hAnsi="Arial"/>
          <w:sz w:val="20"/>
          <w:szCs w:val="20"/>
        </w:rPr>
        <w:t xml:space="preserve"> (</w:t>
      </w:r>
      <w:r w:rsidR="00772172" w:rsidRPr="00772172">
        <w:rPr>
          <w:rFonts w:ascii="Arial" w:hAnsi="Arial"/>
          <w:sz w:val="20"/>
          <w:szCs w:val="20"/>
        </w:rPr>
        <w:t>de Carvalho-Filho</w:t>
      </w:r>
      <w:r w:rsidR="00772172">
        <w:rPr>
          <w:rFonts w:ascii="Arial" w:hAnsi="Arial"/>
          <w:sz w:val="20"/>
          <w:szCs w:val="20"/>
        </w:rPr>
        <w:t xml:space="preserve"> et al., 2020)</w:t>
      </w:r>
      <w:r w:rsidRPr="009770DF">
        <w:rPr>
          <w:rFonts w:ascii="Arial" w:hAnsi="Arial"/>
          <w:sz w:val="20"/>
          <w:szCs w:val="20"/>
        </w:rPr>
        <w:t>. This approach emphasizes the development of inclusive, supportive, and collaborative learning environments where students feel valued, respected, and connected to both their peers and their teachers</w:t>
      </w:r>
      <w:r w:rsidR="00772172">
        <w:rPr>
          <w:rFonts w:ascii="Arial" w:hAnsi="Arial"/>
          <w:sz w:val="20"/>
          <w:szCs w:val="20"/>
        </w:rPr>
        <w:t xml:space="preserve"> (</w:t>
      </w:r>
      <w:r w:rsidR="00772172" w:rsidRPr="00772172">
        <w:rPr>
          <w:rFonts w:ascii="Arial" w:hAnsi="Arial"/>
          <w:sz w:val="20"/>
          <w:szCs w:val="20"/>
        </w:rPr>
        <w:t>Finkelstein</w:t>
      </w:r>
      <w:r w:rsidR="00772172">
        <w:rPr>
          <w:rFonts w:ascii="Arial" w:hAnsi="Arial"/>
          <w:sz w:val="20"/>
          <w:szCs w:val="20"/>
        </w:rPr>
        <w:t xml:space="preserve"> et al., 2021)</w:t>
      </w:r>
      <w:r w:rsidRPr="009770DF">
        <w:rPr>
          <w:rFonts w:ascii="Arial" w:hAnsi="Arial"/>
          <w:sz w:val="20"/>
          <w:szCs w:val="20"/>
        </w:rPr>
        <w:t>. However, in many public elementary schools, teaching practices remain largely teacher-centered, with limited student engagement and weak community building</w:t>
      </w:r>
      <w:r w:rsidR="00772172">
        <w:rPr>
          <w:rFonts w:ascii="Arial" w:hAnsi="Arial"/>
          <w:sz w:val="20"/>
          <w:szCs w:val="20"/>
        </w:rPr>
        <w:t xml:space="preserve"> (</w:t>
      </w:r>
      <w:r w:rsidR="00772172" w:rsidRPr="00772172">
        <w:rPr>
          <w:rFonts w:ascii="Arial" w:hAnsi="Arial"/>
          <w:sz w:val="20"/>
          <w:szCs w:val="20"/>
        </w:rPr>
        <w:t>Brodie</w:t>
      </w:r>
      <w:r w:rsidR="00772172">
        <w:rPr>
          <w:rFonts w:ascii="Arial" w:hAnsi="Arial"/>
          <w:sz w:val="20"/>
          <w:szCs w:val="20"/>
        </w:rPr>
        <w:t>, 2021)</w:t>
      </w:r>
      <w:r w:rsidRPr="009770DF">
        <w:rPr>
          <w:rFonts w:ascii="Arial" w:hAnsi="Arial"/>
          <w:sz w:val="20"/>
          <w:szCs w:val="20"/>
        </w:rPr>
        <w:t>. This problematic issue raises concerns about how classroom environments are structured and whether teachers are equipped with the skills and strategies necessary to foster a strong sense of community among their learners.</w:t>
      </w:r>
    </w:p>
    <w:p w14:paraId="55C9AC02" w14:textId="77777777" w:rsidR="009770DF" w:rsidRPr="009770DF" w:rsidRDefault="009770DF" w:rsidP="009770DF">
      <w:pPr>
        <w:jc w:val="both"/>
        <w:rPr>
          <w:rFonts w:ascii="Arial" w:hAnsi="Arial"/>
          <w:sz w:val="20"/>
          <w:szCs w:val="20"/>
        </w:rPr>
      </w:pPr>
    </w:p>
    <w:p w14:paraId="34D89B4C" w14:textId="66F03150" w:rsidR="009770DF" w:rsidRPr="009770DF" w:rsidRDefault="009770DF" w:rsidP="009770DF">
      <w:pPr>
        <w:jc w:val="both"/>
        <w:rPr>
          <w:rFonts w:ascii="Arial" w:hAnsi="Arial"/>
          <w:sz w:val="20"/>
          <w:szCs w:val="20"/>
        </w:rPr>
      </w:pPr>
      <w:r w:rsidRPr="009770DF">
        <w:rPr>
          <w:rFonts w:ascii="Arial" w:hAnsi="Arial"/>
          <w:sz w:val="20"/>
          <w:szCs w:val="20"/>
        </w:rPr>
        <w:t xml:space="preserve">Internationally, the concept of creating community teaching has gained traction in various educational systems. In </w:t>
      </w:r>
      <w:r>
        <w:rPr>
          <w:rFonts w:ascii="Arial" w:hAnsi="Arial"/>
          <w:sz w:val="20"/>
          <w:szCs w:val="20"/>
        </w:rPr>
        <w:t>Mexico</w:t>
      </w:r>
      <w:r w:rsidRPr="009770DF">
        <w:rPr>
          <w:rFonts w:ascii="Arial" w:hAnsi="Arial"/>
          <w:sz w:val="20"/>
          <w:szCs w:val="20"/>
        </w:rPr>
        <w:t>, teachers are trained to build emotionally supportive and inclusive classrooms that promote student well-being and participation</w:t>
      </w:r>
      <w:r w:rsidR="00772172">
        <w:rPr>
          <w:rFonts w:ascii="Arial" w:hAnsi="Arial"/>
          <w:sz w:val="20"/>
          <w:szCs w:val="20"/>
        </w:rPr>
        <w:t xml:space="preserve"> (</w:t>
      </w:r>
      <w:r w:rsidR="00772172" w:rsidRPr="00772172">
        <w:rPr>
          <w:rFonts w:ascii="Arial" w:hAnsi="Arial"/>
          <w:sz w:val="20"/>
          <w:szCs w:val="20"/>
        </w:rPr>
        <w:t>Teeters</w:t>
      </w:r>
      <w:r w:rsidR="00772172">
        <w:rPr>
          <w:rFonts w:ascii="Arial" w:hAnsi="Arial"/>
          <w:sz w:val="20"/>
          <w:szCs w:val="20"/>
        </w:rPr>
        <w:t xml:space="preserve"> et al., 2021)</w:t>
      </w:r>
      <w:r w:rsidRPr="009770DF">
        <w:rPr>
          <w:rFonts w:ascii="Arial" w:hAnsi="Arial"/>
          <w:sz w:val="20"/>
          <w:szCs w:val="20"/>
        </w:rPr>
        <w:t xml:space="preserve">. In Canada, education policies highlight the importance of community engagement and cooperative learning, encouraging teachers to form strong bonds with students and their </w:t>
      </w:r>
      <w:r w:rsidRPr="009770DF">
        <w:rPr>
          <w:rFonts w:ascii="Arial" w:hAnsi="Arial"/>
          <w:sz w:val="20"/>
          <w:szCs w:val="20"/>
        </w:rPr>
        <w:lastRenderedPageBreak/>
        <w:t>families</w:t>
      </w:r>
      <w:r w:rsidR="00772172">
        <w:rPr>
          <w:rFonts w:ascii="Arial" w:hAnsi="Arial"/>
          <w:sz w:val="20"/>
          <w:szCs w:val="20"/>
        </w:rPr>
        <w:t xml:space="preserve"> (</w:t>
      </w:r>
      <w:r w:rsidR="00772172" w:rsidRPr="00772172">
        <w:rPr>
          <w:rFonts w:ascii="Arial" w:hAnsi="Arial"/>
          <w:sz w:val="20"/>
          <w:szCs w:val="20"/>
        </w:rPr>
        <w:t>Evans</w:t>
      </w:r>
      <w:r w:rsidR="00772172">
        <w:rPr>
          <w:rFonts w:ascii="Arial" w:hAnsi="Arial"/>
          <w:sz w:val="20"/>
          <w:szCs w:val="20"/>
        </w:rPr>
        <w:t xml:space="preserve"> et al., 2020)</w:t>
      </w:r>
      <w:r w:rsidRPr="009770DF">
        <w:rPr>
          <w:rFonts w:ascii="Arial" w:hAnsi="Arial"/>
          <w:sz w:val="20"/>
          <w:szCs w:val="20"/>
        </w:rPr>
        <w:t>. Meanwhile, in Australia, schools implement culturally responsive teaching frameworks that strengthen student identity and collaboration</w:t>
      </w:r>
      <w:r w:rsidR="00772172">
        <w:rPr>
          <w:rFonts w:ascii="Arial" w:hAnsi="Arial"/>
          <w:sz w:val="20"/>
          <w:szCs w:val="20"/>
        </w:rPr>
        <w:t xml:space="preserve"> (</w:t>
      </w:r>
      <w:r w:rsidR="00772172" w:rsidRPr="00772172">
        <w:rPr>
          <w:rFonts w:ascii="Arial" w:hAnsi="Arial"/>
          <w:sz w:val="20"/>
          <w:szCs w:val="20"/>
        </w:rPr>
        <w:t>Sisson</w:t>
      </w:r>
      <w:r w:rsidR="00772172">
        <w:rPr>
          <w:rFonts w:ascii="Arial" w:hAnsi="Arial"/>
          <w:sz w:val="20"/>
          <w:szCs w:val="20"/>
        </w:rPr>
        <w:t xml:space="preserve"> et al., 2020)</w:t>
      </w:r>
      <w:r w:rsidRPr="009770DF">
        <w:rPr>
          <w:rFonts w:ascii="Arial" w:hAnsi="Arial"/>
          <w:sz w:val="20"/>
          <w:szCs w:val="20"/>
        </w:rPr>
        <w:t>. These international practices show the global recognition of community-focused teaching as essential to enhancing student achievement and holistic development.</w:t>
      </w:r>
    </w:p>
    <w:p w14:paraId="74CA92E4" w14:textId="77777777" w:rsidR="009770DF" w:rsidRPr="009770DF" w:rsidRDefault="009770DF" w:rsidP="009770DF">
      <w:pPr>
        <w:jc w:val="both"/>
        <w:rPr>
          <w:rFonts w:ascii="Arial" w:hAnsi="Arial"/>
          <w:sz w:val="20"/>
          <w:szCs w:val="20"/>
        </w:rPr>
      </w:pPr>
    </w:p>
    <w:p w14:paraId="1A721E54" w14:textId="0C0A1E57" w:rsidR="009770DF" w:rsidRPr="009770DF" w:rsidRDefault="009770DF" w:rsidP="009770DF">
      <w:pPr>
        <w:jc w:val="both"/>
        <w:rPr>
          <w:rFonts w:ascii="Arial" w:hAnsi="Arial"/>
          <w:sz w:val="20"/>
          <w:szCs w:val="20"/>
        </w:rPr>
      </w:pPr>
      <w:r w:rsidRPr="009770DF">
        <w:rPr>
          <w:rFonts w:ascii="Arial" w:hAnsi="Arial"/>
          <w:sz w:val="20"/>
          <w:szCs w:val="20"/>
        </w:rPr>
        <w:t>In the Philippines, the Department of Education (DepEd) has incorporated values of inclusivity and learner-centered education into its curriculum reforms</w:t>
      </w:r>
      <w:r w:rsidR="00772172">
        <w:rPr>
          <w:rFonts w:ascii="Arial" w:hAnsi="Arial"/>
          <w:sz w:val="20"/>
          <w:szCs w:val="20"/>
        </w:rPr>
        <w:t xml:space="preserve"> (</w:t>
      </w:r>
      <w:proofErr w:type="spellStart"/>
      <w:r w:rsidR="00772172" w:rsidRPr="00772172">
        <w:rPr>
          <w:rFonts w:ascii="Arial" w:hAnsi="Arial"/>
          <w:sz w:val="20"/>
          <w:szCs w:val="20"/>
        </w:rPr>
        <w:t>Bulusan</w:t>
      </w:r>
      <w:proofErr w:type="spellEnd"/>
      <w:r w:rsidR="00772172">
        <w:rPr>
          <w:rFonts w:ascii="Arial" w:hAnsi="Arial"/>
          <w:sz w:val="20"/>
          <w:szCs w:val="20"/>
        </w:rPr>
        <w:t xml:space="preserve"> et al., 2025)</w:t>
      </w:r>
      <w:r w:rsidRPr="009770DF">
        <w:rPr>
          <w:rFonts w:ascii="Arial" w:hAnsi="Arial"/>
          <w:sz w:val="20"/>
          <w:szCs w:val="20"/>
        </w:rPr>
        <w:t>. However, challenges persist in the practical application of community-building strategies in classrooms, especially in public elementary schools</w:t>
      </w:r>
      <w:r w:rsidR="00772172">
        <w:rPr>
          <w:rFonts w:ascii="Arial" w:hAnsi="Arial"/>
          <w:sz w:val="20"/>
          <w:szCs w:val="20"/>
        </w:rPr>
        <w:t xml:space="preserve"> (</w:t>
      </w:r>
      <w:r w:rsidR="00772172" w:rsidRPr="00772172">
        <w:rPr>
          <w:rFonts w:ascii="Arial" w:hAnsi="Arial"/>
          <w:sz w:val="20"/>
          <w:szCs w:val="20"/>
        </w:rPr>
        <w:t>Alarcón</w:t>
      </w:r>
      <w:r w:rsidR="00772172">
        <w:rPr>
          <w:rFonts w:ascii="Arial" w:hAnsi="Arial"/>
          <w:sz w:val="20"/>
          <w:szCs w:val="20"/>
        </w:rPr>
        <w:t xml:space="preserve"> &amp;</w:t>
      </w:r>
      <w:r w:rsidR="00772172" w:rsidRPr="00772172">
        <w:rPr>
          <w:rFonts w:ascii="Arial" w:hAnsi="Arial"/>
          <w:sz w:val="20"/>
          <w:szCs w:val="20"/>
        </w:rPr>
        <w:t xml:space="preserve"> Bettez</w:t>
      </w:r>
      <w:r w:rsidR="00772172">
        <w:rPr>
          <w:rFonts w:ascii="Arial" w:hAnsi="Arial"/>
          <w:sz w:val="20"/>
          <w:szCs w:val="20"/>
        </w:rPr>
        <w:t>, 2021)</w:t>
      </w:r>
      <w:r w:rsidRPr="009770DF">
        <w:rPr>
          <w:rFonts w:ascii="Arial" w:hAnsi="Arial"/>
          <w:sz w:val="20"/>
          <w:szCs w:val="20"/>
        </w:rPr>
        <w:t>. Teachers often face large class sizes, limited resources, and insufficient professional development opportunities that hinder their ability to create meaningful teacher-student relationships and cooperative learning environments</w:t>
      </w:r>
      <w:r w:rsidR="00430496">
        <w:rPr>
          <w:rFonts w:ascii="Arial" w:hAnsi="Arial"/>
          <w:sz w:val="20"/>
          <w:szCs w:val="20"/>
        </w:rPr>
        <w:t xml:space="preserve"> (</w:t>
      </w:r>
      <w:r w:rsidR="00430496" w:rsidRPr="00430496">
        <w:rPr>
          <w:rFonts w:ascii="Arial" w:hAnsi="Arial"/>
          <w:sz w:val="20"/>
          <w:szCs w:val="20"/>
        </w:rPr>
        <w:t>Mitra</w:t>
      </w:r>
      <w:r w:rsidR="00430496">
        <w:rPr>
          <w:rFonts w:ascii="Arial" w:hAnsi="Arial"/>
          <w:sz w:val="20"/>
          <w:szCs w:val="20"/>
        </w:rPr>
        <w:t>, 2025)</w:t>
      </w:r>
      <w:r w:rsidRPr="009770DF">
        <w:rPr>
          <w:rFonts w:ascii="Arial" w:hAnsi="Arial"/>
          <w:sz w:val="20"/>
          <w:szCs w:val="20"/>
        </w:rPr>
        <w:t>. Despite policy support, the implementation of community-oriented teaching remains inconsistent across schools and divisions.</w:t>
      </w:r>
    </w:p>
    <w:p w14:paraId="27024CC4" w14:textId="77777777" w:rsidR="009770DF" w:rsidRPr="009770DF" w:rsidRDefault="009770DF" w:rsidP="009770DF">
      <w:pPr>
        <w:jc w:val="both"/>
        <w:rPr>
          <w:rFonts w:ascii="Arial" w:hAnsi="Arial"/>
          <w:sz w:val="20"/>
          <w:szCs w:val="20"/>
        </w:rPr>
      </w:pPr>
    </w:p>
    <w:p w14:paraId="1E47C349" w14:textId="3A9A45E7" w:rsidR="009770DF" w:rsidRPr="009770DF" w:rsidRDefault="009770DF" w:rsidP="009770DF">
      <w:pPr>
        <w:jc w:val="both"/>
        <w:rPr>
          <w:rFonts w:ascii="Arial" w:hAnsi="Arial"/>
          <w:sz w:val="20"/>
          <w:szCs w:val="20"/>
        </w:rPr>
      </w:pPr>
      <w:r w:rsidRPr="009770DF">
        <w:rPr>
          <w:rFonts w:ascii="Arial" w:hAnsi="Arial"/>
          <w:sz w:val="20"/>
          <w:szCs w:val="20"/>
        </w:rPr>
        <w:t>Classroom organization plays a vital role in shaping the learning environment and can significantly influence the development of community teaching</w:t>
      </w:r>
      <w:r w:rsidR="00430496">
        <w:rPr>
          <w:rFonts w:ascii="Arial" w:hAnsi="Arial"/>
          <w:sz w:val="20"/>
          <w:szCs w:val="20"/>
        </w:rPr>
        <w:t xml:space="preserve"> (</w:t>
      </w:r>
      <w:r w:rsidR="00430496" w:rsidRPr="00430496">
        <w:rPr>
          <w:rFonts w:ascii="Arial" w:hAnsi="Arial"/>
          <w:sz w:val="20"/>
          <w:szCs w:val="20"/>
        </w:rPr>
        <w:t>Khalfaoui</w:t>
      </w:r>
      <w:r w:rsidR="00430496">
        <w:rPr>
          <w:rFonts w:ascii="Arial" w:hAnsi="Arial"/>
          <w:sz w:val="20"/>
          <w:szCs w:val="20"/>
        </w:rPr>
        <w:t xml:space="preserve"> et al., 2021)</w:t>
      </w:r>
      <w:r w:rsidRPr="009770DF">
        <w:rPr>
          <w:rFonts w:ascii="Arial" w:hAnsi="Arial"/>
          <w:sz w:val="20"/>
          <w:szCs w:val="20"/>
        </w:rPr>
        <w:t>. An attractive classroom—defined by order, visual stimulation, flexibility, and responsiveness to student needs—can foster a welcoming and inclusive atmosphere where students are more likely to participate and collaborate</w:t>
      </w:r>
      <w:r w:rsidR="00430496">
        <w:rPr>
          <w:rFonts w:ascii="Arial" w:hAnsi="Arial"/>
          <w:sz w:val="20"/>
          <w:szCs w:val="20"/>
        </w:rPr>
        <w:t xml:space="preserve"> (</w:t>
      </w:r>
      <w:r w:rsidR="00430496" w:rsidRPr="00430496">
        <w:rPr>
          <w:rFonts w:ascii="Arial" w:hAnsi="Arial"/>
          <w:sz w:val="20"/>
          <w:szCs w:val="20"/>
        </w:rPr>
        <w:t>Shan</w:t>
      </w:r>
      <w:r w:rsidR="00430496">
        <w:rPr>
          <w:rFonts w:ascii="Arial" w:hAnsi="Arial"/>
          <w:sz w:val="20"/>
          <w:szCs w:val="20"/>
        </w:rPr>
        <w:t>, 2022)</w:t>
      </w:r>
      <w:r w:rsidRPr="009770DF">
        <w:rPr>
          <w:rFonts w:ascii="Arial" w:hAnsi="Arial"/>
          <w:sz w:val="20"/>
          <w:szCs w:val="20"/>
        </w:rPr>
        <w:t>. When teachers purposefully design their classrooms to support interaction, risk-taking, and emotional safety, they help create the conditions necessary for building strong learning communities</w:t>
      </w:r>
      <w:r w:rsidR="00430496">
        <w:rPr>
          <w:rFonts w:ascii="Arial" w:hAnsi="Arial"/>
          <w:sz w:val="20"/>
          <w:szCs w:val="20"/>
        </w:rPr>
        <w:t xml:space="preserve"> (</w:t>
      </w:r>
      <w:r w:rsidR="00430496" w:rsidRPr="00430496">
        <w:rPr>
          <w:rFonts w:ascii="Arial" w:hAnsi="Arial"/>
          <w:sz w:val="20"/>
          <w:szCs w:val="20"/>
        </w:rPr>
        <w:t>Sosa Díaz</w:t>
      </w:r>
      <w:r w:rsidR="00430496">
        <w:rPr>
          <w:rFonts w:ascii="Arial" w:hAnsi="Arial"/>
          <w:sz w:val="20"/>
          <w:szCs w:val="20"/>
        </w:rPr>
        <w:t xml:space="preserve"> et al., 2021)</w:t>
      </w:r>
      <w:r w:rsidRPr="009770DF">
        <w:rPr>
          <w:rFonts w:ascii="Arial" w:hAnsi="Arial"/>
          <w:sz w:val="20"/>
          <w:szCs w:val="20"/>
        </w:rPr>
        <w:t>. Thus, exploring the relationship between attractive classroom organization and the ability of teachers to engage in community teaching becomes an important area of inquiry.</w:t>
      </w:r>
    </w:p>
    <w:p w14:paraId="421B9752" w14:textId="77777777" w:rsidR="009770DF" w:rsidRPr="009770DF" w:rsidRDefault="009770DF" w:rsidP="009770DF">
      <w:pPr>
        <w:jc w:val="both"/>
        <w:rPr>
          <w:rFonts w:ascii="Arial" w:hAnsi="Arial"/>
          <w:sz w:val="20"/>
          <w:szCs w:val="20"/>
        </w:rPr>
      </w:pPr>
    </w:p>
    <w:p w14:paraId="3788E96D" w14:textId="77777777" w:rsidR="009770DF" w:rsidRPr="009770DF" w:rsidRDefault="009770DF" w:rsidP="009770DF">
      <w:pPr>
        <w:jc w:val="both"/>
        <w:rPr>
          <w:rFonts w:ascii="Arial" w:hAnsi="Arial"/>
          <w:sz w:val="20"/>
          <w:szCs w:val="20"/>
        </w:rPr>
      </w:pPr>
      <w:r w:rsidRPr="009770DF">
        <w:rPr>
          <w:rFonts w:ascii="Arial" w:hAnsi="Arial"/>
          <w:sz w:val="20"/>
          <w:szCs w:val="20"/>
        </w:rPr>
        <w:t>Despite the growing interest in creating community teaching and the acknowledged importance of classroom organization, there remains a scarcity of empirical studies examining the link between the two, particularly in the context of public elementary schools in the Philippines. Most existing research has focused on either physical classroom design or pedagogical strategies in isolation, without integrating their potential interaction. This research gap limits the understanding of how environmental factors directly support or hinder the community-building practices of teachers, thus warranting further investigation.</w:t>
      </w:r>
    </w:p>
    <w:p w14:paraId="1A6FBCC3" w14:textId="77777777" w:rsidR="009770DF" w:rsidRPr="009770DF" w:rsidRDefault="009770DF" w:rsidP="009770DF">
      <w:pPr>
        <w:jc w:val="both"/>
        <w:rPr>
          <w:rFonts w:ascii="Arial" w:hAnsi="Arial"/>
          <w:sz w:val="20"/>
          <w:szCs w:val="20"/>
        </w:rPr>
      </w:pPr>
    </w:p>
    <w:p w14:paraId="4F724057" w14:textId="4BA9473A" w:rsidR="00BB0E63" w:rsidRPr="007E5C64" w:rsidRDefault="009770DF" w:rsidP="009770DF">
      <w:pPr>
        <w:jc w:val="both"/>
        <w:rPr>
          <w:rFonts w:ascii="Arial" w:hAnsi="Arial"/>
          <w:sz w:val="20"/>
          <w:szCs w:val="20"/>
        </w:rPr>
      </w:pPr>
      <w:r w:rsidRPr="009770DF">
        <w:rPr>
          <w:rFonts w:ascii="Arial" w:hAnsi="Arial"/>
          <w:sz w:val="20"/>
          <w:szCs w:val="20"/>
        </w:rPr>
        <w:t xml:space="preserve">This study aimed to determine the significant relationship between attractive classroom organization and creating community teaching among public elementary school teachers in </w:t>
      </w:r>
      <w:proofErr w:type="spellStart"/>
      <w:r w:rsidRPr="009770DF">
        <w:rPr>
          <w:rFonts w:ascii="Arial" w:hAnsi="Arial"/>
          <w:sz w:val="20"/>
          <w:szCs w:val="20"/>
        </w:rPr>
        <w:t>Talomo</w:t>
      </w:r>
      <w:proofErr w:type="spellEnd"/>
      <w:r w:rsidRPr="009770DF">
        <w:rPr>
          <w:rFonts w:ascii="Arial" w:hAnsi="Arial"/>
          <w:sz w:val="20"/>
          <w:szCs w:val="20"/>
        </w:rPr>
        <w:t xml:space="preserve"> West District, Division of Davao City.</w:t>
      </w:r>
    </w:p>
    <w:p w14:paraId="138E8A69" w14:textId="7C14E77B" w:rsidR="00CA30FF" w:rsidRPr="007E5C64" w:rsidRDefault="00CA30FF" w:rsidP="00CA30FF">
      <w:pPr>
        <w:jc w:val="both"/>
        <w:rPr>
          <w:noProof/>
          <w:sz w:val="20"/>
          <w:szCs w:val="20"/>
        </w:rPr>
      </w:pPr>
    </w:p>
    <w:p w14:paraId="5DF8BEF5" w14:textId="54AB1415" w:rsidR="00CA30FF" w:rsidRPr="007E5C64" w:rsidRDefault="00CA30FF" w:rsidP="00CA30FF">
      <w:pPr>
        <w:jc w:val="both"/>
        <w:rPr>
          <w:noProof/>
          <w:sz w:val="20"/>
          <w:szCs w:val="20"/>
        </w:rPr>
      </w:pPr>
    </w:p>
    <w:p w14:paraId="7AEEE99D" w14:textId="544C5C05" w:rsidR="0074551A" w:rsidRPr="007E5C64" w:rsidRDefault="0074551A" w:rsidP="00D8415F">
      <w:pPr>
        <w:jc w:val="both"/>
        <w:rPr>
          <w:rFonts w:ascii="Arial" w:eastAsia="MS Mincho" w:hAnsi="Arial" w:cs="Arial"/>
          <w:b/>
          <w:bCs/>
          <w:sz w:val="20"/>
          <w:szCs w:val="20"/>
          <w:lang w:eastAsia="ja-JP"/>
        </w:rPr>
      </w:pPr>
    </w:p>
    <w:p w14:paraId="24AB303C" w14:textId="77777777" w:rsidR="0074551A" w:rsidRPr="007E5C64" w:rsidRDefault="0074551A" w:rsidP="00323BB4">
      <w:pPr>
        <w:jc w:val="center"/>
        <w:rPr>
          <w:rFonts w:ascii="Arial" w:eastAsia="MS Mincho" w:hAnsi="Arial" w:cs="Arial"/>
          <w:b/>
          <w:bCs/>
          <w:sz w:val="20"/>
          <w:szCs w:val="20"/>
          <w:lang w:eastAsia="ja-JP"/>
        </w:rPr>
      </w:pPr>
    </w:p>
    <w:p w14:paraId="779EF7AF" w14:textId="77777777" w:rsidR="0056218A" w:rsidRPr="007E5C64" w:rsidRDefault="0056218A" w:rsidP="00323BB4">
      <w:pPr>
        <w:jc w:val="center"/>
        <w:rPr>
          <w:rFonts w:ascii="Arial" w:eastAsia="MS Mincho" w:hAnsi="Arial" w:cs="Arial"/>
          <w:b/>
          <w:bCs/>
          <w:sz w:val="20"/>
          <w:szCs w:val="20"/>
          <w:lang w:eastAsia="ja-JP"/>
        </w:rPr>
      </w:pPr>
    </w:p>
    <w:p w14:paraId="3017206B" w14:textId="77777777" w:rsidR="003227FA" w:rsidRPr="007E5C64" w:rsidRDefault="003227FA" w:rsidP="00323BB4">
      <w:pPr>
        <w:jc w:val="center"/>
        <w:rPr>
          <w:rFonts w:ascii="Arial" w:eastAsia="MS Mincho" w:hAnsi="Arial" w:cs="Arial"/>
          <w:b/>
          <w:bCs/>
          <w:sz w:val="20"/>
          <w:szCs w:val="20"/>
          <w:lang w:eastAsia="ja-JP"/>
        </w:rPr>
      </w:pPr>
    </w:p>
    <w:p w14:paraId="4E2B6B39" w14:textId="77777777" w:rsidR="003227FA" w:rsidRPr="007E5C64" w:rsidRDefault="003227FA" w:rsidP="00323BB4">
      <w:pPr>
        <w:jc w:val="center"/>
        <w:rPr>
          <w:rFonts w:ascii="Arial" w:eastAsia="MS Mincho" w:hAnsi="Arial" w:cs="Arial"/>
          <w:b/>
          <w:bCs/>
          <w:sz w:val="20"/>
          <w:szCs w:val="20"/>
          <w:lang w:eastAsia="ja-JP"/>
        </w:rPr>
      </w:pPr>
    </w:p>
    <w:p w14:paraId="14CB7266" w14:textId="77777777" w:rsidR="003227FA" w:rsidRPr="007E5C64" w:rsidRDefault="003227FA" w:rsidP="00323BB4">
      <w:pPr>
        <w:jc w:val="center"/>
        <w:rPr>
          <w:rFonts w:ascii="Arial" w:eastAsia="MS Mincho" w:hAnsi="Arial" w:cs="Arial"/>
          <w:b/>
          <w:bCs/>
          <w:sz w:val="20"/>
          <w:szCs w:val="20"/>
          <w:lang w:eastAsia="ja-JP"/>
        </w:rPr>
      </w:pPr>
    </w:p>
    <w:p w14:paraId="2816209E" w14:textId="204BB83A" w:rsidR="003227FA" w:rsidRPr="007E5C64" w:rsidRDefault="00100CCE" w:rsidP="003340B8">
      <w:pPr>
        <w:jc w:val="center"/>
        <w:rPr>
          <w:rFonts w:ascii="Arial" w:eastAsia="MS Mincho" w:hAnsi="Arial" w:cs="Arial"/>
          <w:b/>
          <w:bCs/>
          <w:sz w:val="20"/>
          <w:szCs w:val="20"/>
          <w:lang w:eastAsia="ja-JP"/>
        </w:rPr>
      </w:pPr>
      <w:r w:rsidRPr="00100CCE">
        <w:rPr>
          <w:rFonts w:ascii="Arial" w:eastAsia="MS Mincho" w:hAnsi="Arial" w:cs="Arial"/>
          <w:b/>
          <w:bCs/>
          <w:noProof/>
          <w:sz w:val="20"/>
          <w:szCs w:val="20"/>
          <w:lang w:val="en-US"/>
        </w:rPr>
        <w:lastRenderedPageBreak/>
        <w:drawing>
          <wp:inline distT="0" distB="0" distL="0" distR="0" wp14:anchorId="13E741CB" wp14:editId="6080ED55">
            <wp:extent cx="3448394" cy="3014404"/>
            <wp:effectExtent l="0" t="0" r="0" b="0"/>
            <wp:docPr id="108585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54000" name=""/>
                    <pic:cNvPicPr/>
                  </pic:nvPicPr>
                  <pic:blipFill>
                    <a:blip r:embed="rId14"/>
                    <a:stretch>
                      <a:fillRect/>
                    </a:stretch>
                  </pic:blipFill>
                  <pic:spPr>
                    <a:xfrm>
                      <a:off x="0" y="0"/>
                      <a:ext cx="3469044" cy="3032455"/>
                    </a:xfrm>
                    <a:prstGeom prst="rect">
                      <a:avLst/>
                    </a:prstGeom>
                  </pic:spPr>
                </pic:pic>
              </a:graphicData>
            </a:graphic>
          </wp:inline>
        </w:drawing>
      </w:r>
    </w:p>
    <w:p w14:paraId="37236F59" w14:textId="77777777" w:rsidR="003227FA" w:rsidRPr="007E5C64" w:rsidRDefault="003227FA" w:rsidP="00323BB4">
      <w:pPr>
        <w:jc w:val="center"/>
        <w:rPr>
          <w:rFonts w:ascii="Arial" w:eastAsia="MS Mincho" w:hAnsi="Arial" w:cs="Arial"/>
          <w:b/>
          <w:bCs/>
          <w:sz w:val="20"/>
          <w:szCs w:val="20"/>
          <w:lang w:eastAsia="ja-JP"/>
        </w:rPr>
      </w:pPr>
    </w:p>
    <w:p w14:paraId="70BF97C8" w14:textId="5B81A52E" w:rsidR="00717F2E" w:rsidRPr="007E5C64" w:rsidRDefault="00180859" w:rsidP="00323BB4">
      <w:pPr>
        <w:jc w:val="center"/>
        <w:rPr>
          <w:rFonts w:ascii="Arial" w:eastAsia="MS Mincho" w:hAnsi="Arial" w:cs="Arial"/>
          <w:sz w:val="20"/>
          <w:szCs w:val="20"/>
          <w:lang w:eastAsia="ja-JP"/>
        </w:rPr>
      </w:pPr>
      <w:r w:rsidRPr="007E5C64">
        <w:rPr>
          <w:rFonts w:ascii="Arial" w:eastAsia="MS Mincho" w:hAnsi="Arial" w:cs="Arial"/>
          <w:b/>
          <w:bCs/>
          <w:sz w:val="20"/>
          <w:szCs w:val="20"/>
          <w:lang w:eastAsia="ja-JP"/>
        </w:rPr>
        <w:t xml:space="preserve">Figure 1:  </w:t>
      </w:r>
      <w:r w:rsidRPr="007E5C64">
        <w:rPr>
          <w:rFonts w:ascii="Arial" w:eastAsia="MS Mincho" w:hAnsi="Arial" w:cs="Arial"/>
          <w:sz w:val="20"/>
          <w:szCs w:val="20"/>
          <w:lang w:eastAsia="ja-JP"/>
        </w:rPr>
        <w:t>Conceptual Framework of the Study</w:t>
      </w:r>
    </w:p>
    <w:p w14:paraId="0ED0213D" w14:textId="60A60C46" w:rsidR="002F5C4B" w:rsidRPr="007E5C64" w:rsidRDefault="002F5C4B" w:rsidP="002F5C4B">
      <w:pPr>
        <w:rPr>
          <w:rFonts w:ascii="Arial" w:eastAsia="MS Mincho" w:hAnsi="Arial" w:cs="Arial"/>
          <w:sz w:val="20"/>
          <w:szCs w:val="20"/>
          <w:lang w:eastAsia="ja-JP"/>
        </w:rPr>
      </w:pPr>
    </w:p>
    <w:p w14:paraId="305CBFC1" w14:textId="23EF8DCF" w:rsidR="000D23E6" w:rsidRPr="007E5C64" w:rsidRDefault="002F5C4B" w:rsidP="000D23E6">
      <w:pPr>
        <w:rPr>
          <w:rFonts w:ascii="Arial" w:eastAsia="MS Mincho" w:hAnsi="Arial" w:cs="Arial"/>
          <w:b/>
          <w:sz w:val="20"/>
          <w:szCs w:val="20"/>
          <w:lang w:eastAsia="ja-JP"/>
        </w:rPr>
      </w:pPr>
      <w:r w:rsidRPr="007E5C64">
        <w:rPr>
          <w:rFonts w:ascii="Arial" w:eastAsia="MS Mincho" w:hAnsi="Arial" w:cs="Arial"/>
          <w:b/>
          <w:sz w:val="20"/>
          <w:szCs w:val="20"/>
          <w:lang w:eastAsia="ja-JP"/>
        </w:rPr>
        <w:t>1.1 Statement of the Problem</w:t>
      </w:r>
    </w:p>
    <w:p w14:paraId="71350A61" w14:textId="77777777" w:rsidR="000D23E6" w:rsidRPr="007E5C64" w:rsidRDefault="000D23E6" w:rsidP="000D23E6">
      <w:pPr>
        <w:rPr>
          <w:rFonts w:ascii="Arial" w:eastAsia="MS Mincho" w:hAnsi="Arial" w:cs="Arial"/>
          <w:sz w:val="20"/>
          <w:szCs w:val="20"/>
          <w:lang w:eastAsia="ja-JP"/>
        </w:rPr>
      </w:pPr>
    </w:p>
    <w:p w14:paraId="4015D9FD" w14:textId="77777777"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 xml:space="preserve">The purpose of the study was to determine the level of attractive classroom organization and create community teaching of public elementary school teachers in </w:t>
      </w:r>
      <w:proofErr w:type="spellStart"/>
      <w:r w:rsidRPr="009770DF">
        <w:rPr>
          <w:rFonts w:ascii="Arial" w:eastAsia="MS Mincho" w:hAnsi="Arial" w:cs="Arial"/>
          <w:sz w:val="20"/>
          <w:szCs w:val="20"/>
          <w:lang w:eastAsia="ja-JP"/>
        </w:rPr>
        <w:t>Talomo</w:t>
      </w:r>
      <w:proofErr w:type="spellEnd"/>
      <w:r w:rsidRPr="009770DF">
        <w:rPr>
          <w:rFonts w:ascii="Arial" w:eastAsia="MS Mincho" w:hAnsi="Arial" w:cs="Arial"/>
          <w:sz w:val="20"/>
          <w:szCs w:val="20"/>
          <w:lang w:eastAsia="ja-JP"/>
        </w:rPr>
        <w:t xml:space="preserve"> West District, Division of Davao City. Specifically, this study sought answers to the following questions:</w:t>
      </w:r>
    </w:p>
    <w:p w14:paraId="56880EC8" w14:textId="77777777" w:rsidR="009770DF" w:rsidRDefault="009770DF" w:rsidP="009770DF">
      <w:pPr>
        <w:jc w:val="both"/>
        <w:rPr>
          <w:rFonts w:ascii="Arial" w:eastAsia="MS Mincho" w:hAnsi="Arial" w:cs="Arial"/>
          <w:sz w:val="20"/>
          <w:szCs w:val="20"/>
          <w:lang w:eastAsia="ja-JP"/>
        </w:rPr>
      </w:pPr>
    </w:p>
    <w:p w14:paraId="21588F89" w14:textId="29950FB3"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attractive classroom organization of public elementary school teachers in terms of:</w:t>
      </w:r>
    </w:p>
    <w:p w14:paraId="5D873F54" w14:textId="1111172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1.1 concepts,</w:t>
      </w:r>
    </w:p>
    <w:p w14:paraId="28955B13" w14:textId="02B0E27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1.2 sensitivity,</w:t>
      </w:r>
    </w:p>
    <w:p w14:paraId="04D3AE6A" w14:textId="461276A9"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1.3 needs, and</w:t>
      </w:r>
    </w:p>
    <w:p w14:paraId="47D6C910" w14:textId="6535CDF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1.4</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risk taking?</w:t>
      </w:r>
    </w:p>
    <w:p w14:paraId="326F38C6" w14:textId="77777777" w:rsidR="009770DF" w:rsidRDefault="009770DF" w:rsidP="009770DF">
      <w:pPr>
        <w:jc w:val="both"/>
        <w:rPr>
          <w:rFonts w:ascii="Arial" w:eastAsia="MS Mincho" w:hAnsi="Arial" w:cs="Arial"/>
          <w:sz w:val="20"/>
          <w:szCs w:val="20"/>
          <w:lang w:eastAsia="ja-JP"/>
        </w:rPr>
      </w:pPr>
    </w:p>
    <w:p w14:paraId="15EC3944" w14:textId="2542C7D9" w:rsidR="009770DF" w:rsidRPr="009770DF" w:rsidRDefault="009770DF" w:rsidP="009770DF">
      <w:pPr>
        <w:jc w:val="both"/>
        <w:rPr>
          <w:rFonts w:ascii="Arial" w:eastAsia="MS Mincho" w:hAnsi="Arial" w:cs="Arial"/>
          <w:sz w:val="20"/>
          <w:szCs w:val="20"/>
          <w:lang w:eastAsia="ja-JP"/>
        </w:rPr>
      </w:pPr>
      <w:r>
        <w:rPr>
          <w:rFonts w:ascii="Arial" w:eastAsia="MS Mincho" w:hAnsi="Arial" w:cs="Arial"/>
          <w:sz w:val="20"/>
          <w:szCs w:val="20"/>
          <w:lang w:eastAsia="ja-JP"/>
        </w:rPr>
        <w:t>2</w:t>
      </w:r>
      <w:r w:rsidRPr="009770DF">
        <w:rPr>
          <w:rFonts w:ascii="Arial" w:eastAsia="MS Mincho" w:hAnsi="Arial" w:cs="Arial"/>
          <w:sz w:val="20"/>
          <w:szCs w:val="20"/>
          <w:lang w:eastAsia="ja-JP"/>
        </w:rPr>
        <w:t>.</w:t>
      </w:r>
      <w:r>
        <w:rPr>
          <w:rFonts w:ascii="Arial" w:eastAsia="MS Mincho" w:hAnsi="Arial" w:cs="Arial"/>
          <w:sz w:val="20"/>
          <w:szCs w:val="20"/>
          <w:lang w:eastAsia="ja-JP"/>
        </w:rPr>
        <w:t xml:space="preserve"> </w:t>
      </w:r>
      <w:r w:rsidRPr="009770DF">
        <w:rPr>
          <w:rFonts w:ascii="Arial" w:eastAsia="MS Mincho" w:hAnsi="Arial" w:cs="Arial"/>
          <w:sz w:val="20"/>
          <w:szCs w:val="20"/>
          <w:lang w:eastAsia="ja-JP"/>
        </w:rPr>
        <w:t>What is the level of creating community teaching of public elementary school teachers in terms of:</w:t>
      </w:r>
    </w:p>
    <w:p w14:paraId="225DA000" w14:textId="00116442"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2.1 supportive,</w:t>
      </w:r>
    </w:p>
    <w:p w14:paraId="7CCFDF9C" w14:textId="705D3E90"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2.2 instruction,</w:t>
      </w:r>
    </w:p>
    <w:p w14:paraId="4DC26C0A" w14:textId="39BF455C"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2.3 prevention, and</w:t>
      </w:r>
    </w:p>
    <w:p w14:paraId="36B7ABF4" w14:textId="58F9B58E"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2.4 responsive?</w:t>
      </w:r>
    </w:p>
    <w:p w14:paraId="55AA7567" w14:textId="77777777" w:rsidR="009770DF" w:rsidRDefault="009770DF" w:rsidP="009770DF">
      <w:pPr>
        <w:jc w:val="both"/>
        <w:rPr>
          <w:rFonts w:ascii="Arial" w:eastAsia="MS Mincho" w:hAnsi="Arial" w:cs="Arial"/>
          <w:sz w:val="20"/>
          <w:szCs w:val="20"/>
          <w:lang w:eastAsia="ja-JP"/>
        </w:rPr>
      </w:pPr>
    </w:p>
    <w:p w14:paraId="3F4C6DD5" w14:textId="633A7BC1" w:rsidR="009770DF" w:rsidRPr="009770DF"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3. Is there a significant relationship between attractive classroom organization and creating community teaching of public elementary school teachers?</w:t>
      </w:r>
    </w:p>
    <w:p w14:paraId="33983082" w14:textId="77777777" w:rsidR="009770DF" w:rsidRDefault="009770DF" w:rsidP="009770DF">
      <w:pPr>
        <w:jc w:val="both"/>
        <w:rPr>
          <w:rFonts w:ascii="Arial" w:eastAsia="MS Mincho" w:hAnsi="Arial" w:cs="Arial"/>
          <w:sz w:val="20"/>
          <w:szCs w:val="20"/>
          <w:lang w:eastAsia="ja-JP"/>
        </w:rPr>
      </w:pPr>
    </w:p>
    <w:p w14:paraId="326BDC65" w14:textId="62C5F20E" w:rsidR="003340B8" w:rsidRPr="007E5C64" w:rsidRDefault="009770DF" w:rsidP="009770DF">
      <w:pPr>
        <w:jc w:val="both"/>
        <w:rPr>
          <w:rFonts w:ascii="Arial" w:eastAsia="MS Mincho" w:hAnsi="Arial" w:cs="Arial"/>
          <w:sz w:val="20"/>
          <w:szCs w:val="20"/>
          <w:lang w:eastAsia="ja-JP"/>
        </w:rPr>
      </w:pPr>
      <w:r w:rsidRPr="009770DF">
        <w:rPr>
          <w:rFonts w:ascii="Arial" w:eastAsia="MS Mincho" w:hAnsi="Arial" w:cs="Arial"/>
          <w:sz w:val="20"/>
          <w:szCs w:val="20"/>
          <w:lang w:eastAsia="ja-JP"/>
        </w:rPr>
        <w:t>4. Which domains of attractive classroom organization significantly influence creating community teaching of public elementary school teachers</w:t>
      </w:r>
      <w:r>
        <w:rPr>
          <w:rFonts w:ascii="Arial" w:eastAsia="MS Mincho" w:hAnsi="Arial" w:cs="Arial"/>
          <w:sz w:val="20"/>
          <w:szCs w:val="20"/>
          <w:lang w:eastAsia="ja-JP"/>
        </w:rPr>
        <w:t>?</w:t>
      </w:r>
    </w:p>
    <w:p w14:paraId="5A8C5127" w14:textId="77777777" w:rsidR="000D23E6" w:rsidRPr="007E5C64" w:rsidRDefault="000D23E6" w:rsidP="000D23E6">
      <w:pPr>
        <w:rPr>
          <w:rFonts w:ascii="Arial" w:eastAsia="MS Mincho" w:hAnsi="Arial" w:cs="Arial"/>
          <w:sz w:val="20"/>
          <w:szCs w:val="20"/>
          <w:lang w:eastAsia="ja-JP"/>
        </w:rPr>
      </w:pPr>
    </w:p>
    <w:p w14:paraId="4110F409" w14:textId="2A19F9F9" w:rsidR="002F5C4B" w:rsidRPr="007E5C64" w:rsidRDefault="002F5C4B" w:rsidP="002F5C4B">
      <w:pPr>
        <w:rPr>
          <w:rFonts w:ascii="Arial" w:eastAsia="MS Mincho" w:hAnsi="Arial" w:cs="Arial"/>
          <w:b/>
          <w:sz w:val="20"/>
          <w:szCs w:val="20"/>
          <w:lang w:eastAsia="ja-JP"/>
        </w:rPr>
      </w:pPr>
      <w:r w:rsidRPr="007E5C64">
        <w:rPr>
          <w:rFonts w:ascii="Arial" w:eastAsia="MS Mincho" w:hAnsi="Arial" w:cs="Arial"/>
          <w:b/>
          <w:sz w:val="20"/>
          <w:szCs w:val="20"/>
          <w:lang w:eastAsia="ja-JP"/>
        </w:rPr>
        <w:t>1.2 Hypotheses</w:t>
      </w:r>
    </w:p>
    <w:p w14:paraId="426EE532" w14:textId="77777777" w:rsidR="002F5C4B" w:rsidRPr="007E5C64" w:rsidRDefault="002F5C4B" w:rsidP="002F5C4B">
      <w:pPr>
        <w:rPr>
          <w:rFonts w:ascii="Arial" w:eastAsia="MS Mincho" w:hAnsi="Arial" w:cs="Arial"/>
          <w:sz w:val="20"/>
          <w:szCs w:val="20"/>
          <w:lang w:eastAsia="ja-JP"/>
        </w:rPr>
      </w:pPr>
    </w:p>
    <w:p w14:paraId="335B8688" w14:textId="573A3A88" w:rsidR="002F5C4B" w:rsidRPr="007E5C64" w:rsidRDefault="002F5C4B" w:rsidP="002F5C4B">
      <w:pPr>
        <w:rPr>
          <w:rFonts w:ascii="Arial" w:eastAsia="MS Mincho" w:hAnsi="Arial" w:cs="Arial"/>
          <w:sz w:val="20"/>
          <w:szCs w:val="20"/>
          <w:lang w:eastAsia="ja-JP"/>
        </w:rPr>
      </w:pPr>
      <w:r w:rsidRPr="007E5C64">
        <w:rPr>
          <w:rFonts w:ascii="Arial" w:eastAsia="MS Mincho" w:hAnsi="Arial" w:cs="Arial"/>
          <w:sz w:val="20"/>
          <w:szCs w:val="20"/>
          <w:lang w:eastAsia="ja-JP"/>
        </w:rPr>
        <w:t>The null hypotheses were tested at 0.05 level of significance:</w:t>
      </w:r>
    </w:p>
    <w:p w14:paraId="4DCE443D" w14:textId="77777777" w:rsidR="002F5C4B" w:rsidRPr="007E5C64" w:rsidRDefault="002F5C4B" w:rsidP="002F5C4B">
      <w:pPr>
        <w:rPr>
          <w:rFonts w:ascii="Arial" w:eastAsia="MS Mincho" w:hAnsi="Arial" w:cs="Arial"/>
          <w:sz w:val="20"/>
          <w:szCs w:val="20"/>
          <w:lang w:eastAsia="ja-JP"/>
        </w:rPr>
      </w:pPr>
    </w:p>
    <w:p w14:paraId="38014438" w14:textId="77777777" w:rsidR="005B1BAF" w:rsidRPr="005B1BAF"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lastRenderedPageBreak/>
        <w:t>Ho1. There is no significant relationship between attractive classroom organization and creating community teaching of public elementary school teachers.</w:t>
      </w:r>
    </w:p>
    <w:p w14:paraId="2761BBBA" w14:textId="23A2E1C7" w:rsidR="000D23E6" w:rsidRPr="007E5C64" w:rsidRDefault="005B1BAF" w:rsidP="005B1BAF">
      <w:pPr>
        <w:jc w:val="both"/>
        <w:rPr>
          <w:rFonts w:ascii="Arial" w:eastAsia="MS Mincho" w:hAnsi="Arial" w:cs="Arial"/>
          <w:sz w:val="20"/>
          <w:szCs w:val="20"/>
          <w:lang w:eastAsia="ja-JP"/>
        </w:rPr>
      </w:pPr>
      <w:r w:rsidRPr="005B1BAF">
        <w:rPr>
          <w:rFonts w:ascii="Arial" w:eastAsia="MS Mincho" w:hAnsi="Arial" w:cs="Arial"/>
          <w:sz w:val="20"/>
          <w:szCs w:val="20"/>
          <w:lang w:eastAsia="ja-JP"/>
        </w:rPr>
        <w:t>Ho2. None of the domains of attractive classroom organization significantly influence creating community teaching of public elementary school teachers.</w:t>
      </w:r>
    </w:p>
    <w:p w14:paraId="551314C1" w14:textId="77777777" w:rsidR="00907C80" w:rsidRPr="007E5C64" w:rsidRDefault="00907C80" w:rsidP="00907C80">
      <w:pPr>
        <w:rPr>
          <w:rFonts w:ascii="Arial" w:hAnsi="Arial" w:cs="Arial"/>
          <w:sz w:val="20"/>
          <w:szCs w:val="20"/>
        </w:rPr>
      </w:pPr>
    </w:p>
    <w:p w14:paraId="012EB897" w14:textId="367C4A5B" w:rsidR="00717F2E" w:rsidRPr="007E5C64" w:rsidRDefault="00180859">
      <w:pPr>
        <w:pStyle w:val="AbstHead"/>
        <w:spacing w:after="0"/>
        <w:jc w:val="both"/>
        <w:rPr>
          <w:rFonts w:ascii="Arial" w:hAnsi="Arial" w:cs="Arial"/>
          <w:sz w:val="20"/>
        </w:rPr>
      </w:pPr>
      <w:r w:rsidRPr="007E5C64">
        <w:rPr>
          <w:rFonts w:ascii="Arial" w:hAnsi="Arial" w:cs="Arial"/>
          <w:sz w:val="20"/>
        </w:rPr>
        <w:t>2. methodology</w:t>
      </w:r>
    </w:p>
    <w:p w14:paraId="786C1FBD" w14:textId="77777777" w:rsidR="00717F2E" w:rsidRPr="007E5C64" w:rsidRDefault="00717F2E">
      <w:pPr>
        <w:pStyle w:val="Body"/>
        <w:spacing w:after="0"/>
        <w:rPr>
          <w:rFonts w:ascii="Arial" w:hAnsi="Arial" w:cs="Arial"/>
        </w:rPr>
      </w:pPr>
    </w:p>
    <w:p w14:paraId="670AA047" w14:textId="77777777" w:rsidR="00717F2E" w:rsidRPr="007E5C64" w:rsidRDefault="00180859">
      <w:pPr>
        <w:rPr>
          <w:rFonts w:ascii="Arial" w:hAnsi="Arial" w:cs="Arial"/>
          <w:b/>
          <w:bCs/>
          <w:sz w:val="20"/>
          <w:szCs w:val="20"/>
        </w:rPr>
      </w:pPr>
      <w:r w:rsidRPr="007E5C64">
        <w:rPr>
          <w:rFonts w:ascii="Arial" w:hAnsi="Arial" w:cs="Arial"/>
          <w:b/>
          <w:bCs/>
          <w:sz w:val="20"/>
          <w:szCs w:val="20"/>
        </w:rPr>
        <w:t>2.1 Research Design</w:t>
      </w:r>
    </w:p>
    <w:p w14:paraId="1DB3AA86" w14:textId="77777777" w:rsidR="00717F2E" w:rsidRPr="007E5C64" w:rsidRDefault="00717F2E">
      <w:pPr>
        <w:rPr>
          <w:rFonts w:ascii="Arial" w:hAnsi="Arial" w:cs="Arial"/>
          <w:b/>
          <w:bCs/>
          <w:sz w:val="20"/>
          <w:szCs w:val="20"/>
        </w:rPr>
      </w:pPr>
    </w:p>
    <w:p w14:paraId="60D88826" w14:textId="4336BA26" w:rsidR="000D23E6" w:rsidRDefault="00251748" w:rsidP="003340B8">
      <w:pPr>
        <w:jc w:val="both"/>
        <w:rPr>
          <w:rFonts w:ascii="Arial" w:hAnsi="Arial" w:cs="Arial"/>
          <w:sz w:val="20"/>
          <w:szCs w:val="20"/>
        </w:rPr>
      </w:pPr>
      <w:r w:rsidRPr="00251748">
        <w:rPr>
          <w:rFonts w:ascii="Arial" w:hAnsi="Arial" w:cs="Arial"/>
          <w:sz w:val="20"/>
          <w:szCs w:val="20"/>
        </w:rPr>
        <w:t xml:space="preserve">This study employed a non-experimental quantitative research design utilizing the correlational method. This design was deemed appropriate for investigating the degree of association between attractive classroom organization and creating community teaching among public elementary school teachers. As </w:t>
      </w:r>
      <w:proofErr w:type="spellStart"/>
      <w:r w:rsidRPr="00251748">
        <w:rPr>
          <w:rFonts w:ascii="Arial" w:hAnsi="Arial" w:cs="Arial"/>
          <w:sz w:val="20"/>
          <w:szCs w:val="20"/>
        </w:rPr>
        <w:t>Pregoner</w:t>
      </w:r>
      <w:proofErr w:type="spellEnd"/>
      <w:r w:rsidRPr="00251748">
        <w:rPr>
          <w:rFonts w:ascii="Arial" w:hAnsi="Arial" w:cs="Arial"/>
          <w:sz w:val="20"/>
          <w:szCs w:val="20"/>
        </w:rPr>
        <w:t xml:space="preserve"> (2025) noted, relationships between variables may emerge due to shared trends in behavior or through mutual influence by external factors. The correlational method in this study allowed the researcher to examine whether the level of attractive classroom organization among teachers had a significant relationship with their implementation of creating community teaching strategies. Through this approach, the study sought to identify patterns that could inform classroom design practices, instructional improvements, and teacher development interventions within the </w:t>
      </w:r>
      <w:proofErr w:type="spellStart"/>
      <w:r w:rsidRPr="00251748">
        <w:rPr>
          <w:rFonts w:ascii="Arial" w:hAnsi="Arial" w:cs="Arial"/>
          <w:sz w:val="20"/>
          <w:szCs w:val="20"/>
        </w:rPr>
        <w:t>Talomo</w:t>
      </w:r>
      <w:proofErr w:type="spellEnd"/>
      <w:r w:rsidRPr="00251748">
        <w:rPr>
          <w:rFonts w:ascii="Arial" w:hAnsi="Arial" w:cs="Arial"/>
          <w:sz w:val="20"/>
          <w:szCs w:val="20"/>
        </w:rPr>
        <w:t xml:space="preserve"> West District, Division of Davao City.</w:t>
      </w:r>
    </w:p>
    <w:p w14:paraId="3D049842" w14:textId="77777777" w:rsidR="00251748" w:rsidRPr="007E5C64" w:rsidRDefault="00251748" w:rsidP="003340B8">
      <w:pPr>
        <w:jc w:val="both"/>
        <w:rPr>
          <w:rFonts w:ascii="Arial" w:hAnsi="Arial" w:cs="Arial"/>
          <w:b/>
          <w:bCs/>
          <w:sz w:val="20"/>
          <w:szCs w:val="20"/>
        </w:rPr>
      </w:pPr>
    </w:p>
    <w:p w14:paraId="318F0781" w14:textId="3871AFA8" w:rsidR="00717F2E" w:rsidRPr="007E5C64" w:rsidRDefault="00180859">
      <w:pPr>
        <w:rPr>
          <w:rFonts w:ascii="Arial" w:hAnsi="Arial" w:cs="Arial"/>
          <w:b/>
          <w:bCs/>
          <w:sz w:val="20"/>
          <w:szCs w:val="20"/>
        </w:rPr>
      </w:pPr>
      <w:r w:rsidRPr="007E5C64">
        <w:rPr>
          <w:rFonts w:ascii="Arial" w:hAnsi="Arial" w:cs="Arial"/>
          <w:b/>
          <w:bCs/>
          <w:sz w:val="20"/>
          <w:szCs w:val="20"/>
        </w:rPr>
        <w:t>2.2 Research Respondents</w:t>
      </w:r>
    </w:p>
    <w:p w14:paraId="56FDFA7F" w14:textId="77777777" w:rsidR="00D453B9" w:rsidRPr="007E5C64" w:rsidRDefault="00D453B9">
      <w:pPr>
        <w:rPr>
          <w:rFonts w:ascii="Arial" w:hAnsi="Arial" w:cs="Arial"/>
          <w:b/>
          <w:bCs/>
          <w:sz w:val="20"/>
          <w:szCs w:val="20"/>
        </w:rPr>
      </w:pPr>
    </w:p>
    <w:p w14:paraId="4C88B07F" w14:textId="0379FF58" w:rsidR="00171A32" w:rsidRPr="007E5C64" w:rsidRDefault="00861C50" w:rsidP="009628FB">
      <w:pPr>
        <w:jc w:val="both"/>
        <w:rPr>
          <w:rFonts w:ascii="Arial" w:hAnsi="Arial" w:cs="Arial"/>
          <w:sz w:val="20"/>
          <w:szCs w:val="20"/>
        </w:rPr>
      </w:pPr>
      <w:r w:rsidRPr="00861C50">
        <w:rPr>
          <w:rFonts w:ascii="Arial" w:hAnsi="Arial" w:cs="Arial"/>
          <w:sz w:val="20"/>
          <w:szCs w:val="20"/>
        </w:rPr>
        <w:t xml:space="preserve">The respondents of this study were 138 public elementary school teachers from the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Division of Davao City. All participants were actively engaged in teaching across various grade levels and possessed diverse professional experiences. The study utilized universal sampling, which included the entire population of eligible public elementary school teachers in the district. The respondents were briefed about the research objectives and voluntarily participated in the study by providing honest responses to the research instruments. Data were collected during the academic year 2024–2025.</w:t>
      </w:r>
    </w:p>
    <w:p w14:paraId="3FACA4E2" w14:textId="77777777" w:rsidR="000D23E6" w:rsidRPr="007E5C64" w:rsidRDefault="000D23E6">
      <w:pPr>
        <w:rPr>
          <w:rFonts w:ascii="Arial" w:hAnsi="Arial" w:cs="Arial"/>
          <w:sz w:val="20"/>
          <w:szCs w:val="20"/>
        </w:rPr>
      </w:pPr>
    </w:p>
    <w:p w14:paraId="6BE2C45C" w14:textId="112B9625" w:rsidR="00717F2E" w:rsidRPr="007E5C64" w:rsidRDefault="00180859">
      <w:pPr>
        <w:rPr>
          <w:rFonts w:ascii="Arial" w:hAnsi="Arial" w:cs="Arial"/>
          <w:b/>
          <w:bCs/>
          <w:sz w:val="20"/>
          <w:szCs w:val="20"/>
        </w:rPr>
      </w:pPr>
      <w:r w:rsidRPr="007E5C64">
        <w:rPr>
          <w:rFonts w:ascii="Arial" w:hAnsi="Arial" w:cs="Arial"/>
          <w:b/>
          <w:bCs/>
          <w:sz w:val="20"/>
          <w:szCs w:val="20"/>
        </w:rPr>
        <w:t>2.3 Research Instrument</w:t>
      </w:r>
    </w:p>
    <w:p w14:paraId="7593DDB4" w14:textId="77777777" w:rsidR="00717F2E" w:rsidRPr="007E5C64" w:rsidRDefault="00717F2E">
      <w:pPr>
        <w:rPr>
          <w:rFonts w:ascii="Arial" w:hAnsi="Arial" w:cs="Arial"/>
          <w:b/>
          <w:bCs/>
          <w:sz w:val="20"/>
          <w:szCs w:val="20"/>
        </w:rPr>
      </w:pPr>
    </w:p>
    <w:p w14:paraId="0CB0DCD1" w14:textId="77777777" w:rsidR="00861C50" w:rsidRDefault="00861C50" w:rsidP="00861C50">
      <w:pPr>
        <w:jc w:val="both"/>
        <w:rPr>
          <w:rFonts w:ascii="Arial" w:hAnsi="Arial" w:cs="Arial"/>
          <w:sz w:val="20"/>
          <w:szCs w:val="20"/>
        </w:rPr>
      </w:pPr>
      <w:r w:rsidRPr="00861C50">
        <w:rPr>
          <w:rFonts w:ascii="Arial" w:hAnsi="Arial" w:cs="Arial"/>
          <w:sz w:val="20"/>
          <w:szCs w:val="20"/>
        </w:rPr>
        <w:t xml:space="preserve">The main data collection tool for this study consisted of researcher-made survey questionnaires designed to measure the levels of attractive classroom organization and creating community teaching among public elementary school teachers in </w:t>
      </w:r>
      <w:proofErr w:type="spellStart"/>
      <w:r w:rsidRPr="00861C50">
        <w:rPr>
          <w:rFonts w:ascii="Arial" w:hAnsi="Arial" w:cs="Arial"/>
          <w:sz w:val="20"/>
          <w:szCs w:val="20"/>
        </w:rPr>
        <w:t>Talomo</w:t>
      </w:r>
      <w:proofErr w:type="spellEnd"/>
      <w:r w:rsidRPr="00861C50">
        <w:rPr>
          <w:rFonts w:ascii="Arial" w:hAnsi="Arial" w:cs="Arial"/>
          <w:sz w:val="20"/>
          <w:szCs w:val="20"/>
        </w:rPr>
        <w:t xml:space="preserve"> West District. These instruments were developed based on relevant theoretical frameworks, scholarly literature, and prior studies related to classroom organization and community-building pedagogy. To ensure content accuracy and alignment with the study objectives, the questionnaires underwent face and content validation by a panel of experts in Educational Management, Curriculum and Instruction, and Elementary Education. Necessary revisions were implemented following expert recommendations to improve the instruments’ validity and readability.</w:t>
      </w:r>
    </w:p>
    <w:p w14:paraId="4B3F7975" w14:textId="77777777" w:rsidR="00861C50" w:rsidRPr="00861C50" w:rsidRDefault="00861C50" w:rsidP="00861C50">
      <w:pPr>
        <w:jc w:val="both"/>
        <w:rPr>
          <w:rFonts w:ascii="Arial" w:hAnsi="Arial" w:cs="Arial"/>
          <w:sz w:val="20"/>
          <w:szCs w:val="20"/>
        </w:rPr>
      </w:pPr>
    </w:p>
    <w:p w14:paraId="2CD2B35E" w14:textId="7813E436" w:rsidR="002F5C4B" w:rsidRPr="007E5C64" w:rsidRDefault="00861C50" w:rsidP="00861C50">
      <w:pPr>
        <w:jc w:val="both"/>
        <w:rPr>
          <w:rFonts w:ascii="Arial" w:hAnsi="Arial" w:cs="Arial"/>
          <w:sz w:val="20"/>
          <w:szCs w:val="20"/>
        </w:rPr>
      </w:pPr>
      <w:r w:rsidRPr="00861C50">
        <w:rPr>
          <w:rFonts w:ascii="Arial" w:hAnsi="Arial" w:cs="Arial"/>
          <w:sz w:val="20"/>
          <w:szCs w:val="20"/>
        </w:rPr>
        <w:t>To ensure the reliability of the instruments, a pilot test was conducted with 30 public elementary school teachers from a neighboring district not included in the main study. The results showed high internal consistency, with a Cronbach’s Alpha of 0.913 for the Attractive Classroom Organization subscale and 0.921 for the Creating Community Teaching subscale.</w:t>
      </w:r>
    </w:p>
    <w:p w14:paraId="04BEB936" w14:textId="77777777" w:rsidR="000D23E6" w:rsidRPr="007E5C64" w:rsidRDefault="000D23E6" w:rsidP="000D23E6">
      <w:pPr>
        <w:rPr>
          <w:rFonts w:ascii="Arial" w:hAnsi="Arial" w:cs="Arial"/>
          <w:b/>
          <w:bCs/>
          <w:sz w:val="20"/>
          <w:szCs w:val="20"/>
        </w:rPr>
      </w:pPr>
    </w:p>
    <w:p w14:paraId="27C6641A" w14:textId="563AE792" w:rsidR="005D71AE" w:rsidRPr="007E5C64" w:rsidRDefault="00180859" w:rsidP="005D71AE">
      <w:pPr>
        <w:rPr>
          <w:rFonts w:ascii="Arial" w:hAnsi="Arial" w:cs="Arial"/>
          <w:b/>
          <w:bCs/>
          <w:sz w:val="20"/>
          <w:szCs w:val="20"/>
        </w:rPr>
      </w:pPr>
      <w:r w:rsidRPr="007E5C64">
        <w:rPr>
          <w:rFonts w:ascii="Arial" w:hAnsi="Arial" w:cs="Arial"/>
          <w:b/>
          <w:bCs/>
          <w:sz w:val="20"/>
          <w:szCs w:val="20"/>
        </w:rPr>
        <w:t>2.4 Data Gathering Procedure</w:t>
      </w:r>
    </w:p>
    <w:p w14:paraId="0409FDF5" w14:textId="77777777" w:rsidR="00CC5ECD" w:rsidRPr="007E5C64" w:rsidRDefault="00CC5ECD" w:rsidP="005D71AE">
      <w:pPr>
        <w:rPr>
          <w:rFonts w:ascii="Arial" w:hAnsi="Arial" w:cs="Arial"/>
          <w:b/>
          <w:bCs/>
          <w:sz w:val="20"/>
          <w:szCs w:val="20"/>
        </w:rPr>
      </w:pPr>
    </w:p>
    <w:p w14:paraId="100D905F" w14:textId="77777777" w:rsidR="00BE1782" w:rsidRPr="00BE1782" w:rsidRDefault="00BE1782" w:rsidP="00BE1782">
      <w:pPr>
        <w:pStyle w:val="Heading1"/>
        <w:jc w:val="both"/>
        <w:rPr>
          <w:rFonts w:cs="Arial"/>
          <w:b w:val="0"/>
          <w:kern w:val="0"/>
          <w:sz w:val="20"/>
        </w:rPr>
      </w:pPr>
      <w:r w:rsidRPr="00BE1782">
        <w:rPr>
          <w:rFonts w:cs="Arial"/>
          <w:b w:val="0"/>
          <w:kern w:val="0"/>
          <w:sz w:val="20"/>
        </w:rPr>
        <w:lastRenderedPageBreak/>
        <w:t xml:space="preserve">Data collection followed a systematic and ethically sound procedure. The researcher first obtained an endorsement from the Dean of the Graduate School and secured ethical clearance from the institution’s Ethics Review Committee. A formal request was then submitted to the Office of the Schools Division Superintendent of the Division of Davao City. Upon approval, an endorsement letter was issued to the School Heads of the public elementary schools in </w:t>
      </w:r>
      <w:proofErr w:type="spellStart"/>
      <w:r w:rsidRPr="00BE1782">
        <w:rPr>
          <w:rFonts w:cs="Arial"/>
          <w:b w:val="0"/>
          <w:kern w:val="0"/>
          <w:sz w:val="20"/>
        </w:rPr>
        <w:t>Talomo</w:t>
      </w:r>
      <w:proofErr w:type="spellEnd"/>
      <w:r w:rsidRPr="00BE1782">
        <w:rPr>
          <w:rFonts w:cs="Arial"/>
          <w:b w:val="0"/>
          <w:kern w:val="0"/>
          <w:sz w:val="20"/>
        </w:rPr>
        <w:t xml:space="preserve"> West District to authorize the conduct of the study.</w:t>
      </w:r>
    </w:p>
    <w:p w14:paraId="3579E42E" w14:textId="7368489A" w:rsidR="000D23E6" w:rsidRPr="007E5C64" w:rsidRDefault="00BE1782" w:rsidP="00BE1782">
      <w:pPr>
        <w:pStyle w:val="Heading1"/>
        <w:jc w:val="both"/>
        <w:rPr>
          <w:rFonts w:cs="Arial"/>
          <w:b w:val="0"/>
          <w:kern w:val="0"/>
          <w:sz w:val="20"/>
        </w:rPr>
      </w:pPr>
      <w:r w:rsidRPr="00BE1782">
        <w:rPr>
          <w:rFonts w:cs="Arial"/>
          <w:b w:val="0"/>
          <w:kern w:val="0"/>
          <w:sz w:val="20"/>
        </w:rPr>
        <w:t>A pilot test was initially administered to verify the reliability and clarity of the research instruments. After refining the questionnaires based on the pilot results, the finalized tools were distributed to the 138 teacher-respondents through the universal sampling approach. Each respondent was oriented on the study’s purpose and guided on how to complete the questionnaire accurately. Completed surveys were collected personally by the researcher. All responses were submitted to a professional statistician for encoding, tabulation, and statistical analysis.</w:t>
      </w:r>
    </w:p>
    <w:p w14:paraId="1C13872C" w14:textId="6651CA6D" w:rsidR="00717F2E" w:rsidRPr="007E5C64" w:rsidRDefault="00180859" w:rsidP="000D23E6">
      <w:pPr>
        <w:pStyle w:val="Heading1"/>
        <w:rPr>
          <w:rFonts w:cs="Arial"/>
          <w:sz w:val="20"/>
        </w:rPr>
      </w:pPr>
      <w:r w:rsidRPr="007E5C64">
        <w:rPr>
          <w:rFonts w:cs="Arial"/>
          <w:sz w:val="20"/>
        </w:rPr>
        <w:t>2.5 Data Analysis</w:t>
      </w:r>
    </w:p>
    <w:p w14:paraId="3CB0DE7E" w14:textId="77777777" w:rsidR="005D71AE" w:rsidRPr="007E5C64" w:rsidRDefault="005D71AE" w:rsidP="00304469">
      <w:pPr>
        <w:pStyle w:val="Head1"/>
        <w:jc w:val="both"/>
        <w:rPr>
          <w:rFonts w:ascii="Arial" w:hAnsi="Arial" w:cs="Arial"/>
          <w:b w:val="0"/>
          <w:caps w:val="0"/>
          <w:sz w:val="20"/>
        </w:rPr>
      </w:pPr>
    </w:p>
    <w:p w14:paraId="43E98CE8" w14:textId="58B352DF" w:rsidR="005923EA" w:rsidRPr="007E5C64" w:rsidRDefault="005923EA" w:rsidP="005923EA">
      <w:pPr>
        <w:pStyle w:val="Head1"/>
        <w:jc w:val="both"/>
        <w:rPr>
          <w:rFonts w:ascii="Arial" w:hAnsi="Arial" w:cs="Arial"/>
          <w:b w:val="0"/>
          <w:caps w:val="0"/>
          <w:sz w:val="20"/>
        </w:rPr>
      </w:pPr>
      <w:r w:rsidRPr="007E5C64">
        <w:rPr>
          <w:rFonts w:ascii="Arial" w:hAnsi="Arial" w:cs="Arial"/>
          <w:b w:val="0"/>
          <w:caps w:val="0"/>
          <w:sz w:val="20"/>
        </w:rPr>
        <w:t>To analyze the data collected and effectively address the research questions of this study, the following statistical tools were utilized:</w:t>
      </w:r>
    </w:p>
    <w:p w14:paraId="5BED3DD3"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Mean. This was used to determine the levels of attractive classroom organization and creating community teaching among the respondents. It captured the central tendency of teachers' perceptions and practices across each dimension.</w:t>
      </w:r>
    </w:p>
    <w:p w14:paraId="3769A1CB" w14:textId="77777777" w:rsidR="00486F48" w:rsidRPr="00486F48" w:rsidRDefault="00486F48" w:rsidP="00486F48">
      <w:pPr>
        <w:pStyle w:val="Head1"/>
        <w:jc w:val="both"/>
        <w:rPr>
          <w:rFonts w:ascii="Arial" w:hAnsi="Arial" w:cs="Arial"/>
          <w:b w:val="0"/>
          <w:caps w:val="0"/>
          <w:sz w:val="20"/>
        </w:rPr>
      </w:pPr>
      <w:r w:rsidRPr="00486F48">
        <w:rPr>
          <w:rFonts w:ascii="Arial" w:hAnsi="Arial" w:cs="Arial"/>
          <w:b w:val="0"/>
          <w:caps w:val="0"/>
          <w:sz w:val="20"/>
        </w:rPr>
        <w:t>Pearson Product-Moment Correlation Coefficient (Pearson r). This tool assessed the strength and direction of the relationship between attractive classroom organization and creating community teaching. It determined whether a significant linear relationship existed between the two main variables.</w:t>
      </w:r>
    </w:p>
    <w:p w14:paraId="2E0E53B8" w14:textId="6A70AFED" w:rsidR="00EF4B2D" w:rsidRPr="007E5C64" w:rsidRDefault="00486F48" w:rsidP="00486F48">
      <w:pPr>
        <w:pStyle w:val="Head1"/>
        <w:jc w:val="both"/>
        <w:rPr>
          <w:rFonts w:ascii="Arial" w:hAnsi="Arial" w:cs="Arial"/>
          <w:b w:val="0"/>
          <w:caps w:val="0"/>
          <w:sz w:val="20"/>
        </w:rPr>
      </w:pPr>
      <w:r w:rsidRPr="00486F48">
        <w:rPr>
          <w:rFonts w:ascii="Arial" w:hAnsi="Arial" w:cs="Arial"/>
          <w:b w:val="0"/>
          <w:caps w:val="0"/>
          <w:sz w:val="20"/>
        </w:rPr>
        <w:t>Multiple Regression Analysis. This was conducted to evaluate the extent to which the specific domains of attractive classroom organization significantly predicted the levels of creating community teaching. This analysis identified which aspects of classroom organization had the greatest influence on the implementation of community-based teaching practices.</w:t>
      </w:r>
    </w:p>
    <w:p w14:paraId="54E1E55E" w14:textId="77777777" w:rsidR="005923EA" w:rsidRPr="007E5C64" w:rsidRDefault="005923EA" w:rsidP="005923EA">
      <w:pPr>
        <w:pStyle w:val="Head1"/>
        <w:spacing w:after="0"/>
        <w:jc w:val="both"/>
        <w:rPr>
          <w:rFonts w:ascii="Arial" w:hAnsi="Arial" w:cs="Arial"/>
          <w:sz w:val="20"/>
        </w:rPr>
      </w:pPr>
    </w:p>
    <w:p w14:paraId="54D02440" w14:textId="330D7BFD" w:rsidR="00717F2E" w:rsidRPr="007E5C64" w:rsidRDefault="00180859">
      <w:pPr>
        <w:pStyle w:val="Head1"/>
        <w:spacing w:after="0"/>
        <w:jc w:val="both"/>
        <w:rPr>
          <w:rFonts w:ascii="Arial" w:hAnsi="Arial" w:cs="Arial"/>
          <w:sz w:val="20"/>
        </w:rPr>
      </w:pPr>
      <w:r w:rsidRPr="007E5C64">
        <w:rPr>
          <w:rFonts w:ascii="Arial" w:hAnsi="Arial" w:cs="Arial"/>
          <w:sz w:val="20"/>
        </w:rPr>
        <w:t>3. results and discussion</w:t>
      </w:r>
    </w:p>
    <w:p w14:paraId="500B7B33" w14:textId="77777777" w:rsidR="00717F2E" w:rsidRPr="007E5C64" w:rsidRDefault="00717F2E">
      <w:pPr>
        <w:rPr>
          <w:rFonts w:ascii="Arial" w:hAnsi="Arial" w:cs="Arial"/>
          <w:b/>
          <w:i/>
          <w:sz w:val="20"/>
          <w:szCs w:val="20"/>
        </w:rPr>
      </w:pPr>
    </w:p>
    <w:p w14:paraId="1DF55D87" w14:textId="4DDFD4B5" w:rsidR="005D71AE" w:rsidRPr="007E5C64" w:rsidRDefault="00180859">
      <w:pPr>
        <w:suppressAutoHyphens/>
        <w:jc w:val="both"/>
        <w:rPr>
          <w:rFonts w:ascii="Arial" w:hAnsi="Arial" w:cs="Arial"/>
          <w:b/>
          <w:sz w:val="20"/>
          <w:szCs w:val="20"/>
        </w:rPr>
      </w:pPr>
      <w:r w:rsidRPr="007E5C64">
        <w:rPr>
          <w:rFonts w:ascii="Arial" w:hAnsi="Arial" w:cs="Arial"/>
          <w:b/>
          <w:sz w:val="20"/>
          <w:szCs w:val="20"/>
        </w:rPr>
        <w:t xml:space="preserve">3.1 </w:t>
      </w:r>
      <w:r w:rsidR="000D5F80" w:rsidRPr="000D5F80">
        <w:rPr>
          <w:rFonts w:ascii="Arial" w:hAnsi="Arial" w:cs="Arial"/>
          <w:b/>
          <w:sz w:val="20"/>
          <w:szCs w:val="20"/>
        </w:rPr>
        <w:t>Level of Attractive Classroom Organization among Teachers in Public Elementary Schools</w:t>
      </w:r>
    </w:p>
    <w:p w14:paraId="1B38FF68" w14:textId="77777777" w:rsidR="00EF4B2D" w:rsidRPr="007E5C64" w:rsidRDefault="00EF4B2D">
      <w:pPr>
        <w:suppressAutoHyphens/>
        <w:jc w:val="both"/>
        <w:rPr>
          <w:rFonts w:ascii="Arial" w:hAnsi="Arial" w:cs="Arial"/>
          <w:b/>
          <w:sz w:val="20"/>
          <w:szCs w:val="20"/>
        </w:rPr>
      </w:pPr>
    </w:p>
    <w:p w14:paraId="496DE70A" w14:textId="5D31560D" w:rsidR="002F5C4B" w:rsidRPr="007E5C64" w:rsidRDefault="00180859">
      <w:pPr>
        <w:suppressAutoHyphens/>
        <w:jc w:val="both"/>
        <w:rPr>
          <w:rFonts w:ascii="Arial" w:hAnsi="Arial" w:cs="Arial"/>
          <w:i/>
          <w:iCs/>
          <w:sz w:val="20"/>
          <w:szCs w:val="20"/>
        </w:rPr>
      </w:pPr>
      <w:r w:rsidRPr="007E5C64">
        <w:rPr>
          <w:rFonts w:ascii="Arial" w:hAnsi="Arial" w:cs="Arial"/>
          <w:iCs/>
          <w:sz w:val="20"/>
          <w:szCs w:val="20"/>
        </w:rPr>
        <w:t>Table 1</w:t>
      </w:r>
      <w:r w:rsidR="00CC5ECD" w:rsidRPr="007E5C64">
        <w:rPr>
          <w:rFonts w:ascii="Arial" w:hAnsi="Arial" w:cs="Arial"/>
          <w:iCs/>
          <w:sz w:val="20"/>
          <w:szCs w:val="20"/>
        </w:rPr>
        <w:t>.</w:t>
      </w:r>
      <w:r w:rsidR="00CC5ECD" w:rsidRPr="007E5C64">
        <w:rPr>
          <w:sz w:val="20"/>
          <w:szCs w:val="20"/>
        </w:rPr>
        <w:t xml:space="preserve"> </w:t>
      </w:r>
      <w:r w:rsidR="000D5F80" w:rsidRPr="000D5F80">
        <w:rPr>
          <w:rFonts w:ascii="Arial" w:hAnsi="Arial" w:cs="Arial"/>
          <w:i/>
          <w:iCs/>
          <w:sz w:val="20"/>
          <w:szCs w:val="20"/>
        </w:rPr>
        <w:t>Level of Attractive Classroom Organization among Teachers in Public Elementary Schools</w:t>
      </w:r>
    </w:p>
    <w:p w14:paraId="67CCBDF6" w14:textId="77777777" w:rsidR="00D21D9E" w:rsidRPr="007E5C64" w:rsidRDefault="00D21D9E">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E5C64"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E5C64" w:rsidRDefault="005923EA" w:rsidP="00C8398D">
            <w:pPr>
              <w:jc w:val="center"/>
              <w:rPr>
                <w:rFonts w:ascii="Arial" w:hAnsi="Arial"/>
                <w:b/>
                <w:sz w:val="20"/>
                <w:szCs w:val="20"/>
              </w:rPr>
            </w:pPr>
            <w:r w:rsidRPr="007E5C64">
              <w:rPr>
                <w:rFonts w:ascii="Arial" w:hAnsi="Arial"/>
                <w:b/>
                <w:sz w:val="20"/>
                <w:szCs w:val="20"/>
              </w:rPr>
              <w:t xml:space="preserve">Domains </w:t>
            </w:r>
          </w:p>
        </w:tc>
        <w:tc>
          <w:tcPr>
            <w:tcW w:w="862" w:type="dxa"/>
            <w:tcBorders>
              <w:bottom w:val="single" w:sz="4" w:space="0" w:color="auto"/>
            </w:tcBorders>
          </w:tcPr>
          <w:p w14:paraId="724F4F2C" w14:textId="77777777" w:rsidR="005923EA" w:rsidRPr="007E5C64" w:rsidRDefault="005923EA" w:rsidP="00C8398D">
            <w:pPr>
              <w:jc w:val="center"/>
              <w:rPr>
                <w:rFonts w:ascii="Arial" w:hAnsi="Arial"/>
                <w:b/>
                <w:sz w:val="20"/>
                <w:szCs w:val="20"/>
              </w:rPr>
            </w:pPr>
            <w:r w:rsidRPr="007E5C64">
              <w:rPr>
                <w:rFonts w:ascii="Arial" w:hAnsi="Arial"/>
                <w:b/>
                <w:sz w:val="20"/>
                <w:szCs w:val="20"/>
              </w:rPr>
              <w:t>SD</w:t>
            </w:r>
          </w:p>
        </w:tc>
        <w:tc>
          <w:tcPr>
            <w:tcW w:w="1019" w:type="dxa"/>
            <w:gridSpan w:val="2"/>
            <w:tcBorders>
              <w:bottom w:val="single" w:sz="4" w:space="0" w:color="auto"/>
            </w:tcBorders>
          </w:tcPr>
          <w:p w14:paraId="679D4F61" w14:textId="77777777" w:rsidR="005923EA" w:rsidRPr="007E5C64" w:rsidRDefault="005923EA" w:rsidP="00C8398D">
            <w:pPr>
              <w:jc w:val="center"/>
              <w:rPr>
                <w:rFonts w:ascii="Arial" w:hAnsi="Arial"/>
                <w:b/>
                <w:sz w:val="20"/>
                <w:szCs w:val="20"/>
              </w:rPr>
            </w:pPr>
            <w:r w:rsidRPr="007E5C64">
              <w:rPr>
                <w:rFonts w:ascii="Arial" w:hAnsi="Arial"/>
                <w:b/>
                <w:sz w:val="20"/>
                <w:szCs w:val="20"/>
              </w:rPr>
              <w:t>Mean</w:t>
            </w:r>
          </w:p>
        </w:tc>
        <w:tc>
          <w:tcPr>
            <w:tcW w:w="2245" w:type="dxa"/>
            <w:tcBorders>
              <w:bottom w:val="single" w:sz="4" w:space="0" w:color="auto"/>
            </w:tcBorders>
          </w:tcPr>
          <w:p w14:paraId="18FB3AF2" w14:textId="77777777" w:rsidR="005923EA" w:rsidRPr="007E5C64" w:rsidRDefault="005923EA" w:rsidP="00C8398D">
            <w:pPr>
              <w:jc w:val="center"/>
              <w:rPr>
                <w:rFonts w:ascii="Arial" w:hAnsi="Arial"/>
                <w:b/>
                <w:sz w:val="20"/>
                <w:szCs w:val="20"/>
              </w:rPr>
            </w:pPr>
            <w:r w:rsidRPr="007E5C64">
              <w:rPr>
                <w:rFonts w:ascii="Arial" w:hAnsi="Arial"/>
                <w:b/>
                <w:sz w:val="20"/>
                <w:szCs w:val="20"/>
              </w:rPr>
              <w:t>Descriptive Level</w:t>
            </w:r>
          </w:p>
        </w:tc>
      </w:tr>
      <w:tr w:rsidR="000D5F80" w:rsidRPr="007E5C64" w14:paraId="15DA0C79" w14:textId="77777777" w:rsidTr="001371BA">
        <w:trPr>
          <w:gridAfter w:val="1"/>
          <w:wAfter w:w="11" w:type="dxa"/>
          <w:trHeight w:val="422"/>
        </w:trPr>
        <w:tc>
          <w:tcPr>
            <w:tcW w:w="4320" w:type="dxa"/>
            <w:gridSpan w:val="2"/>
            <w:tcBorders>
              <w:top w:val="single" w:sz="4" w:space="0" w:color="auto"/>
            </w:tcBorders>
            <w:vAlign w:val="center"/>
          </w:tcPr>
          <w:p w14:paraId="1E8528C9" w14:textId="1ED3C896"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Concepts</w:t>
            </w:r>
          </w:p>
        </w:tc>
        <w:tc>
          <w:tcPr>
            <w:tcW w:w="862" w:type="dxa"/>
            <w:tcBorders>
              <w:top w:val="single" w:sz="4" w:space="0" w:color="auto"/>
            </w:tcBorders>
            <w:vAlign w:val="center"/>
          </w:tcPr>
          <w:p w14:paraId="757A6DD3" w14:textId="7B8B03BB" w:rsidR="000D5F80" w:rsidRPr="000D5F80" w:rsidRDefault="000D5F80" w:rsidP="000D5F80">
            <w:pPr>
              <w:jc w:val="center"/>
              <w:rPr>
                <w:rFonts w:ascii="Arial" w:hAnsi="Arial" w:cs="Arial"/>
                <w:sz w:val="20"/>
                <w:szCs w:val="20"/>
              </w:rPr>
            </w:pPr>
            <w:r w:rsidRPr="00915411">
              <w:rPr>
                <w:rFonts w:ascii="Arial" w:hAnsi="Arial" w:cs="Arial"/>
                <w:sz w:val="20"/>
                <w:szCs w:val="20"/>
              </w:rPr>
              <w:t>0.48</w:t>
            </w:r>
          </w:p>
        </w:tc>
        <w:tc>
          <w:tcPr>
            <w:tcW w:w="1019" w:type="dxa"/>
            <w:gridSpan w:val="2"/>
            <w:tcBorders>
              <w:top w:val="single" w:sz="4" w:space="0" w:color="auto"/>
            </w:tcBorders>
            <w:vAlign w:val="center"/>
          </w:tcPr>
          <w:p w14:paraId="74D42A71" w14:textId="6C0352DD" w:rsidR="000D5F80" w:rsidRPr="000D5F80" w:rsidRDefault="000D5F80" w:rsidP="000D5F80">
            <w:pPr>
              <w:jc w:val="center"/>
              <w:rPr>
                <w:rFonts w:ascii="Arial" w:hAnsi="Arial" w:cs="Arial"/>
                <w:sz w:val="20"/>
                <w:szCs w:val="20"/>
              </w:rPr>
            </w:pPr>
            <w:r w:rsidRPr="00915411">
              <w:rPr>
                <w:rFonts w:ascii="Arial" w:hAnsi="Arial" w:cs="Arial"/>
                <w:sz w:val="20"/>
                <w:szCs w:val="20"/>
              </w:rPr>
              <w:t>3.82</w:t>
            </w:r>
          </w:p>
        </w:tc>
        <w:tc>
          <w:tcPr>
            <w:tcW w:w="2245" w:type="dxa"/>
            <w:tcBorders>
              <w:top w:val="single" w:sz="4" w:space="0" w:color="auto"/>
            </w:tcBorders>
            <w:vAlign w:val="center"/>
          </w:tcPr>
          <w:p w14:paraId="0A6D1562" w14:textId="3E976D57"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3985B10B" w14:textId="77777777" w:rsidTr="001371BA">
        <w:trPr>
          <w:gridAfter w:val="1"/>
          <w:wAfter w:w="11" w:type="dxa"/>
          <w:trHeight w:val="438"/>
        </w:trPr>
        <w:tc>
          <w:tcPr>
            <w:tcW w:w="4320" w:type="dxa"/>
            <w:gridSpan w:val="2"/>
            <w:vAlign w:val="center"/>
          </w:tcPr>
          <w:p w14:paraId="691D3673" w14:textId="0CF425D7"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Sensitivity</w:t>
            </w:r>
          </w:p>
        </w:tc>
        <w:tc>
          <w:tcPr>
            <w:tcW w:w="862" w:type="dxa"/>
            <w:vAlign w:val="center"/>
          </w:tcPr>
          <w:p w14:paraId="20BED855" w14:textId="2E974C6D" w:rsidR="000D5F80" w:rsidRPr="000D5F80" w:rsidRDefault="000D5F80" w:rsidP="000D5F80">
            <w:pPr>
              <w:jc w:val="center"/>
              <w:rPr>
                <w:rFonts w:ascii="Arial" w:hAnsi="Arial" w:cs="Arial"/>
                <w:sz w:val="20"/>
                <w:szCs w:val="20"/>
              </w:rPr>
            </w:pPr>
            <w:r w:rsidRPr="00915411">
              <w:rPr>
                <w:rFonts w:ascii="Arial" w:hAnsi="Arial" w:cs="Arial"/>
                <w:sz w:val="20"/>
                <w:szCs w:val="20"/>
              </w:rPr>
              <w:t>0.50</w:t>
            </w:r>
          </w:p>
        </w:tc>
        <w:tc>
          <w:tcPr>
            <w:tcW w:w="1019" w:type="dxa"/>
            <w:gridSpan w:val="2"/>
            <w:vAlign w:val="center"/>
          </w:tcPr>
          <w:p w14:paraId="547E06B3" w14:textId="4544FD1C" w:rsidR="000D5F80" w:rsidRPr="000D5F80" w:rsidRDefault="000D5F80" w:rsidP="000D5F80">
            <w:pPr>
              <w:jc w:val="center"/>
              <w:rPr>
                <w:rFonts w:ascii="Arial" w:hAnsi="Arial" w:cs="Arial"/>
                <w:sz w:val="20"/>
                <w:szCs w:val="20"/>
              </w:rPr>
            </w:pPr>
            <w:r w:rsidRPr="00915411">
              <w:rPr>
                <w:rFonts w:ascii="Arial" w:hAnsi="Arial" w:cs="Arial"/>
                <w:sz w:val="20"/>
                <w:szCs w:val="20"/>
              </w:rPr>
              <w:t>3.77</w:t>
            </w:r>
          </w:p>
        </w:tc>
        <w:tc>
          <w:tcPr>
            <w:tcW w:w="2245" w:type="dxa"/>
            <w:vAlign w:val="center"/>
          </w:tcPr>
          <w:p w14:paraId="01D3E85C" w14:textId="0D957EC8"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17C91D7B" w14:textId="77777777" w:rsidTr="001371BA">
        <w:trPr>
          <w:gridAfter w:val="1"/>
          <w:wAfter w:w="11" w:type="dxa"/>
          <w:trHeight w:val="438"/>
        </w:trPr>
        <w:tc>
          <w:tcPr>
            <w:tcW w:w="4320" w:type="dxa"/>
            <w:gridSpan w:val="2"/>
            <w:vAlign w:val="center"/>
          </w:tcPr>
          <w:p w14:paraId="58E5BF80" w14:textId="5A945E9C"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t>Needs</w:t>
            </w:r>
          </w:p>
        </w:tc>
        <w:tc>
          <w:tcPr>
            <w:tcW w:w="862" w:type="dxa"/>
            <w:vAlign w:val="center"/>
          </w:tcPr>
          <w:p w14:paraId="00F06D71" w14:textId="2450162A" w:rsidR="000D5F80" w:rsidRPr="000D5F80" w:rsidRDefault="000D5F80" w:rsidP="000D5F80">
            <w:pPr>
              <w:jc w:val="center"/>
              <w:rPr>
                <w:rFonts w:ascii="Arial" w:hAnsi="Arial" w:cs="Arial"/>
                <w:sz w:val="20"/>
                <w:szCs w:val="20"/>
              </w:rPr>
            </w:pPr>
            <w:r w:rsidRPr="00915411">
              <w:rPr>
                <w:rFonts w:ascii="Arial" w:hAnsi="Arial" w:cs="Arial"/>
                <w:sz w:val="20"/>
                <w:szCs w:val="20"/>
              </w:rPr>
              <w:t>0.49</w:t>
            </w:r>
          </w:p>
        </w:tc>
        <w:tc>
          <w:tcPr>
            <w:tcW w:w="1019" w:type="dxa"/>
            <w:gridSpan w:val="2"/>
            <w:vAlign w:val="center"/>
          </w:tcPr>
          <w:p w14:paraId="22A336A9" w14:textId="5496F3C8" w:rsidR="000D5F80" w:rsidRPr="000D5F80" w:rsidRDefault="000D5F80" w:rsidP="000D5F80">
            <w:pPr>
              <w:jc w:val="center"/>
              <w:rPr>
                <w:rFonts w:ascii="Arial" w:hAnsi="Arial" w:cs="Arial"/>
                <w:sz w:val="20"/>
                <w:szCs w:val="20"/>
              </w:rPr>
            </w:pPr>
            <w:r w:rsidRPr="00915411">
              <w:rPr>
                <w:rFonts w:ascii="Arial" w:hAnsi="Arial" w:cs="Arial"/>
                <w:sz w:val="20"/>
                <w:szCs w:val="20"/>
              </w:rPr>
              <w:t>3.77</w:t>
            </w:r>
          </w:p>
        </w:tc>
        <w:tc>
          <w:tcPr>
            <w:tcW w:w="2245" w:type="dxa"/>
            <w:vAlign w:val="center"/>
          </w:tcPr>
          <w:p w14:paraId="6A74A41F" w14:textId="7DA6503A"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4A3882EF" w14:textId="77777777" w:rsidTr="001371BA">
        <w:trPr>
          <w:gridAfter w:val="1"/>
          <w:wAfter w:w="11" w:type="dxa"/>
          <w:trHeight w:val="438"/>
        </w:trPr>
        <w:tc>
          <w:tcPr>
            <w:tcW w:w="4320" w:type="dxa"/>
            <w:gridSpan w:val="2"/>
            <w:vAlign w:val="center"/>
          </w:tcPr>
          <w:p w14:paraId="197CBC2C" w14:textId="4BDD80DA" w:rsidR="000D5F80" w:rsidRPr="000D5F80" w:rsidRDefault="000D5F80" w:rsidP="000D5F80">
            <w:pPr>
              <w:widowControl w:val="0"/>
              <w:ind w:left="431"/>
              <w:rPr>
                <w:rFonts w:ascii="Arial" w:hAnsi="Arial" w:cs="Arial"/>
                <w:sz w:val="20"/>
                <w:szCs w:val="20"/>
              </w:rPr>
            </w:pPr>
            <w:r w:rsidRPr="00915411">
              <w:rPr>
                <w:rFonts w:ascii="Arial" w:hAnsi="Arial" w:cs="Arial"/>
                <w:sz w:val="20"/>
                <w:szCs w:val="20"/>
              </w:rPr>
              <w:lastRenderedPageBreak/>
              <w:t>Risk-Taking</w:t>
            </w:r>
          </w:p>
        </w:tc>
        <w:tc>
          <w:tcPr>
            <w:tcW w:w="862" w:type="dxa"/>
            <w:vAlign w:val="center"/>
          </w:tcPr>
          <w:p w14:paraId="614B9835" w14:textId="52B3D37A" w:rsidR="000D5F80" w:rsidRPr="000D5F80" w:rsidRDefault="000D5F80" w:rsidP="000D5F80">
            <w:pPr>
              <w:jc w:val="center"/>
              <w:rPr>
                <w:rFonts w:ascii="Arial" w:hAnsi="Arial" w:cs="Arial"/>
                <w:sz w:val="20"/>
                <w:szCs w:val="20"/>
              </w:rPr>
            </w:pPr>
            <w:r w:rsidRPr="00915411">
              <w:rPr>
                <w:rFonts w:ascii="Arial" w:hAnsi="Arial" w:cs="Arial"/>
                <w:sz w:val="20"/>
                <w:szCs w:val="20"/>
              </w:rPr>
              <w:t>0.47</w:t>
            </w:r>
          </w:p>
        </w:tc>
        <w:tc>
          <w:tcPr>
            <w:tcW w:w="1019" w:type="dxa"/>
            <w:gridSpan w:val="2"/>
            <w:vAlign w:val="center"/>
          </w:tcPr>
          <w:p w14:paraId="2C1B1A3F" w14:textId="367F57E0" w:rsidR="000D5F80" w:rsidRPr="000D5F80" w:rsidRDefault="000D5F80" w:rsidP="000D5F80">
            <w:pPr>
              <w:jc w:val="center"/>
              <w:rPr>
                <w:rFonts w:ascii="Arial" w:hAnsi="Arial" w:cs="Arial"/>
                <w:sz w:val="20"/>
                <w:szCs w:val="20"/>
              </w:rPr>
            </w:pPr>
            <w:r w:rsidRPr="00915411">
              <w:rPr>
                <w:rFonts w:ascii="Arial" w:hAnsi="Arial" w:cs="Arial"/>
                <w:sz w:val="20"/>
                <w:szCs w:val="20"/>
              </w:rPr>
              <w:t>3.78</w:t>
            </w:r>
          </w:p>
        </w:tc>
        <w:tc>
          <w:tcPr>
            <w:tcW w:w="2245" w:type="dxa"/>
            <w:vAlign w:val="center"/>
          </w:tcPr>
          <w:p w14:paraId="26CAB96E" w14:textId="113EA95E" w:rsidR="000D5F80" w:rsidRPr="000D5F80" w:rsidRDefault="000D5F80" w:rsidP="000D5F80">
            <w:pPr>
              <w:jc w:val="center"/>
              <w:rPr>
                <w:rFonts w:ascii="Arial" w:hAnsi="Arial" w:cs="Arial"/>
                <w:sz w:val="20"/>
                <w:szCs w:val="20"/>
              </w:rPr>
            </w:pPr>
            <w:r w:rsidRPr="00915411">
              <w:rPr>
                <w:rFonts w:ascii="Arial" w:hAnsi="Arial" w:cs="Arial"/>
                <w:sz w:val="20"/>
                <w:szCs w:val="20"/>
              </w:rPr>
              <w:t>High</w:t>
            </w:r>
          </w:p>
        </w:tc>
      </w:tr>
      <w:tr w:rsidR="000D5F80" w:rsidRPr="007E5C64" w14:paraId="5A3D4E46" w14:textId="77777777" w:rsidTr="001371BA">
        <w:trPr>
          <w:trHeight w:val="413"/>
        </w:trPr>
        <w:tc>
          <w:tcPr>
            <w:tcW w:w="4278" w:type="dxa"/>
            <w:vAlign w:val="center"/>
          </w:tcPr>
          <w:p w14:paraId="591D560C" w14:textId="53626E23" w:rsidR="000D5F80" w:rsidRPr="000D5F80" w:rsidRDefault="000D5F80" w:rsidP="000D5F80">
            <w:pPr>
              <w:jc w:val="center"/>
              <w:rPr>
                <w:rFonts w:ascii="Arial" w:eastAsia="Calibri" w:hAnsi="Arial" w:cs="Arial"/>
                <w:b/>
                <w:sz w:val="20"/>
                <w:szCs w:val="20"/>
              </w:rPr>
            </w:pPr>
            <w:r w:rsidRPr="00915411">
              <w:rPr>
                <w:rFonts w:ascii="Arial" w:hAnsi="Arial" w:cs="Arial"/>
                <w:b/>
                <w:bCs/>
                <w:sz w:val="20"/>
                <w:szCs w:val="20"/>
              </w:rPr>
              <w:t>Overall</w:t>
            </w:r>
          </w:p>
        </w:tc>
        <w:tc>
          <w:tcPr>
            <w:tcW w:w="904" w:type="dxa"/>
            <w:gridSpan w:val="2"/>
            <w:vAlign w:val="center"/>
          </w:tcPr>
          <w:p w14:paraId="557AE64C" w14:textId="598EC38B"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0.49</w:t>
            </w:r>
          </w:p>
        </w:tc>
        <w:tc>
          <w:tcPr>
            <w:tcW w:w="1000" w:type="dxa"/>
            <w:vAlign w:val="center"/>
          </w:tcPr>
          <w:p w14:paraId="66E1C693" w14:textId="2E206FEA"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3.76</w:t>
            </w:r>
          </w:p>
        </w:tc>
        <w:tc>
          <w:tcPr>
            <w:tcW w:w="2275" w:type="dxa"/>
            <w:gridSpan w:val="3"/>
            <w:vAlign w:val="center"/>
          </w:tcPr>
          <w:p w14:paraId="7E8BF4DA" w14:textId="0F1B0948" w:rsidR="000D5F80" w:rsidRPr="000D5F80" w:rsidRDefault="000D5F80" w:rsidP="000D5F80">
            <w:pPr>
              <w:jc w:val="center"/>
              <w:rPr>
                <w:rFonts w:ascii="Arial" w:hAnsi="Arial" w:cs="Arial"/>
                <w:b/>
                <w:bCs/>
                <w:sz w:val="20"/>
                <w:szCs w:val="20"/>
              </w:rPr>
            </w:pPr>
            <w:r w:rsidRPr="00915411">
              <w:rPr>
                <w:rFonts w:ascii="Arial" w:hAnsi="Arial" w:cs="Arial"/>
                <w:b/>
                <w:bCs/>
                <w:sz w:val="20"/>
                <w:szCs w:val="20"/>
              </w:rPr>
              <w:t>High</w:t>
            </w:r>
          </w:p>
        </w:tc>
      </w:tr>
    </w:tbl>
    <w:p w14:paraId="20CF6BE0" w14:textId="77777777" w:rsidR="00D453B9" w:rsidRPr="007E5C64" w:rsidRDefault="00D453B9" w:rsidP="003248E3">
      <w:pPr>
        <w:jc w:val="both"/>
        <w:rPr>
          <w:rFonts w:ascii="Arial" w:hAnsi="Arial" w:cs="Arial"/>
          <w:sz w:val="20"/>
          <w:szCs w:val="20"/>
        </w:rPr>
      </w:pPr>
    </w:p>
    <w:p w14:paraId="591341DD"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Presented in Table 1 is the summary of the domains in the level of attractive classroom organization among teachers in public elementary schools, including concepts, sensitivity, needs, and risk-taking, based on the mean scores and standard deviations. The domain concepts received the highest mean of 3.82, categorized as “high,” followed by risk-taking with a mean of 3.78. Both sensitivity and needs shared a mean of 3.77, also described as “high.” The overall mean of 3.76 is likewise categorized as “high,” suggesting that teachers generally maintain a strong level of classroom organization in all areas.</w:t>
      </w:r>
    </w:p>
    <w:p w14:paraId="52D2AE30" w14:textId="77777777" w:rsidR="000D5F80" w:rsidRPr="000D5F80" w:rsidRDefault="000D5F80" w:rsidP="000D5F80">
      <w:pPr>
        <w:jc w:val="both"/>
        <w:rPr>
          <w:rFonts w:ascii="Arial" w:hAnsi="Arial" w:cs="Arial"/>
          <w:sz w:val="20"/>
          <w:szCs w:val="20"/>
        </w:rPr>
      </w:pPr>
    </w:p>
    <w:p w14:paraId="77714312" w14:textId="77777777" w:rsidR="000D5F80" w:rsidRPr="000D5F80" w:rsidRDefault="000D5F80" w:rsidP="000D5F80">
      <w:pPr>
        <w:jc w:val="both"/>
        <w:rPr>
          <w:rFonts w:ascii="Arial" w:hAnsi="Arial" w:cs="Arial"/>
          <w:sz w:val="20"/>
          <w:szCs w:val="20"/>
        </w:rPr>
      </w:pPr>
      <w:r w:rsidRPr="000D5F80">
        <w:rPr>
          <w:rFonts w:ascii="Arial" w:hAnsi="Arial" w:cs="Arial"/>
          <w:sz w:val="20"/>
          <w:szCs w:val="20"/>
        </w:rPr>
        <w:t>The overall standard deviation of 0.49 indicates that the responses were moderately clustered around the mean. This suggests that teachers have a consistent perception of the importance of maintaining organized, responsive, and creative learning spaces. The emphasis on clarity in concepts, responsiveness to student needs, and willingness to take instructional risks highlights the proactive approach of teachers in shaping a functional and engaging classroom environment. These practices contribute to sustaining orderly classrooms that support both academic performance and social development.</w:t>
      </w:r>
    </w:p>
    <w:p w14:paraId="4F270F5C" w14:textId="77777777" w:rsidR="000D5F80" w:rsidRPr="000D5F80" w:rsidRDefault="000D5F80" w:rsidP="000D5F80">
      <w:pPr>
        <w:jc w:val="both"/>
        <w:rPr>
          <w:rFonts w:ascii="Arial" w:hAnsi="Arial" w:cs="Arial"/>
          <w:sz w:val="20"/>
          <w:szCs w:val="20"/>
        </w:rPr>
      </w:pPr>
    </w:p>
    <w:p w14:paraId="6BEB0603" w14:textId="6653D5F4" w:rsidR="005923EA" w:rsidRPr="007E5C64" w:rsidRDefault="000D5F80" w:rsidP="000D5F80">
      <w:pPr>
        <w:jc w:val="both"/>
        <w:rPr>
          <w:rFonts w:ascii="Arial" w:hAnsi="Arial" w:cs="Arial"/>
          <w:sz w:val="20"/>
          <w:szCs w:val="20"/>
        </w:rPr>
      </w:pPr>
      <w:r w:rsidRPr="000D5F80">
        <w:rPr>
          <w:rFonts w:ascii="Arial" w:hAnsi="Arial" w:cs="Arial"/>
          <w:sz w:val="20"/>
          <w:szCs w:val="20"/>
        </w:rPr>
        <w:t xml:space="preserve">This finding corresponds with the study of </w:t>
      </w:r>
      <w:r w:rsidR="00283BED" w:rsidRPr="00283BED">
        <w:rPr>
          <w:rFonts w:ascii="Arial" w:hAnsi="Arial" w:cs="Arial"/>
          <w:sz w:val="20"/>
          <w:szCs w:val="20"/>
        </w:rPr>
        <w:t xml:space="preserve">Zajda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2021</w:t>
      </w:r>
      <w:r w:rsidRPr="000D5F80">
        <w:rPr>
          <w:rFonts w:ascii="Arial" w:hAnsi="Arial" w:cs="Arial"/>
          <w:sz w:val="20"/>
          <w:szCs w:val="20"/>
        </w:rPr>
        <w:t xml:space="preserve">), who emphasized that an attractive classroom environment fosters improved student motivation, concentration, and emotional comfort. Likewise, </w:t>
      </w:r>
      <w:r w:rsidR="00283BED" w:rsidRPr="00283BED">
        <w:rPr>
          <w:rFonts w:ascii="Arial" w:hAnsi="Arial" w:cs="Arial"/>
          <w:sz w:val="20"/>
          <w:szCs w:val="20"/>
        </w:rPr>
        <w:t xml:space="preserve">Adhikari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2025</w:t>
      </w:r>
      <w:r w:rsidRPr="000D5F80">
        <w:rPr>
          <w:rFonts w:ascii="Arial" w:hAnsi="Arial" w:cs="Arial"/>
          <w:sz w:val="20"/>
          <w:szCs w:val="20"/>
        </w:rPr>
        <w:t xml:space="preserve">) found that when classrooms are intentionally organized with student-centered principles in mind, teachers create a more conducive setting for collaborative and independent learning. Furthermore, </w:t>
      </w:r>
      <w:r w:rsidR="00283BED" w:rsidRPr="00283BED">
        <w:rPr>
          <w:rFonts w:ascii="Arial" w:hAnsi="Arial" w:cs="Arial"/>
          <w:sz w:val="20"/>
          <w:szCs w:val="20"/>
        </w:rPr>
        <w:t xml:space="preserve">Ali </w:t>
      </w:r>
      <w:r w:rsidR="00283BED">
        <w:rPr>
          <w:rFonts w:ascii="Arial" w:hAnsi="Arial" w:cs="Arial"/>
          <w:sz w:val="20"/>
          <w:szCs w:val="20"/>
        </w:rPr>
        <w:t xml:space="preserve">et al. </w:t>
      </w:r>
      <w:r w:rsidRPr="000D5F80">
        <w:rPr>
          <w:rFonts w:ascii="Arial" w:hAnsi="Arial" w:cs="Arial"/>
          <w:sz w:val="20"/>
          <w:szCs w:val="20"/>
        </w:rPr>
        <w:t>(</w:t>
      </w:r>
      <w:r w:rsidR="00283BED">
        <w:rPr>
          <w:rFonts w:ascii="Arial" w:hAnsi="Arial" w:cs="Arial"/>
          <w:sz w:val="20"/>
          <w:szCs w:val="20"/>
        </w:rPr>
        <w:t>2020</w:t>
      </w:r>
      <w:r w:rsidRPr="000D5F80">
        <w:rPr>
          <w:rFonts w:ascii="Arial" w:hAnsi="Arial" w:cs="Arial"/>
          <w:sz w:val="20"/>
          <w:szCs w:val="20"/>
        </w:rPr>
        <w:t>) revealed that risk-taking in classroom design—such as incorporating flexible seating, learning corners, and interactive displays—helps teachers better address diverse learning needs and styles.</w:t>
      </w:r>
    </w:p>
    <w:p w14:paraId="68D2CDDA" w14:textId="2D16CF51" w:rsidR="005923EA" w:rsidRPr="007E5C64" w:rsidRDefault="005923EA">
      <w:pPr>
        <w:jc w:val="both"/>
        <w:rPr>
          <w:rFonts w:ascii="Arial" w:hAnsi="Arial" w:cs="Arial"/>
          <w:b/>
          <w:sz w:val="20"/>
          <w:szCs w:val="20"/>
        </w:rPr>
      </w:pPr>
    </w:p>
    <w:p w14:paraId="04DC4014" w14:textId="066AC162" w:rsidR="00E16D4E" w:rsidRPr="007E5C64" w:rsidRDefault="00180859">
      <w:pPr>
        <w:jc w:val="both"/>
        <w:rPr>
          <w:rFonts w:ascii="Arial" w:hAnsi="Arial" w:cs="Arial"/>
          <w:b/>
          <w:sz w:val="20"/>
          <w:szCs w:val="20"/>
        </w:rPr>
      </w:pPr>
      <w:r w:rsidRPr="007E5C64">
        <w:rPr>
          <w:rFonts w:ascii="Arial" w:hAnsi="Arial" w:cs="Arial"/>
          <w:b/>
          <w:sz w:val="20"/>
          <w:szCs w:val="20"/>
        </w:rPr>
        <w:t xml:space="preserve">3.2 </w:t>
      </w:r>
      <w:r w:rsidR="000D5F80" w:rsidRPr="000D5F80">
        <w:rPr>
          <w:rFonts w:ascii="Arial" w:hAnsi="Arial" w:cs="Arial"/>
          <w:b/>
          <w:sz w:val="20"/>
          <w:szCs w:val="20"/>
        </w:rPr>
        <w:t>Level of Creating Community Teaching among Teachers in Public Elementary Schools</w:t>
      </w:r>
    </w:p>
    <w:p w14:paraId="49153FC3" w14:textId="77777777" w:rsidR="00E16D4E" w:rsidRPr="007E5C64" w:rsidRDefault="00E16D4E">
      <w:pPr>
        <w:jc w:val="both"/>
        <w:rPr>
          <w:rFonts w:ascii="Arial" w:hAnsi="Arial" w:cs="Arial"/>
          <w:b/>
          <w:sz w:val="20"/>
          <w:szCs w:val="20"/>
        </w:rPr>
      </w:pPr>
    </w:p>
    <w:p w14:paraId="2745F126" w14:textId="3962EE46" w:rsidR="00781D5E" w:rsidRPr="007E5C64" w:rsidRDefault="00180859">
      <w:pPr>
        <w:jc w:val="both"/>
        <w:rPr>
          <w:rFonts w:ascii="Arial" w:hAnsi="Arial" w:cs="Arial"/>
          <w:i/>
          <w:sz w:val="20"/>
          <w:szCs w:val="20"/>
        </w:rPr>
      </w:pPr>
      <w:r w:rsidRPr="007E5C64">
        <w:rPr>
          <w:rFonts w:ascii="Arial" w:hAnsi="Arial" w:cs="Arial"/>
          <w:iCs/>
          <w:sz w:val="20"/>
          <w:szCs w:val="20"/>
        </w:rPr>
        <w:t>Table 2</w:t>
      </w:r>
      <w:r w:rsidR="00781D5E" w:rsidRPr="007E5C64">
        <w:rPr>
          <w:rFonts w:ascii="Arial" w:hAnsi="Arial" w:cs="Arial"/>
          <w:iCs/>
          <w:sz w:val="20"/>
          <w:szCs w:val="20"/>
        </w:rPr>
        <w:t>.</w:t>
      </w:r>
      <w:r w:rsidRPr="007E5C64">
        <w:rPr>
          <w:rFonts w:ascii="Arial" w:hAnsi="Arial" w:cs="Arial"/>
          <w:iCs/>
          <w:sz w:val="20"/>
          <w:szCs w:val="20"/>
        </w:rPr>
        <w:t xml:space="preserve"> </w:t>
      </w:r>
      <w:r w:rsidR="000D5F80" w:rsidRPr="000D5F80">
        <w:rPr>
          <w:rFonts w:ascii="Arial" w:hAnsi="Arial" w:cs="Arial"/>
          <w:i/>
          <w:sz w:val="20"/>
          <w:szCs w:val="20"/>
        </w:rPr>
        <w:t>Level of Creating Community Teaching among Teachers in Public Elementary Schools</w:t>
      </w:r>
    </w:p>
    <w:p w14:paraId="58C71F5A" w14:textId="4C7965E3" w:rsidR="00A574C3" w:rsidRPr="007E5C64"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E5C64"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E5C64" w:rsidRDefault="00D815DA" w:rsidP="00C8398D">
            <w:pPr>
              <w:jc w:val="center"/>
              <w:rPr>
                <w:rFonts w:ascii="Arial" w:hAnsi="Arial"/>
                <w:b/>
                <w:sz w:val="20"/>
                <w:szCs w:val="20"/>
              </w:rPr>
            </w:pPr>
            <w:r w:rsidRPr="007E5C64">
              <w:rPr>
                <w:rFonts w:ascii="Arial" w:hAnsi="Arial"/>
                <w:b/>
                <w:sz w:val="20"/>
                <w:szCs w:val="20"/>
              </w:rPr>
              <w:t>Domains</w:t>
            </w:r>
          </w:p>
        </w:tc>
        <w:tc>
          <w:tcPr>
            <w:tcW w:w="869" w:type="dxa"/>
            <w:tcBorders>
              <w:bottom w:val="single" w:sz="4" w:space="0" w:color="auto"/>
            </w:tcBorders>
          </w:tcPr>
          <w:p w14:paraId="397A68C1" w14:textId="77777777" w:rsidR="00D815DA" w:rsidRPr="007E5C64" w:rsidRDefault="00D815DA" w:rsidP="00C8398D">
            <w:pPr>
              <w:jc w:val="center"/>
              <w:rPr>
                <w:rFonts w:ascii="Arial" w:hAnsi="Arial"/>
                <w:b/>
                <w:sz w:val="20"/>
                <w:szCs w:val="20"/>
              </w:rPr>
            </w:pPr>
            <w:r w:rsidRPr="007E5C64">
              <w:rPr>
                <w:rFonts w:ascii="Arial" w:hAnsi="Arial"/>
                <w:b/>
                <w:sz w:val="20"/>
                <w:szCs w:val="20"/>
              </w:rPr>
              <w:t>SD</w:t>
            </w:r>
          </w:p>
        </w:tc>
        <w:tc>
          <w:tcPr>
            <w:tcW w:w="1027" w:type="dxa"/>
            <w:gridSpan w:val="2"/>
            <w:tcBorders>
              <w:bottom w:val="single" w:sz="4" w:space="0" w:color="auto"/>
            </w:tcBorders>
          </w:tcPr>
          <w:p w14:paraId="28119226" w14:textId="77777777" w:rsidR="00D815DA" w:rsidRPr="007E5C64" w:rsidRDefault="00D815DA" w:rsidP="00C8398D">
            <w:pPr>
              <w:jc w:val="center"/>
              <w:rPr>
                <w:rFonts w:ascii="Arial" w:hAnsi="Arial"/>
                <w:b/>
                <w:sz w:val="20"/>
                <w:szCs w:val="20"/>
              </w:rPr>
            </w:pPr>
            <w:r w:rsidRPr="007E5C64">
              <w:rPr>
                <w:rFonts w:ascii="Arial" w:hAnsi="Arial"/>
                <w:b/>
                <w:sz w:val="20"/>
                <w:szCs w:val="20"/>
              </w:rPr>
              <w:t>Mean</w:t>
            </w:r>
          </w:p>
        </w:tc>
        <w:tc>
          <w:tcPr>
            <w:tcW w:w="2263" w:type="dxa"/>
            <w:tcBorders>
              <w:bottom w:val="single" w:sz="4" w:space="0" w:color="auto"/>
            </w:tcBorders>
          </w:tcPr>
          <w:p w14:paraId="45209412" w14:textId="77777777" w:rsidR="00D815DA" w:rsidRPr="007E5C64" w:rsidRDefault="00D815DA" w:rsidP="00C8398D">
            <w:pPr>
              <w:jc w:val="center"/>
              <w:rPr>
                <w:rFonts w:ascii="Arial" w:hAnsi="Arial"/>
                <w:b/>
                <w:sz w:val="20"/>
                <w:szCs w:val="20"/>
              </w:rPr>
            </w:pPr>
            <w:r w:rsidRPr="007E5C64">
              <w:rPr>
                <w:rFonts w:ascii="Arial" w:hAnsi="Arial"/>
                <w:b/>
                <w:sz w:val="20"/>
                <w:szCs w:val="20"/>
              </w:rPr>
              <w:t>Descriptive Level</w:t>
            </w:r>
          </w:p>
        </w:tc>
      </w:tr>
      <w:tr w:rsidR="006C0110" w:rsidRPr="007E5C64" w14:paraId="75E63BE0" w14:textId="77777777" w:rsidTr="00A74B37">
        <w:trPr>
          <w:gridAfter w:val="1"/>
          <w:wAfter w:w="12" w:type="dxa"/>
          <w:trHeight w:val="415"/>
        </w:trPr>
        <w:tc>
          <w:tcPr>
            <w:tcW w:w="4354" w:type="dxa"/>
            <w:gridSpan w:val="2"/>
            <w:tcBorders>
              <w:top w:val="single" w:sz="4" w:space="0" w:color="auto"/>
            </w:tcBorders>
            <w:vAlign w:val="center"/>
          </w:tcPr>
          <w:p w14:paraId="7E392CB8" w14:textId="0B19EE6E"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Supportive</w:t>
            </w:r>
          </w:p>
        </w:tc>
        <w:tc>
          <w:tcPr>
            <w:tcW w:w="869" w:type="dxa"/>
            <w:tcBorders>
              <w:top w:val="single" w:sz="4" w:space="0" w:color="auto"/>
            </w:tcBorders>
            <w:vAlign w:val="center"/>
          </w:tcPr>
          <w:p w14:paraId="72757B90" w14:textId="3AD1682F" w:rsidR="006C0110" w:rsidRPr="006C0110" w:rsidRDefault="006C0110" w:rsidP="006C0110">
            <w:pPr>
              <w:jc w:val="center"/>
              <w:rPr>
                <w:rFonts w:ascii="Arial" w:hAnsi="Arial" w:cs="Arial"/>
                <w:sz w:val="20"/>
                <w:szCs w:val="20"/>
              </w:rPr>
            </w:pPr>
            <w:r w:rsidRPr="00915411">
              <w:rPr>
                <w:rFonts w:ascii="Arial" w:hAnsi="Arial" w:cs="Arial"/>
                <w:sz w:val="20"/>
                <w:szCs w:val="20"/>
              </w:rPr>
              <w:t>0.46</w:t>
            </w:r>
          </w:p>
        </w:tc>
        <w:tc>
          <w:tcPr>
            <w:tcW w:w="1027" w:type="dxa"/>
            <w:gridSpan w:val="2"/>
            <w:tcBorders>
              <w:top w:val="single" w:sz="4" w:space="0" w:color="auto"/>
            </w:tcBorders>
            <w:vAlign w:val="center"/>
          </w:tcPr>
          <w:p w14:paraId="201232BC" w14:textId="44212DF1" w:rsidR="006C0110" w:rsidRPr="006C0110" w:rsidRDefault="006C0110" w:rsidP="006C0110">
            <w:pPr>
              <w:jc w:val="center"/>
              <w:rPr>
                <w:rFonts w:ascii="Arial" w:hAnsi="Arial" w:cs="Arial"/>
                <w:sz w:val="20"/>
                <w:szCs w:val="20"/>
              </w:rPr>
            </w:pPr>
            <w:r w:rsidRPr="00915411">
              <w:rPr>
                <w:rFonts w:ascii="Arial" w:hAnsi="Arial" w:cs="Arial"/>
                <w:sz w:val="20"/>
                <w:szCs w:val="20"/>
              </w:rPr>
              <w:t>3.79</w:t>
            </w:r>
          </w:p>
        </w:tc>
        <w:tc>
          <w:tcPr>
            <w:tcW w:w="2263" w:type="dxa"/>
            <w:tcBorders>
              <w:top w:val="single" w:sz="4" w:space="0" w:color="auto"/>
            </w:tcBorders>
            <w:vAlign w:val="center"/>
          </w:tcPr>
          <w:p w14:paraId="75310DAA" w14:textId="4DE6743E"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72DBC142" w14:textId="77777777" w:rsidTr="00A74B37">
        <w:trPr>
          <w:gridAfter w:val="1"/>
          <w:wAfter w:w="12" w:type="dxa"/>
          <w:trHeight w:val="406"/>
        </w:trPr>
        <w:tc>
          <w:tcPr>
            <w:tcW w:w="4354" w:type="dxa"/>
            <w:gridSpan w:val="2"/>
            <w:vAlign w:val="center"/>
          </w:tcPr>
          <w:p w14:paraId="652365C3" w14:textId="17BF0AAE"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Instruction</w:t>
            </w:r>
          </w:p>
        </w:tc>
        <w:tc>
          <w:tcPr>
            <w:tcW w:w="869" w:type="dxa"/>
            <w:vAlign w:val="center"/>
          </w:tcPr>
          <w:p w14:paraId="1A03CACD" w14:textId="616EDDAC" w:rsidR="006C0110" w:rsidRPr="006C0110" w:rsidRDefault="006C0110" w:rsidP="006C0110">
            <w:pPr>
              <w:jc w:val="center"/>
              <w:rPr>
                <w:rFonts w:ascii="Arial" w:hAnsi="Arial" w:cs="Arial"/>
                <w:sz w:val="20"/>
                <w:szCs w:val="20"/>
              </w:rPr>
            </w:pPr>
            <w:r w:rsidRPr="00915411">
              <w:rPr>
                <w:rFonts w:ascii="Arial" w:hAnsi="Arial" w:cs="Arial"/>
                <w:sz w:val="20"/>
                <w:szCs w:val="20"/>
              </w:rPr>
              <w:t>0.50</w:t>
            </w:r>
          </w:p>
        </w:tc>
        <w:tc>
          <w:tcPr>
            <w:tcW w:w="1027" w:type="dxa"/>
            <w:gridSpan w:val="2"/>
            <w:vAlign w:val="center"/>
          </w:tcPr>
          <w:p w14:paraId="1E87CF99" w14:textId="749972D5" w:rsidR="006C0110" w:rsidRPr="006C0110" w:rsidRDefault="006C0110" w:rsidP="006C0110">
            <w:pPr>
              <w:jc w:val="center"/>
              <w:rPr>
                <w:rFonts w:ascii="Arial" w:hAnsi="Arial" w:cs="Arial"/>
                <w:sz w:val="20"/>
                <w:szCs w:val="20"/>
              </w:rPr>
            </w:pPr>
            <w:r w:rsidRPr="00915411">
              <w:rPr>
                <w:rFonts w:ascii="Arial" w:hAnsi="Arial" w:cs="Arial"/>
                <w:sz w:val="20"/>
                <w:szCs w:val="20"/>
              </w:rPr>
              <w:t>3.62</w:t>
            </w:r>
          </w:p>
        </w:tc>
        <w:tc>
          <w:tcPr>
            <w:tcW w:w="2263" w:type="dxa"/>
            <w:vAlign w:val="center"/>
          </w:tcPr>
          <w:p w14:paraId="5B33F21A" w14:textId="07DB93D0"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1059F5F2" w14:textId="77777777" w:rsidTr="00A74B37">
        <w:trPr>
          <w:gridAfter w:val="1"/>
          <w:wAfter w:w="12" w:type="dxa"/>
          <w:trHeight w:val="416"/>
        </w:trPr>
        <w:tc>
          <w:tcPr>
            <w:tcW w:w="4354" w:type="dxa"/>
            <w:gridSpan w:val="2"/>
            <w:vAlign w:val="center"/>
          </w:tcPr>
          <w:p w14:paraId="7391FDCE" w14:textId="7084651F"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Preventive</w:t>
            </w:r>
          </w:p>
        </w:tc>
        <w:tc>
          <w:tcPr>
            <w:tcW w:w="869" w:type="dxa"/>
            <w:vAlign w:val="center"/>
          </w:tcPr>
          <w:p w14:paraId="42C2B95A" w14:textId="7F8450AB" w:rsidR="006C0110" w:rsidRPr="006C0110" w:rsidRDefault="006C0110" w:rsidP="006C0110">
            <w:pPr>
              <w:jc w:val="center"/>
              <w:rPr>
                <w:rFonts w:ascii="Arial" w:hAnsi="Arial" w:cs="Arial"/>
                <w:sz w:val="20"/>
                <w:szCs w:val="20"/>
              </w:rPr>
            </w:pPr>
            <w:r w:rsidRPr="00915411">
              <w:rPr>
                <w:rFonts w:ascii="Arial" w:hAnsi="Arial" w:cs="Arial"/>
                <w:sz w:val="20"/>
                <w:szCs w:val="20"/>
              </w:rPr>
              <w:t>0.52</w:t>
            </w:r>
          </w:p>
        </w:tc>
        <w:tc>
          <w:tcPr>
            <w:tcW w:w="1027" w:type="dxa"/>
            <w:gridSpan w:val="2"/>
            <w:vAlign w:val="center"/>
          </w:tcPr>
          <w:p w14:paraId="434D92BA" w14:textId="30786179" w:rsidR="006C0110" w:rsidRPr="006C0110" w:rsidRDefault="006C0110" w:rsidP="006C0110">
            <w:pPr>
              <w:jc w:val="center"/>
              <w:rPr>
                <w:rFonts w:ascii="Arial" w:hAnsi="Arial" w:cs="Arial"/>
                <w:sz w:val="20"/>
                <w:szCs w:val="20"/>
              </w:rPr>
            </w:pPr>
            <w:r w:rsidRPr="00915411">
              <w:rPr>
                <w:rFonts w:ascii="Arial" w:hAnsi="Arial" w:cs="Arial"/>
                <w:sz w:val="20"/>
                <w:szCs w:val="20"/>
              </w:rPr>
              <w:t>3.29</w:t>
            </w:r>
          </w:p>
        </w:tc>
        <w:tc>
          <w:tcPr>
            <w:tcW w:w="2263" w:type="dxa"/>
            <w:vAlign w:val="center"/>
          </w:tcPr>
          <w:p w14:paraId="1202CC07" w14:textId="5BBB9CAF" w:rsidR="006C0110" w:rsidRPr="006C0110" w:rsidRDefault="006C0110" w:rsidP="006C0110">
            <w:pPr>
              <w:jc w:val="center"/>
              <w:rPr>
                <w:rFonts w:ascii="Arial" w:hAnsi="Arial" w:cs="Arial"/>
                <w:sz w:val="20"/>
                <w:szCs w:val="20"/>
              </w:rPr>
            </w:pPr>
            <w:r w:rsidRPr="00915411">
              <w:rPr>
                <w:rFonts w:ascii="Arial" w:hAnsi="Arial" w:cs="Arial"/>
                <w:sz w:val="20"/>
                <w:szCs w:val="20"/>
              </w:rPr>
              <w:t>Moderate</w:t>
            </w:r>
          </w:p>
        </w:tc>
      </w:tr>
      <w:tr w:rsidR="006C0110" w:rsidRPr="007E5C64" w14:paraId="28BCBF44" w14:textId="77777777" w:rsidTr="00A74B37">
        <w:trPr>
          <w:gridAfter w:val="1"/>
          <w:wAfter w:w="12" w:type="dxa"/>
          <w:trHeight w:val="416"/>
        </w:trPr>
        <w:tc>
          <w:tcPr>
            <w:tcW w:w="4354" w:type="dxa"/>
            <w:gridSpan w:val="2"/>
            <w:vAlign w:val="center"/>
          </w:tcPr>
          <w:p w14:paraId="663D10BD" w14:textId="35DB862B" w:rsidR="006C0110" w:rsidRPr="006C0110" w:rsidRDefault="006C0110" w:rsidP="006C0110">
            <w:pPr>
              <w:widowControl w:val="0"/>
              <w:ind w:firstLine="341"/>
              <w:rPr>
                <w:rFonts w:ascii="Arial" w:hAnsi="Arial" w:cs="Arial"/>
                <w:sz w:val="20"/>
                <w:szCs w:val="20"/>
              </w:rPr>
            </w:pPr>
            <w:r w:rsidRPr="00915411">
              <w:rPr>
                <w:rFonts w:ascii="Arial" w:hAnsi="Arial" w:cs="Arial"/>
                <w:sz w:val="20"/>
                <w:szCs w:val="20"/>
              </w:rPr>
              <w:t>Responsive</w:t>
            </w:r>
          </w:p>
        </w:tc>
        <w:tc>
          <w:tcPr>
            <w:tcW w:w="869" w:type="dxa"/>
            <w:vAlign w:val="center"/>
          </w:tcPr>
          <w:p w14:paraId="4FB81BF8" w14:textId="1F628585" w:rsidR="006C0110" w:rsidRPr="006C0110" w:rsidRDefault="006C0110" w:rsidP="006C0110">
            <w:pPr>
              <w:jc w:val="center"/>
              <w:rPr>
                <w:rFonts w:ascii="Arial" w:hAnsi="Arial" w:cs="Arial"/>
                <w:sz w:val="20"/>
                <w:szCs w:val="20"/>
              </w:rPr>
            </w:pPr>
            <w:r w:rsidRPr="00915411">
              <w:rPr>
                <w:rFonts w:ascii="Arial" w:hAnsi="Arial" w:cs="Arial"/>
                <w:sz w:val="20"/>
                <w:szCs w:val="20"/>
              </w:rPr>
              <w:t>0.48</w:t>
            </w:r>
          </w:p>
        </w:tc>
        <w:tc>
          <w:tcPr>
            <w:tcW w:w="1027" w:type="dxa"/>
            <w:gridSpan w:val="2"/>
            <w:vAlign w:val="center"/>
          </w:tcPr>
          <w:p w14:paraId="6515D5DA" w14:textId="6E4E0FAD" w:rsidR="006C0110" w:rsidRPr="006C0110" w:rsidRDefault="006C0110" w:rsidP="006C0110">
            <w:pPr>
              <w:jc w:val="center"/>
              <w:rPr>
                <w:rFonts w:ascii="Arial" w:hAnsi="Arial" w:cs="Arial"/>
                <w:sz w:val="20"/>
                <w:szCs w:val="20"/>
              </w:rPr>
            </w:pPr>
            <w:r w:rsidRPr="00915411">
              <w:rPr>
                <w:rFonts w:ascii="Arial" w:hAnsi="Arial" w:cs="Arial"/>
                <w:sz w:val="20"/>
                <w:szCs w:val="20"/>
              </w:rPr>
              <w:t>3.47</w:t>
            </w:r>
          </w:p>
        </w:tc>
        <w:tc>
          <w:tcPr>
            <w:tcW w:w="2263" w:type="dxa"/>
            <w:vAlign w:val="center"/>
          </w:tcPr>
          <w:p w14:paraId="11BA0775" w14:textId="2AF498F5" w:rsidR="006C0110" w:rsidRPr="006C0110" w:rsidRDefault="006C0110" w:rsidP="006C0110">
            <w:pPr>
              <w:jc w:val="center"/>
              <w:rPr>
                <w:rFonts w:ascii="Arial" w:hAnsi="Arial" w:cs="Arial"/>
                <w:sz w:val="20"/>
                <w:szCs w:val="20"/>
              </w:rPr>
            </w:pPr>
            <w:r w:rsidRPr="00915411">
              <w:rPr>
                <w:rFonts w:ascii="Arial" w:hAnsi="Arial" w:cs="Arial"/>
                <w:sz w:val="20"/>
                <w:szCs w:val="20"/>
              </w:rPr>
              <w:t>High</w:t>
            </w:r>
          </w:p>
        </w:tc>
      </w:tr>
      <w:tr w:rsidR="006C0110" w:rsidRPr="007E5C64" w14:paraId="6B4267CB" w14:textId="77777777" w:rsidTr="00A74B37">
        <w:trPr>
          <w:trHeight w:val="305"/>
        </w:trPr>
        <w:tc>
          <w:tcPr>
            <w:tcW w:w="4312" w:type="dxa"/>
            <w:vAlign w:val="center"/>
          </w:tcPr>
          <w:p w14:paraId="6C024A2C" w14:textId="0E36739E" w:rsidR="006C0110" w:rsidRPr="00947E63" w:rsidRDefault="006C0110" w:rsidP="006C0110">
            <w:pPr>
              <w:rPr>
                <w:rFonts w:ascii="Arial" w:eastAsia="Calibri" w:hAnsi="Arial" w:cs="Arial"/>
                <w:b/>
                <w:bCs/>
                <w:sz w:val="20"/>
                <w:szCs w:val="20"/>
              </w:rPr>
            </w:pPr>
            <w:r w:rsidRPr="00915411">
              <w:rPr>
                <w:rFonts w:ascii="Arial" w:hAnsi="Arial" w:cs="Arial"/>
                <w:b/>
                <w:bCs/>
                <w:sz w:val="20"/>
                <w:szCs w:val="20"/>
              </w:rPr>
              <w:t>Overall</w:t>
            </w:r>
          </w:p>
        </w:tc>
        <w:tc>
          <w:tcPr>
            <w:tcW w:w="911" w:type="dxa"/>
            <w:gridSpan w:val="2"/>
            <w:vAlign w:val="center"/>
          </w:tcPr>
          <w:p w14:paraId="2EE47C36" w14:textId="079CDEEB"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0.49</w:t>
            </w:r>
          </w:p>
        </w:tc>
        <w:tc>
          <w:tcPr>
            <w:tcW w:w="1008" w:type="dxa"/>
            <w:vAlign w:val="center"/>
          </w:tcPr>
          <w:p w14:paraId="0E7DF1C5" w14:textId="06CBAAB4"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3.36</w:t>
            </w:r>
          </w:p>
        </w:tc>
        <w:tc>
          <w:tcPr>
            <w:tcW w:w="2294" w:type="dxa"/>
            <w:gridSpan w:val="3"/>
            <w:vAlign w:val="center"/>
          </w:tcPr>
          <w:p w14:paraId="10B0D75B" w14:textId="63EBF36E" w:rsidR="006C0110" w:rsidRPr="00947E63" w:rsidRDefault="006C0110" w:rsidP="006C0110">
            <w:pPr>
              <w:jc w:val="center"/>
              <w:rPr>
                <w:rFonts w:ascii="Arial" w:hAnsi="Arial" w:cs="Arial"/>
                <w:b/>
                <w:bCs/>
                <w:sz w:val="20"/>
                <w:szCs w:val="20"/>
              </w:rPr>
            </w:pPr>
            <w:r w:rsidRPr="00915411">
              <w:rPr>
                <w:rFonts w:ascii="Arial" w:hAnsi="Arial" w:cs="Arial"/>
                <w:b/>
                <w:bCs/>
                <w:sz w:val="20"/>
                <w:szCs w:val="20"/>
              </w:rPr>
              <w:t>High</w:t>
            </w:r>
          </w:p>
        </w:tc>
      </w:tr>
    </w:tbl>
    <w:p w14:paraId="684686C3" w14:textId="77777777" w:rsidR="00A574C3" w:rsidRPr="007E5C64" w:rsidRDefault="00A574C3">
      <w:pPr>
        <w:jc w:val="both"/>
        <w:rPr>
          <w:rFonts w:ascii="Arial" w:hAnsi="Arial" w:cs="Arial"/>
          <w:b/>
          <w:iCs/>
          <w:sz w:val="20"/>
          <w:szCs w:val="20"/>
        </w:rPr>
      </w:pPr>
    </w:p>
    <w:p w14:paraId="21ED3F61" w14:textId="47C96E25" w:rsidR="0073677C" w:rsidRPr="007E5C64" w:rsidRDefault="0073677C" w:rsidP="0073677C">
      <w:pPr>
        <w:jc w:val="both"/>
        <w:rPr>
          <w:rFonts w:ascii="Arial" w:hAnsi="Arial" w:cs="Arial"/>
          <w:sz w:val="20"/>
          <w:szCs w:val="20"/>
        </w:rPr>
      </w:pPr>
    </w:p>
    <w:p w14:paraId="50664C49"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 xml:space="preserve">Presented in Table 2 is the summary of the domains in the level of creating community teaching among teachers in public elementary schools, including supportive, instruction, preventive, and responsive practices. Among the four domains, the highest mean was recorded in the supportive domain at 3.79, followed by instruction at 3.62 and responsive at 3.47. The preventive domain had the lowest mean of 3.29, which is described as “moderate.” </w:t>
      </w:r>
      <w:r w:rsidRPr="00947E63">
        <w:rPr>
          <w:rFonts w:ascii="Arial" w:hAnsi="Arial" w:cs="Arial"/>
          <w:sz w:val="20"/>
          <w:szCs w:val="20"/>
        </w:rPr>
        <w:lastRenderedPageBreak/>
        <w:t>Despite this, the overall mean of 3.36 is interpreted as “high,” indicating that public elementary school teachers frequently implement community teaching practices across most domains.</w:t>
      </w:r>
    </w:p>
    <w:p w14:paraId="7F897843" w14:textId="77777777" w:rsidR="00947E63" w:rsidRPr="00947E63" w:rsidRDefault="00947E63" w:rsidP="00947E63">
      <w:pPr>
        <w:jc w:val="both"/>
        <w:rPr>
          <w:rFonts w:ascii="Arial" w:hAnsi="Arial" w:cs="Arial"/>
          <w:sz w:val="20"/>
          <w:szCs w:val="20"/>
        </w:rPr>
      </w:pPr>
    </w:p>
    <w:p w14:paraId="57D7AA2F" w14:textId="77777777" w:rsidR="00947E63" w:rsidRPr="00947E63" w:rsidRDefault="00947E63" w:rsidP="00947E63">
      <w:pPr>
        <w:jc w:val="both"/>
        <w:rPr>
          <w:rFonts w:ascii="Arial" w:hAnsi="Arial" w:cs="Arial"/>
          <w:sz w:val="20"/>
          <w:szCs w:val="20"/>
        </w:rPr>
      </w:pPr>
      <w:r w:rsidRPr="00947E63">
        <w:rPr>
          <w:rFonts w:ascii="Arial" w:hAnsi="Arial" w:cs="Arial"/>
          <w:sz w:val="20"/>
          <w:szCs w:val="20"/>
        </w:rPr>
        <w:t>The overall standard deviation of 0.49 shows a moderate spread of responses around the mean, suggesting that teachers share similar perspectives and behaviors in fostering community within their classrooms. The high scores in the supportive, instructional, and responsive domains demonstrate a strong commitment to nurturing inclusive and caring relationships with students. However, the moderate score in the preventive domain suggests an opportunity for further development in implementing proactive strategies to address potential challenges in classroom communities.</w:t>
      </w:r>
    </w:p>
    <w:p w14:paraId="07A8B30E" w14:textId="77777777" w:rsidR="00947E63" w:rsidRPr="00947E63" w:rsidRDefault="00947E63" w:rsidP="00947E63">
      <w:pPr>
        <w:jc w:val="both"/>
        <w:rPr>
          <w:rFonts w:ascii="Arial" w:hAnsi="Arial" w:cs="Arial"/>
          <w:sz w:val="20"/>
          <w:szCs w:val="20"/>
        </w:rPr>
      </w:pPr>
    </w:p>
    <w:p w14:paraId="5591BBD8" w14:textId="2743E328" w:rsidR="00D815DA" w:rsidRPr="007E5C64" w:rsidRDefault="00947E63" w:rsidP="00947E63">
      <w:pPr>
        <w:jc w:val="both"/>
        <w:rPr>
          <w:rFonts w:ascii="Arial" w:hAnsi="Arial" w:cs="Arial"/>
          <w:sz w:val="20"/>
          <w:szCs w:val="20"/>
        </w:rPr>
      </w:pPr>
      <w:r w:rsidRPr="00947E63">
        <w:rPr>
          <w:rFonts w:ascii="Arial" w:hAnsi="Arial" w:cs="Arial"/>
          <w:sz w:val="20"/>
          <w:szCs w:val="20"/>
        </w:rPr>
        <w:t xml:space="preserve">This finding is consistent with the research of </w:t>
      </w:r>
      <w:r w:rsidR="00430496" w:rsidRPr="00430496">
        <w:rPr>
          <w:rFonts w:ascii="Arial" w:hAnsi="Arial" w:cs="Arial"/>
          <w:sz w:val="20"/>
          <w:szCs w:val="20"/>
        </w:rPr>
        <w:t xml:space="preserve">Finkelstein </w:t>
      </w:r>
      <w:r w:rsidR="00430496">
        <w:rPr>
          <w:rFonts w:ascii="Arial" w:hAnsi="Arial" w:cs="Arial"/>
          <w:sz w:val="20"/>
          <w:szCs w:val="20"/>
        </w:rPr>
        <w:t xml:space="preserve">et al.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who emphasized that creating a strong classroom community enhances students’ academic success and socio-emotional well-being. </w:t>
      </w:r>
      <w:r w:rsidR="00430496" w:rsidRPr="00430496">
        <w:rPr>
          <w:rFonts w:ascii="Arial" w:hAnsi="Arial" w:cs="Arial"/>
          <w:sz w:val="20"/>
          <w:szCs w:val="20"/>
        </w:rPr>
        <w:t xml:space="preserve">Brodie </w:t>
      </w:r>
      <w:r w:rsidRPr="00947E63">
        <w:rPr>
          <w:rFonts w:ascii="Arial" w:hAnsi="Arial" w:cs="Arial"/>
          <w:sz w:val="20"/>
          <w:szCs w:val="20"/>
        </w:rPr>
        <w:t>(</w:t>
      </w:r>
      <w:r w:rsidR="00430496">
        <w:rPr>
          <w:rFonts w:ascii="Arial" w:hAnsi="Arial" w:cs="Arial"/>
          <w:sz w:val="20"/>
          <w:szCs w:val="20"/>
        </w:rPr>
        <w:t>2021</w:t>
      </w:r>
      <w:r w:rsidRPr="00947E63">
        <w:rPr>
          <w:rFonts w:ascii="Arial" w:hAnsi="Arial" w:cs="Arial"/>
          <w:sz w:val="20"/>
          <w:szCs w:val="20"/>
        </w:rPr>
        <w:t xml:space="preserve">) also noted that supportive teacher-student interactions and collaborative instruction contribute significantly to building a sense of belonging and shared responsibility among learners. Additionally, </w:t>
      </w:r>
      <w:r w:rsidR="00430496" w:rsidRPr="00430496">
        <w:rPr>
          <w:rFonts w:ascii="Arial" w:hAnsi="Arial" w:cs="Arial"/>
          <w:sz w:val="20"/>
          <w:szCs w:val="20"/>
        </w:rPr>
        <w:t xml:space="preserve">de Carvalho-Filho </w:t>
      </w:r>
      <w:r w:rsidR="00430496">
        <w:rPr>
          <w:rFonts w:ascii="Arial" w:hAnsi="Arial" w:cs="Arial"/>
          <w:sz w:val="20"/>
          <w:szCs w:val="20"/>
        </w:rPr>
        <w:t xml:space="preserve"> et al. </w:t>
      </w:r>
      <w:r w:rsidRPr="00947E63">
        <w:rPr>
          <w:rFonts w:ascii="Arial" w:hAnsi="Arial" w:cs="Arial"/>
          <w:sz w:val="20"/>
          <w:szCs w:val="20"/>
        </w:rPr>
        <w:t>(</w:t>
      </w:r>
      <w:r w:rsidR="00430496">
        <w:rPr>
          <w:rFonts w:ascii="Arial" w:hAnsi="Arial" w:cs="Arial"/>
          <w:sz w:val="20"/>
          <w:szCs w:val="20"/>
        </w:rPr>
        <w:t>2020</w:t>
      </w:r>
      <w:r w:rsidRPr="00947E63">
        <w:rPr>
          <w:rFonts w:ascii="Arial" w:hAnsi="Arial" w:cs="Arial"/>
          <w:sz w:val="20"/>
          <w:szCs w:val="20"/>
        </w:rPr>
        <w:t>) highlighted the importance of preventive measures such as classroom routines and behavior contracts in sustaining a safe and collaborative environment.</w:t>
      </w:r>
    </w:p>
    <w:p w14:paraId="5759009B" w14:textId="10FB9871" w:rsidR="00D815DA" w:rsidRPr="007E5C64" w:rsidRDefault="00D815DA" w:rsidP="00D815DA">
      <w:pPr>
        <w:jc w:val="both"/>
        <w:rPr>
          <w:rFonts w:ascii="Arial" w:hAnsi="Arial" w:cs="Arial"/>
          <w:sz w:val="20"/>
          <w:szCs w:val="20"/>
        </w:rPr>
      </w:pPr>
    </w:p>
    <w:p w14:paraId="1F13EE89" w14:textId="77777777" w:rsidR="00D815DA" w:rsidRPr="007E5C64" w:rsidRDefault="00D815DA" w:rsidP="00D815DA">
      <w:pPr>
        <w:jc w:val="both"/>
        <w:rPr>
          <w:rFonts w:ascii="Arial" w:hAnsi="Arial" w:cs="Arial"/>
          <w:sz w:val="20"/>
          <w:szCs w:val="20"/>
        </w:rPr>
      </w:pPr>
    </w:p>
    <w:p w14:paraId="30567870" w14:textId="6AC53E6B" w:rsidR="00D815DA" w:rsidRDefault="00781D5E" w:rsidP="00F600DB">
      <w:pPr>
        <w:jc w:val="both"/>
        <w:rPr>
          <w:rFonts w:ascii="Arial" w:hAnsi="Arial" w:cs="Arial"/>
          <w:b/>
          <w:bCs/>
          <w:iCs/>
          <w:sz w:val="20"/>
          <w:szCs w:val="20"/>
        </w:rPr>
      </w:pPr>
      <w:r w:rsidRPr="007E5C64">
        <w:rPr>
          <w:rFonts w:ascii="Arial" w:hAnsi="Arial" w:cs="Arial"/>
          <w:b/>
          <w:bCs/>
          <w:iCs/>
          <w:sz w:val="20"/>
          <w:szCs w:val="20"/>
        </w:rPr>
        <w:t xml:space="preserve">3.3 </w:t>
      </w:r>
      <w:r w:rsidR="00C548AC" w:rsidRPr="00C548AC">
        <w:rPr>
          <w:rFonts w:ascii="Arial" w:hAnsi="Arial" w:cs="Arial"/>
          <w:b/>
          <w:bCs/>
          <w:iCs/>
          <w:sz w:val="20"/>
          <w:szCs w:val="20"/>
        </w:rPr>
        <w:t>Significant Relationship between Attractive Classroom Organization and Creating Community Teaching among Teachers in Public Elementary Schools</w:t>
      </w:r>
    </w:p>
    <w:p w14:paraId="02CFFC94" w14:textId="77777777" w:rsidR="00C548AC" w:rsidRPr="007E5C64" w:rsidRDefault="00C548AC" w:rsidP="00F600DB">
      <w:pPr>
        <w:jc w:val="both"/>
        <w:rPr>
          <w:rFonts w:ascii="Arial" w:hAnsi="Arial" w:cs="Arial"/>
          <w:iCs/>
          <w:sz w:val="20"/>
          <w:szCs w:val="20"/>
        </w:rPr>
      </w:pPr>
    </w:p>
    <w:p w14:paraId="3E38AC03" w14:textId="57B4FB9E" w:rsidR="00D815DA" w:rsidRPr="007E5C64" w:rsidRDefault="00180859" w:rsidP="00F927B2">
      <w:pPr>
        <w:jc w:val="both"/>
        <w:rPr>
          <w:rFonts w:ascii="Arial" w:hAnsi="Arial" w:cs="Arial"/>
          <w:i/>
          <w:sz w:val="20"/>
          <w:szCs w:val="20"/>
        </w:rPr>
      </w:pPr>
      <w:r w:rsidRPr="007E5C64">
        <w:rPr>
          <w:rFonts w:ascii="Arial" w:hAnsi="Arial" w:cs="Arial"/>
          <w:iCs/>
          <w:sz w:val="20"/>
          <w:szCs w:val="20"/>
        </w:rPr>
        <w:t>Table 3</w:t>
      </w:r>
      <w:r w:rsidR="00781D5E" w:rsidRPr="007E5C64">
        <w:rPr>
          <w:rFonts w:ascii="Arial" w:hAnsi="Arial" w:cs="Arial"/>
          <w:iCs/>
          <w:sz w:val="20"/>
          <w:szCs w:val="20"/>
        </w:rPr>
        <w:t>.</w:t>
      </w:r>
      <w:r w:rsidRPr="007E5C64">
        <w:rPr>
          <w:rFonts w:ascii="Arial" w:hAnsi="Arial" w:cs="Arial"/>
          <w:iCs/>
          <w:sz w:val="20"/>
          <w:szCs w:val="20"/>
        </w:rPr>
        <w:t xml:space="preserve">  </w:t>
      </w:r>
      <w:r w:rsidR="00C548AC" w:rsidRPr="00C548AC">
        <w:rPr>
          <w:rFonts w:ascii="Arial" w:hAnsi="Arial" w:cs="Arial"/>
          <w:i/>
          <w:sz w:val="20"/>
          <w:szCs w:val="20"/>
        </w:rPr>
        <w:t>Significant Relationship between Attractive Classroom Organization and Creating Community Teaching among Teachers in Public Elementary Schools</w:t>
      </w:r>
    </w:p>
    <w:p w14:paraId="3580D37C" w14:textId="77777777" w:rsidR="00017E5D" w:rsidRPr="007E5C64"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45"/>
        <w:gridCol w:w="735"/>
        <w:gridCol w:w="735"/>
        <w:gridCol w:w="735"/>
        <w:gridCol w:w="1586"/>
        <w:gridCol w:w="846"/>
        <w:gridCol w:w="1167"/>
      </w:tblGrid>
      <w:tr w:rsidR="00D815DA" w:rsidRPr="007E5C64" w14:paraId="3A18DD2E" w14:textId="77777777" w:rsidTr="008D0509">
        <w:trPr>
          <w:trHeight w:val="790"/>
        </w:trPr>
        <w:tc>
          <w:tcPr>
            <w:tcW w:w="1559" w:type="dxa"/>
            <w:tcBorders>
              <w:top w:val="single" w:sz="4" w:space="0" w:color="auto"/>
              <w:bottom w:val="single" w:sz="4" w:space="0" w:color="auto"/>
            </w:tcBorders>
          </w:tcPr>
          <w:p w14:paraId="7CD69310"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Variables</w:t>
            </w:r>
          </w:p>
        </w:tc>
        <w:tc>
          <w:tcPr>
            <w:tcW w:w="845" w:type="dxa"/>
            <w:tcBorders>
              <w:top w:val="single" w:sz="4" w:space="0" w:color="auto"/>
              <w:bottom w:val="single" w:sz="4" w:space="0" w:color="auto"/>
            </w:tcBorders>
          </w:tcPr>
          <w:p w14:paraId="4ED4CFDD"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Mean</w:t>
            </w:r>
          </w:p>
        </w:tc>
        <w:tc>
          <w:tcPr>
            <w:tcW w:w="735" w:type="dxa"/>
            <w:tcBorders>
              <w:top w:val="single" w:sz="4" w:space="0" w:color="auto"/>
              <w:bottom w:val="single" w:sz="4" w:space="0" w:color="auto"/>
            </w:tcBorders>
          </w:tcPr>
          <w:p w14:paraId="55371F49"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SD</w:t>
            </w:r>
          </w:p>
        </w:tc>
        <w:tc>
          <w:tcPr>
            <w:tcW w:w="735" w:type="dxa"/>
            <w:tcBorders>
              <w:top w:val="single" w:sz="4" w:space="0" w:color="auto"/>
              <w:bottom w:val="single" w:sz="4" w:space="0" w:color="auto"/>
            </w:tcBorders>
          </w:tcPr>
          <w:p w14:paraId="3EB810BB"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R</w:t>
            </w:r>
          </w:p>
        </w:tc>
        <w:tc>
          <w:tcPr>
            <w:tcW w:w="735" w:type="dxa"/>
            <w:tcBorders>
              <w:top w:val="single" w:sz="4" w:space="0" w:color="auto"/>
              <w:bottom w:val="single" w:sz="4" w:space="0" w:color="auto"/>
            </w:tcBorders>
          </w:tcPr>
          <w:p w14:paraId="1C389331" w14:textId="14AA575E" w:rsidR="00D815DA" w:rsidRPr="007E5C64" w:rsidRDefault="00D815DA" w:rsidP="00D815DA">
            <w:pPr>
              <w:shd w:val="clear" w:color="auto" w:fill="FFFFFF"/>
              <w:spacing w:after="120"/>
              <w:jc w:val="center"/>
              <w:outlineLvl w:val="0"/>
              <w:rPr>
                <w:rFonts w:ascii="Arial" w:hAnsi="Arial"/>
                <w:b/>
                <w:bCs/>
                <w:kern w:val="36"/>
                <w:sz w:val="20"/>
                <w:szCs w:val="20"/>
              </w:rPr>
            </w:pPr>
            <w:r w:rsidRPr="007E5C64">
              <w:rPr>
                <w:rFonts w:ascii="Arial" w:hAnsi="Arial"/>
                <w:b/>
                <w:bCs/>
                <w:kern w:val="36"/>
                <w:sz w:val="20"/>
                <w:szCs w:val="20"/>
              </w:rPr>
              <w:t>R²</w:t>
            </w:r>
          </w:p>
        </w:tc>
        <w:tc>
          <w:tcPr>
            <w:tcW w:w="1586" w:type="dxa"/>
            <w:tcBorders>
              <w:top w:val="single" w:sz="4" w:space="0" w:color="auto"/>
              <w:bottom w:val="single" w:sz="4" w:space="0" w:color="auto"/>
            </w:tcBorders>
          </w:tcPr>
          <w:p w14:paraId="41737786"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Degree of Relationship</w:t>
            </w:r>
          </w:p>
        </w:tc>
        <w:tc>
          <w:tcPr>
            <w:tcW w:w="846" w:type="dxa"/>
            <w:tcBorders>
              <w:top w:val="single" w:sz="4" w:space="0" w:color="auto"/>
              <w:bottom w:val="single" w:sz="4" w:space="0" w:color="auto"/>
            </w:tcBorders>
          </w:tcPr>
          <w:p w14:paraId="05BD166A"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p-value</w:t>
            </w:r>
          </w:p>
        </w:tc>
        <w:tc>
          <w:tcPr>
            <w:tcW w:w="1167" w:type="dxa"/>
            <w:tcBorders>
              <w:top w:val="single" w:sz="4" w:space="0" w:color="auto"/>
              <w:bottom w:val="single" w:sz="4" w:space="0" w:color="auto"/>
            </w:tcBorders>
          </w:tcPr>
          <w:p w14:paraId="4211A5F7"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Decision</w:t>
            </w:r>
          </w:p>
        </w:tc>
      </w:tr>
      <w:tr w:rsidR="003C0907" w:rsidRPr="007E5C64" w14:paraId="50E32557" w14:textId="77777777" w:rsidTr="00603BC1">
        <w:trPr>
          <w:trHeight w:val="967"/>
        </w:trPr>
        <w:tc>
          <w:tcPr>
            <w:tcW w:w="1559" w:type="dxa"/>
            <w:tcBorders>
              <w:top w:val="single" w:sz="4" w:space="0" w:color="auto"/>
            </w:tcBorders>
            <w:vAlign w:val="center"/>
          </w:tcPr>
          <w:p w14:paraId="66EA0F7E" w14:textId="3FCE1821"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Attractive Classroom Organization</w:t>
            </w:r>
          </w:p>
        </w:tc>
        <w:tc>
          <w:tcPr>
            <w:tcW w:w="845" w:type="dxa"/>
            <w:tcBorders>
              <w:top w:val="single" w:sz="4" w:space="0" w:color="auto"/>
            </w:tcBorders>
            <w:vAlign w:val="center"/>
          </w:tcPr>
          <w:p w14:paraId="3C613030" w14:textId="3A51901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3.76</w:t>
            </w:r>
          </w:p>
        </w:tc>
        <w:tc>
          <w:tcPr>
            <w:tcW w:w="735" w:type="dxa"/>
            <w:tcBorders>
              <w:top w:val="single" w:sz="4" w:space="0" w:color="auto"/>
            </w:tcBorders>
            <w:vAlign w:val="center"/>
          </w:tcPr>
          <w:p w14:paraId="77826BFD" w14:textId="4A1E18CE"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tcBorders>
              <w:top w:val="single" w:sz="4" w:space="0" w:color="auto"/>
            </w:tcBorders>
            <w:vAlign w:val="center"/>
          </w:tcPr>
          <w:p w14:paraId="6175BED8"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tcBorders>
              <w:top w:val="single" w:sz="4" w:space="0" w:color="auto"/>
            </w:tcBorders>
            <w:vAlign w:val="center"/>
          </w:tcPr>
          <w:p w14:paraId="7D27611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tcBorders>
              <w:top w:val="single" w:sz="4" w:space="0" w:color="auto"/>
            </w:tcBorders>
            <w:vAlign w:val="center"/>
          </w:tcPr>
          <w:p w14:paraId="6AC3F25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tcBorders>
              <w:top w:val="single" w:sz="4" w:space="0" w:color="auto"/>
            </w:tcBorders>
            <w:vAlign w:val="center"/>
          </w:tcPr>
          <w:p w14:paraId="7A35B9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tcBorders>
              <w:top w:val="single" w:sz="4" w:space="0" w:color="auto"/>
            </w:tcBorders>
            <w:vAlign w:val="center"/>
          </w:tcPr>
          <w:p w14:paraId="7A1348F7"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r w:rsidR="003C0907" w:rsidRPr="007E5C64" w14:paraId="61744C56" w14:textId="77777777" w:rsidTr="00603BC1">
        <w:trPr>
          <w:trHeight w:val="652"/>
        </w:trPr>
        <w:tc>
          <w:tcPr>
            <w:tcW w:w="1559" w:type="dxa"/>
            <w:vAlign w:val="center"/>
          </w:tcPr>
          <w:p w14:paraId="351C4CF4" w14:textId="77777777" w:rsidR="003C0907" w:rsidRPr="003C0907" w:rsidRDefault="003C0907" w:rsidP="003C0907">
            <w:pPr>
              <w:widowControl w:val="0"/>
              <w:autoSpaceDE w:val="0"/>
              <w:autoSpaceDN w:val="0"/>
              <w:jc w:val="center"/>
              <w:rPr>
                <w:rFonts w:ascii="Arial" w:eastAsia="Arial" w:hAnsi="Arial" w:cs="Arial"/>
                <w:sz w:val="20"/>
                <w:szCs w:val="20"/>
              </w:rPr>
            </w:pPr>
          </w:p>
        </w:tc>
        <w:tc>
          <w:tcPr>
            <w:tcW w:w="845" w:type="dxa"/>
            <w:vAlign w:val="center"/>
          </w:tcPr>
          <w:p w14:paraId="19C0F805"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1AF7A751"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9DA9D8D" w14:textId="48FC2B28"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0.58</w:t>
            </w:r>
          </w:p>
        </w:tc>
        <w:tc>
          <w:tcPr>
            <w:tcW w:w="735" w:type="dxa"/>
            <w:vAlign w:val="center"/>
          </w:tcPr>
          <w:p w14:paraId="42DAFCDE" w14:textId="4CDFBC40"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0.34</w:t>
            </w:r>
          </w:p>
        </w:tc>
        <w:tc>
          <w:tcPr>
            <w:tcW w:w="1586" w:type="dxa"/>
            <w:vAlign w:val="center"/>
          </w:tcPr>
          <w:p w14:paraId="6623B7E6" w14:textId="15DE1CBC"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High</w:t>
            </w:r>
          </w:p>
        </w:tc>
        <w:tc>
          <w:tcPr>
            <w:tcW w:w="846" w:type="dxa"/>
            <w:vAlign w:val="center"/>
          </w:tcPr>
          <w:p w14:paraId="0352D7F0" w14:textId="16C85E9A"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0.000</w:t>
            </w:r>
          </w:p>
        </w:tc>
        <w:tc>
          <w:tcPr>
            <w:tcW w:w="1167" w:type="dxa"/>
            <w:vAlign w:val="center"/>
          </w:tcPr>
          <w:p w14:paraId="1C32BC73" w14:textId="39BFD583"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Reject Ho</w:t>
            </w:r>
            <w:r w:rsidRPr="00915411">
              <w:rPr>
                <w:rFonts w:ascii="Cambria Math" w:hAnsi="Cambria Math" w:cs="Cambria Math"/>
                <w:sz w:val="20"/>
                <w:szCs w:val="20"/>
              </w:rPr>
              <w:t>₁</w:t>
            </w:r>
          </w:p>
        </w:tc>
      </w:tr>
      <w:tr w:rsidR="003C0907" w:rsidRPr="007E5C64" w14:paraId="670EDBF1" w14:textId="77777777" w:rsidTr="00603BC1">
        <w:trPr>
          <w:trHeight w:val="632"/>
        </w:trPr>
        <w:tc>
          <w:tcPr>
            <w:tcW w:w="1559" w:type="dxa"/>
            <w:vAlign w:val="center"/>
          </w:tcPr>
          <w:p w14:paraId="45A177CD" w14:textId="2739E59B" w:rsidR="003C0907" w:rsidRPr="003C0907" w:rsidRDefault="003C0907" w:rsidP="003C0907">
            <w:pPr>
              <w:widowControl w:val="0"/>
              <w:autoSpaceDE w:val="0"/>
              <w:autoSpaceDN w:val="0"/>
              <w:jc w:val="center"/>
              <w:rPr>
                <w:rFonts w:ascii="Arial" w:eastAsia="Arial" w:hAnsi="Arial" w:cs="Arial"/>
                <w:sz w:val="20"/>
                <w:szCs w:val="20"/>
              </w:rPr>
            </w:pPr>
            <w:r w:rsidRPr="00915411">
              <w:rPr>
                <w:rFonts w:ascii="Arial" w:hAnsi="Arial" w:cs="Arial"/>
                <w:sz w:val="20"/>
                <w:szCs w:val="20"/>
              </w:rPr>
              <w:t>Creating Community Teaching</w:t>
            </w:r>
          </w:p>
        </w:tc>
        <w:tc>
          <w:tcPr>
            <w:tcW w:w="845" w:type="dxa"/>
            <w:vAlign w:val="center"/>
          </w:tcPr>
          <w:p w14:paraId="5E7DD747" w14:textId="34DCF4CF"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3.36</w:t>
            </w:r>
          </w:p>
        </w:tc>
        <w:tc>
          <w:tcPr>
            <w:tcW w:w="735" w:type="dxa"/>
            <w:vAlign w:val="center"/>
          </w:tcPr>
          <w:p w14:paraId="1CB89689" w14:textId="29D1F2A7" w:rsidR="003C0907" w:rsidRPr="003C0907" w:rsidRDefault="003C0907" w:rsidP="003C0907">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0.49</w:t>
            </w:r>
          </w:p>
        </w:tc>
        <w:tc>
          <w:tcPr>
            <w:tcW w:w="735" w:type="dxa"/>
            <w:vAlign w:val="center"/>
          </w:tcPr>
          <w:p w14:paraId="7073D424"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735" w:type="dxa"/>
            <w:vAlign w:val="center"/>
          </w:tcPr>
          <w:p w14:paraId="269E6922"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586" w:type="dxa"/>
            <w:vAlign w:val="center"/>
          </w:tcPr>
          <w:p w14:paraId="2634012A"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846" w:type="dxa"/>
            <w:vAlign w:val="center"/>
          </w:tcPr>
          <w:p w14:paraId="341D6A7F"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c>
          <w:tcPr>
            <w:tcW w:w="1167" w:type="dxa"/>
            <w:vAlign w:val="center"/>
          </w:tcPr>
          <w:p w14:paraId="678B537D" w14:textId="77777777" w:rsidR="003C0907" w:rsidRPr="003C0907" w:rsidRDefault="003C0907" w:rsidP="003C0907">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E5C64" w:rsidRDefault="00717F2E">
      <w:pPr>
        <w:jc w:val="both"/>
        <w:rPr>
          <w:rFonts w:ascii="Arial" w:hAnsi="Arial" w:cs="Arial"/>
          <w:sz w:val="20"/>
          <w:szCs w:val="20"/>
        </w:rPr>
      </w:pPr>
    </w:p>
    <w:p w14:paraId="1A076955" w14:textId="77777777" w:rsidR="003C0907" w:rsidRPr="003C0907" w:rsidRDefault="003C0907" w:rsidP="003C0907">
      <w:pPr>
        <w:jc w:val="both"/>
        <w:rPr>
          <w:rFonts w:ascii="Arial" w:hAnsi="Arial" w:cs="Arial"/>
          <w:sz w:val="20"/>
          <w:szCs w:val="20"/>
        </w:rPr>
      </w:pPr>
      <w:r w:rsidRPr="003C0907">
        <w:rPr>
          <w:rFonts w:ascii="Arial" w:hAnsi="Arial" w:cs="Arial"/>
          <w:sz w:val="20"/>
          <w:szCs w:val="20"/>
        </w:rPr>
        <w:t>Presented in Table 3 is the correlation analysis between attractive classroom organization and creating community teaching among teachers in public elementary schools. The relationship between these two variables yielded a correlation coefficient (R) of 0.58 and a p-value of 0.000, which is lower than the 0.05 level of significance. This indicates a high and statistically significant positive relationship between attractive classroom organization and creating community teaching. The R² value of 0.34 implies that 34% of the variation in creating community teaching can be explained by the degree of attractive classroom organization. Since the p-value is less than 0.05, the null hypothesis (Ho</w:t>
      </w:r>
      <w:r w:rsidRPr="003C0907">
        <w:rPr>
          <w:rFonts w:ascii="Cambria Math" w:hAnsi="Cambria Math" w:cs="Cambria Math"/>
          <w:sz w:val="20"/>
          <w:szCs w:val="20"/>
        </w:rPr>
        <w:t>₁</w:t>
      </w:r>
      <w:r w:rsidRPr="003C0907">
        <w:rPr>
          <w:rFonts w:ascii="Arial" w:hAnsi="Arial" w:cs="Arial"/>
          <w:sz w:val="20"/>
          <w:szCs w:val="20"/>
        </w:rPr>
        <w:t>) is rejected, confirming that attractive classroom organization is significantly related to creating community teaching.</w:t>
      </w:r>
    </w:p>
    <w:p w14:paraId="2960AB89" w14:textId="77777777" w:rsidR="003C0907" w:rsidRPr="003C0907" w:rsidRDefault="003C0907" w:rsidP="003C0907">
      <w:pPr>
        <w:jc w:val="both"/>
        <w:rPr>
          <w:rFonts w:ascii="Arial" w:hAnsi="Arial" w:cs="Arial"/>
          <w:sz w:val="20"/>
          <w:szCs w:val="20"/>
        </w:rPr>
      </w:pPr>
    </w:p>
    <w:p w14:paraId="7CA16F72" w14:textId="77777777" w:rsidR="003C0907" w:rsidRPr="003C0907" w:rsidRDefault="003C0907" w:rsidP="003C0907">
      <w:pPr>
        <w:jc w:val="both"/>
        <w:rPr>
          <w:rFonts w:ascii="Arial" w:hAnsi="Arial" w:cs="Arial"/>
          <w:sz w:val="20"/>
          <w:szCs w:val="20"/>
        </w:rPr>
      </w:pPr>
      <w:r w:rsidRPr="003C0907">
        <w:rPr>
          <w:rFonts w:ascii="Arial" w:hAnsi="Arial" w:cs="Arial"/>
          <w:sz w:val="20"/>
          <w:szCs w:val="20"/>
        </w:rPr>
        <w:t xml:space="preserve">This finding suggests that when teachers implement attractive classroom organization characterized by conceptual clarity, sensitivity to learners, responsiveness to needs, and a willingness to take instructional risks, they are more likely to foster a sense of community in </w:t>
      </w:r>
      <w:r w:rsidRPr="003C0907">
        <w:rPr>
          <w:rFonts w:ascii="Arial" w:hAnsi="Arial" w:cs="Arial"/>
          <w:sz w:val="20"/>
          <w:szCs w:val="20"/>
        </w:rPr>
        <w:lastRenderedPageBreak/>
        <w:t>their classrooms. The presence of well-organized, inclusive, and student-centered learning environments promotes stronger teacher-student relationships, meaningful instruction, and proactive behavior management—key components of creating community teaching.</w:t>
      </w:r>
    </w:p>
    <w:p w14:paraId="583D6FF5" w14:textId="77777777" w:rsidR="003C0907" w:rsidRPr="003C0907" w:rsidRDefault="003C0907" w:rsidP="003C0907">
      <w:pPr>
        <w:jc w:val="both"/>
        <w:rPr>
          <w:rFonts w:ascii="Arial" w:hAnsi="Arial" w:cs="Arial"/>
          <w:sz w:val="20"/>
          <w:szCs w:val="20"/>
        </w:rPr>
      </w:pPr>
    </w:p>
    <w:p w14:paraId="79180C0F" w14:textId="5070F725" w:rsidR="00D82866" w:rsidRPr="007E5C64" w:rsidRDefault="003C0907" w:rsidP="003C0907">
      <w:pPr>
        <w:jc w:val="both"/>
        <w:rPr>
          <w:rFonts w:ascii="Arial" w:hAnsi="Arial" w:cs="Arial"/>
          <w:sz w:val="20"/>
          <w:szCs w:val="20"/>
        </w:rPr>
      </w:pPr>
      <w:r w:rsidRPr="003C0907">
        <w:rPr>
          <w:rFonts w:ascii="Arial" w:hAnsi="Arial" w:cs="Arial"/>
          <w:sz w:val="20"/>
          <w:szCs w:val="20"/>
        </w:rPr>
        <w:t xml:space="preserve">This finding is supported by the study of </w:t>
      </w:r>
      <w:r w:rsidR="00430496" w:rsidRPr="00430496">
        <w:rPr>
          <w:rFonts w:ascii="Arial" w:hAnsi="Arial" w:cs="Arial"/>
          <w:sz w:val="20"/>
          <w:szCs w:val="20"/>
        </w:rPr>
        <w:t xml:space="preserve">Sosa Díaz </w:t>
      </w:r>
      <w:r w:rsidRPr="003C0907">
        <w:rPr>
          <w:rFonts w:ascii="Arial" w:hAnsi="Arial" w:cs="Arial"/>
          <w:sz w:val="20"/>
          <w:szCs w:val="20"/>
        </w:rPr>
        <w:t xml:space="preserve">et al. (2021), who asserted that classroom organization plays a crucial role in building positive classroom communities by reducing anxiety, clarifying expectations, and facilitating student participation. Similarly, </w:t>
      </w:r>
      <w:r w:rsidR="00283BED" w:rsidRPr="00283BED">
        <w:rPr>
          <w:rFonts w:ascii="Arial" w:hAnsi="Arial" w:cs="Arial"/>
          <w:sz w:val="20"/>
          <w:szCs w:val="20"/>
        </w:rPr>
        <w:t xml:space="preserve">Khalfaoui </w:t>
      </w:r>
      <w:r w:rsidR="00283BED">
        <w:rPr>
          <w:rFonts w:ascii="Arial" w:hAnsi="Arial" w:cs="Arial"/>
          <w:sz w:val="20"/>
          <w:szCs w:val="20"/>
        </w:rPr>
        <w:t xml:space="preserve">et al. </w:t>
      </w:r>
      <w:r w:rsidRPr="003C0907">
        <w:rPr>
          <w:rFonts w:ascii="Arial" w:hAnsi="Arial" w:cs="Arial"/>
          <w:sz w:val="20"/>
          <w:szCs w:val="20"/>
        </w:rPr>
        <w:t>(</w:t>
      </w:r>
      <w:r w:rsidR="00283BED">
        <w:rPr>
          <w:rFonts w:ascii="Arial" w:hAnsi="Arial" w:cs="Arial"/>
          <w:sz w:val="20"/>
          <w:szCs w:val="20"/>
        </w:rPr>
        <w:t>2021</w:t>
      </w:r>
      <w:r w:rsidRPr="003C0907">
        <w:rPr>
          <w:rFonts w:ascii="Arial" w:hAnsi="Arial" w:cs="Arial"/>
          <w:sz w:val="20"/>
          <w:szCs w:val="20"/>
        </w:rPr>
        <w:t xml:space="preserve">) found that when teachers are intentional in designing and maintaining engaging classroom settings, learners are more likely to feel connected, supported, and responsible for their own learning and behavior. Moreover, the work of </w:t>
      </w:r>
      <w:r w:rsidR="00283BED" w:rsidRPr="00283BED">
        <w:rPr>
          <w:rFonts w:ascii="Arial" w:hAnsi="Arial" w:cs="Arial"/>
          <w:sz w:val="20"/>
          <w:szCs w:val="20"/>
        </w:rPr>
        <w:t xml:space="preserve">Shan </w:t>
      </w:r>
      <w:r w:rsidRPr="003C0907">
        <w:rPr>
          <w:rFonts w:ascii="Arial" w:hAnsi="Arial" w:cs="Arial"/>
          <w:sz w:val="20"/>
          <w:szCs w:val="20"/>
        </w:rPr>
        <w:t>(</w:t>
      </w:r>
      <w:r w:rsidR="00283BED">
        <w:rPr>
          <w:rFonts w:ascii="Arial" w:hAnsi="Arial" w:cs="Arial"/>
          <w:sz w:val="20"/>
          <w:szCs w:val="20"/>
        </w:rPr>
        <w:t>2022</w:t>
      </w:r>
      <w:r w:rsidRPr="003C0907">
        <w:rPr>
          <w:rFonts w:ascii="Arial" w:hAnsi="Arial" w:cs="Arial"/>
          <w:sz w:val="20"/>
          <w:szCs w:val="20"/>
        </w:rPr>
        <w:t>) affirmed that classrooms that encourage teacher innovation, student expression, and risk-taking help cultivate trust, belonging, and collaboration—key foundations of community-oriented teaching.</w:t>
      </w:r>
    </w:p>
    <w:p w14:paraId="1FB8CBC1" w14:textId="2B0212CF" w:rsidR="00017E5D" w:rsidRPr="007E5C64" w:rsidRDefault="00017E5D" w:rsidP="00017E5D">
      <w:pPr>
        <w:jc w:val="both"/>
        <w:rPr>
          <w:rFonts w:ascii="Arial" w:hAnsi="Arial" w:cs="Arial"/>
          <w:sz w:val="20"/>
          <w:szCs w:val="20"/>
        </w:rPr>
      </w:pPr>
    </w:p>
    <w:p w14:paraId="0D8ABDEF" w14:textId="7A31D4CD" w:rsidR="00914755" w:rsidRPr="007E5C64" w:rsidRDefault="00665D1C" w:rsidP="00151F8F">
      <w:pPr>
        <w:jc w:val="both"/>
        <w:rPr>
          <w:rFonts w:ascii="Arial" w:hAnsi="Arial" w:cs="Arial"/>
          <w:b/>
          <w:bCs/>
          <w:iCs/>
          <w:sz w:val="20"/>
          <w:szCs w:val="20"/>
        </w:rPr>
      </w:pPr>
      <w:r w:rsidRPr="007E5C64">
        <w:rPr>
          <w:rFonts w:ascii="Arial" w:hAnsi="Arial" w:cs="Arial"/>
          <w:b/>
          <w:bCs/>
          <w:iCs/>
          <w:sz w:val="20"/>
          <w:szCs w:val="20"/>
        </w:rPr>
        <w:t>3.4</w:t>
      </w:r>
      <w:r w:rsidR="00271F07" w:rsidRPr="007E5C64">
        <w:rPr>
          <w:rFonts w:ascii="Arial" w:hAnsi="Arial" w:cs="Arial"/>
          <w:b/>
          <w:bCs/>
          <w:iCs/>
          <w:sz w:val="20"/>
          <w:szCs w:val="20"/>
        </w:rPr>
        <w:t>.</w:t>
      </w:r>
      <w:r w:rsidRPr="007E5C64">
        <w:rPr>
          <w:rFonts w:ascii="Arial" w:hAnsi="Arial" w:cs="Arial"/>
          <w:b/>
          <w:bCs/>
          <w:iCs/>
          <w:sz w:val="20"/>
          <w:szCs w:val="20"/>
        </w:rPr>
        <w:t xml:space="preserve"> </w:t>
      </w:r>
      <w:r w:rsidR="00F4246D" w:rsidRPr="00F4246D">
        <w:rPr>
          <w:rFonts w:ascii="Arial" w:hAnsi="Arial" w:cs="Arial"/>
          <w:b/>
          <w:bCs/>
          <w:iCs/>
          <w:sz w:val="20"/>
          <w:szCs w:val="20"/>
        </w:rPr>
        <w:t>Domains of Attractive Classroom Organization that Significantly Influence Creating Community Teaching among Teachers in Public Elementary Schools</w:t>
      </w:r>
    </w:p>
    <w:p w14:paraId="7568132A" w14:textId="77777777" w:rsidR="00914755" w:rsidRPr="007E5C64" w:rsidRDefault="00914755" w:rsidP="00665D1C">
      <w:pPr>
        <w:rPr>
          <w:rFonts w:ascii="Arial" w:hAnsi="Arial" w:cs="Arial"/>
          <w:b/>
          <w:bCs/>
          <w:iCs/>
          <w:sz w:val="20"/>
          <w:szCs w:val="20"/>
        </w:rPr>
      </w:pPr>
    </w:p>
    <w:p w14:paraId="461FD1E7" w14:textId="057B476D" w:rsidR="00DE3EAB" w:rsidRPr="007E5C64" w:rsidRDefault="00B364F1" w:rsidP="00D82866">
      <w:pPr>
        <w:jc w:val="both"/>
        <w:rPr>
          <w:rFonts w:ascii="Arial" w:eastAsia="Arial" w:hAnsi="Arial"/>
          <w:i/>
          <w:sz w:val="20"/>
          <w:szCs w:val="20"/>
        </w:rPr>
      </w:pPr>
      <w:r w:rsidRPr="007E5C64">
        <w:rPr>
          <w:rFonts w:ascii="Arial" w:eastAsia="Arial" w:hAnsi="Arial"/>
          <w:b/>
          <w:sz w:val="20"/>
          <w:szCs w:val="20"/>
        </w:rPr>
        <w:t xml:space="preserve">Table 4. </w:t>
      </w:r>
      <w:r w:rsidR="00F4246D" w:rsidRPr="00F4246D">
        <w:rPr>
          <w:rFonts w:ascii="Arial" w:eastAsia="Arial" w:hAnsi="Arial"/>
          <w:i/>
          <w:sz w:val="20"/>
          <w:szCs w:val="20"/>
        </w:rPr>
        <w:t>Domains of Attractive Classroom Organization that Significantly Influence Creating Community Teaching among Teachers in Public Elementary Schools</w:t>
      </w:r>
    </w:p>
    <w:p w14:paraId="42F31227" w14:textId="708EB413" w:rsidR="00187916" w:rsidRPr="007E5C64"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7E5C64" w14:paraId="7A1D9757" w14:textId="77777777" w:rsidTr="008D0509">
        <w:trPr>
          <w:trHeight w:val="324"/>
        </w:trPr>
        <w:tc>
          <w:tcPr>
            <w:tcW w:w="2100" w:type="dxa"/>
            <w:tcBorders>
              <w:top w:val="single" w:sz="4" w:space="0" w:color="auto"/>
              <w:bottom w:val="single" w:sz="4" w:space="0" w:color="auto"/>
            </w:tcBorders>
          </w:tcPr>
          <w:p w14:paraId="3B92D8AC" w14:textId="77777777" w:rsidR="00D815DA" w:rsidRPr="007E5C64" w:rsidRDefault="00D815DA" w:rsidP="00D815DA">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Decision</w:t>
            </w:r>
          </w:p>
        </w:tc>
      </w:tr>
      <w:tr w:rsidR="00E8043E" w:rsidRPr="007E5C64" w14:paraId="4CCCD09F" w14:textId="77777777" w:rsidTr="00090257">
        <w:trPr>
          <w:trHeight w:val="537"/>
        </w:trPr>
        <w:tc>
          <w:tcPr>
            <w:tcW w:w="2100" w:type="dxa"/>
            <w:tcBorders>
              <w:top w:val="single" w:sz="4" w:space="0" w:color="auto"/>
            </w:tcBorders>
            <w:vAlign w:val="center"/>
          </w:tcPr>
          <w:p w14:paraId="5C43EE9F" w14:textId="58C59627" w:rsidR="00E8043E" w:rsidRPr="00E8043E" w:rsidRDefault="00E8043E" w:rsidP="00E8043E">
            <w:pPr>
              <w:widowControl w:val="0"/>
              <w:autoSpaceDE w:val="0"/>
              <w:autoSpaceDN w:val="0"/>
              <w:rPr>
                <w:rFonts w:ascii="Arial" w:eastAsia="Arial" w:hAnsi="Arial" w:cs="Arial"/>
                <w:sz w:val="20"/>
                <w:szCs w:val="20"/>
              </w:rPr>
            </w:pPr>
            <w:r w:rsidRPr="00915411">
              <w:rPr>
                <w:rFonts w:ascii="Arial" w:hAnsi="Arial" w:cs="Arial"/>
                <w:sz w:val="20"/>
                <w:szCs w:val="20"/>
              </w:rPr>
              <w:t>Constant</w:t>
            </w:r>
          </w:p>
        </w:tc>
        <w:tc>
          <w:tcPr>
            <w:tcW w:w="640" w:type="dxa"/>
            <w:tcBorders>
              <w:top w:val="single" w:sz="4" w:space="0" w:color="auto"/>
            </w:tcBorders>
            <w:vAlign w:val="center"/>
          </w:tcPr>
          <w:p w14:paraId="35263A15" w14:textId="339D8B7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2.64</w:t>
            </w:r>
          </w:p>
        </w:tc>
        <w:tc>
          <w:tcPr>
            <w:tcW w:w="998" w:type="dxa"/>
            <w:tcBorders>
              <w:top w:val="single" w:sz="4" w:space="0" w:color="auto"/>
            </w:tcBorders>
            <w:vAlign w:val="center"/>
          </w:tcPr>
          <w:p w14:paraId="168EF5D2" w14:textId="2459FE8B"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0.67</w:t>
            </w:r>
          </w:p>
        </w:tc>
        <w:tc>
          <w:tcPr>
            <w:tcW w:w="1050" w:type="dxa"/>
            <w:tcBorders>
              <w:top w:val="single" w:sz="4" w:space="0" w:color="auto"/>
            </w:tcBorders>
            <w:vAlign w:val="center"/>
          </w:tcPr>
          <w:p w14:paraId="057949FE" w14:textId="77777777" w:rsidR="00E8043E" w:rsidRPr="00E8043E" w:rsidRDefault="00E8043E" w:rsidP="00E8043E">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7307DC88"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6.70</w:t>
            </w:r>
          </w:p>
        </w:tc>
        <w:tc>
          <w:tcPr>
            <w:tcW w:w="1074" w:type="dxa"/>
            <w:tcBorders>
              <w:top w:val="single" w:sz="4" w:space="0" w:color="auto"/>
            </w:tcBorders>
            <w:vAlign w:val="center"/>
          </w:tcPr>
          <w:p w14:paraId="5186B81F" w14:textId="2D3C6BAE"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tcBorders>
              <w:top w:val="single" w:sz="4" w:space="0" w:color="auto"/>
            </w:tcBorders>
            <w:vAlign w:val="center"/>
          </w:tcPr>
          <w:p w14:paraId="38526A82" w14:textId="30466922" w:rsidR="00E8043E" w:rsidRPr="00E8043E" w:rsidRDefault="00E8043E" w:rsidP="00E8043E">
            <w:pPr>
              <w:widowControl w:val="0"/>
              <w:autoSpaceDE w:val="0"/>
              <w:autoSpaceDN w:val="0"/>
              <w:spacing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35082B81" w14:textId="77777777" w:rsidTr="00090257">
        <w:trPr>
          <w:trHeight w:val="522"/>
        </w:trPr>
        <w:tc>
          <w:tcPr>
            <w:tcW w:w="2100" w:type="dxa"/>
            <w:vAlign w:val="center"/>
          </w:tcPr>
          <w:p w14:paraId="686C43F8" w14:textId="5352C6F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Concepts</w:t>
            </w:r>
          </w:p>
        </w:tc>
        <w:tc>
          <w:tcPr>
            <w:tcW w:w="640" w:type="dxa"/>
            <w:vAlign w:val="center"/>
          </w:tcPr>
          <w:p w14:paraId="1C7863A0" w14:textId="43C411F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0.71</w:t>
            </w:r>
          </w:p>
        </w:tc>
        <w:tc>
          <w:tcPr>
            <w:tcW w:w="998" w:type="dxa"/>
            <w:vAlign w:val="center"/>
          </w:tcPr>
          <w:p w14:paraId="5192C57E" w14:textId="69A86CF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0.59</w:t>
            </w:r>
          </w:p>
        </w:tc>
        <w:tc>
          <w:tcPr>
            <w:tcW w:w="1050" w:type="dxa"/>
            <w:vAlign w:val="center"/>
          </w:tcPr>
          <w:p w14:paraId="06AF60D9" w14:textId="54F584B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0.57</w:t>
            </w:r>
          </w:p>
        </w:tc>
        <w:tc>
          <w:tcPr>
            <w:tcW w:w="1019" w:type="dxa"/>
            <w:vAlign w:val="center"/>
          </w:tcPr>
          <w:p w14:paraId="112311CB" w14:textId="3E133D3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6.32</w:t>
            </w:r>
          </w:p>
        </w:tc>
        <w:tc>
          <w:tcPr>
            <w:tcW w:w="1074" w:type="dxa"/>
            <w:vAlign w:val="center"/>
          </w:tcPr>
          <w:p w14:paraId="096E4BA0" w14:textId="140DF81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6757F969" w14:textId="65CA0B6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41B98FE8" w14:textId="77777777" w:rsidTr="00090257">
        <w:trPr>
          <w:trHeight w:val="568"/>
        </w:trPr>
        <w:tc>
          <w:tcPr>
            <w:tcW w:w="2100" w:type="dxa"/>
            <w:vAlign w:val="center"/>
          </w:tcPr>
          <w:p w14:paraId="1579BF18" w14:textId="1398DA31"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Sensitivity</w:t>
            </w:r>
          </w:p>
        </w:tc>
        <w:tc>
          <w:tcPr>
            <w:tcW w:w="640" w:type="dxa"/>
            <w:vAlign w:val="center"/>
          </w:tcPr>
          <w:p w14:paraId="7AA4BD47" w14:textId="4DD6D46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0.68</w:t>
            </w:r>
          </w:p>
        </w:tc>
        <w:tc>
          <w:tcPr>
            <w:tcW w:w="998" w:type="dxa"/>
            <w:vAlign w:val="center"/>
          </w:tcPr>
          <w:p w14:paraId="1CFE4A86" w14:textId="66A655C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50" w:type="dxa"/>
            <w:vAlign w:val="center"/>
          </w:tcPr>
          <w:p w14:paraId="627DC8B9" w14:textId="44AA3670"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0.55</w:t>
            </w:r>
          </w:p>
        </w:tc>
        <w:tc>
          <w:tcPr>
            <w:tcW w:w="1019" w:type="dxa"/>
            <w:vAlign w:val="center"/>
          </w:tcPr>
          <w:p w14:paraId="0E8A5D71" w14:textId="3867CD3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6.15</w:t>
            </w:r>
          </w:p>
        </w:tc>
        <w:tc>
          <w:tcPr>
            <w:tcW w:w="1074" w:type="dxa"/>
            <w:vAlign w:val="center"/>
          </w:tcPr>
          <w:p w14:paraId="6D2F71AB" w14:textId="0B7EB56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5028A11C" w14:textId="66CED5DC"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0FC20CB7" w14:textId="77777777" w:rsidTr="00090257">
        <w:trPr>
          <w:trHeight w:val="522"/>
        </w:trPr>
        <w:tc>
          <w:tcPr>
            <w:tcW w:w="2100" w:type="dxa"/>
            <w:vAlign w:val="center"/>
          </w:tcPr>
          <w:p w14:paraId="06D27DDE" w14:textId="209BEC0B"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Needs</w:t>
            </w:r>
          </w:p>
        </w:tc>
        <w:tc>
          <w:tcPr>
            <w:tcW w:w="640" w:type="dxa"/>
            <w:vAlign w:val="center"/>
          </w:tcPr>
          <w:p w14:paraId="5433652B" w14:textId="605B24C7"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0.66</w:t>
            </w:r>
          </w:p>
        </w:tc>
        <w:tc>
          <w:tcPr>
            <w:tcW w:w="998" w:type="dxa"/>
            <w:vAlign w:val="center"/>
          </w:tcPr>
          <w:p w14:paraId="52BD1350" w14:textId="1DA219FD"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0.54</w:t>
            </w:r>
          </w:p>
        </w:tc>
        <w:tc>
          <w:tcPr>
            <w:tcW w:w="1050" w:type="dxa"/>
            <w:vAlign w:val="center"/>
          </w:tcPr>
          <w:p w14:paraId="3A9AC518" w14:textId="1B5E656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0.53</w:t>
            </w:r>
          </w:p>
        </w:tc>
        <w:tc>
          <w:tcPr>
            <w:tcW w:w="1019" w:type="dxa"/>
            <w:vAlign w:val="center"/>
          </w:tcPr>
          <w:p w14:paraId="5E880C2C" w14:textId="371134E1"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6.01</w:t>
            </w:r>
          </w:p>
        </w:tc>
        <w:tc>
          <w:tcPr>
            <w:tcW w:w="1074" w:type="dxa"/>
            <w:vAlign w:val="center"/>
          </w:tcPr>
          <w:p w14:paraId="2447E7C0" w14:textId="21D830A9"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75927C93" w14:textId="2023603B"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E8043E" w:rsidRPr="007E5C64" w14:paraId="257A6252" w14:textId="77777777" w:rsidTr="00090257">
        <w:trPr>
          <w:trHeight w:val="522"/>
        </w:trPr>
        <w:tc>
          <w:tcPr>
            <w:tcW w:w="2100" w:type="dxa"/>
            <w:vAlign w:val="center"/>
          </w:tcPr>
          <w:p w14:paraId="226E7EF5" w14:textId="20A3619C" w:rsidR="00E8043E" w:rsidRPr="00E8043E" w:rsidRDefault="00E8043E" w:rsidP="00E8043E">
            <w:pPr>
              <w:widowControl w:val="0"/>
              <w:autoSpaceDE w:val="0"/>
              <w:autoSpaceDN w:val="0"/>
              <w:spacing w:after="240"/>
              <w:rPr>
                <w:rFonts w:ascii="Arial" w:eastAsia="Arial" w:hAnsi="Arial" w:cs="Arial"/>
                <w:sz w:val="20"/>
                <w:szCs w:val="20"/>
              </w:rPr>
            </w:pPr>
            <w:r w:rsidRPr="00915411">
              <w:rPr>
                <w:rFonts w:ascii="Arial" w:hAnsi="Arial" w:cs="Arial"/>
                <w:sz w:val="20"/>
                <w:szCs w:val="20"/>
              </w:rPr>
              <w:t>Risk-taking</w:t>
            </w:r>
          </w:p>
        </w:tc>
        <w:tc>
          <w:tcPr>
            <w:tcW w:w="640" w:type="dxa"/>
            <w:vAlign w:val="center"/>
          </w:tcPr>
          <w:p w14:paraId="04093282" w14:textId="70D8E72A"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0.69</w:t>
            </w:r>
          </w:p>
        </w:tc>
        <w:tc>
          <w:tcPr>
            <w:tcW w:w="998" w:type="dxa"/>
            <w:vAlign w:val="center"/>
          </w:tcPr>
          <w:p w14:paraId="6FE34CDC" w14:textId="5FD11004"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0.58</w:t>
            </w:r>
          </w:p>
        </w:tc>
        <w:tc>
          <w:tcPr>
            <w:tcW w:w="1050" w:type="dxa"/>
            <w:vAlign w:val="center"/>
          </w:tcPr>
          <w:p w14:paraId="7E08977E" w14:textId="73303856"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0.56</w:t>
            </w:r>
          </w:p>
        </w:tc>
        <w:tc>
          <w:tcPr>
            <w:tcW w:w="1019" w:type="dxa"/>
            <w:vAlign w:val="center"/>
          </w:tcPr>
          <w:p w14:paraId="2AA8BB7B" w14:textId="1BC1E94E"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6.24</w:t>
            </w:r>
          </w:p>
        </w:tc>
        <w:tc>
          <w:tcPr>
            <w:tcW w:w="1074" w:type="dxa"/>
            <w:vAlign w:val="center"/>
          </w:tcPr>
          <w:p w14:paraId="262D1728" w14:textId="5D6380B5"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0.000</w:t>
            </w:r>
          </w:p>
        </w:tc>
        <w:tc>
          <w:tcPr>
            <w:tcW w:w="1447" w:type="dxa"/>
            <w:vAlign w:val="center"/>
          </w:tcPr>
          <w:p w14:paraId="2ADE1939" w14:textId="3191BEA2" w:rsidR="00E8043E" w:rsidRPr="00E8043E" w:rsidRDefault="00E8043E" w:rsidP="00E8043E">
            <w:pPr>
              <w:widowControl w:val="0"/>
              <w:autoSpaceDE w:val="0"/>
              <w:autoSpaceDN w:val="0"/>
              <w:spacing w:after="240" w:line="480" w:lineRule="auto"/>
              <w:jc w:val="center"/>
              <w:rPr>
                <w:rFonts w:ascii="Arial" w:eastAsia="Arial" w:hAnsi="Arial" w:cs="Arial"/>
                <w:sz w:val="20"/>
                <w:szCs w:val="20"/>
              </w:rPr>
            </w:pPr>
            <w:r w:rsidRPr="00915411">
              <w:rPr>
                <w:rFonts w:ascii="Arial" w:hAnsi="Arial" w:cs="Arial"/>
                <w:sz w:val="20"/>
                <w:szCs w:val="20"/>
              </w:rPr>
              <w:t>Significant</w:t>
            </w:r>
          </w:p>
        </w:tc>
      </w:tr>
      <w:tr w:rsidR="00D815DA" w:rsidRPr="007E5C64" w14:paraId="0606F920" w14:textId="77777777" w:rsidTr="00D815DA">
        <w:trPr>
          <w:trHeight w:val="522"/>
        </w:trPr>
        <w:tc>
          <w:tcPr>
            <w:tcW w:w="8328" w:type="dxa"/>
            <w:gridSpan w:val="7"/>
          </w:tcPr>
          <w:p w14:paraId="349CFF9D" w14:textId="77777777" w:rsidR="00D815DA" w:rsidRPr="007E5C64" w:rsidRDefault="00D815DA" w:rsidP="00D815DA">
            <w:pPr>
              <w:widowControl w:val="0"/>
              <w:autoSpaceDE w:val="0"/>
              <w:autoSpaceDN w:val="0"/>
              <w:jc w:val="both"/>
              <w:rPr>
                <w:rFonts w:ascii="Arial" w:eastAsia="Arial" w:hAnsi="Arial"/>
                <w:b/>
                <w:bCs/>
                <w:sz w:val="20"/>
                <w:szCs w:val="20"/>
                <w:u w:val="single"/>
              </w:rPr>
            </w:pPr>
            <w:r w:rsidRPr="007E5C64">
              <w:rPr>
                <w:rFonts w:ascii="Arial" w:eastAsia="Arial" w:hAnsi="Arial"/>
                <w:b/>
                <w:bCs/>
                <w:sz w:val="20"/>
                <w:szCs w:val="20"/>
                <w:u w:val="single"/>
              </w:rPr>
              <w:t>Regression Model</w:t>
            </w:r>
          </w:p>
        </w:tc>
      </w:tr>
      <w:tr w:rsidR="00D815DA" w:rsidRPr="007E5C64" w14:paraId="32DA9C71" w14:textId="77777777" w:rsidTr="00D815DA">
        <w:trPr>
          <w:trHeight w:val="522"/>
        </w:trPr>
        <w:tc>
          <w:tcPr>
            <w:tcW w:w="8328" w:type="dxa"/>
            <w:gridSpan w:val="7"/>
          </w:tcPr>
          <w:p w14:paraId="548FFC9B" w14:textId="5DDF433E" w:rsidR="00D815DA" w:rsidRPr="007E5C64" w:rsidRDefault="00E8043E" w:rsidP="00D815DA">
            <w:pPr>
              <w:widowControl w:val="0"/>
              <w:autoSpaceDE w:val="0"/>
              <w:autoSpaceDN w:val="0"/>
              <w:jc w:val="both"/>
              <w:rPr>
                <w:rFonts w:ascii="Arial" w:eastAsia="Arial" w:hAnsi="Arial"/>
                <w:sz w:val="20"/>
                <w:szCs w:val="20"/>
              </w:rPr>
            </w:pPr>
            <w:r w:rsidRPr="00E8043E">
              <w:rPr>
                <w:rFonts w:ascii="Arial" w:eastAsia="Arial" w:hAnsi="Arial"/>
                <w:sz w:val="20"/>
                <w:szCs w:val="20"/>
              </w:rPr>
              <w:t>Creating Community Teaching = 2.64 + 0.71 (Concepts) + 0.68 (Sensitivity) + 0.66 (Needs) + 0.69 (Risk-taking)</w:t>
            </w:r>
          </w:p>
        </w:tc>
      </w:tr>
      <w:tr w:rsidR="00D815DA" w:rsidRPr="007E5C64" w14:paraId="13736F31" w14:textId="77777777" w:rsidTr="00D815DA">
        <w:trPr>
          <w:trHeight w:val="80"/>
        </w:trPr>
        <w:tc>
          <w:tcPr>
            <w:tcW w:w="8328" w:type="dxa"/>
            <w:gridSpan w:val="7"/>
          </w:tcPr>
          <w:p w14:paraId="07B059D8" w14:textId="67E1AAA2" w:rsidR="00D815DA" w:rsidRPr="007E5C64" w:rsidRDefault="00DD6A4E" w:rsidP="00D815DA">
            <w:pPr>
              <w:widowControl w:val="0"/>
              <w:autoSpaceDE w:val="0"/>
              <w:autoSpaceDN w:val="0"/>
              <w:jc w:val="both"/>
              <w:rPr>
                <w:rFonts w:ascii="Arial" w:eastAsia="Arial" w:hAnsi="Arial"/>
                <w:sz w:val="20"/>
                <w:szCs w:val="20"/>
              </w:rPr>
            </w:pPr>
            <w:r w:rsidRPr="00DD6A4E">
              <w:rPr>
                <w:rFonts w:ascii="Arial" w:eastAsia="Arial" w:hAnsi="Arial"/>
                <w:sz w:val="20"/>
                <w:szCs w:val="20"/>
              </w:rPr>
              <w:t>R = 0.62; R² = 0.384; F = 66.12; p-value = 0.000</w:t>
            </w:r>
          </w:p>
        </w:tc>
      </w:tr>
    </w:tbl>
    <w:p w14:paraId="5CB07BF5" w14:textId="7437914E" w:rsidR="00D82866" w:rsidRPr="007E5C64" w:rsidRDefault="00D82866" w:rsidP="00D82866">
      <w:pPr>
        <w:jc w:val="both"/>
        <w:rPr>
          <w:rFonts w:ascii="Arial" w:hAnsi="Arial" w:cs="Arial"/>
          <w:sz w:val="20"/>
          <w:szCs w:val="20"/>
        </w:rPr>
      </w:pPr>
    </w:p>
    <w:p w14:paraId="6FDD1CAA" w14:textId="77777777" w:rsidR="00717F2E" w:rsidRPr="007E5C64" w:rsidRDefault="00717F2E">
      <w:pPr>
        <w:jc w:val="both"/>
        <w:rPr>
          <w:rFonts w:ascii="Arial" w:hAnsi="Arial" w:cs="Arial"/>
          <w:sz w:val="20"/>
          <w:szCs w:val="20"/>
        </w:rPr>
      </w:pPr>
    </w:p>
    <w:p w14:paraId="0453BBC9" w14:textId="3E8AEAF7" w:rsidR="00517AFC" w:rsidRPr="00517AFC" w:rsidRDefault="00517AFC" w:rsidP="00517AFC">
      <w:pPr>
        <w:pStyle w:val="Body"/>
        <w:rPr>
          <w:rFonts w:ascii="Arial" w:hAnsi="Arial" w:cs="Arial"/>
        </w:rPr>
      </w:pPr>
      <w:r w:rsidRPr="00517AFC">
        <w:rPr>
          <w:rFonts w:ascii="Arial" w:hAnsi="Arial" w:cs="Arial"/>
        </w:rPr>
        <w:t>Presented in Table 4 is the regression analysis examining how the different domains of attractive classroom organization—concepts, sensitivity, needs, and risk-taking—significantly influence creating community teaching among teachers in public elementary schools. The regression model predicting community teaching is expressed as:</w:t>
      </w:r>
      <w:r>
        <w:rPr>
          <w:rFonts w:ascii="Arial" w:hAnsi="Arial" w:cs="Arial"/>
        </w:rPr>
        <w:t xml:space="preserve"> </w:t>
      </w:r>
      <w:r w:rsidRPr="00517AFC">
        <w:rPr>
          <w:rFonts w:ascii="Arial" w:hAnsi="Arial" w:cs="Arial"/>
        </w:rPr>
        <w:t>Creating Community Teaching = 2.64 + 0.71 (Concepts) + 0.68 (Sensitivity) + 0.66 (Needs) + 0.69 (Risk-taking). The model accounts for 38.4% of the variation in creating community teaching, as indicated by the R² value of 0.384. The model is statistically significant, with an F-value of 66.12 and a p-value of 0.000, confirming that the domains of attractive classroom organization significantly influence the level of community teaching practiced by teachers.</w:t>
      </w:r>
    </w:p>
    <w:p w14:paraId="135E9784" w14:textId="626ED475" w:rsidR="00517AFC" w:rsidRPr="00517AFC" w:rsidRDefault="00517AFC" w:rsidP="00517AFC">
      <w:pPr>
        <w:pStyle w:val="Body"/>
        <w:rPr>
          <w:rFonts w:ascii="Arial" w:hAnsi="Arial" w:cs="Arial"/>
        </w:rPr>
      </w:pPr>
      <w:r w:rsidRPr="00517AFC">
        <w:rPr>
          <w:rFonts w:ascii="Arial" w:hAnsi="Arial" w:cs="Arial"/>
        </w:rPr>
        <w:lastRenderedPageBreak/>
        <w:t>These findings indicate that all four domains meaningfully contribute to building a sense of community in teaching practices. Among these, the concepts domain yielded the highest beta value, implying that when teachers use conceptually clear and engaging classroom setups, they are better able to build collaborative learning communities. Likewise, risk-taking and sensitivity contribute substantially by promoting openness, learner-centered responses, and emotional intelligence. The needs domain—focused on adapting classrooms to learners’ diverse needs—also enhances teachers' capacity to foster inclusive and community-driven instruction. These results emphasize the importance of designing classrooms that inspire participation, shared values, and interpersonal connection.</w:t>
      </w:r>
    </w:p>
    <w:p w14:paraId="20DD07F3" w14:textId="5FB9CA24" w:rsidR="00D815DA" w:rsidRPr="007E5C64" w:rsidRDefault="00517AFC" w:rsidP="00517AFC">
      <w:pPr>
        <w:pStyle w:val="Body"/>
        <w:rPr>
          <w:rFonts w:ascii="Arial" w:hAnsi="Arial" w:cs="Arial"/>
        </w:rPr>
      </w:pPr>
      <w:r w:rsidRPr="00517AFC">
        <w:rPr>
          <w:rFonts w:ascii="Arial" w:hAnsi="Arial" w:cs="Arial"/>
        </w:rPr>
        <w:t xml:space="preserve">This finding aligns with the study of </w:t>
      </w:r>
      <w:r w:rsidR="00283BED" w:rsidRPr="00283BED">
        <w:rPr>
          <w:rFonts w:ascii="Arial" w:hAnsi="Arial" w:cs="Arial"/>
        </w:rPr>
        <w:t xml:space="preserve">Zakariya </w:t>
      </w:r>
      <w:r w:rsidRPr="00517AFC">
        <w:rPr>
          <w:rFonts w:ascii="Arial" w:hAnsi="Arial" w:cs="Arial"/>
        </w:rPr>
        <w:t>(</w:t>
      </w:r>
      <w:r w:rsidR="00283BED">
        <w:rPr>
          <w:rFonts w:ascii="Arial" w:hAnsi="Arial" w:cs="Arial"/>
        </w:rPr>
        <w:t>2020</w:t>
      </w:r>
      <w:r w:rsidRPr="00517AFC">
        <w:rPr>
          <w:rFonts w:ascii="Arial" w:hAnsi="Arial" w:cs="Arial"/>
        </w:rPr>
        <w:t xml:space="preserve">), who found that when classroom environments are well-structured and conceptually rich, they encourage cooperative learning and community-based interactions. Similarly, </w:t>
      </w:r>
      <w:r w:rsidR="00283BED" w:rsidRPr="00283BED">
        <w:rPr>
          <w:rFonts w:ascii="Arial" w:hAnsi="Arial" w:cs="Arial"/>
        </w:rPr>
        <w:t xml:space="preserve">Blitz </w:t>
      </w:r>
      <w:r w:rsidRPr="00517AFC">
        <w:rPr>
          <w:rFonts w:ascii="Arial" w:hAnsi="Arial" w:cs="Arial"/>
        </w:rPr>
        <w:t>et al. (</w:t>
      </w:r>
      <w:r w:rsidR="00283BED">
        <w:rPr>
          <w:rFonts w:ascii="Arial" w:hAnsi="Arial" w:cs="Arial"/>
        </w:rPr>
        <w:t>2020</w:t>
      </w:r>
      <w:r w:rsidRPr="00517AFC">
        <w:rPr>
          <w:rFonts w:ascii="Arial" w:hAnsi="Arial" w:cs="Arial"/>
        </w:rPr>
        <w:t xml:space="preserve">) reported that classroom sensitivity and personalization are key to enabling teachers to form stronger bonds with their students and cultivate democratic classroom cultures. Furthermore, the study by </w:t>
      </w:r>
      <w:r w:rsidR="00283BED" w:rsidRPr="00283BED">
        <w:rPr>
          <w:rFonts w:ascii="Arial" w:hAnsi="Arial" w:cs="Arial"/>
        </w:rPr>
        <w:t xml:space="preserve">Wilson </w:t>
      </w:r>
      <w:r w:rsidR="00283BED">
        <w:rPr>
          <w:rFonts w:ascii="Arial" w:hAnsi="Arial" w:cs="Arial"/>
        </w:rPr>
        <w:t xml:space="preserve">et al. </w:t>
      </w:r>
      <w:r w:rsidRPr="00517AFC">
        <w:rPr>
          <w:rFonts w:ascii="Arial" w:hAnsi="Arial" w:cs="Arial"/>
        </w:rPr>
        <w:t>(</w:t>
      </w:r>
      <w:r w:rsidR="00283BED">
        <w:rPr>
          <w:rFonts w:ascii="Arial" w:hAnsi="Arial" w:cs="Arial"/>
        </w:rPr>
        <w:t>2020</w:t>
      </w:r>
      <w:r w:rsidRPr="00517AFC">
        <w:rPr>
          <w:rFonts w:ascii="Arial" w:hAnsi="Arial" w:cs="Arial"/>
        </w:rPr>
        <w:t>) highlighted that teachers who adopt risk-taking and learner-responsive approaches are more likely to build vibrant learning communities grounded in trust, relevance, and shared purpose.</w:t>
      </w:r>
    </w:p>
    <w:p w14:paraId="08FEB9C6" w14:textId="089D9801" w:rsidR="002039CD" w:rsidRPr="007E5C64" w:rsidRDefault="00180859" w:rsidP="00850E61">
      <w:pPr>
        <w:pStyle w:val="Body"/>
        <w:rPr>
          <w:rFonts w:ascii="Arial" w:hAnsi="Arial" w:cs="Arial"/>
          <w:b/>
          <w:bCs/>
        </w:rPr>
      </w:pPr>
      <w:r w:rsidRPr="007E5C64">
        <w:rPr>
          <w:rFonts w:ascii="Arial" w:hAnsi="Arial" w:cs="Arial"/>
          <w:b/>
          <w:bCs/>
        </w:rPr>
        <w:t xml:space="preserve">5. </w:t>
      </w:r>
      <w:r w:rsidR="00B364F1" w:rsidRPr="007E5C64">
        <w:rPr>
          <w:rFonts w:ascii="Arial" w:hAnsi="Arial" w:cs="Arial"/>
          <w:b/>
          <w:bCs/>
        </w:rPr>
        <w:t>CONCLUSIONS</w:t>
      </w:r>
    </w:p>
    <w:p w14:paraId="1F8EF9DC" w14:textId="32F71073"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of the study, the following conclusions were formulated:</w:t>
      </w:r>
    </w:p>
    <w:p w14:paraId="2BA3E6D2" w14:textId="5C603238"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Firstly, the level of attractive classroom organization among public elementary school teachers is often observed, with consistently high ratings across the domains of concepts, sensitivity, needs, and risk-taking. This indicates that teachers regularly create structured, engaging, and learner-centered environments that respond to students' diverse needs and encourage curiosity and exploration. Such classroom setups support cognitive clarity, emotional sensitivity, and openness to innovation. When these organizational domains are practiced, they significantly contribute to improving student engagement, classroom cohesion, and the overall learning experience.</w:t>
      </w:r>
    </w:p>
    <w:p w14:paraId="6831F912" w14:textId="0E383541"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Secondly, the level of creating community teaching among teachers is often observed. This reflects teachers’ consistent use of practices that build inclusive, respectful, and collaborative learning environments. Teachers who apply community-based teaching approaches foster shared responsibility, mutual respect, and social-emotional development among students. These practices enhance classroom relationships and encourage student participation, leading to enriched academic and interpersonal outcomes. The ability to create a strong classroom community is crucial for sustaining motivation, promoting equity, and supporting holistic student development.</w:t>
      </w:r>
    </w:p>
    <w:p w14:paraId="3BA30081" w14:textId="1D989BC3" w:rsidR="00DE767A" w:rsidRPr="00DE767A" w:rsidRDefault="00DE767A" w:rsidP="00DE767A">
      <w:pPr>
        <w:pStyle w:val="ReferHead"/>
        <w:jc w:val="both"/>
        <w:rPr>
          <w:rFonts w:ascii="Arial" w:hAnsi="Arial" w:cs="Arial"/>
          <w:b w:val="0"/>
          <w:caps w:val="0"/>
          <w:sz w:val="20"/>
        </w:rPr>
      </w:pPr>
      <w:r w:rsidRPr="00DE767A">
        <w:rPr>
          <w:rFonts w:ascii="Arial" w:hAnsi="Arial" w:cs="Arial"/>
          <w:b w:val="0"/>
          <w:caps w:val="0"/>
          <w:sz w:val="20"/>
        </w:rPr>
        <w:t>Thirdly, a significant relationship between attractive classroom organization and creating community teaching was observed. This suggests that when teachers structure their classrooms around clear concepts, sensitivity, responsiveness to needs, and openness to risk-taking, they are more likely to engage in community-oriented teaching practices. The significant and positive correlation underscores the foundational role of classroom organization in cultivating a sense of belonging and collaboration among students. Teachers who implement well-organized, responsive, and dynamic learning spaces are better positioned to nurture inclusive classroom communities that support both academic success and personal growth.</w:t>
      </w:r>
    </w:p>
    <w:p w14:paraId="73CE220D" w14:textId="77571D3E" w:rsidR="00850E61" w:rsidRPr="007E5C64" w:rsidRDefault="00DE767A" w:rsidP="00DE767A">
      <w:pPr>
        <w:pStyle w:val="ReferHead"/>
        <w:jc w:val="both"/>
        <w:rPr>
          <w:rFonts w:ascii="Arial" w:hAnsi="Arial" w:cs="Arial"/>
          <w:b w:val="0"/>
          <w:caps w:val="0"/>
          <w:sz w:val="20"/>
        </w:rPr>
      </w:pPr>
      <w:r w:rsidRPr="00DE767A">
        <w:rPr>
          <w:rFonts w:ascii="Arial" w:hAnsi="Arial" w:cs="Arial"/>
          <w:b w:val="0"/>
          <w:caps w:val="0"/>
          <w:sz w:val="20"/>
        </w:rPr>
        <w:t xml:space="preserve">Finally, the domains of attractive classroom organization significantly influence creating community teaching. Among these, concepts emerged as the strongest predictor, followed </w:t>
      </w:r>
      <w:r w:rsidRPr="00DE767A">
        <w:rPr>
          <w:rFonts w:ascii="Arial" w:hAnsi="Arial" w:cs="Arial"/>
          <w:b w:val="0"/>
          <w:caps w:val="0"/>
          <w:sz w:val="20"/>
        </w:rPr>
        <w:lastRenderedPageBreak/>
        <w:t>closely by risk-taking, sensitivity, and needs. This highlights the importance of designing classroom environments that are not only cognitively stimulating but also emotionally supportive and responsive to learner diversity. When teachers emphasize conceptual clarity, encourage exploration, and attend to students' needs and feelings, they enhance their capacity to build strong, value-driven classroom communities. These findings reinforce the idea that well-planned and thoughtful classroom organization is essential for fostering effective, inclusive, and community-centered teaching practices in elementary education.</w:t>
      </w:r>
    </w:p>
    <w:p w14:paraId="31EFD7C0" w14:textId="0BA42273" w:rsidR="009676BB" w:rsidRPr="007E5C64" w:rsidRDefault="009676BB" w:rsidP="009676BB">
      <w:pPr>
        <w:pStyle w:val="ReferHead"/>
        <w:spacing w:after="0"/>
        <w:jc w:val="both"/>
        <w:rPr>
          <w:rFonts w:ascii="Arial" w:hAnsi="Arial" w:cs="Arial"/>
          <w:b w:val="0"/>
          <w:caps w:val="0"/>
          <w:sz w:val="20"/>
        </w:rPr>
      </w:pPr>
    </w:p>
    <w:p w14:paraId="32CA4429" w14:textId="77777777" w:rsidR="009676BB" w:rsidRPr="007E5C64" w:rsidRDefault="009676BB" w:rsidP="009676BB">
      <w:pPr>
        <w:pStyle w:val="ReferHead"/>
        <w:spacing w:after="0"/>
        <w:jc w:val="both"/>
        <w:rPr>
          <w:rFonts w:ascii="Arial" w:hAnsi="Arial" w:cs="Arial"/>
          <w:b w:val="0"/>
          <w:caps w:val="0"/>
          <w:sz w:val="20"/>
        </w:rPr>
      </w:pPr>
    </w:p>
    <w:p w14:paraId="295DD41E" w14:textId="01F6025E" w:rsidR="006A0F34" w:rsidRPr="007E5C64" w:rsidRDefault="006A0F34" w:rsidP="006A0F34">
      <w:pPr>
        <w:pStyle w:val="Body"/>
        <w:rPr>
          <w:rFonts w:ascii="Arial" w:hAnsi="Arial" w:cs="Arial"/>
        </w:rPr>
      </w:pPr>
      <w:r w:rsidRPr="007E5C64">
        <w:rPr>
          <w:rFonts w:ascii="Arial" w:hAnsi="Arial" w:cs="Arial"/>
          <w:b/>
          <w:bCs/>
        </w:rPr>
        <w:t>6. RECOMMENDATIONS</w:t>
      </w:r>
    </w:p>
    <w:p w14:paraId="05405137" w14:textId="508DDB48"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and conclusions of this study, the following recommendations were proposed:</w:t>
      </w:r>
    </w:p>
    <w:p w14:paraId="463CE28A" w14:textId="0C963F1D"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For DepEd officials, it is recommended to institutionalize professional development programs that promote attractive classroom organization—particularly in the areas of conceptual clarity, sensitivity to learners, addressing diverse needs, and encouraging risk-taking. These elements should be integrated into national teaching standards, teacher performance appraisal systems, and in-service training curricula. DepEd may also consider crafting policies that embed community-oriented teaching approaches into pre-service education and continuing professional development, ensuring coherence between classroom organization and inclusive teaching practices. These efforts may enhance instructional quality and promote more student-centered learning environments across public elementary schools.</w:t>
      </w:r>
    </w:p>
    <w:p w14:paraId="265C8747" w14:textId="4795A7A7"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School administrators are encouraged to foster a school culture that supports well-structured and responsive classroom organization. They should provide structured training, coaching, and mentoring programs that reinforce the domains of concept development, learner sensitivity, responsiveness to needs, and healthy risk-taking. To enhance community teaching, administrators may initiate programs focused on collaborative learning, emotional literacy, and inclusive classroom practices. Facilitating team teaching, peer mentoring, and values-based instruction will further support the development of vibrant, respectful, and participatory classrooms.</w:t>
      </w:r>
    </w:p>
    <w:p w14:paraId="152530B1" w14:textId="1ED6784A" w:rsidR="00340616" w:rsidRPr="00340616" w:rsidRDefault="00340616" w:rsidP="00340616">
      <w:pPr>
        <w:pStyle w:val="ReferHead"/>
        <w:jc w:val="both"/>
        <w:rPr>
          <w:rFonts w:ascii="Arial" w:hAnsi="Arial" w:cs="Arial"/>
          <w:b w:val="0"/>
          <w:caps w:val="0"/>
          <w:sz w:val="20"/>
        </w:rPr>
      </w:pPr>
      <w:r w:rsidRPr="00340616">
        <w:rPr>
          <w:rFonts w:ascii="Arial" w:hAnsi="Arial" w:cs="Arial"/>
          <w:b w:val="0"/>
          <w:caps w:val="0"/>
          <w:sz w:val="20"/>
        </w:rPr>
        <w:t>For teachers, the study recommends active participation in professional learning communities that focus on effective classroom organization and community building. Teachers should engage in continuous reflection and seek feedback on how their classroom arrangements and instructional strategies influence student behavior and engagement. They are also encouraged to adopt community-oriented teaching practices that emphasize mutual respect, emotional connection, and inclusivity. By aligning their classroom routines with the principles of attractive organization and community creation, teachers can foster environments that are both academically enriching and emotionally safe.</w:t>
      </w:r>
    </w:p>
    <w:p w14:paraId="53E88C64" w14:textId="4EC9B9BC" w:rsidR="009676BB" w:rsidRPr="007E5C64" w:rsidRDefault="00340616" w:rsidP="00340616">
      <w:pPr>
        <w:pStyle w:val="ReferHead"/>
        <w:spacing w:after="0"/>
        <w:jc w:val="both"/>
        <w:rPr>
          <w:rFonts w:ascii="Arial" w:hAnsi="Arial" w:cs="Arial"/>
          <w:b w:val="0"/>
          <w:caps w:val="0"/>
          <w:sz w:val="20"/>
        </w:rPr>
      </w:pPr>
      <w:r w:rsidRPr="00340616">
        <w:rPr>
          <w:rFonts w:ascii="Arial" w:hAnsi="Arial" w:cs="Arial"/>
          <w:b w:val="0"/>
          <w:caps w:val="0"/>
          <w:sz w:val="20"/>
        </w:rPr>
        <w:t xml:space="preserve">Lastly, for future researchers, it is suggested to examine the effects of classroom organization and community teaching on broader educational outcomes such as student motivation, social-emotional learning, and school climate. Future studies may also explore the mediating role of teacher self-efficacy and student engagement in these relationships. Conducting qualitative </w:t>
      </w:r>
      <w:r w:rsidRPr="00340616">
        <w:rPr>
          <w:rFonts w:ascii="Arial" w:hAnsi="Arial" w:cs="Arial"/>
          <w:b w:val="0"/>
          <w:caps w:val="0"/>
          <w:sz w:val="20"/>
        </w:rPr>
        <w:lastRenderedPageBreak/>
        <w:t>or longitudinal research across various regions or educational contexts can provide more nuanced insights and inform context-specific policies to support effective teaching practices.</w:t>
      </w:r>
    </w:p>
    <w:p w14:paraId="48A21385" w14:textId="77777777" w:rsidR="008C1E2D" w:rsidRPr="007E5C64" w:rsidRDefault="008C1E2D" w:rsidP="008C1E2D">
      <w:pPr>
        <w:pStyle w:val="ReferHead"/>
        <w:spacing w:after="0"/>
        <w:jc w:val="both"/>
        <w:rPr>
          <w:rFonts w:ascii="Arial" w:hAnsi="Arial" w:cs="Arial"/>
          <w:b w:val="0"/>
          <w:caps w:val="0"/>
          <w:sz w:val="20"/>
        </w:rPr>
      </w:pPr>
    </w:p>
    <w:p w14:paraId="7242A187" w14:textId="77777777" w:rsidR="00717F2E" w:rsidRPr="007E5C64" w:rsidRDefault="00717F2E">
      <w:pPr>
        <w:pStyle w:val="ReferHead"/>
        <w:spacing w:after="0"/>
        <w:jc w:val="both"/>
        <w:rPr>
          <w:rFonts w:ascii="Arial" w:hAnsi="Arial" w:cs="Arial"/>
          <w:b w:val="0"/>
          <w:caps w:val="0"/>
          <w:sz w:val="20"/>
        </w:rPr>
      </w:pPr>
    </w:p>
    <w:p w14:paraId="013BA332" w14:textId="77777777" w:rsidR="00717F2E" w:rsidRPr="007E5C64" w:rsidRDefault="00180859">
      <w:pPr>
        <w:pStyle w:val="ReferHead"/>
        <w:spacing w:after="0"/>
        <w:jc w:val="both"/>
        <w:rPr>
          <w:rFonts w:ascii="Arial" w:hAnsi="Arial" w:cs="Arial"/>
          <w:bCs/>
          <w:sz w:val="20"/>
        </w:rPr>
      </w:pPr>
      <w:r w:rsidRPr="007E5C64">
        <w:rPr>
          <w:rFonts w:ascii="Arial" w:hAnsi="Arial" w:cs="Arial"/>
          <w:bCs/>
          <w:sz w:val="20"/>
        </w:rPr>
        <w:t>Consent (where ever applicable)</w:t>
      </w:r>
    </w:p>
    <w:p w14:paraId="67F05F0C" w14:textId="77777777" w:rsidR="00717F2E" w:rsidRPr="007E5C64" w:rsidRDefault="00717F2E">
      <w:pPr>
        <w:pStyle w:val="ReferHead"/>
        <w:spacing w:after="0"/>
        <w:jc w:val="both"/>
        <w:rPr>
          <w:rFonts w:ascii="Arial" w:hAnsi="Arial" w:cs="Arial"/>
          <w:bCs/>
          <w:sz w:val="20"/>
        </w:rPr>
      </w:pPr>
    </w:p>
    <w:p w14:paraId="15AE72A3" w14:textId="3C21402B" w:rsidR="00850E61" w:rsidRPr="007E5C64" w:rsidRDefault="00B35882" w:rsidP="00505231">
      <w:pPr>
        <w:pStyle w:val="ReferHead"/>
        <w:spacing w:after="0"/>
        <w:jc w:val="both"/>
        <w:rPr>
          <w:rFonts w:ascii="Arial" w:hAnsi="Arial" w:cs="Arial"/>
          <w:b w:val="0"/>
          <w:caps w:val="0"/>
          <w:sz w:val="20"/>
        </w:rPr>
      </w:pPr>
      <w:r w:rsidRPr="00B35882">
        <w:rPr>
          <w:rFonts w:ascii="Arial" w:hAnsi="Arial" w:cs="Arial"/>
          <w:b w:val="0"/>
          <w:caps w:val="0"/>
          <w:sz w:val="20"/>
        </w:rPr>
        <w:t xml:space="preserve">The conduct of this study strictly conformed to established ethical guidelines to uphold the rights, dignity, and well-being of all participants. Prior to initiating data collection, the researcher secured the necessary endorsements from institutional authorities, including approval from the Dean of the Graduate School and clearance from the duly authorized Ethics Review Committee. The research process followed the ethical framework outlined by </w:t>
      </w:r>
      <w:proofErr w:type="spellStart"/>
      <w:r w:rsidRPr="00B35882">
        <w:rPr>
          <w:rFonts w:ascii="Arial" w:hAnsi="Arial" w:cs="Arial"/>
          <w:b w:val="0"/>
          <w:caps w:val="0"/>
          <w:sz w:val="20"/>
        </w:rPr>
        <w:t>Pregoner</w:t>
      </w:r>
      <w:proofErr w:type="spellEnd"/>
      <w:r w:rsidRPr="00B35882">
        <w:rPr>
          <w:rFonts w:ascii="Arial" w:hAnsi="Arial" w:cs="Arial"/>
          <w:b w:val="0"/>
          <w:caps w:val="0"/>
          <w:sz w:val="20"/>
        </w:rPr>
        <w:t xml:space="preserve"> et al. (2025), in accordance with contemporary standards for educational research involving human subjects. Participation was entirely voluntary, with all participants fully informed about the study’s purpose, procedures, and their right to decline or withdraw at any point without consequence. Informed consent was obtained to confirm their understanding and agreement. No personal identifiers were recorded, and all data were treated with strict confidentiality to ensure anonymity. All collected information was used exclusively for academic purposes. These measures affirmed the ethical soundness, transparency, and integrity of the research process.</w:t>
      </w:r>
    </w:p>
    <w:p w14:paraId="7891B505" w14:textId="77777777" w:rsidR="00A50958" w:rsidRPr="007E5C64" w:rsidRDefault="00A50958" w:rsidP="00505231">
      <w:pPr>
        <w:pStyle w:val="ReferHead"/>
        <w:spacing w:after="0"/>
        <w:jc w:val="both"/>
        <w:rPr>
          <w:rFonts w:ascii="Arial" w:hAnsi="Arial" w:cs="Arial"/>
          <w:b w:val="0"/>
          <w:caps w:val="0"/>
          <w:sz w:val="20"/>
        </w:rPr>
      </w:pPr>
    </w:p>
    <w:p w14:paraId="2BC90047" w14:textId="77777777" w:rsidR="00CD4D57" w:rsidRPr="007E5C64" w:rsidRDefault="00CD4D57" w:rsidP="00CD4D57">
      <w:pPr>
        <w:pStyle w:val="ReferHead"/>
        <w:spacing w:after="0"/>
        <w:jc w:val="both"/>
        <w:rPr>
          <w:rFonts w:ascii="Arial" w:hAnsi="Arial" w:cs="Arial"/>
          <w:b w:val="0"/>
          <w:caps w:val="0"/>
          <w:sz w:val="20"/>
          <w:highlight w:val="yellow"/>
        </w:rPr>
      </w:pPr>
      <w:r w:rsidRPr="007E5C64">
        <w:rPr>
          <w:rFonts w:ascii="Arial" w:hAnsi="Arial" w:cs="Arial"/>
          <w:b w:val="0"/>
          <w:caps w:val="0"/>
          <w:sz w:val="20"/>
          <w:highlight w:val="yellow"/>
        </w:rPr>
        <w:t>Disclaimer (Artificial Intelligence)</w:t>
      </w:r>
    </w:p>
    <w:p w14:paraId="591C5FF6" w14:textId="77777777" w:rsidR="00CD4D57" w:rsidRPr="007E5C64" w:rsidRDefault="00CD4D57" w:rsidP="00CD4D57">
      <w:pPr>
        <w:pStyle w:val="ReferHead"/>
        <w:spacing w:after="0"/>
        <w:jc w:val="both"/>
        <w:rPr>
          <w:rFonts w:ascii="Arial" w:hAnsi="Arial" w:cs="Arial"/>
          <w:b w:val="0"/>
          <w:caps w:val="0"/>
          <w:sz w:val="20"/>
          <w:highlight w:val="yellow"/>
        </w:rPr>
      </w:pPr>
    </w:p>
    <w:p w14:paraId="309A34BD" w14:textId="77777777" w:rsidR="00CD4D57" w:rsidRPr="007E5C64" w:rsidRDefault="00CD4D57" w:rsidP="00CD4D57">
      <w:pPr>
        <w:pStyle w:val="ReferHead"/>
        <w:spacing w:after="0"/>
        <w:jc w:val="both"/>
        <w:rPr>
          <w:rFonts w:ascii="Arial" w:hAnsi="Arial" w:cs="Arial"/>
          <w:b w:val="0"/>
          <w:caps w:val="0"/>
          <w:sz w:val="20"/>
          <w:highlight w:val="yellow"/>
        </w:rPr>
      </w:pPr>
    </w:p>
    <w:p w14:paraId="26E5FE5E" w14:textId="77777777" w:rsidR="00CD4D57" w:rsidRPr="007E5C64" w:rsidRDefault="00CD4D57" w:rsidP="00CD4D57">
      <w:pPr>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E5C64" w:rsidRDefault="00CD4D57" w:rsidP="00CD4D57">
      <w:pPr>
        <w:jc w:val="both"/>
        <w:rPr>
          <w:rFonts w:ascii="Arial" w:eastAsia="Calibri" w:hAnsi="Arial" w:cs="Arial"/>
          <w:kern w:val="2"/>
          <w:sz w:val="20"/>
          <w:szCs w:val="20"/>
          <w:highlight w:val="yellow"/>
        </w:rPr>
      </w:pPr>
    </w:p>
    <w:p w14:paraId="4B95E7D5" w14:textId="77777777" w:rsidR="00CD4D57" w:rsidRPr="007E5C64" w:rsidRDefault="00CD4D57" w:rsidP="00CD4D57">
      <w:pPr>
        <w:numPr>
          <w:ilvl w:val="0"/>
          <w:numId w:val="4"/>
        </w:numPr>
        <w:ind w:left="540"/>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7E5C64" w:rsidRDefault="00CD4D57" w:rsidP="00CD4D57">
      <w:pPr>
        <w:numPr>
          <w:ilvl w:val="0"/>
          <w:numId w:val="4"/>
        </w:numPr>
        <w:ind w:left="540"/>
        <w:jc w:val="both"/>
        <w:rPr>
          <w:rFonts w:ascii="Arial" w:hAnsi="Arial" w:cs="Arial"/>
          <w:sz w:val="20"/>
          <w:szCs w:val="20"/>
          <w:highlight w:val="yellow"/>
        </w:rPr>
      </w:pPr>
      <w:proofErr w:type="spellStart"/>
      <w:r w:rsidRPr="007E5C64">
        <w:rPr>
          <w:rFonts w:ascii="Arial" w:eastAsia="Calibri" w:hAnsi="Arial" w:cs="Arial"/>
          <w:kern w:val="2"/>
          <w:sz w:val="20"/>
          <w:szCs w:val="20"/>
          <w:highlight w:val="yellow"/>
        </w:rPr>
        <w:t>Quillbot</w:t>
      </w:r>
      <w:proofErr w:type="spellEnd"/>
      <w:r w:rsidRPr="007E5C64">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E5C64" w:rsidRDefault="00CD4D57" w:rsidP="00505231">
      <w:pPr>
        <w:pStyle w:val="ReferHead"/>
        <w:spacing w:after="0"/>
        <w:jc w:val="both"/>
        <w:rPr>
          <w:rFonts w:ascii="Arial" w:hAnsi="Arial" w:cs="Arial"/>
          <w:b w:val="0"/>
          <w:caps w:val="0"/>
          <w:sz w:val="20"/>
        </w:rPr>
      </w:pPr>
    </w:p>
    <w:p w14:paraId="3710B9F1" w14:textId="77777777" w:rsidR="00151F8F" w:rsidRPr="007E5C64" w:rsidRDefault="00151F8F" w:rsidP="00505231">
      <w:pPr>
        <w:pStyle w:val="ReferHead"/>
        <w:spacing w:after="0"/>
        <w:jc w:val="both"/>
        <w:rPr>
          <w:rFonts w:ascii="Arial" w:hAnsi="Arial" w:cs="Arial"/>
          <w:b w:val="0"/>
          <w:caps w:val="0"/>
          <w:sz w:val="20"/>
        </w:rPr>
      </w:pPr>
    </w:p>
    <w:p w14:paraId="0E59BDBB" w14:textId="1325B6B4" w:rsidR="007D2B80" w:rsidRPr="007E5C64" w:rsidRDefault="00180859" w:rsidP="007D2B80">
      <w:pPr>
        <w:pStyle w:val="ReferHead"/>
        <w:spacing w:after="0"/>
        <w:jc w:val="both"/>
        <w:rPr>
          <w:rFonts w:ascii="Arial" w:hAnsi="Arial" w:cs="Arial"/>
          <w:sz w:val="20"/>
        </w:rPr>
      </w:pPr>
      <w:r w:rsidRPr="007E5C64">
        <w:rPr>
          <w:rFonts w:ascii="Arial" w:hAnsi="Arial" w:cs="Arial"/>
          <w:sz w:val="20"/>
        </w:rPr>
        <w:t>References</w:t>
      </w:r>
    </w:p>
    <w:p w14:paraId="4B5A9F55" w14:textId="77777777" w:rsidR="007A52F2" w:rsidRPr="007A52F2" w:rsidRDefault="007A52F2" w:rsidP="00C63652">
      <w:pPr>
        <w:jc w:val="both"/>
        <w:rPr>
          <w:sz w:val="20"/>
          <w:szCs w:val="20"/>
        </w:rPr>
      </w:pPr>
    </w:p>
    <w:p w14:paraId="1A4553BD" w14:textId="77777777" w:rsidR="00C63652" w:rsidRPr="00C63652" w:rsidRDefault="00C63652" w:rsidP="00C63652">
      <w:pPr>
        <w:ind w:left="709" w:hanging="709"/>
        <w:jc w:val="both"/>
      </w:pPr>
    </w:p>
    <w:p w14:paraId="70AA2DA8"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Adhikari, N. P., Budhathoki, J. K., &amp; Adhikari, S. (2025). Student Motivation in the Classroom: Practical Techniques and Strategies. </w:t>
      </w:r>
      <w:r w:rsidRPr="00C63652">
        <w:rPr>
          <w:rFonts w:ascii="Arial" w:hAnsi="Arial" w:cs="Arial"/>
          <w:i/>
          <w:iCs/>
          <w:color w:val="222222"/>
          <w:sz w:val="20"/>
          <w:szCs w:val="20"/>
          <w:shd w:val="clear" w:color="auto" w:fill="FFFFFF"/>
        </w:rPr>
        <w:t>Cognition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(1), 67-75. </w:t>
      </w:r>
      <w:hyperlink r:id="rId15" w:history="1">
        <w:r w:rsidRPr="00C63652">
          <w:rPr>
            <w:rFonts w:ascii="Arial" w:hAnsi="Arial" w:cs="Arial"/>
            <w:color w:val="1155CC"/>
            <w:sz w:val="20"/>
            <w:szCs w:val="20"/>
            <w:u w:val="single"/>
            <w:shd w:val="clear" w:color="auto" w:fill="FFFFFF"/>
          </w:rPr>
          <w:t>https://nepjol.info/index.php/cognition/article/view/74765</w:t>
        </w:r>
      </w:hyperlink>
    </w:p>
    <w:p w14:paraId="4BA6887B"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Alarcón, J. D., &amp; Bettez, S. C. (2021). Critical Community Building in Teacher Education: Rethinking Classroom Management. </w:t>
      </w:r>
      <w:r w:rsidRPr="00C63652">
        <w:rPr>
          <w:rFonts w:ascii="Arial" w:hAnsi="Arial" w:cs="Arial"/>
          <w:i/>
          <w:iCs/>
          <w:color w:val="222222"/>
          <w:sz w:val="20"/>
          <w:szCs w:val="20"/>
          <w:shd w:val="clear" w:color="auto" w:fill="FFFFFF"/>
        </w:rPr>
        <w:t>School Community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31</w:t>
      </w:r>
      <w:r w:rsidRPr="00C63652">
        <w:rPr>
          <w:rFonts w:ascii="Arial" w:hAnsi="Arial" w:cs="Arial"/>
          <w:color w:val="222222"/>
          <w:sz w:val="20"/>
          <w:szCs w:val="20"/>
          <w:shd w:val="clear" w:color="auto" w:fill="FFFFFF"/>
        </w:rPr>
        <w:t xml:space="preserve">(2), 267-291. </w:t>
      </w:r>
      <w:hyperlink r:id="rId16" w:history="1">
        <w:r w:rsidRPr="00C63652">
          <w:rPr>
            <w:rFonts w:ascii="Arial" w:hAnsi="Arial" w:cs="Arial"/>
            <w:color w:val="1155CC"/>
            <w:sz w:val="20"/>
            <w:szCs w:val="20"/>
            <w:u w:val="single"/>
            <w:shd w:val="clear" w:color="auto" w:fill="FFFFFF"/>
          </w:rPr>
          <w:t>https://eric.ed.gov/?id=EJ1323025</w:t>
        </w:r>
      </w:hyperlink>
    </w:p>
    <w:p w14:paraId="4ECEB9A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Ali, Z., Masroor, F., &amp; Khan, T. (2020). Creating Positive Classroom Environment for Learners' Motivation Towards Communicative Competence in The English Language. </w:t>
      </w:r>
      <w:r w:rsidRPr="00C63652">
        <w:rPr>
          <w:rFonts w:ascii="Arial" w:hAnsi="Arial" w:cs="Arial"/>
          <w:i/>
          <w:iCs/>
          <w:color w:val="222222"/>
          <w:sz w:val="20"/>
          <w:szCs w:val="20"/>
          <w:shd w:val="clear" w:color="auto" w:fill="FFFFFF"/>
        </w:rPr>
        <w:t>Journal of the Research Society of Pakistan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57</w:t>
      </w:r>
      <w:r w:rsidRPr="00C63652">
        <w:rPr>
          <w:rFonts w:ascii="Arial" w:hAnsi="Arial" w:cs="Arial"/>
          <w:color w:val="222222"/>
          <w:sz w:val="20"/>
          <w:szCs w:val="20"/>
          <w:shd w:val="clear" w:color="auto" w:fill="FFFFFF"/>
        </w:rPr>
        <w:t xml:space="preserve">(1), 317. </w:t>
      </w:r>
      <w:hyperlink r:id="rId17" w:history="1">
        <w:r w:rsidRPr="00C63652">
          <w:rPr>
            <w:rFonts w:ascii="Arial" w:hAnsi="Arial" w:cs="Arial"/>
            <w:color w:val="1155CC"/>
            <w:sz w:val="20"/>
            <w:szCs w:val="20"/>
            <w:u w:val="single"/>
            <w:shd w:val="clear" w:color="auto" w:fill="FFFFFF"/>
          </w:rPr>
          <w:t>https://pu.edu.pk/images/journal/history/PDF-FILES/24_57_1_20.pdf</w:t>
        </w:r>
      </w:hyperlink>
    </w:p>
    <w:p w14:paraId="6BB58692"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Blitz, L. V., </w:t>
      </w:r>
      <w:proofErr w:type="spellStart"/>
      <w:r w:rsidRPr="00C63652">
        <w:rPr>
          <w:rFonts w:ascii="Arial" w:hAnsi="Arial" w:cs="Arial"/>
          <w:color w:val="222222"/>
          <w:sz w:val="20"/>
          <w:szCs w:val="20"/>
          <w:shd w:val="clear" w:color="auto" w:fill="FFFFFF"/>
        </w:rPr>
        <w:t>Yull</w:t>
      </w:r>
      <w:proofErr w:type="spellEnd"/>
      <w:r w:rsidRPr="00C63652">
        <w:rPr>
          <w:rFonts w:ascii="Arial" w:hAnsi="Arial" w:cs="Arial"/>
          <w:color w:val="222222"/>
          <w:sz w:val="20"/>
          <w:szCs w:val="20"/>
          <w:shd w:val="clear" w:color="auto" w:fill="FFFFFF"/>
        </w:rPr>
        <w:t xml:space="preserve">, D., &amp; </w:t>
      </w:r>
      <w:proofErr w:type="spellStart"/>
      <w:r w:rsidRPr="00C63652">
        <w:rPr>
          <w:rFonts w:ascii="Arial" w:hAnsi="Arial" w:cs="Arial"/>
          <w:color w:val="222222"/>
          <w:sz w:val="20"/>
          <w:szCs w:val="20"/>
          <w:shd w:val="clear" w:color="auto" w:fill="FFFFFF"/>
        </w:rPr>
        <w:t>Clauhs</w:t>
      </w:r>
      <w:proofErr w:type="spellEnd"/>
      <w:r w:rsidRPr="00C63652">
        <w:rPr>
          <w:rFonts w:ascii="Arial" w:hAnsi="Arial" w:cs="Arial"/>
          <w:color w:val="222222"/>
          <w:sz w:val="20"/>
          <w:szCs w:val="20"/>
          <w:shd w:val="clear" w:color="auto" w:fill="FFFFFF"/>
        </w:rPr>
        <w:t xml:space="preserve">, M. (2020). Bringing sanctuary to school: Assessing school climate as a foundation for culturally responsive trauma-informed approaches for urban schools. </w:t>
      </w:r>
      <w:r w:rsidRPr="00C63652">
        <w:rPr>
          <w:rFonts w:ascii="Arial" w:hAnsi="Arial" w:cs="Arial"/>
          <w:i/>
          <w:iCs/>
          <w:color w:val="222222"/>
          <w:sz w:val="20"/>
          <w:szCs w:val="20"/>
          <w:shd w:val="clear" w:color="auto" w:fill="FFFFFF"/>
        </w:rPr>
        <w:t>Urban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55</w:t>
      </w:r>
      <w:r w:rsidRPr="00C63652">
        <w:rPr>
          <w:rFonts w:ascii="Arial" w:hAnsi="Arial" w:cs="Arial"/>
          <w:color w:val="222222"/>
          <w:sz w:val="20"/>
          <w:szCs w:val="20"/>
          <w:shd w:val="clear" w:color="auto" w:fill="FFFFFF"/>
        </w:rPr>
        <w:t xml:space="preserve">(1), 95-124. </w:t>
      </w:r>
      <w:hyperlink r:id="rId18" w:history="1">
        <w:r w:rsidRPr="00C63652">
          <w:rPr>
            <w:rFonts w:ascii="Arial" w:hAnsi="Arial" w:cs="Arial"/>
            <w:color w:val="1155CC"/>
            <w:sz w:val="20"/>
            <w:szCs w:val="20"/>
            <w:u w:val="single"/>
            <w:shd w:val="clear" w:color="auto" w:fill="FFFFFF"/>
          </w:rPr>
          <w:t>https://journals.sagepub.com/doi/abs/10.1177/0042085916651323</w:t>
        </w:r>
      </w:hyperlink>
    </w:p>
    <w:p w14:paraId="2DF88A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Brodie, K. (2021). Teacher agency in professional learning communities. </w:t>
      </w:r>
      <w:r w:rsidRPr="00C63652">
        <w:rPr>
          <w:rFonts w:ascii="Arial" w:hAnsi="Arial" w:cs="Arial"/>
          <w:i/>
          <w:iCs/>
          <w:color w:val="222222"/>
          <w:sz w:val="20"/>
          <w:szCs w:val="20"/>
          <w:shd w:val="clear" w:color="auto" w:fill="FFFFFF"/>
        </w:rPr>
        <w:t>Professional development in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47</w:t>
      </w:r>
      <w:r w:rsidRPr="00C63652">
        <w:rPr>
          <w:rFonts w:ascii="Arial" w:hAnsi="Arial" w:cs="Arial"/>
          <w:color w:val="222222"/>
          <w:sz w:val="20"/>
          <w:szCs w:val="20"/>
          <w:shd w:val="clear" w:color="auto" w:fill="FFFFFF"/>
        </w:rPr>
        <w:t xml:space="preserve">(4), 560-573. </w:t>
      </w:r>
      <w:hyperlink r:id="rId19" w:history="1">
        <w:r w:rsidRPr="00C63652">
          <w:rPr>
            <w:rFonts w:ascii="Arial" w:hAnsi="Arial" w:cs="Arial"/>
            <w:color w:val="1155CC"/>
            <w:sz w:val="20"/>
            <w:szCs w:val="20"/>
            <w:u w:val="single"/>
            <w:shd w:val="clear" w:color="auto" w:fill="FFFFFF"/>
          </w:rPr>
          <w:t>https://www.tandfonline.com/doi/abs/10.1080/19415257.2019.1689523</w:t>
        </w:r>
      </w:hyperlink>
    </w:p>
    <w:p w14:paraId="32EF9708" w14:textId="77777777" w:rsidR="00C63652" w:rsidRPr="00C63652" w:rsidRDefault="00C63652" w:rsidP="00C63652">
      <w:pPr>
        <w:ind w:left="709" w:hanging="709"/>
        <w:jc w:val="both"/>
      </w:pPr>
      <w:proofErr w:type="spellStart"/>
      <w:r w:rsidRPr="00C63652">
        <w:rPr>
          <w:rFonts w:ascii="Arial" w:hAnsi="Arial" w:cs="Arial"/>
          <w:color w:val="222222"/>
          <w:sz w:val="20"/>
          <w:szCs w:val="20"/>
          <w:shd w:val="clear" w:color="auto" w:fill="FFFFFF"/>
        </w:rPr>
        <w:lastRenderedPageBreak/>
        <w:t>Bulusan</w:t>
      </w:r>
      <w:proofErr w:type="spellEnd"/>
      <w:r w:rsidRPr="00C63652">
        <w:rPr>
          <w:rFonts w:ascii="Arial" w:hAnsi="Arial" w:cs="Arial"/>
          <w:color w:val="222222"/>
          <w:sz w:val="20"/>
          <w:szCs w:val="20"/>
          <w:shd w:val="clear" w:color="auto" w:fill="FFFFFF"/>
        </w:rPr>
        <w:t xml:space="preserve">, F., CABACANG, K. M. A., Duero, M. G. C., Malate, R. A. L., </w:t>
      </w:r>
      <w:proofErr w:type="spellStart"/>
      <w:r w:rsidRPr="00C63652">
        <w:rPr>
          <w:rFonts w:ascii="Arial" w:hAnsi="Arial" w:cs="Arial"/>
          <w:color w:val="222222"/>
          <w:sz w:val="20"/>
          <w:szCs w:val="20"/>
          <w:shd w:val="clear" w:color="auto" w:fill="FFFFFF"/>
        </w:rPr>
        <w:t>Mangao</w:t>
      </w:r>
      <w:proofErr w:type="spellEnd"/>
      <w:r w:rsidRPr="00C63652">
        <w:rPr>
          <w:rFonts w:ascii="Arial" w:hAnsi="Arial" w:cs="Arial"/>
          <w:color w:val="222222"/>
          <w:sz w:val="20"/>
          <w:szCs w:val="20"/>
          <w:shd w:val="clear" w:color="auto" w:fill="FFFFFF"/>
        </w:rPr>
        <w:t xml:space="preserve">, J. F., &amp; Parcon, D. P. (2025). Emerging Strategies in Imbibing Learner-Centered Education in the 21st Century Language Classrooms: A Decade Scoping Review in Southeast Asia. </w:t>
      </w:r>
      <w:r w:rsidRPr="00C63652">
        <w:rPr>
          <w:rFonts w:ascii="Arial" w:hAnsi="Arial" w:cs="Arial"/>
          <w:i/>
          <w:iCs/>
          <w:color w:val="222222"/>
          <w:sz w:val="20"/>
          <w:szCs w:val="20"/>
          <w:shd w:val="clear" w:color="auto" w:fill="FFFFFF"/>
        </w:rPr>
        <w:t>International Journal of Linguistics, Literature and Translation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8</w:t>
      </w:r>
      <w:r w:rsidRPr="00C63652">
        <w:rPr>
          <w:rFonts w:ascii="Arial" w:hAnsi="Arial" w:cs="Arial"/>
          <w:color w:val="222222"/>
          <w:sz w:val="20"/>
          <w:szCs w:val="20"/>
          <w:shd w:val="clear" w:color="auto" w:fill="FFFFFF"/>
        </w:rPr>
        <w:t xml:space="preserve">(6), 46-57. </w:t>
      </w:r>
      <w:hyperlink r:id="rId20" w:history="1">
        <w:r w:rsidRPr="00C63652">
          <w:rPr>
            <w:rFonts w:ascii="Arial" w:hAnsi="Arial" w:cs="Arial"/>
            <w:color w:val="1155CC"/>
            <w:sz w:val="20"/>
            <w:szCs w:val="20"/>
            <w:u w:val="single"/>
            <w:shd w:val="clear" w:color="auto" w:fill="FFFFFF"/>
          </w:rPr>
          <w:t>https://al-kindipublishers.org/index.php/ijllt/article/view/9857</w:t>
        </w:r>
      </w:hyperlink>
    </w:p>
    <w:p w14:paraId="2C81D8FC"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de Carvalho-Filho, M. A., Tio, R. A., &amp; Steinert, Y. (2020). Twelve tips for implementing a community of practice for faculty development. </w:t>
      </w:r>
      <w:r w:rsidRPr="00C63652">
        <w:rPr>
          <w:rFonts w:ascii="Arial" w:hAnsi="Arial" w:cs="Arial"/>
          <w:i/>
          <w:iCs/>
          <w:color w:val="222222"/>
          <w:sz w:val="20"/>
          <w:szCs w:val="20"/>
          <w:shd w:val="clear" w:color="auto" w:fill="FFFFFF"/>
        </w:rPr>
        <w:t>Medical teacher</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42</w:t>
      </w:r>
      <w:r w:rsidRPr="00C63652">
        <w:rPr>
          <w:rFonts w:ascii="Arial" w:hAnsi="Arial" w:cs="Arial"/>
          <w:color w:val="222222"/>
          <w:sz w:val="20"/>
          <w:szCs w:val="20"/>
          <w:shd w:val="clear" w:color="auto" w:fill="FFFFFF"/>
        </w:rPr>
        <w:t xml:space="preserve">(2), 143-149. </w:t>
      </w:r>
      <w:hyperlink r:id="rId21" w:history="1">
        <w:r w:rsidRPr="00C63652">
          <w:rPr>
            <w:rFonts w:ascii="Arial" w:hAnsi="Arial" w:cs="Arial"/>
            <w:color w:val="1155CC"/>
            <w:sz w:val="20"/>
            <w:szCs w:val="20"/>
            <w:u w:val="single"/>
            <w:shd w:val="clear" w:color="auto" w:fill="FFFFFF"/>
          </w:rPr>
          <w:t>https://www.tandfonline.com/doi/abs/10.1080/0142159X.2018.1552782</w:t>
        </w:r>
      </w:hyperlink>
    </w:p>
    <w:p w14:paraId="0C6E158A"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Evans, M., Evans, R., &amp; Vemic, A. (2020). Youth civic engagement and formal education in Canada: Shifting expressions, associated challenges. In </w:t>
      </w:r>
      <w:r w:rsidRPr="00C63652">
        <w:rPr>
          <w:rFonts w:ascii="Arial" w:hAnsi="Arial" w:cs="Arial"/>
          <w:i/>
          <w:iCs/>
          <w:color w:val="222222"/>
          <w:sz w:val="20"/>
          <w:szCs w:val="20"/>
          <w:shd w:val="clear" w:color="auto" w:fill="FFFFFF"/>
        </w:rPr>
        <w:t>The Palgrave handbook of citizenship and education</w:t>
      </w:r>
      <w:r w:rsidRPr="00C63652">
        <w:rPr>
          <w:rFonts w:ascii="Arial" w:hAnsi="Arial" w:cs="Arial"/>
          <w:color w:val="222222"/>
          <w:sz w:val="20"/>
          <w:szCs w:val="20"/>
          <w:shd w:val="clear" w:color="auto" w:fill="FFFFFF"/>
        </w:rPr>
        <w:t xml:space="preserve"> (pp. 795-811). Cham: Springer International Publishing. </w:t>
      </w:r>
      <w:hyperlink r:id="rId22" w:history="1">
        <w:r w:rsidRPr="00C63652">
          <w:rPr>
            <w:rFonts w:ascii="Arial" w:hAnsi="Arial" w:cs="Arial"/>
            <w:color w:val="1155CC"/>
            <w:sz w:val="20"/>
            <w:szCs w:val="20"/>
            <w:u w:val="single"/>
            <w:shd w:val="clear" w:color="auto" w:fill="FFFFFF"/>
          </w:rPr>
          <w:t>https://link.springer.com/rwe/10.1007/978-3-319-67828-3_4</w:t>
        </w:r>
      </w:hyperlink>
    </w:p>
    <w:p w14:paraId="763D0860"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Finkelstein, S., Sharma, U., &amp; </w:t>
      </w:r>
      <w:proofErr w:type="spellStart"/>
      <w:r w:rsidRPr="00C63652">
        <w:rPr>
          <w:rFonts w:ascii="Arial" w:hAnsi="Arial" w:cs="Arial"/>
          <w:color w:val="222222"/>
          <w:sz w:val="20"/>
          <w:szCs w:val="20"/>
          <w:shd w:val="clear" w:color="auto" w:fill="FFFFFF"/>
        </w:rPr>
        <w:t>Furlonger</w:t>
      </w:r>
      <w:proofErr w:type="spellEnd"/>
      <w:r w:rsidRPr="00C63652">
        <w:rPr>
          <w:rFonts w:ascii="Arial" w:hAnsi="Arial" w:cs="Arial"/>
          <w:color w:val="222222"/>
          <w:sz w:val="20"/>
          <w:szCs w:val="20"/>
          <w:shd w:val="clear" w:color="auto" w:fill="FFFFFF"/>
        </w:rPr>
        <w:t xml:space="preserve">, B. (2021). The inclusive practices of classroom teachers: A scoping review and thematic analysis.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25</w:t>
      </w:r>
      <w:r w:rsidRPr="00C63652">
        <w:rPr>
          <w:rFonts w:ascii="Arial" w:hAnsi="Arial" w:cs="Arial"/>
          <w:color w:val="222222"/>
          <w:sz w:val="20"/>
          <w:szCs w:val="20"/>
          <w:shd w:val="clear" w:color="auto" w:fill="FFFFFF"/>
        </w:rPr>
        <w:t xml:space="preserve">(6), 735-762. </w:t>
      </w:r>
      <w:hyperlink r:id="rId23" w:history="1">
        <w:r w:rsidRPr="00C63652">
          <w:rPr>
            <w:rFonts w:ascii="Arial" w:hAnsi="Arial" w:cs="Arial"/>
            <w:color w:val="1155CC"/>
            <w:sz w:val="20"/>
            <w:szCs w:val="20"/>
            <w:u w:val="single"/>
            <w:shd w:val="clear" w:color="auto" w:fill="FFFFFF"/>
          </w:rPr>
          <w:t>https://www.tandfonline.com/doi/abs/10.1080/13603116.2019.1572232</w:t>
        </w:r>
      </w:hyperlink>
    </w:p>
    <w:p w14:paraId="1E77426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Khalfaoui, A., García-Carrión, R., &amp; </w:t>
      </w:r>
      <w:proofErr w:type="spellStart"/>
      <w:r w:rsidRPr="00C63652">
        <w:rPr>
          <w:rFonts w:ascii="Arial" w:hAnsi="Arial" w:cs="Arial"/>
          <w:color w:val="222222"/>
          <w:sz w:val="20"/>
          <w:szCs w:val="20"/>
          <w:shd w:val="clear" w:color="auto" w:fill="FFFFFF"/>
        </w:rPr>
        <w:t>Villardón</w:t>
      </w:r>
      <w:proofErr w:type="spellEnd"/>
      <w:r w:rsidRPr="00C63652">
        <w:rPr>
          <w:rFonts w:ascii="Arial" w:hAnsi="Arial" w:cs="Arial"/>
          <w:color w:val="222222"/>
          <w:sz w:val="20"/>
          <w:szCs w:val="20"/>
          <w:shd w:val="clear" w:color="auto" w:fill="FFFFFF"/>
        </w:rPr>
        <w:t xml:space="preserve">-Gallego, L. (2021). A systematic review of the literature on aspects affecting positive classroom climate in multicultural early childhood education. </w:t>
      </w:r>
      <w:r w:rsidRPr="00C63652">
        <w:rPr>
          <w:rFonts w:ascii="Arial" w:hAnsi="Arial" w:cs="Arial"/>
          <w:i/>
          <w:iCs/>
          <w:color w:val="222222"/>
          <w:sz w:val="20"/>
          <w:szCs w:val="20"/>
          <w:shd w:val="clear" w:color="auto" w:fill="FFFFFF"/>
        </w:rPr>
        <w:t>Early Childhood Education Journal</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49</w:t>
      </w:r>
      <w:r w:rsidRPr="00C63652">
        <w:rPr>
          <w:rFonts w:ascii="Arial" w:hAnsi="Arial" w:cs="Arial"/>
          <w:color w:val="222222"/>
          <w:sz w:val="20"/>
          <w:szCs w:val="20"/>
          <w:shd w:val="clear" w:color="auto" w:fill="FFFFFF"/>
        </w:rPr>
        <w:t xml:space="preserve">(1), 71-81. </w:t>
      </w:r>
      <w:hyperlink r:id="rId24" w:history="1">
        <w:r w:rsidRPr="00C63652">
          <w:rPr>
            <w:rFonts w:ascii="Arial" w:hAnsi="Arial" w:cs="Arial"/>
            <w:color w:val="1155CC"/>
            <w:sz w:val="20"/>
            <w:szCs w:val="20"/>
            <w:u w:val="single"/>
            <w:shd w:val="clear" w:color="auto" w:fill="FFFFFF"/>
          </w:rPr>
          <w:t>https://link.springer.com/article/10.1007/s10643-020-01054-4</w:t>
        </w:r>
      </w:hyperlink>
    </w:p>
    <w:p w14:paraId="603A9F03"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Mitra, M. J. (2025). Professional Learning Networks: Exploring Filipino Teachers' Experiences and Pathways Toward Inclusive and Sustainable Professional Development in Rural Schools. </w:t>
      </w:r>
      <w:proofErr w:type="spellStart"/>
      <w:r w:rsidRPr="00C63652">
        <w:rPr>
          <w:rFonts w:ascii="Arial" w:hAnsi="Arial" w:cs="Arial"/>
          <w:i/>
          <w:iCs/>
          <w:color w:val="222222"/>
          <w:sz w:val="20"/>
          <w:szCs w:val="20"/>
          <w:shd w:val="clear" w:color="auto" w:fill="FFFFFF"/>
        </w:rPr>
        <w:t>Aloysian</w:t>
      </w:r>
      <w:proofErr w:type="spellEnd"/>
      <w:r w:rsidRPr="00C63652">
        <w:rPr>
          <w:rFonts w:ascii="Arial" w:hAnsi="Arial" w:cs="Arial"/>
          <w:i/>
          <w:iCs/>
          <w:color w:val="222222"/>
          <w:sz w:val="20"/>
          <w:szCs w:val="20"/>
          <w:shd w:val="clear" w:color="auto" w:fill="FFFFFF"/>
        </w:rPr>
        <w:t xml:space="preserve"> Interdisciplinary Journal of Social Sciences, Education, and Allied Fields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w:t>
      </w:r>
      <w:r w:rsidRPr="00C63652">
        <w:rPr>
          <w:rFonts w:ascii="Arial" w:hAnsi="Arial" w:cs="Arial"/>
          <w:color w:val="222222"/>
          <w:sz w:val="20"/>
          <w:szCs w:val="20"/>
          <w:shd w:val="clear" w:color="auto" w:fill="FFFFFF"/>
        </w:rPr>
        <w:t xml:space="preserve">(5), 65-82. </w:t>
      </w:r>
      <w:hyperlink r:id="rId25" w:history="1">
        <w:r w:rsidRPr="00C63652">
          <w:rPr>
            <w:rFonts w:ascii="Arial" w:hAnsi="Arial" w:cs="Arial"/>
            <w:color w:val="1155CC"/>
            <w:sz w:val="20"/>
            <w:szCs w:val="20"/>
            <w:u w:val="single"/>
            <w:shd w:val="clear" w:color="auto" w:fill="FFFFFF"/>
          </w:rPr>
          <w:t>https://journals.aloysianpublications.com/index.php/articles/article/view/101</w:t>
        </w:r>
      </w:hyperlink>
    </w:p>
    <w:p w14:paraId="43F32821" w14:textId="77777777" w:rsidR="00C63652" w:rsidRPr="00C63652" w:rsidRDefault="00C63652" w:rsidP="00C63652">
      <w:pPr>
        <w:ind w:left="709" w:hanging="709"/>
        <w:jc w:val="both"/>
      </w:pPr>
      <w:proofErr w:type="spellStart"/>
      <w:r w:rsidRPr="00C63652">
        <w:rPr>
          <w:rFonts w:ascii="Arial" w:hAnsi="Arial" w:cs="Arial"/>
          <w:color w:val="000000"/>
          <w:sz w:val="20"/>
          <w:szCs w:val="20"/>
        </w:rPr>
        <w:t>Pregoner</w:t>
      </w:r>
      <w:proofErr w:type="spellEnd"/>
      <w:r w:rsidRPr="00C63652">
        <w:rPr>
          <w:rFonts w:ascii="Arial" w:hAnsi="Arial" w:cs="Arial"/>
          <w:color w:val="000000"/>
          <w:sz w:val="20"/>
          <w:szCs w:val="20"/>
        </w:rPr>
        <w:t xml:space="preserve">, J. D. (2024). Research approaches in education: A comparison of quantitative, qualitative and mixed methods. </w:t>
      </w:r>
      <w:r w:rsidRPr="00C63652">
        <w:rPr>
          <w:rFonts w:ascii="Arial" w:hAnsi="Arial" w:cs="Arial"/>
          <w:i/>
          <w:iCs/>
          <w:color w:val="000000"/>
          <w:sz w:val="20"/>
          <w:szCs w:val="20"/>
        </w:rPr>
        <w:t>IMCC Journal of Science</w:t>
      </w:r>
      <w:r w:rsidRPr="00C63652">
        <w:rPr>
          <w:rFonts w:ascii="Arial" w:hAnsi="Arial" w:cs="Arial"/>
          <w:color w:val="000000"/>
          <w:sz w:val="20"/>
          <w:szCs w:val="20"/>
        </w:rPr>
        <w:t xml:space="preserve">, </w:t>
      </w:r>
      <w:r w:rsidRPr="00C63652">
        <w:rPr>
          <w:rFonts w:ascii="Arial" w:hAnsi="Arial" w:cs="Arial"/>
          <w:i/>
          <w:iCs/>
          <w:color w:val="000000"/>
          <w:sz w:val="20"/>
          <w:szCs w:val="20"/>
        </w:rPr>
        <w:t>4</w:t>
      </w:r>
      <w:r w:rsidRPr="00C63652">
        <w:rPr>
          <w:rFonts w:ascii="Arial" w:hAnsi="Arial" w:cs="Arial"/>
          <w:color w:val="000000"/>
          <w:sz w:val="20"/>
          <w:szCs w:val="20"/>
        </w:rPr>
        <w:t xml:space="preserve">(2), 31-36. </w:t>
      </w:r>
      <w:hyperlink r:id="rId26" w:history="1">
        <w:r w:rsidRPr="00C63652">
          <w:rPr>
            <w:rFonts w:ascii="Arial" w:hAnsi="Arial" w:cs="Arial"/>
            <w:color w:val="000000"/>
            <w:sz w:val="20"/>
            <w:szCs w:val="20"/>
            <w:u w:val="single"/>
          </w:rPr>
          <w:t>https://hal.science/hal-04655066</w:t>
        </w:r>
      </w:hyperlink>
      <w:r w:rsidRPr="00C63652">
        <w:rPr>
          <w:rFonts w:ascii="Arial" w:hAnsi="Arial" w:cs="Arial"/>
          <w:color w:val="000000"/>
          <w:sz w:val="20"/>
          <w:szCs w:val="20"/>
        </w:rPr>
        <w:t>/</w:t>
      </w:r>
    </w:p>
    <w:p w14:paraId="6257655C" w14:textId="77777777" w:rsidR="00C63652" w:rsidRPr="00C63652" w:rsidRDefault="00C63652" w:rsidP="00C63652">
      <w:pPr>
        <w:ind w:left="709" w:hanging="709"/>
        <w:jc w:val="both"/>
      </w:pPr>
      <w:proofErr w:type="spellStart"/>
      <w:r w:rsidRPr="00C63652">
        <w:rPr>
          <w:rFonts w:ascii="Arial" w:hAnsi="Arial" w:cs="Arial"/>
          <w:color w:val="000000"/>
          <w:sz w:val="20"/>
          <w:szCs w:val="20"/>
        </w:rPr>
        <w:t>Pregoner</w:t>
      </w:r>
      <w:proofErr w:type="spellEnd"/>
      <w:r w:rsidRPr="00C63652">
        <w:rPr>
          <w:rFonts w:ascii="Arial" w:hAnsi="Arial" w:cs="Arial"/>
          <w:color w:val="000000"/>
          <w:sz w:val="20"/>
          <w:szCs w:val="20"/>
        </w:rPr>
        <w:t xml:space="preserve">, J. D., </w:t>
      </w:r>
      <w:proofErr w:type="spellStart"/>
      <w:r w:rsidRPr="00C63652">
        <w:rPr>
          <w:rFonts w:ascii="Arial" w:hAnsi="Arial" w:cs="Arial"/>
          <w:color w:val="000000"/>
          <w:sz w:val="20"/>
          <w:szCs w:val="20"/>
        </w:rPr>
        <w:t>Leopardas</w:t>
      </w:r>
      <w:proofErr w:type="spellEnd"/>
      <w:r w:rsidRPr="00C63652">
        <w:rPr>
          <w:rFonts w:ascii="Arial" w:hAnsi="Arial" w:cs="Arial"/>
          <w:color w:val="000000"/>
          <w:sz w:val="20"/>
          <w:szCs w:val="20"/>
        </w:rPr>
        <w:t xml:space="preserve">, R., Ganancial, I. J., </w:t>
      </w:r>
      <w:proofErr w:type="spellStart"/>
      <w:r w:rsidRPr="00C63652">
        <w:rPr>
          <w:rFonts w:ascii="Arial" w:hAnsi="Arial" w:cs="Arial"/>
          <w:color w:val="000000"/>
          <w:sz w:val="20"/>
          <w:szCs w:val="20"/>
        </w:rPr>
        <w:t>Baguhin</w:t>
      </w:r>
      <w:proofErr w:type="spellEnd"/>
      <w:r w:rsidRPr="00C63652">
        <w:rPr>
          <w:rFonts w:ascii="Arial" w:hAnsi="Arial" w:cs="Arial"/>
          <w:color w:val="000000"/>
          <w:sz w:val="20"/>
          <w:szCs w:val="20"/>
        </w:rPr>
        <w:t xml:space="preserve">, M., &amp; Sedo, F. (2025). Ethical Issues in Conducting Research Using Human Participants in the Post-COVID Era. </w:t>
      </w:r>
      <w:r w:rsidRPr="00C63652">
        <w:rPr>
          <w:rFonts w:ascii="Arial" w:hAnsi="Arial" w:cs="Arial"/>
          <w:i/>
          <w:iCs/>
          <w:color w:val="000000"/>
          <w:sz w:val="20"/>
          <w:szCs w:val="20"/>
        </w:rPr>
        <w:t>IMCC Journal of Science</w:t>
      </w:r>
      <w:r w:rsidRPr="00C63652">
        <w:rPr>
          <w:rFonts w:ascii="Arial" w:hAnsi="Arial" w:cs="Arial"/>
          <w:color w:val="000000"/>
          <w:sz w:val="20"/>
          <w:szCs w:val="20"/>
        </w:rPr>
        <w:t xml:space="preserve">, </w:t>
      </w:r>
      <w:r w:rsidRPr="00C63652">
        <w:rPr>
          <w:rFonts w:ascii="Arial" w:hAnsi="Arial" w:cs="Arial"/>
          <w:i/>
          <w:iCs/>
          <w:color w:val="000000"/>
          <w:sz w:val="20"/>
          <w:szCs w:val="20"/>
        </w:rPr>
        <w:t>5</w:t>
      </w:r>
      <w:r w:rsidRPr="00C63652">
        <w:rPr>
          <w:rFonts w:ascii="Arial" w:hAnsi="Arial" w:cs="Arial"/>
          <w:color w:val="000000"/>
          <w:sz w:val="20"/>
          <w:szCs w:val="20"/>
        </w:rPr>
        <w:t xml:space="preserve">(1), 1-9. </w:t>
      </w:r>
      <w:hyperlink r:id="rId27" w:history="1">
        <w:r w:rsidRPr="00C63652">
          <w:rPr>
            <w:rFonts w:ascii="Arial" w:hAnsi="Arial" w:cs="Arial"/>
            <w:color w:val="000000"/>
            <w:sz w:val="20"/>
            <w:szCs w:val="20"/>
            <w:u w:val="single"/>
          </w:rPr>
          <w:t>https://hal.science/hal-05073466</w:t>
        </w:r>
      </w:hyperlink>
      <w:r w:rsidRPr="00C63652">
        <w:rPr>
          <w:rFonts w:ascii="Arial" w:hAnsi="Arial" w:cs="Arial"/>
          <w:color w:val="000000"/>
          <w:sz w:val="20"/>
          <w:szCs w:val="20"/>
        </w:rPr>
        <w:t>/</w:t>
      </w:r>
    </w:p>
    <w:p w14:paraId="4DD85F6D"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Shan, J. (2022). No Harmonious Relationship between Teachers and Students, No Attractive Nursing Class. </w:t>
      </w:r>
      <w:r w:rsidRPr="00C63652">
        <w:rPr>
          <w:rFonts w:ascii="Arial" w:hAnsi="Arial" w:cs="Arial"/>
          <w:i/>
          <w:iCs/>
          <w:color w:val="222222"/>
          <w:sz w:val="20"/>
          <w:szCs w:val="20"/>
          <w:shd w:val="clear" w:color="auto" w:fill="FFFFFF"/>
        </w:rPr>
        <w:t>Forest Chemicals Review</w:t>
      </w:r>
      <w:r w:rsidRPr="00C63652">
        <w:rPr>
          <w:rFonts w:ascii="Arial" w:hAnsi="Arial" w:cs="Arial"/>
          <w:color w:val="222222"/>
          <w:sz w:val="20"/>
          <w:szCs w:val="20"/>
          <w:shd w:val="clear" w:color="auto" w:fill="FFFFFF"/>
        </w:rPr>
        <w:t xml:space="preserve">, 18-24. </w:t>
      </w:r>
      <w:hyperlink r:id="rId28" w:history="1">
        <w:r w:rsidRPr="00C63652">
          <w:rPr>
            <w:rFonts w:ascii="Arial" w:hAnsi="Arial" w:cs="Arial"/>
            <w:color w:val="1155CC"/>
            <w:sz w:val="20"/>
            <w:szCs w:val="20"/>
            <w:u w:val="single"/>
            <w:shd w:val="clear" w:color="auto" w:fill="FFFFFF"/>
          </w:rPr>
          <w:t>http://forestchemicalsreview.com/index.php/JFCR/article/view/1102</w:t>
        </w:r>
      </w:hyperlink>
    </w:p>
    <w:p w14:paraId="00D1ACB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Sisson, J. H., Whitington, V., &amp; Shin, A. M. (2020). “Teaching culture through culture”: A case study of culturally responsive pedagogies in an Australian early childhood/primary context. </w:t>
      </w:r>
      <w:r w:rsidRPr="00C63652">
        <w:rPr>
          <w:rFonts w:ascii="Arial" w:hAnsi="Arial" w:cs="Arial"/>
          <w:i/>
          <w:iCs/>
          <w:color w:val="222222"/>
          <w:sz w:val="20"/>
          <w:szCs w:val="20"/>
          <w:shd w:val="clear" w:color="auto" w:fill="FFFFFF"/>
        </w:rPr>
        <w:t>Journal of Research in Childhood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34</w:t>
      </w:r>
      <w:r w:rsidRPr="00C63652">
        <w:rPr>
          <w:rFonts w:ascii="Arial" w:hAnsi="Arial" w:cs="Arial"/>
          <w:color w:val="222222"/>
          <w:sz w:val="20"/>
          <w:szCs w:val="20"/>
          <w:shd w:val="clear" w:color="auto" w:fill="FFFFFF"/>
        </w:rPr>
        <w:t xml:space="preserve">(1), 108-126. </w:t>
      </w:r>
      <w:hyperlink r:id="rId29" w:history="1">
        <w:r w:rsidRPr="00C63652">
          <w:rPr>
            <w:rFonts w:ascii="Arial" w:hAnsi="Arial" w:cs="Arial"/>
            <w:color w:val="1155CC"/>
            <w:sz w:val="20"/>
            <w:szCs w:val="20"/>
            <w:u w:val="single"/>
            <w:shd w:val="clear" w:color="auto" w:fill="FFFFFF"/>
          </w:rPr>
          <w:t>https://www.tandfonline.com/doi/abs/10.1080/02568543.2019.1692110</w:t>
        </w:r>
      </w:hyperlink>
    </w:p>
    <w:p w14:paraId="06DCCE31"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Sosa Díaz, M. J., Guerra Antequera, J., &amp; Cerezo Pizarro, M. (2021). Flipped classroom in the context of higher education: Learning, satisfaction and interaction. </w:t>
      </w:r>
      <w:r w:rsidRPr="00C63652">
        <w:rPr>
          <w:rFonts w:ascii="Arial" w:hAnsi="Arial" w:cs="Arial"/>
          <w:i/>
          <w:iCs/>
          <w:color w:val="222222"/>
          <w:sz w:val="20"/>
          <w:szCs w:val="20"/>
          <w:shd w:val="clear" w:color="auto" w:fill="FFFFFF"/>
        </w:rPr>
        <w:t>Education Sciences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11</w:t>
      </w:r>
      <w:r w:rsidRPr="00C63652">
        <w:rPr>
          <w:rFonts w:ascii="Arial" w:hAnsi="Arial" w:cs="Arial"/>
          <w:color w:val="222222"/>
          <w:sz w:val="20"/>
          <w:szCs w:val="20"/>
          <w:shd w:val="clear" w:color="auto" w:fill="FFFFFF"/>
        </w:rPr>
        <w:t xml:space="preserve">(8), 416. </w:t>
      </w:r>
      <w:hyperlink r:id="rId30" w:history="1">
        <w:r w:rsidRPr="00C63652">
          <w:rPr>
            <w:rFonts w:ascii="Arial" w:hAnsi="Arial" w:cs="Arial"/>
            <w:color w:val="1155CC"/>
            <w:sz w:val="20"/>
            <w:szCs w:val="20"/>
            <w:u w:val="single"/>
            <w:shd w:val="clear" w:color="auto" w:fill="FFFFFF"/>
          </w:rPr>
          <w:t>https://www.mdpi.com/2227-7102/11/8/416</w:t>
        </w:r>
      </w:hyperlink>
    </w:p>
    <w:p w14:paraId="5FDEE71F"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Teeters, L. P., </w:t>
      </w:r>
      <w:proofErr w:type="spellStart"/>
      <w:r w:rsidRPr="00C63652">
        <w:rPr>
          <w:rFonts w:ascii="Arial" w:hAnsi="Arial" w:cs="Arial"/>
          <w:color w:val="222222"/>
          <w:sz w:val="20"/>
          <w:szCs w:val="20"/>
          <w:shd w:val="clear" w:color="auto" w:fill="FFFFFF"/>
        </w:rPr>
        <w:t>Mckımmy</w:t>
      </w:r>
      <w:proofErr w:type="spellEnd"/>
      <w:r w:rsidRPr="00C63652">
        <w:rPr>
          <w:rFonts w:ascii="Arial" w:hAnsi="Arial" w:cs="Arial"/>
          <w:color w:val="222222"/>
          <w:sz w:val="20"/>
          <w:szCs w:val="20"/>
          <w:shd w:val="clear" w:color="auto" w:fill="FFFFFF"/>
        </w:rPr>
        <w:t xml:space="preserve">, C., </w:t>
      </w:r>
      <w:proofErr w:type="spellStart"/>
      <w:r w:rsidRPr="00C63652">
        <w:rPr>
          <w:rFonts w:ascii="Arial" w:hAnsi="Arial" w:cs="Arial"/>
          <w:color w:val="222222"/>
          <w:sz w:val="20"/>
          <w:szCs w:val="20"/>
          <w:shd w:val="clear" w:color="auto" w:fill="FFFFFF"/>
        </w:rPr>
        <w:t>Shedro</w:t>
      </w:r>
      <w:proofErr w:type="spellEnd"/>
      <w:r w:rsidRPr="00C63652">
        <w:rPr>
          <w:rFonts w:ascii="Arial" w:hAnsi="Arial" w:cs="Arial"/>
          <w:color w:val="222222"/>
          <w:sz w:val="20"/>
          <w:szCs w:val="20"/>
          <w:shd w:val="clear" w:color="auto" w:fill="FFFFFF"/>
        </w:rPr>
        <w:t xml:space="preserve">, M., Ashar, Y., Alvarez, A., Prıce, E., &amp; </w:t>
      </w:r>
      <w:proofErr w:type="spellStart"/>
      <w:r w:rsidRPr="00C63652">
        <w:rPr>
          <w:rFonts w:ascii="Arial" w:hAnsi="Arial" w:cs="Arial"/>
          <w:color w:val="222222"/>
          <w:sz w:val="20"/>
          <w:szCs w:val="20"/>
          <w:shd w:val="clear" w:color="auto" w:fill="FFFFFF"/>
        </w:rPr>
        <w:t>Dımıdjıan</w:t>
      </w:r>
      <w:proofErr w:type="spellEnd"/>
      <w:r w:rsidRPr="00C63652">
        <w:rPr>
          <w:rFonts w:ascii="Arial" w:hAnsi="Arial" w:cs="Arial"/>
          <w:color w:val="222222"/>
          <w:sz w:val="20"/>
          <w:szCs w:val="20"/>
          <w:shd w:val="clear" w:color="auto" w:fill="FFFFFF"/>
        </w:rPr>
        <w:t xml:space="preserve">, S. (2021). Teaching as mediation: Exploring the impacts of a teacher training program on generating social and emotional learning environments. </w:t>
      </w:r>
      <w:r w:rsidRPr="00C63652">
        <w:rPr>
          <w:rFonts w:ascii="Arial" w:hAnsi="Arial" w:cs="Arial"/>
          <w:i/>
          <w:iCs/>
          <w:color w:val="222222"/>
          <w:sz w:val="20"/>
          <w:szCs w:val="20"/>
          <w:shd w:val="clear" w:color="auto" w:fill="FFFFFF"/>
        </w:rPr>
        <w:t>Journal of Teacher Education and Educators</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10</w:t>
      </w:r>
      <w:r w:rsidRPr="00C63652">
        <w:rPr>
          <w:rFonts w:ascii="Arial" w:hAnsi="Arial" w:cs="Arial"/>
          <w:color w:val="222222"/>
          <w:sz w:val="20"/>
          <w:szCs w:val="20"/>
          <w:shd w:val="clear" w:color="auto" w:fill="FFFFFF"/>
        </w:rPr>
        <w:t>(1), 25-46.</w:t>
      </w:r>
      <w:hyperlink r:id="rId31" w:history="1">
        <w:r w:rsidRPr="00C63652">
          <w:rPr>
            <w:rFonts w:ascii="Arial" w:hAnsi="Arial" w:cs="Arial"/>
            <w:color w:val="1155CC"/>
            <w:sz w:val="20"/>
            <w:szCs w:val="20"/>
            <w:u w:val="single"/>
            <w:shd w:val="clear" w:color="auto" w:fill="FFFFFF"/>
          </w:rPr>
          <w:t>https://dergipark.org.tr/en/pub/jtee/issue/62163/742982</w:t>
        </w:r>
      </w:hyperlink>
    </w:p>
    <w:p w14:paraId="055573E2" w14:textId="77777777" w:rsidR="00C63652" w:rsidRPr="007A52F2" w:rsidRDefault="00C63652" w:rsidP="00C63652">
      <w:pPr>
        <w:ind w:left="709" w:hanging="709"/>
        <w:jc w:val="both"/>
        <w:rPr>
          <w:sz w:val="20"/>
          <w:szCs w:val="20"/>
        </w:rPr>
      </w:pPr>
      <w:r w:rsidRPr="00C63652">
        <w:rPr>
          <w:rFonts w:ascii="Arial" w:hAnsi="Arial" w:cs="Arial"/>
          <w:color w:val="222222"/>
          <w:sz w:val="20"/>
          <w:szCs w:val="20"/>
          <w:shd w:val="clear" w:color="auto" w:fill="FFFFFF"/>
        </w:rPr>
        <w:t xml:space="preserve">Wilson, C., Marks Woolfson, L., &amp; Durkin, K. (2020). School environment and mastery experience as predictors of teachers’ self-efficacy beliefs towards inclusive teaching. </w:t>
      </w:r>
      <w:r w:rsidRPr="00C63652">
        <w:rPr>
          <w:rFonts w:ascii="Arial" w:hAnsi="Arial" w:cs="Arial"/>
          <w:i/>
          <w:iCs/>
          <w:color w:val="222222"/>
          <w:sz w:val="20"/>
          <w:szCs w:val="20"/>
          <w:shd w:val="clear" w:color="auto" w:fill="FFFFFF"/>
        </w:rPr>
        <w:t>International journal of inclusive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24</w:t>
      </w:r>
      <w:r w:rsidRPr="00C63652">
        <w:rPr>
          <w:rFonts w:ascii="Arial" w:hAnsi="Arial" w:cs="Arial"/>
          <w:color w:val="222222"/>
          <w:sz w:val="20"/>
          <w:szCs w:val="20"/>
          <w:shd w:val="clear" w:color="auto" w:fill="FFFFFF"/>
        </w:rPr>
        <w:t xml:space="preserve">(2), 218-234. </w:t>
      </w:r>
      <w:hyperlink r:id="rId32" w:history="1">
        <w:r w:rsidRPr="00C63652">
          <w:rPr>
            <w:rFonts w:ascii="Arial" w:hAnsi="Arial" w:cs="Arial"/>
            <w:color w:val="1155CC"/>
            <w:sz w:val="20"/>
            <w:szCs w:val="20"/>
            <w:u w:val="single"/>
            <w:shd w:val="clear" w:color="auto" w:fill="FFFFFF"/>
          </w:rPr>
          <w:t>https://www.tandfonline.com/doi/abs/10.1080/13603116.2018.1455901</w:t>
        </w:r>
      </w:hyperlink>
    </w:p>
    <w:p w14:paraId="3A4B5847"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t xml:space="preserve">Zajda, J., &amp; Zajda, J. (2021). Motivation in the classroom: Creating effective learning environments. </w:t>
      </w:r>
      <w:proofErr w:type="spellStart"/>
      <w:r w:rsidRPr="00C63652">
        <w:rPr>
          <w:rFonts w:ascii="Arial" w:hAnsi="Arial" w:cs="Arial"/>
          <w:i/>
          <w:iCs/>
          <w:color w:val="222222"/>
          <w:sz w:val="20"/>
          <w:szCs w:val="20"/>
          <w:shd w:val="clear" w:color="auto" w:fill="FFFFFF"/>
        </w:rPr>
        <w:t>Globalisation</w:t>
      </w:r>
      <w:proofErr w:type="spellEnd"/>
      <w:r w:rsidRPr="00C63652">
        <w:rPr>
          <w:rFonts w:ascii="Arial" w:hAnsi="Arial" w:cs="Arial"/>
          <w:i/>
          <w:iCs/>
          <w:color w:val="222222"/>
          <w:sz w:val="20"/>
          <w:szCs w:val="20"/>
          <w:shd w:val="clear" w:color="auto" w:fill="FFFFFF"/>
        </w:rPr>
        <w:t xml:space="preserve"> and education reforms: Creating effective learning environments</w:t>
      </w:r>
      <w:r w:rsidRPr="00C63652">
        <w:rPr>
          <w:rFonts w:ascii="Arial" w:hAnsi="Arial" w:cs="Arial"/>
          <w:color w:val="222222"/>
          <w:sz w:val="20"/>
          <w:szCs w:val="20"/>
          <w:shd w:val="clear" w:color="auto" w:fill="FFFFFF"/>
        </w:rPr>
        <w:t>, 17-34.</w:t>
      </w:r>
      <w:hyperlink r:id="rId33" w:history="1">
        <w:r w:rsidRPr="00C63652">
          <w:rPr>
            <w:rFonts w:ascii="Arial" w:hAnsi="Arial" w:cs="Arial"/>
            <w:color w:val="1155CC"/>
            <w:sz w:val="20"/>
            <w:szCs w:val="20"/>
            <w:u w:val="single"/>
            <w:shd w:val="clear" w:color="auto" w:fill="FFFFFF"/>
          </w:rPr>
          <w:t>https://link.springer.com/chapter/10.1007/978-3-030-71575-5_2</w:t>
        </w:r>
      </w:hyperlink>
    </w:p>
    <w:p w14:paraId="778677F4" w14:textId="77777777" w:rsidR="00C63652" w:rsidRPr="00C63652" w:rsidRDefault="00C63652" w:rsidP="00C63652">
      <w:pPr>
        <w:ind w:left="709" w:hanging="709"/>
        <w:jc w:val="both"/>
      </w:pPr>
      <w:r w:rsidRPr="00C63652">
        <w:rPr>
          <w:rFonts w:ascii="Arial" w:hAnsi="Arial" w:cs="Arial"/>
          <w:color w:val="222222"/>
          <w:sz w:val="20"/>
          <w:szCs w:val="20"/>
          <w:shd w:val="clear" w:color="auto" w:fill="FFFFFF"/>
        </w:rPr>
        <w:lastRenderedPageBreak/>
        <w:t xml:space="preserve">Zakariya, Y. F. (2020). Effects of school climate and teacher self-efficacy on job satisfaction of mostly STEM teachers: a structural multigroup invariance approach. </w:t>
      </w:r>
      <w:r w:rsidRPr="00C63652">
        <w:rPr>
          <w:rFonts w:ascii="Arial" w:hAnsi="Arial" w:cs="Arial"/>
          <w:i/>
          <w:iCs/>
          <w:color w:val="222222"/>
          <w:sz w:val="20"/>
          <w:szCs w:val="20"/>
          <w:shd w:val="clear" w:color="auto" w:fill="FFFFFF"/>
        </w:rPr>
        <w:t>International Journal of STEM Education</w:t>
      </w:r>
      <w:r w:rsidRPr="00C63652">
        <w:rPr>
          <w:rFonts w:ascii="Arial" w:hAnsi="Arial" w:cs="Arial"/>
          <w:color w:val="222222"/>
          <w:sz w:val="20"/>
          <w:szCs w:val="20"/>
          <w:shd w:val="clear" w:color="auto" w:fill="FFFFFF"/>
        </w:rPr>
        <w:t xml:space="preserve">, </w:t>
      </w:r>
      <w:r w:rsidRPr="00C63652">
        <w:rPr>
          <w:rFonts w:ascii="Arial" w:hAnsi="Arial" w:cs="Arial"/>
          <w:i/>
          <w:iCs/>
          <w:color w:val="222222"/>
          <w:sz w:val="20"/>
          <w:szCs w:val="20"/>
          <w:shd w:val="clear" w:color="auto" w:fill="FFFFFF"/>
        </w:rPr>
        <w:t>7</w:t>
      </w:r>
      <w:r w:rsidRPr="00C63652">
        <w:rPr>
          <w:rFonts w:ascii="Arial" w:hAnsi="Arial" w:cs="Arial"/>
          <w:color w:val="222222"/>
          <w:sz w:val="20"/>
          <w:szCs w:val="20"/>
          <w:shd w:val="clear" w:color="auto" w:fill="FFFFFF"/>
        </w:rPr>
        <w:t xml:space="preserve">, 1-12. </w:t>
      </w:r>
      <w:hyperlink r:id="rId34" w:history="1">
        <w:r w:rsidRPr="00C63652">
          <w:rPr>
            <w:rFonts w:ascii="Arial" w:hAnsi="Arial" w:cs="Arial"/>
            <w:color w:val="1155CC"/>
            <w:sz w:val="20"/>
            <w:szCs w:val="20"/>
            <w:u w:val="single"/>
            <w:shd w:val="clear" w:color="auto" w:fill="FFFFFF"/>
          </w:rPr>
          <w:t>https://link.springer.com/article/10.1186/s40594-020-00209-4</w:t>
        </w:r>
      </w:hyperlink>
    </w:p>
    <w:sectPr w:rsidR="00C63652" w:rsidRPr="00C63652" w:rsidSect="00EE7A9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357A" w14:textId="77777777" w:rsidR="00847977" w:rsidRDefault="00847977">
      <w:r>
        <w:separator/>
      </w:r>
    </w:p>
  </w:endnote>
  <w:endnote w:type="continuationSeparator" w:id="0">
    <w:p w14:paraId="4EDF0EAC" w14:textId="77777777" w:rsidR="00847977" w:rsidRDefault="0084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B03" w14:textId="77777777" w:rsidR="00EE7A90" w:rsidRDefault="00EE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33B0" w14:textId="77777777" w:rsidR="00EE7A90" w:rsidRDefault="00EE7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44387868" w:rsidR="00717F2E" w:rsidRPr="00EE7A90" w:rsidRDefault="00717F2E" w:rsidP="00EE7A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2D55" w14:textId="77777777" w:rsidR="00847977" w:rsidRDefault="00847977">
      <w:r>
        <w:separator/>
      </w:r>
    </w:p>
  </w:footnote>
  <w:footnote w:type="continuationSeparator" w:id="0">
    <w:p w14:paraId="6693D923" w14:textId="77777777" w:rsidR="00847977" w:rsidRDefault="0084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4804" w14:textId="7698A819" w:rsidR="00EE7A90" w:rsidRDefault="00EE7A90">
    <w:pPr>
      <w:pStyle w:val="Header"/>
    </w:pPr>
    <w:r>
      <w:rPr>
        <w:noProof/>
      </w:rPr>
      <w:pict w14:anchorId="18F7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D300" w14:textId="64C7D523" w:rsidR="00EE7A90" w:rsidRDefault="00EE7A90">
    <w:pPr>
      <w:pStyle w:val="Header"/>
    </w:pPr>
    <w:r>
      <w:rPr>
        <w:noProof/>
      </w:rPr>
      <w:pict w14:anchorId="0A25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2F2B43C6" w:rsidR="00717F2E" w:rsidRDefault="00EE7A90">
    <w:pPr>
      <w:ind w:left="2160"/>
      <w:jc w:val="center"/>
      <w:rPr>
        <w:rFonts w:eastAsia="Calibri"/>
        <w:i/>
        <w:sz w:val="18"/>
        <w:szCs w:val="22"/>
      </w:rPr>
    </w:pPr>
    <w:r>
      <w:rPr>
        <w:noProof/>
      </w:rPr>
      <w:pict w14:anchorId="137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92A0" w14:textId="66A6A9B2" w:rsidR="00EE7A90" w:rsidRDefault="00EE7A90">
    <w:pPr>
      <w:pStyle w:val="Header"/>
    </w:pPr>
    <w:r>
      <w:rPr>
        <w:noProof/>
      </w:rPr>
      <w:pict w14:anchorId="09719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4EB4" w14:textId="513DA039" w:rsidR="00EE7A90" w:rsidRDefault="00EE7A90">
    <w:pPr>
      <w:pStyle w:val="Header"/>
    </w:pPr>
    <w:r>
      <w:rPr>
        <w:noProof/>
      </w:rPr>
      <w:pict w14:anchorId="52639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4EA1" w14:textId="170A4F4E" w:rsidR="00EE7A90" w:rsidRDefault="00EE7A90">
    <w:pPr>
      <w:pStyle w:val="Header"/>
    </w:pPr>
    <w:r>
      <w:rPr>
        <w:noProof/>
      </w:rPr>
      <w:pict w14:anchorId="10FB6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8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217544601">
    <w:abstractNumId w:val="3"/>
  </w:num>
  <w:num w:numId="2" w16cid:durableId="1635915313">
    <w:abstractNumId w:val="2"/>
  </w:num>
  <w:num w:numId="3" w16cid:durableId="1638025507">
    <w:abstractNumId w:val="0"/>
  </w:num>
  <w:num w:numId="4" w16cid:durableId="1804927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B12"/>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5D31"/>
    <w:rsid w:val="0005727A"/>
    <w:rsid w:val="00057C65"/>
    <w:rsid w:val="000603D4"/>
    <w:rsid w:val="00061339"/>
    <w:rsid w:val="000647E2"/>
    <w:rsid w:val="00065B83"/>
    <w:rsid w:val="0006706E"/>
    <w:rsid w:val="0006786A"/>
    <w:rsid w:val="00067A0F"/>
    <w:rsid w:val="00067B98"/>
    <w:rsid w:val="00073A00"/>
    <w:rsid w:val="00073DA5"/>
    <w:rsid w:val="000763D2"/>
    <w:rsid w:val="00081ACB"/>
    <w:rsid w:val="000827FD"/>
    <w:rsid w:val="00084A16"/>
    <w:rsid w:val="00090DFA"/>
    <w:rsid w:val="00095BAE"/>
    <w:rsid w:val="00095F34"/>
    <w:rsid w:val="00096483"/>
    <w:rsid w:val="00096CB5"/>
    <w:rsid w:val="00096E7E"/>
    <w:rsid w:val="000A2230"/>
    <w:rsid w:val="000A3474"/>
    <w:rsid w:val="000A3EDA"/>
    <w:rsid w:val="000A47FA"/>
    <w:rsid w:val="000A61FE"/>
    <w:rsid w:val="000A65D3"/>
    <w:rsid w:val="000A77F6"/>
    <w:rsid w:val="000B03FC"/>
    <w:rsid w:val="000B1E33"/>
    <w:rsid w:val="000B6BC1"/>
    <w:rsid w:val="000B75B1"/>
    <w:rsid w:val="000C43E4"/>
    <w:rsid w:val="000C5AE7"/>
    <w:rsid w:val="000C6E8D"/>
    <w:rsid w:val="000C70E2"/>
    <w:rsid w:val="000C73EB"/>
    <w:rsid w:val="000D2384"/>
    <w:rsid w:val="000D23E6"/>
    <w:rsid w:val="000D31C5"/>
    <w:rsid w:val="000D5F80"/>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0CCE"/>
    <w:rsid w:val="00103357"/>
    <w:rsid w:val="00107572"/>
    <w:rsid w:val="0011125C"/>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95C"/>
    <w:rsid w:val="001B41D7"/>
    <w:rsid w:val="001B489B"/>
    <w:rsid w:val="001B785F"/>
    <w:rsid w:val="001B7F30"/>
    <w:rsid w:val="001C12F6"/>
    <w:rsid w:val="001C2FC3"/>
    <w:rsid w:val="001C4AD5"/>
    <w:rsid w:val="001C572B"/>
    <w:rsid w:val="001C71EE"/>
    <w:rsid w:val="001C73EE"/>
    <w:rsid w:val="001D0BDE"/>
    <w:rsid w:val="001D10E2"/>
    <w:rsid w:val="001D3A51"/>
    <w:rsid w:val="001D4380"/>
    <w:rsid w:val="001D7EA8"/>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748"/>
    <w:rsid w:val="00251946"/>
    <w:rsid w:val="002556F6"/>
    <w:rsid w:val="00256452"/>
    <w:rsid w:val="00256882"/>
    <w:rsid w:val="002622D4"/>
    <w:rsid w:val="00264A59"/>
    <w:rsid w:val="00266E67"/>
    <w:rsid w:val="00271F07"/>
    <w:rsid w:val="002755D7"/>
    <w:rsid w:val="002814B3"/>
    <w:rsid w:val="00283105"/>
    <w:rsid w:val="00283BED"/>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7F0F"/>
    <w:rsid w:val="002F2031"/>
    <w:rsid w:val="002F2D06"/>
    <w:rsid w:val="002F42EB"/>
    <w:rsid w:val="002F5C4B"/>
    <w:rsid w:val="002F5E64"/>
    <w:rsid w:val="0030202C"/>
    <w:rsid w:val="00303A6C"/>
    <w:rsid w:val="00303E14"/>
    <w:rsid w:val="00304434"/>
    <w:rsid w:val="00304469"/>
    <w:rsid w:val="003074EB"/>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616"/>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76B"/>
    <w:rsid w:val="00362B79"/>
    <w:rsid w:val="00362D97"/>
    <w:rsid w:val="00363B3A"/>
    <w:rsid w:val="00363CA7"/>
    <w:rsid w:val="00371FB6"/>
    <w:rsid w:val="003763C1"/>
    <w:rsid w:val="00376A55"/>
    <w:rsid w:val="00376BBE"/>
    <w:rsid w:val="00377430"/>
    <w:rsid w:val="00377AD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0907"/>
    <w:rsid w:val="003C4335"/>
    <w:rsid w:val="003C44A6"/>
    <w:rsid w:val="003C4C86"/>
    <w:rsid w:val="003C6258"/>
    <w:rsid w:val="003D171B"/>
    <w:rsid w:val="003D2D0A"/>
    <w:rsid w:val="003D3677"/>
    <w:rsid w:val="003D4C18"/>
    <w:rsid w:val="003D61C5"/>
    <w:rsid w:val="003D6BA6"/>
    <w:rsid w:val="003D7548"/>
    <w:rsid w:val="003D7E45"/>
    <w:rsid w:val="003E2904"/>
    <w:rsid w:val="003E3399"/>
    <w:rsid w:val="003E37A2"/>
    <w:rsid w:val="003E467A"/>
    <w:rsid w:val="003E49AD"/>
    <w:rsid w:val="003E671C"/>
    <w:rsid w:val="003E7C0F"/>
    <w:rsid w:val="003F10CF"/>
    <w:rsid w:val="003F2281"/>
    <w:rsid w:val="003F3B63"/>
    <w:rsid w:val="003F760A"/>
    <w:rsid w:val="00401927"/>
    <w:rsid w:val="00403CB1"/>
    <w:rsid w:val="004040B3"/>
    <w:rsid w:val="00404135"/>
    <w:rsid w:val="0041027F"/>
    <w:rsid w:val="00410AB7"/>
    <w:rsid w:val="00412475"/>
    <w:rsid w:val="0041280F"/>
    <w:rsid w:val="004138D3"/>
    <w:rsid w:val="00415D76"/>
    <w:rsid w:val="00416DDE"/>
    <w:rsid w:val="00423789"/>
    <w:rsid w:val="00430496"/>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86F48"/>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2D55"/>
    <w:rsid w:val="004F45E4"/>
    <w:rsid w:val="004F7E11"/>
    <w:rsid w:val="00500D35"/>
    <w:rsid w:val="00502516"/>
    <w:rsid w:val="00502C0C"/>
    <w:rsid w:val="00502D46"/>
    <w:rsid w:val="00503ADC"/>
    <w:rsid w:val="00504CAB"/>
    <w:rsid w:val="00505231"/>
    <w:rsid w:val="00505F06"/>
    <w:rsid w:val="00506828"/>
    <w:rsid w:val="0050761B"/>
    <w:rsid w:val="00507A73"/>
    <w:rsid w:val="00517AFC"/>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92DF4"/>
    <w:rsid w:val="005A463E"/>
    <w:rsid w:val="005A4C3F"/>
    <w:rsid w:val="005A6405"/>
    <w:rsid w:val="005A6625"/>
    <w:rsid w:val="005B0E96"/>
    <w:rsid w:val="005B1BAF"/>
    <w:rsid w:val="005B222E"/>
    <w:rsid w:val="005B2E0E"/>
    <w:rsid w:val="005B3F31"/>
    <w:rsid w:val="005B5EA4"/>
    <w:rsid w:val="005C2662"/>
    <w:rsid w:val="005C2AB0"/>
    <w:rsid w:val="005C3039"/>
    <w:rsid w:val="005C456F"/>
    <w:rsid w:val="005C540B"/>
    <w:rsid w:val="005C6F1A"/>
    <w:rsid w:val="005C784C"/>
    <w:rsid w:val="005D17F6"/>
    <w:rsid w:val="005D1CBB"/>
    <w:rsid w:val="005D28C5"/>
    <w:rsid w:val="005D2C58"/>
    <w:rsid w:val="005D3FA5"/>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64D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66D1"/>
    <w:rsid w:val="006B7388"/>
    <w:rsid w:val="006B77F3"/>
    <w:rsid w:val="006C0110"/>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A58"/>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172"/>
    <w:rsid w:val="00776F82"/>
    <w:rsid w:val="0077749E"/>
    <w:rsid w:val="00777894"/>
    <w:rsid w:val="00777EFB"/>
    <w:rsid w:val="00781D5E"/>
    <w:rsid w:val="00781F66"/>
    <w:rsid w:val="00790ADA"/>
    <w:rsid w:val="00791230"/>
    <w:rsid w:val="0079158F"/>
    <w:rsid w:val="00793F54"/>
    <w:rsid w:val="007969E9"/>
    <w:rsid w:val="007A2E32"/>
    <w:rsid w:val="007A351A"/>
    <w:rsid w:val="007A52F2"/>
    <w:rsid w:val="007A5FBD"/>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5C64"/>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4F98"/>
    <w:rsid w:val="008453DD"/>
    <w:rsid w:val="00847952"/>
    <w:rsid w:val="00847977"/>
    <w:rsid w:val="00850E61"/>
    <w:rsid w:val="00851CF6"/>
    <w:rsid w:val="0085546E"/>
    <w:rsid w:val="0085657A"/>
    <w:rsid w:val="00860000"/>
    <w:rsid w:val="00861C5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1E2D"/>
    <w:rsid w:val="008C2330"/>
    <w:rsid w:val="008C3CF9"/>
    <w:rsid w:val="008C5747"/>
    <w:rsid w:val="008C65DE"/>
    <w:rsid w:val="008D0509"/>
    <w:rsid w:val="008D1544"/>
    <w:rsid w:val="008D4CC6"/>
    <w:rsid w:val="008D5531"/>
    <w:rsid w:val="008D6E31"/>
    <w:rsid w:val="008E13AE"/>
    <w:rsid w:val="008E1506"/>
    <w:rsid w:val="008E1D48"/>
    <w:rsid w:val="008E3BFB"/>
    <w:rsid w:val="008E710C"/>
    <w:rsid w:val="008F0221"/>
    <w:rsid w:val="008F2E29"/>
    <w:rsid w:val="008F446C"/>
    <w:rsid w:val="008F5B17"/>
    <w:rsid w:val="008F69D6"/>
    <w:rsid w:val="00902823"/>
    <w:rsid w:val="00907A49"/>
    <w:rsid w:val="00907C80"/>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E63"/>
    <w:rsid w:val="009500A6"/>
    <w:rsid w:val="00951100"/>
    <w:rsid w:val="00952916"/>
    <w:rsid w:val="00957C18"/>
    <w:rsid w:val="00957C4C"/>
    <w:rsid w:val="00960222"/>
    <w:rsid w:val="00960D9E"/>
    <w:rsid w:val="009628FB"/>
    <w:rsid w:val="00962B44"/>
    <w:rsid w:val="00962C41"/>
    <w:rsid w:val="00962EC8"/>
    <w:rsid w:val="009648BB"/>
    <w:rsid w:val="009659BA"/>
    <w:rsid w:val="0096663E"/>
    <w:rsid w:val="0096697A"/>
    <w:rsid w:val="00966B8A"/>
    <w:rsid w:val="009676BB"/>
    <w:rsid w:val="00970217"/>
    <w:rsid w:val="00972E76"/>
    <w:rsid w:val="00973D3A"/>
    <w:rsid w:val="00973FFA"/>
    <w:rsid w:val="0097678A"/>
    <w:rsid w:val="00976CB2"/>
    <w:rsid w:val="009770DF"/>
    <w:rsid w:val="00982C5E"/>
    <w:rsid w:val="00982CC1"/>
    <w:rsid w:val="00982E47"/>
    <w:rsid w:val="00983040"/>
    <w:rsid w:val="0098668C"/>
    <w:rsid w:val="009913C6"/>
    <w:rsid w:val="00991ABC"/>
    <w:rsid w:val="00994FC5"/>
    <w:rsid w:val="009950D9"/>
    <w:rsid w:val="00995521"/>
    <w:rsid w:val="009A361E"/>
    <w:rsid w:val="009A4B52"/>
    <w:rsid w:val="009A5463"/>
    <w:rsid w:val="009A5ABF"/>
    <w:rsid w:val="009B02B2"/>
    <w:rsid w:val="009B2860"/>
    <w:rsid w:val="009B2A64"/>
    <w:rsid w:val="009B3195"/>
    <w:rsid w:val="009B3FB9"/>
    <w:rsid w:val="009B4824"/>
    <w:rsid w:val="009B4BA0"/>
    <w:rsid w:val="009B614E"/>
    <w:rsid w:val="009C0A64"/>
    <w:rsid w:val="009C211B"/>
    <w:rsid w:val="009C2465"/>
    <w:rsid w:val="009C4360"/>
    <w:rsid w:val="009C6219"/>
    <w:rsid w:val="009C66BE"/>
    <w:rsid w:val="009D062A"/>
    <w:rsid w:val="009D346B"/>
    <w:rsid w:val="009D35A0"/>
    <w:rsid w:val="009D5D98"/>
    <w:rsid w:val="009D5F81"/>
    <w:rsid w:val="009D7EB7"/>
    <w:rsid w:val="009E048A"/>
    <w:rsid w:val="009E06BC"/>
    <w:rsid w:val="009E08E9"/>
    <w:rsid w:val="009E115B"/>
    <w:rsid w:val="009E1832"/>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2B33"/>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ABE"/>
    <w:rsid w:val="00B211F4"/>
    <w:rsid w:val="00B21345"/>
    <w:rsid w:val="00B23046"/>
    <w:rsid w:val="00B23383"/>
    <w:rsid w:val="00B237FB"/>
    <w:rsid w:val="00B278F0"/>
    <w:rsid w:val="00B31AFA"/>
    <w:rsid w:val="00B32415"/>
    <w:rsid w:val="00B346C5"/>
    <w:rsid w:val="00B346D1"/>
    <w:rsid w:val="00B35882"/>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549D"/>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1782"/>
    <w:rsid w:val="00BE230B"/>
    <w:rsid w:val="00BE50CB"/>
    <w:rsid w:val="00BE62AD"/>
    <w:rsid w:val="00BF121F"/>
    <w:rsid w:val="00BF1D4D"/>
    <w:rsid w:val="00BF1F80"/>
    <w:rsid w:val="00BF2939"/>
    <w:rsid w:val="00BF2CC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3862"/>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48AC"/>
    <w:rsid w:val="00C555E5"/>
    <w:rsid w:val="00C56639"/>
    <w:rsid w:val="00C60511"/>
    <w:rsid w:val="00C63652"/>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759"/>
    <w:rsid w:val="00D21D9E"/>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26F"/>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6A4E"/>
    <w:rsid w:val="00DD733B"/>
    <w:rsid w:val="00DD7E9A"/>
    <w:rsid w:val="00DE15F0"/>
    <w:rsid w:val="00DE32FA"/>
    <w:rsid w:val="00DE3EAB"/>
    <w:rsid w:val="00DE5663"/>
    <w:rsid w:val="00DE7644"/>
    <w:rsid w:val="00DE767A"/>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43E"/>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E7A90"/>
    <w:rsid w:val="00EF15DE"/>
    <w:rsid w:val="00EF1EB5"/>
    <w:rsid w:val="00EF2383"/>
    <w:rsid w:val="00EF4B2D"/>
    <w:rsid w:val="00EF581D"/>
    <w:rsid w:val="00EF7DF2"/>
    <w:rsid w:val="00EF7FD8"/>
    <w:rsid w:val="00F01853"/>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379D4"/>
    <w:rsid w:val="00F40FB0"/>
    <w:rsid w:val="00F41F1C"/>
    <w:rsid w:val="00F4246D"/>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9D4"/>
    <w:rsid w:val="00FE32B3"/>
    <w:rsid w:val="00FE379F"/>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652"/>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D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533686651">
      <w:bodyDiv w:val="1"/>
      <w:marLeft w:val="0"/>
      <w:marRight w:val="0"/>
      <w:marTop w:val="0"/>
      <w:marBottom w:val="0"/>
      <w:divBdr>
        <w:top w:val="none" w:sz="0" w:space="0" w:color="auto"/>
        <w:left w:val="none" w:sz="0" w:space="0" w:color="auto"/>
        <w:bottom w:val="none" w:sz="0" w:space="0" w:color="auto"/>
        <w:right w:val="none" w:sz="0" w:space="0" w:color="auto"/>
      </w:divBdr>
    </w:div>
    <w:div w:id="20317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s.sagepub.com/doi/abs/10.1177/0042085916651323" TargetMode="External"/><Relationship Id="rId26" Type="http://schemas.openxmlformats.org/officeDocument/2006/relationships/hyperlink" Target="https://hal.science/hal-0465506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andfonline.com/doi/abs/10.1080/0142159X.2018.1552782" TargetMode="External"/><Relationship Id="rId34" Type="http://schemas.openxmlformats.org/officeDocument/2006/relationships/hyperlink" Target="https://link.springer.com/article/10.1186/s40594-020-0020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edu.pk/images/journal/history/PDF-FILES/24_57_1_20.pdf" TargetMode="External"/><Relationship Id="rId25" Type="http://schemas.openxmlformats.org/officeDocument/2006/relationships/hyperlink" Target="https://journals.aloysianpublications.com/index.php/articles/article/view/101" TargetMode="External"/><Relationship Id="rId33" Type="http://schemas.openxmlformats.org/officeDocument/2006/relationships/hyperlink" Target="https://link.springer.com/chapter/10.1007/978-3-030-71575-5_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eric.ed.gov/?id=EJ1323025" TargetMode="External"/><Relationship Id="rId20" Type="http://schemas.openxmlformats.org/officeDocument/2006/relationships/hyperlink" Target="https://al-kindipublishers.org/index.php/ijllt/article/view/9857" TargetMode="External"/><Relationship Id="rId29" Type="http://schemas.openxmlformats.org/officeDocument/2006/relationships/hyperlink" Target="https://www.tandfonline.com/doi/abs/10.1080/02568543.2019.1692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article/10.1007/s10643-020-01054-4" TargetMode="External"/><Relationship Id="rId32" Type="http://schemas.openxmlformats.org/officeDocument/2006/relationships/hyperlink" Target="https://www.tandfonline.com/doi/abs/10.1080/13603116.2018.145590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pjol.info/index.php/cognition/article/view/74765" TargetMode="External"/><Relationship Id="rId23" Type="http://schemas.openxmlformats.org/officeDocument/2006/relationships/hyperlink" Target="https://www.tandfonline.com/doi/abs/10.1080/13603116.2019.1572232" TargetMode="External"/><Relationship Id="rId28" Type="http://schemas.openxmlformats.org/officeDocument/2006/relationships/hyperlink" Target="http://forestchemicalsreview.com/index.php/JFCR/article/view/1102"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andfonline.com/doi/abs/10.1080/19415257.2019.1689523" TargetMode="External"/><Relationship Id="rId31" Type="http://schemas.openxmlformats.org/officeDocument/2006/relationships/hyperlink" Target="https://dergipark.org.tr/en/pub/jtee/issue/62163/7429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link.springer.com/rwe/10.1007/978-3-319-67828-3_4" TargetMode="External"/><Relationship Id="rId27" Type="http://schemas.openxmlformats.org/officeDocument/2006/relationships/hyperlink" Target="https://hal.science/hal-05073466/" TargetMode="External"/><Relationship Id="rId30" Type="http://schemas.openxmlformats.org/officeDocument/2006/relationships/hyperlink" Target="https://www.mdpi.com/2227-7102/11/8/416"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13</Pages>
  <Words>5423</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2024-10-20T02:52:00Z</cp:lastPrinted>
  <dcterms:created xsi:type="dcterms:W3CDTF">2025-06-16T05:15:00Z</dcterms:created>
  <dcterms:modified xsi:type="dcterms:W3CDTF">2025-06-16T10:43:00Z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