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C949" w14:textId="1D91E5AF"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0125344F" w14:textId="77777777" w:rsidR="00116E61" w:rsidRDefault="00116E61" w:rsidP="000763D2">
      <w:pPr>
        <w:pStyle w:val="Author"/>
        <w:spacing w:line="240" w:lineRule="auto"/>
        <w:jc w:val="left"/>
        <w:rPr>
          <w:rFonts w:ascii="Arial" w:hAnsi="Arial" w:cs="Arial"/>
          <w:bCs/>
          <w:iCs/>
          <w:kern w:val="28"/>
          <w:szCs w:val="24"/>
        </w:rPr>
      </w:pPr>
    </w:p>
    <w:p w14:paraId="128AF4DC" w14:textId="77777777" w:rsidR="008002D4" w:rsidRDefault="00A21F8C" w:rsidP="008002D4">
      <w:pPr>
        <w:jc w:val="right"/>
        <w:rPr>
          <w:rFonts w:ascii="Arial" w:hAnsi="Arial" w:cs="Arial"/>
          <w:b/>
          <w:noProof/>
          <w:sz w:val="28"/>
          <w:szCs w:val="28"/>
          <w:lang w:val="en-PH" w:eastAsia="en-PH"/>
        </w:rPr>
      </w:pPr>
      <w:r>
        <w:rPr>
          <w:rFonts w:ascii="Arial" w:hAnsi="Arial" w:cs="Arial"/>
          <w:b/>
          <w:noProof/>
          <w:sz w:val="28"/>
          <w:szCs w:val="28"/>
          <w:lang w:val="en-PH" w:eastAsia="en-PH"/>
        </w:rPr>
        <w:t xml:space="preserve">HOMEROOM GUIDANCE PRACTICES AND </w:t>
      </w:r>
    </w:p>
    <w:p w14:paraId="403C6D4A" w14:textId="77777777" w:rsidR="008002D4" w:rsidRDefault="00A21F8C" w:rsidP="008002D4">
      <w:pPr>
        <w:jc w:val="right"/>
        <w:rPr>
          <w:rFonts w:ascii="Arial" w:hAnsi="Arial" w:cs="Arial"/>
          <w:b/>
          <w:noProof/>
          <w:sz w:val="28"/>
          <w:szCs w:val="28"/>
          <w:lang w:val="en-PH" w:eastAsia="en-PH"/>
        </w:rPr>
      </w:pPr>
      <w:r>
        <w:rPr>
          <w:rFonts w:ascii="Arial" w:hAnsi="Arial" w:cs="Arial"/>
          <w:b/>
          <w:noProof/>
          <w:sz w:val="28"/>
          <w:szCs w:val="28"/>
          <w:lang w:val="en-PH" w:eastAsia="en-PH"/>
        </w:rPr>
        <w:t xml:space="preserve">ACADEMIC PERSISTENCE IN PUBLIC </w:t>
      </w:r>
    </w:p>
    <w:p w14:paraId="5156F3A4" w14:textId="0D9C202D" w:rsidR="00DC6EF2" w:rsidRDefault="00A21F8C" w:rsidP="008002D4">
      <w:pPr>
        <w:jc w:val="right"/>
        <w:rPr>
          <w:rFonts w:ascii="Arial" w:hAnsi="Arial" w:cs="Arial"/>
          <w:b/>
          <w:noProof/>
          <w:sz w:val="28"/>
          <w:szCs w:val="28"/>
          <w:lang w:val="en-PH" w:eastAsia="en-PH"/>
        </w:rPr>
      </w:pPr>
      <w:r>
        <w:rPr>
          <w:rFonts w:ascii="Arial" w:hAnsi="Arial" w:cs="Arial"/>
          <w:b/>
          <w:noProof/>
          <w:sz w:val="28"/>
          <w:szCs w:val="28"/>
          <w:lang w:val="en-PH" w:eastAsia="en-PH"/>
        </w:rPr>
        <w:t>ELEMENTARY SCHOOLS</w:t>
      </w:r>
    </w:p>
    <w:p w14:paraId="7D2CDF66" w14:textId="77777777" w:rsidR="00717F2E" w:rsidRDefault="00180859">
      <w:pPr>
        <w:pStyle w:val="AbstHead"/>
        <w:spacing w:after="0"/>
        <w:jc w:val="both"/>
        <w:rPr>
          <w:rFonts w:ascii="Arial" w:hAnsi="Arial" w:cs="Arial"/>
          <w:sz w:val="20"/>
        </w:rPr>
      </w:pPr>
      <w:bookmarkStart w:id="0" w:name="_GoBack"/>
      <w:bookmarkEnd w:id="0"/>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091ADD2F" w:rsidR="00717F2E" w:rsidRPr="000763D2" w:rsidRDefault="008002D4" w:rsidP="00896129">
            <w:pPr>
              <w:jc w:val="both"/>
              <w:rPr>
                <w:rFonts w:ascii="Arial" w:hAnsi="Arial" w:cs="Arial"/>
                <w:iCs/>
              </w:rPr>
            </w:pPr>
            <w:r w:rsidRPr="008002D4">
              <w:rPr>
                <w:rFonts w:ascii="Arial" w:hAnsi="Arial" w:cs="Arial"/>
                <w:iCs/>
              </w:rPr>
              <w:t xml:space="preserve">This study aimed to determine the significant relationship between homeroom guidance practices and academic persistence in public elementary schools in </w:t>
            </w:r>
            <w:proofErr w:type="spellStart"/>
            <w:r w:rsidRPr="008002D4">
              <w:rPr>
                <w:rFonts w:ascii="Arial" w:hAnsi="Arial" w:cs="Arial"/>
                <w:iCs/>
              </w:rPr>
              <w:t>Caraga</w:t>
            </w:r>
            <w:proofErr w:type="spellEnd"/>
            <w:r w:rsidRPr="008002D4">
              <w:rPr>
                <w:rFonts w:ascii="Arial" w:hAnsi="Arial" w:cs="Arial"/>
                <w:iCs/>
              </w:rPr>
              <w:t xml:space="preserve"> District, Division of Davao Oriental. A descriptive-correlational research design was used, with a sample of 98 teachers from various public elementary schools in </w:t>
            </w:r>
            <w:proofErr w:type="spellStart"/>
            <w:r w:rsidRPr="008002D4">
              <w:rPr>
                <w:rFonts w:ascii="Arial" w:hAnsi="Arial" w:cs="Arial"/>
                <w:iCs/>
              </w:rPr>
              <w:t>Caraga</w:t>
            </w:r>
            <w:proofErr w:type="spellEnd"/>
            <w:r w:rsidRPr="008002D4">
              <w:rPr>
                <w:rFonts w:ascii="Arial" w:hAnsi="Arial" w:cs="Arial"/>
                <w:iCs/>
              </w:rPr>
              <w:t xml:space="preserve"> District, Division of Davao Oriental. Data was gathered through standardized questionnaires and interviews conducted with students and teachers. Statistical analyses, including mean, standard deviation (SD), Pearson product-moment correlation, and multiple linear regression, were performed to assess the data. The findings revealed that both the implementation of homeroom guidance practices and academic persistence were at very extensive levels. Correlation analysis indicated a significant relationship between homeroom guidance practices and academic persistence. The study further identified that the domains of the homeroom guidance practices, including academic development, personal development, social development, and career development, significantly influenced academic persistence. Based on these findings, it is recommended that school administrators prioritize the strengthening of homeroom guidance practices to promote academic persistence. Professional development for teachers may focus on enhancing their ability to provide comprehensive guidance across these domains, ensuring students receive adequate support in all areas of their academic and personal growth.</w:t>
            </w:r>
          </w:p>
        </w:tc>
      </w:tr>
    </w:tbl>
    <w:p w14:paraId="175A3F79" w14:textId="77777777" w:rsidR="00717F2E" w:rsidRDefault="00717F2E">
      <w:pPr>
        <w:pStyle w:val="Body"/>
        <w:spacing w:after="0"/>
        <w:rPr>
          <w:rFonts w:ascii="Arial" w:hAnsi="Arial" w:cs="Arial"/>
          <w:i/>
        </w:rPr>
      </w:pPr>
    </w:p>
    <w:p w14:paraId="63DA1D4D" w14:textId="657D773C"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8002D4" w:rsidRPr="008002D4">
        <w:rPr>
          <w:rFonts w:ascii="Arial" w:hAnsi="Arial" w:cs="Arial"/>
          <w:iCs/>
        </w:rPr>
        <w:t>Homeroom Guidance Practices, Academic Persistence, Education, Public Elementary Schools, Descriptive-Correlational</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702D7341" w14:textId="77777777" w:rsidR="008002D4" w:rsidRPr="008002D4" w:rsidRDefault="008002D4" w:rsidP="008002D4">
      <w:pPr>
        <w:jc w:val="both"/>
        <w:rPr>
          <w:rFonts w:ascii="Arial" w:hAnsi="Arial"/>
        </w:rPr>
      </w:pPr>
      <w:r w:rsidRPr="008002D4">
        <w:rPr>
          <w:rFonts w:ascii="Arial" w:hAnsi="Arial"/>
        </w:rPr>
        <w:t xml:space="preserve">Low academic persistence among students has been a perennial challenge in educational institutions worldwide. Persistence refers to students' ability to continue and complete their academic journey without interruptions, such as dropping out or failing to progress to the next grade level. Numerous studies have explored factors contributing to low persistence, including socioeconomic status, learning difficulties, lack of parental support, and ineffective teaching </w:t>
      </w:r>
      <w:proofErr w:type="gramStart"/>
      <w:r w:rsidRPr="008002D4">
        <w:rPr>
          <w:rFonts w:ascii="Arial" w:hAnsi="Arial"/>
        </w:rPr>
        <w:t>strategies .</w:t>
      </w:r>
      <w:proofErr w:type="gramEnd"/>
      <w:r w:rsidRPr="008002D4">
        <w:rPr>
          <w:rFonts w:ascii="Arial" w:hAnsi="Arial"/>
        </w:rPr>
        <w:t xml:space="preserve"> Poor study habits, mental health concerns, and limited access to quality educational resources further exacerbate the issue. </w:t>
      </w:r>
    </w:p>
    <w:p w14:paraId="0846933D" w14:textId="77777777" w:rsidR="008002D4" w:rsidRDefault="008002D4" w:rsidP="008002D4">
      <w:pPr>
        <w:jc w:val="both"/>
        <w:rPr>
          <w:rFonts w:ascii="Arial" w:hAnsi="Arial"/>
        </w:rPr>
      </w:pPr>
    </w:p>
    <w:p w14:paraId="1AAB8A96" w14:textId="221DE225" w:rsidR="008002D4" w:rsidRPr="008002D4" w:rsidRDefault="008002D4" w:rsidP="008002D4">
      <w:pPr>
        <w:jc w:val="both"/>
        <w:rPr>
          <w:rFonts w:ascii="Arial" w:hAnsi="Arial"/>
        </w:rPr>
      </w:pPr>
      <w:r w:rsidRPr="008002D4">
        <w:rPr>
          <w:rFonts w:ascii="Arial" w:hAnsi="Arial"/>
        </w:rPr>
        <w:t xml:space="preserve">In the global context, low academic persistence is a pressing concern, particularly in some countries like Kenya, United </w:t>
      </w:r>
      <w:proofErr w:type="spellStart"/>
      <w:r w:rsidRPr="008002D4">
        <w:rPr>
          <w:rFonts w:ascii="Arial" w:hAnsi="Arial"/>
        </w:rPr>
        <w:t>Kindom</w:t>
      </w:r>
      <w:proofErr w:type="spellEnd"/>
      <w:r w:rsidRPr="008002D4">
        <w:rPr>
          <w:rFonts w:ascii="Arial" w:hAnsi="Arial"/>
        </w:rPr>
        <w:t xml:space="preserve"> and Australia, where education systems struggle with resource constraints. Millions of students globally drop out of school each year due to economic hardship, lack of motivation, and inadequate learning environments (</w:t>
      </w:r>
      <w:proofErr w:type="spellStart"/>
      <w:r w:rsidR="00074086">
        <w:rPr>
          <w:rFonts w:ascii="Arial" w:hAnsi="Arial"/>
        </w:rPr>
        <w:t>Laghari</w:t>
      </w:r>
      <w:proofErr w:type="spellEnd"/>
      <w:r w:rsidR="00074086">
        <w:rPr>
          <w:rFonts w:ascii="Arial" w:hAnsi="Arial"/>
        </w:rPr>
        <w:t xml:space="preserve"> et al., 2024</w:t>
      </w:r>
      <w:r w:rsidRPr="008002D4">
        <w:rPr>
          <w:rFonts w:ascii="Arial" w:hAnsi="Arial"/>
        </w:rPr>
        <w:t>). In countries like the United States, high dropout rates are linked to socioeconomic disparities, lack of academic support, and disengagement in the classroom (</w:t>
      </w:r>
      <w:proofErr w:type="spellStart"/>
      <w:r w:rsidR="00DB27F9" w:rsidRPr="00DB27F9">
        <w:rPr>
          <w:rFonts w:ascii="Arial" w:hAnsi="Arial"/>
        </w:rPr>
        <w:t>Sosu</w:t>
      </w:r>
      <w:proofErr w:type="spellEnd"/>
      <w:r w:rsidRPr="008002D4">
        <w:rPr>
          <w:rFonts w:ascii="Arial" w:hAnsi="Arial"/>
        </w:rPr>
        <w:t xml:space="preserve"> et al., 2021). Similarly, in sub-Saharan Africa, persistence rates remain low due to factors such as child labor, early marriage, and insufficient school infrastructure (</w:t>
      </w:r>
      <w:r w:rsidR="00DB27F9" w:rsidRPr="00DB27F9">
        <w:rPr>
          <w:rFonts w:ascii="Arial" w:hAnsi="Arial"/>
        </w:rPr>
        <w:t>Dunne</w:t>
      </w:r>
      <w:r w:rsidR="00DB27F9">
        <w:rPr>
          <w:rFonts w:ascii="Arial" w:hAnsi="Arial"/>
        </w:rPr>
        <w:t xml:space="preserve"> et al., 2023</w:t>
      </w:r>
      <w:r w:rsidRPr="008002D4">
        <w:rPr>
          <w:rFonts w:ascii="Arial" w:hAnsi="Arial"/>
        </w:rPr>
        <w:t xml:space="preserve">). </w:t>
      </w:r>
    </w:p>
    <w:p w14:paraId="41F06DA4" w14:textId="77777777" w:rsidR="008002D4" w:rsidRPr="008002D4" w:rsidRDefault="008002D4" w:rsidP="008002D4">
      <w:pPr>
        <w:jc w:val="both"/>
        <w:rPr>
          <w:rFonts w:ascii="Arial" w:hAnsi="Arial"/>
        </w:rPr>
      </w:pPr>
      <w:r w:rsidRPr="008002D4">
        <w:rPr>
          <w:rFonts w:ascii="Arial" w:hAnsi="Arial"/>
        </w:rPr>
        <w:t xml:space="preserve">Moreover, students who actively participate in homeroom guidance programs are more likely to build strong relationships with their peers and teachers, contributing to a sense of belonging and support within the school environment (Osterman, 2023). This sense of community has been found to be a key factor in students' persistence, as it encourages them to remain </w:t>
      </w:r>
      <w:r w:rsidRPr="008002D4">
        <w:rPr>
          <w:rFonts w:ascii="Arial" w:hAnsi="Arial"/>
        </w:rPr>
        <w:lastRenderedPageBreak/>
        <w:t xml:space="preserve">focused on their academic goals and helps them navigate challenges, such as stress or external pressures, that might otherwise impede their academic progress (Nunn, 2021). </w:t>
      </w:r>
    </w:p>
    <w:p w14:paraId="11ED61B1" w14:textId="77777777" w:rsidR="008002D4" w:rsidRDefault="008002D4" w:rsidP="008002D4">
      <w:pPr>
        <w:jc w:val="both"/>
        <w:rPr>
          <w:rFonts w:ascii="Arial" w:hAnsi="Arial"/>
        </w:rPr>
      </w:pPr>
    </w:p>
    <w:p w14:paraId="3FAAFB8E" w14:textId="1CDE2991" w:rsidR="008002D4" w:rsidRPr="008002D4" w:rsidRDefault="008002D4" w:rsidP="008002D4">
      <w:pPr>
        <w:jc w:val="both"/>
        <w:rPr>
          <w:rFonts w:ascii="Arial" w:hAnsi="Arial"/>
        </w:rPr>
      </w:pPr>
      <w:r w:rsidRPr="008002D4">
        <w:rPr>
          <w:rFonts w:ascii="Arial" w:hAnsi="Arial"/>
        </w:rPr>
        <w:t>Furthermore, studies highlight that homeroom guidance practices often provide opportunities for students to develop time management, problem-solving, and self-regulation skills—skills that are essential for maintaining academic persistence (</w:t>
      </w:r>
      <w:proofErr w:type="spellStart"/>
      <w:r w:rsidRPr="008002D4">
        <w:rPr>
          <w:rFonts w:ascii="Arial" w:hAnsi="Arial"/>
        </w:rPr>
        <w:t>Minhui</w:t>
      </w:r>
      <w:proofErr w:type="spellEnd"/>
      <w:r w:rsidRPr="008002D4">
        <w:rPr>
          <w:rFonts w:ascii="Arial" w:hAnsi="Arial"/>
        </w:rPr>
        <w:t xml:space="preserve">, 2023). When students are equipped with these tools, they are better prepared to handle the academic demands of school and are more likely to stay committed to their educational journey (Oliveira et al., 2021). </w:t>
      </w:r>
    </w:p>
    <w:p w14:paraId="1D813B4C" w14:textId="26F2BDF4" w:rsidR="008002D4" w:rsidRPr="008002D4" w:rsidRDefault="008002D4" w:rsidP="008002D4">
      <w:pPr>
        <w:jc w:val="both"/>
        <w:rPr>
          <w:rFonts w:ascii="Arial" w:hAnsi="Arial"/>
        </w:rPr>
      </w:pPr>
      <w:r w:rsidRPr="008002D4">
        <w:rPr>
          <w:rFonts w:ascii="Arial" w:hAnsi="Arial"/>
        </w:rPr>
        <w:t>In the Philippines, low academic persistence has been a long-standing issue, affecting both primary and secondary education. The Department of Education (DepEd) has identified various factors influencing student persistence, including poverty, lack of school facilities, and ineffective teaching strategies (</w:t>
      </w:r>
      <w:proofErr w:type="spellStart"/>
      <w:r w:rsidR="00DB27F9" w:rsidRPr="00DB27F9">
        <w:rPr>
          <w:rFonts w:ascii="Arial" w:hAnsi="Arial"/>
        </w:rPr>
        <w:t>Hyoduk</w:t>
      </w:r>
      <w:proofErr w:type="spellEnd"/>
      <w:r w:rsidR="00DB27F9">
        <w:rPr>
          <w:rFonts w:ascii="Arial" w:hAnsi="Arial"/>
        </w:rPr>
        <w:t xml:space="preserve"> </w:t>
      </w:r>
      <w:r w:rsidR="00DB27F9" w:rsidRPr="00DB27F9">
        <w:rPr>
          <w:rFonts w:ascii="Arial" w:hAnsi="Arial"/>
        </w:rPr>
        <w:t>&amp; Cruz</w:t>
      </w:r>
      <w:r w:rsidR="00DB27F9">
        <w:rPr>
          <w:rFonts w:ascii="Arial" w:hAnsi="Arial"/>
        </w:rPr>
        <w:t>, 2024</w:t>
      </w:r>
      <w:r w:rsidRPr="008002D4">
        <w:rPr>
          <w:rFonts w:ascii="Arial" w:hAnsi="Arial"/>
        </w:rPr>
        <w:t>). The implementation of the K-12 curriculum aimed to address these challenges by enhancing the quality of education, yet persistence rates remain a concern. According to a report, dropout rates in public schools continue to be significant, especially in rural areas where students face economic hardships and transportation difficulties (</w:t>
      </w:r>
      <w:r w:rsidR="00DB27F9" w:rsidRPr="00DB27F9">
        <w:rPr>
          <w:rFonts w:ascii="Arial" w:hAnsi="Arial"/>
        </w:rPr>
        <w:t>Mireles-Rios</w:t>
      </w:r>
      <w:r w:rsidR="00DB27F9">
        <w:rPr>
          <w:rFonts w:ascii="Arial" w:hAnsi="Arial"/>
        </w:rPr>
        <w:t xml:space="preserve"> et al., 2020</w:t>
      </w:r>
      <w:r w:rsidRPr="008002D4">
        <w:rPr>
          <w:rFonts w:ascii="Arial" w:hAnsi="Arial"/>
        </w:rPr>
        <w:t xml:space="preserve">). </w:t>
      </w:r>
    </w:p>
    <w:p w14:paraId="01CC9BBE" w14:textId="77777777" w:rsidR="008002D4" w:rsidRPr="008002D4" w:rsidRDefault="008002D4" w:rsidP="008002D4">
      <w:pPr>
        <w:jc w:val="both"/>
        <w:rPr>
          <w:rFonts w:ascii="Arial" w:hAnsi="Arial"/>
        </w:rPr>
      </w:pPr>
    </w:p>
    <w:p w14:paraId="217F864B" w14:textId="77777777" w:rsidR="008002D4" w:rsidRPr="008002D4" w:rsidRDefault="008002D4" w:rsidP="008002D4">
      <w:pPr>
        <w:jc w:val="both"/>
        <w:rPr>
          <w:rFonts w:ascii="Arial" w:hAnsi="Arial"/>
        </w:rPr>
      </w:pPr>
      <w:r w:rsidRPr="008002D4">
        <w:rPr>
          <w:rFonts w:ascii="Arial" w:hAnsi="Arial"/>
        </w:rPr>
        <w:t xml:space="preserve">In schools where homeroom guidance practices are effectively implemented, students often report higher levels of academic persistence, as these practices help to instill a growth mindset and resilience in the face of academic setbacks (Rios, 2022). As a result, students are more likely to persist in their studies and ultimately achieve long-term academic success (Comings, 2023). </w:t>
      </w:r>
    </w:p>
    <w:p w14:paraId="1F21F223" w14:textId="77777777" w:rsidR="008002D4" w:rsidRDefault="008002D4" w:rsidP="008002D4">
      <w:pPr>
        <w:jc w:val="both"/>
        <w:rPr>
          <w:rFonts w:ascii="Arial" w:hAnsi="Arial"/>
        </w:rPr>
      </w:pPr>
    </w:p>
    <w:p w14:paraId="344F9C8D" w14:textId="56D0B0F8" w:rsidR="008002D4" w:rsidRPr="008002D4" w:rsidRDefault="008002D4" w:rsidP="008002D4">
      <w:pPr>
        <w:jc w:val="both"/>
        <w:rPr>
          <w:rFonts w:ascii="Arial" w:hAnsi="Arial"/>
        </w:rPr>
      </w:pPr>
      <w:r w:rsidRPr="008002D4">
        <w:rPr>
          <w:rFonts w:ascii="Arial" w:hAnsi="Arial"/>
        </w:rPr>
        <w:t>In addition, research studies indicate that students who receive personalized guidance through these practices are better able to set realistic academic goals and develop action plans to achieve them (</w:t>
      </w:r>
      <w:proofErr w:type="spellStart"/>
      <w:r w:rsidRPr="008002D4">
        <w:rPr>
          <w:rFonts w:ascii="Arial" w:hAnsi="Arial"/>
        </w:rPr>
        <w:t>Bernacki</w:t>
      </w:r>
      <w:proofErr w:type="spellEnd"/>
      <w:r w:rsidRPr="008002D4">
        <w:rPr>
          <w:rFonts w:ascii="Arial" w:hAnsi="Arial"/>
        </w:rPr>
        <w:t xml:space="preserve"> et al., 2021). This proactive approach helps students stay on track academically, even in the face of adversity, as they have a clear path forward and feel supported by the school community (</w:t>
      </w:r>
      <w:proofErr w:type="spellStart"/>
      <w:r w:rsidRPr="008002D4">
        <w:rPr>
          <w:rFonts w:ascii="Arial" w:hAnsi="Arial"/>
        </w:rPr>
        <w:t>Koslouski</w:t>
      </w:r>
      <w:proofErr w:type="spellEnd"/>
      <w:r w:rsidRPr="008002D4">
        <w:rPr>
          <w:rFonts w:ascii="Arial" w:hAnsi="Arial"/>
        </w:rPr>
        <w:t xml:space="preserve"> &amp; Stark, 2021). </w:t>
      </w:r>
    </w:p>
    <w:p w14:paraId="6D35ABA1" w14:textId="77777777" w:rsidR="008002D4" w:rsidRPr="008002D4" w:rsidRDefault="008002D4" w:rsidP="008002D4">
      <w:pPr>
        <w:jc w:val="both"/>
        <w:rPr>
          <w:rFonts w:ascii="Arial" w:hAnsi="Arial"/>
        </w:rPr>
      </w:pPr>
      <w:r w:rsidRPr="008002D4">
        <w:rPr>
          <w:rFonts w:ascii="Arial" w:hAnsi="Arial"/>
        </w:rPr>
        <w:t xml:space="preserve">In </w:t>
      </w:r>
      <w:proofErr w:type="spellStart"/>
      <w:proofErr w:type="gramStart"/>
      <w:r w:rsidRPr="008002D4">
        <w:rPr>
          <w:rFonts w:ascii="Arial" w:hAnsi="Arial"/>
        </w:rPr>
        <w:t>Caraga</w:t>
      </w:r>
      <w:proofErr w:type="spellEnd"/>
      <w:r w:rsidRPr="008002D4">
        <w:rPr>
          <w:rFonts w:ascii="Arial" w:hAnsi="Arial"/>
        </w:rPr>
        <w:t xml:space="preserve">  District</w:t>
      </w:r>
      <w:proofErr w:type="gramEnd"/>
      <w:r w:rsidRPr="008002D4">
        <w:rPr>
          <w:rFonts w:ascii="Arial" w:hAnsi="Arial"/>
        </w:rPr>
        <w:t xml:space="preserve">, Division of Davao Oriental, </w:t>
      </w:r>
      <w:proofErr w:type="spellStart"/>
      <w:r w:rsidRPr="008002D4">
        <w:rPr>
          <w:rFonts w:ascii="Arial" w:hAnsi="Arial"/>
        </w:rPr>
        <w:t>lacademic</w:t>
      </w:r>
      <w:proofErr w:type="spellEnd"/>
      <w:r w:rsidRPr="008002D4">
        <w:rPr>
          <w:rFonts w:ascii="Arial" w:hAnsi="Arial"/>
        </w:rPr>
        <w:t xml:space="preserve"> persistence is also a growing concern, particularly among students in public schools. Many students struggle to complete their education due to financial difficulties, lack of parental guidance, and minimal academic </w:t>
      </w:r>
      <w:proofErr w:type="gramStart"/>
      <w:r w:rsidRPr="008002D4">
        <w:rPr>
          <w:rFonts w:ascii="Arial" w:hAnsi="Arial"/>
        </w:rPr>
        <w:t>support .</w:t>
      </w:r>
      <w:proofErr w:type="gramEnd"/>
      <w:r w:rsidRPr="008002D4">
        <w:rPr>
          <w:rFonts w:ascii="Arial" w:hAnsi="Arial"/>
        </w:rPr>
        <w:t xml:space="preserve"> Public elementary </w:t>
      </w:r>
      <w:proofErr w:type="gramStart"/>
      <w:r w:rsidRPr="008002D4">
        <w:rPr>
          <w:rFonts w:ascii="Arial" w:hAnsi="Arial"/>
        </w:rPr>
        <w:t>school  in</w:t>
      </w:r>
      <w:proofErr w:type="gramEnd"/>
      <w:r w:rsidRPr="008002D4">
        <w:rPr>
          <w:rFonts w:ascii="Arial" w:hAnsi="Arial"/>
        </w:rPr>
        <w:t xml:space="preserve">  </w:t>
      </w:r>
      <w:proofErr w:type="spellStart"/>
      <w:r w:rsidRPr="008002D4">
        <w:rPr>
          <w:rFonts w:ascii="Arial" w:hAnsi="Arial"/>
        </w:rPr>
        <w:t>Caraga</w:t>
      </w:r>
      <w:proofErr w:type="spellEnd"/>
      <w:r w:rsidRPr="008002D4">
        <w:rPr>
          <w:rFonts w:ascii="Arial" w:hAnsi="Arial"/>
        </w:rPr>
        <w:t xml:space="preserve">  District, Division of Davao Oriental, face persistence challenges as young learners experience difficulties in foundational subjects like reading and mathematics . Additionally, teacher shortages and overcrowded classrooms further contribute to the problem, making it difficult to provide individualized attention and support for struggling students.</w:t>
      </w:r>
    </w:p>
    <w:p w14:paraId="49D934C8" w14:textId="77777777" w:rsidR="008002D4" w:rsidRDefault="008002D4" w:rsidP="008002D4">
      <w:pPr>
        <w:jc w:val="both"/>
        <w:rPr>
          <w:rFonts w:ascii="Arial" w:hAnsi="Arial"/>
        </w:rPr>
      </w:pPr>
    </w:p>
    <w:p w14:paraId="3F063A99" w14:textId="5E7FDBEC" w:rsidR="008002D4" w:rsidRPr="008002D4" w:rsidRDefault="008002D4" w:rsidP="008002D4">
      <w:pPr>
        <w:jc w:val="both"/>
        <w:rPr>
          <w:rFonts w:ascii="Arial" w:hAnsi="Arial"/>
        </w:rPr>
      </w:pPr>
      <w:r w:rsidRPr="008002D4">
        <w:rPr>
          <w:rFonts w:ascii="Arial" w:hAnsi="Arial"/>
        </w:rPr>
        <w:t>One potential intervention to address low academic persistence is the implementation of effective homeroom guidance practices by teachers. Homeroom guidance programs provide structured support that helps students develop positive study habits, resilience, and motivation to continue their education (</w:t>
      </w:r>
      <w:r w:rsidR="008A4165" w:rsidRPr="008A4165">
        <w:rPr>
          <w:rFonts w:ascii="Arial" w:hAnsi="Arial"/>
        </w:rPr>
        <w:t>Shay</w:t>
      </w:r>
      <w:r w:rsidR="008A4165">
        <w:rPr>
          <w:rFonts w:ascii="Arial" w:hAnsi="Arial"/>
        </w:rPr>
        <w:t xml:space="preserve"> </w:t>
      </w:r>
      <w:r w:rsidR="008A4165" w:rsidRPr="008A4165">
        <w:rPr>
          <w:rFonts w:ascii="Arial" w:hAnsi="Arial"/>
        </w:rPr>
        <w:t xml:space="preserve">&amp; </w:t>
      </w:r>
      <w:proofErr w:type="spellStart"/>
      <w:r w:rsidR="008A4165" w:rsidRPr="008A4165">
        <w:rPr>
          <w:rFonts w:ascii="Arial" w:hAnsi="Arial"/>
        </w:rPr>
        <w:t>Pohan</w:t>
      </w:r>
      <w:proofErr w:type="spellEnd"/>
      <w:r w:rsidRPr="008002D4">
        <w:rPr>
          <w:rFonts w:ascii="Arial" w:hAnsi="Arial"/>
        </w:rPr>
        <w:t xml:space="preserve">, 2021). </w:t>
      </w:r>
    </w:p>
    <w:p w14:paraId="36C5FBC0" w14:textId="77777777" w:rsidR="008002D4" w:rsidRDefault="008002D4" w:rsidP="008002D4">
      <w:pPr>
        <w:jc w:val="both"/>
        <w:rPr>
          <w:rFonts w:ascii="Arial" w:hAnsi="Arial"/>
        </w:rPr>
      </w:pPr>
    </w:p>
    <w:p w14:paraId="6D02C3D7" w14:textId="3D9E00C6" w:rsidR="008002D4" w:rsidRPr="008002D4" w:rsidRDefault="008002D4" w:rsidP="008002D4">
      <w:pPr>
        <w:jc w:val="both"/>
        <w:rPr>
          <w:rFonts w:ascii="Arial" w:hAnsi="Arial"/>
        </w:rPr>
      </w:pPr>
      <w:r w:rsidRPr="008002D4">
        <w:rPr>
          <w:rFonts w:ascii="Arial" w:hAnsi="Arial"/>
        </w:rPr>
        <w:t>Through mentoring, academic counseling, and life skills training, homeroom guidance allows teachers to identify struggling students early and provide necessary interventions (</w:t>
      </w:r>
      <w:proofErr w:type="spellStart"/>
      <w:r w:rsidRPr="008002D4">
        <w:rPr>
          <w:rFonts w:ascii="Arial" w:hAnsi="Arial"/>
        </w:rPr>
        <w:t>Minhui</w:t>
      </w:r>
      <w:proofErr w:type="spellEnd"/>
      <w:r w:rsidRPr="008002D4">
        <w:rPr>
          <w:rFonts w:ascii="Arial" w:hAnsi="Arial"/>
        </w:rPr>
        <w:t>, 2023). Studies have shown that when teachers take an active role in guiding students beyond academic instruction, persistence rates improve significantly (</w:t>
      </w:r>
      <w:r w:rsidR="008A4165" w:rsidRPr="008A4165">
        <w:rPr>
          <w:rFonts w:ascii="Arial" w:hAnsi="Arial"/>
        </w:rPr>
        <w:t>Hempe</w:t>
      </w:r>
      <w:r w:rsidR="008A4165">
        <w:rPr>
          <w:rFonts w:ascii="Arial" w:hAnsi="Arial"/>
        </w:rPr>
        <w:t>l et al.</w:t>
      </w:r>
      <w:r w:rsidRPr="008002D4">
        <w:rPr>
          <w:rFonts w:ascii="Arial" w:hAnsi="Arial"/>
        </w:rPr>
        <w:t xml:space="preserve">, 2020). Creating a supportive classroom environment through homeroom guidance fosters a sense of belonging and encourages students to persist despite academic challenges. </w:t>
      </w:r>
    </w:p>
    <w:p w14:paraId="7AEEE99D" w14:textId="1E1FFB28" w:rsidR="0074551A" w:rsidRPr="008002D4" w:rsidRDefault="008002D4" w:rsidP="008002D4">
      <w:pPr>
        <w:jc w:val="both"/>
        <w:rPr>
          <w:rFonts w:ascii="Arial" w:eastAsia="MS Mincho" w:hAnsi="Arial" w:cs="Arial"/>
          <w:b/>
          <w:bCs/>
          <w:lang w:eastAsia="ja-JP"/>
        </w:rPr>
      </w:pPr>
      <w:r w:rsidRPr="008002D4">
        <w:rPr>
          <w:rFonts w:ascii="Arial" w:hAnsi="Arial"/>
        </w:rPr>
        <w:t xml:space="preserve">To improve students’ academic pursuits, this study aims to determine the relationship between homeroom guidance practices of teachers and the academic persistence of students. Given the urgency of addressing low persistence rates, this research is significant in identifying effective strategies that can be implemented in public elementary schools </w:t>
      </w:r>
      <w:proofErr w:type="gramStart"/>
      <w:r w:rsidRPr="008002D4">
        <w:rPr>
          <w:rFonts w:ascii="Arial" w:hAnsi="Arial"/>
        </w:rPr>
        <w:t xml:space="preserve">in  </w:t>
      </w:r>
      <w:proofErr w:type="spellStart"/>
      <w:r w:rsidRPr="008002D4">
        <w:rPr>
          <w:rFonts w:ascii="Arial" w:hAnsi="Arial"/>
        </w:rPr>
        <w:t>Caraga</w:t>
      </w:r>
      <w:proofErr w:type="spellEnd"/>
      <w:proofErr w:type="gramEnd"/>
      <w:r w:rsidRPr="008002D4">
        <w:rPr>
          <w:rFonts w:ascii="Arial" w:hAnsi="Arial"/>
        </w:rPr>
        <w:t xml:space="preserve">  District, Division of Davao Oriental. By examining how homeroom guidance impacts student </w:t>
      </w:r>
      <w:r w:rsidRPr="008002D4">
        <w:rPr>
          <w:rFonts w:ascii="Arial" w:hAnsi="Arial"/>
        </w:rPr>
        <w:lastRenderedPageBreak/>
        <w:t>persistence, the study provides valuable insights for educators, school administrators, and policymakers in designing programs that foster student success. Ultimately, the findings of this study will contribute to efforts to improve the quality of education and reduce dropout rates in the local and national context.</w:t>
      </w:r>
    </w:p>
    <w:p w14:paraId="3017206B" w14:textId="47C023A1" w:rsidR="003227FA" w:rsidRDefault="003227FA" w:rsidP="008002D4">
      <w:pPr>
        <w:rPr>
          <w:rFonts w:ascii="Arial" w:eastAsia="MS Mincho" w:hAnsi="Arial" w:cs="Arial"/>
          <w:b/>
          <w:bCs/>
          <w:lang w:eastAsia="ja-JP"/>
        </w:rPr>
      </w:pPr>
    </w:p>
    <w:p w14:paraId="14CB7266" w14:textId="0F509923" w:rsidR="003227FA" w:rsidRDefault="003227FA" w:rsidP="00216EDA">
      <w:pPr>
        <w:rPr>
          <w:rFonts w:ascii="Arial" w:eastAsia="MS Mincho" w:hAnsi="Arial" w:cs="Arial"/>
          <w:b/>
          <w:bCs/>
          <w:lang w:eastAsia="ja-JP"/>
        </w:rPr>
      </w:pPr>
    </w:p>
    <w:p w14:paraId="2816209E" w14:textId="4A563677" w:rsidR="003227FA" w:rsidRDefault="008002D4" w:rsidP="003340B8">
      <w:pPr>
        <w:jc w:val="center"/>
        <w:rPr>
          <w:rFonts w:ascii="Arial" w:eastAsia="MS Mincho" w:hAnsi="Arial" w:cs="Arial"/>
          <w:b/>
          <w:bCs/>
          <w:lang w:eastAsia="ja-JP"/>
        </w:rPr>
      </w:pPr>
      <w:r w:rsidRPr="008002D4">
        <w:rPr>
          <w:rFonts w:ascii="Arial" w:eastAsia="MS Mincho" w:hAnsi="Arial" w:cs="Arial"/>
          <w:b/>
          <w:bCs/>
          <w:noProof/>
        </w:rPr>
        <w:drawing>
          <wp:inline distT="0" distB="0" distL="0" distR="0" wp14:anchorId="68745815" wp14:editId="2A444987">
            <wp:extent cx="2628900" cy="205494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48724" cy="2070445"/>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4298FC78" w14:textId="7D6626DA" w:rsidR="008002D4" w:rsidRDefault="008002D4" w:rsidP="008002D4">
      <w:pPr>
        <w:rPr>
          <w:rFonts w:ascii="Arial" w:eastAsia="MS Mincho" w:hAnsi="Arial" w:cs="Arial"/>
          <w:lang w:eastAsia="ja-JP"/>
        </w:rPr>
      </w:pPr>
      <w:r w:rsidRPr="008002D4">
        <w:rPr>
          <w:rFonts w:ascii="Arial" w:eastAsia="MS Mincho" w:hAnsi="Arial" w:cs="Arial"/>
          <w:lang w:eastAsia="ja-JP"/>
        </w:rPr>
        <w:t xml:space="preserve">This study aimed to determine the significant relationship between homeroom guidance practices and academic persistence in public elementary schools in </w:t>
      </w:r>
      <w:proofErr w:type="spellStart"/>
      <w:proofErr w:type="gramStart"/>
      <w:r w:rsidRPr="008002D4">
        <w:rPr>
          <w:rFonts w:ascii="Arial" w:eastAsia="MS Mincho" w:hAnsi="Arial" w:cs="Arial"/>
          <w:lang w:eastAsia="ja-JP"/>
        </w:rPr>
        <w:t>Caraga</w:t>
      </w:r>
      <w:proofErr w:type="spellEnd"/>
      <w:r w:rsidRPr="008002D4">
        <w:rPr>
          <w:rFonts w:ascii="Arial" w:eastAsia="MS Mincho" w:hAnsi="Arial" w:cs="Arial"/>
          <w:lang w:eastAsia="ja-JP"/>
        </w:rPr>
        <w:t xml:space="preserve">  District</w:t>
      </w:r>
      <w:proofErr w:type="gramEnd"/>
      <w:r w:rsidRPr="008002D4">
        <w:rPr>
          <w:rFonts w:ascii="Arial" w:eastAsia="MS Mincho" w:hAnsi="Arial" w:cs="Arial"/>
          <w:lang w:eastAsia="ja-JP"/>
        </w:rPr>
        <w:t xml:space="preserve">, Division of Davao Oriental.  Specifically, it sought to answer the following questions: </w:t>
      </w:r>
    </w:p>
    <w:p w14:paraId="52ED8696" w14:textId="77777777" w:rsidR="008002D4" w:rsidRPr="008002D4" w:rsidRDefault="008002D4" w:rsidP="008002D4">
      <w:pPr>
        <w:rPr>
          <w:rFonts w:ascii="Arial" w:eastAsia="MS Mincho" w:hAnsi="Arial" w:cs="Arial"/>
          <w:lang w:eastAsia="ja-JP"/>
        </w:rPr>
      </w:pPr>
    </w:p>
    <w:p w14:paraId="49CC1171" w14:textId="77777777" w:rsidR="008002D4" w:rsidRDefault="008002D4" w:rsidP="008002D4">
      <w:pPr>
        <w:rPr>
          <w:rFonts w:ascii="Arial" w:eastAsia="MS Mincho" w:hAnsi="Arial" w:cs="Arial"/>
          <w:lang w:eastAsia="ja-JP"/>
        </w:rPr>
      </w:pPr>
      <w:r>
        <w:rPr>
          <w:rFonts w:ascii="Arial" w:eastAsia="MS Mincho" w:hAnsi="Arial" w:cs="Arial"/>
          <w:lang w:eastAsia="ja-JP"/>
        </w:rPr>
        <w:t xml:space="preserve">1. </w:t>
      </w:r>
      <w:r w:rsidRPr="008002D4">
        <w:rPr>
          <w:rFonts w:ascii="Arial" w:eastAsia="MS Mincho" w:hAnsi="Arial" w:cs="Arial"/>
          <w:lang w:eastAsia="ja-JP"/>
        </w:rPr>
        <w:t xml:space="preserve">What is the level of the implementation of the homeroom guidance practices of public </w:t>
      </w:r>
    </w:p>
    <w:p w14:paraId="021A5838" w14:textId="6CAC6CEE"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    </w:t>
      </w:r>
      <w:r w:rsidRPr="008002D4">
        <w:rPr>
          <w:rFonts w:ascii="Arial" w:eastAsia="MS Mincho" w:hAnsi="Arial" w:cs="Arial"/>
          <w:lang w:eastAsia="ja-JP"/>
        </w:rPr>
        <w:t xml:space="preserve">elementary school teachers in terms of: </w:t>
      </w:r>
    </w:p>
    <w:p w14:paraId="47B720E7" w14:textId="40D34DAA"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1.1. </w:t>
      </w:r>
      <w:r w:rsidRPr="008002D4">
        <w:rPr>
          <w:rFonts w:ascii="Arial" w:eastAsia="MS Mincho" w:hAnsi="Arial" w:cs="Arial"/>
          <w:lang w:eastAsia="ja-JP"/>
        </w:rPr>
        <w:t xml:space="preserve">academic development; </w:t>
      </w:r>
    </w:p>
    <w:p w14:paraId="57761F7A" w14:textId="01A46F3B"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1.2. </w:t>
      </w:r>
      <w:r w:rsidRPr="008002D4">
        <w:rPr>
          <w:rFonts w:ascii="Arial" w:eastAsia="MS Mincho" w:hAnsi="Arial" w:cs="Arial"/>
          <w:lang w:eastAsia="ja-JP"/>
        </w:rPr>
        <w:t xml:space="preserve">personal development;    </w:t>
      </w:r>
    </w:p>
    <w:p w14:paraId="69A268D4" w14:textId="52761703"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1.3. </w:t>
      </w:r>
      <w:r w:rsidRPr="008002D4">
        <w:rPr>
          <w:rFonts w:ascii="Arial" w:eastAsia="MS Mincho" w:hAnsi="Arial" w:cs="Arial"/>
          <w:lang w:eastAsia="ja-JP"/>
        </w:rPr>
        <w:t xml:space="preserve">social development; and </w:t>
      </w:r>
    </w:p>
    <w:p w14:paraId="169C813B" w14:textId="4C851533" w:rsidR="008002D4" w:rsidRDefault="008002D4" w:rsidP="008002D4">
      <w:pPr>
        <w:rPr>
          <w:rFonts w:ascii="Arial" w:eastAsia="MS Mincho" w:hAnsi="Arial" w:cs="Arial"/>
          <w:lang w:eastAsia="ja-JP"/>
        </w:rPr>
      </w:pPr>
      <w:r w:rsidRPr="008002D4">
        <w:rPr>
          <w:rFonts w:ascii="Arial" w:eastAsia="MS Mincho" w:hAnsi="Arial" w:cs="Arial"/>
          <w:lang w:eastAsia="ja-JP"/>
        </w:rPr>
        <w:t xml:space="preserve">1.4     career development? </w:t>
      </w:r>
    </w:p>
    <w:p w14:paraId="288B3313" w14:textId="77777777" w:rsidR="008002D4" w:rsidRPr="008002D4" w:rsidRDefault="008002D4" w:rsidP="008002D4">
      <w:pPr>
        <w:rPr>
          <w:rFonts w:ascii="Arial" w:eastAsia="MS Mincho" w:hAnsi="Arial" w:cs="Arial"/>
          <w:lang w:eastAsia="ja-JP"/>
        </w:rPr>
      </w:pPr>
    </w:p>
    <w:p w14:paraId="0D1683B6" w14:textId="351179CB"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2. </w:t>
      </w:r>
      <w:r w:rsidRPr="008002D4">
        <w:rPr>
          <w:rFonts w:ascii="Arial" w:eastAsia="MS Mincho" w:hAnsi="Arial" w:cs="Arial"/>
          <w:lang w:eastAsia="ja-JP"/>
        </w:rPr>
        <w:t xml:space="preserve">What is the extent of academic persistence of students as perceived by public elementary school teachers in terms of: </w:t>
      </w:r>
    </w:p>
    <w:p w14:paraId="33C79756" w14:textId="24417BC5"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2.1. </w:t>
      </w:r>
      <w:r w:rsidRPr="008002D4">
        <w:rPr>
          <w:rFonts w:ascii="Arial" w:eastAsia="MS Mincho" w:hAnsi="Arial" w:cs="Arial"/>
          <w:lang w:eastAsia="ja-JP"/>
        </w:rPr>
        <w:t xml:space="preserve">determination; </w:t>
      </w:r>
    </w:p>
    <w:p w14:paraId="0B059D41" w14:textId="3F4B1E45"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2.2. </w:t>
      </w:r>
      <w:r w:rsidRPr="008002D4">
        <w:rPr>
          <w:rFonts w:ascii="Arial" w:eastAsia="MS Mincho" w:hAnsi="Arial" w:cs="Arial"/>
          <w:lang w:eastAsia="ja-JP"/>
        </w:rPr>
        <w:t xml:space="preserve">planning;   </w:t>
      </w:r>
    </w:p>
    <w:p w14:paraId="716E8660" w14:textId="287D9D1B"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2.3. </w:t>
      </w:r>
      <w:r w:rsidRPr="008002D4">
        <w:rPr>
          <w:rFonts w:ascii="Arial" w:eastAsia="MS Mincho" w:hAnsi="Arial" w:cs="Arial"/>
          <w:lang w:eastAsia="ja-JP"/>
        </w:rPr>
        <w:t xml:space="preserve">implementation; and </w:t>
      </w:r>
    </w:p>
    <w:p w14:paraId="382600D2" w14:textId="47F3A93A" w:rsidR="008002D4" w:rsidRDefault="008002D4" w:rsidP="008002D4">
      <w:pPr>
        <w:rPr>
          <w:rFonts w:ascii="Arial" w:eastAsia="MS Mincho" w:hAnsi="Arial" w:cs="Arial"/>
          <w:lang w:eastAsia="ja-JP"/>
        </w:rPr>
      </w:pPr>
      <w:proofErr w:type="gramStart"/>
      <w:r>
        <w:rPr>
          <w:rFonts w:ascii="Arial" w:eastAsia="MS Mincho" w:hAnsi="Arial" w:cs="Arial"/>
          <w:lang w:eastAsia="ja-JP"/>
        </w:rPr>
        <w:t xml:space="preserve">2.4  </w:t>
      </w:r>
      <w:r w:rsidRPr="008002D4">
        <w:rPr>
          <w:rFonts w:ascii="Arial" w:eastAsia="MS Mincho" w:hAnsi="Arial" w:cs="Arial"/>
          <w:lang w:eastAsia="ja-JP"/>
        </w:rPr>
        <w:t>self</w:t>
      </w:r>
      <w:proofErr w:type="gramEnd"/>
      <w:r w:rsidRPr="008002D4">
        <w:rPr>
          <w:rFonts w:ascii="Arial" w:eastAsia="MS Mincho" w:hAnsi="Arial" w:cs="Arial"/>
          <w:lang w:eastAsia="ja-JP"/>
        </w:rPr>
        <w:t xml:space="preserve">-discipline?  </w:t>
      </w:r>
    </w:p>
    <w:p w14:paraId="69AFDE73" w14:textId="77777777" w:rsidR="008002D4" w:rsidRPr="008002D4" w:rsidRDefault="008002D4" w:rsidP="008002D4">
      <w:pPr>
        <w:rPr>
          <w:rFonts w:ascii="Arial" w:eastAsia="MS Mincho" w:hAnsi="Arial" w:cs="Arial"/>
          <w:lang w:eastAsia="ja-JP"/>
        </w:rPr>
      </w:pPr>
    </w:p>
    <w:p w14:paraId="24FA3A27" w14:textId="0B58EE00"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3. </w:t>
      </w:r>
      <w:r w:rsidRPr="008002D4">
        <w:rPr>
          <w:rFonts w:ascii="Arial" w:eastAsia="MS Mincho" w:hAnsi="Arial" w:cs="Arial"/>
          <w:lang w:eastAsia="ja-JP"/>
        </w:rPr>
        <w:t xml:space="preserve">Is there a significant relationship between homeroom guidance practices and the academic persistence? </w:t>
      </w:r>
    </w:p>
    <w:p w14:paraId="3243C943" w14:textId="280A257F" w:rsidR="00B43C88" w:rsidRPr="008002D4" w:rsidRDefault="008002D4" w:rsidP="008002D4">
      <w:pPr>
        <w:rPr>
          <w:rFonts w:ascii="Arial" w:eastAsia="MS Mincho" w:hAnsi="Arial" w:cs="Arial"/>
          <w:lang w:eastAsia="ja-JP"/>
        </w:rPr>
      </w:pPr>
      <w:r>
        <w:rPr>
          <w:rFonts w:ascii="Arial" w:eastAsia="MS Mincho" w:hAnsi="Arial" w:cs="Arial"/>
          <w:lang w:eastAsia="ja-JP"/>
        </w:rPr>
        <w:t xml:space="preserve">4. </w:t>
      </w:r>
      <w:r w:rsidRPr="008002D4">
        <w:rPr>
          <w:rFonts w:ascii="Arial" w:eastAsia="MS Mincho" w:hAnsi="Arial" w:cs="Arial"/>
          <w:lang w:eastAsia="ja-JP"/>
        </w:rPr>
        <w:t>Which domains of homeroom guidance practices significantly influence the academic persistence?</w:t>
      </w:r>
    </w:p>
    <w:p w14:paraId="4E7189CA" w14:textId="77777777" w:rsidR="008002D4" w:rsidRDefault="008002D4" w:rsidP="002F5C4B">
      <w:pPr>
        <w:rPr>
          <w:rFonts w:ascii="Arial" w:eastAsia="MS Mincho" w:hAnsi="Arial" w:cs="Arial"/>
          <w:b/>
          <w:lang w:eastAsia="ja-JP"/>
        </w:rPr>
      </w:pPr>
    </w:p>
    <w:p w14:paraId="4110F409" w14:textId="7FF7547F"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C03EF0D" w14:textId="77777777" w:rsidR="008002D4" w:rsidRPr="008002D4" w:rsidRDefault="008002D4" w:rsidP="008002D4">
      <w:pPr>
        <w:ind w:firstLine="720"/>
        <w:rPr>
          <w:rFonts w:ascii="Arial" w:hAnsi="Arial" w:cs="Arial"/>
        </w:rPr>
      </w:pPr>
      <w:r w:rsidRPr="008002D4">
        <w:rPr>
          <w:rFonts w:ascii="Arial" w:hAnsi="Arial" w:cs="Arial"/>
        </w:rPr>
        <w:t xml:space="preserve">Ho1: There is no significant relationship between the homeroom guidance practices and academic persistence. </w:t>
      </w:r>
    </w:p>
    <w:p w14:paraId="2761BBBA" w14:textId="7DF68BC7" w:rsidR="000D23E6" w:rsidRPr="008002D4" w:rsidRDefault="008002D4" w:rsidP="008002D4">
      <w:pPr>
        <w:ind w:firstLine="720"/>
        <w:rPr>
          <w:rFonts w:ascii="Arial" w:hAnsi="Arial" w:cs="Arial"/>
        </w:rPr>
      </w:pPr>
      <w:r w:rsidRPr="008002D4">
        <w:rPr>
          <w:rFonts w:ascii="Arial" w:hAnsi="Arial" w:cs="Arial"/>
        </w:rPr>
        <w:lastRenderedPageBreak/>
        <w:t>Ho2: None of the All domains of the homeroom guidance practices significantly influence academic persistence.</w:t>
      </w:r>
    </w:p>
    <w:p w14:paraId="305174EE" w14:textId="0D2D53BA" w:rsidR="008002D4" w:rsidRDefault="008002D4">
      <w:pPr>
        <w:pStyle w:val="AbstHead"/>
        <w:spacing w:after="0"/>
        <w:jc w:val="both"/>
        <w:rPr>
          <w:rFonts w:ascii="Arial" w:hAnsi="Arial" w:cs="Arial"/>
          <w:sz w:val="20"/>
        </w:rPr>
      </w:pPr>
      <w:r>
        <w:rPr>
          <w:rFonts w:ascii="Arial" w:hAnsi="Arial" w:cs="Arial"/>
          <w:sz w:val="20"/>
        </w:rPr>
        <w:t xml:space="preserve"> </w:t>
      </w: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1C9E514E" w14:textId="2F592C98" w:rsidR="008002D4" w:rsidRPr="008002D4" w:rsidRDefault="008002D4" w:rsidP="008002D4">
      <w:pPr>
        <w:jc w:val="both"/>
        <w:rPr>
          <w:rFonts w:ascii="Arial" w:hAnsi="Arial" w:cs="Arial"/>
        </w:rPr>
      </w:pPr>
      <w:r w:rsidRPr="008002D4">
        <w:rPr>
          <w:rFonts w:ascii="Arial" w:hAnsi="Arial" w:cs="Arial"/>
        </w:rPr>
        <w:t>The study employed a quantitative research design, specifically utilizing a descriptive correlational approach. Quantitative research involves the systematic collection of numerical data, with statistical, mathematical, or computational techniques to ensure objective, accurate, and measurable results (</w:t>
      </w:r>
      <w:proofErr w:type="spellStart"/>
      <w:r w:rsidRPr="008002D4">
        <w:rPr>
          <w:rFonts w:ascii="Arial" w:hAnsi="Arial" w:cs="Arial"/>
        </w:rPr>
        <w:t>Mohajan</w:t>
      </w:r>
      <w:proofErr w:type="spellEnd"/>
      <w:r w:rsidRPr="008002D4">
        <w:rPr>
          <w:rFonts w:ascii="Arial" w:hAnsi="Arial" w:cs="Arial"/>
        </w:rPr>
        <w:t>, 2020). To achieve reliable findings, the study used standardized and controlled data collection methods, such as surveys, to quantify variables and test hypotheses (</w:t>
      </w:r>
      <w:proofErr w:type="spellStart"/>
      <w:r w:rsidR="00216EDA" w:rsidRPr="00216EDA">
        <w:rPr>
          <w:rFonts w:ascii="Arial" w:hAnsi="Arial" w:cs="Arial"/>
        </w:rPr>
        <w:t>Karunarathna</w:t>
      </w:r>
      <w:proofErr w:type="spellEnd"/>
      <w:r w:rsidRPr="008002D4">
        <w:rPr>
          <w:rFonts w:ascii="Arial" w:hAnsi="Arial" w:cs="Arial"/>
        </w:rPr>
        <w:t xml:space="preserve"> et al</w:t>
      </w:r>
      <w:r w:rsidR="00216EDA">
        <w:rPr>
          <w:rFonts w:ascii="Arial" w:hAnsi="Arial" w:cs="Arial"/>
        </w:rPr>
        <w:t>., 2024</w:t>
      </w:r>
      <w:r w:rsidRPr="008002D4">
        <w:rPr>
          <w:rFonts w:ascii="Arial" w:hAnsi="Arial" w:cs="Arial"/>
        </w:rPr>
        <w:t xml:space="preserve">). </w:t>
      </w:r>
    </w:p>
    <w:p w14:paraId="41908D4A" w14:textId="77777777" w:rsidR="008002D4" w:rsidRDefault="008002D4" w:rsidP="008002D4">
      <w:pPr>
        <w:jc w:val="both"/>
        <w:rPr>
          <w:rFonts w:ascii="Arial" w:hAnsi="Arial" w:cs="Arial"/>
        </w:rPr>
      </w:pPr>
    </w:p>
    <w:p w14:paraId="00A1D4DD" w14:textId="1CE111A7" w:rsidR="008002D4" w:rsidRPr="008002D4" w:rsidRDefault="008002D4" w:rsidP="008002D4">
      <w:pPr>
        <w:jc w:val="both"/>
        <w:rPr>
          <w:rFonts w:ascii="Arial" w:hAnsi="Arial" w:cs="Arial"/>
        </w:rPr>
      </w:pPr>
      <w:r w:rsidRPr="008002D4">
        <w:rPr>
          <w:rFonts w:ascii="Arial" w:hAnsi="Arial" w:cs="Arial"/>
        </w:rPr>
        <w:t>Furthermore, a descriptive correlational research approach was applied to explore and describe the connections between two or more variables without altering them. The primary goal of this approach was to identify and understand patterns, relationships, or associations between variables (</w:t>
      </w:r>
      <w:proofErr w:type="spellStart"/>
      <w:r w:rsidRPr="008002D4">
        <w:rPr>
          <w:rFonts w:ascii="Arial" w:hAnsi="Arial" w:cs="Arial"/>
        </w:rPr>
        <w:t>Mertler</w:t>
      </w:r>
      <w:proofErr w:type="spellEnd"/>
      <w:r w:rsidRPr="008002D4">
        <w:rPr>
          <w:rFonts w:ascii="Arial" w:hAnsi="Arial" w:cs="Arial"/>
        </w:rPr>
        <w:t xml:space="preserve"> et al., 2021). Unlike experimental research, which sought to establish causality by manipulating conditions, descriptive correlational research focused on measuring the strength and direction of relationships as they naturally occur (</w:t>
      </w:r>
      <w:proofErr w:type="spellStart"/>
      <w:r w:rsidR="00216EDA" w:rsidRPr="00216EDA">
        <w:rPr>
          <w:rFonts w:ascii="Arial" w:hAnsi="Arial" w:cs="Arial"/>
        </w:rPr>
        <w:t>Remler</w:t>
      </w:r>
      <w:proofErr w:type="spellEnd"/>
      <w:r w:rsidR="00216EDA">
        <w:rPr>
          <w:rFonts w:ascii="Arial" w:hAnsi="Arial" w:cs="Arial"/>
        </w:rPr>
        <w:t xml:space="preserve"> </w:t>
      </w:r>
      <w:r w:rsidR="00216EDA" w:rsidRPr="00216EDA">
        <w:rPr>
          <w:rFonts w:ascii="Arial" w:hAnsi="Arial" w:cs="Arial"/>
        </w:rPr>
        <w:t xml:space="preserve">&amp; Van </w:t>
      </w:r>
      <w:proofErr w:type="spellStart"/>
      <w:r w:rsidR="00216EDA" w:rsidRPr="00216EDA">
        <w:rPr>
          <w:rFonts w:ascii="Arial" w:hAnsi="Arial" w:cs="Arial"/>
        </w:rPr>
        <w:t>Ryzin</w:t>
      </w:r>
      <w:proofErr w:type="spellEnd"/>
      <w:r w:rsidR="00216EDA">
        <w:rPr>
          <w:rFonts w:ascii="Arial" w:hAnsi="Arial" w:cs="Arial"/>
        </w:rPr>
        <w:t>, 2021</w:t>
      </w:r>
      <w:r w:rsidRPr="008002D4">
        <w:rPr>
          <w:rFonts w:ascii="Arial" w:hAnsi="Arial" w:cs="Arial"/>
        </w:rPr>
        <w:t xml:space="preserve">). </w:t>
      </w:r>
    </w:p>
    <w:p w14:paraId="7126234B" w14:textId="77777777" w:rsidR="008002D4" w:rsidRDefault="008002D4" w:rsidP="008002D4">
      <w:pPr>
        <w:jc w:val="both"/>
        <w:rPr>
          <w:rFonts w:ascii="Arial" w:hAnsi="Arial" w:cs="Arial"/>
        </w:rPr>
      </w:pPr>
    </w:p>
    <w:p w14:paraId="227BD7A9" w14:textId="244B2062" w:rsidR="00F121AE" w:rsidRDefault="008002D4" w:rsidP="008002D4">
      <w:pPr>
        <w:jc w:val="both"/>
        <w:rPr>
          <w:rFonts w:ascii="Arial" w:hAnsi="Arial" w:cs="Arial"/>
          <w:b/>
          <w:bCs/>
        </w:rPr>
      </w:pPr>
      <w:r w:rsidRPr="008002D4">
        <w:rPr>
          <w:rFonts w:ascii="Arial" w:hAnsi="Arial" w:cs="Arial"/>
        </w:rPr>
        <w:t xml:space="preserve">In the context of this study, the descriptive-correlational research design was considered suitable as it aimed to describe the extent of homeroom guidance practices of teachers and the extent of academic persistence of students. It also aimed to identify the significant relationship between the domains of homeroom guidance practices of teachers on the academic persistence of students.  </w:t>
      </w:r>
    </w:p>
    <w:p w14:paraId="20691AA2" w14:textId="77777777" w:rsidR="008002D4" w:rsidRDefault="008002D4">
      <w:pPr>
        <w:rPr>
          <w:rFonts w:ascii="Arial" w:hAnsi="Arial" w:cs="Arial"/>
          <w:b/>
          <w:bCs/>
        </w:rPr>
      </w:pPr>
    </w:p>
    <w:p w14:paraId="318F0781" w14:textId="2ECA4295"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DB666C5" w14:textId="77777777" w:rsidR="008002D4" w:rsidRPr="008002D4" w:rsidRDefault="008002D4" w:rsidP="008002D4">
      <w:pPr>
        <w:jc w:val="both"/>
        <w:rPr>
          <w:rFonts w:ascii="Arial" w:hAnsi="Arial" w:cs="Arial"/>
        </w:rPr>
      </w:pPr>
      <w:r w:rsidRPr="008002D4">
        <w:rPr>
          <w:rFonts w:ascii="Arial" w:hAnsi="Arial" w:cs="Arial"/>
        </w:rPr>
        <w:t xml:space="preserve">This study was conducted in </w:t>
      </w:r>
      <w:proofErr w:type="spellStart"/>
      <w:r w:rsidRPr="008002D4">
        <w:rPr>
          <w:rFonts w:ascii="Arial" w:hAnsi="Arial" w:cs="Arial"/>
        </w:rPr>
        <w:t>Caraga</w:t>
      </w:r>
      <w:proofErr w:type="spellEnd"/>
      <w:r w:rsidRPr="008002D4">
        <w:rPr>
          <w:rFonts w:ascii="Arial" w:hAnsi="Arial" w:cs="Arial"/>
        </w:rPr>
        <w:t xml:space="preserve"> District, Division of Davao Oriental. It included the 17 schools in the </w:t>
      </w:r>
      <w:proofErr w:type="spellStart"/>
      <w:r w:rsidRPr="008002D4">
        <w:rPr>
          <w:rFonts w:ascii="Arial" w:hAnsi="Arial" w:cs="Arial"/>
        </w:rPr>
        <w:t>Caraga</w:t>
      </w:r>
      <w:proofErr w:type="spellEnd"/>
      <w:r w:rsidRPr="008002D4">
        <w:rPr>
          <w:rFonts w:ascii="Arial" w:hAnsi="Arial" w:cs="Arial"/>
        </w:rPr>
        <w:t xml:space="preserve"> District. A total of 98 teachers participated as respondents out of a population of 130, determined using </w:t>
      </w:r>
      <w:proofErr w:type="spellStart"/>
      <w:r w:rsidRPr="008002D4">
        <w:rPr>
          <w:rFonts w:ascii="Arial" w:hAnsi="Arial" w:cs="Arial"/>
        </w:rPr>
        <w:t>Slovin’s</w:t>
      </w:r>
      <w:proofErr w:type="spellEnd"/>
      <w:r w:rsidRPr="008002D4">
        <w:rPr>
          <w:rFonts w:ascii="Arial" w:hAnsi="Arial" w:cs="Arial"/>
        </w:rPr>
        <w:t xml:space="preserve"> Formula with a 0.05 margin of error. These teachers rated the Homeroom Guidance Practices and Academic Persistence in Public Elementary Schools. The study was conducted during the school year 2024–2025. In selecting the respondents, the researcher employed simple random sampling using the lottery or fishbowl technique. Numbers were assigned to each member of the population and placed in a container large enough to allow the rolled pieces of paper to move freely in all directions when shaken. The researcher then picked out the desired number of participants for the study.</w:t>
      </w:r>
    </w:p>
    <w:p w14:paraId="0F23C7D0" w14:textId="77777777" w:rsidR="008002D4" w:rsidRDefault="008002D4" w:rsidP="008002D4">
      <w:pPr>
        <w:jc w:val="both"/>
        <w:rPr>
          <w:rFonts w:ascii="Arial" w:hAnsi="Arial" w:cs="Arial"/>
        </w:rPr>
      </w:pPr>
    </w:p>
    <w:p w14:paraId="1E725D10" w14:textId="6A3653CC" w:rsidR="00A67B21" w:rsidRDefault="008002D4" w:rsidP="008002D4">
      <w:pPr>
        <w:jc w:val="both"/>
        <w:rPr>
          <w:rFonts w:ascii="Arial" w:hAnsi="Arial" w:cs="Arial"/>
        </w:rPr>
      </w:pPr>
      <w:r w:rsidRPr="008002D4">
        <w:rPr>
          <w:rFonts w:ascii="Arial" w:hAnsi="Arial" w:cs="Arial"/>
        </w:rPr>
        <w:t xml:space="preserve">The inclusion criteria were as follows: first, the teacher had to be employed at a public elementary school within the </w:t>
      </w:r>
      <w:proofErr w:type="spellStart"/>
      <w:r w:rsidRPr="008002D4">
        <w:rPr>
          <w:rFonts w:ascii="Arial" w:hAnsi="Arial" w:cs="Arial"/>
        </w:rPr>
        <w:t>Caraga</w:t>
      </w:r>
      <w:proofErr w:type="spellEnd"/>
      <w:r w:rsidRPr="008002D4">
        <w:rPr>
          <w:rFonts w:ascii="Arial" w:hAnsi="Arial" w:cs="Arial"/>
        </w:rPr>
        <w:t xml:space="preserve"> District, Division of Davao Oriental during the 2024–2025 school year. Second, the teacher had to have at least one year of teaching experience in any subject. Teachers who did not meet these criteria were excluded. Specifically, those not employed in a public elementary school in the </w:t>
      </w:r>
      <w:proofErr w:type="spellStart"/>
      <w:r w:rsidRPr="008002D4">
        <w:rPr>
          <w:rFonts w:ascii="Arial" w:hAnsi="Arial" w:cs="Arial"/>
        </w:rPr>
        <w:t>Caraga</w:t>
      </w:r>
      <w:proofErr w:type="spellEnd"/>
      <w:r w:rsidRPr="008002D4">
        <w:rPr>
          <w:rFonts w:ascii="Arial" w:hAnsi="Arial" w:cs="Arial"/>
        </w:rPr>
        <w:t xml:space="preserve"> District during that period, those with less than a year of teaching experience, and those on temporary leave or undergoing administrative actions were excluded, as they might not have accurately represented the regular teaching experience. Additionally, school administrators and guidance counselors, who did not directly teach elementary subjects, were also excluded.</w:t>
      </w:r>
    </w:p>
    <w:p w14:paraId="4139B1E5" w14:textId="77777777" w:rsidR="008002D4" w:rsidRDefault="008002D4" w:rsidP="008002D4">
      <w:pPr>
        <w:jc w:val="both"/>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F8CD075" w14:textId="6A2E5F90" w:rsidR="00C52519" w:rsidRPr="008002D4" w:rsidRDefault="008002D4" w:rsidP="008002D4">
      <w:pPr>
        <w:jc w:val="both"/>
        <w:rPr>
          <w:rFonts w:ascii="Arial" w:hAnsi="Arial" w:cs="Arial"/>
        </w:rPr>
      </w:pPr>
      <w:r w:rsidRPr="008002D4">
        <w:rPr>
          <w:rFonts w:ascii="Arial" w:hAnsi="Arial" w:cs="Arial"/>
        </w:rPr>
        <w:lastRenderedPageBreak/>
        <w:t xml:space="preserve">The first part of the questionnaire was based on the Implementation of the Homeroom Guidance Practices Scale by Volante and </w:t>
      </w:r>
      <w:proofErr w:type="spellStart"/>
      <w:r w:rsidRPr="008002D4">
        <w:rPr>
          <w:rFonts w:ascii="Arial" w:hAnsi="Arial" w:cs="Arial"/>
        </w:rPr>
        <w:t>Olua</w:t>
      </w:r>
      <w:proofErr w:type="spellEnd"/>
      <w:r w:rsidRPr="008002D4">
        <w:rPr>
          <w:rFonts w:ascii="Arial" w:hAnsi="Arial" w:cs="Arial"/>
        </w:rPr>
        <w:t xml:space="preserve"> (2022). The scale includes items that measured academic development, personal development, social development, and career development. Its overall Cronbach’s alpha coefficient is 0.800, which supports the reliability of the questionnaire for measuring the variable of homeroom guidance practices. In this study, the homeroom guidance practices scale demonstrated excellent reliability, with a Cronbach’s alpha value of 0.992.</w:t>
      </w:r>
    </w:p>
    <w:p w14:paraId="7067A2CD" w14:textId="77777777" w:rsidR="008002D4" w:rsidRDefault="008002D4" w:rsidP="00C52519">
      <w:pPr>
        <w:jc w:val="both"/>
        <w:rPr>
          <w:rFonts w:ascii="Arial" w:hAnsi="Arial" w:cs="Arial"/>
        </w:rPr>
      </w:pPr>
    </w:p>
    <w:p w14:paraId="4CF42F12" w14:textId="7C82CD32" w:rsidR="00C52519" w:rsidRPr="008002D4" w:rsidRDefault="008002D4" w:rsidP="008002D4">
      <w:pPr>
        <w:jc w:val="both"/>
        <w:rPr>
          <w:rFonts w:ascii="Arial" w:hAnsi="Arial" w:cs="Arial"/>
        </w:rPr>
      </w:pPr>
      <w:r w:rsidRPr="008002D4">
        <w:rPr>
          <w:rFonts w:ascii="Arial" w:hAnsi="Arial" w:cs="Arial"/>
        </w:rPr>
        <w:t xml:space="preserve">The second part of the questionnaire is developed by </w:t>
      </w:r>
      <w:proofErr w:type="spellStart"/>
      <w:r w:rsidRPr="008002D4">
        <w:rPr>
          <w:rFonts w:ascii="Arial" w:hAnsi="Arial" w:cs="Arial"/>
        </w:rPr>
        <w:t>Jaravata</w:t>
      </w:r>
      <w:proofErr w:type="spellEnd"/>
      <w:r w:rsidRPr="008002D4">
        <w:rPr>
          <w:rFonts w:ascii="Arial" w:hAnsi="Arial" w:cs="Arial"/>
        </w:rPr>
        <w:t xml:space="preserve"> et al. (2024) to assess the academic persistence of the students as perceived by the teachers. The Academic Persistence Scale assesses different aspects such as determination, planning, implementation and self-discipline. The overall Cronbach’s alpha coefficient for the scale is 0.930, indicating that the questionnaire was reliable for measuring the variable of academic persistence. Additionally, the academic persistence questionnaire demonstrated excellent reliability in this study, with a Cronbach’s alpha value of 0.993.</w:t>
      </w:r>
    </w:p>
    <w:p w14:paraId="51273DA6" w14:textId="77777777" w:rsidR="008002D4" w:rsidRDefault="008002D4" w:rsidP="005D71AE">
      <w:pPr>
        <w:rPr>
          <w:rFonts w:ascii="Arial" w:hAnsi="Arial" w:cs="Arial"/>
          <w:b/>
          <w:bCs/>
        </w:rPr>
      </w:pPr>
    </w:p>
    <w:p w14:paraId="27C6641A" w14:textId="2049FACD"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4C1998F0" w14:textId="77777777" w:rsidR="008002D4" w:rsidRPr="008002D4" w:rsidRDefault="008002D4" w:rsidP="008002D4">
      <w:pPr>
        <w:pStyle w:val="Heading1"/>
        <w:jc w:val="both"/>
        <w:rPr>
          <w:rFonts w:cs="Arial"/>
          <w:b w:val="0"/>
          <w:kern w:val="0"/>
          <w:sz w:val="20"/>
        </w:rPr>
      </w:pPr>
      <w:r w:rsidRPr="008002D4">
        <w:rPr>
          <w:rFonts w:cs="Arial"/>
          <w:b w:val="0"/>
          <w:kern w:val="0"/>
          <w:sz w:val="20"/>
        </w:rPr>
        <w:t>The data collection procedure for this study carried out in a systematic manner to ensure ethical adherence and obtain the necessary approvals. Initially, formal permission was requested from the Dean of the Graduate School. Once granted, the request was forwarded to the School's Division Superintendent for further evaluation. This step-by-step approval process ensured that all institutional and educational guidelines were followed.</w:t>
      </w:r>
    </w:p>
    <w:p w14:paraId="0D0D0E46" w14:textId="77777777" w:rsidR="008002D4" w:rsidRPr="008002D4" w:rsidRDefault="008002D4" w:rsidP="008002D4">
      <w:pPr>
        <w:pStyle w:val="Heading1"/>
        <w:jc w:val="both"/>
        <w:rPr>
          <w:rFonts w:cs="Arial"/>
          <w:b w:val="0"/>
          <w:kern w:val="0"/>
          <w:sz w:val="20"/>
        </w:rPr>
      </w:pPr>
      <w:r w:rsidRPr="008002D4">
        <w:rPr>
          <w:rFonts w:cs="Arial"/>
          <w:b w:val="0"/>
          <w:kern w:val="0"/>
          <w:sz w:val="20"/>
        </w:rPr>
        <w:t>The next phase involved gathering data by creating and distributing survey questionnaires that were thoughtfully designed to meet the study's objectives. Coordination with school officials ensures the smooth distribution of the surveys to public school teachers, along with a clear explanation of the study's purpose. During the data collection phase, the confidentiality and anonymity of participants were prioritized to encourage candid responses.</w:t>
      </w:r>
    </w:p>
    <w:p w14:paraId="3CFA8FF5" w14:textId="77777777" w:rsidR="008002D4" w:rsidRDefault="008002D4" w:rsidP="008002D4">
      <w:pPr>
        <w:pStyle w:val="Heading1"/>
        <w:jc w:val="both"/>
        <w:rPr>
          <w:rFonts w:cs="Arial"/>
          <w:b w:val="0"/>
          <w:kern w:val="0"/>
          <w:sz w:val="20"/>
        </w:rPr>
      </w:pPr>
      <w:r w:rsidRPr="008002D4">
        <w:rPr>
          <w:rFonts w:cs="Arial"/>
          <w:b w:val="0"/>
          <w:kern w:val="0"/>
          <w:sz w:val="20"/>
        </w:rPr>
        <w:t>After data collection, the retrieval process involved carefully organizing and analyzing the collected information. The completed questionnaires were counted, and responses were systematically recorded for statistical evaluation using statistical tools such as mean, standard deviation, and correlation analysis.</w:t>
      </w:r>
    </w:p>
    <w:p w14:paraId="1C13872C" w14:textId="24BE8B81" w:rsidR="00717F2E" w:rsidRPr="005D71AE" w:rsidRDefault="00180859" w:rsidP="008002D4">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24483651" w14:textId="72F625D4" w:rsidR="00416728" w:rsidRPr="00416728" w:rsidRDefault="00416728" w:rsidP="00416728">
      <w:pPr>
        <w:pStyle w:val="NormalWeb"/>
        <w:spacing w:before="0" w:beforeAutospacing="0" w:after="0" w:afterAutospacing="0"/>
        <w:ind w:left="-15" w:right="119" w:firstLine="15"/>
        <w:jc w:val="both"/>
        <w:rPr>
          <w:sz w:val="20"/>
          <w:szCs w:val="20"/>
        </w:rPr>
      </w:pPr>
      <w:r w:rsidRPr="00416728">
        <w:rPr>
          <w:rFonts w:ascii="Arial" w:hAnsi="Arial" w:cs="Arial"/>
          <w:color w:val="000000"/>
          <w:sz w:val="20"/>
          <w:szCs w:val="20"/>
        </w:rPr>
        <w:t>In analyzing and interpreting the data gathered for this study, several statistical tools were utilized to determine the aim of the study. </w:t>
      </w:r>
    </w:p>
    <w:p w14:paraId="6D518CBC" w14:textId="77777777" w:rsidR="00416728" w:rsidRDefault="00416728" w:rsidP="00416728">
      <w:pPr>
        <w:pStyle w:val="NormalWeb"/>
        <w:spacing w:before="0" w:beforeAutospacing="0" w:after="0" w:afterAutospacing="0"/>
        <w:ind w:left="-15" w:right="119" w:firstLine="15"/>
        <w:jc w:val="both"/>
        <w:rPr>
          <w:rFonts w:ascii="Arial" w:hAnsi="Arial" w:cs="Arial"/>
          <w:b/>
          <w:bCs/>
          <w:i/>
          <w:iCs/>
          <w:color w:val="000000"/>
          <w:sz w:val="20"/>
          <w:szCs w:val="20"/>
        </w:rPr>
      </w:pPr>
    </w:p>
    <w:p w14:paraId="01588637" w14:textId="6103E413" w:rsidR="00416728" w:rsidRPr="00416728" w:rsidRDefault="00416728" w:rsidP="00416728">
      <w:pPr>
        <w:pStyle w:val="NormalWeb"/>
        <w:spacing w:before="0" w:beforeAutospacing="0" w:after="0" w:afterAutospacing="0"/>
        <w:ind w:left="-15" w:right="119" w:firstLine="15"/>
        <w:jc w:val="both"/>
        <w:rPr>
          <w:sz w:val="20"/>
          <w:szCs w:val="20"/>
        </w:rPr>
      </w:pPr>
      <w:r w:rsidRPr="00416728">
        <w:rPr>
          <w:rFonts w:ascii="Arial" w:hAnsi="Arial" w:cs="Arial"/>
          <w:bCs/>
          <w:iCs/>
          <w:color w:val="000000"/>
          <w:sz w:val="20"/>
          <w:szCs w:val="20"/>
        </w:rPr>
        <w:t>Mean</w:t>
      </w:r>
      <w:r w:rsidRPr="00416728">
        <w:rPr>
          <w:rFonts w:ascii="Arial" w:hAnsi="Arial" w:cs="Arial"/>
          <w:color w:val="000000"/>
          <w:sz w:val="20"/>
          <w:szCs w:val="20"/>
        </w:rPr>
        <w:t xml:space="preserve"> was used to assess the extent of the homeroom guidance practices and academic persistence in public elementary schools. </w:t>
      </w:r>
    </w:p>
    <w:p w14:paraId="1C685A2B" w14:textId="77777777" w:rsidR="00416728" w:rsidRPr="00416728" w:rsidRDefault="00416728" w:rsidP="00416728">
      <w:pPr>
        <w:pStyle w:val="NormalWeb"/>
        <w:spacing w:before="0" w:beforeAutospacing="0" w:after="0" w:afterAutospacing="0"/>
        <w:ind w:left="-15" w:right="119" w:firstLine="15"/>
        <w:jc w:val="both"/>
        <w:rPr>
          <w:rFonts w:ascii="Arial" w:hAnsi="Arial" w:cs="Arial"/>
          <w:bCs/>
          <w:iCs/>
          <w:color w:val="000000"/>
          <w:sz w:val="20"/>
          <w:szCs w:val="20"/>
        </w:rPr>
      </w:pPr>
    </w:p>
    <w:p w14:paraId="3C2195B7" w14:textId="5485645E" w:rsidR="00416728" w:rsidRPr="00416728" w:rsidRDefault="00416728" w:rsidP="00416728">
      <w:pPr>
        <w:pStyle w:val="NormalWeb"/>
        <w:spacing w:before="0" w:beforeAutospacing="0" w:after="0" w:afterAutospacing="0"/>
        <w:ind w:left="-15" w:right="119" w:firstLine="15"/>
        <w:jc w:val="both"/>
        <w:rPr>
          <w:sz w:val="20"/>
          <w:szCs w:val="20"/>
        </w:rPr>
      </w:pPr>
      <w:r w:rsidRPr="00416728">
        <w:rPr>
          <w:rFonts w:ascii="Arial" w:hAnsi="Arial" w:cs="Arial"/>
          <w:bCs/>
          <w:iCs/>
          <w:color w:val="000000"/>
          <w:sz w:val="20"/>
          <w:szCs w:val="20"/>
        </w:rPr>
        <w:t>Pearson r-moment correlation</w:t>
      </w:r>
      <w:r w:rsidRPr="00416728">
        <w:rPr>
          <w:rFonts w:ascii="Arial" w:hAnsi="Arial" w:cs="Arial"/>
          <w:color w:val="000000"/>
          <w:sz w:val="20"/>
          <w:szCs w:val="20"/>
        </w:rPr>
        <w:t xml:space="preserve"> analysis was applied to examine the strength and direction of the relationship between the homeroom guidance practices and academic persistence in public elementary schools. </w:t>
      </w:r>
    </w:p>
    <w:p w14:paraId="6F796DFD" w14:textId="77777777" w:rsidR="00416728" w:rsidRPr="00416728" w:rsidRDefault="00416728" w:rsidP="00416728">
      <w:pPr>
        <w:pStyle w:val="NormalWeb"/>
        <w:spacing w:before="0" w:beforeAutospacing="0" w:after="0" w:afterAutospacing="0"/>
        <w:ind w:left="-15" w:right="119" w:firstLine="15"/>
        <w:jc w:val="both"/>
        <w:rPr>
          <w:sz w:val="20"/>
          <w:szCs w:val="20"/>
        </w:rPr>
      </w:pPr>
      <w:r w:rsidRPr="00416728">
        <w:rPr>
          <w:rFonts w:ascii="Arial" w:hAnsi="Arial" w:cs="Arial"/>
          <w:bCs/>
          <w:iCs/>
          <w:color w:val="000000"/>
          <w:sz w:val="20"/>
          <w:szCs w:val="20"/>
        </w:rPr>
        <w:t>Multiple linear regression</w:t>
      </w:r>
      <w:r w:rsidRPr="00416728">
        <w:rPr>
          <w:rFonts w:ascii="Arial" w:hAnsi="Arial" w:cs="Arial"/>
          <w:b/>
          <w:bCs/>
          <w:iCs/>
          <w:color w:val="000000"/>
          <w:sz w:val="20"/>
          <w:szCs w:val="20"/>
        </w:rPr>
        <w:t xml:space="preserve"> </w:t>
      </w:r>
      <w:r w:rsidRPr="00416728">
        <w:rPr>
          <w:rFonts w:ascii="Arial" w:hAnsi="Arial" w:cs="Arial"/>
          <w:bCs/>
          <w:iCs/>
          <w:color w:val="000000"/>
          <w:sz w:val="20"/>
          <w:szCs w:val="20"/>
        </w:rPr>
        <w:t>analysis</w:t>
      </w:r>
      <w:r w:rsidRPr="00416728">
        <w:rPr>
          <w:rFonts w:ascii="Arial" w:hAnsi="Arial" w:cs="Arial"/>
          <w:color w:val="000000"/>
          <w:sz w:val="20"/>
          <w:szCs w:val="20"/>
        </w:rPr>
        <w:t xml:space="preserve"> was employed to identify which domains of the homeroom guidance practices significantly influence academic persistence in public elementary schools. </w:t>
      </w:r>
    </w:p>
    <w:p w14:paraId="08B1DEAA" w14:textId="77777777" w:rsidR="00C84872" w:rsidRDefault="00C84872" w:rsidP="00C84872">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635E0272" w:rsidR="005D71AE" w:rsidRPr="00416728" w:rsidRDefault="00180859" w:rsidP="00416728">
      <w:pPr>
        <w:suppressAutoHyphens/>
        <w:jc w:val="both"/>
        <w:rPr>
          <w:rFonts w:ascii="Arial" w:hAnsi="Arial" w:cs="Arial"/>
          <w:b/>
        </w:rPr>
      </w:pPr>
      <w:r>
        <w:rPr>
          <w:rFonts w:ascii="Arial" w:hAnsi="Arial" w:cs="Arial"/>
          <w:b/>
        </w:rPr>
        <w:lastRenderedPageBreak/>
        <w:t xml:space="preserve">3.1 </w:t>
      </w:r>
      <w:r w:rsidR="00416728" w:rsidRPr="00416728">
        <w:rPr>
          <w:rFonts w:ascii="Arial" w:hAnsi="Arial" w:cs="Arial"/>
          <w:b/>
        </w:rPr>
        <w:t>Extent of Homeroom Guidance Practices of Teachers</w:t>
      </w:r>
      <w:r w:rsidR="00416728">
        <w:rPr>
          <w:rFonts w:ascii="Arial" w:hAnsi="Arial" w:cs="Arial"/>
          <w:b/>
        </w:rPr>
        <w:t xml:space="preserve"> in Public Elementary School</w:t>
      </w:r>
    </w:p>
    <w:p w14:paraId="1B38FF68" w14:textId="77777777" w:rsidR="00EF4B2D" w:rsidRDefault="00EF4B2D">
      <w:pPr>
        <w:suppressAutoHyphens/>
        <w:jc w:val="both"/>
        <w:rPr>
          <w:rFonts w:ascii="Arial" w:hAnsi="Arial" w:cs="Arial"/>
          <w:b/>
        </w:rPr>
      </w:pPr>
    </w:p>
    <w:p w14:paraId="69D23EB0" w14:textId="0B0FA60F" w:rsidR="008927A1" w:rsidRPr="00416728" w:rsidRDefault="00180859" w:rsidP="00416728">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416728" w:rsidRPr="00416728">
        <w:rPr>
          <w:rFonts w:ascii="Arial" w:hAnsi="Arial" w:cs="Arial"/>
          <w:i/>
          <w:iCs/>
        </w:rPr>
        <w:t>Extent of Homeroom Guidance Practices of Teachers in Public Elementary School</w:t>
      </w:r>
    </w:p>
    <w:p w14:paraId="496DE70A" w14:textId="77777777" w:rsidR="002F5C4B" w:rsidRDefault="002F5C4B">
      <w:pPr>
        <w:suppressAutoHyphens/>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053"/>
        <w:gridCol w:w="620"/>
        <w:gridCol w:w="742"/>
        <w:gridCol w:w="1876"/>
      </w:tblGrid>
      <w:tr w:rsidR="00416728" w:rsidRPr="00416728" w14:paraId="25C4C4FF" w14:textId="77777777" w:rsidTr="00416728">
        <w:trPr>
          <w:trHeight w:val="35"/>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6BEF93E8" w14:textId="77777777" w:rsidR="00416728" w:rsidRPr="00416728" w:rsidRDefault="00416728" w:rsidP="00416728">
            <w:pPr>
              <w:ind w:firstLine="710"/>
              <w:jc w:val="center"/>
              <w:rPr>
                <w:rFonts w:ascii="Times New Roman" w:hAnsi="Times New Roman"/>
                <w:lang w:val="en-PH" w:eastAsia="en-PH"/>
              </w:rPr>
            </w:pPr>
            <w:r w:rsidRPr="00416728">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610A2DBB"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5E8941EA"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52B285D3"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val="en-PH" w:eastAsia="en-PH"/>
              </w:rPr>
              <w:t>Descriptive Level</w:t>
            </w:r>
          </w:p>
        </w:tc>
      </w:tr>
      <w:tr w:rsidR="00416728" w:rsidRPr="00416728" w14:paraId="522F5844" w14:textId="77777777" w:rsidTr="00416728">
        <w:trPr>
          <w:trHeight w:val="269"/>
          <w:jc w:val="center"/>
        </w:trPr>
        <w:tc>
          <w:tcPr>
            <w:tcW w:w="0" w:type="auto"/>
            <w:tcBorders>
              <w:top w:val="single" w:sz="4" w:space="0" w:color="000000"/>
            </w:tcBorders>
            <w:tcMar>
              <w:top w:w="0" w:type="dxa"/>
              <w:left w:w="115" w:type="dxa"/>
              <w:bottom w:w="0" w:type="dxa"/>
              <w:right w:w="115" w:type="dxa"/>
            </w:tcMar>
            <w:hideMark/>
          </w:tcPr>
          <w:p w14:paraId="08C64035" w14:textId="77777777" w:rsidR="00416728" w:rsidRPr="00416728" w:rsidRDefault="00416728" w:rsidP="00416728">
            <w:pPr>
              <w:ind w:firstLine="710"/>
              <w:jc w:val="center"/>
              <w:rPr>
                <w:rFonts w:ascii="Times New Roman" w:hAnsi="Times New Roman"/>
                <w:lang w:val="en-PH" w:eastAsia="en-PH"/>
              </w:rPr>
            </w:pPr>
            <w:r w:rsidRPr="00416728">
              <w:rPr>
                <w:rFonts w:ascii="Arial" w:hAnsi="Arial" w:cs="Arial"/>
                <w:color w:val="000000"/>
                <w:lang w:val="en-PH" w:eastAsia="en-PH"/>
              </w:rPr>
              <w:t>Academic Development</w:t>
            </w:r>
          </w:p>
        </w:tc>
        <w:tc>
          <w:tcPr>
            <w:tcW w:w="0" w:type="auto"/>
            <w:tcBorders>
              <w:top w:val="single" w:sz="4" w:space="0" w:color="000000"/>
            </w:tcBorders>
            <w:tcMar>
              <w:top w:w="0" w:type="dxa"/>
              <w:left w:w="115" w:type="dxa"/>
              <w:bottom w:w="0" w:type="dxa"/>
              <w:right w:w="115" w:type="dxa"/>
            </w:tcMar>
            <w:hideMark/>
          </w:tcPr>
          <w:p w14:paraId="3899F55D"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0.72</w:t>
            </w:r>
          </w:p>
        </w:tc>
        <w:tc>
          <w:tcPr>
            <w:tcW w:w="0" w:type="auto"/>
            <w:tcBorders>
              <w:top w:val="single" w:sz="4" w:space="0" w:color="000000"/>
            </w:tcBorders>
            <w:tcMar>
              <w:top w:w="0" w:type="dxa"/>
              <w:left w:w="115" w:type="dxa"/>
              <w:bottom w:w="0" w:type="dxa"/>
              <w:right w:w="115" w:type="dxa"/>
            </w:tcMar>
            <w:hideMark/>
          </w:tcPr>
          <w:p w14:paraId="0566CEE6"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4.40</w:t>
            </w:r>
          </w:p>
        </w:tc>
        <w:tc>
          <w:tcPr>
            <w:tcW w:w="0" w:type="auto"/>
            <w:tcBorders>
              <w:top w:val="single" w:sz="4" w:space="0" w:color="000000"/>
            </w:tcBorders>
            <w:tcMar>
              <w:top w:w="0" w:type="dxa"/>
              <w:left w:w="115" w:type="dxa"/>
              <w:bottom w:w="0" w:type="dxa"/>
              <w:right w:w="115" w:type="dxa"/>
            </w:tcMar>
            <w:hideMark/>
          </w:tcPr>
          <w:p w14:paraId="541C066D"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Very Extensive</w:t>
            </w:r>
          </w:p>
        </w:tc>
      </w:tr>
      <w:tr w:rsidR="00416728" w:rsidRPr="00416728" w14:paraId="2A63C427" w14:textId="77777777" w:rsidTr="00416728">
        <w:trPr>
          <w:trHeight w:val="280"/>
          <w:jc w:val="center"/>
        </w:trPr>
        <w:tc>
          <w:tcPr>
            <w:tcW w:w="0" w:type="auto"/>
            <w:tcMar>
              <w:top w:w="0" w:type="dxa"/>
              <w:left w:w="115" w:type="dxa"/>
              <w:bottom w:w="0" w:type="dxa"/>
              <w:right w:w="115" w:type="dxa"/>
            </w:tcMar>
            <w:hideMark/>
          </w:tcPr>
          <w:p w14:paraId="7D5A0C48" w14:textId="77777777" w:rsidR="00416728" w:rsidRPr="00416728" w:rsidRDefault="00416728" w:rsidP="00416728">
            <w:pPr>
              <w:ind w:firstLine="710"/>
              <w:jc w:val="center"/>
              <w:rPr>
                <w:rFonts w:ascii="Times New Roman" w:hAnsi="Times New Roman"/>
                <w:lang w:val="en-PH" w:eastAsia="en-PH"/>
              </w:rPr>
            </w:pPr>
            <w:r w:rsidRPr="00416728">
              <w:rPr>
                <w:rFonts w:ascii="Arial" w:hAnsi="Arial" w:cs="Arial"/>
                <w:color w:val="000000"/>
                <w:lang w:val="en-PH" w:eastAsia="en-PH"/>
              </w:rPr>
              <w:t>Personal Development</w:t>
            </w:r>
          </w:p>
        </w:tc>
        <w:tc>
          <w:tcPr>
            <w:tcW w:w="0" w:type="auto"/>
            <w:tcMar>
              <w:top w:w="0" w:type="dxa"/>
              <w:left w:w="115" w:type="dxa"/>
              <w:bottom w:w="0" w:type="dxa"/>
              <w:right w:w="115" w:type="dxa"/>
            </w:tcMar>
            <w:hideMark/>
          </w:tcPr>
          <w:p w14:paraId="02960F5C"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0.65</w:t>
            </w:r>
          </w:p>
        </w:tc>
        <w:tc>
          <w:tcPr>
            <w:tcW w:w="0" w:type="auto"/>
            <w:tcMar>
              <w:top w:w="0" w:type="dxa"/>
              <w:left w:w="115" w:type="dxa"/>
              <w:bottom w:w="0" w:type="dxa"/>
              <w:right w:w="115" w:type="dxa"/>
            </w:tcMar>
            <w:hideMark/>
          </w:tcPr>
          <w:p w14:paraId="51D7F0CC"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4.38</w:t>
            </w:r>
          </w:p>
        </w:tc>
        <w:tc>
          <w:tcPr>
            <w:tcW w:w="0" w:type="auto"/>
            <w:tcMar>
              <w:top w:w="0" w:type="dxa"/>
              <w:left w:w="115" w:type="dxa"/>
              <w:bottom w:w="0" w:type="dxa"/>
              <w:right w:w="115" w:type="dxa"/>
            </w:tcMar>
            <w:hideMark/>
          </w:tcPr>
          <w:p w14:paraId="643D9AAD"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Very Extensive</w:t>
            </w:r>
          </w:p>
        </w:tc>
      </w:tr>
      <w:tr w:rsidR="00416728" w:rsidRPr="00416728" w14:paraId="540D2CA0" w14:textId="77777777" w:rsidTr="00416728">
        <w:trPr>
          <w:trHeight w:val="280"/>
          <w:jc w:val="center"/>
        </w:trPr>
        <w:tc>
          <w:tcPr>
            <w:tcW w:w="0" w:type="auto"/>
            <w:tcMar>
              <w:top w:w="0" w:type="dxa"/>
              <w:left w:w="115" w:type="dxa"/>
              <w:bottom w:w="0" w:type="dxa"/>
              <w:right w:w="115" w:type="dxa"/>
            </w:tcMar>
            <w:hideMark/>
          </w:tcPr>
          <w:p w14:paraId="5068D5D2" w14:textId="77777777" w:rsidR="00416728" w:rsidRPr="00416728" w:rsidRDefault="00416728" w:rsidP="00416728">
            <w:pPr>
              <w:ind w:firstLine="710"/>
              <w:jc w:val="center"/>
              <w:rPr>
                <w:rFonts w:ascii="Times New Roman" w:hAnsi="Times New Roman"/>
                <w:lang w:val="en-PH" w:eastAsia="en-PH"/>
              </w:rPr>
            </w:pPr>
            <w:r w:rsidRPr="00416728">
              <w:rPr>
                <w:rFonts w:ascii="Arial" w:hAnsi="Arial" w:cs="Arial"/>
                <w:color w:val="000000"/>
                <w:lang w:val="en-PH" w:eastAsia="en-PH"/>
              </w:rPr>
              <w:t>Social Development</w:t>
            </w:r>
          </w:p>
        </w:tc>
        <w:tc>
          <w:tcPr>
            <w:tcW w:w="0" w:type="auto"/>
            <w:tcMar>
              <w:top w:w="0" w:type="dxa"/>
              <w:left w:w="115" w:type="dxa"/>
              <w:bottom w:w="0" w:type="dxa"/>
              <w:right w:w="115" w:type="dxa"/>
            </w:tcMar>
            <w:hideMark/>
          </w:tcPr>
          <w:p w14:paraId="60DFC855"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0.68</w:t>
            </w:r>
          </w:p>
        </w:tc>
        <w:tc>
          <w:tcPr>
            <w:tcW w:w="0" w:type="auto"/>
            <w:tcMar>
              <w:top w:w="0" w:type="dxa"/>
              <w:left w:w="115" w:type="dxa"/>
              <w:bottom w:w="0" w:type="dxa"/>
              <w:right w:w="115" w:type="dxa"/>
            </w:tcMar>
            <w:hideMark/>
          </w:tcPr>
          <w:p w14:paraId="04154611"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4.36</w:t>
            </w:r>
          </w:p>
        </w:tc>
        <w:tc>
          <w:tcPr>
            <w:tcW w:w="0" w:type="auto"/>
            <w:tcMar>
              <w:top w:w="0" w:type="dxa"/>
              <w:left w:w="115" w:type="dxa"/>
              <w:bottom w:w="0" w:type="dxa"/>
              <w:right w:w="115" w:type="dxa"/>
            </w:tcMar>
            <w:hideMark/>
          </w:tcPr>
          <w:p w14:paraId="3F2D9DD8"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Very Extensive</w:t>
            </w:r>
          </w:p>
        </w:tc>
      </w:tr>
      <w:tr w:rsidR="00416728" w:rsidRPr="00416728" w14:paraId="4E094CF7" w14:textId="77777777" w:rsidTr="00416728">
        <w:trPr>
          <w:trHeight w:val="280"/>
          <w:jc w:val="center"/>
        </w:trPr>
        <w:tc>
          <w:tcPr>
            <w:tcW w:w="0" w:type="auto"/>
            <w:tcBorders>
              <w:bottom w:val="single" w:sz="4" w:space="0" w:color="000000"/>
            </w:tcBorders>
            <w:tcMar>
              <w:top w:w="0" w:type="dxa"/>
              <w:left w:w="115" w:type="dxa"/>
              <w:bottom w:w="0" w:type="dxa"/>
              <w:right w:w="115" w:type="dxa"/>
            </w:tcMar>
            <w:hideMark/>
          </w:tcPr>
          <w:p w14:paraId="1875E911" w14:textId="77777777" w:rsidR="00416728" w:rsidRPr="00416728" w:rsidRDefault="00416728" w:rsidP="00416728">
            <w:pPr>
              <w:ind w:firstLine="710"/>
              <w:jc w:val="center"/>
              <w:rPr>
                <w:rFonts w:ascii="Times New Roman" w:hAnsi="Times New Roman"/>
                <w:lang w:val="en-PH" w:eastAsia="en-PH"/>
              </w:rPr>
            </w:pPr>
            <w:r w:rsidRPr="00416728">
              <w:rPr>
                <w:rFonts w:ascii="Arial" w:hAnsi="Arial" w:cs="Arial"/>
                <w:color w:val="000000"/>
                <w:lang w:val="en-PH" w:eastAsia="en-PH"/>
              </w:rPr>
              <w:t>Career Development</w:t>
            </w:r>
          </w:p>
        </w:tc>
        <w:tc>
          <w:tcPr>
            <w:tcW w:w="0" w:type="auto"/>
            <w:tcBorders>
              <w:bottom w:val="single" w:sz="4" w:space="0" w:color="000000"/>
            </w:tcBorders>
            <w:tcMar>
              <w:top w:w="0" w:type="dxa"/>
              <w:left w:w="115" w:type="dxa"/>
              <w:bottom w:w="0" w:type="dxa"/>
              <w:right w:w="115" w:type="dxa"/>
            </w:tcMar>
            <w:hideMark/>
          </w:tcPr>
          <w:p w14:paraId="7E7AFD13"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0.60</w:t>
            </w:r>
          </w:p>
        </w:tc>
        <w:tc>
          <w:tcPr>
            <w:tcW w:w="0" w:type="auto"/>
            <w:tcBorders>
              <w:bottom w:val="single" w:sz="4" w:space="0" w:color="000000"/>
            </w:tcBorders>
            <w:tcMar>
              <w:top w:w="0" w:type="dxa"/>
              <w:left w:w="115" w:type="dxa"/>
              <w:bottom w:w="0" w:type="dxa"/>
              <w:right w:w="115" w:type="dxa"/>
            </w:tcMar>
            <w:hideMark/>
          </w:tcPr>
          <w:p w14:paraId="4F4BC22E"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4.38</w:t>
            </w:r>
          </w:p>
        </w:tc>
        <w:tc>
          <w:tcPr>
            <w:tcW w:w="0" w:type="auto"/>
            <w:tcBorders>
              <w:bottom w:val="single" w:sz="4" w:space="0" w:color="000000"/>
            </w:tcBorders>
            <w:tcMar>
              <w:top w:w="0" w:type="dxa"/>
              <w:left w:w="115" w:type="dxa"/>
              <w:bottom w:w="0" w:type="dxa"/>
              <w:right w:w="115" w:type="dxa"/>
            </w:tcMar>
            <w:hideMark/>
          </w:tcPr>
          <w:p w14:paraId="2865375A"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val="en-PH" w:eastAsia="en-PH"/>
              </w:rPr>
              <w:t>Very Extensive</w:t>
            </w:r>
          </w:p>
        </w:tc>
      </w:tr>
      <w:tr w:rsidR="00416728" w:rsidRPr="00416728" w14:paraId="679D1BB1" w14:textId="77777777" w:rsidTr="00416728">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55DA6E54" w14:textId="77777777" w:rsidR="00416728" w:rsidRPr="00416728" w:rsidRDefault="00416728" w:rsidP="00416728">
            <w:pPr>
              <w:ind w:firstLine="710"/>
              <w:jc w:val="center"/>
              <w:rPr>
                <w:rFonts w:ascii="Times New Roman" w:hAnsi="Times New Roman"/>
                <w:lang w:val="en-PH" w:eastAsia="en-PH"/>
              </w:rPr>
            </w:pPr>
            <w:r w:rsidRPr="00416728">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37C77B1C" w14:textId="77777777" w:rsidR="00416728" w:rsidRPr="00416728" w:rsidRDefault="00416728" w:rsidP="00416728">
            <w:pPr>
              <w:jc w:val="center"/>
              <w:rPr>
                <w:rFonts w:ascii="Times New Roman" w:hAnsi="Times New Roman"/>
                <w:lang w:val="en-PH" w:eastAsia="en-PH"/>
              </w:rPr>
            </w:pPr>
            <w:r w:rsidRPr="00416728">
              <w:rPr>
                <w:rFonts w:ascii="Arial" w:hAnsi="Arial" w:cs="Arial"/>
                <w:b/>
                <w:bCs/>
                <w:color w:val="000000"/>
                <w:lang w:val="en-PH" w:eastAsia="en-PH"/>
              </w:rPr>
              <w:t>0.48</w:t>
            </w:r>
          </w:p>
        </w:tc>
        <w:tc>
          <w:tcPr>
            <w:tcW w:w="0" w:type="auto"/>
            <w:tcBorders>
              <w:top w:val="single" w:sz="4" w:space="0" w:color="000000"/>
              <w:bottom w:val="single" w:sz="4" w:space="0" w:color="auto"/>
            </w:tcBorders>
            <w:tcMar>
              <w:top w:w="0" w:type="dxa"/>
              <w:left w:w="115" w:type="dxa"/>
              <w:bottom w:w="0" w:type="dxa"/>
              <w:right w:w="115" w:type="dxa"/>
            </w:tcMar>
            <w:hideMark/>
          </w:tcPr>
          <w:p w14:paraId="7ACABEE7" w14:textId="77777777" w:rsidR="00416728" w:rsidRPr="00416728" w:rsidRDefault="00416728" w:rsidP="00416728">
            <w:pPr>
              <w:jc w:val="center"/>
              <w:rPr>
                <w:rFonts w:ascii="Times New Roman" w:hAnsi="Times New Roman"/>
                <w:lang w:val="en-PH" w:eastAsia="en-PH"/>
              </w:rPr>
            </w:pPr>
            <w:r w:rsidRPr="00416728">
              <w:rPr>
                <w:rFonts w:ascii="Arial" w:hAnsi="Arial" w:cs="Arial"/>
                <w:b/>
                <w:bCs/>
                <w:color w:val="000000"/>
                <w:lang w:val="en-PH" w:eastAsia="en-PH"/>
              </w:rPr>
              <w:t>4.38</w:t>
            </w:r>
          </w:p>
        </w:tc>
        <w:tc>
          <w:tcPr>
            <w:tcW w:w="0" w:type="auto"/>
            <w:tcBorders>
              <w:top w:val="single" w:sz="4" w:space="0" w:color="000000"/>
              <w:bottom w:val="single" w:sz="4" w:space="0" w:color="auto"/>
            </w:tcBorders>
            <w:tcMar>
              <w:top w:w="0" w:type="dxa"/>
              <w:left w:w="115" w:type="dxa"/>
              <w:bottom w:w="0" w:type="dxa"/>
              <w:right w:w="115" w:type="dxa"/>
            </w:tcMar>
            <w:hideMark/>
          </w:tcPr>
          <w:p w14:paraId="4F0AAD09" w14:textId="77777777" w:rsidR="00416728" w:rsidRPr="00416728" w:rsidRDefault="00416728" w:rsidP="00416728">
            <w:pPr>
              <w:jc w:val="center"/>
              <w:rPr>
                <w:rFonts w:ascii="Times New Roman" w:hAnsi="Times New Roman"/>
                <w:lang w:val="en-PH" w:eastAsia="en-PH"/>
              </w:rPr>
            </w:pPr>
            <w:r w:rsidRPr="00416728">
              <w:rPr>
                <w:rFonts w:ascii="Arial" w:hAnsi="Arial" w:cs="Arial"/>
                <w:b/>
                <w:bCs/>
                <w:color w:val="000000"/>
                <w:lang w:val="en-PH" w:eastAsia="en-PH"/>
              </w:rPr>
              <w:t>Very Extensive</w:t>
            </w:r>
          </w:p>
        </w:tc>
      </w:tr>
    </w:tbl>
    <w:p w14:paraId="20CF6BE0" w14:textId="77777777" w:rsidR="00D453B9" w:rsidRDefault="00D453B9" w:rsidP="003248E3">
      <w:pPr>
        <w:jc w:val="both"/>
        <w:rPr>
          <w:rFonts w:ascii="Arial" w:hAnsi="Arial" w:cs="Arial"/>
        </w:rPr>
      </w:pPr>
    </w:p>
    <w:p w14:paraId="7D871075" w14:textId="77777777" w:rsidR="00416728" w:rsidRPr="00416728" w:rsidRDefault="00A8786A" w:rsidP="00416728">
      <w:pPr>
        <w:jc w:val="both"/>
        <w:rPr>
          <w:rFonts w:ascii="Arial" w:hAnsi="Arial" w:cs="Arial"/>
        </w:rPr>
      </w:pPr>
      <w:r w:rsidRPr="00A8786A">
        <w:rPr>
          <w:rFonts w:ascii="Arial" w:hAnsi="Arial" w:cs="Arial"/>
        </w:rPr>
        <w:t xml:space="preserve">Presented in Table 1 is the </w:t>
      </w:r>
      <w:r w:rsidR="00416728" w:rsidRPr="00416728">
        <w:rPr>
          <w:rFonts w:ascii="Arial" w:hAnsi="Arial" w:cs="Arial"/>
        </w:rPr>
        <w:t>summary of the indicators in the extent of homeroom guidance practices, including academic development, personal development, social development, and career development, based on the mean scores and standard deviations. The indicator of academic development has the highest mean of 4.40, categorized as "very extensive," followed by personal development with a mean of 4.38, also categorized as "very extensive." Career development and social development both received means of 4.38 and 4.36, respectively, all categorized as "very extensive." The overall mean of 4.38 is described as "very extensive," indicating that teachers perceive the implementation of the homeroom guidance practices to be very high across these indicators.</w:t>
      </w:r>
    </w:p>
    <w:p w14:paraId="26F13944" w14:textId="77777777" w:rsidR="00416728" w:rsidRDefault="00416728" w:rsidP="00416728">
      <w:pPr>
        <w:jc w:val="both"/>
        <w:rPr>
          <w:rFonts w:ascii="Arial" w:hAnsi="Arial" w:cs="Arial"/>
        </w:rPr>
      </w:pPr>
    </w:p>
    <w:p w14:paraId="60DA6EEE" w14:textId="2AA3FC77" w:rsidR="00A8786A" w:rsidRDefault="00416728" w:rsidP="00416728">
      <w:pPr>
        <w:jc w:val="both"/>
        <w:rPr>
          <w:rFonts w:ascii="Arial" w:hAnsi="Arial" w:cs="Arial"/>
        </w:rPr>
      </w:pPr>
      <w:r w:rsidRPr="00416728">
        <w:rPr>
          <w:rFonts w:ascii="Arial" w:hAnsi="Arial" w:cs="Arial"/>
        </w:rPr>
        <w:t>This suggests that teachers are highly effective in implementing homeroom guidance program, fostering academic, personal, social, and career development in their students. The program is designed to support students in various aspects of their growth, from academic skills to career planning, and teachers are consistently focused on providing compre</w:t>
      </w:r>
      <w:r>
        <w:rPr>
          <w:rFonts w:ascii="Arial" w:hAnsi="Arial" w:cs="Arial"/>
        </w:rPr>
        <w:t xml:space="preserve">hensive support in these areas. </w:t>
      </w:r>
      <w:r w:rsidRPr="00416728">
        <w:rPr>
          <w:rFonts w:ascii="Arial" w:hAnsi="Arial" w:cs="Arial"/>
        </w:rPr>
        <w:t>The overall standard deviation of 0.48, being relatively low, indicates that the ratings were tightly clustered around the mean.</w:t>
      </w:r>
    </w:p>
    <w:p w14:paraId="07733E1B" w14:textId="192E8C1F" w:rsidR="00416728" w:rsidRDefault="00416728" w:rsidP="00416728">
      <w:pPr>
        <w:jc w:val="both"/>
        <w:rPr>
          <w:rFonts w:ascii="Arial" w:hAnsi="Arial" w:cs="Arial"/>
        </w:rPr>
      </w:pPr>
    </w:p>
    <w:p w14:paraId="29C24AEB" w14:textId="21ABE825" w:rsidR="00416728" w:rsidRDefault="00416728" w:rsidP="00416728">
      <w:pPr>
        <w:jc w:val="both"/>
        <w:rPr>
          <w:rFonts w:ascii="Arial" w:hAnsi="Arial" w:cs="Arial"/>
        </w:rPr>
      </w:pPr>
      <w:r w:rsidRPr="00416728">
        <w:rPr>
          <w:rFonts w:ascii="Arial" w:hAnsi="Arial" w:cs="Arial"/>
        </w:rPr>
        <w:t xml:space="preserve">This finding reinforces the study of Amir et al. (2020), which suggests that the comprehensive implementation of homeroom guidance programs significantly contributes to enhancing students' academic persistence. Their study demonstrates that when teachers effectively integrate homeroom guidance into their teaching strategies, students show a stronger commitment to their academic tasks, as they perceive these efforts as crucial for their personal growth and future success. Additionally, the work of Cortez et al. (2023) highlights that a well-implemented homeroom guidance program fosters a supportive environment, promoting both academic and personal development, which in turn encourages students to persist through challenges. Furthermore, as noted by </w:t>
      </w:r>
      <w:proofErr w:type="spellStart"/>
      <w:r w:rsidRPr="00416728">
        <w:rPr>
          <w:rFonts w:ascii="Arial" w:hAnsi="Arial" w:cs="Arial"/>
        </w:rPr>
        <w:t>Kulikowski</w:t>
      </w:r>
      <w:proofErr w:type="spellEnd"/>
      <w:r w:rsidRPr="00416728">
        <w:rPr>
          <w:rFonts w:ascii="Arial" w:hAnsi="Arial" w:cs="Arial"/>
        </w:rPr>
        <w:t xml:space="preserve"> et al. (2022), programs that provide clear career and academic guidance, as well as emotional and social support, directly correlate with higher levels of academic motivation and sustained effort.</w:t>
      </w:r>
    </w:p>
    <w:p w14:paraId="7F8A4170" w14:textId="77777777" w:rsidR="00416728" w:rsidRPr="00A8786A" w:rsidRDefault="00416728" w:rsidP="00416728">
      <w:pPr>
        <w:jc w:val="both"/>
        <w:rPr>
          <w:rFonts w:ascii="Arial" w:hAnsi="Arial" w:cs="Arial"/>
        </w:rPr>
      </w:pPr>
    </w:p>
    <w:p w14:paraId="49153FC3" w14:textId="2D92295B" w:rsidR="00E16D4E" w:rsidRDefault="00180859">
      <w:pPr>
        <w:jc w:val="both"/>
        <w:rPr>
          <w:rFonts w:ascii="Arial" w:hAnsi="Arial" w:cs="Arial"/>
          <w:b/>
        </w:rPr>
      </w:pPr>
      <w:r>
        <w:rPr>
          <w:rFonts w:ascii="Arial" w:hAnsi="Arial" w:cs="Arial"/>
          <w:b/>
        </w:rPr>
        <w:t xml:space="preserve">3.2 </w:t>
      </w:r>
      <w:r w:rsidR="00416728" w:rsidRPr="00416728">
        <w:rPr>
          <w:rFonts w:ascii="Arial" w:hAnsi="Arial" w:cs="Arial"/>
          <w:b/>
        </w:rPr>
        <w:t xml:space="preserve">Extent of Academic Persistence of the Students as Perceived by the Teachers </w:t>
      </w:r>
      <w:r w:rsidR="00416728">
        <w:rPr>
          <w:rFonts w:ascii="Arial" w:hAnsi="Arial" w:cs="Arial"/>
          <w:b/>
        </w:rPr>
        <w:t xml:space="preserve">in </w:t>
      </w:r>
      <w:r w:rsidR="00D532E8" w:rsidRPr="00D532E8">
        <w:rPr>
          <w:rFonts w:ascii="Arial" w:hAnsi="Arial" w:cs="Arial"/>
          <w:b/>
        </w:rPr>
        <w:t xml:space="preserve">Public Elementary School </w:t>
      </w:r>
    </w:p>
    <w:p w14:paraId="5B335AF5" w14:textId="77777777" w:rsidR="00D532E8" w:rsidRDefault="00D532E8">
      <w:pPr>
        <w:jc w:val="both"/>
        <w:rPr>
          <w:rFonts w:ascii="Arial" w:hAnsi="Arial" w:cs="Arial"/>
          <w:b/>
        </w:rPr>
      </w:pPr>
    </w:p>
    <w:p w14:paraId="2745F126" w14:textId="214C9537" w:rsidR="00781D5E" w:rsidRPr="00416728" w:rsidRDefault="00180859" w:rsidP="00416728">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416728" w:rsidRPr="00416728">
        <w:rPr>
          <w:rFonts w:ascii="Arial" w:hAnsi="Arial" w:cs="Arial"/>
          <w:i/>
        </w:rPr>
        <w:t>Extent of Academic Persistence of the Students as Perceived by the Teachers in Public Elementary School</w:t>
      </w:r>
    </w:p>
    <w:p w14:paraId="0470EF4F" w14:textId="43A90FD0" w:rsidR="00D532E8" w:rsidRDefault="00D532E8">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32"/>
        <w:gridCol w:w="744"/>
        <w:gridCol w:w="866"/>
        <w:gridCol w:w="2000"/>
      </w:tblGrid>
      <w:tr w:rsidR="00416728" w:rsidRPr="00416728" w14:paraId="14363930" w14:textId="77777777" w:rsidTr="00416728">
        <w:trPr>
          <w:trHeight w:val="546"/>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03120813" w14:textId="77777777" w:rsidR="00416728" w:rsidRPr="00416728" w:rsidRDefault="00416728" w:rsidP="00416728">
            <w:pPr>
              <w:spacing w:after="4"/>
              <w:ind w:right="124" w:firstLine="710"/>
              <w:jc w:val="center"/>
              <w:rPr>
                <w:rFonts w:ascii="Times New Roman" w:hAnsi="Times New Roman"/>
                <w:lang w:val="en-PH" w:eastAsia="en-PH"/>
              </w:rPr>
            </w:pPr>
            <w:r w:rsidRPr="00416728">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65CC72F4"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6F62E15E"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b/>
                <w:bCs/>
                <w:color w:val="000000"/>
                <w:lang w:val="en-PH" w:eastAsia="en-PH"/>
              </w:rPr>
              <w:t>Mean</w:t>
            </w:r>
          </w:p>
          <w:p w14:paraId="3F6CC51D" w14:textId="77777777" w:rsidR="00416728" w:rsidRPr="00416728" w:rsidRDefault="00416728" w:rsidP="00416728">
            <w:pPr>
              <w:rPr>
                <w:rFonts w:ascii="Times New Roman" w:hAnsi="Times New Roman"/>
                <w:lang w:val="en-PH" w:eastAsia="en-PH"/>
              </w:rPr>
            </w:pPr>
          </w:p>
        </w:tc>
        <w:tc>
          <w:tcPr>
            <w:tcW w:w="0" w:type="auto"/>
            <w:tcBorders>
              <w:top w:val="single" w:sz="4" w:space="0" w:color="auto"/>
              <w:bottom w:val="single" w:sz="4" w:space="0" w:color="000000"/>
            </w:tcBorders>
            <w:tcMar>
              <w:top w:w="0" w:type="dxa"/>
              <w:left w:w="115" w:type="dxa"/>
              <w:bottom w:w="0" w:type="dxa"/>
              <w:right w:w="115" w:type="dxa"/>
            </w:tcMar>
            <w:hideMark/>
          </w:tcPr>
          <w:p w14:paraId="4AD2CE03"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b/>
                <w:bCs/>
                <w:color w:val="000000"/>
                <w:lang w:val="en-PH" w:eastAsia="en-PH"/>
              </w:rPr>
              <w:t>Descriptive Level</w:t>
            </w:r>
          </w:p>
        </w:tc>
      </w:tr>
      <w:tr w:rsidR="00416728" w:rsidRPr="00416728" w14:paraId="5C158655" w14:textId="77777777" w:rsidTr="00416728">
        <w:trPr>
          <w:trHeight w:val="269"/>
          <w:jc w:val="center"/>
        </w:trPr>
        <w:tc>
          <w:tcPr>
            <w:tcW w:w="0" w:type="auto"/>
            <w:tcBorders>
              <w:top w:val="single" w:sz="4" w:space="0" w:color="000000"/>
            </w:tcBorders>
            <w:tcMar>
              <w:top w:w="0" w:type="dxa"/>
              <w:left w:w="115" w:type="dxa"/>
              <w:bottom w:w="0" w:type="dxa"/>
              <w:right w:w="115" w:type="dxa"/>
            </w:tcMar>
            <w:hideMark/>
          </w:tcPr>
          <w:p w14:paraId="7F3C8FB8" w14:textId="77777777" w:rsidR="00416728" w:rsidRPr="00416728" w:rsidRDefault="00416728" w:rsidP="00416728">
            <w:pPr>
              <w:spacing w:after="4"/>
              <w:ind w:right="124" w:firstLine="710"/>
              <w:jc w:val="center"/>
              <w:rPr>
                <w:rFonts w:ascii="Times New Roman" w:hAnsi="Times New Roman"/>
                <w:lang w:val="en-PH" w:eastAsia="en-PH"/>
              </w:rPr>
            </w:pPr>
            <w:r w:rsidRPr="00416728">
              <w:rPr>
                <w:rFonts w:ascii="Arial" w:hAnsi="Arial" w:cs="Arial"/>
                <w:color w:val="000000"/>
                <w:lang w:val="en-PH" w:eastAsia="en-PH"/>
              </w:rPr>
              <w:t>Determination</w:t>
            </w:r>
          </w:p>
        </w:tc>
        <w:tc>
          <w:tcPr>
            <w:tcW w:w="0" w:type="auto"/>
            <w:tcBorders>
              <w:top w:val="single" w:sz="4" w:space="0" w:color="000000"/>
            </w:tcBorders>
            <w:tcMar>
              <w:top w:w="0" w:type="dxa"/>
              <w:left w:w="115" w:type="dxa"/>
              <w:bottom w:w="0" w:type="dxa"/>
              <w:right w:w="115" w:type="dxa"/>
            </w:tcMar>
            <w:hideMark/>
          </w:tcPr>
          <w:p w14:paraId="51628944"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val="en-PH" w:eastAsia="en-PH"/>
              </w:rPr>
              <w:t>0.72</w:t>
            </w:r>
          </w:p>
        </w:tc>
        <w:tc>
          <w:tcPr>
            <w:tcW w:w="0" w:type="auto"/>
            <w:tcBorders>
              <w:top w:val="single" w:sz="4" w:space="0" w:color="000000"/>
            </w:tcBorders>
            <w:tcMar>
              <w:top w:w="0" w:type="dxa"/>
              <w:left w:w="115" w:type="dxa"/>
              <w:bottom w:w="0" w:type="dxa"/>
              <w:right w:w="115" w:type="dxa"/>
            </w:tcMar>
            <w:hideMark/>
          </w:tcPr>
          <w:p w14:paraId="4C38E69F"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val="en-PH" w:eastAsia="en-PH"/>
              </w:rPr>
              <w:t>4.37</w:t>
            </w:r>
          </w:p>
        </w:tc>
        <w:tc>
          <w:tcPr>
            <w:tcW w:w="0" w:type="auto"/>
            <w:tcBorders>
              <w:top w:val="single" w:sz="4" w:space="0" w:color="000000"/>
            </w:tcBorders>
            <w:tcMar>
              <w:top w:w="0" w:type="dxa"/>
              <w:left w:w="115" w:type="dxa"/>
              <w:bottom w:w="0" w:type="dxa"/>
              <w:right w:w="115" w:type="dxa"/>
            </w:tcMar>
            <w:hideMark/>
          </w:tcPr>
          <w:p w14:paraId="3DF43156" w14:textId="77777777" w:rsidR="00416728" w:rsidRPr="00416728" w:rsidRDefault="00416728" w:rsidP="00416728">
            <w:pPr>
              <w:spacing w:after="4"/>
              <w:ind w:right="124"/>
              <w:jc w:val="center"/>
              <w:rPr>
                <w:rFonts w:ascii="Times New Roman" w:hAnsi="Times New Roman"/>
                <w:lang w:val="en-PH" w:eastAsia="en-PH"/>
              </w:rPr>
            </w:pPr>
            <w:r w:rsidRPr="00416728">
              <w:rPr>
                <w:rFonts w:ascii="Arial" w:hAnsi="Arial" w:cs="Arial"/>
                <w:color w:val="000000"/>
                <w:lang w:val="en-PH" w:eastAsia="en-PH"/>
              </w:rPr>
              <w:t>Very Extensive</w:t>
            </w:r>
          </w:p>
        </w:tc>
      </w:tr>
      <w:tr w:rsidR="00416728" w:rsidRPr="00416728" w14:paraId="7A06E4DD" w14:textId="77777777" w:rsidTr="00416728">
        <w:trPr>
          <w:trHeight w:val="280"/>
          <w:jc w:val="center"/>
        </w:trPr>
        <w:tc>
          <w:tcPr>
            <w:tcW w:w="0" w:type="auto"/>
            <w:tcMar>
              <w:top w:w="0" w:type="dxa"/>
              <w:left w:w="115" w:type="dxa"/>
              <w:bottom w:w="0" w:type="dxa"/>
              <w:right w:w="115" w:type="dxa"/>
            </w:tcMar>
            <w:hideMark/>
          </w:tcPr>
          <w:p w14:paraId="40CF5FC4" w14:textId="77777777" w:rsidR="00416728" w:rsidRPr="00416728" w:rsidRDefault="00416728" w:rsidP="00416728">
            <w:pPr>
              <w:spacing w:after="4"/>
              <w:ind w:right="124" w:firstLine="710"/>
              <w:jc w:val="center"/>
              <w:rPr>
                <w:rFonts w:ascii="Times New Roman" w:hAnsi="Times New Roman"/>
                <w:lang w:val="en-PH" w:eastAsia="en-PH"/>
              </w:rPr>
            </w:pPr>
            <w:r w:rsidRPr="00416728">
              <w:rPr>
                <w:rFonts w:ascii="Arial" w:hAnsi="Arial" w:cs="Arial"/>
                <w:color w:val="000000"/>
                <w:lang w:val="en-PH" w:eastAsia="en-PH"/>
              </w:rPr>
              <w:t>Planning</w:t>
            </w:r>
          </w:p>
        </w:tc>
        <w:tc>
          <w:tcPr>
            <w:tcW w:w="0" w:type="auto"/>
            <w:tcMar>
              <w:top w:w="0" w:type="dxa"/>
              <w:left w:w="115" w:type="dxa"/>
              <w:bottom w:w="0" w:type="dxa"/>
              <w:right w:w="115" w:type="dxa"/>
            </w:tcMar>
            <w:hideMark/>
          </w:tcPr>
          <w:p w14:paraId="6E99C9D4"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val="en-PH" w:eastAsia="en-PH"/>
              </w:rPr>
              <w:t>0.68</w:t>
            </w:r>
          </w:p>
        </w:tc>
        <w:tc>
          <w:tcPr>
            <w:tcW w:w="0" w:type="auto"/>
            <w:tcMar>
              <w:top w:w="0" w:type="dxa"/>
              <w:left w:w="115" w:type="dxa"/>
              <w:bottom w:w="0" w:type="dxa"/>
              <w:right w:w="115" w:type="dxa"/>
            </w:tcMar>
            <w:hideMark/>
          </w:tcPr>
          <w:p w14:paraId="1CE0ABE0"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val="en-PH" w:eastAsia="en-PH"/>
              </w:rPr>
              <w:t>4.40</w:t>
            </w:r>
          </w:p>
        </w:tc>
        <w:tc>
          <w:tcPr>
            <w:tcW w:w="0" w:type="auto"/>
            <w:tcMar>
              <w:top w:w="0" w:type="dxa"/>
              <w:left w:w="115" w:type="dxa"/>
              <w:bottom w:w="0" w:type="dxa"/>
              <w:right w:w="115" w:type="dxa"/>
            </w:tcMar>
            <w:hideMark/>
          </w:tcPr>
          <w:p w14:paraId="722E6C8A" w14:textId="77777777" w:rsidR="00416728" w:rsidRPr="00416728" w:rsidRDefault="00416728" w:rsidP="00416728">
            <w:pPr>
              <w:spacing w:after="4"/>
              <w:ind w:right="124"/>
              <w:jc w:val="center"/>
              <w:rPr>
                <w:rFonts w:ascii="Times New Roman" w:hAnsi="Times New Roman"/>
                <w:lang w:val="en-PH" w:eastAsia="en-PH"/>
              </w:rPr>
            </w:pPr>
            <w:r w:rsidRPr="00416728">
              <w:rPr>
                <w:rFonts w:ascii="Arial" w:hAnsi="Arial" w:cs="Arial"/>
                <w:color w:val="000000"/>
                <w:lang w:val="en-PH" w:eastAsia="en-PH"/>
              </w:rPr>
              <w:t>Very Extensive</w:t>
            </w:r>
          </w:p>
        </w:tc>
      </w:tr>
      <w:tr w:rsidR="00416728" w:rsidRPr="00416728" w14:paraId="5FF96348" w14:textId="77777777" w:rsidTr="00416728">
        <w:trPr>
          <w:trHeight w:val="280"/>
          <w:jc w:val="center"/>
        </w:trPr>
        <w:tc>
          <w:tcPr>
            <w:tcW w:w="0" w:type="auto"/>
            <w:tcMar>
              <w:top w:w="0" w:type="dxa"/>
              <w:left w:w="115" w:type="dxa"/>
              <w:bottom w:w="0" w:type="dxa"/>
              <w:right w:w="115" w:type="dxa"/>
            </w:tcMar>
            <w:hideMark/>
          </w:tcPr>
          <w:p w14:paraId="7586E080" w14:textId="77777777" w:rsidR="00416728" w:rsidRPr="00416728" w:rsidRDefault="00416728" w:rsidP="00416728">
            <w:pPr>
              <w:spacing w:after="4"/>
              <w:ind w:right="124" w:firstLine="710"/>
              <w:jc w:val="center"/>
              <w:rPr>
                <w:rFonts w:ascii="Times New Roman" w:hAnsi="Times New Roman"/>
                <w:lang w:val="en-PH" w:eastAsia="en-PH"/>
              </w:rPr>
            </w:pPr>
            <w:r w:rsidRPr="00416728">
              <w:rPr>
                <w:rFonts w:ascii="Arial" w:hAnsi="Arial" w:cs="Arial"/>
                <w:color w:val="000000"/>
                <w:lang w:val="en-PH" w:eastAsia="en-PH"/>
              </w:rPr>
              <w:t>Implementation</w:t>
            </w:r>
          </w:p>
        </w:tc>
        <w:tc>
          <w:tcPr>
            <w:tcW w:w="0" w:type="auto"/>
            <w:tcMar>
              <w:top w:w="0" w:type="dxa"/>
              <w:left w:w="115" w:type="dxa"/>
              <w:bottom w:w="0" w:type="dxa"/>
              <w:right w:w="115" w:type="dxa"/>
            </w:tcMar>
            <w:hideMark/>
          </w:tcPr>
          <w:p w14:paraId="525F9632"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val="en-PH" w:eastAsia="en-PH"/>
              </w:rPr>
              <w:t>0.65</w:t>
            </w:r>
          </w:p>
        </w:tc>
        <w:tc>
          <w:tcPr>
            <w:tcW w:w="0" w:type="auto"/>
            <w:tcMar>
              <w:top w:w="0" w:type="dxa"/>
              <w:left w:w="115" w:type="dxa"/>
              <w:bottom w:w="0" w:type="dxa"/>
              <w:right w:w="115" w:type="dxa"/>
            </w:tcMar>
            <w:hideMark/>
          </w:tcPr>
          <w:p w14:paraId="3811D435"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val="en-PH" w:eastAsia="en-PH"/>
              </w:rPr>
              <w:t>4.40</w:t>
            </w:r>
          </w:p>
        </w:tc>
        <w:tc>
          <w:tcPr>
            <w:tcW w:w="0" w:type="auto"/>
            <w:tcMar>
              <w:top w:w="0" w:type="dxa"/>
              <w:left w:w="115" w:type="dxa"/>
              <w:bottom w:w="0" w:type="dxa"/>
              <w:right w:w="115" w:type="dxa"/>
            </w:tcMar>
            <w:hideMark/>
          </w:tcPr>
          <w:p w14:paraId="1F06B924" w14:textId="77777777" w:rsidR="00416728" w:rsidRPr="00416728" w:rsidRDefault="00416728" w:rsidP="00416728">
            <w:pPr>
              <w:spacing w:after="4"/>
              <w:ind w:right="124"/>
              <w:jc w:val="center"/>
              <w:rPr>
                <w:rFonts w:ascii="Times New Roman" w:hAnsi="Times New Roman"/>
                <w:lang w:val="en-PH" w:eastAsia="en-PH"/>
              </w:rPr>
            </w:pPr>
            <w:r w:rsidRPr="00416728">
              <w:rPr>
                <w:rFonts w:ascii="Arial" w:hAnsi="Arial" w:cs="Arial"/>
                <w:color w:val="000000"/>
                <w:lang w:val="en-PH" w:eastAsia="en-PH"/>
              </w:rPr>
              <w:t>Very Extensive</w:t>
            </w:r>
          </w:p>
        </w:tc>
      </w:tr>
      <w:tr w:rsidR="00416728" w:rsidRPr="00416728" w14:paraId="02BF3E3A" w14:textId="77777777" w:rsidTr="00416728">
        <w:trPr>
          <w:trHeight w:val="280"/>
          <w:jc w:val="center"/>
        </w:trPr>
        <w:tc>
          <w:tcPr>
            <w:tcW w:w="0" w:type="auto"/>
            <w:tcBorders>
              <w:bottom w:val="single" w:sz="4" w:space="0" w:color="000000"/>
            </w:tcBorders>
            <w:tcMar>
              <w:top w:w="0" w:type="dxa"/>
              <w:left w:w="115" w:type="dxa"/>
              <w:bottom w:w="0" w:type="dxa"/>
              <w:right w:w="115" w:type="dxa"/>
            </w:tcMar>
            <w:hideMark/>
          </w:tcPr>
          <w:p w14:paraId="7D62ACC0" w14:textId="77777777" w:rsidR="00416728" w:rsidRPr="00416728" w:rsidRDefault="00416728" w:rsidP="00416728">
            <w:pPr>
              <w:spacing w:after="4"/>
              <w:ind w:right="124" w:firstLine="710"/>
              <w:jc w:val="center"/>
              <w:rPr>
                <w:rFonts w:ascii="Times New Roman" w:hAnsi="Times New Roman"/>
                <w:lang w:val="en-PH" w:eastAsia="en-PH"/>
              </w:rPr>
            </w:pPr>
            <w:r w:rsidRPr="00416728">
              <w:rPr>
                <w:rFonts w:ascii="Arial" w:hAnsi="Arial" w:cs="Arial"/>
                <w:color w:val="000000"/>
                <w:lang w:val="en-PH" w:eastAsia="en-PH"/>
              </w:rPr>
              <w:lastRenderedPageBreak/>
              <w:t>Self-Discipline</w:t>
            </w:r>
          </w:p>
        </w:tc>
        <w:tc>
          <w:tcPr>
            <w:tcW w:w="0" w:type="auto"/>
            <w:tcBorders>
              <w:bottom w:val="single" w:sz="4" w:space="0" w:color="000000"/>
            </w:tcBorders>
            <w:tcMar>
              <w:top w:w="0" w:type="dxa"/>
              <w:left w:w="115" w:type="dxa"/>
              <w:bottom w:w="0" w:type="dxa"/>
              <w:right w:w="115" w:type="dxa"/>
            </w:tcMar>
            <w:hideMark/>
          </w:tcPr>
          <w:p w14:paraId="4D8A3BA8"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val="en-PH" w:eastAsia="en-PH"/>
              </w:rPr>
              <w:t>0.70</w:t>
            </w:r>
          </w:p>
        </w:tc>
        <w:tc>
          <w:tcPr>
            <w:tcW w:w="0" w:type="auto"/>
            <w:tcBorders>
              <w:bottom w:val="single" w:sz="4" w:space="0" w:color="000000"/>
            </w:tcBorders>
            <w:tcMar>
              <w:top w:w="0" w:type="dxa"/>
              <w:left w:w="115" w:type="dxa"/>
              <w:bottom w:w="0" w:type="dxa"/>
              <w:right w:w="115" w:type="dxa"/>
            </w:tcMar>
            <w:hideMark/>
          </w:tcPr>
          <w:p w14:paraId="4B1F8A40"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val="en-PH" w:eastAsia="en-PH"/>
              </w:rPr>
              <w:t>4.38</w:t>
            </w:r>
          </w:p>
        </w:tc>
        <w:tc>
          <w:tcPr>
            <w:tcW w:w="0" w:type="auto"/>
            <w:tcBorders>
              <w:bottom w:val="single" w:sz="4" w:space="0" w:color="000000"/>
            </w:tcBorders>
            <w:tcMar>
              <w:top w:w="0" w:type="dxa"/>
              <w:left w:w="115" w:type="dxa"/>
              <w:bottom w:w="0" w:type="dxa"/>
              <w:right w:w="115" w:type="dxa"/>
            </w:tcMar>
            <w:hideMark/>
          </w:tcPr>
          <w:p w14:paraId="14079A83" w14:textId="77777777" w:rsidR="00416728" w:rsidRPr="00416728" w:rsidRDefault="00416728" w:rsidP="00416728">
            <w:pPr>
              <w:spacing w:after="4"/>
              <w:ind w:right="124"/>
              <w:jc w:val="center"/>
              <w:rPr>
                <w:rFonts w:ascii="Times New Roman" w:hAnsi="Times New Roman"/>
                <w:lang w:val="en-PH" w:eastAsia="en-PH"/>
              </w:rPr>
            </w:pPr>
            <w:r w:rsidRPr="00416728">
              <w:rPr>
                <w:rFonts w:ascii="Arial" w:hAnsi="Arial" w:cs="Arial"/>
                <w:color w:val="000000"/>
                <w:lang w:val="en-PH" w:eastAsia="en-PH"/>
              </w:rPr>
              <w:t>Very Extensive</w:t>
            </w:r>
          </w:p>
        </w:tc>
      </w:tr>
      <w:tr w:rsidR="00416728" w:rsidRPr="00416728" w14:paraId="5E7D6137" w14:textId="77777777" w:rsidTr="00416728">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7DC2F81B" w14:textId="77777777" w:rsidR="00416728" w:rsidRPr="00416728" w:rsidRDefault="00416728" w:rsidP="00416728">
            <w:pPr>
              <w:spacing w:after="4"/>
              <w:ind w:right="124" w:firstLine="710"/>
              <w:jc w:val="center"/>
              <w:rPr>
                <w:rFonts w:ascii="Times New Roman" w:hAnsi="Times New Roman"/>
                <w:lang w:val="en-PH" w:eastAsia="en-PH"/>
              </w:rPr>
            </w:pPr>
            <w:r w:rsidRPr="00416728">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3BB51720"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b/>
                <w:bCs/>
                <w:color w:val="000000"/>
                <w:lang w:val="en-PH" w:eastAsia="en-PH"/>
              </w:rPr>
              <w:t>0.55</w:t>
            </w:r>
          </w:p>
        </w:tc>
        <w:tc>
          <w:tcPr>
            <w:tcW w:w="0" w:type="auto"/>
            <w:tcBorders>
              <w:top w:val="single" w:sz="4" w:space="0" w:color="000000"/>
              <w:bottom w:val="single" w:sz="4" w:space="0" w:color="auto"/>
            </w:tcBorders>
            <w:tcMar>
              <w:top w:w="0" w:type="dxa"/>
              <w:left w:w="115" w:type="dxa"/>
              <w:bottom w:w="0" w:type="dxa"/>
              <w:right w:w="115" w:type="dxa"/>
            </w:tcMar>
            <w:hideMark/>
          </w:tcPr>
          <w:p w14:paraId="2D450603"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b/>
                <w:bCs/>
                <w:color w:val="000000"/>
                <w:lang w:val="en-PH" w:eastAsia="en-PH"/>
              </w:rPr>
              <w:t>4.39</w:t>
            </w:r>
          </w:p>
        </w:tc>
        <w:tc>
          <w:tcPr>
            <w:tcW w:w="0" w:type="auto"/>
            <w:tcBorders>
              <w:top w:val="single" w:sz="4" w:space="0" w:color="000000"/>
              <w:bottom w:val="single" w:sz="4" w:space="0" w:color="auto"/>
            </w:tcBorders>
            <w:tcMar>
              <w:top w:w="0" w:type="dxa"/>
              <w:left w:w="115" w:type="dxa"/>
              <w:bottom w:w="0" w:type="dxa"/>
              <w:right w:w="115" w:type="dxa"/>
            </w:tcMar>
            <w:hideMark/>
          </w:tcPr>
          <w:p w14:paraId="4C045D55" w14:textId="77777777" w:rsidR="00416728" w:rsidRPr="00416728" w:rsidRDefault="00416728" w:rsidP="00416728">
            <w:pPr>
              <w:spacing w:after="4"/>
              <w:ind w:right="124"/>
              <w:jc w:val="center"/>
              <w:rPr>
                <w:rFonts w:ascii="Times New Roman" w:hAnsi="Times New Roman"/>
                <w:lang w:val="en-PH" w:eastAsia="en-PH"/>
              </w:rPr>
            </w:pPr>
            <w:r w:rsidRPr="00416728">
              <w:rPr>
                <w:rFonts w:ascii="Arial" w:hAnsi="Arial" w:cs="Arial"/>
                <w:b/>
                <w:bCs/>
                <w:color w:val="000000"/>
                <w:lang w:val="en-PH" w:eastAsia="en-PH"/>
              </w:rPr>
              <w:t>Very Extensive</w:t>
            </w:r>
          </w:p>
        </w:tc>
      </w:tr>
    </w:tbl>
    <w:p w14:paraId="21ED3F61" w14:textId="34DBD861" w:rsidR="0073677C" w:rsidRDefault="0073677C" w:rsidP="0073677C">
      <w:pPr>
        <w:jc w:val="both"/>
        <w:rPr>
          <w:rFonts w:ascii="Arial" w:hAnsi="Arial" w:cs="Arial"/>
        </w:rPr>
      </w:pPr>
    </w:p>
    <w:p w14:paraId="1F13EE89" w14:textId="0E166EB6" w:rsidR="00D815DA" w:rsidRDefault="00691641" w:rsidP="00416728">
      <w:pPr>
        <w:jc w:val="both"/>
        <w:rPr>
          <w:rFonts w:ascii="Arial" w:hAnsi="Arial" w:cs="Arial"/>
        </w:rPr>
      </w:pPr>
      <w:r>
        <w:rPr>
          <w:rFonts w:ascii="Arial" w:hAnsi="Arial" w:cs="Arial"/>
        </w:rPr>
        <w:t>Presented in Table 2</w:t>
      </w:r>
      <w:r w:rsidRPr="00691641">
        <w:rPr>
          <w:rFonts w:ascii="Arial" w:hAnsi="Arial" w:cs="Arial"/>
        </w:rPr>
        <w:t xml:space="preserve"> is the </w:t>
      </w:r>
      <w:r w:rsidR="00416728" w:rsidRPr="00416728">
        <w:rPr>
          <w:rFonts w:ascii="Arial" w:hAnsi="Arial" w:cs="Arial"/>
        </w:rPr>
        <w:t>summary of the indicators in the extent of academic persistence in terms of self-discipline, including determination, planning, implementation, and self-discipline, based on the mean scores and standard deviations. The indicator of planning has the highest mean of 4.40, categorized as "very extensive," followed closely by implementation with a mean of 4.40, also categorized as "very extensive." The indicators of self-discipline and determination received means of 4.38 and 4.37, respectively, both categorized as "very extensive." The overall mean of 4.39 is described as "very extensive," indicating that teachers generally perceive students as demonstrating a very high level of academic persistence across these indicators.</w:t>
      </w:r>
    </w:p>
    <w:p w14:paraId="455198BA" w14:textId="68D5B21A" w:rsidR="00416728" w:rsidRDefault="00416728" w:rsidP="00416728">
      <w:pPr>
        <w:jc w:val="both"/>
        <w:rPr>
          <w:rFonts w:ascii="Arial" w:hAnsi="Arial" w:cs="Arial"/>
        </w:rPr>
      </w:pPr>
    </w:p>
    <w:p w14:paraId="62A0323D" w14:textId="77777777" w:rsidR="00416728" w:rsidRPr="00416728" w:rsidRDefault="00416728" w:rsidP="00416728">
      <w:pPr>
        <w:jc w:val="both"/>
        <w:rPr>
          <w:rFonts w:ascii="Arial" w:hAnsi="Arial" w:cs="Arial"/>
        </w:rPr>
      </w:pPr>
      <w:r w:rsidRPr="00416728">
        <w:rPr>
          <w:rFonts w:ascii="Arial" w:hAnsi="Arial" w:cs="Arial"/>
        </w:rPr>
        <w:t>This suggests that students exhibit strong academic persistence. Teachers perceive students as highly disciplined, with a consistent ability to plan their academic tasks, implement their strategies, and remain persistent in their academic endeavors. The students demonstrate a commitment to completing their academic objectives and maintaining focus on their goals.</w:t>
      </w:r>
    </w:p>
    <w:p w14:paraId="36B4278D" w14:textId="77777777" w:rsidR="00416728" w:rsidRPr="00416728" w:rsidRDefault="00416728" w:rsidP="00416728">
      <w:pPr>
        <w:jc w:val="both"/>
        <w:rPr>
          <w:rFonts w:ascii="Arial" w:hAnsi="Arial" w:cs="Arial"/>
        </w:rPr>
      </w:pPr>
      <w:r w:rsidRPr="00416728">
        <w:rPr>
          <w:rFonts w:ascii="Arial" w:hAnsi="Arial" w:cs="Arial"/>
        </w:rPr>
        <w:t>The overall standard deviation of 0.55, being less than 1, indicates that the ratings were tightly clustered around the mean.</w:t>
      </w:r>
    </w:p>
    <w:p w14:paraId="30EF0166" w14:textId="77777777" w:rsidR="00416728" w:rsidRDefault="00416728" w:rsidP="00416728">
      <w:pPr>
        <w:jc w:val="both"/>
        <w:rPr>
          <w:rFonts w:ascii="Arial" w:hAnsi="Arial" w:cs="Arial"/>
        </w:rPr>
      </w:pPr>
    </w:p>
    <w:p w14:paraId="691E775E" w14:textId="04C9131D" w:rsidR="00416728" w:rsidRPr="00416728" w:rsidRDefault="00416728" w:rsidP="00416728">
      <w:pPr>
        <w:jc w:val="both"/>
        <w:rPr>
          <w:rFonts w:ascii="Arial" w:hAnsi="Arial" w:cs="Arial"/>
        </w:rPr>
      </w:pPr>
      <w:r w:rsidRPr="00416728">
        <w:rPr>
          <w:rFonts w:ascii="Arial" w:hAnsi="Arial" w:cs="Arial"/>
        </w:rPr>
        <w:t>This finding is supported by the research of Castro-Lopez et al. (2022), who emphasize that high academic persistence in students is a critical predictor of long-term academic success, as it encourages sustained effort despite challenges. According to the study by Hernandez et al. (2020), students with high levels of academic persistence are more likely to engage in deliberate practice, overcome setbacks, and stay focused on their academic goals, leading to better performance. Moreover, Winterer et al. (2020) argued that academic persistence not only fosters academic success but also promotes the development of resilience and a growth mindset, which are crucial for navigating both academic and life challenges.</w:t>
      </w:r>
    </w:p>
    <w:p w14:paraId="7E287AAC" w14:textId="77777777" w:rsidR="00416728" w:rsidRDefault="00416728" w:rsidP="00F600DB">
      <w:pPr>
        <w:jc w:val="both"/>
        <w:rPr>
          <w:rFonts w:ascii="Arial" w:hAnsi="Arial" w:cs="Arial"/>
          <w:b/>
          <w:bCs/>
          <w:iCs/>
        </w:rPr>
      </w:pPr>
    </w:p>
    <w:p w14:paraId="308FAF8A" w14:textId="0EA4A953" w:rsidR="00D82866" w:rsidRDefault="00781D5E" w:rsidP="00F600DB">
      <w:pPr>
        <w:jc w:val="both"/>
        <w:rPr>
          <w:rFonts w:ascii="Arial" w:hAnsi="Arial" w:cs="Arial"/>
          <w:b/>
          <w:bCs/>
          <w:iCs/>
        </w:rPr>
      </w:pPr>
      <w:r>
        <w:rPr>
          <w:rFonts w:ascii="Arial" w:hAnsi="Arial" w:cs="Arial"/>
          <w:b/>
          <w:bCs/>
          <w:iCs/>
        </w:rPr>
        <w:t xml:space="preserve">3.3 </w:t>
      </w:r>
      <w:r w:rsidR="00416728" w:rsidRPr="00416728">
        <w:rPr>
          <w:rFonts w:ascii="Arial" w:hAnsi="Arial" w:cs="Arial"/>
          <w:b/>
          <w:bCs/>
          <w:iCs/>
        </w:rPr>
        <w:t>Significant Relationship Between Homeroom Guidance Practices and Academic Persistence in Public Elementary Schools</w:t>
      </w:r>
    </w:p>
    <w:p w14:paraId="30567870" w14:textId="77777777" w:rsidR="00D815DA" w:rsidRDefault="00D815DA" w:rsidP="00F600DB">
      <w:pPr>
        <w:jc w:val="both"/>
        <w:rPr>
          <w:rFonts w:ascii="Arial" w:hAnsi="Arial" w:cs="Arial"/>
          <w:iCs/>
        </w:rPr>
      </w:pPr>
    </w:p>
    <w:p w14:paraId="1C8DB0B6" w14:textId="227CF824"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416728" w:rsidRPr="00416728">
        <w:rPr>
          <w:rFonts w:ascii="Arial" w:hAnsi="Arial" w:cs="Arial"/>
          <w:i/>
        </w:rPr>
        <w:t>Significant Relationship Between Homeroom Guidance Practices and Academic Persistence in Public Elementary Schools</w:t>
      </w:r>
    </w:p>
    <w:p w14:paraId="3580D37C" w14:textId="6A052630" w:rsidR="00017E5D" w:rsidRDefault="00017E5D" w:rsidP="00F927B2">
      <w:pPr>
        <w:jc w:val="both"/>
        <w:rPr>
          <w:rFonts w:ascii="Arial" w:hAnsi="Arial" w:cs="Arial"/>
          <w:i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50"/>
        <w:gridCol w:w="742"/>
        <w:gridCol w:w="1052"/>
        <w:gridCol w:w="620"/>
        <w:gridCol w:w="620"/>
        <w:gridCol w:w="1643"/>
        <w:gridCol w:w="783"/>
        <w:gridCol w:w="1098"/>
      </w:tblGrid>
      <w:tr w:rsidR="00416728" w:rsidRPr="00416728" w14:paraId="7C9E9A6C" w14:textId="77777777" w:rsidTr="00416728">
        <w:trPr>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17B03B25"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val="en-PH" w:eastAsia="en-PH"/>
              </w:rPr>
              <w:t>Variables</w:t>
            </w:r>
          </w:p>
        </w:tc>
        <w:tc>
          <w:tcPr>
            <w:tcW w:w="0" w:type="auto"/>
            <w:tcBorders>
              <w:top w:val="single" w:sz="4" w:space="0" w:color="000000"/>
              <w:bottom w:val="single" w:sz="4" w:space="0" w:color="000000"/>
            </w:tcBorders>
            <w:tcMar>
              <w:top w:w="0" w:type="dxa"/>
              <w:left w:w="115" w:type="dxa"/>
              <w:bottom w:w="0" w:type="dxa"/>
              <w:right w:w="115" w:type="dxa"/>
            </w:tcMar>
            <w:hideMark/>
          </w:tcPr>
          <w:p w14:paraId="5ED9A7D9"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15" w:type="dxa"/>
              <w:bottom w:w="0" w:type="dxa"/>
              <w:right w:w="115" w:type="dxa"/>
            </w:tcMar>
            <w:hideMark/>
          </w:tcPr>
          <w:p w14:paraId="5F090C84"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15" w:type="dxa"/>
              <w:bottom w:w="0" w:type="dxa"/>
              <w:right w:w="115" w:type="dxa"/>
            </w:tcMar>
            <w:hideMark/>
          </w:tcPr>
          <w:p w14:paraId="7932183D"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15" w:type="dxa"/>
              <w:bottom w:w="0" w:type="dxa"/>
              <w:right w:w="115" w:type="dxa"/>
            </w:tcMar>
            <w:hideMark/>
          </w:tcPr>
          <w:p w14:paraId="11D8D8C5" w14:textId="77777777" w:rsidR="00416728" w:rsidRPr="00416728" w:rsidRDefault="00416728" w:rsidP="00416728">
            <w:pPr>
              <w:shd w:val="clear" w:color="auto" w:fill="FFFFFF"/>
              <w:rPr>
                <w:rFonts w:ascii="Times New Roman" w:hAnsi="Times New Roman"/>
                <w:lang w:val="en-PH" w:eastAsia="en-PH"/>
              </w:rPr>
            </w:pPr>
            <w:r w:rsidRPr="00416728">
              <w:rPr>
                <w:rFonts w:ascii="Arial" w:hAnsi="Arial" w:cs="Arial"/>
                <w:b/>
                <w:bCs/>
                <w:color w:val="000000"/>
                <w:lang w:val="en-PH" w:eastAsia="en-PH"/>
              </w:rPr>
              <w:t>R²</w:t>
            </w:r>
          </w:p>
          <w:p w14:paraId="4700B3BD" w14:textId="77777777" w:rsidR="00416728" w:rsidRPr="00416728" w:rsidRDefault="00416728" w:rsidP="00416728">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00FC4004" w14:textId="77777777" w:rsidR="00416728" w:rsidRPr="00416728" w:rsidRDefault="00416728" w:rsidP="00416728">
            <w:pPr>
              <w:rPr>
                <w:rFonts w:ascii="Times New Roman" w:hAnsi="Times New Roman"/>
                <w:lang w:val="en-PH" w:eastAsia="en-PH"/>
              </w:rPr>
            </w:pPr>
            <w:r w:rsidRPr="00416728">
              <w:rPr>
                <w:rFonts w:ascii="Arial" w:hAnsi="Arial" w:cs="Arial"/>
                <w:b/>
                <w:bCs/>
                <w:color w:val="000000"/>
                <w:lang w:val="en-PH" w:eastAsia="en-PH"/>
              </w:rPr>
              <w:t>Degree of Relationship</w:t>
            </w:r>
          </w:p>
        </w:tc>
        <w:tc>
          <w:tcPr>
            <w:tcW w:w="0" w:type="auto"/>
            <w:tcBorders>
              <w:top w:val="single" w:sz="4" w:space="0" w:color="000000"/>
              <w:bottom w:val="single" w:sz="4" w:space="0" w:color="000000"/>
            </w:tcBorders>
            <w:tcMar>
              <w:top w:w="0" w:type="dxa"/>
              <w:left w:w="115" w:type="dxa"/>
              <w:bottom w:w="0" w:type="dxa"/>
              <w:right w:w="115" w:type="dxa"/>
            </w:tcMar>
            <w:hideMark/>
          </w:tcPr>
          <w:p w14:paraId="68309193"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2A4D901E"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val="en-PH" w:eastAsia="en-PH"/>
              </w:rPr>
              <w:t>Decision</w:t>
            </w:r>
          </w:p>
        </w:tc>
      </w:tr>
      <w:tr w:rsidR="00416728" w:rsidRPr="00416728" w14:paraId="23CCCF63" w14:textId="77777777" w:rsidTr="00416728">
        <w:trPr>
          <w:jc w:val="center"/>
        </w:trPr>
        <w:tc>
          <w:tcPr>
            <w:tcW w:w="0" w:type="auto"/>
            <w:tcBorders>
              <w:top w:val="single" w:sz="4" w:space="0" w:color="000000"/>
            </w:tcBorders>
            <w:tcMar>
              <w:top w:w="0" w:type="dxa"/>
              <w:left w:w="115" w:type="dxa"/>
              <w:bottom w:w="0" w:type="dxa"/>
              <w:right w:w="115" w:type="dxa"/>
            </w:tcMar>
            <w:hideMark/>
          </w:tcPr>
          <w:p w14:paraId="6B972508"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Homeroom Guidance Practices</w:t>
            </w:r>
          </w:p>
        </w:tc>
        <w:tc>
          <w:tcPr>
            <w:tcW w:w="0" w:type="auto"/>
            <w:tcBorders>
              <w:top w:val="single" w:sz="4" w:space="0" w:color="000000"/>
            </w:tcBorders>
            <w:tcMar>
              <w:top w:w="0" w:type="dxa"/>
              <w:left w:w="115" w:type="dxa"/>
              <w:bottom w:w="0" w:type="dxa"/>
              <w:right w:w="115" w:type="dxa"/>
            </w:tcMar>
            <w:hideMark/>
          </w:tcPr>
          <w:p w14:paraId="2074913B"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4.38</w:t>
            </w:r>
          </w:p>
        </w:tc>
        <w:tc>
          <w:tcPr>
            <w:tcW w:w="0" w:type="auto"/>
            <w:tcBorders>
              <w:top w:val="single" w:sz="4" w:space="0" w:color="000000"/>
            </w:tcBorders>
            <w:tcMar>
              <w:top w:w="0" w:type="dxa"/>
              <w:left w:w="115" w:type="dxa"/>
              <w:bottom w:w="0" w:type="dxa"/>
              <w:right w:w="115" w:type="dxa"/>
            </w:tcMar>
            <w:hideMark/>
          </w:tcPr>
          <w:p w14:paraId="32F43883"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0.48</w:t>
            </w:r>
          </w:p>
        </w:tc>
        <w:tc>
          <w:tcPr>
            <w:tcW w:w="0" w:type="auto"/>
            <w:tcBorders>
              <w:top w:val="single" w:sz="4" w:space="0" w:color="000000"/>
            </w:tcBorders>
            <w:tcMar>
              <w:top w:w="0" w:type="dxa"/>
              <w:left w:w="115" w:type="dxa"/>
              <w:bottom w:w="0" w:type="dxa"/>
              <w:right w:w="115" w:type="dxa"/>
            </w:tcMar>
            <w:hideMark/>
          </w:tcPr>
          <w:p w14:paraId="5E28B648" w14:textId="77777777" w:rsidR="00416728" w:rsidRPr="00416728" w:rsidRDefault="00416728" w:rsidP="00416728">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5AE5C6F0" w14:textId="77777777" w:rsidR="00416728" w:rsidRPr="00416728" w:rsidRDefault="00416728" w:rsidP="00416728">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C0DDCC6" w14:textId="77777777" w:rsidR="00416728" w:rsidRPr="00416728" w:rsidRDefault="00416728" w:rsidP="00416728">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7ADB6DDF" w14:textId="77777777" w:rsidR="00416728" w:rsidRPr="00416728" w:rsidRDefault="00416728" w:rsidP="00416728">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4F12EAF6" w14:textId="77777777" w:rsidR="00416728" w:rsidRPr="00416728" w:rsidRDefault="00416728" w:rsidP="00416728">
            <w:pPr>
              <w:rPr>
                <w:rFonts w:ascii="Times New Roman" w:hAnsi="Times New Roman"/>
                <w:lang w:val="en-PH" w:eastAsia="en-PH"/>
              </w:rPr>
            </w:pPr>
          </w:p>
        </w:tc>
      </w:tr>
      <w:tr w:rsidR="00416728" w:rsidRPr="00416728" w14:paraId="371B934B" w14:textId="77777777" w:rsidTr="00416728">
        <w:trPr>
          <w:jc w:val="center"/>
        </w:trPr>
        <w:tc>
          <w:tcPr>
            <w:tcW w:w="0" w:type="auto"/>
            <w:tcMar>
              <w:top w:w="0" w:type="dxa"/>
              <w:left w:w="115" w:type="dxa"/>
              <w:bottom w:w="0" w:type="dxa"/>
              <w:right w:w="115" w:type="dxa"/>
            </w:tcMar>
            <w:hideMark/>
          </w:tcPr>
          <w:p w14:paraId="033CD1A6" w14:textId="77777777" w:rsidR="00416728" w:rsidRPr="00416728" w:rsidRDefault="00416728" w:rsidP="00416728">
            <w:pPr>
              <w:rPr>
                <w:rFonts w:ascii="Times New Roman" w:hAnsi="Times New Roman"/>
                <w:lang w:val="en-PH" w:eastAsia="en-PH"/>
              </w:rPr>
            </w:pPr>
          </w:p>
        </w:tc>
        <w:tc>
          <w:tcPr>
            <w:tcW w:w="0" w:type="auto"/>
            <w:tcMar>
              <w:top w:w="0" w:type="dxa"/>
              <w:left w:w="115" w:type="dxa"/>
              <w:bottom w:w="0" w:type="dxa"/>
              <w:right w:w="115" w:type="dxa"/>
            </w:tcMar>
            <w:hideMark/>
          </w:tcPr>
          <w:p w14:paraId="4F43881F" w14:textId="77777777" w:rsidR="00416728" w:rsidRPr="00416728" w:rsidRDefault="00416728" w:rsidP="00416728">
            <w:pPr>
              <w:rPr>
                <w:rFonts w:ascii="Times New Roman" w:hAnsi="Times New Roman"/>
                <w:lang w:val="en-PH" w:eastAsia="en-PH"/>
              </w:rPr>
            </w:pPr>
          </w:p>
        </w:tc>
        <w:tc>
          <w:tcPr>
            <w:tcW w:w="0" w:type="auto"/>
            <w:tcMar>
              <w:top w:w="0" w:type="dxa"/>
              <w:left w:w="115" w:type="dxa"/>
              <w:bottom w:w="0" w:type="dxa"/>
              <w:right w:w="115" w:type="dxa"/>
            </w:tcMar>
            <w:hideMark/>
          </w:tcPr>
          <w:p w14:paraId="6CC9FDA7" w14:textId="77777777" w:rsidR="00416728" w:rsidRPr="00416728" w:rsidRDefault="00416728" w:rsidP="00416728">
            <w:pPr>
              <w:ind w:firstLine="710"/>
              <w:rPr>
                <w:rFonts w:ascii="Times New Roman" w:hAnsi="Times New Roman"/>
                <w:lang w:val="en-PH" w:eastAsia="en-PH"/>
              </w:rPr>
            </w:pPr>
            <w:r w:rsidRPr="00416728">
              <w:rPr>
                <w:rFonts w:ascii="Arial" w:hAnsi="Arial" w:cs="Arial"/>
                <w:color w:val="000000"/>
                <w:lang w:val="en-PH" w:eastAsia="en-PH"/>
              </w:rPr>
              <w:t>0</w:t>
            </w:r>
          </w:p>
        </w:tc>
        <w:tc>
          <w:tcPr>
            <w:tcW w:w="0" w:type="auto"/>
            <w:tcMar>
              <w:top w:w="0" w:type="dxa"/>
              <w:left w:w="115" w:type="dxa"/>
              <w:bottom w:w="0" w:type="dxa"/>
              <w:right w:w="115" w:type="dxa"/>
            </w:tcMar>
            <w:hideMark/>
          </w:tcPr>
          <w:p w14:paraId="1C14F232"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0.72</w:t>
            </w:r>
          </w:p>
        </w:tc>
        <w:tc>
          <w:tcPr>
            <w:tcW w:w="0" w:type="auto"/>
            <w:tcMar>
              <w:top w:w="0" w:type="dxa"/>
              <w:left w:w="115" w:type="dxa"/>
              <w:bottom w:w="0" w:type="dxa"/>
              <w:right w:w="115" w:type="dxa"/>
            </w:tcMar>
            <w:hideMark/>
          </w:tcPr>
          <w:p w14:paraId="6A9C2BD2"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0.51</w:t>
            </w:r>
          </w:p>
        </w:tc>
        <w:tc>
          <w:tcPr>
            <w:tcW w:w="0" w:type="auto"/>
            <w:tcMar>
              <w:top w:w="0" w:type="dxa"/>
              <w:left w:w="115" w:type="dxa"/>
              <w:bottom w:w="0" w:type="dxa"/>
              <w:right w:w="115" w:type="dxa"/>
            </w:tcMar>
            <w:hideMark/>
          </w:tcPr>
          <w:p w14:paraId="044A1852"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High</w:t>
            </w:r>
          </w:p>
        </w:tc>
        <w:tc>
          <w:tcPr>
            <w:tcW w:w="0" w:type="auto"/>
            <w:tcMar>
              <w:top w:w="0" w:type="dxa"/>
              <w:left w:w="115" w:type="dxa"/>
              <w:bottom w:w="0" w:type="dxa"/>
              <w:right w:w="115" w:type="dxa"/>
            </w:tcMar>
            <w:hideMark/>
          </w:tcPr>
          <w:p w14:paraId="2993AD06"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0.000</w:t>
            </w:r>
          </w:p>
        </w:tc>
        <w:tc>
          <w:tcPr>
            <w:tcW w:w="0" w:type="auto"/>
            <w:tcMar>
              <w:top w:w="0" w:type="dxa"/>
              <w:left w:w="115" w:type="dxa"/>
              <w:bottom w:w="0" w:type="dxa"/>
              <w:right w:w="115" w:type="dxa"/>
            </w:tcMar>
            <w:hideMark/>
          </w:tcPr>
          <w:p w14:paraId="2161919A"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Reject Ho1</w:t>
            </w:r>
          </w:p>
        </w:tc>
      </w:tr>
      <w:tr w:rsidR="00416728" w:rsidRPr="00416728" w14:paraId="77076147" w14:textId="77777777" w:rsidTr="00416728">
        <w:trPr>
          <w:jc w:val="center"/>
        </w:trPr>
        <w:tc>
          <w:tcPr>
            <w:tcW w:w="0" w:type="auto"/>
            <w:tcBorders>
              <w:bottom w:val="single" w:sz="4" w:space="0" w:color="000000"/>
            </w:tcBorders>
            <w:tcMar>
              <w:top w:w="0" w:type="dxa"/>
              <w:left w:w="115" w:type="dxa"/>
              <w:bottom w:w="0" w:type="dxa"/>
              <w:right w:w="115" w:type="dxa"/>
            </w:tcMar>
            <w:hideMark/>
          </w:tcPr>
          <w:p w14:paraId="37EE6FA0"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Academic Persistence</w:t>
            </w:r>
          </w:p>
        </w:tc>
        <w:tc>
          <w:tcPr>
            <w:tcW w:w="0" w:type="auto"/>
            <w:tcBorders>
              <w:bottom w:val="single" w:sz="4" w:space="0" w:color="000000"/>
            </w:tcBorders>
            <w:tcMar>
              <w:top w:w="0" w:type="dxa"/>
              <w:left w:w="115" w:type="dxa"/>
              <w:bottom w:w="0" w:type="dxa"/>
              <w:right w:w="115" w:type="dxa"/>
            </w:tcMar>
            <w:hideMark/>
          </w:tcPr>
          <w:p w14:paraId="513D1CA0"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4.55</w:t>
            </w:r>
          </w:p>
        </w:tc>
        <w:tc>
          <w:tcPr>
            <w:tcW w:w="0" w:type="auto"/>
            <w:tcBorders>
              <w:bottom w:val="single" w:sz="4" w:space="0" w:color="000000"/>
            </w:tcBorders>
            <w:tcMar>
              <w:top w:w="0" w:type="dxa"/>
              <w:left w:w="115" w:type="dxa"/>
              <w:bottom w:w="0" w:type="dxa"/>
              <w:right w:w="115" w:type="dxa"/>
            </w:tcMar>
            <w:hideMark/>
          </w:tcPr>
          <w:p w14:paraId="307FF540"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val="en-PH" w:eastAsia="en-PH"/>
              </w:rPr>
              <w:t>0.55</w:t>
            </w:r>
          </w:p>
        </w:tc>
        <w:tc>
          <w:tcPr>
            <w:tcW w:w="0" w:type="auto"/>
            <w:tcBorders>
              <w:bottom w:val="single" w:sz="4" w:space="0" w:color="000000"/>
            </w:tcBorders>
            <w:tcMar>
              <w:top w:w="0" w:type="dxa"/>
              <w:left w:w="115" w:type="dxa"/>
              <w:bottom w:w="0" w:type="dxa"/>
              <w:right w:w="115" w:type="dxa"/>
            </w:tcMar>
            <w:hideMark/>
          </w:tcPr>
          <w:p w14:paraId="37F06AE6" w14:textId="77777777" w:rsidR="00416728" w:rsidRPr="00416728" w:rsidRDefault="00416728" w:rsidP="00416728">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1D41BA72" w14:textId="77777777" w:rsidR="00416728" w:rsidRPr="00416728" w:rsidRDefault="00416728" w:rsidP="00416728">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7D9A666D" w14:textId="77777777" w:rsidR="00416728" w:rsidRPr="00416728" w:rsidRDefault="00416728" w:rsidP="00416728">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27585A96" w14:textId="77777777" w:rsidR="00416728" w:rsidRPr="00416728" w:rsidRDefault="00416728" w:rsidP="00416728">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0397F10E" w14:textId="77777777" w:rsidR="00416728" w:rsidRPr="00416728" w:rsidRDefault="00416728" w:rsidP="00416728">
            <w:pPr>
              <w:rPr>
                <w:rFonts w:ascii="Times New Roman" w:hAnsi="Times New Roman"/>
                <w:lang w:val="en-PH" w:eastAsia="en-PH"/>
              </w:rPr>
            </w:pPr>
          </w:p>
        </w:tc>
      </w:tr>
    </w:tbl>
    <w:p w14:paraId="1BDBE2B2" w14:textId="77777777" w:rsidR="00717F2E" w:rsidRDefault="00717F2E">
      <w:pPr>
        <w:jc w:val="both"/>
        <w:rPr>
          <w:rFonts w:ascii="Arial" w:hAnsi="Arial" w:cs="Arial"/>
        </w:rPr>
      </w:pPr>
    </w:p>
    <w:p w14:paraId="5A0D3B73" w14:textId="77777777" w:rsidR="00886C27" w:rsidRPr="00886C27" w:rsidRDefault="00691641" w:rsidP="00886C27">
      <w:pPr>
        <w:jc w:val="both"/>
        <w:rPr>
          <w:rFonts w:ascii="Arial" w:hAnsi="Arial" w:cs="Arial"/>
        </w:rPr>
      </w:pPr>
      <w:r>
        <w:rPr>
          <w:rFonts w:ascii="Arial" w:hAnsi="Arial" w:cs="Arial"/>
        </w:rPr>
        <w:t>Presented in Table 3</w:t>
      </w:r>
      <w:r w:rsidRPr="00691641">
        <w:rPr>
          <w:rFonts w:ascii="Arial" w:hAnsi="Arial" w:cs="Arial"/>
        </w:rPr>
        <w:t xml:space="preserve"> is the correlation analysis </w:t>
      </w:r>
      <w:r w:rsidR="00886C27" w:rsidRPr="00886C27">
        <w:rPr>
          <w:rFonts w:ascii="Arial" w:hAnsi="Arial" w:cs="Arial"/>
        </w:rPr>
        <w:t xml:space="preserve">between homeroom guidance practices and academic persistence in public elementary schools. The relationship between homeroom guidance practices and academic persistence has a correlation coefficient of 0.72 with a p-value of 0.000, which is less than the 0.05 significance level. This indicates a high and statistically significant positive relationship between homeroom guidance practices and academic persistence. The R² value of 0.51 suggests that approximately 51% of the variation in academic persistence can be explained by the homeroom guidance practices. Given that </w:t>
      </w:r>
      <w:r w:rsidR="00886C27" w:rsidRPr="00886C27">
        <w:rPr>
          <w:rFonts w:ascii="Arial" w:hAnsi="Arial" w:cs="Arial"/>
        </w:rPr>
        <w:lastRenderedPageBreak/>
        <w:t>the p-value is less than 0.05, the null hypothesis (Ho1) is rejected, supporting the claim that homeroom guidance practices are significantly related to academic persistence.</w:t>
      </w:r>
    </w:p>
    <w:p w14:paraId="4109C883" w14:textId="77777777" w:rsidR="00886C27" w:rsidRDefault="00886C27" w:rsidP="00886C27">
      <w:pPr>
        <w:jc w:val="both"/>
        <w:rPr>
          <w:rFonts w:ascii="Arial" w:hAnsi="Arial" w:cs="Arial"/>
        </w:rPr>
      </w:pPr>
    </w:p>
    <w:p w14:paraId="3B6CC02D" w14:textId="6F8AF5EF" w:rsidR="00691641" w:rsidRPr="00886C27" w:rsidRDefault="00886C27" w:rsidP="00886C27">
      <w:pPr>
        <w:jc w:val="both"/>
        <w:rPr>
          <w:rFonts w:ascii="Arial" w:hAnsi="Arial" w:cs="Arial"/>
          <w:b/>
          <w:bCs/>
          <w:iCs/>
        </w:rPr>
      </w:pPr>
      <w:r w:rsidRPr="00886C27">
        <w:rPr>
          <w:rFonts w:ascii="Arial" w:hAnsi="Arial" w:cs="Arial"/>
        </w:rPr>
        <w:t>This suggests that the effective implementation of homeroom guidance practices plays a crucial role in enhancing students' academic persistence. By providing structured guidance, support, and resources, the program fosters a positive learning environment that motivates students to stay engaged and committed to their academic goals. Schools that focus on implementing robust homeroom guidance programs are likely to see an increase in student persistence, which is essential for academic success. Therefore, promoting and refining the homeroom guidance program can be an effective strategy to improve students' overall academic performance and persistence in their learning journeys.</w:t>
      </w:r>
    </w:p>
    <w:p w14:paraId="3A6F3750" w14:textId="77777777" w:rsidR="00886C27" w:rsidRDefault="00886C27" w:rsidP="00151F8F">
      <w:pPr>
        <w:jc w:val="both"/>
        <w:rPr>
          <w:rFonts w:ascii="Arial" w:hAnsi="Arial" w:cs="Arial"/>
          <w:b/>
          <w:bCs/>
          <w:iCs/>
        </w:rPr>
      </w:pPr>
    </w:p>
    <w:p w14:paraId="32BE86AF" w14:textId="79EB3256" w:rsidR="00886C27" w:rsidRPr="00886C27" w:rsidRDefault="00886C27" w:rsidP="00151F8F">
      <w:pPr>
        <w:jc w:val="both"/>
        <w:rPr>
          <w:rFonts w:ascii="Arial" w:hAnsi="Arial" w:cs="Arial"/>
          <w:bCs/>
          <w:iCs/>
        </w:rPr>
      </w:pPr>
      <w:r w:rsidRPr="00886C27">
        <w:rPr>
          <w:rFonts w:ascii="Arial" w:hAnsi="Arial" w:cs="Arial"/>
          <w:bCs/>
          <w:iCs/>
        </w:rPr>
        <w:t xml:space="preserve">This finding is supported by the study conducted by Stephen and </w:t>
      </w:r>
      <w:proofErr w:type="spellStart"/>
      <w:r w:rsidRPr="00886C27">
        <w:rPr>
          <w:rFonts w:ascii="Arial" w:hAnsi="Arial" w:cs="Arial"/>
          <w:bCs/>
          <w:iCs/>
        </w:rPr>
        <w:t>Rockinson-Szapkiw</w:t>
      </w:r>
      <w:proofErr w:type="spellEnd"/>
      <w:r w:rsidRPr="00886C27">
        <w:rPr>
          <w:rFonts w:ascii="Arial" w:hAnsi="Arial" w:cs="Arial"/>
          <w:bCs/>
          <w:iCs/>
        </w:rPr>
        <w:t xml:space="preserve"> (2021), who emphasized the importance of the implementation of homeroom guidance practices in promoting academic persistence among students. Their research found that when teachers effectively implement homeroom guidance programs, students are more likely to demonstrate high levels of academic persistence, as these programs provide students with the necessary support and motivation to stay focused on their academic goals. Similarly, McGuire and </w:t>
      </w:r>
      <w:proofErr w:type="spellStart"/>
      <w:r w:rsidRPr="00886C27">
        <w:rPr>
          <w:rFonts w:ascii="Arial" w:hAnsi="Arial" w:cs="Arial"/>
          <w:bCs/>
          <w:iCs/>
        </w:rPr>
        <w:t>Meadan</w:t>
      </w:r>
      <w:proofErr w:type="spellEnd"/>
      <w:r w:rsidRPr="00886C27">
        <w:rPr>
          <w:rFonts w:ascii="Arial" w:hAnsi="Arial" w:cs="Arial"/>
          <w:bCs/>
          <w:iCs/>
        </w:rPr>
        <w:t xml:space="preserve"> (2022) highlighted that homeroom guidance programs help build a sense of responsibility and discipline in students, which positively impacts their academic persistence. Furthermore, Kirby and Thomas (2022) observed that students participating in well-structured homeroom guidance programs exhibited a stronger commitment to their studies, overcoming challenges and maintaining their focus on long-term academic achievements.</w:t>
      </w:r>
    </w:p>
    <w:p w14:paraId="620D5395" w14:textId="77777777" w:rsidR="00886C27" w:rsidRDefault="00886C27" w:rsidP="00151F8F">
      <w:pPr>
        <w:jc w:val="both"/>
        <w:rPr>
          <w:rFonts w:ascii="Arial" w:hAnsi="Arial" w:cs="Arial"/>
          <w:b/>
          <w:bCs/>
          <w:iCs/>
        </w:rPr>
      </w:pPr>
    </w:p>
    <w:p w14:paraId="0D8ABDEF" w14:textId="3A00D22B"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886C27" w:rsidRPr="00886C27">
        <w:rPr>
          <w:rFonts w:ascii="Arial" w:hAnsi="Arial" w:cs="Arial"/>
          <w:b/>
          <w:bCs/>
          <w:iCs/>
        </w:rPr>
        <w:t>Domains of the Implementation of Homeroom Guidance Practices that Significantly Influence Academic Persistence in Public Elementary Schools</w:t>
      </w:r>
    </w:p>
    <w:p w14:paraId="7568132A" w14:textId="77777777" w:rsidR="00914755" w:rsidRDefault="00914755" w:rsidP="00665D1C">
      <w:pPr>
        <w:rPr>
          <w:rFonts w:ascii="Arial" w:hAnsi="Arial" w:cs="Arial"/>
          <w:b/>
          <w:bCs/>
          <w:iCs/>
        </w:rPr>
      </w:pPr>
    </w:p>
    <w:p w14:paraId="42F31227" w14:textId="7778F442" w:rsidR="00187916" w:rsidRDefault="00B364F1" w:rsidP="00B364F1">
      <w:pPr>
        <w:jc w:val="both"/>
        <w:rPr>
          <w:rFonts w:ascii="Arial" w:eastAsia="Arial" w:hAnsi="Arial"/>
          <w:i/>
        </w:rPr>
      </w:pPr>
      <w:r w:rsidRPr="00B364F1">
        <w:rPr>
          <w:rFonts w:ascii="Arial" w:eastAsia="Arial" w:hAnsi="Arial"/>
          <w:b/>
        </w:rPr>
        <w:t xml:space="preserve">Table 4. </w:t>
      </w:r>
      <w:r w:rsidR="00886C27" w:rsidRPr="00886C27">
        <w:rPr>
          <w:rFonts w:ascii="Arial" w:eastAsia="Arial" w:hAnsi="Arial"/>
          <w:i/>
        </w:rPr>
        <w:t>Domains of the Implementation of Homeroom Guidance Practices that Significantly Influence Academic Persistence in Public Elementary Schools</w:t>
      </w:r>
    </w:p>
    <w:p w14:paraId="763F8747" w14:textId="77777777" w:rsidR="00886C27" w:rsidRPr="00B364F1" w:rsidRDefault="00886C27" w:rsidP="00B364F1">
      <w:pPr>
        <w:jc w:val="both"/>
        <w:rPr>
          <w:rFonts w:ascii="Arial" w:eastAsia="Arial" w:hAnsi="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359"/>
        <w:gridCol w:w="798"/>
        <w:gridCol w:w="797"/>
        <w:gridCol w:w="853"/>
        <w:gridCol w:w="855"/>
        <w:gridCol w:w="1064"/>
        <w:gridCol w:w="1482"/>
      </w:tblGrid>
      <w:tr w:rsidR="00886C27" w:rsidRPr="00886C27" w14:paraId="748F90FA" w14:textId="77777777" w:rsidTr="00886C27">
        <w:trPr>
          <w:trHeight w:val="323"/>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1C9EBC2F"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val="en-PH" w:eastAsia="en-PH"/>
              </w:rPr>
              <w:t>Domains</w:t>
            </w:r>
          </w:p>
        </w:tc>
        <w:tc>
          <w:tcPr>
            <w:tcW w:w="0" w:type="auto"/>
            <w:tcBorders>
              <w:top w:val="single" w:sz="4" w:space="0" w:color="000000"/>
              <w:bottom w:val="single" w:sz="4" w:space="0" w:color="000000"/>
            </w:tcBorders>
            <w:tcMar>
              <w:top w:w="0" w:type="dxa"/>
              <w:left w:w="115" w:type="dxa"/>
              <w:bottom w:w="0" w:type="dxa"/>
              <w:right w:w="115" w:type="dxa"/>
            </w:tcMar>
            <w:hideMark/>
          </w:tcPr>
          <w:p w14:paraId="10A6224E"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15" w:type="dxa"/>
              <w:bottom w:w="0" w:type="dxa"/>
              <w:right w:w="115" w:type="dxa"/>
            </w:tcMar>
            <w:hideMark/>
          </w:tcPr>
          <w:p w14:paraId="507ECBE6"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15" w:type="dxa"/>
              <w:bottom w:w="0" w:type="dxa"/>
              <w:right w:w="115" w:type="dxa"/>
            </w:tcMar>
            <w:hideMark/>
          </w:tcPr>
          <w:p w14:paraId="2B610DEC"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15" w:type="dxa"/>
              <w:bottom w:w="0" w:type="dxa"/>
              <w:right w:w="115" w:type="dxa"/>
            </w:tcMar>
            <w:hideMark/>
          </w:tcPr>
          <w:p w14:paraId="455FE8A2"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15" w:type="dxa"/>
              <w:bottom w:w="0" w:type="dxa"/>
              <w:right w:w="115" w:type="dxa"/>
            </w:tcMar>
            <w:hideMark/>
          </w:tcPr>
          <w:p w14:paraId="0B6C56C9"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564A1EE1"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val="en-PH" w:eastAsia="en-PH"/>
              </w:rPr>
              <w:t>Decision</w:t>
            </w:r>
          </w:p>
        </w:tc>
      </w:tr>
      <w:tr w:rsidR="00886C27" w:rsidRPr="00886C27" w14:paraId="05B6E620" w14:textId="77777777" w:rsidTr="00886C27">
        <w:trPr>
          <w:trHeight w:val="536"/>
          <w:jc w:val="center"/>
        </w:trPr>
        <w:tc>
          <w:tcPr>
            <w:tcW w:w="0" w:type="auto"/>
            <w:tcBorders>
              <w:top w:val="single" w:sz="4" w:space="0" w:color="000000"/>
            </w:tcBorders>
            <w:tcMar>
              <w:top w:w="0" w:type="dxa"/>
              <w:left w:w="115" w:type="dxa"/>
              <w:bottom w:w="0" w:type="dxa"/>
              <w:right w:w="115" w:type="dxa"/>
            </w:tcMar>
            <w:hideMark/>
          </w:tcPr>
          <w:p w14:paraId="42B9AE99"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Constant</w:t>
            </w:r>
          </w:p>
        </w:tc>
        <w:tc>
          <w:tcPr>
            <w:tcW w:w="0" w:type="auto"/>
            <w:tcBorders>
              <w:top w:val="single" w:sz="4" w:space="0" w:color="000000"/>
            </w:tcBorders>
            <w:tcMar>
              <w:top w:w="0" w:type="dxa"/>
              <w:left w:w="115" w:type="dxa"/>
              <w:bottom w:w="0" w:type="dxa"/>
              <w:right w:w="115" w:type="dxa"/>
            </w:tcMar>
            <w:hideMark/>
          </w:tcPr>
          <w:p w14:paraId="686BED16"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3.70</w:t>
            </w:r>
          </w:p>
        </w:tc>
        <w:tc>
          <w:tcPr>
            <w:tcW w:w="0" w:type="auto"/>
            <w:tcBorders>
              <w:top w:val="single" w:sz="4" w:space="0" w:color="000000"/>
            </w:tcBorders>
            <w:tcMar>
              <w:top w:w="0" w:type="dxa"/>
              <w:left w:w="115" w:type="dxa"/>
              <w:bottom w:w="0" w:type="dxa"/>
              <w:right w:w="115" w:type="dxa"/>
            </w:tcMar>
            <w:hideMark/>
          </w:tcPr>
          <w:p w14:paraId="0F73461A"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0.80</w:t>
            </w:r>
          </w:p>
        </w:tc>
        <w:tc>
          <w:tcPr>
            <w:tcW w:w="0" w:type="auto"/>
            <w:tcBorders>
              <w:top w:val="single" w:sz="4" w:space="0" w:color="000000"/>
            </w:tcBorders>
            <w:tcMar>
              <w:top w:w="0" w:type="dxa"/>
              <w:left w:w="115" w:type="dxa"/>
              <w:bottom w:w="0" w:type="dxa"/>
              <w:right w:w="115" w:type="dxa"/>
            </w:tcMar>
            <w:hideMark/>
          </w:tcPr>
          <w:p w14:paraId="54551681" w14:textId="77777777" w:rsidR="00886C27" w:rsidRPr="00886C27" w:rsidRDefault="00886C27" w:rsidP="00886C27">
            <w:pPr>
              <w:rPr>
                <w:rFonts w:ascii="Arial" w:hAnsi="Arial" w:cs="Arial"/>
                <w:lang w:val="en-PH" w:eastAsia="en-PH"/>
              </w:rPr>
            </w:pPr>
          </w:p>
        </w:tc>
        <w:tc>
          <w:tcPr>
            <w:tcW w:w="0" w:type="auto"/>
            <w:tcBorders>
              <w:top w:val="single" w:sz="4" w:space="0" w:color="000000"/>
            </w:tcBorders>
            <w:tcMar>
              <w:top w:w="0" w:type="dxa"/>
              <w:left w:w="115" w:type="dxa"/>
              <w:bottom w:w="0" w:type="dxa"/>
              <w:right w:w="115" w:type="dxa"/>
            </w:tcMar>
            <w:hideMark/>
          </w:tcPr>
          <w:p w14:paraId="5F4D4281"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7.50</w:t>
            </w:r>
          </w:p>
        </w:tc>
        <w:tc>
          <w:tcPr>
            <w:tcW w:w="0" w:type="auto"/>
            <w:tcBorders>
              <w:top w:val="single" w:sz="4" w:space="0" w:color="000000"/>
            </w:tcBorders>
            <w:tcMar>
              <w:top w:w="0" w:type="dxa"/>
              <w:left w:w="115" w:type="dxa"/>
              <w:bottom w:w="0" w:type="dxa"/>
              <w:right w:w="115" w:type="dxa"/>
            </w:tcMar>
            <w:hideMark/>
          </w:tcPr>
          <w:p w14:paraId="31FD416E"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0.000</w:t>
            </w:r>
          </w:p>
        </w:tc>
        <w:tc>
          <w:tcPr>
            <w:tcW w:w="0" w:type="auto"/>
            <w:tcBorders>
              <w:top w:val="single" w:sz="4" w:space="0" w:color="000000"/>
            </w:tcBorders>
            <w:tcMar>
              <w:top w:w="0" w:type="dxa"/>
              <w:left w:w="115" w:type="dxa"/>
              <w:bottom w:w="0" w:type="dxa"/>
              <w:right w:w="115" w:type="dxa"/>
            </w:tcMar>
            <w:hideMark/>
          </w:tcPr>
          <w:p w14:paraId="5BC3E862"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Significant</w:t>
            </w:r>
          </w:p>
        </w:tc>
      </w:tr>
      <w:tr w:rsidR="00886C27" w:rsidRPr="00886C27" w14:paraId="66B96879" w14:textId="77777777" w:rsidTr="00886C27">
        <w:trPr>
          <w:trHeight w:val="521"/>
          <w:jc w:val="center"/>
        </w:trPr>
        <w:tc>
          <w:tcPr>
            <w:tcW w:w="0" w:type="auto"/>
            <w:tcMar>
              <w:top w:w="0" w:type="dxa"/>
              <w:left w:w="115" w:type="dxa"/>
              <w:bottom w:w="0" w:type="dxa"/>
              <w:right w:w="115" w:type="dxa"/>
            </w:tcMar>
            <w:hideMark/>
          </w:tcPr>
          <w:p w14:paraId="54A70A07"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Academic Development</w:t>
            </w:r>
          </w:p>
        </w:tc>
        <w:tc>
          <w:tcPr>
            <w:tcW w:w="0" w:type="auto"/>
            <w:tcMar>
              <w:top w:w="0" w:type="dxa"/>
              <w:left w:w="115" w:type="dxa"/>
              <w:bottom w:w="0" w:type="dxa"/>
              <w:right w:w="115" w:type="dxa"/>
            </w:tcMar>
            <w:hideMark/>
          </w:tcPr>
          <w:p w14:paraId="2738956C"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0.77</w:t>
            </w:r>
          </w:p>
        </w:tc>
        <w:tc>
          <w:tcPr>
            <w:tcW w:w="0" w:type="auto"/>
            <w:tcMar>
              <w:top w:w="0" w:type="dxa"/>
              <w:left w:w="115" w:type="dxa"/>
              <w:bottom w:w="0" w:type="dxa"/>
              <w:right w:w="115" w:type="dxa"/>
            </w:tcMar>
            <w:hideMark/>
          </w:tcPr>
          <w:p w14:paraId="40C912C5"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0.62</w:t>
            </w:r>
          </w:p>
        </w:tc>
        <w:tc>
          <w:tcPr>
            <w:tcW w:w="0" w:type="auto"/>
            <w:tcMar>
              <w:top w:w="0" w:type="dxa"/>
              <w:left w:w="115" w:type="dxa"/>
              <w:bottom w:w="0" w:type="dxa"/>
              <w:right w:w="115" w:type="dxa"/>
            </w:tcMar>
            <w:hideMark/>
          </w:tcPr>
          <w:p w14:paraId="7CE1F4CB"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0.50</w:t>
            </w:r>
          </w:p>
        </w:tc>
        <w:tc>
          <w:tcPr>
            <w:tcW w:w="0" w:type="auto"/>
            <w:tcMar>
              <w:top w:w="0" w:type="dxa"/>
              <w:left w:w="115" w:type="dxa"/>
              <w:bottom w:w="0" w:type="dxa"/>
              <w:right w:w="115" w:type="dxa"/>
            </w:tcMar>
            <w:hideMark/>
          </w:tcPr>
          <w:p w14:paraId="0378F8CD"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4.35</w:t>
            </w:r>
          </w:p>
        </w:tc>
        <w:tc>
          <w:tcPr>
            <w:tcW w:w="0" w:type="auto"/>
            <w:tcMar>
              <w:top w:w="0" w:type="dxa"/>
              <w:left w:w="115" w:type="dxa"/>
              <w:bottom w:w="0" w:type="dxa"/>
              <w:right w:w="115" w:type="dxa"/>
            </w:tcMar>
            <w:hideMark/>
          </w:tcPr>
          <w:p w14:paraId="52ED770F"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0.000</w:t>
            </w:r>
          </w:p>
        </w:tc>
        <w:tc>
          <w:tcPr>
            <w:tcW w:w="0" w:type="auto"/>
            <w:tcMar>
              <w:top w:w="0" w:type="dxa"/>
              <w:left w:w="115" w:type="dxa"/>
              <w:bottom w:w="0" w:type="dxa"/>
              <w:right w:w="115" w:type="dxa"/>
            </w:tcMar>
            <w:hideMark/>
          </w:tcPr>
          <w:p w14:paraId="7AFD6931"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Significant</w:t>
            </w:r>
          </w:p>
        </w:tc>
      </w:tr>
      <w:tr w:rsidR="00886C27" w:rsidRPr="00886C27" w14:paraId="5625F25F" w14:textId="77777777" w:rsidTr="00886C27">
        <w:trPr>
          <w:trHeight w:val="521"/>
          <w:jc w:val="center"/>
        </w:trPr>
        <w:tc>
          <w:tcPr>
            <w:tcW w:w="0" w:type="auto"/>
            <w:tcMar>
              <w:top w:w="0" w:type="dxa"/>
              <w:left w:w="115" w:type="dxa"/>
              <w:bottom w:w="0" w:type="dxa"/>
              <w:right w:w="115" w:type="dxa"/>
            </w:tcMar>
            <w:hideMark/>
          </w:tcPr>
          <w:p w14:paraId="71E9C48B"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Personal Development</w:t>
            </w:r>
          </w:p>
        </w:tc>
        <w:tc>
          <w:tcPr>
            <w:tcW w:w="0" w:type="auto"/>
            <w:tcMar>
              <w:top w:w="0" w:type="dxa"/>
              <w:left w:w="115" w:type="dxa"/>
              <w:bottom w:w="0" w:type="dxa"/>
              <w:right w:w="115" w:type="dxa"/>
            </w:tcMar>
            <w:hideMark/>
          </w:tcPr>
          <w:p w14:paraId="3025F97D"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0.78</w:t>
            </w:r>
          </w:p>
        </w:tc>
        <w:tc>
          <w:tcPr>
            <w:tcW w:w="0" w:type="auto"/>
            <w:tcMar>
              <w:top w:w="0" w:type="dxa"/>
              <w:left w:w="115" w:type="dxa"/>
              <w:bottom w:w="0" w:type="dxa"/>
              <w:right w:w="115" w:type="dxa"/>
            </w:tcMar>
            <w:hideMark/>
          </w:tcPr>
          <w:p w14:paraId="3BE106F4"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0.65</w:t>
            </w:r>
          </w:p>
        </w:tc>
        <w:tc>
          <w:tcPr>
            <w:tcW w:w="0" w:type="auto"/>
            <w:tcMar>
              <w:top w:w="0" w:type="dxa"/>
              <w:left w:w="115" w:type="dxa"/>
              <w:bottom w:w="0" w:type="dxa"/>
              <w:right w:w="115" w:type="dxa"/>
            </w:tcMar>
            <w:hideMark/>
          </w:tcPr>
          <w:p w14:paraId="42D4909D"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0.52</w:t>
            </w:r>
          </w:p>
        </w:tc>
        <w:tc>
          <w:tcPr>
            <w:tcW w:w="0" w:type="auto"/>
            <w:tcMar>
              <w:top w:w="0" w:type="dxa"/>
              <w:left w:w="115" w:type="dxa"/>
              <w:bottom w:w="0" w:type="dxa"/>
              <w:right w:w="115" w:type="dxa"/>
            </w:tcMar>
            <w:hideMark/>
          </w:tcPr>
          <w:p w14:paraId="6FBCA5EF"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4.38</w:t>
            </w:r>
          </w:p>
        </w:tc>
        <w:tc>
          <w:tcPr>
            <w:tcW w:w="0" w:type="auto"/>
            <w:tcMar>
              <w:top w:w="0" w:type="dxa"/>
              <w:left w:w="115" w:type="dxa"/>
              <w:bottom w:w="0" w:type="dxa"/>
              <w:right w:w="115" w:type="dxa"/>
            </w:tcMar>
            <w:hideMark/>
          </w:tcPr>
          <w:p w14:paraId="3336A5EE"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0.000</w:t>
            </w:r>
          </w:p>
        </w:tc>
        <w:tc>
          <w:tcPr>
            <w:tcW w:w="0" w:type="auto"/>
            <w:tcMar>
              <w:top w:w="0" w:type="dxa"/>
              <w:left w:w="115" w:type="dxa"/>
              <w:bottom w:w="0" w:type="dxa"/>
              <w:right w:w="115" w:type="dxa"/>
            </w:tcMar>
            <w:hideMark/>
          </w:tcPr>
          <w:p w14:paraId="528868B6"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Significant</w:t>
            </w:r>
          </w:p>
        </w:tc>
      </w:tr>
      <w:tr w:rsidR="00886C27" w:rsidRPr="00886C27" w14:paraId="2136237B" w14:textId="77777777" w:rsidTr="00886C27">
        <w:trPr>
          <w:trHeight w:val="521"/>
          <w:jc w:val="center"/>
        </w:trPr>
        <w:tc>
          <w:tcPr>
            <w:tcW w:w="0" w:type="auto"/>
            <w:tcMar>
              <w:top w:w="0" w:type="dxa"/>
              <w:left w:w="115" w:type="dxa"/>
              <w:bottom w:w="0" w:type="dxa"/>
              <w:right w:w="115" w:type="dxa"/>
            </w:tcMar>
            <w:hideMark/>
          </w:tcPr>
          <w:p w14:paraId="08D001B4"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Social Development</w:t>
            </w:r>
          </w:p>
        </w:tc>
        <w:tc>
          <w:tcPr>
            <w:tcW w:w="0" w:type="auto"/>
            <w:tcMar>
              <w:top w:w="0" w:type="dxa"/>
              <w:left w:w="115" w:type="dxa"/>
              <w:bottom w:w="0" w:type="dxa"/>
              <w:right w:w="115" w:type="dxa"/>
            </w:tcMar>
            <w:hideMark/>
          </w:tcPr>
          <w:p w14:paraId="2EDE0C0A"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0.80</w:t>
            </w:r>
          </w:p>
        </w:tc>
        <w:tc>
          <w:tcPr>
            <w:tcW w:w="0" w:type="auto"/>
            <w:tcMar>
              <w:top w:w="0" w:type="dxa"/>
              <w:left w:w="115" w:type="dxa"/>
              <w:bottom w:w="0" w:type="dxa"/>
              <w:right w:w="115" w:type="dxa"/>
            </w:tcMar>
            <w:hideMark/>
          </w:tcPr>
          <w:p w14:paraId="1780B793"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0.68</w:t>
            </w:r>
          </w:p>
        </w:tc>
        <w:tc>
          <w:tcPr>
            <w:tcW w:w="0" w:type="auto"/>
            <w:tcMar>
              <w:top w:w="0" w:type="dxa"/>
              <w:left w:w="115" w:type="dxa"/>
              <w:bottom w:w="0" w:type="dxa"/>
              <w:right w:w="115" w:type="dxa"/>
            </w:tcMar>
            <w:hideMark/>
          </w:tcPr>
          <w:p w14:paraId="400F3102"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0.54</w:t>
            </w:r>
          </w:p>
        </w:tc>
        <w:tc>
          <w:tcPr>
            <w:tcW w:w="0" w:type="auto"/>
            <w:tcMar>
              <w:top w:w="0" w:type="dxa"/>
              <w:left w:w="115" w:type="dxa"/>
              <w:bottom w:w="0" w:type="dxa"/>
              <w:right w:w="115" w:type="dxa"/>
            </w:tcMar>
            <w:hideMark/>
          </w:tcPr>
          <w:p w14:paraId="21D7F2D2"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4.40</w:t>
            </w:r>
          </w:p>
        </w:tc>
        <w:tc>
          <w:tcPr>
            <w:tcW w:w="0" w:type="auto"/>
            <w:tcMar>
              <w:top w:w="0" w:type="dxa"/>
              <w:left w:w="115" w:type="dxa"/>
              <w:bottom w:w="0" w:type="dxa"/>
              <w:right w:w="115" w:type="dxa"/>
            </w:tcMar>
            <w:hideMark/>
          </w:tcPr>
          <w:p w14:paraId="748B14A3"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0.000</w:t>
            </w:r>
          </w:p>
        </w:tc>
        <w:tc>
          <w:tcPr>
            <w:tcW w:w="0" w:type="auto"/>
            <w:tcMar>
              <w:top w:w="0" w:type="dxa"/>
              <w:left w:w="115" w:type="dxa"/>
              <w:bottom w:w="0" w:type="dxa"/>
              <w:right w:w="115" w:type="dxa"/>
            </w:tcMar>
            <w:hideMark/>
          </w:tcPr>
          <w:p w14:paraId="16A3B3D1"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Significant</w:t>
            </w:r>
          </w:p>
        </w:tc>
      </w:tr>
      <w:tr w:rsidR="00886C27" w:rsidRPr="00886C27" w14:paraId="0415D2E2" w14:textId="77777777" w:rsidTr="00886C27">
        <w:trPr>
          <w:trHeight w:val="521"/>
          <w:jc w:val="center"/>
        </w:trPr>
        <w:tc>
          <w:tcPr>
            <w:tcW w:w="0" w:type="auto"/>
            <w:tcMar>
              <w:top w:w="0" w:type="dxa"/>
              <w:left w:w="115" w:type="dxa"/>
              <w:bottom w:w="0" w:type="dxa"/>
              <w:right w:w="115" w:type="dxa"/>
            </w:tcMar>
            <w:hideMark/>
          </w:tcPr>
          <w:p w14:paraId="34FBF542"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Career Development</w:t>
            </w:r>
          </w:p>
        </w:tc>
        <w:tc>
          <w:tcPr>
            <w:tcW w:w="0" w:type="auto"/>
            <w:tcMar>
              <w:top w:w="0" w:type="dxa"/>
              <w:left w:w="115" w:type="dxa"/>
              <w:bottom w:w="0" w:type="dxa"/>
              <w:right w:w="115" w:type="dxa"/>
            </w:tcMar>
            <w:hideMark/>
          </w:tcPr>
          <w:p w14:paraId="40FCBB12"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0.82</w:t>
            </w:r>
          </w:p>
        </w:tc>
        <w:tc>
          <w:tcPr>
            <w:tcW w:w="0" w:type="auto"/>
            <w:tcMar>
              <w:top w:w="0" w:type="dxa"/>
              <w:left w:w="115" w:type="dxa"/>
              <w:bottom w:w="0" w:type="dxa"/>
              <w:right w:w="115" w:type="dxa"/>
            </w:tcMar>
            <w:hideMark/>
          </w:tcPr>
          <w:p w14:paraId="3AA17011"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0.70</w:t>
            </w:r>
          </w:p>
        </w:tc>
        <w:tc>
          <w:tcPr>
            <w:tcW w:w="0" w:type="auto"/>
            <w:tcMar>
              <w:top w:w="0" w:type="dxa"/>
              <w:left w:w="115" w:type="dxa"/>
              <w:bottom w:w="0" w:type="dxa"/>
              <w:right w:w="115" w:type="dxa"/>
            </w:tcMar>
            <w:hideMark/>
          </w:tcPr>
          <w:p w14:paraId="5E54FD70"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0.57</w:t>
            </w:r>
          </w:p>
        </w:tc>
        <w:tc>
          <w:tcPr>
            <w:tcW w:w="0" w:type="auto"/>
            <w:tcMar>
              <w:top w:w="0" w:type="dxa"/>
              <w:left w:w="115" w:type="dxa"/>
              <w:bottom w:w="0" w:type="dxa"/>
              <w:right w:w="115" w:type="dxa"/>
            </w:tcMar>
            <w:hideMark/>
          </w:tcPr>
          <w:p w14:paraId="7D8B938A"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4.45</w:t>
            </w:r>
          </w:p>
        </w:tc>
        <w:tc>
          <w:tcPr>
            <w:tcW w:w="0" w:type="auto"/>
            <w:tcMar>
              <w:top w:w="0" w:type="dxa"/>
              <w:left w:w="115" w:type="dxa"/>
              <w:bottom w:w="0" w:type="dxa"/>
              <w:right w:w="115" w:type="dxa"/>
            </w:tcMar>
            <w:hideMark/>
          </w:tcPr>
          <w:p w14:paraId="6EA81DE0"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val="en-PH" w:eastAsia="en-PH"/>
              </w:rPr>
              <w:t>0.000</w:t>
            </w:r>
          </w:p>
        </w:tc>
        <w:tc>
          <w:tcPr>
            <w:tcW w:w="0" w:type="auto"/>
            <w:tcMar>
              <w:top w:w="0" w:type="dxa"/>
              <w:left w:w="115" w:type="dxa"/>
              <w:bottom w:w="0" w:type="dxa"/>
              <w:right w:w="115" w:type="dxa"/>
            </w:tcMar>
            <w:hideMark/>
          </w:tcPr>
          <w:p w14:paraId="428F073F"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Significant</w:t>
            </w:r>
          </w:p>
        </w:tc>
      </w:tr>
      <w:tr w:rsidR="00886C27" w:rsidRPr="00886C27" w14:paraId="21FDE1F5" w14:textId="77777777" w:rsidTr="00886C27">
        <w:trPr>
          <w:trHeight w:val="286"/>
          <w:jc w:val="center"/>
        </w:trPr>
        <w:tc>
          <w:tcPr>
            <w:tcW w:w="0" w:type="auto"/>
            <w:tcMar>
              <w:top w:w="0" w:type="dxa"/>
              <w:left w:w="115" w:type="dxa"/>
              <w:bottom w:w="0" w:type="dxa"/>
              <w:right w:w="115" w:type="dxa"/>
            </w:tcMar>
            <w:hideMark/>
          </w:tcPr>
          <w:p w14:paraId="5447D728" w14:textId="77777777" w:rsidR="00886C27" w:rsidRPr="00886C27" w:rsidRDefault="00886C27" w:rsidP="00886C27">
            <w:pPr>
              <w:rPr>
                <w:rFonts w:ascii="Arial" w:hAnsi="Arial" w:cs="Arial"/>
                <w:lang w:val="en-PH" w:eastAsia="en-PH"/>
              </w:rPr>
            </w:pPr>
          </w:p>
        </w:tc>
        <w:tc>
          <w:tcPr>
            <w:tcW w:w="0" w:type="auto"/>
            <w:tcMar>
              <w:top w:w="0" w:type="dxa"/>
              <w:left w:w="115" w:type="dxa"/>
              <w:bottom w:w="0" w:type="dxa"/>
              <w:right w:w="115" w:type="dxa"/>
            </w:tcMar>
            <w:hideMark/>
          </w:tcPr>
          <w:p w14:paraId="6315F611" w14:textId="77777777" w:rsidR="00886C27" w:rsidRPr="00886C27" w:rsidRDefault="00886C27" w:rsidP="00886C27">
            <w:pPr>
              <w:rPr>
                <w:rFonts w:ascii="Arial" w:hAnsi="Arial" w:cs="Arial"/>
                <w:lang w:val="en-PH" w:eastAsia="en-PH"/>
              </w:rPr>
            </w:pPr>
          </w:p>
        </w:tc>
        <w:tc>
          <w:tcPr>
            <w:tcW w:w="0" w:type="auto"/>
            <w:tcMar>
              <w:top w:w="0" w:type="dxa"/>
              <w:left w:w="115" w:type="dxa"/>
              <w:bottom w:w="0" w:type="dxa"/>
              <w:right w:w="115" w:type="dxa"/>
            </w:tcMar>
            <w:hideMark/>
          </w:tcPr>
          <w:p w14:paraId="5C8DD087" w14:textId="77777777" w:rsidR="00886C27" w:rsidRPr="00886C27" w:rsidRDefault="00886C27" w:rsidP="00886C27">
            <w:pPr>
              <w:rPr>
                <w:rFonts w:ascii="Arial" w:hAnsi="Arial" w:cs="Arial"/>
                <w:lang w:val="en-PH" w:eastAsia="en-PH"/>
              </w:rPr>
            </w:pPr>
          </w:p>
        </w:tc>
        <w:tc>
          <w:tcPr>
            <w:tcW w:w="0" w:type="auto"/>
            <w:tcMar>
              <w:top w:w="0" w:type="dxa"/>
              <w:left w:w="115" w:type="dxa"/>
              <w:bottom w:w="0" w:type="dxa"/>
              <w:right w:w="115" w:type="dxa"/>
            </w:tcMar>
            <w:hideMark/>
          </w:tcPr>
          <w:p w14:paraId="4785A987" w14:textId="77777777" w:rsidR="00886C27" w:rsidRPr="00886C27" w:rsidRDefault="00886C27" w:rsidP="00886C27">
            <w:pPr>
              <w:rPr>
                <w:rFonts w:ascii="Arial" w:hAnsi="Arial" w:cs="Arial"/>
                <w:lang w:val="en-PH" w:eastAsia="en-PH"/>
              </w:rPr>
            </w:pPr>
          </w:p>
        </w:tc>
        <w:tc>
          <w:tcPr>
            <w:tcW w:w="0" w:type="auto"/>
            <w:tcMar>
              <w:top w:w="0" w:type="dxa"/>
              <w:left w:w="115" w:type="dxa"/>
              <w:bottom w:w="0" w:type="dxa"/>
              <w:right w:w="115" w:type="dxa"/>
            </w:tcMar>
            <w:hideMark/>
          </w:tcPr>
          <w:p w14:paraId="6DC57BC1" w14:textId="77777777" w:rsidR="00886C27" w:rsidRPr="00886C27" w:rsidRDefault="00886C27" w:rsidP="00886C27">
            <w:pPr>
              <w:rPr>
                <w:rFonts w:ascii="Arial" w:hAnsi="Arial" w:cs="Arial"/>
                <w:lang w:val="en-PH" w:eastAsia="en-PH"/>
              </w:rPr>
            </w:pPr>
          </w:p>
        </w:tc>
        <w:tc>
          <w:tcPr>
            <w:tcW w:w="0" w:type="auto"/>
            <w:tcMar>
              <w:top w:w="0" w:type="dxa"/>
              <w:left w:w="115" w:type="dxa"/>
              <w:bottom w:w="0" w:type="dxa"/>
              <w:right w:w="115" w:type="dxa"/>
            </w:tcMar>
            <w:hideMark/>
          </w:tcPr>
          <w:p w14:paraId="4C29818A" w14:textId="77777777" w:rsidR="00886C27" w:rsidRPr="00886C27" w:rsidRDefault="00886C27" w:rsidP="00886C27">
            <w:pPr>
              <w:rPr>
                <w:rFonts w:ascii="Arial" w:hAnsi="Arial" w:cs="Arial"/>
                <w:lang w:val="en-PH" w:eastAsia="en-PH"/>
              </w:rPr>
            </w:pPr>
          </w:p>
        </w:tc>
        <w:tc>
          <w:tcPr>
            <w:tcW w:w="0" w:type="auto"/>
            <w:tcMar>
              <w:top w:w="0" w:type="dxa"/>
              <w:left w:w="115" w:type="dxa"/>
              <w:bottom w:w="0" w:type="dxa"/>
              <w:right w:w="115" w:type="dxa"/>
            </w:tcMar>
            <w:hideMark/>
          </w:tcPr>
          <w:p w14:paraId="6F5B70A8" w14:textId="77777777" w:rsidR="00886C27" w:rsidRPr="00886C27" w:rsidRDefault="00886C27" w:rsidP="00886C27">
            <w:pPr>
              <w:rPr>
                <w:rFonts w:ascii="Arial" w:hAnsi="Arial" w:cs="Arial"/>
                <w:lang w:val="en-PH" w:eastAsia="en-PH"/>
              </w:rPr>
            </w:pPr>
          </w:p>
        </w:tc>
      </w:tr>
      <w:tr w:rsidR="00886C27" w:rsidRPr="00886C27" w14:paraId="519A5BD6" w14:textId="77777777" w:rsidTr="00886C27">
        <w:trPr>
          <w:trHeight w:val="521"/>
          <w:jc w:val="center"/>
        </w:trPr>
        <w:tc>
          <w:tcPr>
            <w:tcW w:w="0" w:type="auto"/>
            <w:gridSpan w:val="7"/>
            <w:tcMar>
              <w:top w:w="0" w:type="dxa"/>
              <w:left w:w="115" w:type="dxa"/>
              <w:bottom w:w="0" w:type="dxa"/>
              <w:right w:w="115" w:type="dxa"/>
            </w:tcMar>
            <w:hideMark/>
          </w:tcPr>
          <w:p w14:paraId="23D23079" w14:textId="77777777" w:rsidR="00886C27" w:rsidRPr="00886C27" w:rsidRDefault="00886C27" w:rsidP="00886C27">
            <w:pPr>
              <w:ind w:firstLine="709"/>
              <w:jc w:val="both"/>
              <w:rPr>
                <w:rFonts w:ascii="Arial" w:hAnsi="Arial" w:cs="Arial"/>
                <w:lang w:val="en-PH" w:eastAsia="en-PH"/>
              </w:rPr>
            </w:pPr>
            <w:r w:rsidRPr="00886C27">
              <w:rPr>
                <w:rFonts w:ascii="Arial" w:hAnsi="Arial" w:cs="Arial"/>
                <w:b/>
                <w:bCs/>
                <w:color w:val="000000"/>
                <w:u w:val="single"/>
                <w:lang w:val="en-PH" w:eastAsia="en-PH"/>
              </w:rPr>
              <w:t>Regression Model</w:t>
            </w:r>
          </w:p>
        </w:tc>
      </w:tr>
      <w:tr w:rsidR="00886C27" w:rsidRPr="00886C27" w14:paraId="1246B156" w14:textId="77777777" w:rsidTr="00886C27">
        <w:trPr>
          <w:trHeight w:val="521"/>
          <w:jc w:val="center"/>
        </w:trPr>
        <w:tc>
          <w:tcPr>
            <w:tcW w:w="0" w:type="auto"/>
            <w:gridSpan w:val="7"/>
            <w:tcMar>
              <w:top w:w="0" w:type="dxa"/>
              <w:left w:w="115" w:type="dxa"/>
              <w:bottom w:w="0" w:type="dxa"/>
              <w:right w:w="115" w:type="dxa"/>
            </w:tcMar>
            <w:hideMark/>
          </w:tcPr>
          <w:p w14:paraId="29C1FE54"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Academic Persistence =3.70 + 0.77 (Academic Development) + 0.78 (Personal Development) + 0.80 (Social Development) + 0.82 (Career Development)</w:t>
            </w:r>
          </w:p>
        </w:tc>
      </w:tr>
      <w:tr w:rsidR="00886C27" w:rsidRPr="00886C27" w14:paraId="5C7232A6" w14:textId="77777777" w:rsidTr="00886C27">
        <w:trPr>
          <w:trHeight w:val="80"/>
          <w:jc w:val="center"/>
        </w:trPr>
        <w:tc>
          <w:tcPr>
            <w:tcW w:w="0" w:type="auto"/>
            <w:gridSpan w:val="7"/>
            <w:tcBorders>
              <w:bottom w:val="single" w:sz="4" w:space="0" w:color="000000"/>
            </w:tcBorders>
            <w:tcMar>
              <w:top w:w="0" w:type="dxa"/>
              <w:left w:w="115" w:type="dxa"/>
              <w:bottom w:w="0" w:type="dxa"/>
              <w:right w:w="115" w:type="dxa"/>
            </w:tcMar>
            <w:hideMark/>
          </w:tcPr>
          <w:p w14:paraId="3D0DFB65"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val="en-PH" w:eastAsia="en-PH"/>
              </w:rPr>
              <w:t>R=0.720; R²=0.518; F=72.24;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58FE06D6" w14:textId="77777777" w:rsidR="00886C27" w:rsidRPr="00886C27" w:rsidRDefault="004C5898" w:rsidP="00886C27">
      <w:pPr>
        <w:pStyle w:val="Body"/>
        <w:rPr>
          <w:rFonts w:ascii="Arial" w:hAnsi="Arial" w:cs="Arial"/>
        </w:rPr>
      </w:pPr>
      <w:r>
        <w:rPr>
          <w:rFonts w:ascii="Arial" w:hAnsi="Arial" w:cs="Arial"/>
        </w:rPr>
        <w:t>Presented in Table 4</w:t>
      </w:r>
      <w:r w:rsidRPr="004C5898">
        <w:rPr>
          <w:rFonts w:ascii="Arial" w:hAnsi="Arial" w:cs="Arial"/>
        </w:rPr>
        <w:t xml:space="preserve"> </w:t>
      </w:r>
      <w:r w:rsidR="00886C27" w:rsidRPr="00886C27">
        <w:rPr>
          <w:rFonts w:ascii="Arial" w:hAnsi="Arial" w:cs="Arial"/>
        </w:rPr>
        <w:t xml:space="preserve">is the regression analysis of how different domains of the homeroom guidance practices—academic development, personal development, social development, and </w:t>
      </w:r>
      <w:r w:rsidR="00886C27" w:rsidRPr="00886C27">
        <w:rPr>
          <w:rFonts w:ascii="Arial" w:hAnsi="Arial" w:cs="Arial"/>
        </w:rPr>
        <w:lastRenderedPageBreak/>
        <w:t>career development—significantly influence academic persistence in public elementary schools. The regression model reveals that all four domains positively contribute to academic persistence. Specifically, career development (with a Beta of 0.82) has the strongest relationship with academic persistence, followed by social development (Beta of 0.80), personal development (Beta of 0.78), and academic development (Beta of 0.77). The t-statistics for each domain (4.45 for career development, 4.40 for social development, 4.38 for personal development, and 4.35 for academic development) and the p-values (all 0.000) confirm that these relationships are statistically significant.</w:t>
      </w:r>
    </w:p>
    <w:p w14:paraId="411B73A7" w14:textId="54B69025" w:rsidR="004C5898" w:rsidRDefault="00886C27" w:rsidP="00886C27">
      <w:pPr>
        <w:pStyle w:val="Body"/>
        <w:rPr>
          <w:rFonts w:ascii="Arial" w:hAnsi="Arial" w:cs="Arial"/>
        </w:rPr>
      </w:pPr>
      <w:r w:rsidRPr="00886C27">
        <w:rPr>
          <w:rFonts w:ascii="Arial" w:hAnsi="Arial" w:cs="Arial"/>
        </w:rPr>
        <w:t>The regression equation, academic persistence = 3.70 + 0.77 (academic development) + 0.78 (personal development) + 0.80 (social development) + 0.82 (career development), reveals that the overall model explains 51.8% of the variance in academic persistence (R² = 0.518). Additionally, the model's F-value of 72.24 and its p-value of 0.000 indicate that the mode</w:t>
      </w:r>
      <w:r>
        <w:rPr>
          <w:rFonts w:ascii="Arial" w:hAnsi="Arial" w:cs="Arial"/>
        </w:rPr>
        <w:t xml:space="preserve">l is statistically significant. </w:t>
      </w:r>
      <w:r w:rsidRPr="00886C27">
        <w:rPr>
          <w:rFonts w:ascii="Arial" w:hAnsi="Arial" w:cs="Arial"/>
        </w:rPr>
        <w:t>In conclusion, these results highlight that the domains of the homeroom guidance practices, particularly career development, social development, personal development, and academic development, play a crucial role in enhancing academic persistence among students.</w:t>
      </w:r>
    </w:p>
    <w:p w14:paraId="724F4742" w14:textId="77777777" w:rsidR="00886C27" w:rsidRPr="00886C27" w:rsidRDefault="00886C27" w:rsidP="00886C27">
      <w:pPr>
        <w:pStyle w:val="Body"/>
        <w:rPr>
          <w:rFonts w:ascii="Arial" w:hAnsi="Arial" w:cs="Arial"/>
        </w:rPr>
      </w:pPr>
      <w:r w:rsidRPr="00886C27">
        <w:rPr>
          <w:rFonts w:ascii="Arial" w:hAnsi="Arial" w:cs="Arial"/>
        </w:rPr>
        <w:t>Teachers who effectively implement these domains in their homeroom guidance programs contribute significantly to fostering students' determination, planning, and overall academic success. This suggests that a comprehensive approach in guiding students across all these domains can significantly improve their academic persistence and help them overcome academic challenges. Therefore, strengthening these domains in homeroom guidance programs is essential for promoting long-term academic achievement in public elementary schools.</w:t>
      </w:r>
    </w:p>
    <w:p w14:paraId="405E91D2" w14:textId="666D9A59" w:rsidR="00886C27" w:rsidRPr="00886C27" w:rsidRDefault="00886C27" w:rsidP="00886C27">
      <w:pPr>
        <w:pStyle w:val="Body"/>
        <w:rPr>
          <w:rFonts w:ascii="Arial" w:hAnsi="Arial" w:cs="Arial"/>
        </w:rPr>
      </w:pPr>
      <w:r w:rsidRPr="00886C27">
        <w:rPr>
          <w:rFonts w:ascii="Arial" w:hAnsi="Arial" w:cs="Arial"/>
        </w:rPr>
        <w:t>This finding is consistent with the research of Martin et al. (2022), who emphasized the significance of homeroom guidance practices in influencing academic persistence. Their study revealed that various components of homeroom guidance practices, including academic, personal, social, and career development, positively contribute to students' persistence in their academic pursuits. Additionally, research by Stephen et al. (2020) demonstrated that when teachers implement guidance strategies targeting these domains, students show increased motivation, dedication, and focus on long-term academic goals. Similarly, the work of Law et al. (2020) highlighted that a holistic approach to homeroom guidance, which encompasses personal, social, and career development, helps students develop the persistence needed to overcome academic challenges and maintain high performance throughout their educational journey.</w:t>
      </w: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4BD4B26A"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Based on the findings of the study, the following conclusions were formulated:</w:t>
      </w:r>
    </w:p>
    <w:p w14:paraId="39CD641A"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Firstly, the extent of homeroom guidance practices among teachers is always manifested, with teachers demonstrating strong engagement in academic development, personal development, social development, and career development. This indicates that teachers place a high emphasis on creating well-rounded educational experiences for their students, contributing to their growth in both academic and personal aspects.</w:t>
      </w:r>
    </w:p>
    <w:p w14:paraId="1785F9E3"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 xml:space="preserve">Secondly, the extent of academic persistence among students is always manifested, showing that students demonstrate high levels of determination, planning, implementation, and self-discipline. The results suggest that students consistently exhibit the persistence and discipline </w:t>
      </w:r>
      <w:r w:rsidRPr="00886C27">
        <w:rPr>
          <w:rFonts w:ascii="Arial" w:hAnsi="Arial" w:cs="Arial"/>
          <w:b w:val="0"/>
          <w:caps w:val="0"/>
          <w:sz w:val="20"/>
        </w:rPr>
        <w:lastRenderedPageBreak/>
        <w:t>necessary to achieve long-term academic goals and overcome challenges they may face during their educational journey.</w:t>
      </w:r>
    </w:p>
    <w:p w14:paraId="09D03509"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Thirdly, a significant relationship between the homeroom guidance practices and academic persistence was observed. This indicates that the more effectively the homeroom guidance program is implemented, the higher the academic persistence among students. The findings suggest that homeroom guidance program plays a critical role in fostering persistence, helping students stay focused on their academic goals and achieve success in their studies.</w:t>
      </w:r>
    </w:p>
    <w:p w14:paraId="138F5D42"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Fourthly, the domains of the homeroom guidance practices significantly influence academic persistence. This highlights the importance of incorporating academic development, personal development, social development, and career development into the homeroom guidance practices of teachers. Teachers who focus on these domains contribute significantly to students' academic persistence, helping them stay motivated and committed to their learning goals.</w:t>
      </w:r>
    </w:p>
    <w:p w14:paraId="7DF96F49"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This study is grounded in Student Engagement Theory, Social Support Theory, and Self-Determination Theory to explore the relationship between homeroom guidance practices and academic persistence.</w:t>
      </w:r>
    </w:p>
    <w:p w14:paraId="652F3A34" w14:textId="0293D9BE" w:rsidR="00886C27" w:rsidRPr="00886C27" w:rsidRDefault="00F92A13" w:rsidP="00886C27">
      <w:pPr>
        <w:pStyle w:val="ReferHead"/>
        <w:jc w:val="both"/>
        <w:rPr>
          <w:rFonts w:ascii="Arial" w:hAnsi="Arial" w:cs="Arial"/>
          <w:b w:val="0"/>
          <w:caps w:val="0"/>
          <w:sz w:val="20"/>
        </w:rPr>
      </w:pPr>
      <w:r w:rsidRPr="00F92A13">
        <w:rPr>
          <w:rFonts w:ascii="Arial" w:hAnsi="Arial" w:cs="Arial"/>
          <w:b w:val="0"/>
          <w:caps w:val="0"/>
          <w:sz w:val="20"/>
        </w:rPr>
        <w:t>Student Engagement Theory, developed by Barkley</w:t>
      </w:r>
      <w:r>
        <w:rPr>
          <w:rFonts w:ascii="Arial" w:hAnsi="Arial" w:cs="Arial"/>
          <w:b w:val="0"/>
          <w:caps w:val="0"/>
          <w:sz w:val="20"/>
        </w:rPr>
        <w:t xml:space="preserve"> </w:t>
      </w:r>
      <w:r w:rsidRPr="00F92A13">
        <w:rPr>
          <w:rFonts w:ascii="Arial" w:hAnsi="Arial" w:cs="Arial"/>
          <w:b w:val="0"/>
          <w:caps w:val="0"/>
          <w:sz w:val="20"/>
        </w:rPr>
        <w:t xml:space="preserve">&amp; Major </w:t>
      </w:r>
      <w:r>
        <w:rPr>
          <w:rFonts w:ascii="Arial" w:hAnsi="Arial" w:cs="Arial"/>
          <w:b w:val="0"/>
          <w:caps w:val="0"/>
          <w:sz w:val="20"/>
        </w:rPr>
        <w:t>(2020</w:t>
      </w:r>
      <w:r w:rsidRPr="00F92A13">
        <w:rPr>
          <w:rFonts w:ascii="Arial" w:hAnsi="Arial" w:cs="Arial"/>
          <w:b w:val="0"/>
          <w:caps w:val="0"/>
          <w:sz w:val="20"/>
        </w:rPr>
        <w:t xml:space="preserve">), as cited in </w:t>
      </w:r>
      <w:proofErr w:type="spellStart"/>
      <w:r w:rsidRPr="00F92A13">
        <w:rPr>
          <w:rFonts w:ascii="Arial" w:hAnsi="Arial" w:cs="Arial"/>
          <w:b w:val="0"/>
          <w:caps w:val="0"/>
          <w:sz w:val="20"/>
        </w:rPr>
        <w:t>Rachmad</w:t>
      </w:r>
      <w:proofErr w:type="spellEnd"/>
      <w:r>
        <w:rPr>
          <w:rFonts w:ascii="Arial" w:hAnsi="Arial" w:cs="Arial"/>
          <w:b w:val="0"/>
          <w:caps w:val="0"/>
          <w:sz w:val="20"/>
        </w:rPr>
        <w:t xml:space="preserve"> (2022)</w:t>
      </w:r>
      <w:r w:rsidR="00886C27" w:rsidRPr="00886C27">
        <w:rPr>
          <w:rFonts w:ascii="Arial" w:hAnsi="Arial" w:cs="Arial"/>
          <w:b w:val="0"/>
          <w:caps w:val="0"/>
          <w:sz w:val="20"/>
        </w:rPr>
        <w:t>, emphasizes the importance of students' active involvement in their learning process. This theory defines engagement as a multidimensional construct involving cognitive, emotional, and behavioral components that are crucial for academic success. In the context of homeroom guidance practices, this theory suggests that when students are actively engaged in their education, they are more likely to remain persistent in their academic pursuits. Homeroom guidance practices of teachers help increase student engagement by providing a platform for students to set goals, receive guidance, and feel supported, which directly contributes to their persistence and academic success.</w:t>
      </w:r>
    </w:p>
    <w:p w14:paraId="5FD8D24D" w14:textId="330670B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 xml:space="preserve">Moreover, Social Support Theory, proposed by </w:t>
      </w:r>
      <w:r w:rsidR="00F92A13" w:rsidRPr="00F92A13">
        <w:rPr>
          <w:rFonts w:ascii="Arial" w:hAnsi="Arial" w:cs="Arial"/>
          <w:b w:val="0"/>
          <w:caps w:val="0"/>
          <w:sz w:val="20"/>
        </w:rPr>
        <w:t>Cohen</w:t>
      </w:r>
      <w:r w:rsidR="00F92A13">
        <w:rPr>
          <w:rFonts w:ascii="Arial" w:hAnsi="Arial" w:cs="Arial"/>
          <w:b w:val="0"/>
          <w:caps w:val="0"/>
          <w:sz w:val="20"/>
        </w:rPr>
        <w:t xml:space="preserve"> </w:t>
      </w:r>
      <w:r w:rsidR="00F92A13" w:rsidRPr="00F92A13">
        <w:rPr>
          <w:rFonts w:ascii="Arial" w:hAnsi="Arial" w:cs="Arial"/>
          <w:b w:val="0"/>
          <w:caps w:val="0"/>
          <w:sz w:val="20"/>
        </w:rPr>
        <w:t xml:space="preserve">&amp; McKay </w:t>
      </w:r>
      <w:r w:rsidR="00F92A13">
        <w:rPr>
          <w:rFonts w:ascii="Arial" w:hAnsi="Arial" w:cs="Arial"/>
          <w:b w:val="0"/>
          <w:caps w:val="0"/>
          <w:sz w:val="20"/>
        </w:rPr>
        <w:t>(2020</w:t>
      </w:r>
      <w:r w:rsidRPr="00886C27">
        <w:rPr>
          <w:rFonts w:ascii="Arial" w:hAnsi="Arial" w:cs="Arial"/>
          <w:b w:val="0"/>
          <w:caps w:val="0"/>
          <w:sz w:val="20"/>
        </w:rPr>
        <w:t xml:space="preserve">), as cited by </w:t>
      </w:r>
      <w:proofErr w:type="spellStart"/>
      <w:r w:rsidRPr="00886C27">
        <w:rPr>
          <w:rFonts w:ascii="Arial" w:hAnsi="Arial" w:cs="Arial"/>
          <w:b w:val="0"/>
          <w:caps w:val="0"/>
          <w:sz w:val="20"/>
        </w:rPr>
        <w:t>Acoba</w:t>
      </w:r>
      <w:proofErr w:type="spellEnd"/>
      <w:r w:rsidRPr="00886C27">
        <w:rPr>
          <w:rFonts w:ascii="Arial" w:hAnsi="Arial" w:cs="Arial"/>
          <w:b w:val="0"/>
          <w:caps w:val="0"/>
          <w:sz w:val="20"/>
        </w:rPr>
        <w:t xml:space="preserve"> (2024), focuses on the role of social networks in supporting individuals through stress and challenges. The theory defines social support as the resources available through relationships with others that provide emotional, instrumental, and informational assistance. This theory relates to the study of homeroom guidance practices as they provide an essential support system for students. Homeroom guidance practices offer emotional, academic, and social support from teachers, counselors, and peers. By providing a network of support, these practices help students navigate academic and personal challenges, enhancing their persistence in school. Social support fosters a sense of belonging and reduces feelings of isolation, which are key factors in maintaining academic motivation and persistence.</w:t>
      </w:r>
    </w:p>
    <w:p w14:paraId="38D65CF8" w14:textId="1C08C604" w:rsidR="00F35314" w:rsidRDefault="00886C27" w:rsidP="00886C27">
      <w:pPr>
        <w:pStyle w:val="ReferHead"/>
        <w:spacing w:after="0"/>
        <w:jc w:val="both"/>
        <w:rPr>
          <w:rFonts w:ascii="Arial" w:hAnsi="Arial" w:cs="Arial"/>
          <w:b w:val="0"/>
          <w:caps w:val="0"/>
          <w:sz w:val="20"/>
        </w:rPr>
      </w:pPr>
      <w:r w:rsidRPr="00886C27">
        <w:rPr>
          <w:rFonts w:ascii="Arial" w:hAnsi="Arial" w:cs="Arial"/>
          <w:b w:val="0"/>
          <w:caps w:val="0"/>
          <w:sz w:val="20"/>
        </w:rPr>
        <w:t xml:space="preserve">Furthermore, Self-Determination Theory (SDT), proposed by Deci and Ryan (1985), as cited by Vallerand (2021), emphasizes the importance of autonomy, competence, and relatedness in fostering intrinsic motivation. SDT defines intrinsic motivation as the drive to engage in activities for their inherent satisfaction, rather than for external rewards. In the context of homeroom guidance practices, SDT is relevant because these practices help students develop their sense of competence through skill-building activities such as goal setting, time management, and problem-solving. Additionally, homeroom guidance practices foster a sense of relatedness by creating a supportive environment where students feel connected to their teachers and peers. The autonomy aspect is addressed by allowing students to take an active role in their learning and goal-setting, which can increase their intrinsic motivation to persist </w:t>
      </w:r>
      <w:r w:rsidRPr="00886C27">
        <w:rPr>
          <w:rFonts w:ascii="Arial" w:hAnsi="Arial" w:cs="Arial"/>
          <w:b w:val="0"/>
          <w:caps w:val="0"/>
          <w:sz w:val="20"/>
        </w:rPr>
        <w:lastRenderedPageBreak/>
        <w:t>academically. Students who feel competent, connected, and autonomous in their educational journey are more likely to remain committed to their studies.</w:t>
      </w: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01FE8A5D"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Based on the findings and conclusions of the study, the following recommendations were proposed:</w:t>
      </w:r>
    </w:p>
    <w:p w14:paraId="1D0ECE68"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Firstly, given the very extensive implementation of the homeroom guidance practices observed in the study, it may be recommended that school administrators focus on further enhancing these practices. Administrators may offer targeted professional development for teachers to improve their delivery of homeroom guidance, particularly in supporting students' academic persistence. Training may focus on strategies for guiding students to set academic goals, overcome challenges, and persist in their studies. Teachers may be encouraged to use these strategies within their homeroom sessions to foster a supportive environment that strengthens students' commitment to their education.</w:t>
      </w:r>
    </w:p>
    <w:p w14:paraId="5C111D3C"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Secondly, considering the very extensive academic persistence among students in the study, administrators may provide more opportunities to build on this by further developing the academic of the students. This could include providing teachers with additional resources, structured activities, and support mechanisms that encourage long-term academic dedication. Teachers may be supported through workshops and training that focus on integrating academic persistence strategies into their homeroom sessions, reinforcing the importance of helping students stay motivated and focused on their academic goals. Administrators may also focus on creating a supportive academic environment that fosters a sense of ownership and responsibility for learning, which ultimately contributes to higher academic persistence.</w:t>
      </w:r>
    </w:p>
    <w:p w14:paraId="179B7325"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Thirdly, recognizing the significant relationship between the implementation of the homeroom guidance academic persistence and academic persistence, it may be important for school administrators to explore how to deepen this relationship. Administrators may develop strategies to integrate homeroom guidance more explicitly with academic activities, reinforcing the connection between the guidance provided and the students' academic efforts. Teachers may be encouraged to actively involve students in academic goal setting and provide personalized academic support, helping students connect their participation in the homeroom guidance program with their own academic success and persistence.</w:t>
      </w:r>
    </w:p>
    <w:p w14:paraId="419D1EF2" w14:textId="0CAEB1F0"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 xml:space="preserve">Finally, in light of the significant influence of the domains of homeroom guidance academic persistence academic development, personal development, social development, and career development on academic persistence, administrators may consider strengthening these domains within their programs. Administrators may implement more focused interventions in each domain to enhance students' academic commitment. For example, by creating specialized workshops or activities that address specific needs in each domain, teachers can provide students with the tools they need to navigate academic challenges, improve self-discipline, and persist in their educational journeys. These targeted interventions may help ensure that all aspects of the homeroom guidance practices contribute effectively to </w:t>
      </w:r>
      <w:r w:rsidR="00257D6F">
        <w:rPr>
          <w:rFonts w:ascii="Arial" w:hAnsi="Arial" w:cs="Arial"/>
          <w:b w:val="0"/>
          <w:caps w:val="0"/>
          <w:sz w:val="20"/>
        </w:rPr>
        <w:t>students'</w:t>
      </w:r>
      <w:r w:rsidRPr="00886C27">
        <w:rPr>
          <w:rFonts w:ascii="Arial" w:hAnsi="Arial" w:cs="Arial"/>
          <w:b w:val="0"/>
          <w:caps w:val="0"/>
          <w:sz w:val="20"/>
        </w:rPr>
        <w:t xml:space="preserve"> academic persistence and success.</w:t>
      </w:r>
    </w:p>
    <w:p w14:paraId="53E88C64" w14:textId="6FB229A6" w:rsidR="009676BB" w:rsidRDefault="00886C27" w:rsidP="00886C27">
      <w:pPr>
        <w:pStyle w:val="ReferHead"/>
        <w:spacing w:after="0"/>
        <w:jc w:val="both"/>
        <w:rPr>
          <w:rFonts w:ascii="Arial" w:hAnsi="Arial" w:cs="Arial"/>
          <w:b w:val="0"/>
          <w:caps w:val="0"/>
          <w:sz w:val="20"/>
        </w:rPr>
      </w:pPr>
      <w:r w:rsidRPr="00886C27">
        <w:rPr>
          <w:rFonts w:ascii="Arial" w:hAnsi="Arial" w:cs="Arial"/>
          <w:b w:val="0"/>
          <w:caps w:val="0"/>
          <w:sz w:val="20"/>
        </w:rPr>
        <w:t xml:space="preserve">Future researchers may explore the long-term impact of homeroom guidance practices on students' academic persistence. They may also investigate how different domains of the homeroom guidance practices (academic, personal, social, and career development) interact with one another and influence students' overall academic performance. Additionally, </w:t>
      </w:r>
      <w:r w:rsidRPr="00886C27">
        <w:rPr>
          <w:rFonts w:ascii="Arial" w:hAnsi="Arial" w:cs="Arial"/>
          <w:b w:val="0"/>
          <w:caps w:val="0"/>
          <w:sz w:val="20"/>
        </w:rPr>
        <w:lastRenderedPageBreak/>
        <w:t>researchers may examine the impact of integrating homeroom guidance with other educational strategies and interventions, considering various educational contexts and how these approaches contribute to fostering academic persistence in diverse student populations.</w:t>
      </w:r>
    </w:p>
    <w:p w14:paraId="20F4AF1B" w14:textId="77777777" w:rsidR="00886C27" w:rsidRDefault="00886C27" w:rsidP="00886C27">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2421F161" w14:textId="7DEF5DEE" w:rsidR="00624A8B" w:rsidRDefault="00886C27" w:rsidP="00CD4D57">
      <w:pPr>
        <w:pStyle w:val="ReferHead"/>
        <w:spacing w:after="0"/>
        <w:jc w:val="both"/>
        <w:rPr>
          <w:rFonts w:ascii="Arial" w:hAnsi="Arial" w:cs="Arial"/>
          <w:b w:val="0"/>
          <w:caps w:val="0"/>
          <w:sz w:val="20"/>
        </w:rPr>
      </w:pPr>
      <w:r w:rsidRPr="00886C27">
        <w:rPr>
          <w:rFonts w:ascii="Arial" w:hAnsi="Arial" w:cs="Arial"/>
          <w:b w:val="0"/>
          <w:caps w:val="0"/>
          <w:sz w:val="20"/>
        </w:rPr>
        <w:t xml:space="preserve">This study was conducted in full compliance with established ethical standards to uphold the safety, dignity, and well-being of all participants. Prior to the data collection phase, the researcher secured all required authorizations, including an endorsement from the Dean of the Graduate School of Rizal Memorial Colleges and approval from the institution’s Ethics Review Committee. The ethical guidelines observed were based on the framework provided by </w:t>
      </w:r>
      <w:proofErr w:type="spellStart"/>
      <w:r w:rsidRPr="00886C27">
        <w:rPr>
          <w:rFonts w:ascii="Arial" w:hAnsi="Arial" w:cs="Arial"/>
          <w:b w:val="0"/>
          <w:caps w:val="0"/>
          <w:sz w:val="20"/>
        </w:rPr>
        <w:t>Pregoner</w:t>
      </w:r>
      <w:proofErr w:type="spellEnd"/>
      <w:r w:rsidRPr="00886C27">
        <w:rPr>
          <w:rFonts w:ascii="Arial" w:hAnsi="Arial" w:cs="Arial"/>
          <w:b w:val="0"/>
          <w:caps w:val="0"/>
          <w:sz w:val="20"/>
        </w:rPr>
        <w:t xml:space="preserve"> et al. (2025), ensuring adherence to current protocols for research involving human subjects in educational contexts. Participation was strictly voluntary, with all respondents thoroughly informed about the study’s objectives, scope, and their right to decline or withdraw at any point without consequences. Informed consent was obtained to verify their understanding and agreement to participate. To ensure confidentiality, no personally identifying information was collected, and all data were treated with the highest level of confidentiality. The information gathered was used exclusively for academic purposes. These procedures ensured the study was carried out with transparency, ethical rigor, and full professional responsibility.</w:t>
      </w:r>
    </w:p>
    <w:p w14:paraId="62F38126" w14:textId="77777777" w:rsidR="00886C27" w:rsidRDefault="00886C27"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7086F77" w14:textId="77777777" w:rsidR="00F92A13" w:rsidRPr="00F366B2" w:rsidRDefault="00F92A13" w:rsidP="00F92A13">
      <w:pPr>
        <w:ind w:left="720" w:hanging="720"/>
      </w:pPr>
      <w:proofErr w:type="spellStart"/>
      <w:r w:rsidRPr="00F366B2">
        <w:t>Acoba</w:t>
      </w:r>
      <w:proofErr w:type="spellEnd"/>
      <w:r w:rsidRPr="00F366B2">
        <w:t>, E. F. (2024). Social support and mental health: the mediating role of perceived stress. </w:t>
      </w:r>
      <w:r w:rsidRPr="00F366B2">
        <w:rPr>
          <w:i/>
          <w:iCs/>
        </w:rPr>
        <w:t>Frontiers in Psychology</w:t>
      </w:r>
      <w:r w:rsidRPr="00F366B2">
        <w:t>, </w:t>
      </w:r>
      <w:r w:rsidRPr="00F366B2">
        <w:rPr>
          <w:i/>
          <w:iCs/>
        </w:rPr>
        <w:t>15</w:t>
      </w:r>
      <w:r w:rsidRPr="00F366B2">
        <w:t xml:space="preserve">, 1330720. </w:t>
      </w:r>
      <w:hyperlink r:id="rId9" w:history="1">
        <w:r w:rsidRPr="00F366B2">
          <w:rPr>
            <w:rStyle w:val="Hyperlink"/>
            <w:color w:val="auto"/>
            <w:u w:val="none"/>
          </w:rPr>
          <w:t>https://www.frontiersin.org/journals/psychology/articles/10.3389/fpsyg.2024.1330720/pdf</w:t>
        </w:r>
      </w:hyperlink>
    </w:p>
    <w:p w14:paraId="69A8EDFD" w14:textId="77777777" w:rsidR="00F92A13" w:rsidRPr="00F366B2" w:rsidRDefault="00F92A13" w:rsidP="00F92A13">
      <w:pPr>
        <w:ind w:left="720" w:hanging="720"/>
      </w:pPr>
      <w:r w:rsidRPr="00F366B2">
        <w:t xml:space="preserve">Amir, L. R., Tanti, I., Maharani, D. A., </w:t>
      </w:r>
      <w:proofErr w:type="spellStart"/>
      <w:r w:rsidRPr="00F366B2">
        <w:t>Wimardhani</w:t>
      </w:r>
      <w:proofErr w:type="spellEnd"/>
      <w:r w:rsidRPr="00F366B2">
        <w:t xml:space="preserve">, Y. S., Julia, V., </w:t>
      </w:r>
      <w:proofErr w:type="spellStart"/>
      <w:r w:rsidRPr="00F366B2">
        <w:t>Sulijaya</w:t>
      </w:r>
      <w:proofErr w:type="spellEnd"/>
      <w:r w:rsidRPr="00F366B2">
        <w:t xml:space="preserve">, B., &amp; </w:t>
      </w:r>
      <w:proofErr w:type="spellStart"/>
      <w:r w:rsidRPr="00F366B2">
        <w:t>Puspitawati</w:t>
      </w:r>
      <w:proofErr w:type="spellEnd"/>
      <w:r w:rsidRPr="00F366B2">
        <w:t xml:space="preserve">, R. (2020). Student perspective of classroom and distance learning during COVID-19 pandemic in the undergraduate dental study program </w:t>
      </w:r>
      <w:proofErr w:type="spellStart"/>
      <w:r w:rsidRPr="00F366B2">
        <w:t>Universitas</w:t>
      </w:r>
      <w:proofErr w:type="spellEnd"/>
      <w:r w:rsidRPr="00F366B2">
        <w:t xml:space="preserve"> Indonesia. </w:t>
      </w:r>
      <w:r w:rsidRPr="00F366B2">
        <w:rPr>
          <w:i/>
          <w:iCs/>
        </w:rPr>
        <w:t>BMC medical education</w:t>
      </w:r>
      <w:r w:rsidRPr="00F366B2">
        <w:t xml:space="preserve">, </w:t>
      </w:r>
      <w:r w:rsidRPr="00F366B2">
        <w:rPr>
          <w:i/>
          <w:iCs/>
        </w:rPr>
        <w:t>20</w:t>
      </w:r>
      <w:r w:rsidRPr="00F366B2">
        <w:t xml:space="preserve">, 1-8. </w:t>
      </w:r>
      <w:hyperlink r:id="rId10" w:history="1">
        <w:r w:rsidRPr="00F366B2">
          <w:rPr>
            <w:rStyle w:val="Hyperlink"/>
            <w:color w:val="auto"/>
            <w:u w:val="none"/>
          </w:rPr>
          <w:t>https://link.springer.com/content/pdf/10.1186/s12909-020-02312-0.pdf</w:t>
        </w:r>
      </w:hyperlink>
      <w:r w:rsidRPr="00F366B2">
        <w:t> </w:t>
      </w:r>
    </w:p>
    <w:p w14:paraId="10BEE0E0" w14:textId="77777777" w:rsidR="00F92A13" w:rsidRPr="00F366B2" w:rsidRDefault="00F92A13" w:rsidP="00F92A13">
      <w:pPr>
        <w:ind w:left="720" w:hanging="720"/>
      </w:pPr>
      <w:r w:rsidRPr="00F366B2">
        <w:t>Barkley, E. F., &amp; Major, C. H. (2020). </w:t>
      </w:r>
      <w:r w:rsidRPr="00F366B2">
        <w:rPr>
          <w:i/>
          <w:iCs/>
        </w:rPr>
        <w:t>Student engagement techniques: A handbook for college faculty</w:t>
      </w:r>
      <w:r w:rsidRPr="00F366B2">
        <w:t xml:space="preserve">. John Wiley &amp; Sons. </w:t>
      </w:r>
      <w:hyperlink r:id="rId11" w:history="1">
        <w:r w:rsidRPr="00F366B2">
          <w:rPr>
            <w:rStyle w:val="Hyperlink"/>
            <w:color w:val="auto"/>
            <w:u w:val="none"/>
          </w:rPr>
          <w:t>https://scholarworks.iu.edu/journals/index.php/josotl/article/download/1815/1812/6594</w:t>
        </w:r>
      </w:hyperlink>
    </w:p>
    <w:p w14:paraId="05C59C50" w14:textId="77777777" w:rsidR="00F92A13" w:rsidRPr="00F366B2" w:rsidRDefault="00F92A13" w:rsidP="00F92A13">
      <w:pPr>
        <w:ind w:left="720" w:hanging="720"/>
      </w:pPr>
      <w:proofErr w:type="spellStart"/>
      <w:r w:rsidRPr="00F366B2">
        <w:t>Bernacki</w:t>
      </w:r>
      <w:proofErr w:type="spellEnd"/>
      <w:r w:rsidRPr="00F366B2">
        <w:t xml:space="preserve">, M. L., Greene, M. J., &amp; </w:t>
      </w:r>
      <w:proofErr w:type="spellStart"/>
      <w:r w:rsidRPr="00F366B2">
        <w:t>Lobczowski</w:t>
      </w:r>
      <w:proofErr w:type="spellEnd"/>
      <w:r w:rsidRPr="00F366B2">
        <w:t>, N. G. (2021). A systematic review of research on personalized learning: Personalized by whom, to what, how, and for what purpose (s</w:t>
      </w:r>
      <w:proofErr w:type="gramStart"/>
      <w:r w:rsidRPr="00F366B2">
        <w:t>)?.</w:t>
      </w:r>
      <w:proofErr w:type="gramEnd"/>
      <w:r w:rsidRPr="00F366B2">
        <w:t xml:space="preserve"> Educational Psychology Review, 33(4), 1675-1715. </w:t>
      </w:r>
      <w:hyperlink r:id="rId12" w:history="1">
        <w:r w:rsidRPr="00F366B2">
          <w:rPr>
            <w:rStyle w:val="Hyperlink"/>
            <w:color w:val="auto"/>
            <w:u w:val="none"/>
          </w:rPr>
          <w:t>https://link.springer.com/article/10.1007/s10648-021-09615-8</w:t>
        </w:r>
      </w:hyperlink>
    </w:p>
    <w:p w14:paraId="090A5F9D" w14:textId="77777777" w:rsidR="00F92A13" w:rsidRPr="00F366B2" w:rsidRDefault="00F92A13" w:rsidP="00F92A13">
      <w:pPr>
        <w:ind w:left="720" w:hanging="720"/>
      </w:pPr>
      <w:r w:rsidRPr="00F366B2">
        <w:lastRenderedPageBreak/>
        <w:t xml:space="preserve">Castro-Lopez, A., Cervero, A., </w:t>
      </w:r>
      <w:proofErr w:type="spellStart"/>
      <w:r w:rsidRPr="00F366B2">
        <w:t>Galve</w:t>
      </w:r>
      <w:proofErr w:type="spellEnd"/>
      <w:r w:rsidRPr="00F366B2">
        <w:t xml:space="preserve">-González, C., Puente, J., &amp; Bernardo, A. B. (2022). Evaluating critical success factors in the permanence in Higher Education using multi-criteria decision-making. Higher Education Research &amp; Development, 41(3), 628-646. </w:t>
      </w:r>
      <w:hyperlink r:id="rId13" w:history="1">
        <w:r w:rsidRPr="00F366B2">
          <w:rPr>
            <w:rStyle w:val="Hyperlink"/>
            <w:color w:val="auto"/>
            <w:u w:val="none"/>
          </w:rPr>
          <w:t>https://www.tandfonline.com/doi/abs/10.1080/07294360.2021.1877631</w:t>
        </w:r>
      </w:hyperlink>
    </w:p>
    <w:p w14:paraId="6E02C680" w14:textId="77777777" w:rsidR="00F92A13" w:rsidRPr="00F366B2" w:rsidRDefault="00F92A13" w:rsidP="00F92A13">
      <w:pPr>
        <w:ind w:left="720" w:hanging="720"/>
      </w:pPr>
      <w:r w:rsidRPr="00F366B2">
        <w:t>Cohen, S., &amp; McKay, G. (2020). Social support, stress and the buffering hypothesis: A theoretical analysis. In </w:t>
      </w:r>
      <w:r w:rsidRPr="00F366B2">
        <w:rPr>
          <w:i/>
          <w:iCs/>
        </w:rPr>
        <w:t>Handbook of psychology and health, Volume IV</w:t>
      </w:r>
      <w:r w:rsidRPr="00F366B2">
        <w:t xml:space="preserve"> (pp. 253-267). Routledge. </w:t>
      </w:r>
      <w:hyperlink r:id="rId14" w:history="1">
        <w:r w:rsidRPr="00F366B2">
          <w:rPr>
            <w:rStyle w:val="Hyperlink"/>
            <w:color w:val="auto"/>
            <w:u w:val="none"/>
          </w:rPr>
          <w:t>https://www.academia.edu/download/58472093/buffer84.pdf</w:t>
        </w:r>
      </w:hyperlink>
    </w:p>
    <w:p w14:paraId="7B860CBD" w14:textId="77777777" w:rsidR="00F92A13" w:rsidRPr="00F366B2" w:rsidRDefault="00F92A13" w:rsidP="00F92A13">
      <w:pPr>
        <w:ind w:left="720" w:hanging="720"/>
      </w:pPr>
      <w:r w:rsidRPr="00F366B2">
        <w:t xml:space="preserve">Comings, J. P. (2023). Persistence: Helping adult education students reach their goals. In Review of Adult Learning and Literacy, Volume 7 (pp. 23-46). Routledge. </w:t>
      </w:r>
      <w:hyperlink r:id="rId15" w:history="1">
        <w:r w:rsidRPr="00F366B2">
          <w:rPr>
            <w:rStyle w:val="Hyperlink"/>
            <w:color w:val="auto"/>
            <w:u w:val="none"/>
          </w:rPr>
          <w:t>https://www.researchgate.net/profile/John-Comings/publication/370694438_Persistence_Helping_Adult_Education_Students_Reach_Their_Goals/links/6580ab6c0bb2c7472bf3e56b/Persistence-Helping-Adult-Education-Students-Reach-Their-Goals.pdf</w:t>
        </w:r>
      </w:hyperlink>
    </w:p>
    <w:p w14:paraId="60A3B2C2" w14:textId="77777777" w:rsidR="00F92A13" w:rsidRPr="00F366B2" w:rsidRDefault="00F92A13" w:rsidP="00F92A13">
      <w:pPr>
        <w:ind w:left="720" w:hanging="720"/>
      </w:pPr>
      <w:r w:rsidRPr="00F366B2">
        <w:t xml:space="preserve">Cortez, A. O., </w:t>
      </w:r>
      <w:proofErr w:type="spellStart"/>
      <w:r w:rsidRPr="00F366B2">
        <w:t>Galman</w:t>
      </w:r>
      <w:proofErr w:type="spellEnd"/>
      <w:r w:rsidRPr="00F366B2">
        <w:t xml:space="preserve">, S. M. A., Tomas, M. J. L., &amp; Cortez, B. E. O. (2023, July). Guidance and Counseling and Homeroom Guidance in Public Schools: How Do We Do in This Time of </w:t>
      </w:r>
      <w:proofErr w:type="gramStart"/>
      <w:r w:rsidRPr="00F366B2">
        <w:t>Pandemic?.</w:t>
      </w:r>
      <w:proofErr w:type="gramEnd"/>
      <w:r w:rsidRPr="00F366B2">
        <w:t xml:space="preserve"> In </w:t>
      </w:r>
      <w:r w:rsidRPr="00F366B2">
        <w:rPr>
          <w:i/>
          <w:iCs/>
        </w:rPr>
        <w:t>3rd International Conference on Education and Technology (ICETECH 2022)</w:t>
      </w:r>
      <w:r w:rsidRPr="00F366B2">
        <w:t xml:space="preserve"> (pp. 602-611). Atlantis Press. </w:t>
      </w:r>
      <w:hyperlink r:id="rId16" w:history="1">
        <w:r w:rsidRPr="00F366B2">
          <w:rPr>
            <w:rStyle w:val="Hyperlink"/>
            <w:color w:val="auto"/>
            <w:u w:val="none"/>
          </w:rPr>
          <w:t>https://www.atlantis-press.com/proceedings/icetech-22/125989146</w:t>
        </w:r>
      </w:hyperlink>
      <w:r w:rsidRPr="00F366B2">
        <w:t> </w:t>
      </w:r>
    </w:p>
    <w:p w14:paraId="030D9F50" w14:textId="77777777" w:rsidR="00F92A13" w:rsidRPr="00F366B2" w:rsidRDefault="00F92A13" w:rsidP="00F92A13">
      <w:pPr>
        <w:ind w:left="720" w:hanging="720"/>
      </w:pPr>
      <w:r w:rsidRPr="00F366B2">
        <w:t xml:space="preserve">Dunne, M., Humphreys, S., &amp; </w:t>
      </w:r>
      <w:proofErr w:type="spellStart"/>
      <w:r w:rsidRPr="00F366B2">
        <w:t>Szyp</w:t>
      </w:r>
      <w:proofErr w:type="spellEnd"/>
      <w:r w:rsidRPr="00F366B2">
        <w:t>, C. (2023). Education and work: Children’s lives in rural sub-Saharan Africa. </w:t>
      </w:r>
      <w:r w:rsidRPr="00F366B2">
        <w:rPr>
          <w:i/>
          <w:iCs/>
        </w:rPr>
        <w:t>Children’s Work in African Agriculture</w:t>
      </w:r>
      <w:r w:rsidRPr="00F366B2">
        <w:t>, </w:t>
      </w:r>
      <w:r w:rsidRPr="00F366B2">
        <w:rPr>
          <w:i/>
          <w:iCs/>
        </w:rPr>
        <w:t>81</w:t>
      </w:r>
      <w:r w:rsidRPr="00F366B2">
        <w:t xml:space="preserve">. </w:t>
      </w:r>
      <w:hyperlink r:id="rId17" w:anchor="page=102" w:history="1">
        <w:r w:rsidRPr="00F366B2">
          <w:rPr>
            <w:rStyle w:val="Hyperlink"/>
            <w:color w:val="auto"/>
            <w:u w:val="none"/>
          </w:rPr>
          <w:t>https://library.oapen.org/bitstream/handle/20.500.12657/62007/9781529226072.pdf?sequence=1#page=102</w:t>
        </w:r>
      </w:hyperlink>
    </w:p>
    <w:p w14:paraId="3CA56394" w14:textId="77777777" w:rsidR="00F92A13" w:rsidRPr="00F366B2" w:rsidRDefault="00F92A13" w:rsidP="00F92A13">
      <w:pPr>
        <w:ind w:left="720" w:hanging="720"/>
      </w:pPr>
      <w:r w:rsidRPr="00F366B2">
        <w:t xml:space="preserve">Hempel, B., </w:t>
      </w:r>
      <w:proofErr w:type="spellStart"/>
      <w:r w:rsidRPr="00F366B2">
        <w:t>Kiehlbaugh</w:t>
      </w:r>
      <w:proofErr w:type="spellEnd"/>
      <w:r w:rsidRPr="00F366B2">
        <w:t>, K., &amp; Blowers, P. (2020). Scalable and practical teaching practices faculty can deploy to increase retention: A faculty cookbook for increasing student success. </w:t>
      </w:r>
      <w:r w:rsidRPr="00F366B2">
        <w:rPr>
          <w:i/>
          <w:iCs/>
        </w:rPr>
        <w:t>Education for Chemical Engineers</w:t>
      </w:r>
      <w:r w:rsidRPr="00F366B2">
        <w:t>, </w:t>
      </w:r>
      <w:r w:rsidRPr="00F366B2">
        <w:rPr>
          <w:i/>
          <w:iCs/>
        </w:rPr>
        <w:t>33</w:t>
      </w:r>
      <w:r w:rsidRPr="00F366B2">
        <w:t>, 45-65. https://www.sciencedirect.com/science/article/pii/S1749772820300427</w:t>
      </w:r>
    </w:p>
    <w:p w14:paraId="2FEA025B" w14:textId="77777777" w:rsidR="00F92A13" w:rsidRPr="00F366B2" w:rsidRDefault="00F92A13" w:rsidP="00F92A13">
      <w:pPr>
        <w:ind w:left="720" w:hanging="720"/>
      </w:pPr>
      <w:r w:rsidRPr="00F366B2">
        <w:t xml:space="preserve">Hernandez, E., Moreno-Murcia, J. A., Cid, L., Monteiro, D., &amp; Rodrigues, F. (2020). Passion or perseverance? The effect of perceived autonomy support and grit on academic performance in college students. International journal of environmental research and public health, 17(6), 2143. </w:t>
      </w:r>
      <w:hyperlink r:id="rId18" w:history="1">
        <w:r w:rsidRPr="00F366B2">
          <w:rPr>
            <w:rStyle w:val="Hyperlink"/>
            <w:color w:val="auto"/>
            <w:u w:val="none"/>
          </w:rPr>
          <w:t>https://www.mdpi.com/1660-4601/17/6/2143</w:t>
        </w:r>
      </w:hyperlink>
    </w:p>
    <w:p w14:paraId="3F692284" w14:textId="77777777" w:rsidR="00F92A13" w:rsidRPr="00F366B2" w:rsidRDefault="00F92A13" w:rsidP="00F92A13">
      <w:pPr>
        <w:ind w:left="720" w:hanging="720"/>
      </w:pPr>
      <w:proofErr w:type="spellStart"/>
      <w:r w:rsidRPr="00F366B2">
        <w:t>Hyoduk</w:t>
      </w:r>
      <w:proofErr w:type="spellEnd"/>
      <w:r w:rsidRPr="00F366B2">
        <w:t>, K., &amp; Cruz, R. A. O. D. (2024). Contributing and Hindering Factors of Learner’s Persistence in a Free Basic Education. </w:t>
      </w:r>
      <w:r w:rsidRPr="00F366B2">
        <w:rPr>
          <w:i/>
          <w:iCs/>
        </w:rPr>
        <w:t>Multidisciplinary Journal for Education, Social and Technological Sciences</w:t>
      </w:r>
      <w:r w:rsidRPr="00F366B2">
        <w:t>, </w:t>
      </w:r>
      <w:r w:rsidRPr="00F366B2">
        <w:rPr>
          <w:i/>
          <w:iCs/>
        </w:rPr>
        <w:t>11</w:t>
      </w:r>
      <w:r w:rsidRPr="00F366B2">
        <w:t xml:space="preserve">(1), 20-40. </w:t>
      </w:r>
      <w:hyperlink r:id="rId19" w:history="1">
        <w:r w:rsidRPr="00F366B2">
          <w:rPr>
            <w:rStyle w:val="Hyperlink"/>
            <w:color w:val="auto"/>
            <w:u w:val="none"/>
          </w:rPr>
          <w:t>https://polipapers.upv.es/index.php/MUSE/article/download/20173/16488</w:t>
        </w:r>
      </w:hyperlink>
    </w:p>
    <w:p w14:paraId="3F5E0A67" w14:textId="77777777" w:rsidR="00F92A13" w:rsidRPr="00F366B2" w:rsidRDefault="00F92A13" w:rsidP="00F92A13">
      <w:pPr>
        <w:ind w:left="720" w:hanging="720"/>
      </w:pPr>
      <w:proofErr w:type="spellStart"/>
      <w:r w:rsidRPr="00F366B2">
        <w:t>Jaravata</w:t>
      </w:r>
      <w:proofErr w:type="spellEnd"/>
      <w:r w:rsidRPr="00F366B2">
        <w:t xml:space="preserve">, V. A., Silva, V. J., Delos Angeles, R. V., </w:t>
      </w:r>
      <w:proofErr w:type="spellStart"/>
      <w:r w:rsidRPr="00F366B2">
        <w:t>Serafica</w:t>
      </w:r>
      <w:proofErr w:type="spellEnd"/>
      <w:r w:rsidRPr="00F366B2">
        <w:t xml:space="preserve">, J. G., &amp; </w:t>
      </w:r>
      <w:proofErr w:type="spellStart"/>
      <w:r w:rsidRPr="00F366B2">
        <w:t>Muria</w:t>
      </w:r>
      <w:proofErr w:type="spellEnd"/>
      <w:r w:rsidRPr="00F366B2">
        <w:t xml:space="preserve">, N. M. (2024). SELF-DETERMINATION AND ACADEMIC PERSISTENCE AMONG ALTERNATIVE LEARNING SYSTEM STUDENTS: IMPLICATIONS FOR PROGRAM ENRICHMENT. PSYCHOLOGY AND EDUCATION: A MULTIDISCIPLINARY JOURNAL, 20(10), 1344-1356. </w:t>
      </w:r>
      <w:hyperlink r:id="rId20" w:history="1">
        <w:r w:rsidRPr="00F366B2">
          <w:rPr>
            <w:rStyle w:val="Hyperlink"/>
            <w:color w:val="auto"/>
            <w:u w:val="none"/>
          </w:rPr>
          <w:t>https://scimatic.org/storage/journals/11/pdfs/3085.pdf</w:t>
        </w:r>
      </w:hyperlink>
    </w:p>
    <w:p w14:paraId="15C1F334" w14:textId="77777777" w:rsidR="00F92A13" w:rsidRPr="00F366B2" w:rsidRDefault="00F92A13" w:rsidP="00F92A13">
      <w:pPr>
        <w:ind w:left="720" w:hanging="720"/>
      </w:pPr>
      <w:proofErr w:type="spellStart"/>
      <w:r w:rsidRPr="00F366B2">
        <w:t>Karunarathna</w:t>
      </w:r>
      <w:proofErr w:type="spellEnd"/>
      <w:r w:rsidRPr="00F366B2">
        <w:t xml:space="preserve">, I., </w:t>
      </w:r>
      <w:proofErr w:type="spellStart"/>
      <w:r w:rsidRPr="00F366B2">
        <w:t>Gunasena</w:t>
      </w:r>
      <w:proofErr w:type="spellEnd"/>
      <w:r w:rsidRPr="00F366B2">
        <w:t xml:space="preserve">, P., </w:t>
      </w:r>
      <w:proofErr w:type="spellStart"/>
      <w:r w:rsidRPr="00F366B2">
        <w:t>Hapuarachchi</w:t>
      </w:r>
      <w:proofErr w:type="spellEnd"/>
      <w:r w:rsidRPr="00F366B2">
        <w:t xml:space="preserve">, T., &amp; </w:t>
      </w:r>
      <w:proofErr w:type="spellStart"/>
      <w:r w:rsidRPr="00F366B2">
        <w:t>Gunathilake</w:t>
      </w:r>
      <w:proofErr w:type="spellEnd"/>
      <w:r w:rsidRPr="00F366B2">
        <w:t>, S. (2024). The crucial role of data collection in research: Techniques, challenges, and best practices. </w:t>
      </w:r>
      <w:proofErr w:type="spellStart"/>
      <w:r w:rsidRPr="00F366B2">
        <w:rPr>
          <w:i/>
          <w:iCs/>
        </w:rPr>
        <w:t>Uva</w:t>
      </w:r>
      <w:proofErr w:type="spellEnd"/>
      <w:r w:rsidRPr="00F366B2">
        <w:rPr>
          <w:i/>
          <w:iCs/>
        </w:rPr>
        <w:t xml:space="preserve"> Clinical Research</w:t>
      </w:r>
      <w:r w:rsidRPr="00F366B2">
        <w:t xml:space="preserve">, 1-24. </w:t>
      </w:r>
      <w:hyperlink r:id="rId21" w:history="1">
        <w:r w:rsidRPr="00F366B2">
          <w:rPr>
            <w:rStyle w:val="Hyperlink"/>
            <w:color w:val="auto"/>
            <w:u w:val="none"/>
          </w:rPr>
          <w:t>https://www.researchgate.net/profile/Indunil-Karunarathna/publication/383155720_The_Crucial_Role_of_Data_Collection_in_Research_Techniques_Challenges_and_Best_Practices/links/66bef1c6311cbb09493d6200/The-Crucial-Role-of-Data-Collection-in-Research-Techniques-Challenges-and-Best-Practices.pdf</w:t>
        </w:r>
      </w:hyperlink>
      <w:r w:rsidRPr="00F366B2">
        <w:t xml:space="preserve"> </w:t>
      </w:r>
    </w:p>
    <w:p w14:paraId="4C9BC6F0" w14:textId="77777777" w:rsidR="00F92A13" w:rsidRPr="00F366B2" w:rsidRDefault="00F92A13" w:rsidP="00F92A13">
      <w:pPr>
        <w:ind w:left="720" w:hanging="720"/>
      </w:pPr>
      <w:r w:rsidRPr="00F366B2">
        <w:t xml:space="preserve">Kirby, L. A., &amp; Thomas, C. L. (2022). High-impact teaching practices foster a greater sense of belonging in the college classroom. </w:t>
      </w:r>
      <w:r w:rsidRPr="00F366B2">
        <w:rPr>
          <w:i/>
          <w:iCs/>
        </w:rPr>
        <w:t>Journal of Further and Higher Education</w:t>
      </w:r>
      <w:r w:rsidRPr="00F366B2">
        <w:t xml:space="preserve">, </w:t>
      </w:r>
      <w:r w:rsidRPr="00F366B2">
        <w:rPr>
          <w:i/>
          <w:iCs/>
        </w:rPr>
        <w:t>46</w:t>
      </w:r>
      <w:r w:rsidRPr="00F366B2">
        <w:t xml:space="preserve">(3), 368-381. </w:t>
      </w:r>
      <w:hyperlink r:id="rId22" w:history="1">
        <w:r w:rsidRPr="00F366B2">
          <w:rPr>
            <w:rStyle w:val="Hyperlink"/>
            <w:color w:val="auto"/>
            <w:u w:val="none"/>
          </w:rPr>
          <w:t>https://www.tandfonline.com/doi/abs/10.1080/0309877X.2021.1950659</w:t>
        </w:r>
      </w:hyperlink>
    </w:p>
    <w:p w14:paraId="0F2BD61C" w14:textId="77777777" w:rsidR="00F92A13" w:rsidRPr="00F366B2" w:rsidRDefault="00F92A13" w:rsidP="00F92A13">
      <w:pPr>
        <w:ind w:left="720" w:hanging="720"/>
      </w:pPr>
      <w:proofErr w:type="spellStart"/>
      <w:r w:rsidRPr="00F366B2">
        <w:t>Koslouski</w:t>
      </w:r>
      <w:proofErr w:type="spellEnd"/>
      <w:r w:rsidRPr="00F366B2">
        <w:t xml:space="preserve">, J. B., &amp; Stark, K. (2021). Promoting learning for students experiencing adversity and trauma: The everyday, yet profound, actions of teachers. The Elementary </w:t>
      </w:r>
      <w:r w:rsidRPr="00F366B2">
        <w:lastRenderedPageBreak/>
        <w:t xml:space="preserve">School Journal, 121(3), 430-453. </w:t>
      </w:r>
      <w:hyperlink r:id="rId23" w:history="1">
        <w:r w:rsidRPr="00F366B2">
          <w:rPr>
            <w:rStyle w:val="Hyperlink"/>
            <w:color w:val="auto"/>
            <w:u w:val="none"/>
          </w:rPr>
          <w:t>https://www.journals.uchicago.edu/doi/abs/10.1086/712606</w:t>
        </w:r>
      </w:hyperlink>
    </w:p>
    <w:p w14:paraId="1FC19962" w14:textId="77777777" w:rsidR="00F92A13" w:rsidRPr="00F366B2" w:rsidRDefault="00F92A13" w:rsidP="00F92A13">
      <w:pPr>
        <w:ind w:left="720" w:hanging="720"/>
      </w:pPr>
      <w:proofErr w:type="spellStart"/>
      <w:r w:rsidRPr="00F366B2">
        <w:t>Kulikowski</w:t>
      </w:r>
      <w:proofErr w:type="spellEnd"/>
      <w:r w:rsidRPr="00F366B2">
        <w:t xml:space="preserve">, K., </w:t>
      </w:r>
      <w:proofErr w:type="spellStart"/>
      <w:r w:rsidRPr="00F366B2">
        <w:t>Przytuła</w:t>
      </w:r>
      <w:proofErr w:type="spellEnd"/>
      <w:r w:rsidRPr="00F366B2">
        <w:t xml:space="preserve">, S., &amp; </w:t>
      </w:r>
      <w:proofErr w:type="spellStart"/>
      <w:r w:rsidRPr="00F366B2">
        <w:t>Sułkowski</w:t>
      </w:r>
      <w:proofErr w:type="spellEnd"/>
      <w:r w:rsidRPr="00F366B2">
        <w:t>, Ł. (2022). E</w:t>
      </w:r>
      <w:r w:rsidRPr="00F366B2">
        <w:rPr>
          <w:rFonts w:ascii="Cambria Math" w:hAnsi="Cambria Math" w:cs="Cambria Math"/>
        </w:rPr>
        <w:t>‐</w:t>
      </w:r>
      <w:r w:rsidRPr="00F366B2">
        <w:t>learning? Never again! On the unintended consequences of COVID</w:t>
      </w:r>
      <w:r w:rsidRPr="00F366B2">
        <w:rPr>
          <w:rFonts w:ascii="Cambria Math" w:hAnsi="Cambria Math" w:cs="Cambria Math"/>
        </w:rPr>
        <w:t>‐</w:t>
      </w:r>
      <w:r w:rsidRPr="00F366B2">
        <w:t>19 forced e</w:t>
      </w:r>
      <w:r w:rsidRPr="00F366B2">
        <w:rPr>
          <w:rFonts w:ascii="Cambria Math" w:hAnsi="Cambria Math" w:cs="Cambria Math"/>
        </w:rPr>
        <w:t>‐</w:t>
      </w:r>
      <w:r w:rsidRPr="00F366B2">
        <w:t xml:space="preserve">learning on academic teacher motivational job characteristics. Higher Education Quarterly, 76(1), 174-189. </w:t>
      </w:r>
      <w:hyperlink r:id="rId24" w:history="1">
        <w:r w:rsidRPr="00F366B2">
          <w:rPr>
            <w:rStyle w:val="Hyperlink"/>
            <w:color w:val="auto"/>
            <w:u w:val="none"/>
          </w:rPr>
          <w:t>https://onlinelibrary.wiley.com/doi/abs/10.1111/hequ.12314</w:t>
        </w:r>
      </w:hyperlink>
    </w:p>
    <w:p w14:paraId="61261AB1" w14:textId="77777777" w:rsidR="00F92A13" w:rsidRPr="00F366B2" w:rsidRDefault="00F92A13" w:rsidP="00F92A13">
      <w:pPr>
        <w:ind w:left="720" w:hanging="720"/>
      </w:pPr>
      <w:proofErr w:type="spellStart"/>
      <w:r w:rsidRPr="00F366B2">
        <w:t>Laghari</w:t>
      </w:r>
      <w:proofErr w:type="spellEnd"/>
      <w:r w:rsidRPr="00F366B2">
        <w:t xml:space="preserve">, M. A., Siddiqui, A., Shaikh, S., &amp; Shaikh, M. S. (2024). An Analytical Study of Dropout, School Environment and Teaching Practices. Remittances Rev, 9(2), 4539-4549. </w:t>
      </w:r>
      <w:hyperlink r:id="rId25" w:history="1">
        <w:r w:rsidRPr="00F366B2">
          <w:rPr>
            <w:rStyle w:val="Hyperlink"/>
            <w:color w:val="auto"/>
            <w:u w:val="none"/>
          </w:rPr>
          <w:t>https://www.researchgate.net/profile/Murtaza-Ali-17/publication/381608546_An_Analytical_Study_of_Dropout_School_Environment_and_Teaching_Practices/links/6675b7268408575b837d46a4/An-Analytical-Study-of-Dropout-School-Environment-and-Teaching-Practices.pdf</w:t>
        </w:r>
      </w:hyperlink>
    </w:p>
    <w:p w14:paraId="0DDAED31" w14:textId="77777777" w:rsidR="00F92A13" w:rsidRPr="00F366B2" w:rsidRDefault="00F92A13" w:rsidP="00F92A13">
      <w:pPr>
        <w:ind w:left="720" w:hanging="720"/>
      </w:pPr>
      <w:r w:rsidRPr="00F366B2">
        <w:t xml:space="preserve">Law, D. D., Hales, K., &amp; </w:t>
      </w:r>
      <w:proofErr w:type="spellStart"/>
      <w:r w:rsidRPr="00F366B2">
        <w:t>Busenbark</w:t>
      </w:r>
      <w:proofErr w:type="spellEnd"/>
      <w:r w:rsidRPr="00F366B2">
        <w:t xml:space="preserve">, D. (2020). Student success: A literature review of faculty to student mentoring. Journal on Empowering Teaching Excellence, 4(1), 6. </w:t>
      </w:r>
      <w:hyperlink r:id="rId26" w:history="1">
        <w:r w:rsidRPr="00F366B2">
          <w:rPr>
            <w:rStyle w:val="Hyperlink"/>
            <w:color w:val="auto"/>
            <w:u w:val="none"/>
          </w:rPr>
          <w:t>https://digitalcommons.usu.edu/cgi/viewcontent.cgi?article=1057&amp;context=jete</w:t>
        </w:r>
      </w:hyperlink>
    </w:p>
    <w:p w14:paraId="22CA3211" w14:textId="77777777" w:rsidR="00F92A13" w:rsidRPr="00F366B2" w:rsidRDefault="00F92A13" w:rsidP="00F92A13">
      <w:pPr>
        <w:ind w:left="720" w:hanging="720"/>
      </w:pPr>
      <w:r w:rsidRPr="00F366B2">
        <w:t xml:space="preserve">Martin, S. (2022). </w:t>
      </w:r>
      <w:proofErr w:type="spellStart"/>
      <w:r w:rsidRPr="00F366B2">
        <w:t>Self Discipline</w:t>
      </w:r>
      <w:proofErr w:type="spellEnd"/>
      <w:r w:rsidRPr="00F366B2">
        <w:t xml:space="preserve"> &amp; Time Management: Discover Powerful Strategies to Develop Everlasting Habits to Increase Productivity, Master Mental Toughness, Amplify Focus, and Achieve Your Goals! (Vol. 3). GA Publishing. </w:t>
      </w:r>
      <w:hyperlink r:id="rId27" w:history="1">
        <w:r w:rsidRPr="00F366B2">
          <w:rPr>
            <w:rStyle w:val="Hyperlink"/>
            <w:color w:val="auto"/>
            <w:u w:val="none"/>
          </w:rPr>
          <w:t>https://books.google.com/books?hl=en&amp;lr=&amp;id=oNtiEAAAQBAJ&amp;oi=fnd&amp;pg=PT4&amp;dq=Self-Discipline+is+the+ability+to+control+one%E2%80%99s+emotions,+behavior,+and+actions+in+the+face+of+temptations+and+impulses,+while+staying+focused+on+long-term+goals+&amp;ots=ZpbZFegMOr&amp;sig=hoCXRihbPlLpQLw5gL5GmDcvqwM</w:t>
        </w:r>
      </w:hyperlink>
    </w:p>
    <w:p w14:paraId="41EF71AB" w14:textId="77777777" w:rsidR="00F92A13" w:rsidRPr="00F366B2" w:rsidRDefault="00F92A13" w:rsidP="00F92A13">
      <w:pPr>
        <w:ind w:left="720" w:hanging="720"/>
      </w:pPr>
      <w:r w:rsidRPr="00F366B2">
        <w:t xml:space="preserve">McGuire, S. N., &amp; </w:t>
      </w:r>
      <w:proofErr w:type="spellStart"/>
      <w:r w:rsidRPr="00F366B2">
        <w:t>Meadan</w:t>
      </w:r>
      <w:proofErr w:type="spellEnd"/>
      <w:r w:rsidRPr="00F366B2">
        <w:t xml:space="preserve">, H. (2022). Social inclusion of children with persistent challenging behaviors. Early Childhood Education Journal, 50(1), 61-69. </w:t>
      </w:r>
      <w:hyperlink r:id="rId28" w:history="1">
        <w:r w:rsidRPr="00F366B2">
          <w:rPr>
            <w:rStyle w:val="Hyperlink"/>
            <w:color w:val="auto"/>
            <w:u w:val="none"/>
          </w:rPr>
          <w:t>https://link.springer.com/article/10.1007/s10643-020-01135-4</w:t>
        </w:r>
      </w:hyperlink>
    </w:p>
    <w:p w14:paraId="19E88F81" w14:textId="77777777" w:rsidR="00F92A13" w:rsidRPr="00F366B2" w:rsidRDefault="00F92A13" w:rsidP="00F92A13">
      <w:pPr>
        <w:ind w:left="720" w:hanging="720"/>
      </w:pPr>
      <w:proofErr w:type="spellStart"/>
      <w:r w:rsidRPr="00F366B2">
        <w:t>Mertler</w:t>
      </w:r>
      <w:proofErr w:type="spellEnd"/>
      <w:r w:rsidRPr="00F366B2">
        <w:t xml:space="preserve">, C. A., </w:t>
      </w:r>
      <w:proofErr w:type="spellStart"/>
      <w:r w:rsidRPr="00F366B2">
        <w:t>Vannatta</w:t>
      </w:r>
      <w:proofErr w:type="spellEnd"/>
      <w:r w:rsidRPr="00F366B2">
        <w:t xml:space="preserve">, R. A., &amp; </w:t>
      </w:r>
      <w:proofErr w:type="spellStart"/>
      <w:r w:rsidRPr="00F366B2">
        <w:t>LaVenia</w:t>
      </w:r>
      <w:proofErr w:type="spellEnd"/>
      <w:r w:rsidRPr="00F366B2">
        <w:t>, K. N. (2021). </w:t>
      </w:r>
      <w:r w:rsidRPr="00F366B2">
        <w:rPr>
          <w:i/>
          <w:iCs/>
        </w:rPr>
        <w:t>Advanced and multivariate statistical methods: Practical application and interpretation</w:t>
      </w:r>
      <w:r w:rsidRPr="00F366B2">
        <w:t xml:space="preserve">. Routledge. </w:t>
      </w:r>
      <w:hyperlink r:id="rId29" w:history="1">
        <w:r w:rsidRPr="00F366B2">
          <w:rPr>
            <w:rStyle w:val="Hyperlink"/>
            <w:color w:val="auto"/>
            <w:u w:val="none"/>
          </w:rPr>
          <w:t>https://www.academia.edu/download/84637996/DecisionTree_MertlerVannatta.pdf</w:t>
        </w:r>
      </w:hyperlink>
    </w:p>
    <w:p w14:paraId="09D60E4D" w14:textId="77777777" w:rsidR="00F92A13" w:rsidRPr="00F366B2" w:rsidRDefault="00F92A13" w:rsidP="00F92A13">
      <w:pPr>
        <w:ind w:left="720" w:hanging="720"/>
      </w:pPr>
      <w:proofErr w:type="spellStart"/>
      <w:r w:rsidRPr="00F366B2">
        <w:t>Minhui</w:t>
      </w:r>
      <w:proofErr w:type="spellEnd"/>
      <w:r w:rsidRPr="00F366B2">
        <w:t xml:space="preserve">, Q. (2023). Research on the influencing factors and implementation strategies to promote students' self-regulation in the future. Applied &amp; Educational Psychology, 4(10), 62-69. </w:t>
      </w:r>
      <w:hyperlink r:id="rId30" w:history="1">
        <w:r w:rsidRPr="00F366B2">
          <w:rPr>
            <w:rStyle w:val="Hyperlink"/>
            <w:color w:val="auto"/>
            <w:u w:val="none"/>
          </w:rPr>
          <w:t>http://166.62.7.99/assets/default/article/2023/11/08/article_1699426880.pdf</w:t>
        </w:r>
      </w:hyperlink>
    </w:p>
    <w:p w14:paraId="73EF498E" w14:textId="77777777" w:rsidR="00F92A13" w:rsidRPr="00F366B2" w:rsidRDefault="00F92A13" w:rsidP="00F92A13">
      <w:pPr>
        <w:ind w:left="720" w:hanging="720"/>
      </w:pPr>
      <w:r w:rsidRPr="00F366B2">
        <w:t>Mireles-Rios, R., Rios, V. M., &amp; Reyes, A. (2020). Pushed out for missing school: The role of social disparities and school truancy in dropping out. </w:t>
      </w:r>
      <w:r w:rsidRPr="00F366B2">
        <w:rPr>
          <w:i/>
          <w:iCs/>
        </w:rPr>
        <w:t>Education Sciences</w:t>
      </w:r>
      <w:r w:rsidRPr="00F366B2">
        <w:t>, </w:t>
      </w:r>
      <w:r w:rsidRPr="00F366B2">
        <w:rPr>
          <w:i/>
          <w:iCs/>
        </w:rPr>
        <w:t>10</w:t>
      </w:r>
      <w:r w:rsidRPr="00F366B2">
        <w:t xml:space="preserve">(4), 108. </w:t>
      </w:r>
      <w:hyperlink r:id="rId31" w:history="1">
        <w:r w:rsidRPr="00F366B2">
          <w:rPr>
            <w:rStyle w:val="Hyperlink"/>
            <w:color w:val="auto"/>
            <w:u w:val="none"/>
          </w:rPr>
          <w:t>https://www.mdpi.com/2227-7102/10/4/108/pdf</w:t>
        </w:r>
      </w:hyperlink>
    </w:p>
    <w:p w14:paraId="3DE5C585" w14:textId="77777777" w:rsidR="00F92A13" w:rsidRPr="00F366B2" w:rsidRDefault="00F92A13" w:rsidP="00F92A13">
      <w:pPr>
        <w:ind w:left="720" w:hanging="720"/>
      </w:pPr>
      <w:proofErr w:type="spellStart"/>
      <w:r w:rsidRPr="00F366B2">
        <w:t>Mohajan</w:t>
      </w:r>
      <w:proofErr w:type="spellEnd"/>
      <w:r w:rsidRPr="00F366B2">
        <w:t>, H. K. (2020). Quantitative research: A successful investigation in natural and social sciences. </w:t>
      </w:r>
      <w:r w:rsidRPr="00F366B2">
        <w:rPr>
          <w:i/>
          <w:iCs/>
        </w:rPr>
        <w:t>Journal of economic development, environment and people</w:t>
      </w:r>
      <w:r w:rsidRPr="00F366B2">
        <w:t>, </w:t>
      </w:r>
      <w:r w:rsidRPr="00F366B2">
        <w:rPr>
          <w:i/>
          <w:iCs/>
        </w:rPr>
        <w:t>9</w:t>
      </w:r>
      <w:r w:rsidRPr="00F366B2">
        <w:t xml:space="preserve">(4), 50-79. </w:t>
      </w:r>
      <w:hyperlink r:id="rId32" w:history="1">
        <w:r w:rsidRPr="00F366B2">
          <w:rPr>
            <w:rStyle w:val="Hyperlink"/>
            <w:color w:val="auto"/>
            <w:u w:val="none"/>
          </w:rPr>
          <w:t>https://mpra.ub.uni-muenchen.de/105149/1/MPRA_paper_105149.pdf</w:t>
        </w:r>
      </w:hyperlink>
    </w:p>
    <w:p w14:paraId="32D75FC0" w14:textId="77777777" w:rsidR="00F92A13" w:rsidRPr="00F366B2" w:rsidRDefault="00F92A13" w:rsidP="00F92A13">
      <w:pPr>
        <w:ind w:left="720" w:hanging="720"/>
      </w:pPr>
      <w:r w:rsidRPr="00F366B2">
        <w:t xml:space="preserve">Nunn, L. M. (2021). College belonging: How first-year and first-generation students navigate campus life. Rutgers University Press. </w:t>
      </w:r>
      <w:hyperlink r:id="rId33" w:history="1">
        <w:r w:rsidRPr="00F366B2">
          <w:rPr>
            <w:rStyle w:val="Hyperlink"/>
            <w:color w:val="auto"/>
            <w:u w:val="none"/>
          </w:rPr>
          <w:t>https://books.google.com/books?hl=en&amp;lr=&amp;id=XfgQEAAAQBAJ&amp;oi=fnd&amp;pg=PA1994&amp;dq=This+sense+of+community+has+been+found+to+be+a+key+factor+in+students%27+persistence,+as+it+encourages+them+to+remain+focused+on+their+academic+goals+and+helps+them+navigate+challenges,+&amp;ots=Y8404aRtqb&amp;sig=tmXJq2EwoUWQFUnlEXaItHl6B38</w:t>
        </w:r>
      </w:hyperlink>
    </w:p>
    <w:p w14:paraId="0B8119D3" w14:textId="77777777" w:rsidR="00F92A13" w:rsidRPr="00F366B2" w:rsidRDefault="00F92A13" w:rsidP="00F92A13">
      <w:pPr>
        <w:ind w:left="720" w:hanging="720"/>
      </w:pPr>
      <w:r w:rsidRPr="00F366B2">
        <w:t xml:space="preserve">Oliveira, G., </w:t>
      </w:r>
      <w:proofErr w:type="spellStart"/>
      <w:r w:rsidRPr="00F366B2">
        <w:t>Grenha</w:t>
      </w:r>
      <w:proofErr w:type="spellEnd"/>
      <w:r w:rsidRPr="00F366B2">
        <w:t xml:space="preserve"> Teixeira, J., Torres, A., &amp; </w:t>
      </w:r>
      <w:proofErr w:type="spellStart"/>
      <w:r w:rsidRPr="00F366B2">
        <w:t>Morais</w:t>
      </w:r>
      <w:proofErr w:type="spellEnd"/>
      <w:r w:rsidRPr="00F366B2">
        <w:t>, C. (2021). An exploratory study on the emergency remote education experience of higher education students and teachers during the COVID</w:t>
      </w:r>
      <w:r w:rsidRPr="00F366B2">
        <w:rPr>
          <w:rFonts w:ascii="Cambria Math" w:hAnsi="Cambria Math" w:cs="Cambria Math"/>
        </w:rPr>
        <w:t>‐</w:t>
      </w:r>
      <w:r w:rsidRPr="00F366B2">
        <w:t xml:space="preserve">19 pandemic. British Journal of Educational Technology, 52(4), 1357-1376. </w:t>
      </w:r>
      <w:hyperlink r:id="rId34" w:history="1">
        <w:r w:rsidRPr="00F366B2">
          <w:rPr>
            <w:rStyle w:val="Hyperlink"/>
            <w:color w:val="auto"/>
            <w:u w:val="none"/>
          </w:rPr>
          <w:t>https://bera-journals.onlinelibrary.wiley.com/doi/abs/10.1111/bjet.13112</w:t>
        </w:r>
      </w:hyperlink>
    </w:p>
    <w:p w14:paraId="72C87BA8" w14:textId="77777777" w:rsidR="00F92A13" w:rsidRPr="00F366B2" w:rsidRDefault="00F92A13" w:rsidP="00F92A13">
      <w:pPr>
        <w:ind w:left="720" w:hanging="720"/>
      </w:pPr>
      <w:r w:rsidRPr="00F366B2">
        <w:t>Osterman, K. F. (2023). Teacher practice and students’ sense of belonging. In </w:t>
      </w:r>
      <w:r w:rsidRPr="00F366B2">
        <w:rPr>
          <w:i/>
          <w:iCs/>
        </w:rPr>
        <w:t>Second international research handbook on values education and student wellbeing</w:t>
      </w:r>
      <w:r w:rsidRPr="00F366B2">
        <w:t xml:space="preserve"> (pp. </w:t>
      </w:r>
      <w:r w:rsidRPr="00F366B2">
        <w:lastRenderedPageBreak/>
        <w:t xml:space="preserve">971-993). Cham: Springer International Publishing. </w:t>
      </w:r>
      <w:hyperlink r:id="rId35" w:history="1">
        <w:r w:rsidRPr="00F366B2">
          <w:rPr>
            <w:rStyle w:val="Hyperlink"/>
            <w:color w:val="auto"/>
            <w:u w:val="none"/>
          </w:rPr>
          <w:t>https://link.springer.com/content/pdf/10.1007/978-3-031-24420-9_54.pdf</w:t>
        </w:r>
      </w:hyperlink>
    </w:p>
    <w:p w14:paraId="103CCB3A" w14:textId="77777777" w:rsidR="00F92A13" w:rsidRPr="00F366B2" w:rsidRDefault="00F92A13" w:rsidP="00F92A13">
      <w:pPr>
        <w:ind w:left="720" w:hanging="720"/>
      </w:pPr>
      <w:proofErr w:type="spellStart"/>
      <w:r w:rsidRPr="00F366B2">
        <w:t>Pregoner</w:t>
      </w:r>
      <w:proofErr w:type="spellEnd"/>
      <w:r w:rsidRPr="00F366B2">
        <w:t xml:space="preserve">, J. D., </w:t>
      </w:r>
      <w:proofErr w:type="spellStart"/>
      <w:r w:rsidRPr="00F366B2">
        <w:t>Leopardas</w:t>
      </w:r>
      <w:proofErr w:type="spellEnd"/>
      <w:r w:rsidRPr="00F366B2">
        <w:t xml:space="preserve">, R., </w:t>
      </w:r>
      <w:proofErr w:type="spellStart"/>
      <w:r w:rsidRPr="00F366B2">
        <w:t>Ganancial</w:t>
      </w:r>
      <w:proofErr w:type="spellEnd"/>
      <w:r w:rsidRPr="00F366B2">
        <w:t xml:space="preserve">, I. J., </w:t>
      </w:r>
      <w:proofErr w:type="spellStart"/>
      <w:r w:rsidRPr="00F366B2">
        <w:t>Baguhin</w:t>
      </w:r>
      <w:proofErr w:type="spellEnd"/>
      <w:r w:rsidRPr="00F366B2">
        <w:t xml:space="preserve">, M., &amp; </w:t>
      </w:r>
      <w:proofErr w:type="spellStart"/>
      <w:r w:rsidRPr="00F366B2">
        <w:t>Sedo</w:t>
      </w:r>
      <w:proofErr w:type="spellEnd"/>
      <w:r w:rsidRPr="00F366B2">
        <w:t>, F. (2025). Ethical Issues in Conducting Research Using Human Participants in the Post-COVID Era. </w:t>
      </w:r>
      <w:r w:rsidRPr="00F366B2">
        <w:rPr>
          <w:i/>
          <w:iCs/>
        </w:rPr>
        <w:t>IMCC Journal of Science</w:t>
      </w:r>
      <w:r w:rsidRPr="00F366B2">
        <w:t>, </w:t>
      </w:r>
      <w:r w:rsidRPr="00F366B2">
        <w:rPr>
          <w:i/>
          <w:iCs/>
        </w:rPr>
        <w:t>5</w:t>
      </w:r>
      <w:r w:rsidRPr="00F366B2">
        <w:t xml:space="preserve">(1), 1-9. </w:t>
      </w:r>
      <w:hyperlink r:id="rId36" w:history="1">
        <w:r w:rsidRPr="00F366B2">
          <w:rPr>
            <w:rStyle w:val="Hyperlink"/>
            <w:color w:val="auto"/>
            <w:u w:val="none"/>
          </w:rPr>
          <w:t>https://hal.science/hal-05073466/</w:t>
        </w:r>
      </w:hyperlink>
    </w:p>
    <w:p w14:paraId="074D38D4" w14:textId="77777777" w:rsidR="00F92A13" w:rsidRPr="00F366B2" w:rsidRDefault="00F92A13" w:rsidP="00F92A13">
      <w:pPr>
        <w:ind w:left="720" w:hanging="720"/>
      </w:pPr>
      <w:proofErr w:type="spellStart"/>
      <w:r w:rsidRPr="00F366B2">
        <w:t>Rachmad</w:t>
      </w:r>
      <w:proofErr w:type="spellEnd"/>
      <w:r w:rsidRPr="00F366B2">
        <w:t xml:space="preserve">, Y. E. (2022). Educational Engagement Theory. </w:t>
      </w:r>
      <w:hyperlink r:id="rId37" w:history="1">
        <w:r w:rsidRPr="00F366B2">
          <w:rPr>
            <w:rStyle w:val="Hyperlink"/>
            <w:color w:val="auto"/>
            <w:u w:val="none"/>
          </w:rPr>
          <w:t>https://www.academia.edu/download/119364571/BOOK_2022_102_NEW.pdf</w:t>
        </w:r>
      </w:hyperlink>
    </w:p>
    <w:p w14:paraId="3889DECE" w14:textId="77777777" w:rsidR="00F92A13" w:rsidRPr="00F366B2" w:rsidRDefault="00F92A13" w:rsidP="00F92A13">
      <w:pPr>
        <w:ind w:left="720" w:hanging="720"/>
      </w:pPr>
      <w:proofErr w:type="spellStart"/>
      <w:r w:rsidRPr="00F366B2">
        <w:t>Remler</w:t>
      </w:r>
      <w:proofErr w:type="spellEnd"/>
      <w:r w:rsidRPr="00F366B2">
        <w:t xml:space="preserve">, D. K., &amp; Van </w:t>
      </w:r>
      <w:proofErr w:type="spellStart"/>
      <w:r w:rsidRPr="00F366B2">
        <w:t>Ryzin</w:t>
      </w:r>
      <w:proofErr w:type="spellEnd"/>
      <w:r w:rsidRPr="00F366B2">
        <w:t>, G. G. (2021). </w:t>
      </w:r>
      <w:r w:rsidRPr="00F366B2">
        <w:rPr>
          <w:i/>
          <w:iCs/>
        </w:rPr>
        <w:t>Research methods in practice: Strategies for description and causation</w:t>
      </w:r>
      <w:r w:rsidRPr="00F366B2">
        <w:t xml:space="preserve">. Sage Publications. </w:t>
      </w:r>
      <w:hyperlink r:id="rId38" w:history="1">
        <w:r w:rsidRPr="00F366B2">
          <w:rPr>
            <w:rStyle w:val="Hyperlink"/>
            <w:color w:val="auto"/>
            <w:u w:val="none"/>
          </w:rPr>
          <w:t>https://serenakim.org/docs/syllabus/pa515-2025.pdf</w:t>
        </w:r>
      </w:hyperlink>
    </w:p>
    <w:p w14:paraId="1C354ABF" w14:textId="77777777" w:rsidR="00F92A13" w:rsidRPr="00F366B2" w:rsidRDefault="00F92A13" w:rsidP="00F92A13">
      <w:pPr>
        <w:ind w:left="720" w:hanging="720"/>
      </w:pPr>
      <w:r w:rsidRPr="00F366B2">
        <w:t xml:space="preserve">Rios, A. (2022). How resiliency and motivation help to sustain at promise students to develop a growth mindset in urban schools. Concordia University Irvine. </w:t>
      </w:r>
      <w:hyperlink r:id="rId39" w:history="1">
        <w:r w:rsidRPr="00F366B2">
          <w:rPr>
            <w:rStyle w:val="Hyperlink"/>
            <w:color w:val="auto"/>
            <w:u w:val="none"/>
          </w:rPr>
          <w:t>https://search.proquest.com/openview/6e8ca11e255a51c1eab020981f06984c/1?pq-origsite=gscholar&amp;cbl=18750&amp;diss=y</w:t>
        </w:r>
      </w:hyperlink>
    </w:p>
    <w:p w14:paraId="438146EC" w14:textId="77777777" w:rsidR="00F92A13" w:rsidRPr="00F366B2" w:rsidRDefault="00F92A13" w:rsidP="00F92A13">
      <w:pPr>
        <w:ind w:left="720" w:hanging="720"/>
      </w:pPr>
      <w:r w:rsidRPr="00F366B2">
        <w:t>Ryan, R. M., &amp; Deci, E. L. (2024). Self-determination theory. In </w:t>
      </w:r>
      <w:r w:rsidRPr="00F366B2">
        <w:rPr>
          <w:i/>
          <w:iCs/>
        </w:rPr>
        <w:t>Encyclopedia of quality of life and well-being research</w:t>
      </w:r>
      <w:r w:rsidRPr="00F366B2">
        <w:t xml:space="preserve"> (pp. 6229-6235). Cham: Springer International Publishing. </w:t>
      </w:r>
      <w:hyperlink r:id="rId40" w:history="1">
        <w:r w:rsidRPr="00F366B2">
          <w:rPr>
            <w:rStyle w:val="Hyperlink"/>
            <w:color w:val="auto"/>
            <w:u w:val="none"/>
          </w:rPr>
          <w:t>https://biblio.ugent.be/publication/01HRCMM640511RK99H40PKVEPN/file/01HRCMNPNW5XJNXH5E03J9V6Q7</w:t>
        </w:r>
      </w:hyperlink>
    </w:p>
    <w:p w14:paraId="518A94CA" w14:textId="77777777" w:rsidR="00F92A13" w:rsidRPr="00F366B2" w:rsidRDefault="00F92A13" w:rsidP="00F92A13">
      <w:pPr>
        <w:ind w:left="720" w:hanging="720"/>
      </w:pPr>
      <w:r w:rsidRPr="00F366B2">
        <w:t xml:space="preserve">Shay, J. E., &amp; </w:t>
      </w:r>
      <w:proofErr w:type="spellStart"/>
      <w:r w:rsidRPr="00F366B2">
        <w:t>Pohan</w:t>
      </w:r>
      <w:proofErr w:type="spellEnd"/>
      <w:r w:rsidRPr="00F366B2">
        <w:t>, C. (2021). Resilient instructional strategies: helping students cope and thrive in crisis. </w:t>
      </w:r>
      <w:r w:rsidRPr="00F366B2">
        <w:rPr>
          <w:i/>
          <w:iCs/>
        </w:rPr>
        <w:t>Journal of microbiology &amp; biology education</w:t>
      </w:r>
      <w:r w:rsidRPr="00F366B2">
        <w:t>, </w:t>
      </w:r>
      <w:r w:rsidRPr="00F366B2">
        <w:rPr>
          <w:i/>
          <w:iCs/>
        </w:rPr>
        <w:t>22</w:t>
      </w:r>
      <w:r w:rsidRPr="00F366B2">
        <w:t xml:space="preserve">(1), 10-1128. </w:t>
      </w:r>
      <w:hyperlink r:id="rId41" w:history="1">
        <w:r w:rsidRPr="00F366B2">
          <w:rPr>
            <w:rStyle w:val="Hyperlink"/>
            <w:color w:val="auto"/>
            <w:u w:val="none"/>
          </w:rPr>
          <w:t>https://journals.asm.org/doi/pdf/10.1128/jmbe.v22i1.2405</w:t>
        </w:r>
      </w:hyperlink>
    </w:p>
    <w:p w14:paraId="4C7AE70B" w14:textId="77777777" w:rsidR="00F92A13" w:rsidRPr="00F366B2" w:rsidRDefault="00F92A13" w:rsidP="00F92A13">
      <w:pPr>
        <w:ind w:left="720" w:hanging="720"/>
      </w:pPr>
      <w:proofErr w:type="spellStart"/>
      <w:r w:rsidRPr="00F366B2">
        <w:t>Sosu</w:t>
      </w:r>
      <w:proofErr w:type="spellEnd"/>
      <w:r w:rsidRPr="00F366B2">
        <w:t>, E. M., Dare, S., Goodfellow, C., &amp; Klein, M. (2021). Socioeconomic status and school absenteeism: A systematic review and narrative synthesis. </w:t>
      </w:r>
      <w:r w:rsidRPr="00F366B2">
        <w:rPr>
          <w:i/>
          <w:iCs/>
        </w:rPr>
        <w:t>Review of Education</w:t>
      </w:r>
      <w:r w:rsidRPr="00F366B2">
        <w:t>, </w:t>
      </w:r>
      <w:r w:rsidRPr="00F366B2">
        <w:rPr>
          <w:i/>
          <w:iCs/>
        </w:rPr>
        <w:t>9</w:t>
      </w:r>
      <w:r w:rsidRPr="00F366B2">
        <w:t xml:space="preserve">(3), e3291. </w:t>
      </w:r>
      <w:hyperlink r:id="rId42" w:history="1">
        <w:r w:rsidRPr="00F366B2">
          <w:rPr>
            <w:rStyle w:val="Hyperlink"/>
            <w:color w:val="auto"/>
            <w:u w:val="none"/>
          </w:rPr>
          <w:t>https://bera-journals.onlinelibrary.wiley.com/doi/pdf/10.1002/rev3.3291</w:t>
        </w:r>
      </w:hyperlink>
    </w:p>
    <w:p w14:paraId="21FE6CC9" w14:textId="77777777" w:rsidR="00F92A13" w:rsidRPr="00F366B2" w:rsidRDefault="00F92A13" w:rsidP="00F92A13">
      <w:pPr>
        <w:ind w:left="720" w:hanging="720"/>
      </w:pPr>
      <w:r w:rsidRPr="00F366B2">
        <w:t xml:space="preserve">Stephen, J. S., </w:t>
      </w:r>
      <w:proofErr w:type="spellStart"/>
      <w:r w:rsidRPr="00F366B2">
        <w:t>Rockinson-Szapkiw</w:t>
      </w:r>
      <w:proofErr w:type="spellEnd"/>
      <w:r w:rsidRPr="00F366B2">
        <w:t xml:space="preserve">, A. J., &amp; </w:t>
      </w:r>
      <w:proofErr w:type="spellStart"/>
      <w:r w:rsidRPr="00F366B2">
        <w:t>Dubay</w:t>
      </w:r>
      <w:proofErr w:type="spellEnd"/>
      <w:r w:rsidRPr="00F366B2">
        <w:t xml:space="preserve">, C. (2020). Persistence model of non-traditional online learners: Self-efficacy, self-regulation, and self-direction. American Journal of Distance Education, 34(4), 306-321. </w:t>
      </w:r>
      <w:hyperlink r:id="rId43" w:history="1">
        <w:r w:rsidRPr="00F366B2">
          <w:rPr>
            <w:rStyle w:val="Hyperlink"/>
            <w:color w:val="auto"/>
            <w:u w:val="none"/>
          </w:rPr>
          <w:t>https://www.tandfonline.com/doi/abs/10.1080/08923647.2020.1745619</w:t>
        </w:r>
      </w:hyperlink>
    </w:p>
    <w:p w14:paraId="38A0220D" w14:textId="77777777" w:rsidR="00F92A13" w:rsidRPr="00F366B2" w:rsidRDefault="00F92A13" w:rsidP="00F92A13">
      <w:pPr>
        <w:ind w:left="720" w:hanging="720"/>
      </w:pPr>
      <w:r w:rsidRPr="00F366B2">
        <w:t>Vallerand, R. J. (2021). Reflections on the legacy of self-determination theory. </w:t>
      </w:r>
      <w:r w:rsidRPr="00F366B2">
        <w:rPr>
          <w:i/>
          <w:iCs/>
        </w:rPr>
        <w:t>Motivation Science</w:t>
      </w:r>
      <w:r w:rsidRPr="00F366B2">
        <w:t>, </w:t>
      </w:r>
      <w:r w:rsidRPr="00F366B2">
        <w:rPr>
          <w:i/>
          <w:iCs/>
        </w:rPr>
        <w:t>7</w:t>
      </w:r>
      <w:r w:rsidRPr="00F366B2">
        <w:t xml:space="preserve">(2), 115. </w:t>
      </w:r>
      <w:hyperlink r:id="rId44" w:history="1">
        <w:r w:rsidRPr="00F366B2">
          <w:rPr>
            <w:rStyle w:val="Hyperlink"/>
            <w:color w:val="auto"/>
            <w:u w:val="none"/>
          </w:rPr>
          <w:t>https://www.lrcs.uqam.ca/wp-content/uploads/2021/08/2021_Vallerand_MS_Manuscript.pdf</w:t>
        </w:r>
      </w:hyperlink>
    </w:p>
    <w:p w14:paraId="72472E0D" w14:textId="77777777" w:rsidR="00F92A13" w:rsidRPr="00F366B2" w:rsidRDefault="00F92A13" w:rsidP="00F92A13">
      <w:pPr>
        <w:ind w:left="720" w:hanging="720"/>
      </w:pPr>
      <w:r w:rsidRPr="00F366B2">
        <w:t xml:space="preserve">VOLANTE, D. A., &amp; OLUA, D. E. F. (2022). Implementation of the Homeroom Guidance Program in Pangasinan II Division. International Journal of Advanced Multidisciplinary Studies, 2 (7), 333, 353. </w:t>
      </w:r>
      <w:hyperlink r:id="rId45" w:history="1">
        <w:r w:rsidRPr="00F366B2">
          <w:rPr>
            <w:rStyle w:val="Hyperlink"/>
            <w:color w:val="auto"/>
            <w:u w:val="none"/>
          </w:rPr>
          <w:t>https://www.ijams-bbp.net/wp-content/uploads/2022/09/IJAMS-JULY-ISSUE-333-353-1.pdf</w:t>
        </w:r>
      </w:hyperlink>
    </w:p>
    <w:p w14:paraId="2FBEA70E" w14:textId="77777777" w:rsidR="00F92A13" w:rsidRPr="00F366B2" w:rsidRDefault="00F92A13" w:rsidP="00F92A13">
      <w:pPr>
        <w:ind w:left="720" w:hanging="720"/>
      </w:pPr>
      <w:r w:rsidRPr="00F366B2">
        <w:t xml:space="preserve">Winterer, E. R., </w:t>
      </w:r>
      <w:proofErr w:type="spellStart"/>
      <w:r w:rsidRPr="00F366B2">
        <w:t>Froyd</w:t>
      </w:r>
      <w:proofErr w:type="spellEnd"/>
      <w:r w:rsidRPr="00F366B2">
        <w:t xml:space="preserve">, J. E., Borrego, M., Martin, J. P., &amp; Foster, M. (2020). Factors influencing the academic success of Latinx students matriculating at 2-year and transferring to 4-year US institutions—implications for STEM majors: A systematic review of the literature. International Journal of STEM Education, 7, 1-23. </w:t>
      </w:r>
      <w:hyperlink r:id="rId46" w:history="1">
        <w:r w:rsidRPr="00F366B2">
          <w:rPr>
            <w:rStyle w:val="Hyperlink"/>
            <w:color w:val="auto"/>
            <w:u w:val="none"/>
          </w:rPr>
          <w:t>https://link.springer.com/article/10.1186/s40594-020-00215-6</w:t>
        </w:r>
      </w:hyperlink>
    </w:p>
    <w:p w14:paraId="095D7E44" w14:textId="77777777" w:rsidR="00E0166B" w:rsidRPr="00257D6F" w:rsidRDefault="00E0166B" w:rsidP="00E0166B">
      <w:pPr>
        <w:ind w:left="720" w:hanging="720"/>
      </w:pPr>
    </w:p>
    <w:sectPr w:rsidR="00E0166B" w:rsidRPr="00257D6F" w:rsidSect="00292629">
      <w:headerReference w:type="even" r:id="rId47"/>
      <w:headerReference w:type="default" r:id="rId48"/>
      <w:footerReference w:type="even" r:id="rId49"/>
      <w:footerReference w:type="default" r:id="rId50"/>
      <w:headerReference w:type="first" r:id="rId51"/>
      <w:footerReference w:type="first" r:id="rId5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D41EF" w14:textId="77777777" w:rsidR="00EC0473" w:rsidRDefault="00EC0473">
      <w:r>
        <w:separator/>
      </w:r>
    </w:p>
  </w:endnote>
  <w:endnote w:type="continuationSeparator" w:id="0">
    <w:p w14:paraId="4B92DE73" w14:textId="77777777" w:rsidR="00EC0473" w:rsidRDefault="00EC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7BD60" w14:textId="77777777" w:rsidR="00314340" w:rsidRDefault="00314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94D57" w14:textId="77777777" w:rsidR="00314340" w:rsidRDefault="00314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E54D4" w14:textId="77777777" w:rsidR="00EC0473" w:rsidRDefault="00EC0473">
      <w:r>
        <w:separator/>
      </w:r>
    </w:p>
  </w:footnote>
  <w:footnote w:type="continuationSeparator" w:id="0">
    <w:p w14:paraId="07D43E95" w14:textId="77777777" w:rsidR="00EC0473" w:rsidRDefault="00EC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A0612" w14:textId="335791D0" w:rsidR="00314340" w:rsidRDefault="00314340">
    <w:pPr>
      <w:pStyle w:val="Header"/>
    </w:pPr>
    <w:r>
      <w:rPr>
        <w:noProof/>
      </w:rPr>
      <w:pict w14:anchorId="5085A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4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94929" w14:textId="6A5FB527" w:rsidR="00314340" w:rsidRDefault="00314340">
    <w:pPr>
      <w:pStyle w:val="Header"/>
    </w:pPr>
    <w:r>
      <w:rPr>
        <w:noProof/>
      </w:rPr>
      <w:pict w14:anchorId="48727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4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930F7" w14:textId="38684A72" w:rsidR="00314340" w:rsidRDefault="00314340">
    <w:pPr>
      <w:pStyle w:val="Header"/>
    </w:pPr>
    <w:r>
      <w:rPr>
        <w:noProof/>
      </w:rPr>
      <w:pict w14:anchorId="60F52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412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4086"/>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6E61"/>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6EDA"/>
    <w:rsid w:val="002170C0"/>
    <w:rsid w:val="00224DE5"/>
    <w:rsid w:val="002274C1"/>
    <w:rsid w:val="002309B8"/>
    <w:rsid w:val="00231920"/>
    <w:rsid w:val="0023195C"/>
    <w:rsid w:val="00232F6F"/>
    <w:rsid w:val="00237589"/>
    <w:rsid w:val="00240CE3"/>
    <w:rsid w:val="00241741"/>
    <w:rsid w:val="002425B9"/>
    <w:rsid w:val="0024282C"/>
    <w:rsid w:val="00245CB7"/>
    <w:rsid w:val="002460DC"/>
    <w:rsid w:val="00246DC7"/>
    <w:rsid w:val="00250985"/>
    <w:rsid w:val="0025105D"/>
    <w:rsid w:val="00251946"/>
    <w:rsid w:val="002556F6"/>
    <w:rsid w:val="00256882"/>
    <w:rsid w:val="00257D6F"/>
    <w:rsid w:val="002622D4"/>
    <w:rsid w:val="00264A59"/>
    <w:rsid w:val="00266E67"/>
    <w:rsid w:val="00271F07"/>
    <w:rsid w:val="002755D7"/>
    <w:rsid w:val="002814B3"/>
    <w:rsid w:val="00281E88"/>
    <w:rsid w:val="00283105"/>
    <w:rsid w:val="00284C4C"/>
    <w:rsid w:val="002855A6"/>
    <w:rsid w:val="00292629"/>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340"/>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37B4"/>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728"/>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A23B7"/>
    <w:rsid w:val="004B1A50"/>
    <w:rsid w:val="004B1AFD"/>
    <w:rsid w:val="004B72AD"/>
    <w:rsid w:val="004C0CFF"/>
    <w:rsid w:val="004C0FB0"/>
    <w:rsid w:val="004C23DD"/>
    <w:rsid w:val="004C482A"/>
    <w:rsid w:val="004C5898"/>
    <w:rsid w:val="004C6530"/>
    <w:rsid w:val="004D07E8"/>
    <w:rsid w:val="004D0827"/>
    <w:rsid w:val="004D0C87"/>
    <w:rsid w:val="004D2C2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02D4"/>
    <w:rsid w:val="00804067"/>
    <w:rsid w:val="00804BC2"/>
    <w:rsid w:val="00807D3D"/>
    <w:rsid w:val="00807DF2"/>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59DC"/>
    <w:rsid w:val="00886C27"/>
    <w:rsid w:val="0088785F"/>
    <w:rsid w:val="008927A1"/>
    <w:rsid w:val="008945A3"/>
    <w:rsid w:val="00895953"/>
    <w:rsid w:val="00896129"/>
    <w:rsid w:val="00896524"/>
    <w:rsid w:val="00897A9D"/>
    <w:rsid w:val="00897FB9"/>
    <w:rsid w:val="008A09AF"/>
    <w:rsid w:val="008A1FCD"/>
    <w:rsid w:val="008A4165"/>
    <w:rsid w:val="008A7E29"/>
    <w:rsid w:val="008B350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4268"/>
    <w:rsid w:val="0097678A"/>
    <w:rsid w:val="00976CB2"/>
    <w:rsid w:val="00982C5E"/>
    <w:rsid w:val="00982CC1"/>
    <w:rsid w:val="00982E47"/>
    <w:rsid w:val="00983040"/>
    <w:rsid w:val="0098668C"/>
    <w:rsid w:val="009913C6"/>
    <w:rsid w:val="00991ABC"/>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1F8C"/>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27F9"/>
    <w:rsid w:val="00DB46B2"/>
    <w:rsid w:val="00DC09E0"/>
    <w:rsid w:val="00DC0BFC"/>
    <w:rsid w:val="00DC2754"/>
    <w:rsid w:val="00DC2A65"/>
    <w:rsid w:val="00DC6EF2"/>
    <w:rsid w:val="00DD0B2B"/>
    <w:rsid w:val="00DD1370"/>
    <w:rsid w:val="00DD1EA9"/>
    <w:rsid w:val="00DD4CCA"/>
    <w:rsid w:val="00DD5EA2"/>
    <w:rsid w:val="00DD6431"/>
    <w:rsid w:val="00DD68C1"/>
    <w:rsid w:val="00DD733B"/>
    <w:rsid w:val="00DD7E9A"/>
    <w:rsid w:val="00DE15F0"/>
    <w:rsid w:val="00DE32FA"/>
    <w:rsid w:val="00DE3EAB"/>
    <w:rsid w:val="00DE5663"/>
    <w:rsid w:val="00DE7644"/>
    <w:rsid w:val="00DE78AA"/>
    <w:rsid w:val="00DF3F64"/>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473"/>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2A13"/>
    <w:rsid w:val="00F947E3"/>
    <w:rsid w:val="00F96071"/>
    <w:rsid w:val="00FA0D6E"/>
    <w:rsid w:val="00FA2543"/>
    <w:rsid w:val="00FB3A86"/>
    <w:rsid w:val="00FB469D"/>
    <w:rsid w:val="00FB6C0F"/>
    <w:rsid w:val="00FB7F6C"/>
    <w:rsid w:val="00FC4F69"/>
    <w:rsid w:val="00FD0EE8"/>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16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abs/10.1080/07294360.2021.1877631" TargetMode="External"/><Relationship Id="rId18" Type="http://schemas.openxmlformats.org/officeDocument/2006/relationships/hyperlink" Target="https://www.mdpi.com/1660-4601/17/6/2143" TargetMode="External"/><Relationship Id="rId26" Type="http://schemas.openxmlformats.org/officeDocument/2006/relationships/hyperlink" Target="https://digitalcommons.usu.edu/cgi/viewcontent.cgi?article=1057&amp;context=jete" TargetMode="External"/><Relationship Id="rId39" Type="http://schemas.openxmlformats.org/officeDocument/2006/relationships/hyperlink" Target="https://search.proquest.com/openview/6e8ca11e255a51c1eab020981f06984c/1?pq-origsite=gscholar&amp;cbl=18750&amp;diss=y" TargetMode="External"/><Relationship Id="rId21" Type="http://schemas.openxmlformats.org/officeDocument/2006/relationships/hyperlink" Target="https://www.researchgate.net/profile/Indunil-Karunarathna/publication/383155720_The_Crucial_Role_of_Data_Collection_in_Research_Techniques_Challenges_and_Best_Practices/links/66bef1c6311cbb09493d6200/The-Crucial-Role-of-Data-Collection-in-Research-Techniques-Challenges-and-Best-Practices.pdf" TargetMode="External"/><Relationship Id="rId34" Type="http://schemas.openxmlformats.org/officeDocument/2006/relationships/hyperlink" Target="https://bera-journals.onlinelibrary.wiley.com/doi/abs/10.1111/bjet.13112" TargetMode="External"/><Relationship Id="rId42" Type="http://schemas.openxmlformats.org/officeDocument/2006/relationships/hyperlink" Target="https://bera-journals.onlinelibrary.wiley.com/doi/pdf/10.1002/rev3.3291"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tlantis-press.com/proceedings/icetech-22/125989146" TargetMode="External"/><Relationship Id="rId29" Type="http://schemas.openxmlformats.org/officeDocument/2006/relationships/hyperlink" Target="https://www.academia.edu/download/84637996/DecisionTree_MertlerVannatta.pdf" TargetMode="External"/><Relationship Id="rId11" Type="http://schemas.openxmlformats.org/officeDocument/2006/relationships/hyperlink" Target="https://scholarworks.iu.edu/journals/index.php/josotl/article/download/1815/1812/6594" TargetMode="External"/><Relationship Id="rId24" Type="http://schemas.openxmlformats.org/officeDocument/2006/relationships/hyperlink" Target="https://onlinelibrary.wiley.com/doi/abs/10.1111/hequ.12314" TargetMode="External"/><Relationship Id="rId32" Type="http://schemas.openxmlformats.org/officeDocument/2006/relationships/hyperlink" Target="https://mpra.ub.uni-muenchen.de/105149/1/MPRA_paper_105149.pdf" TargetMode="External"/><Relationship Id="rId37" Type="http://schemas.openxmlformats.org/officeDocument/2006/relationships/hyperlink" Target="https://www.academia.edu/download/119364571/BOOK_2022_102_NEW.pdf" TargetMode="External"/><Relationship Id="rId40" Type="http://schemas.openxmlformats.org/officeDocument/2006/relationships/hyperlink" Target="https://biblio.ugent.be/publication/01HRCMM640511RK99H40PKVEPN/file/01HRCMNPNW5XJNXH5E03J9V6Q7" TargetMode="External"/><Relationship Id="rId45" Type="http://schemas.openxmlformats.org/officeDocument/2006/relationships/hyperlink" Target="https://www.ijams-bbp.net/wp-content/uploads/2022/09/IJAMS-JULY-ISSUE-333-353-1.pdf"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nk.springer.com/content/pdf/10.1186/s12909-020-02312-0.pdf" TargetMode="External"/><Relationship Id="rId19" Type="http://schemas.openxmlformats.org/officeDocument/2006/relationships/hyperlink" Target="https://polipapers.upv.es/index.php/MUSE/article/download/20173/16488" TargetMode="External"/><Relationship Id="rId31" Type="http://schemas.openxmlformats.org/officeDocument/2006/relationships/hyperlink" Target="https://www.mdpi.com/2227-7102/10/4/108/pdf" TargetMode="External"/><Relationship Id="rId44" Type="http://schemas.openxmlformats.org/officeDocument/2006/relationships/hyperlink" Target="https://www.lrcs.uqam.ca/wp-content/uploads/2021/08/2021_Vallerand_MS_Manuscript.pdf"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rontiersin.org/journals/psychology/articles/10.3389/fpsyg.2024.1330720/pdf" TargetMode="External"/><Relationship Id="rId14" Type="http://schemas.openxmlformats.org/officeDocument/2006/relationships/hyperlink" Target="https://www.academia.edu/download/58472093/buffer84.pdf" TargetMode="External"/><Relationship Id="rId22" Type="http://schemas.openxmlformats.org/officeDocument/2006/relationships/hyperlink" Target="https://www.tandfonline.com/doi/abs/10.1080/0309877X.2021.1950659" TargetMode="External"/><Relationship Id="rId27" Type="http://schemas.openxmlformats.org/officeDocument/2006/relationships/hyperlink" Target="https://books.google.com/books?hl=en&amp;lr=&amp;id=oNtiEAAAQBAJ&amp;oi=fnd&amp;pg=PT4&amp;dq=Self-Discipline+is+the+ability+to+control+one%E2%80%99s+emotions,+behavior,+and+actions+in+the+face+of+temptations+and+impulses,+while+staying+focused+on+long-term+goals+&amp;ots=ZpbZFegMOr&amp;sig=hoCXRihbPlLpQLw5gL5GmDcvqwM" TargetMode="External"/><Relationship Id="rId30" Type="http://schemas.openxmlformats.org/officeDocument/2006/relationships/hyperlink" Target="http://166.62.7.99/assets/default/article/2023/11/08/article_1699426880.pdf" TargetMode="External"/><Relationship Id="rId35" Type="http://schemas.openxmlformats.org/officeDocument/2006/relationships/hyperlink" Target="https://link.springer.com/content/pdf/10.1007/978-3-031-24420-9_54.pdf" TargetMode="External"/><Relationship Id="rId43" Type="http://schemas.openxmlformats.org/officeDocument/2006/relationships/hyperlink" Target="https://www.tandfonline.com/doi/abs/10.1080/08923647.2020.1745619"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link.springer.com/article/10.1007/s10648-021-09615-8" TargetMode="External"/><Relationship Id="rId17" Type="http://schemas.openxmlformats.org/officeDocument/2006/relationships/hyperlink" Target="https://library.oapen.org/bitstream/handle/20.500.12657/62007/9781529226072.pdf?sequence=1" TargetMode="External"/><Relationship Id="rId25" Type="http://schemas.openxmlformats.org/officeDocument/2006/relationships/hyperlink" Target="https://www.researchgate.net/profile/Murtaza-Ali-17/publication/381608546_An_Analytical_Study_of_Dropout_School_Environment_and_Teaching_Practices/links/6675b7268408575b837d46a4/An-Analytical-Study-of-Dropout-School-Environment-and-Teaching-Practices.pdf" TargetMode="External"/><Relationship Id="rId33" Type="http://schemas.openxmlformats.org/officeDocument/2006/relationships/hyperlink" Target="https://books.google.com/books?hl=en&amp;lr=&amp;id=XfgQEAAAQBAJ&amp;oi=fnd&amp;pg=PA1994&amp;dq=This+sense+of+community+has+been+found+to+be+a+key+factor+in+students%27+persistence,+as+it+encourages+them+to+remain+focused+on+their+academic+goals+and+helps+them+navigate+challenges,+&amp;ots=Y8404aRtqb&amp;sig=tmXJq2EwoUWQFUnlEXaItHl6B38" TargetMode="External"/><Relationship Id="rId38" Type="http://schemas.openxmlformats.org/officeDocument/2006/relationships/hyperlink" Target="https://serenakim.org/docs/syllabus/pa515-2025.pdf" TargetMode="External"/><Relationship Id="rId46" Type="http://schemas.openxmlformats.org/officeDocument/2006/relationships/hyperlink" Target="https://link.springer.com/article/10.1186/s40594-020-00215-6" TargetMode="External"/><Relationship Id="rId20" Type="http://schemas.openxmlformats.org/officeDocument/2006/relationships/hyperlink" Target="https://scimatic.org/storage/journals/11/pdfs/3085.pdf" TargetMode="External"/><Relationship Id="rId41" Type="http://schemas.openxmlformats.org/officeDocument/2006/relationships/hyperlink" Target="https://journals.asm.org/doi/pdf/10.1128/jmbe.v22i1.240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searchgate.net/profile/John-Comings/publication/370694438_Persistence_Helping_Adult_Education_Students_Reach_Their_Goals/links/6580ab6c0bb2c7472bf3e56b/Persistence-Helping-Adult-Education-Students-Reach-Their-Goals.pdf" TargetMode="External"/><Relationship Id="rId23" Type="http://schemas.openxmlformats.org/officeDocument/2006/relationships/hyperlink" Target="https://www.journals.uchicago.edu/doi/abs/10.1086/712606" TargetMode="External"/><Relationship Id="rId28" Type="http://schemas.openxmlformats.org/officeDocument/2006/relationships/hyperlink" Target="https://link.springer.com/article/10.1007/s10643-020-01135-4" TargetMode="External"/><Relationship Id="rId36" Type="http://schemas.openxmlformats.org/officeDocument/2006/relationships/hyperlink" Target="https://hal.science/hal-05073466/"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15</Pages>
  <Words>7901</Words>
  <Characters>45040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2024-10-20T02:52:00Z</cp:lastPrinted>
  <dcterms:created xsi:type="dcterms:W3CDTF">2025-06-16T04:52:00Z</dcterms:created>
  <dcterms:modified xsi:type="dcterms:W3CDTF">2025-06-16T10:19:00Z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