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5B7371BD" w:rsidR="000763D2"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76DF4DE0" w14:textId="77777777" w:rsidR="00B24740" w:rsidRDefault="00B24740" w:rsidP="000763D2">
      <w:pPr>
        <w:pStyle w:val="Author"/>
        <w:spacing w:line="240" w:lineRule="auto"/>
        <w:jc w:val="left"/>
        <w:rPr>
          <w:rFonts w:ascii="Arial" w:hAnsi="Arial" w:cs="Arial"/>
          <w:bCs/>
          <w:iCs/>
          <w:kern w:val="28"/>
          <w:szCs w:val="24"/>
        </w:rPr>
      </w:pPr>
    </w:p>
    <w:p w14:paraId="3541A824" w14:textId="19BBDB6C" w:rsidR="00757C6E" w:rsidRDefault="00757C6E" w:rsidP="00757C6E">
      <w:pPr>
        <w:jc w:val="right"/>
        <w:rPr>
          <w:rFonts w:ascii="Arial" w:hAnsi="Arial" w:cs="Arial"/>
          <w:b/>
          <w:noProof/>
          <w:sz w:val="28"/>
          <w:szCs w:val="28"/>
          <w:lang w:val="en-PH" w:eastAsia="en-PH"/>
        </w:rPr>
      </w:pPr>
      <w:r w:rsidRPr="00757C6E">
        <w:rPr>
          <w:rFonts w:ascii="Arial" w:hAnsi="Arial" w:cs="Arial"/>
          <w:b/>
          <w:noProof/>
          <w:sz w:val="28"/>
          <w:szCs w:val="28"/>
          <w:lang w:val="en-PH" w:eastAsia="en-PH"/>
        </w:rPr>
        <w:t>AWARENESS OF PARENTS ON THE K TO 12 LANGUAGE CURRICULUM: BASIS FOR AN INTENSIVE ORIENTATION SCHEME</w:t>
      </w:r>
    </w:p>
    <w:p w14:paraId="56DD7994" w14:textId="77777777" w:rsidR="00B24740" w:rsidRDefault="00B24740" w:rsidP="00757C6E">
      <w:pPr>
        <w:jc w:val="right"/>
        <w:rPr>
          <w:rFonts w:ascii="Arial" w:hAnsi="Arial" w:cs="Arial"/>
          <w:b/>
          <w:noProof/>
          <w:sz w:val="28"/>
          <w:szCs w:val="28"/>
          <w:lang w:val="en-PH" w:eastAsia="en-PH"/>
        </w:rPr>
      </w:pPr>
    </w:p>
    <w:p w14:paraId="46B3DCDD" w14:textId="723AC6E1" w:rsidR="00717F2E" w:rsidRDefault="00757C6E" w:rsidP="005C0A2C">
      <w:pPr>
        <w:ind w:left="2880"/>
        <w:rPr>
          <w:rFonts w:ascii="Arial" w:hAnsi="Arial" w:cs="Arial"/>
          <w:i/>
        </w:rPr>
        <w:sectPr w:rsidR="00717F2E" w:rsidSect="00EF6083">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rPr>
        <w:t xml:space="preserve">                </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604946AE" w:rsidR="00717F2E" w:rsidRPr="000763D2" w:rsidRDefault="008C334F" w:rsidP="00896129">
            <w:pPr>
              <w:jc w:val="both"/>
              <w:rPr>
                <w:rFonts w:ascii="Arial" w:hAnsi="Arial" w:cs="Arial"/>
                <w:iCs/>
              </w:rPr>
            </w:pPr>
            <w:r w:rsidRPr="008C334F">
              <w:rPr>
                <w:rFonts w:ascii="Arial" w:hAnsi="Arial" w:cs="Arial"/>
                <w:iCs/>
              </w:rPr>
              <w:t xml:space="preserve">This study was conducted to determine whether there is a significant difference in the level of awareness of parents of the K to 12 language curriculum. Specifically, it sought to determine the demographic profile of the parent-respondents and to assess the level of awareness of parents on the K to 12 language curriculum in </w:t>
            </w:r>
            <w:proofErr w:type="spellStart"/>
            <w:r w:rsidRPr="008C334F">
              <w:rPr>
                <w:rFonts w:ascii="Arial" w:hAnsi="Arial" w:cs="Arial"/>
                <w:iCs/>
              </w:rPr>
              <w:t>Paquibato</w:t>
            </w:r>
            <w:proofErr w:type="spellEnd"/>
            <w:r w:rsidRPr="008C334F">
              <w:rPr>
                <w:rFonts w:ascii="Arial" w:hAnsi="Arial" w:cs="Arial"/>
                <w:iCs/>
              </w:rPr>
              <w:t xml:space="preserve"> District, Division of Davao City. Furthermore, the study examined whether there is a significant difference in the level of awareness of parents on the K to 12 language curriculum when grouped according to gender, family income, nature of work, and educational attainment. A descriptive-comparative research design was utilized, with 159 parent-respondents participating in the study. Data were collected using a structured survey questionnaire and analyzed using frequency, percentage, mean, standard deviation (SD), independent t-test, and one-way analysis of variance (ANOVA). The findings revealed that parents exhibited a high level of awareness of the K to 12 language curriculum across all domains. Further analysis showed a significant difference in the level of awareness of parents on the K to 12 language curriculum when grouped according to gender, family income, nature of work, and educational attainment. Based on these findings, an intensive orientation scheme can be developed to enhance parents' understanding of the K to 12 language curriculum, ensuring that all parents, regardless of gender, economic status, employment, or education, are well-informed and actively engaged in supporting their children’s language learning journey.</w:t>
            </w:r>
          </w:p>
        </w:tc>
      </w:tr>
    </w:tbl>
    <w:p w14:paraId="175A3F79" w14:textId="77777777" w:rsidR="00717F2E" w:rsidRDefault="00717F2E">
      <w:pPr>
        <w:pStyle w:val="Body"/>
        <w:spacing w:after="0"/>
        <w:rPr>
          <w:rFonts w:ascii="Arial" w:hAnsi="Arial" w:cs="Arial"/>
          <w:i/>
        </w:rPr>
      </w:pPr>
    </w:p>
    <w:p w14:paraId="460F4104" w14:textId="4CD66FC4" w:rsidR="0025372F"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006763" w:rsidRPr="00006763">
        <w:rPr>
          <w:rFonts w:ascii="Arial" w:hAnsi="Arial" w:cs="Arial"/>
          <w:iCs/>
        </w:rPr>
        <w:t>Awareness of Parents, K to 12 Language Curriculum, Descriptive-Comparative, Education</w:t>
      </w:r>
    </w:p>
    <w:p w14:paraId="598A9EC6" w14:textId="77777777" w:rsidR="00006763" w:rsidRDefault="00006763" w:rsidP="00BB0E63">
      <w:pPr>
        <w:jc w:val="both"/>
        <w:rPr>
          <w:rFonts w:ascii="Arial" w:hAnsi="Arial" w:cs="Arial"/>
        </w:rPr>
      </w:pPr>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rsidP="00FE50C2">
      <w:pPr>
        <w:pStyle w:val="AbstHead"/>
        <w:spacing w:after="0"/>
        <w:jc w:val="both"/>
        <w:rPr>
          <w:rFonts w:ascii="Arial" w:hAnsi="Arial" w:cs="Arial"/>
          <w:sz w:val="20"/>
        </w:rPr>
      </w:pPr>
    </w:p>
    <w:p w14:paraId="2060785D" w14:textId="4E05E730" w:rsidR="00006763" w:rsidRPr="00006763" w:rsidRDefault="00006763" w:rsidP="00006763">
      <w:pPr>
        <w:jc w:val="both"/>
        <w:rPr>
          <w:rFonts w:ascii="Arial" w:hAnsi="Arial"/>
        </w:rPr>
      </w:pPr>
      <w:r w:rsidRPr="00006763">
        <w:rPr>
          <w:rFonts w:ascii="Arial" w:hAnsi="Arial"/>
        </w:rPr>
        <w:t>Parental awareness of the K to 12 language curriculum is essential for its successful implementation and for maximizing the be</w:t>
      </w:r>
      <w:r w:rsidR="00BE392B">
        <w:rPr>
          <w:rFonts w:ascii="Arial" w:hAnsi="Arial"/>
        </w:rPr>
        <w:t>nefits students receive from it (</w:t>
      </w:r>
      <w:proofErr w:type="spellStart"/>
      <w:r w:rsidR="00BE392B" w:rsidRPr="00BE392B">
        <w:rPr>
          <w:rFonts w:ascii="Arial" w:hAnsi="Arial"/>
        </w:rPr>
        <w:t>Syomwene</w:t>
      </w:r>
      <w:proofErr w:type="spellEnd"/>
      <w:r w:rsidR="00BE392B">
        <w:rPr>
          <w:rFonts w:ascii="Arial" w:hAnsi="Arial"/>
        </w:rPr>
        <w:t xml:space="preserve">, 2022). </w:t>
      </w:r>
      <w:r w:rsidRPr="00006763">
        <w:rPr>
          <w:rFonts w:ascii="Arial" w:hAnsi="Arial"/>
        </w:rPr>
        <w:t xml:space="preserve"> In the Philippines, the K to 12 program emphasizes the development of language and communi</w:t>
      </w:r>
      <w:bookmarkStart w:id="0" w:name="_GoBack"/>
      <w:bookmarkEnd w:id="0"/>
      <w:r w:rsidRPr="00006763">
        <w:rPr>
          <w:rFonts w:ascii="Arial" w:hAnsi="Arial"/>
        </w:rPr>
        <w:t>cation skills, beginning with the use of the mother tongue as the medium of instruction in the early grades, and gradually transitioning to Filipino and English in higher levels. This multilingual approach aims to foster foundational literacy, cognitive dev</w:t>
      </w:r>
      <w:r w:rsidR="00BE392B">
        <w:rPr>
          <w:rFonts w:ascii="Arial" w:hAnsi="Arial"/>
        </w:rPr>
        <w:t>elopment, and cultural identity (</w:t>
      </w:r>
      <w:proofErr w:type="spellStart"/>
      <w:r w:rsidR="00BE392B">
        <w:rPr>
          <w:rFonts w:ascii="Arial" w:hAnsi="Arial"/>
        </w:rPr>
        <w:t>Barrot</w:t>
      </w:r>
      <w:proofErr w:type="spellEnd"/>
      <w:r w:rsidR="00BE392B">
        <w:rPr>
          <w:rFonts w:ascii="Arial" w:hAnsi="Arial"/>
        </w:rPr>
        <w:t>, 2019).</w:t>
      </w:r>
    </w:p>
    <w:p w14:paraId="2FF64F7E" w14:textId="77777777" w:rsidR="00006763" w:rsidRPr="00006763" w:rsidRDefault="00006763" w:rsidP="00006763">
      <w:pPr>
        <w:jc w:val="both"/>
        <w:rPr>
          <w:rFonts w:ascii="Arial" w:hAnsi="Arial"/>
        </w:rPr>
      </w:pPr>
    </w:p>
    <w:p w14:paraId="17546819" w14:textId="69FC6BD2" w:rsidR="00006763" w:rsidRPr="00006763" w:rsidRDefault="00006763" w:rsidP="00006763">
      <w:pPr>
        <w:jc w:val="both"/>
        <w:rPr>
          <w:rFonts w:ascii="Arial" w:hAnsi="Arial"/>
        </w:rPr>
      </w:pPr>
      <w:r w:rsidRPr="00006763">
        <w:rPr>
          <w:rFonts w:ascii="Arial" w:hAnsi="Arial"/>
        </w:rPr>
        <w:t>When parents have a clear understanding of the language curriculum's structure and objectives, they are better equipped to support their children's learning at h</w:t>
      </w:r>
      <w:r w:rsidR="00BE392B">
        <w:rPr>
          <w:rFonts w:ascii="Arial" w:hAnsi="Arial"/>
        </w:rPr>
        <w:t xml:space="preserve">ome </w:t>
      </w:r>
      <w:r w:rsidR="00BE392B" w:rsidRPr="00006763">
        <w:rPr>
          <w:rFonts w:ascii="Arial" w:hAnsi="Arial"/>
        </w:rPr>
        <w:t>(</w:t>
      </w:r>
      <w:r w:rsidR="00BE392B">
        <w:rPr>
          <w:rFonts w:ascii="Arial" w:hAnsi="Arial"/>
        </w:rPr>
        <w:t>Palmer et al., 2019</w:t>
      </w:r>
      <w:r w:rsidR="00BE392B" w:rsidRPr="00006763">
        <w:rPr>
          <w:rFonts w:ascii="Arial" w:hAnsi="Arial"/>
        </w:rPr>
        <w:t xml:space="preserve">). </w:t>
      </w:r>
      <w:r w:rsidRPr="00006763">
        <w:rPr>
          <w:rFonts w:ascii="Arial" w:hAnsi="Arial"/>
        </w:rPr>
        <w:t>An informed parent can reinforce classroom strategies, help with language-based tasks, and appreciate the long-term academic and developmental ben</w:t>
      </w:r>
      <w:r w:rsidR="00BE392B">
        <w:rPr>
          <w:rFonts w:ascii="Arial" w:hAnsi="Arial"/>
        </w:rPr>
        <w:t xml:space="preserve">efits of multilingual education. </w:t>
      </w:r>
      <w:r w:rsidRPr="00006763">
        <w:rPr>
          <w:rFonts w:ascii="Arial" w:hAnsi="Arial"/>
        </w:rPr>
        <w:t>Conversely, a lack of aware</w:t>
      </w:r>
      <w:r>
        <w:rPr>
          <w:rFonts w:ascii="Arial" w:hAnsi="Arial"/>
        </w:rPr>
        <w:t xml:space="preserve">ness may lead to misconceptions, </w:t>
      </w:r>
      <w:r w:rsidRPr="00006763">
        <w:rPr>
          <w:rFonts w:ascii="Arial" w:hAnsi="Arial"/>
        </w:rPr>
        <w:t>such as the belief that instruction in the mother to</w:t>
      </w:r>
      <w:r>
        <w:rPr>
          <w:rFonts w:ascii="Arial" w:hAnsi="Arial"/>
        </w:rPr>
        <w:t xml:space="preserve">ngue delays English proficiency, </w:t>
      </w:r>
      <w:r w:rsidRPr="00006763">
        <w:rPr>
          <w:rFonts w:ascii="Arial" w:hAnsi="Arial"/>
        </w:rPr>
        <w:t>which could resu</w:t>
      </w:r>
      <w:r w:rsidR="00BE392B">
        <w:rPr>
          <w:rFonts w:ascii="Arial" w:hAnsi="Arial"/>
        </w:rPr>
        <w:t>lt in resistance to the program (</w:t>
      </w:r>
      <w:proofErr w:type="spellStart"/>
      <w:r w:rsidR="00BE392B" w:rsidRPr="00BE392B">
        <w:rPr>
          <w:rFonts w:ascii="Arial" w:hAnsi="Arial"/>
        </w:rPr>
        <w:t>Ajileye</w:t>
      </w:r>
      <w:proofErr w:type="spellEnd"/>
      <w:r w:rsidR="00BE392B">
        <w:rPr>
          <w:rFonts w:ascii="Arial" w:hAnsi="Arial"/>
        </w:rPr>
        <w:t xml:space="preserve"> </w:t>
      </w:r>
      <w:r w:rsidR="00BE392B" w:rsidRPr="00BE392B">
        <w:rPr>
          <w:rFonts w:ascii="Arial" w:hAnsi="Arial"/>
        </w:rPr>
        <w:t xml:space="preserve">&amp; </w:t>
      </w:r>
      <w:proofErr w:type="spellStart"/>
      <w:r w:rsidR="00BE392B" w:rsidRPr="00BE392B">
        <w:rPr>
          <w:rFonts w:ascii="Arial" w:hAnsi="Arial"/>
        </w:rPr>
        <w:t>Akueshi</w:t>
      </w:r>
      <w:proofErr w:type="spellEnd"/>
      <w:r w:rsidR="00BE392B">
        <w:rPr>
          <w:rFonts w:ascii="Arial" w:hAnsi="Arial"/>
        </w:rPr>
        <w:t>, 2024).</w:t>
      </w:r>
    </w:p>
    <w:p w14:paraId="1C2A39F6" w14:textId="77777777" w:rsidR="00006763" w:rsidRPr="00006763" w:rsidRDefault="00006763" w:rsidP="00006763">
      <w:pPr>
        <w:jc w:val="both"/>
        <w:rPr>
          <w:rFonts w:ascii="Arial" w:hAnsi="Arial"/>
        </w:rPr>
      </w:pPr>
    </w:p>
    <w:p w14:paraId="1AFE52A9" w14:textId="2B5B0E7F" w:rsidR="00006763" w:rsidRPr="00006763" w:rsidRDefault="00006763" w:rsidP="00006763">
      <w:pPr>
        <w:jc w:val="both"/>
        <w:rPr>
          <w:rFonts w:ascii="Arial" w:hAnsi="Arial"/>
        </w:rPr>
      </w:pPr>
      <w:r w:rsidRPr="00006763">
        <w:rPr>
          <w:rFonts w:ascii="Arial" w:hAnsi="Arial"/>
        </w:rPr>
        <w:t xml:space="preserve">As primary stakeholders in their children's education, parents play a pivotal role in reinforcing the goals of the language curriculum. Their support becomes even more critical given that some parents may feel unprepared to assist with homework in the mother tongue or question </w:t>
      </w:r>
      <w:r w:rsidRPr="00006763">
        <w:rPr>
          <w:rFonts w:ascii="Arial" w:hAnsi="Arial"/>
        </w:rPr>
        <w:lastRenderedPageBreak/>
        <w:t>the delayed use of English in early education (</w:t>
      </w:r>
      <w:r w:rsidR="00E614F8" w:rsidRPr="00E614F8">
        <w:rPr>
          <w:rFonts w:ascii="Arial" w:hAnsi="Arial"/>
        </w:rPr>
        <w:t>Beltran-</w:t>
      </w:r>
      <w:proofErr w:type="spellStart"/>
      <w:r w:rsidR="00E614F8" w:rsidRPr="00E614F8">
        <w:rPr>
          <w:rFonts w:ascii="Arial" w:hAnsi="Arial"/>
        </w:rPr>
        <w:t>Almazan</w:t>
      </w:r>
      <w:proofErr w:type="spellEnd"/>
      <w:r w:rsidR="00E614F8">
        <w:rPr>
          <w:rFonts w:ascii="Arial" w:hAnsi="Arial"/>
        </w:rPr>
        <w:t xml:space="preserve"> et al.</w:t>
      </w:r>
      <w:r w:rsidRPr="00006763">
        <w:rPr>
          <w:rFonts w:ascii="Arial" w:hAnsi="Arial"/>
        </w:rPr>
        <w:t>, 2020). These challenges highlight the urgent need for schools to engage families through effective communication strategies.</w:t>
      </w:r>
    </w:p>
    <w:p w14:paraId="29B5CB07" w14:textId="77777777" w:rsidR="00006763" w:rsidRPr="00006763" w:rsidRDefault="00006763" w:rsidP="00006763">
      <w:pPr>
        <w:jc w:val="both"/>
        <w:rPr>
          <w:rFonts w:ascii="Arial" w:hAnsi="Arial"/>
        </w:rPr>
      </w:pPr>
    </w:p>
    <w:p w14:paraId="3E3A96C5" w14:textId="7FD8AF28" w:rsidR="00006763" w:rsidRPr="00006763" w:rsidRDefault="00006763" w:rsidP="00006763">
      <w:pPr>
        <w:jc w:val="both"/>
        <w:rPr>
          <w:rFonts w:ascii="Arial" w:hAnsi="Arial"/>
        </w:rPr>
      </w:pPr>
      <w:r w:rsidRPr="00006763">
        <w:rPr>
          <w:rFonts w:ascii="Arial" w:hAnsi="Arial"/>
        </w:rPr>
        <w:t>Educational institutions must take proactive measures to increase parental awareness and involvement. Initiatives such as seminars, orientations, workshops, and regular consultations can bridge the knowledge gap and address concerns re</w:t>
      </w:r>
      <w:r w:rsidR="000520DD">
        <w:rPr>
          <w:rFonts w:ascii="Arial" w:hAnsi="Arial"/>
        </w:rPr>
        <w:t>garding the curriculum’s design (</w:t>
      </w:r>
      <w:proofErr w:type="spellStart"/>
      <w:r w:rsidR="000520DD">
        <w:rPr>
          <w:rFonts w:ascii="Arial" w:hAnsi="Arial"/>
        </w:rPr>
        <w:t>Katel</w:t>
      </w:r>
      <w:proofErr w:type="spellEnd"/>
      <w:r w:rsidR="000520DD">
        <w:rPr>
          <w:rFonts w:ascii="Arial" w:hAnsi="Arial"/>
        </w:rPr>
        <w:t xml:space="preserve"> </w:t>
      </w:r>
      <w:r w:rsidR="000520DD" w:rsidRPr="000520DD">
        <w:rPr>
          <w:rFonts w:ascii="Arial" w:hAnsi="Arial"/>
        </w:rPr>
        <w:t xml:space="preserve">&amp; </w:t>
      </w:r>
      <w:proofErr w:type="spellStart"/>
      <w:r w:rsidR="000520DD" w:rsidRPr="000520DD">
        <w:rPr>
          <w:rFonts w:ascii="Arial" w:hAnsi="Arial"/>
        </w:rPr>
        <w:t>Katel</w:t>
      </w:r>
      <w:proofErr w:type="spellEnd"/>
      <w:r w:rsidR="000520DD">
        <w:rPr>
          <w:rFonts w:ascii="Arial" w:hAnsi="Arial"/>
        </w:rPr>
        <w:t>, 2024).</w:t>
      </w:r>
      <w:r w:rsidRPr="00006763">
        <w:rPr>
          <w:rFonts w:ascii="Arial" w:hAnsi="Arial"/>
        </w:rPr>
        <w:t xml:space="preserve"> Providing accessible resources and practical guides can also empower parents to actively participate in their children’s language development. When parents understand the value of </w:t>
      </w:r>
      <w:r w:rsidR="00957CFB">
        <w:rPr>
          <w:rFonts w:ascii="Arial" w:hAnsi="Arial"/>
        </w:rPr>
        <w:t xml:space="preserve">the K to 12 language curriculum, </w:t>
      </w:r>
      <w:r w:rsidRPr="00006763">
        <w:rPr>
          <w:rFonts w:ascii="Arial" w:hAnsi="Arial"/>
        </w:rPr>
        <w:t>including improved academic outcomes, enhanced critical thinking, an</w:t>
      </w:r>
      <w:r w:rsidR="00957CFB">
        <w:rPr>
          <w:rFonts w:ascii="Arial" w:hAnsi="Arial"/>
        </w:rPr>
        <w:t xml:space="preserve">d stronger communication skills, </w:t>
      </w:r>
      <w:r w:rsidRPr="00006763">
        <w:rPr>
          <w:rFonts w:ascii="Arial" w:hAnsi="Arial"/>
        </w:rPr>
        <w:t>they are more likely to support its implementation (</w:t>
      </w:r>
      <w:proofErr w:type="spellStart"/>
      <w:r w:rsidR="000520DD" w:rsidRPr="000520DD">
        <w:rPr>
          <w:rFonts w:ascii="Arial" w:hAnsi="Arial"/>
        </w:rPr>
        <w:t>Levickis</w:t>
      </w:r>
      <w:proofErr w:type="spellEnd"/>
      <w:r w:rsidR="000520DD">
        <w:rPr>
          <w:rFonts w:ascii="Arial" w:hAnsi="Arial"/>
        </w:rPr>
        <w:t xml:space="preserve"> et al., 2020</w:t>
      </w:r>
      <w:r w:rsidRPr="00006763">
        <w:rPr>
          <w:rFonts w:ascii="Arial" w:hAnsi="Arial"/>
        </w:rPr>
        <w:t>).</w:t>
      </w:r>
    </w:p>
    <w:p w14:paraId="68B6EB7D" w14:textId="77777777" w:rsidR="00006763" w:rsidRPr="00006763" w:rsidRDefault="00006763" w:rsidP="00006763">
      <w:pPr>
        <w:jc w:val="both"/>
        <w:rPr>
          <w:rFonts w:ascii="Arial" w:hAnsi="Arial"/>
        </w:rPr>
      </w:pPr>
    </w:p>
    <w:p w14:paraId="4C751824" w14:textId="3CC57B56" w:rsidR="00006763" w:rsidRPr="00006763" w:rsidRDefault="00006763" w:rsidP="00006763">
      <w:pPr>
        <w:jc w:val="both"/>
        <w:rPr>
          <w:rFonts w:ascii="Arial" w:hAnsi="Arial"/>
        </w:rPr>
      </w:pPr>
      <w:r w:rsidRPr="00006763">
        <w:rPr>
          <w:rFonts w:ascii="Arial" w:hAnsi="Arial"/>
        </w:rPr>
        <w:t>In communities where parents are well-informed, collaboration among schools, families, and local stakeholders becomes more robust. This partnership cultivates a learning culture that values lifelong education and acknowledges the role of multilingual competence in producing globally competitive an</w:t>
      </w:r>
      <w:r w:rsidR="002F2D1F">
        <w:rPr>
          <w:rFonts w:ascii="Arial" w:hAnsi="Arial"/>
        </w:rPr>
        <w:t xml:space="preserve">d socially responsible citizens (Hobson, 2024). </w:t>
      </w:r>
      <w:r w:rsidRPr="00006763">
        <w:rPr>
          <w:rFonts w:ascii="Arial" w:hAnsi="Arial"/>
        </w:rPr>
        <w:t xml:space="preserve"> Informed parents not only contribute me</w:t>
      </w:r>
      <w:r w:rsidR="00D16771">
        <w:rPr>
          <w:rFonts w:ascii="Arial" w:hAnsi="Arial"/>
        </w:rPr>
        <w:t xml:space="preserve">aningfully to school activities, </w:t>
      </w:r>
      <w:r w:rsidRPr="00006763">
        <w:rPr>
          <w:rFonts w:ascii="Arial" w:hAnsi="Arial"/>
        </w:rPr>
        <w:t>such as conferences, workshops, and policy discussions—but also serve as advocates for the curriculum within the broader community (</w:t>
      </w:r>
      <w:r w:rsidR="002F2D1F">
        <w:rPr>
          <w:rFonts w:ascii="Arial" w:hAnsi="Arial"/>
        </w:rPr>
        <w:t>Gil</w:t>
      </w:r>
      <w:r w:rsidR="002F2D1F" w:rsidRPr="002F2D1F">
        <w:rPr>
          <w:rFonts w:ascii="Arial" w:hAnsi="Arial"/>
        </w:rPr>
        <w:t xml:space="preserve"> &amp; Johnson,</w:t>
      </w:r>
      <w:r w:rsidR="002F2D1F">
        <w:rPr>
          <w:rFonts w:ascii="Arial" w:hAnsi="Arial"/>
        </w:rPr>
        <w:t xml:space="preserve"> 2024</w:t>
      </w:r>
      <w:r w:rsidRPr="00006763">
        <w:rPr>
          <w:rFonts w:ascii="Arial" w:hAnsi="Arial"/>
        </w:rPr>
        <w:t>).</w:t>
      </w:r>
    </w:p>
    <w:p w14:paraId="432BEEFA" w14:textId="77777777" w:rsidR="00006763" w:rsidRPr="00006763" w:rsidRDefault="00006763" w:rsidP="00006763">
      <w:pPr>
        <w:jc w:val="both"/>
        <w:rPr>
          <w:rFonts w:ascii="Arial" w:hAnsi="Arial"/>
        </w:rPr>
      </w:pPr>
    </w:p>
    <w:p w14:paraId="077BB4C1" w14:textId="03E93B1B" w:rsidR="00006763" w:rsidRPr="00006763" w:rsidRDefault="00006763" w:rsidP="00006763">
      <w:pPr>
        <w:jc w:val="both"/>
        <w:rPr>
          <w:rFonts w:ascii="Arial" w:hAnsi="Arial"/>
        </w:rPr>
      </w:pPr>
      <w:r w:rsidRPr="00006763">
        <w:rPr>
          <w:rFonts w:ascii="Arial" w:hAnsi="Arial"/>
        </w:rPr>
        <w:t xml:space="preserve">Recognizing the importance of parental involvement, the researcher—a public secondary school teacher in the </w:t>
      </w:r>
      <w:proofErr w:type="spellStart"/>
      <w:r w:rsidRPr="00006763">
        <w:rPr>
          <w:rFonts w:ascii="Arial" w:hAnsi="Arial"/>
        </w:rPr>
        <w:t>Paquibato</w:t>
      </w:r>
      <w:proofErr w:type="spellEnd"/>
      <w:r w:rsidRPr="00006763">
        <w:rPr>
          <w:rFonts w:ascii="Arial" w:hAnsi="Arial"/>
        </w:rPr>
        <w:t xml:space="preserve"> District, Division o</w:t>
      </w:r>
      <w:r w:rsidR="00254DA4">
        <w:rPr>
          <w:rFonts w:ascii="Arial" w:hAnsi="Arial"/>
        </w:rPr>
        <w:t xml:space="preserve">f Davao City, </w:t>
      </w:r>
      <w:r w:rsidRPr="00006763">
        <w:rPr>
          <w:rFonts w:ascii="Arial" w:hAnsi="Arial"/>
        </w:rPr>
        <w:t>aims to conduct a study on parental awareness of the K to 12 language curriculum. The primary objective of this research is to design an effective orientation mechanism that will enable parents to understand the curriculum's framework, philosophy, and implementation goals. By fostering stronger school-home collaboration, the initiative seeks to enhance students’ learning experiences and outcomes.</w:t>
      </w:r>
    </w:p>
    <w:p w14:paraId="2FD211FA" w14:textId="77777777" w:rsidR="00006763" w:rsidRPr="00006763" w:rsidRDefault="00006763" w:rsidP="00006763">
      <w:pPr>
        <w:jc w:val="both"/>
        <w:rPr>
          <w:rFonts w:ascii="Arial" w:hAnsi="Arial"/>
        </w:rPr>
      </w:pPr>
    </w:p>
    <w:p w14:paraId="3017206B" w14:textId="290870B3" w:rsidR="003227FA" w:rsidRDefault="00006763" w:rsidP="00006763">
      <w:pPr>
        <w:jc w:val="both"/>
        <w:rPr>
          <w:rFonts w:ascii="Arial" w:eastAsia="MS Mincho" w:hAnsi="Arial" w:cs="Arial"/>
          <w:b/>
          <w:bCs/>
          <w:lang w:eastAsia="ja-JP"/>
        </w:rPr>
      </w:pPr>
      <w:r w:rsidRPr="00006763">
        <w:rPr>
          <w:rFonts w:ascii="Arial" w:hAnsi="Arial"/>
        </w:rPr>
        <w:t xml:space="preserve">The results of this study are expected to provide the Department of Education (DepEd) with valuable insights into the current level of parental understanding of the K to 12 language curriculum. Moreover, the orientation mechanism developed as an output of this research can be adopted across the </w:t>
      </w:r>
      <w:proofErr w:type="spellStart"/>
      <w:r w:rsidRPr="00006763">
        <w:rPr>
          <w:rFonts w:ascii="Arial" w:hAnsi="Arial"/>
        </w:rPr>
        <w:t>Paquibato</w:t>
      </w:r>
      <w:proofErr w:type="spellEnd"/>
      <w:r w:rsidRPr="00006763">
        <w:rPr>
          <w:rFonts w:ascii="Arial" w:hAnsi="Arial"/>
        </w:rPr>
        <w:t xml:space="preserve"> District and potentially serve as a model for similar efforts in other regions. Ultimately, raising parental awareness can lead to more engaged communities and more successful learners, contributing to the overall improvement of Philippine education.</w:t>
      </w: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3C0ABC51" w:rsidR="003227FA" w:rsidRDefault="006E3B3F" w:rsidP="003340B8">
      <w:pPr>
        <w:jc w:val="center"/>
        <w:rPr>
          <w:rFonts w:ascii="Arial" w:eastAsia="MS Mincho" w:hAnsi="Arial" w:cs="Arial"/>
          <w:b/>
          <w:bCs/>
          <w:lang w:eastAsia="ja-JP"/>
        </w:rPr>
      </w:pPr>
      <w:r>
        <w:rPr>
          <w:noProof/>
        </w:rPr>
        <w:lastRenderedPageBreak/>
        <w:drawing>
          <wp:inline distT="0" distB="0" distL="0" distR="0" wp14:anchorId="02E751E3" wp14:editId="5A3A1EDC">
            <wp:extent cx="2545080" cy="282090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4971" t="34568" r="15351" b="6953"/>
                    <a:stretch/>
                  </pic:blipFill>
                  <pic:spPr bwMode="auto">
                    <a:xfrm>
                      <a:off x="0" y="0"/>
                      <a:ext cx="2551843" cy="2828397"/>
                    </a:xfrm>
                    <a:prstGeom prst="rect">
                      <a:avLst/>
                    </a:prstGeom>
                    <a:ln>
                      <a:noFill/>
                    </a:ln>
                    <a:extLst>
                      <a:ext uri="{53640926-AAD7-44D8-BBD7-CCE9431645EC}">
                        <a14:shadowObscured xmlns:a14="http://schemas.microsoft.com/office/drawing/2010/main"/>
                      </a:ext>
                    </a:extLst>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7C24C23C"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 xml:space="preserve">This study determined parents' awareness of the K-to-12 language curricula. Specifically, the study provided answers to the following research questions: </w:t>
      </w:r>
    </w:p>
    <w:p w14:paraId="293C730E" w14:textId="153EB57E" w:rsidR="00C93C2A" w:rsidRPr="00C93C2A" w:rsidRDefault="00C93C2A" w:rsidP="00C93C2A">
      <w:pPr>
        <w:rPr>
          <w:rFonts w:ascii="Arial" w:eastAsia="MS Mincho" w:hAnsi="Arial" w:cs="Arial"/>
          <w:lang w:eastAsia="ja-JP"/>
        </w:rPr>
      </w:pPr>
      <w:r>
        <w:rPr>
          <w:rFonts w:ascii="Arial" w:eastAsia="MS Mincho" w:hAnsi="Arial" w:cs="Arial"/>
          <w:lang w:eastAsia="ja-JP"/>
        </w:rPr>
        <w:t xml:space="preserve">1. </w:t>
      </w:r>
      <w:r w:rsidRPr="00C93C2A">
        <w:rPr>
          <w:rFonts w:ascii="Arial" w:eastAsia="MS Mincho" w:hAnsi="Arial" w:cs="Arial"/>
          <w:lang w:eastAsia="ja-JP"/>
        </w:rPr>
        <w:t>What is the profile of the parent-respondents in terms of:</w:t>
      </w:r>
    </w:p>
    <w:p w14:paraId="0F16B249" w14:textId="77777777" w:rsidR="00C93C2A" w:rsidRPr="00C93C2A" w:rsidRDefault="00C93C2A" w:rsidP="00C93C2A">
      <w:pPr>
        <w:rPr>
          <w:rFonts w:ascii="Arial" w:eastAsia="MS Mincho" w:hAnsi="Arial" w:cs="Arial"/>
          <w:lang w:eastAsia="ja-JP"/>
        </w:rPr>
      </w:pPr>
      <w:proofErr w:type="gramStart"/>
      <w:r w:rsidRPr="00C93C2A">
        <w:rPr>
          <w:rFonts w:ascii="Arial" w:eastAsia="MS Mincho" w:hAnsi="Arial" w:cs="Arial"/>
          <w:lang w:eastAsia="ja-JP"/>
        </w:rPr>
        <w:t>1.1  Gender</w:t>
      </w:r>
      <w:proofErr w:type="gramEnd"/>
      <w:r w:rsidRPr="00C93C2A">
        <w:rPr>
          <w:rFonts w:ascii="Arial" w:eastAsia="MS Mincho" w:hAnsi="Arial" w:cs="Arial"/>
          <w:lang w:eastAsia="ja-JP"/>
        </w:rPr>
        <w:t>;</w:t>
      </w:r>
    </w:p>
    <w:p w14:paraId="74C257F5"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1.2 Family Income.</w:t>
      </w:r>
    </w:p>
    <w:p w14:paraId="5EB5501B"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1.3 Nature of work; and</w:t>
      </w:r>
    </w:p>
    <w:p w14:paraId="6CCF109F" w14:textId="2D6AAC72" w:rsidR="00C93C2A" w:rsidRDefault="00C93C2A" w:rsidP="00C93C2A">
      <w:pPr>
        <w:rPr>
          <w:rFonts w:ascii="Arial" w:eastAsia="MS Mincho" w:hAnsi="Arial" w:cs="Arial"/>
          <w:lang w:eastAsia="ja-JP"/>
        </w:rPr>
      </w:pPr>
      <w:r w:rsidRPr="00C93C2A">
        <w:rPr>
          <w:rFonts w:ascii="Arial" w:eastAsia="MS Mincho" w:hAnsi="Arial" w:cs="Arial"/>
          <w:lang w:eastAsia="ja-JP"/>
        </w:rPr>
        <w:t>1.4 Educational Attainment?</w:t>
      </w:r>
    </w:p>
    <w:p w14:paraId="70665B24" w14:textId="77777777" w:rsidR="00C93C2A" w:rsidRPr="00C93C2A" w:rsidRDefault="00C93C2A" w:rsidP="00C93C2A">
      <w:pPr>
        <w:rPr>
          <w:rFonts w:ascii="Arial" w:eastAsia="MS Mincho" w:hAnsi="Arial" w:cs="Arial"/>
          <w:lang w:eastAsia="ja-JP"/>
        </w:rPr>
      </w:pPr>
    </w:p>
    <w:p w14:paraId="5EBD846B" w14:textId="2191DE50" w:rsidR="00C93C2A" w:rsidRPr="00C93C2A" w:rsidRDefault="00C93C2A" w:rsidP="00C93C2A">
      <w:pPr>
        <w:rPr>
          <w:rFonts w:ascii="Arial" w:eastAsia="MS Mincho" w:hAnsi="Arial" w:cs="Arial"/>
          <w:lang w:eastAsia="ja-JP"/>
        </w:rPr>
      </w:pPr>
      <w:r>
        <w:rPr>
          <w:rFonts w:ascii="Arial" w:eastAsia="MS Mincho" w:hAnsi="Arial" w:cs="Arial"/>
          <w:lang w:eastAsia="ja-JP"/>
        </w:rPr>
        <w:t xml:space="preserve">2. </w:t>
      </w:r>
      <w:r w:rsidRPr="00C93C2A">
        <w:rPr>
          <w:rFonts w:ascii="Arial" w:eastAsia="MS Mincho" w:hAnsi="Arial" w:cs="Arial"/>
          <w:lang w:eastAsia="ja-JP"/>
        </w:rPr>
        <w:t>What is the level of awareness of parent-respondents on the K to 12 language curricula based on the following:</w:t>
      </w:r>
    </w:p>
    <w:p w14:paraId="278DE300" w14:textId="77777777" w:rsidR="00C93C2A" w:rsidRPr="00C93C2A" w:rsidRDefault="00C93C2A" w:rsidP="00C93C2A">
      <w:pPr>
        <w:rPr>
          <w:rFonts w:ascii="Arial" w:eastAsia="MS Mincho" w:hAnsi="Arial" w:cs="Arial"/>
          <w:lang w:eastAsia="ja-JP"/>
        </w:rPr>
      </w:pPr>
      <w:proofErr w:type="gramStart"/>
      <w:r w:rsidRPr="00C93C2A">
        <w:rPr>
          <w:rFonts w:ascii="Arial" w:eastAsia="MS Mincho" w:hAnsi="Arial" w:cs="Arial"/>
          <w:lang w:eastAsia="ja-JP"/>
        </w:rPr>
        <w:t>2.1  Early</w:t>
      </w:r>
      <w:proofErr w:type="gramEnd"/>
      <w:r w:rsidRPr="00C93C2A">
        <w:rPr>
          <w:rFonts w:ascii="Arial" w:eastAsia="MS Mincho" w:hAnsi="Arial" w:cs="Arial"/>
          <w:lang w:eastAsia="ja-JP"/>
        </w:rPr>
        <w:t xml:space="preserve"> childhood education;</w:t>
      </w:r>
    </w:p>
    <w:p w14:paraId="094A4095"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2.2. Making language curriculum relevant to the learner;</w:t>
      </w:r>
    </w:p>
    <w:p w14:paraId="009C55D8"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2.3. Building proficiency through language;</w:t>
      </w:r>
    </w:p>
    <w:p w14:paraId="0895FE6A"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2.4. Ensuring integrated and seamless learning;</w:t>
      </w:r>
    </w:p>
    <w:p w14:paraId="7D4DCBCC"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 xml:space="preserve">2.5.  Gearing up for the future; and </w:t>
      </w:r>
    </w:p>
    <w:p w14:paraId="2C904BA8" w14:textId="5CB30026" w:rsidR="00C93C2A" w:rsidRDefault="00C93C2A" w:rsidP="00C93C2A">
      <w:pPr>
        <w:rPr>
          <w:rFonts w:ascii="Arial" w:eastAsia="MS Mincho" w:hAnsi="Arial" w:cs="Arial"/>
          <w:lang w:eastAsia="ja-JP"/>
        </w:rPr>
      </w:pPr>
      <w:r w:rsidRPr="00C93C2A">
        <w:rPr>
          <w:rFonts w:ascii="Arial" w:eastAsia="MS Mincho" w:hAnsi="Arial" w:cs="Arial"/>
          <w:lang w:eastAsia="ja-JP"/>
        </w:rPr>
        <w:t>2.6.  Nurturing the holistically developed Filipino?</w:t>
      </w:r>
    </w:p>
    <w:p w14:paraId="5A19AC29" w14:textId="77777777" w:rsidR="00C93C2A" w:rsidRPr="00C93C2A" w:rsidRDefault="00C93C2A" w:rsidP="00C93C2A">
      <w:pPr>
        <w:rPr>
          <w:rFonts w:ascii="Arial" w:eastAsia="MS Mincho" w:hAnsi="Arial" w:cs="Arial"/>
          <w:lang w:eastAsia="ja-JP"/>
        </w:rPr>
      </w:pPr>
    </w:p>
    <w:p w14:paraId="36B33589" w14:textId="00E809CD" w:rsidR="00C93C2A" w:rsidRPr="00C93C2A" w:rsidRDefault="00C93C2A" w:rsidP="00C93C2A">
      <w:pPr>
        <w:rPr>
          <w:rFonts w:ascii="Arial" w:eastAsia="MS Mincho" w:hAnsi="Arial" w:cs="Arial"/>
          <w:lang w:eastAsia="ja-JP"/>
        </w:rPr>
      </w:pPr>
      <w:r>
        <w:rPr>
          <w:rFonts w:ascii="Arial" w:eastAsia="MS Mincho" w:hAnsi="Arial" w:cs="Arial"/>
          <w:lang w:eastAsia="ja-JP"/>
        </w:rPr>
        <w:t xml:space="preserve">3. </w:t>
      </w:r>
      <w:r w:rsidRPr="00C93C2A">
        <w:rPr>
          <w:rFonts w:ascii="Arial" w:eastAsia="MS Mincho" w:hAnsi="Arial" w:cs="Arial"/>
          <w:lang w:eastAsia="ja-JP"/>
        </w:rPr>
        <w:t>Are there differences in the level of awareness of parent-respondents on the K-12 language curriculum when analyzed according to:</w:t>
      </w:r>
    </w:p>
    <w:p w14:paraId="1419A9E1" w14:textId="77777777" w:rsidR="00C93C2A" w:rsidRPr="00C93C2A" w:rsidRDefault="00C93C2A" w:rsidP="00C93C2A">
      <w:pPr>
        <w:rPr>
          <w:rFonts w:ascii="Arial" w:eastAsia="MS Mincho" w:hAnsi="Arial" w:cs="Arial"/>
          <w:lang w:eastAsia="ja-JP"/>
        </w:rPr>
      </w:pPr>
      <w:proofErr w:type="gramStart"/>
      <w:r w:rsidRPr="00C93C2A">
        <w:rPr>
          <w:rFonts w:ascii="Arial" w:eastAsia="MS Mincho" w:hAnsi="Arial" w:cs="Arial"/>
          <w:lang w:eastAsia="ja-JP"/>
        </w:rPr>
        <w:t>3.1  Gender</w:t>
      </w:r>
      <w:proofErr w:type="gramEnd"/>
      <w:r w:rsidRPr="00C93C2A">
        <w:rPr>
          <w:rFonts w:ascii="Arial" w:eastAsia="MS Mincho" w:hAnsi="Arial" w:cs="Arial"/>
          <w:lang w:eastAsia="ja-JP"/>
        </w:rPr>
        <w:t>;</w:t>
      </w:r>
    </w:p>
    <w:p w14:paraId="3796DFCD"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3.2 Family Income;</w:t>
      </w:r>
    </w:p>
    <w:p w14:paraId="321484C1" w14:textId="77777777" w:rsidR="00C93C2A" w:rsidRPr="00C93C2A" w:rsidRDefault="00C93C2A" w:rsidP="00C93C2A">
      <w:pPr>
        <w:rPr>
          <w:rFonts w:ascii="Arial" w:eastAsia="MS Mincho" w:hAnsi="Arial" w:cs="Arial"/>
          <w:lang w:eastAsia="ja-JP"/>
        </w:rPr>
      </w:pPr>
      <w:r w:rsidRPr="00C93C2A">
        <w:rPr>
          <w:rFonts w:ascii="Arial" w:eastAsia="MS Mincho" w:hAnsi="Arial" w:cs="Arial"/>
          <w:lang w:eastAsia="ja-JP"/>
        </w:rPr>
        <w:t>3.3 Nature of work; and</w:t>
      </w:r>
    </w:p>
    <w:p w14:paraId="5835AC50" w14:textId="161B03DF" w:rsidR="00C93C2A" w:rsidRDefault="00C93C2A" w:rsidP="00C93C2A">
      <w:pPr>
        <w:rPr>
          <w:rFonts w:ascii="Arial" w:eastAsia="MS Mincho" w:hAnsi="Arial" w:cs="Arial"/>
          <w:lang w:eastAsia="ja-JP"/>
        </w:rPr>
      </w:pPr>
      <w:r w:rsidRPr="00C93C2A">
        <w:rPr>
          <w:rFonts w:ascii="Arial" w:eastAsia="MS Mincho" w:hAnsi="Arial" w:cs="Arial"/>
          <w:lang w:eastAsia="ja-JP"/>
        </w:rPr>
        <w:t>3.4 Educational Attainment?</w:t>
      </w:r>
    </w:p>
    <w:p w14:paraId="2570368A" w14:textId="77777777" w:rsidR="002075F9" w:rsidRPr="00C93C2A" w:rsidRDefault="002075F9" w:rsidP="00C93C2A">
      <w:pPr>
        <w:rPr>
          <w:rFonts w:ascii="Arial" w:eastAsia="MS Mincho" w:hAnsi="Arial" w:cs="Arial"/>
          <w:lang w:eastAsia="ja-JP"/>
        </w:rPr>
      </w:pPr>
    </w:p>
    <w:p w14:paraId="21B5107C" w14:textId="39EB3905" w:rsidR="00983911" w:rsidRDefault="002075F9" w:rsidP="00C93C2A">
      <w:pPr>
        <w:rPr>
          <w:rFonts w:ascii="Arial" w:eastAsia="MS Mincho" w:hAnsi="Arial" w:cs="Arial"/>
          <w:lang w:eastAsia="ja-JP"/>
        </w:rPr>
      </w:pPr>
      <w:r>
        <w:rPr>
          <w:rFonts w:ascii="Arial" w:eastAsia="MS Mincho" w:hAnsi="Arial" w:cs="Arial"/>
          <w:lang w:eastAsia="ja-JP"/>
        </w:rPr>
        <w:t xml:space="preserve">4. </w:t>
      </w:r>
      <w:r w:rsidR="00C93C2A" w:rsidRPr="00C93C2A">
        <w:rPr>
          <w:rFonts w:ascii="Arial" w:eastAsia="MS Mincho" w:hAnsi="Arial" w:cs="Arial"/>
          <w:lang w:eastAsia="ja-JP"/>
        </w:rPr>
        <w:t>What intensive orientation scheme can be designed and proposed in light of the study?</w:t>
      </w:r>
    </w:p>
    <w:p w14:paraId="0F9BEE83" w14:textId="77777777" w:rsidR="00C93C2A" w:rsidRPr="002F5C4B" w:rsidRDefault="00C93C2A" w:rsidP="00C93C2A">
      <w:pPr>
        <w:rPr>
          <w:rFonts w:ascii="Arial" w:eastAsia="MS Mincho" w:hAnsi="Arial" w:cs="Arial"/>
          <w:lang w:eastAsia="ja-JP"/>
        </w:rPr>
      </w:pPr>
    </w:p>
    <w:p w14:paraId="4110F409" w14:textId="2A19F9F9"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1A3D7DA4" w14:textId="77777777" w:rsidR="00793189" w:rsidRPr="00793189" w:rsidRDefault="000C7DFC" w:rsidP="00793189">
      <w:pPr>
        <w:rPr>
          <w:rFonts w:ascii="Arial" w:hAnsi="Arial" w:cs="Arial"/>
        </w:rPr>
      </w:pPr>
      <w:r w:rsidRPr="000C7DFC">
        <w:rPr>
          <w:rFonts w:ascii="Arial" w:hAnsi="Arial" w:cs="Arial"/>
        </w:rPr>
        <w:t xml:space="preserve">Ho1. </w:t>
      </w:r>
      <w:r w:rsidR="00793189" w:rsidRPr="00793189">
        <w:rPr>
          <w:rFonts w:ascii="Arial" w:hAnsi="Arial" w:cs="Arial"/>
        </w:rPr>
        <w:t>There are no significant differences in the level of awareness of</w:t>
      </w:r>
    </w:p>
    <w:p w14:paraId="1F38527E" w14:textId="5E378127" w:rsidR="000C7DFC" w:rsidRDefault="00793189" w:rsidP="00793189">
      <w:pPr>
        <w:rPr>
          <w:rFonts w:ascii="Arial" w:hAnsi="Arial" w:cs="Arial"/>
        </w:rPr>
      </w:pPr>
      <w:r w:rsidRPr="00793189">
        <w:rPr>
          <w:rFonts w:ascii="Arial" w:hAnsi="Arial" w:cs="Arial"/>
        </w:rPr>
        <w:lastRenderedPageBreak/>
        <w:t>parent-respondents on the K to 12 language curricula when analyzed according to gender, family income, nature of work, and educational attainment.</w:t>
      </w:r>
    </w:p>
    <w:p w14:paraId="12629288" w14:textId="77777777" w:rsidR="00793189" w:rsidRPr="000C7DFC" w:rsidRDefault="00793189" w:rsidP="00793189">
      <w:pPr>
        <w:rPr>
          <w:rFonts w:ascii="Arial" w:hAnsi="Arial" w:cs="Arial"/>
        </w:rPr>
      </w:pPr>
    </w:p>
    <w:p w14:paraId="1FB22208" w14:textId="77777777" w:rsidR="000C7DFC" w:rsidRDefault="000C7DFC" w:rsidP="000C7DFC">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28C50E4B"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DACF4CE" w14:textId="734EA850" w:rsidR="000C7DFC" w:rsidRDefault="00793189" w:rsidP="00793189">
      <w:pPr>
        <w:jc w:val="both"/>
        <w:rPr>
          <w:rFonts w:ascii="Arial" w:hAnsi="Arial" w:cs="Arial"/>
        </w:rPr>
      </w:pPr>
      <w:r w:rsidRPr="00793189">
        <w:rPr>
          <w:rFonts w:ascii="Arial" w:hAnsi="Arial" w:cs="Arial"/>
        </w:rPr>
        <w:t xml:space="preserve">This study employed a descriptive-comparative quantitative research design to examine and compare the levels of parental awareness regarding the K to 12 language curriculum across different groups of respondents. This approach was deemed appropriate for identifying significant differences in awareness based on variables such as educational attainment, socioeconomic status, or geographic location within the </w:t>
      </w:r>
      <w:proofErr w:type="spellStart"/>
      <w:r w:rsidRPr="00793189">
        <w:rPr>
          <w:rFonts w:ascii="Arial" w:hAnsi="Arial" w:cs="Arial"/>
        </w:rPr>
        <w:t>Paquibato</w:t>
      </w:r>
      <w:proofErr w:type="spellEnd"/>
      <w:r w:rsidRPr="00793189">
        <w:rPr>
          <w:rFonts w:ascii="Arial" w:hAnsi="Arial" w:cs="Arial"/>
        </w:rPr>
        <w:t xml:space="preserve"> District, Division of Davao City.</w:t>
      </w:r>
      <w:r>
        <w:rPr>
          <w:rFonts w:ascii="Arial" w:hAnsi="Arial" w:cs="Arial"/>
        </w:rPr>
        <w:t xml:space="preserve"> </w:t>
      </w:r>
      <w:r w:rsidRPr="00793189">
        <w:rPr>
          <w:rFonts w:ascii="Arial" w:hAnsi="Arial" w:cs="Arial"/>
        </w:rPr>
        <w:t xml:space="preserve">As explained by </w:t>
      </w:r>
      <w:proofErr w:type="spellStart"/>
      <w:r w:rsidR="00EA1B20">
        <w:rPr>
          <w:rFonts w:ascii="Arial" w:hAnsi="Arial" w:cs="Arial"/>
        </w:rPr>
        <w:t>Siedlecki</w:t>
      </w:r>
      <w:proofErr w:type="spellEnd"/>
      <w:r w:rsidR="00EA1B20">
        <w:rPr>
          <w:rFonts w:ascii="Arial" w:hAnsi="Arial" w:cs="Arial"/>
        </w:rPr>
        <w:t xml:space="preserve"> (2020</w:t>
      </w:r>
      <w:r w:rsidRPr="00793189">
        <w:rPr>
          <w:rFonts w:ascii="Arial" w:hAnsi="Arial" w:cs="Arial"/>
        </w:rPr>
        <w:t>), descriptive-comparative research allows for the analysis of how certain characteristics vary across predefined categories without manipulating variables. In this context, the design enabled the researcher to describe existing levels of parental awareness and compare them across subgroups to determine whether meaningful differences exist. The findings aim to guide the development of targeted orientation strategies and strengthen school-parent collaboration in support of the K to 12 language curriculum.</w:t>
      </w:r>
    </w:p>
    <w:p w14:paraId="0869201A" w14:textId="77777777" w:rsidR="006E3B3F" w:rsidRPr="00793189" w:rsidRDefault="006E3B3F" w:rsidP="00793189">
      <w:pPr>
        <w:jc w:val="both"/>
        <w:rPr>
          <w:rFonts w:ascii="Arial" w:hAnsi="Arial" w:cs="Arial"/>
        </w:rPr>
      </w:pPr>
    </w:p>
    <w:p w14:paraId="318F0781" w14:textId="3871AFA8"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681DBA1" w14:textId="21B007C0" w:rsidR="00A461CC" w:rsidRPr="00A461CC" w:rsidRDefault="00A461CC" w:rsidP="00AD7D8B">
      <w:pPr>
        <w:jc w:val="both"/>
        <w:rPr>
          <w:rFonts w:ascii="Arial" w:hAnsi="Arial" w:cs="Arial"/>
        </w:rPr>
      </w:pPr>
      <w:r w:rsidRPr="00A461CC">
        <w:rPr>
          <w:rFonts w:ascii="Arial" w:hAnsi="Arial" w:cs="Arial"/>
        </w:rPr>
        <w:t xml:space="preserve">The respondents of this study were the parents of the Grade 1 pupils of </w:t>
      </w:r>
      <w:proofErr w:type="spellStart"/>
      <w:r w:rsidRPr="00A461CC">
        <w:rPr>
          <w:rFonts w:ascii="Arial" w:hAnsi="Arial" w:cs="Arial"/>
        </w:rPr>
        <w:t>Paquibato</w:t>
      </w:r>
      <w:proofErr w:type="spellEnd"/>
      <w:r w:rsidRPr="00A461CC">
        <w:rPr>
          <w:rFonts w:ascii="Arial" w:hAnsi="Arial" w:cs="Arial"/>
        </w:rPr>
        <w:t xml:space="preserve"> District, Division of Davao City, for the School Year 2024-2025. In this </w:t>
      </w:r>
      <w:r w:rsidR="008C73DB">
        <w:rPr>
          <w:rFonts w:ascii="Arial" w:hAnsi="Arial" w:cs="Arial"/>
        </w:rPr>
        <w:t>research, one hundred fifty (150</w:t>
      </w:r>
      <w:r w:rsidRPr="00A461CC">
        <w:rPr>
          <w:rFonts w:ascii="Arial" w:hAnsi="Arial" w:cs="Arial"/>
        </w:rPr>
        <w:t>) respondents were chosen using purposive sampling.</w:t>
      </w:r>
      <w:r w:rsidR="00AD7D8B">
        <w:rPr>
          <w:rFonts w:ascii="Arial" w:hAnsi="Arial" w:cs="Arial"/>
        </w:rPr>
        <w:t xml:space="preserve"> </w:t>
      </w:r>
      <w:r w:rsidRPr="00A461CC">
        <w:rPr>
          <w:rFonts w:ascii="Arial" w:hAnsi="Arial" w:cs="Arial"/>
        </w:rPr>
        <w:t xml:space="preserve">According to </w:t>
      </w:r>
      <w:proofErr w:type="spellStart"/>
      <w:r w:rsidR="00F55DF5" w:rsidRPr="00F55DF5">
        <w:rPr>
          <w:rFonts w:ascii="Arial" w:hAnsi="Arial" w:cs="Arial"/>
        </w:rPr>
        <w:t>Samanth</w:t>
      </w:r>
      <w:proofErr w:type="spellEnd"/>
      <w:r w:rsidR="00F55DF5">
        <w:rPr>
          <w:rFonts w:ascii="Arial" w:hAnsi="Arial" w:cs="Arial"/>
        </w:rPr>
        <w:t xml:space="preserve"> (2024</w:t>
      </w:r>
      <w:r w:rsidRPr="00A461CC">
        <w:rPr>
          <w:rFonts w:ascii="Arial" w:hAnsi="Arial" w:cs="Arial"/>
        </w:rPr>
        <w:t>), purposive sampling is a type of non-scientific sampling based on selecting individuals as samples according to the purpose of the research. The respondents were selected to constitute the sample due to good evidence representing the quality and characteristics of the population.</w:t>
      </w:r>
      <w:r>
        <w:rPr>
          <w:rFonts w:ascii="Arial" w:hAnsi="Arial" w:cs="Arial"/>
        </w:rPr>
        <w:t xml:space="preserve"> </w:t>
      </w:r>
      <w:r w:rsidRPr="00A461CC">
        <w:rPr>
          <w:rFonts w:ascii="Arial" w:hAnsi="Arial" w:cs="Arial"/>
        </w:rPr>
        <w:t xml:space="preserve">The parent-respondents were taken from the fifteen (15) schools of </w:t>
      </w:r>
      <w:proofErr w:type="spellStart"/>
      <w:r w:rsidRPr="00A461CC">
        <w:rPr>
          <w:rFonts w:ascii="Arial" w:hAnsi="Arial" w:cs="Arial"/>
        </w:rPr>
        <w:t>Paquibato</w:t>
      </w:r>
      <w:proofErr w:type="spellEnd"/>
      <w:r w:rsidRPr="00A461CC">
        <w:rPr>
          <w:rFonts w:ascii="Arial" w:hAnsi="Arial" w:cs="Arial"/>
        </w:rPr>
        <w:t xml:space="preserve"> District, Division of Davao City. Each school contributed ten (10) respondents. The data on the respondents of the study are presented in </w:t>
      </w:r>
    </w:p>
    <w:p w14:paraId="721019D1" w14:textId="77777777" w:rsidR="00A461CC" w:rsidRDefault="00A461CC">
      <w:pPr>
        <w:rPr>
          <w:rFonts w:ascii="Arial" w:hAnsi="Arial" w:cs="Arial"/>
          <w:b/>
          <w:bCs/>
        </w:rPr>
      </w:pPr>
    </w:p>
    <w:p w14:paraId="6BE2C45C" w14:textId="74BF82F6"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3BED252B" w14:textId="77777777" w:rsidR="00AE67D3" w:rsidRDefault="009F66A4" w:rsidP="009F66A4">
      <w:pPr>
        <w:jc w:val="both"/>
        <w:rPr>
          <w:rFonts w:ascii="Arial" w:hAnsi="Arial" w:cs="Arial"/>
        </w:rPr>
      </w:pPr>
      <w:r w:rsidRPr="009F66A4">
        <w:rPr>
          <w:rFonts w:ascii="Arial" w:hAnsi="Arial" w:cs="Arial"/>
        </w:rPr>
        <w:t xml:space="preserve">Without standardized instruments, the researcher employed researcher-made instruments in the form of a checklist with three options. This was formulated based on several readings, references, related literature, and local and foreign studies. The independent variable indicators (parents' awareness of the K to 12 language curriculum) were carefully taken from the K to 12 Manual of the Department of Education. </w:t>
      </w:r>
      <w:r w:rsidRPr="009F66A4">
        <w:rPr>
          <w:rFonts w:ascii="Arial" w:hAnsi="Arial" w:cs="Arial"/>
        </w:rPr>
        <w:tab/>
      </w:r>
    </w:p>
    <w:p w14:paraId="17583F90" w14:textId="738B23E6" w:rsidR="009F66A4" w:rsidRPr="009F66A4" w:rsidRDefault="009F66A4" w:rsidP="009F66A4">
      <w:pPr>
        <w:jc w:val="both"/>
        <w:rPr>
          <w:rFonts w:ascii="Arial" w:hAnsi="Arial" w:cs="Arial"/>
        </w:rPr>
      </w:pPr>
      <w:r w:rsidRPr="009F66A4">
        <w:rPr>
          <w:rFonts w:ascii="Arial" w:hAnsi="Arial" w:cs="Arial"/>
        </w:rPr>
        <w:tab/>
      </w:r>
    </w:p>
    <w:p w14:paraId="2F8B3894" w14:textId="77777777" w:rsidR="009F66A4" w:rsidRPr="009F66A4" w:rsidRDefault="009F66A4" w:rsidP="009F66A4">
      <w:pPr>
        <w:jc w:val="both"/>
        <w:rPr>
          <w:rFonts w:ascii="Arial" w:hAnsi="Arial" w:cs="Arial"/>
        </w:rPr>
      </w:pPr>
      <w:r w:rsidRPr="009F66A4">
        <w:rPr>
          <w:rFonts w:ascii="Arial" w:hAnsi="Arial" w:cs="Arial"/>
        </w:rPr>
        <w:t>In developing the research instrument, the researcher conducted a thorough evaluation of the existing literature. This involved analyzing a wide range of studies and key findings relevant to their topic. The researcher identified several important points that encapsulated the essence, substance, and specific objectives of their study. By incorporating these insights, the researchers ensured that the research instrument was not only relevant but also effectively aligned with the core aims of their research project.</w:t>
      </w:r>
      <w:r w:rsidRPr="009F66A4">
        <w:rPr>
          <w:rFonts w:ascii="Arial" w:hAnsi="Arial" w:cs="Arial"/>
        </w:rPr>
        <w:tab/>
      </w:r>
      <w:r w:rsidRPr="009F66A4">
        <w:rPr>
          <w:rFonts w:ascii="Arial" w:hAnsi="Arial" w:cs="Arial"/>
        </w:rPr>
        <w:tab/>
      </w:r>
      <w:r w:rsidRPr="009F66A4">
        <w:rPr>
          <w:rFonts w:ascii="Arial" w:hAnsi="Arial" w:cs="Arial"/>
        </w:rPr>
        <w:tab/>
      </w:r>
    </w:p>
    <w:p w14:paraId="5365DC82" w14:textId="77777777" w:rsidR="009F66A4" w:rsidRDefault="009F66A4" w:rsidP="009F66A4">
      <w:pPr>
        <w:jc w:val="both"/>
        <w:rPr>
          <w:rFonts w:ascii="Arial" w:hAnsi="Arial" w:cs="Arial"/>
        </w:rPr>
      </w:pPr>
    </w:p>
    <w:p w14:paraId="0B064143" w14:textId="69148602" w:rsidR="009F66A4" w:rsidRPr="009F66A4" w:rsidRDefault="009F66A4" w:rsidP="009F66A4">
      <w:pPr>
        <w:jc w:val="both"/>
        <w:rPr>
          <w:rFonts w:ascii="Arial" w:hAnsi="Arial" w:cs="Arial"/>
        </w:rPr>
      </w:pPr>
      <w:r w:rsidRPr="009F66A4">
        <w:rPr>
          <w:rFonts w:ascii="Arial" w:hAnsi="Arial" w:cs="Arial"/>
        </w:rPr>
        <w:t xml:space="preserve">The research instrument has two parts. The first part focused on the respondents' demographic profile, and the second part assessed parents' awareness of the K to 12. The second part of the instrument has six (6) dimensions. Each dimension has five (5) items purposely constructed to elicit the necessary data. </w:t>
      </w:r>
    </w:p>
    <w:p w14:paraId="7EA6E52A" w14:textId="0A02635C" w:rsidR="009E164D" w:rsidRPr="009F66A4" w:rsidRDefault="009F66A4" w:rsidP="009F66A4">
      <w:pPr>
        <w:jc w:val="both"/>
        <w:rPr>
          <w:rFonts w:ascii="Arial" w:hAnsi="Arial" w:cs="Arial"/>
          <w:b/>
          <w:bCs/>
        </w:rPr>
      </w:pPr>
      <w:r w:rsidRPr="009F66A4">
        <w:rPr>
          <w:rFonts w:ascii="Arial" w:hAnsi="Arial" w:cs="Arial"/>
        </w:rPr>
        <w:lastRenderedPageBreak/>
        <w:t>A five-point scale with its corresponding descriptive rating was provided to guide the respondents in choosing answers appropriately. The Cronbach's alpha for the survey questionnaire was 0.897, indicating good internal consistency and reliability. This value suggests that the questionnaire is reliable for measuring the intended constructs. Clear and simple directions were also included to help the respondents understand the content and purpose of the instrument.</w:t>
      </w:r>
    </w:p>
    <w:p w14:paraId="47208824" w14:textId="77777777" w:rsidR="009F66A4" w:rsidRDefault="009F66A4" w:rsidP="00A4603F">
      <w:pPr>
        <w:rPr>
          <w:rFonts w:ascii="Arial" w:hAnsi="Arial" w:cs="Arial"/>
          <w:b/>
          <w:bCs/>
        </w:rPr>
      </w:pPr>
    </w:p>
    <w:p w14:paraId="27C6641A" w14:textId="61A30C6C" w:rsidR="005D71AE" w:rsidRDefault="00180859" w:rsidP="00A4603F">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15DCD6AF" w14:textId="25940B44" w:rsidR="003D3270" w:rsidRPr="003D3270" w:rsidRDefault="003D3270" w:rsidP="003D3270">
      <w:pPr>
        <w:pStyle w:val="Heading1"/>
        <w:jc w:val="both"/>
        <w:rPr>
          <w:rFonts w:cs="Arial"/>
          <w:b w:val="0"/>
          <w:kern w:val="0"/>
          <w:sz w:val="20"/>
        </w:rPr>
      </w:pPr>
      <w:r w:rsidRPr="003D3270">
        <w:rPr>
          <w:rFonts w:cs="Arial"/>
          <w:b w:val="0"/>
          <w:kern w:val="0"/>
          <w:sz w:val="20"/>
        </w:rPr>
        <w:t xml:space="preserve">The data for this study were gathered following a systematic procedure. First, the researcher sought formal permission from the Schools Division Superintendent of the Davao City Division to conduct the survey among parents of pupils in the </w:t>
      </w:r>
      <w:proofErr w:type="spellStart"/>
      <w:r w:rsidRPr="003D3270">
        <w:rPr>
          <w:rFonts w:cs="Arial"/>
          <w:b w:val="0"/>
          <w:kern w:val="0"/>
          <w:sz w:val="20"/>
        </w:rPr>
        <w:t>Paquibato</w:t>
      </w:r>
      <w:proofErr w:type="spellEnd"/>
      <w:r w:rsidRPr="003D3270">
        <w:rPr>
          <w:rFonts w:cs="Arial"/>
          <w:b w:val="0"/>
          <w:kern w:val="0"/>
          <w:sz w:val="20"/>
        </w:rPr>
        <w:t xml:space="preserve"> District. Upon approval, the researcher coordinated with the school heads and section advisers of the participating schools to ensure that the data collection process would not disrupt regular classes or other school activities. A copy of the approved request to survey parents is included in the Appendi</w:t>
      </w:r>
      <w:r w:rsidR="0066489A">
        <w:rPr>
          <w:rFonts w:cs="Arial"/>
          <w:b w:val="0"/>
          <w:kern w:val="0"/>
          <w:sz w:val="20"/>
        </w:rPr>
        <w:t>x 1</w:t>
      </w:r>
      <w:r w:rsidRPr="003D3270">
        <w:rPr>
          <w:rFonts w:cs="Arial"/>
          <w:b w:val="0"/>
          <w:kern w:val="0"/>
          <w:sz w:val="20"/>
        </w:rPr>
        <w:t>.</w:t>
      </w:r>
    </w:p>
    <w:p w14:paraId="1E443D94" w14:textId="05A0C420" w:rsidR="003D3270" w:rsidRPr="003D3270" w:rsidRDefault="003D3270" w:rsidP="003D3270">
      <w:pPr>
        <w:pStyle w:val="Heading1"/>
        <w:jc w:val="both"/>
        <w:rPr>
          <w:rFonts w:cs="Arial"/>
          <w:b w:val="0"/>
          <w:kern w:val="0"/>
          <w:sz w:val="20"/>
        </w:rPr>
      </w:pPr>
      <w:r w:rsidRPr="003D3270">
        <w:rPr>
          <w:rFonts w:cs="Arial"/>
          <w:b w:val="0"/>
          <w:kern w:val="0"/>
          <w:sz w:val="20"/>
        </w:rPr>
        <w:t>After securing the necessary approvals, the researcher proceeded with the administration and retrieval of the research instrument. The questionnaires were personally distributed and administered in close coordination with the section advisers. Recognizing the vital role of parent-respondents in the success of the study, the researcher made a conscious effort to create a comfortable and supportive environment for participants. This collaborative approach aimed to foster openness, encourage full participation, and achieve a high response rate, ensuring that each parent’s voice was heard and valued.</w:t>
      </w:r>
    </w:p>
    <w:p w14:paraId="4CA7D3FA" w14:textId="5B486C9A" w:rsidR="003D3270" w:rsidRPr="003D3270" w:rsidRDefault="003D3270" w:rsidP="003D3270">
      <w:pPr>
        <w:pStyle w:val="Heading1"/>
        <w:jc w:val="both"/>
        <w:rPr>
          <w:rFonts w:cs="Arial"/>
          <w:b w:val="0"/>
          <w:kern w:val="0"/>
          <w:sz w:val="20"/>
        </w:rPr>
      </w:pPr>
      <w:r w:rsidRPr="003D3270">
        <w:rPr>
          <w:rFonts w:cs="Arial"/>
          <w:b w:val="0"/>
          <w:kern w:val="0"/>
          <w:sz w:val="20"/>
        </w:rPr>
        <w:t>Once the instruments were completed and collected, the responses were carefully collated, tallied, and tabulated. The data were then analyzed and interpreted with strict confidentiality. This approach not only upheld the ethical standards of the study but also ensured that the results could be reliably shared with relevant stakeholders while safeguarding the privacy of the respondents.</w:t>
      </w:r>
    </w:p>
    <w:p w14:paraId="5ED8D7D1" w14:textId="77777777" w:rsidR="003D3270" w:rsidRDefault="003D3270" w:rsidP="00093400">
      <w:pPr>
        <w:pStyle w:val="Heading1"/>
        <w:rPr>
          <w:rFonts w:cs="Arial"/>
          <w:sz w:val="20"/>
        </w:rPr>
      </w:pPr>
    </w:p>
    <w:p w14:paraId="2DB4856E" w14:textId="1FECD901" w:rsidR="0092734A" w:rsidRDefault="00180859" w:rsidP="0092734A">
      <w:pPr>
        <w:pStyle w:val="Heading1"/>
        <w:rPr>
          <w:rFonts w:cs="Arial"/>
          <w:sz w:val="20"/>
        </w:rPr>
      </w:pPr>
      <w:r>
        <w:rPr>
          <w:rFonts w:cs="Arial"/>
          <w:sz w:val="20"/>
        </w:rPr>
        <w:t>2.5 Data Analysis</w:t>
      </w:r>
    </w:p>
    <w:p w14:paraId="5C4DCD1C" w14:textId="77777777" w:rsidR="0092734A" w:rsidRPr="0092734A" w:rsidRDefault="0092734A" w:rsidP="0092734A"/>
    <w:p w14:paraId="34261A5C" w14:textId="32B03BBE" w:rsidR="0092734A" w:rsidRPr="0092734A" w:rsidRDefault="0092734A" w:rsidP="0092734A">
      <w:pPr>
        <w:pStyle w:val="Head1"/>
        <w:jc w:val="both"/>
        <w:rPr>
          <w:rFonts w:ascii="Arial" w:hAnsi="Arial" w:cs="Arial"/>
          <w:b w:val="0"/>
          <w:caps w:val="0"/>
          <w:sz w:val="20"/>
        </w:rPr>
      </w:pPr>
      <w:r w:rsidRPr="0092734A">
        <w:rPr>
          <w:rFonts w:ascii="Arial" w:hAnsi="Arial" w:cs="Arial"/>
          <w:b w:val="0"/>
          <w:caps w:val="0"/>
          <w:sz w:val="20"/>
        </w:rPr>
        <w:t>To analyze the data collected in this study, several statistical tools were employed. The mean, a measure of central tendency, was used to determine the typical index and assess the level of awareness among parents regarding the K to 12 language curricula. A predefined scale was applied to interpret the computed means and categorize the respondents' level of awareness accordingly.</w:t>
      </w:r>
      <w:r>
        <w:rPr>
          <w:rFonts w:ascii="Arial" w:hAnsi="Arial" w:cs="Arial"/>
          <w:b w:val="0"/>
          <w:caps w:val="0"/>
          <w:sz w:val="20"/>
        </w:rPr>
        <w:t xml:space="preserve"> </w:t>
      </w:r>
      <w:r w:rsidRPr="0092734A">
        <w:rPr>
          <w:rFonts w:ascii="Arial" w:hAnsi="Arial" w:cs="Arial"/>
          <w:b w:val="0"/>
          <w:caps w:val="0"/>
          <w:sz w:val="20"/>
        </w:rPr>
        <w:t>To describe the demographic profile of the parent-respondents—including gender, family income, nature of work, and educational attainment—frequency counts and percentages were utilized. These descriptive statistics provided a clear representation of the sample characteristics and addressed the first research question concerning respondent profiles.</w:t>
      </w:r>
    </w:p>
    <w:p w14:paraId="3F6F30E8" w14:textId="61AC59F0" w:rsidR="00C76FFA" w:rsidRDefault="0092734A" w:rsidP="0092734A">
      <w:pPr>
        <w:pStyle w:val="Head1"/>
        <w:spacing w:after="0"/>
        <w:jc w:val="both"/>
        <w:rPr>
          <w:rFonts w:ascii="Arial" w:hAnsi="Arial" w:cs="Arial"/>
          <w:b w:val="0"/>
          <w:caps w:val="0"/>
          <w:sz w:val="20"/>
        </w:rPr>
      </w:pPr>
      <w:r w:rsidRPr="0092734A">
        <w:rPr>
          <w:rFonts w:ascii="Arial" w:hAnsi="Arial" w:cs="Arial"/>
          <w:b w:val="0"/>
          <w:caps w:val="0"/>
          <w:sz w:val="20"/>
        </w:rPr>
        <w:t xml:space="preserve">To test for differences in the level of parental awareness when grouped according to specific variables, inferential statistics were used. A t-test for uncorrelated samples was applied to determine whether a significant difference existed between male and female respondents' awareness levels. Meanwhile, a one-way analysis of variance (ANOVA) was employed to assess whether significant differences occurred based on family income, nature of work, and educational attainment. These statistical tests allowed the researcher to examine variations </w:t>
      </w:r>
      <w:r w:rsidRPr="0092734A">
        <w:rPr>
          <w:rFonts w:ascii="Arial" w:hAnsi="Arial" w:cs="Arial"/>
          <w:b w:val="0"/>
          <w:caps w:val="0"/>
          <w:sz w:val="20"/>
        </w:rPr>
        <w:lastRenderedPageBreak/>
        <w:t>across different groups and identify key factors influencing parental awareness of the K to 12 language curricula.</w:t>
      </w:r>
    </w:p>
    <w:p w14:paraId="2C03268D" w14:textId="77777777" w:rsidR="0092734A" w:rsidRDefault="0092734A" w:rsidP="0092734A">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DF55D87" w14:textId="64EAAC62" w:rsidR="005D71AE" w:rsidRDefault="00180859">
      <w:pPr>
        <w:suppressAutoHyphens/>
        <w:jc w:val="both"/>
        <w:rPr>
          <w:rFonts w:ascii="Arial" w:hAnsi="Arial" w:cs="Arial"/>
          <w:b/>
        </w:rPr>
      </w:pPr>
      <w:r>
        <w:rPr>
          <w:rFonts w:ascii="Arial" w:hAnsi="Arial" w:cs="Arial"/>
          <w:b/>
        </w:rPr>
        <w:t xml:space="preserve">3.1 </w:t>
      </w:r>
      <w:r w:rsidR="0041689C" w:rsidRPr="0041689C">
        <w:rPr>
          <w:rFonts w:ascii="Arial" w:hAnsi="Arial" w:cs="Arial"/>
          <w:b/>
        </w:rPr>
        <w:t>Demographic Profile of Parent-Respondents</w:t>
      </w:r>
    </w:p>
    <w:p w14:paraId="1B38FF68" w14:textId="77777777" w:rsidR="00EF4B2D" w:rsidRDefault="00EF4B2D">
      <w:pPr>
        <w:suppressAutoHyphens/>
        <w:jc w:val="both"/>
        <w:rPr>
          <w:rFonts w:ascii="Arial" w:hAnsi="Arial" w:cs="Arial"/>
          <w:b/>
        </w:rPr>
      </w:pPr>
    </w:p>
    <w:p w14:paraId="69D23EB0" w14:textId="0163207C" w:rsidR="008927A1"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41689C" w:rsidRPr="0041689C">
        <w:rPr>
          <w:rFonts w:ascii="Arial" w:hAnsi="Arial" w:cs="Arial"/>
          <w:i/>
          <w:iCs/>
        </w:rPr>
        <w:t>Demographic Profile of Parent-Respondents</w:t>
      </w:r>
    </w:p>
    <w:p w14:paraId="2CA3A1CE" w14:textId="77777777" w:rsidR="00CF0448" w:rsidRDefault="00CF0448">
      <w:pPr>
        <w:suppressAutoHyphens/>
        <w:jc w:val="both"/>
        <w:rPr>
          <w:rFonts w:ascii="Arial" w:hAnsi="Arial" w:cs="Arial"/>
          <w:i/>
          <w:iCs/>
        </w:rPr>
      </w:pPr>
    </w:p>
    <w:tbl>
      <w:tblPr>
        <w:tblW w:w="8640" w:type="dxa"/>
        <w:tblLayout w:type="fixed"/>
        <w:tblCellMar>
          <w:left w:w="0" w:type="dxa"/>
          <w:right w:w="0" w:type="dxa"/>
        </w:tblCellMar>
        <w:tblLook w:val="04A0" w:firstRow="1" w:lastRow="0" w:firstColumn="1" w:lastColumn="0" w:noHBand="0" w:noVBand="1"/>
      </w:tblPr>
      <w:tblGrid>
        <w:gridCol w:w="4536"/>
        <w:gridCol w:w="1985"/>
        <w:gridCol w:w="2119"/>
      </w:tblGrid>
      <w:tr w:rsidR="0041689C" w14:paraId="0C8E4857" w14:textId="77777777" w:rsidTr="0041689C">
        <w:trPr>
          <w:cantSplit/>
        </w:trPr>
        <w:tc>
          <w:tcPr>
            <w:tcW w:w="4536" w:type="dxa"/>
            <w:tcBorders>
              <w:top w:val="single" w:sz="4" w:space="0" w:color="auto"/>
              <w:left w:val="nil"/>
              <w:bottom w:val="single" w:sz="4" w:space="0" w:color="auto"/>
              <w:right w:val="nil"/>
            </w:tcBorders>
            <w:shd w:val="clear" w:color="auto" w:fill="FFFFFF"/>
            <w:vAlign w:val="center"/>
          </w:tcPr>
          <w:p w14:paraId="2AD1E30E" w14:textId="77777777" w:rsidR="0041689C" w:rsidRDefault="0041689C">
            <w:pPr>
              <w:autoSpaceDE w:val="0"/>
              <w:autoSpaceDN w:val="0"/>
              <w:adjustRightInd w:val="0"/>
              <w:jc w:val="center"/>
              <w:rPr>
                <w:rFonts w:ascii="Arial" w:hAnsi="Arial" w:cs="Arial"/>
                <w:b/>
                <w:bCs/>
                <w:color w:val="000000" w:themeColor="text1"/>
              </w:rPr>
            </w:pPr>
          </w:p>
          <w:p w14:paraId="510061D5"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Demographic Profile</w:t>
            </w:r>
          </w:p>
          <w:p w14:paraId="16B608BD" w14:textId="77777777" w:rsidR="0041689C" w:rsidRDefault="0041689C">
            <w:pPr>
              <w:autoSpaceDE w:val="0"/>
              <w:autoSpaceDN w:val="0"/>
              <w:adjustRightInd w:val="0"/>
              <w:jc w:val="center"/>
              <w:rPr>
                <w:rFonts w:ascii="Arial" w:hAnsi="Arial" w:cs="Arial"/>
                <w:b/>
                <w:bCs/>
                <w:color w:val="000000" w:themeColor="text1"/>
              </w:rPr>
            </w:pPr>
          </w:p>
        </w:tc>
        <w:tc>
          <w:tcPr>
            <w:tcW w:w="1985" w:type="dxa"/>
            <w:tcBorders>
              <w:top w:val="single" w:sz="4" w:space="0" w:color="auto"/>
              <w:left w:val="nil"/>
              <w:bottom w:val="single" w:sz="4" w:space="0" w:color="auto"/>
              <w:right w:val="nil"/>
            </w:tcBorders>
            <w:shd w:val="clear" w:color="auto" w:fill="FFFFFF"/>
            <w:vAlign w:val="center"/>
            <w:hideMark/>
          </w:tcPr>
          <w:p w14:paraId="607A04C3" w14:textId="77777777" w:rsidR="0041689C" w:rsidRDefault="0041689C">
            <w:pPr>
              <w:autoSpaceDE w:val="0"/>
              <w:autoSpaceDN w:val="0"/>
              <w:adjustRightInd w:val="0"/>
              <w:ind w:right="60"/>
              <w:jc w:val="center"/>
              <w:rPr>
                <w:rFonts w:ascii="Arial" w:hAnsi="Arial" w:cs="Arial"/>
                <w:b/>
                <w:bCs/>
                <w:color w:val="000000" w:themeColor="text1"/>
              </w:rPr>
            </w:pPr>
            <w:r>
              <w:rPr>
                <w:rFonts w:ascii="Arial" w:hAnsi="Arial" w:cs="Arial"/>
                <w:b/>
                <w:bCs/>
                <w:color w:val="000000" w:themeColor="text1"/>
              </w:rPr>
              <w:t>Frequency</w:t>
            </w:r>
          </w:p>
        </w:tc>
        <w:tc>
          <w:tcPr>
            <w:tcW w:w="2119" w:type="dxa"/>
            <w:tcBorders>
              <w:top w:val="single" w:sz="4" w:space="0" w:color="auto"/>
              <w:left w:val="nil"/>
              <w:bottom w:val="single" w:sz="4" w:space="0" w:color="auto"/>
              <w:right w:val="nil"/>
            </w:tcBorders>
            <w:shd w:val="clear" w:color="auto" w:fill="FFFFFF"/>
            <w:vAlign w:val="center"/>
            <w:hideMark/>
          </w:tcPr>
          <w:p w14:paraId="44159F55" w14:textId="77777777" w:rsidR="0041689C" w:rsidRDefault="0041689C">
            <w:pPr>
              <w:autoSpaceDE w:val="0"/>
              <w:autoSpaceDN w:val="0"/>
              <w:adjustRightInd w:val="0"/>
              <w:ind w:right="60"/>
              <w:jc w:val="center"/>
              <w:rPr>
                <w:rFonts w:ascii="Arial" w:hAnsi="Arial" w:cs="Arial"/>
                <w:b/>
                <w:bCs/>
                <w:color w:val="000000" w:themeColor="text1"/>
              </w:rPr>
            </w:pPr>
            <w:r>
              <w:rPr>
                <w:rFonts w:ascii="Arial" w:hAnsi="Arial" w:cs="Arial"/>
                <w:b/>
                <w:bCs/>
                <w:color w:val="000000" w:themeColor="text1"/>
              </w:rPr>
              <w:t>Percentage (%)</w:t>
            </w:r>
          </w:p>
        </w:tc>
      </w:tr>
      <w:tr w:rsidR="0041689C" w14:paraId="77E1684E" w14:textId="77777777" w:rsidTr="0041689C">
        <w:trPr>
          <w:cantSplit/>
        </w:trPr>
        <w:tc>
          <w:tcPr>
            <w:tcW w:w="4536" w:type="dxa"/>
            <w:shd w:val="clear" w:color="auto" w:fill="FFFFFF"/>
            <w:hideMark/>
          </w:tcPr>
          <w:p w14:paraId="4979D785" w14:textId="77777777" w:rsidR="0041689C" w:rsidRDefault="0041689C">
            <w:pPr>
              <w:autoSpaceDE w:val="0"/>
              <w:autoSpaceDN w:val="0"/>
              <w:adjustRightInd w:val="0"/>
              <w:ind w:left="60" w:right="60"/>
              <w:rPr>
                <w:rFonts w:ascii="Arial" w:hAnsi="Arial" w:cs="Arial"/>
                <w:b/>
                <w:bCs/>
                <w:color w:val="000000" w:themeColor="text1"/>
              </w:rPr>
            </w:pPr>
            <w:r>
              <w:rPr>
                <w:rFonts w:ascii="Arial" w:hAnsi="Arial" w:cs="Arial"/>
                <w:b/>
                <w:bCs/>
                <w:color w:val="000000" w:themeColor="text1"/>
              </w:rPr>
              <w:t>Gender</w:t>
            </w:r>
          </w:p>
        </w:tc>
        <w:tc>
          <w:tcPr>
            <w:tcW w:w="1985" w:type="dxa"/>
          </w:tcPr>
          <w:p w14:paraId="624DDFB5" w14:textId="77777777" w:rsidR="0041689C" w:rsidRDefault="0041689C">
            <w:pPr>
              <w:autoSpaceDE w:val="0"/>
              <w:autoSpaceDN w:val="0"/>
              <w:adjustRightInd w:val="0"/>
              <w:ind w:left="60" w:right="60"/>
              <w:jc w:val="center"/>
              <w:rPr>
                <w:rFonts w:ascii="Arial" w:hAnsi="Arial" w:cs="Arial"/>
                <w:color w:val="000000" w:themeColor="text1"/>
              </w:rPr>
            </w:pPr>
          </w:p>
        </w:tc>
        <w:tc>
          <w:tcPr>
            <w:tcW w:w="2119" w:type="dxa"/>
            <w:shd w:val="clear" w:color="auto" w:fill="FFFFFF"/>
          </w:tcPr>
          <w:p w14:paraId="608C0D27" w14:textId="77777777" w:rsidR="0041689C" w:rsidRDefault="0041689C">
            <w:pPr>
              <w:autoSpaceDE w:val="0"/>
              <w:autoSpaceDN w:val="0"/>
              <w:adjustRightInd w:val="0"/>
              <w:ind w:left="60" w:right="60"/>
              <w:jc w:val="center"/>
              <w:rPr>
                <w:rFonts w:ascii="Arial" w:hAnsi="Arial" w:cs="Arial"/>
                <w:color w:val="000000" w:themeColor="text1"/>
              </w:rPr>
            </w:pPr>
          </w:p>
        </w:tc>
      </w:tr>
      <w:tr w:rsidR="0041689C" w14:paraId="309903D4" w14:textId="77777777" w:rsidTr="0041689C">
        <w:trPr>
          <w:cantSplit/>
        </w:trPr>
        <w:tc>
          <w:tcPr>
            <w:tcW w:w="4536" w:type="dxa"/>
            <w:shd w:val="clear" w:color="auto" w:fill="FFFFFF"/>
            <w:hideMark/>
          </w:tcPr>
          <w:p w14:paraId="1D6B820E"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Male</w:t>
            </w:r>
          </w:p>
        </w:tc>
        <w:tc>
          <w:tcPr>
            <w:tcW w:w="1985" w:type="dxa"/>
            <w:hideMark/>
          </w:tcPr>
          <w:p w14:paraId="40692788"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78</w:t>
            </w:r>
          </w:p>
        </w:tc>
        <w:tc>
          <w:tcPr>
            <w:tcW w:w="2119" w:type="dxa"/>
            <w:shd w:val="clear" w:color="auto" w:fill="FFFFFF"/>
            <w:hideMark/>
          </w:tcPr>
          <w:p w14:paraId="1D1E5B15"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49.06%</w:t>
            </w:r>
          </w:p>
        </w:tc>
      </w:tr>
      <w:tr w:rsidR="0041689C" w14:paraId="7FE6D036" w14:textId="77777777" w:rsidTr="0041689C">
        <w:trPr>
          <w:cantSplit/>
        </w:trPr>
        <w:tc>
          <w:tcPr>
            <w:tcW w:w="4536" w:type="dxa"/>
            <w:shd w:val="clear" w:color="auto" w:fill="FFFFFF"/>
            <w:hideMark/>
          </w:tcPr>
          <w:p w14:paraId="7934B5A0"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Female</w:t>
            </w:r>
          </w:p>
        </w:tc>
        <w:tc>
          <w:tcPr>
            <w:tcW w:w="1985" w:type="dxa"/>
            <w:hideMark/>
          </w:tcPr>
          <w:p w14:paraId="7628C49E"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81</w:t>
            </w:r>
          </w:p>
        </w:tc>
        <w:tc>
          <w:tcPr>
            <w:tcW w:w="2119" w:type="dxa"/>
            <w:shd w:val="clear" w:color="auto" w:fill="FFFFFF"/>
            <w:hideMark/>
          </w:tcPr>
          <w:p w14:paraId="150BC73B"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50.94%</w:t>
            </w:r>
          </w:p>
        </w:tc>
      </w:tr>
      <w:tr w:rsidR="0041689C" w14:paraId="5A4694A8" w14:textId="77777777" w:rsidTr="0041689C">
        <w:trPr>
          <w:cantSplit/>
        </w:trPr>
        <w:tc>
          <w:tcPr>
            <w:tcW w:w="4536" w:type="dxa"/>
            <w:shd w:val="clear" w:color="auto" w:fill="FFFFFF"/>
            <w:hideMark/>
          </w:tcPr>
          <w:p w14:paraId="54CEA725" w14:textId="77777777" w:rsidR="0041689C" w:rsidRDefault="0041689C">
            <w:pPr>
              <w:autoSpaceDE w:val="0"/>
              <w:autoSpaceDN w:val="0"/>
              <w:adjustRightInd w:val="0"/>
              <w:ind w:left="60" w:right="60"/>
              <w:jc w:val="right"/>
              <w:rPr>
                <w:rFonts w:ascii="Arial" w:hAnsi="Arial" w:cs="Arial"/>
                <w:b/>
                <w:bCs/>
                <w:color w:val="000000" w:themeColor="text1"/>
              </w:rPr>
            </w:pPr>
            <w:r>
              <w:rPr>
                <w:rFonts w:ascii="Arial" w:hAnsi="Arial" w:cs="Arial"/>
                <w:b/>
                <w:bCs/>
                <w:color w:val="000000" w:themeColor="text1"/>
              </w:rPr>
              <w:t>Total</w:t>
            </w:r>
          </w:p>
        </w:tc>
        <w:tc>
          <w:tcPr>
            <w:tcW w:w="1985" w:type="dxa"/>
            <w:hideMark/>
          </w:tcPr>
          <w:p w14:paraId="16EF1647" w14:textId="77777777" w:rsidR="0041689C" w:rsidRDefault="0041689C">
            <w:pPr>
              <w:autoSpaceDE w:val="0"/>
              <w:autoSpaceDN w:val="0"/>
              <w:adjustRightInd w:val="0"/>
              <w:ind w:left="60" w:right="60"/>
              <w:jc w:val="center"/>
              <w:rPr>
                <w:rFonts w:ascii="Arial" w:hAnsi="Arial" w:cs="Arial"/>
                <w:b/>
                <w:bCs/>
                <w:color w:val="000000" w:themeColor="text1"/>
              </w:rPr>
            </w:pPr>
            <w:r>
              <w:rPr>
                <w:rFonts w:ascii="Arial" w:hAnsi="Arial" w:cs="Arial"/>
                <w:b/>
                <w:bCs/>
                <w:color w:val="000000" w:themeColor="text1"/>
              </w:rPr>
              <w:t>159</w:t>
            </w:r>
          </w:p>
        </w:tc>
        <w:tc>
          <w:tcPr>
            <w:tcW w:w="2119" w:type="dxa"/>
            <w:shd w:val="clear" w:color="auto" w:fill="FFFFFF"/>
            <w:hideMark/>
          </w:tcPr>
          <w:p w14:paraId="6D36617B" w14:textId="77777777" w:rsidR="0041689C" w:rsidRDefault="0041689C">
            <w:pPr>
              <w:autoSpaceDE w:val="0"/>
              <w:autoSpaceDN w:val="0"/>
              <w:adjustRightInd w:val="0"/>
              <w:ind w:left="60" w:right="60"/>
              <w:jc w:val="center"/>
              <w:rPr>
                <w:rFonts w:ascii="Arial" w:hAnsi="Arial" w:cs="Arial"/>
                <w:b/>
                <w:bCs/>
                <w:color w:val="000000" w:themeColor="text1"/>
              </w:rPr>
            </w:pPr>
            <w:r>
              <w:rPr>
                <w:rFonts w:ascii="Arial" w:hAnsi="Arial" w:cs="Arial"/>
                <w:b/>
                <w:bCs/>
                <w:color w:val="000000" w:themeColor="text1"/>
              </w:rPr>
              <w:t>100.00%</w:t>
            </w:r>
          </w:p>
        </w:tc>
      </w:tr>
      <w:tr w:rsidR="0041689C" w14:paraId="75967BD5" w14:textId="77777777" w:rsidTr="0041689C">
        <w:trPr>
          <w:cantSplit/>
        </w:trPr>
        <w:tc>
          <w:tcPr>
            <w:tcW w:w="4536" w:type="dxa"/>
            <w:shd w:val="clear" w:color="auto" w:fill="FFFFFF"/>
            <w:hideMark/>
          </w:tcPr>
          <w:p w14:paraId="60C1DD4D" w14:textId="77777777" w:rsidR="0041689C" w:rsidRDefault="0041689C">
            <w:pPr>
              <w:autoSpaceDE w:val="0"/>
              <w:autoSpaceDN w:val="0"/>
              <w:adjustRightInd w:val="0"/>
              <w:ind w:left="60" w:right="60"/>
              <w:rPr>
                <w:rFonts w:ascii="Arial" w:hAnsi="Arial" w:cs="Arial"/>
                <w:b/>
                <w:bCs/>
                <w:color w:val="000000" w:themeColor="text1"/>
              </w:rPr>
            </w:pPr>
            <w:r>
              <w:rPr>
                <w:rFonts w:ascii="Arial" w:hAnsi="Arial" w:cs="Arial"/>
                <w:b/>
                <w:bCs/>
                <w:color w:val="000000" w:themeColor="text1"/>
              </w:rPr>
              <w:t>Family Income (Monthly)</w:t>
            </w:r>
          </w:p>
        </w:tc>
        <w:tc>
          <w:tcPr>
            <w:tcW w:w="1985" w:type="dxa"/>
          </w:tcPr>
          <w:p w14:paraId="0853BEE0" w14:textId="77777777" w:rsidR="0041689C" w:rsidRDefault="0041689C">
            <w:pPr>
              <w:autoSpaceDE w:val="0"/>
              <w:autoSpaceDN w:val="0"/>
              <w:adjustRightInd w:val="0"/>
              <w:ind w:left="60" w:right="60"/>
              <w:jc w:val="center"/>
              <w:rPr>
                <w:rFonts w:ascii="Arial" w:hAnsi="Arial" w:cs="Arial"/>
                <w:color w:val="000000" w:themeColor="text1"/>
              </w:rPr>
            </w:pPr>
          </w:p>
        </w:tc>
        <w:tc>
          <w:tcPr>
            <w:tcW w:w="2119" w:type="dxa"/>
            <w:shd w:val="clear" w:color="auto" w:fill="FFFFFF"/>
          </w:tcPr>
          <w:p w14:paraId="0FCE3A12" w14:textId="77777777" w:rsidR="0041689C" w:rsidRDefault="0041689C">
            <w:pPr>
              <w:autoSpaceDE w:val="0"/>
              <w:autoSpaceDN w:val="0"/>
              <w:adjustRightInd w:val="0"/>
              <w:ind w:left="60" w:right="60"/>
              <w:jc w:val="center"/>
              <w:rPr>
                <w:rFonts w:ascii="Arial" w:hAnsi="Arial" w:cs="Arial"/>
                <w:color w:val="000000" w:themeColor="text1"/>
              </w:rPr>
            </w:pPr>
          </w:p>
        </w:tc>
      </w:tr>
      <w:tr w:rsidR="0041689C" w14:paraId="4D4737AC" w14:textId="77777777" w:rsidTr="0041689C">
        <w:trPr>
          <w:cantSplit/>
        </w:trPr>
        <w:tc>
          <w:tcPr>
            <w:tcW w:w="4536" w:type="dxa"/>
            <w:shd w:val="clear" w:color="auto" w:fill="FFFFFF"/>
            <w:hideMark/>
          </w:tcPr>
          <w:p w14:paraId="29199C88"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Below ₱10,000</w:t>
            </w:r>
          </w:p>
        </w:tc>
        <w:tc>
          <w:tcPr>
            <w:tcW w:w="1985" w:type="dxa"/>
            <w:hideMark/>
          </w:tcPr>
          <w:p w14:paraId="5696D483"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50</w:t>
            </w:r>
          </w:p>
        </w:tc>
        <w:tc>
          <w:tcPr>
            <w:tcW w:w="2119" w:type="dxa"/>
            <w:shd w:val="clear" w:color="auto" w:fill="FFFFFF"/>
            <w:hideMark/>
          </w:tcPr>
          <w:p w14:paraId="73638DE3"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31.45%</w:t>
            </w:r>
          </w:p>
        </w:tc>
      </w:tr>
      <w:tr w:rsidR="0041689C" w14:paraId="6536770F" w14:textId="77777777" w:rsidTr="0041689C">
        <w:trPr>
          <w:cantSplit/>
        </w:trPr>
        <w:tc>
          <w:tcPr>
            <w:tcW w:w="4536" w:type="dxa"/>
            <w:shd w:val="clear" w:color="auto" w:fill="FFFFFF"/>
            <w:hideMark/>
          </w:tcPr>
          <w:p w14:paraId="402FA537"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₱10,001 – ₱20,000</w:t>
            </w:r>
          </w:p>
        </w:tc>
        <w:tc>
          <w:tcPr>
            <w:tcW w:w="1985" w:type="dxa"/>
            <w:hideMark/>
          </w:tcPr>
          <w:p w14:paraId="7EE1FFC0"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69</w:t>
            </w:r>
          </w:p>
        </w:tc>
        <w:tc>
          <w:tcPr>
            <w:tcW w:w="2119" w:type="dxa"/>
            <w:shd w:val="clear" w:color="auto" w:fill="FFFFFF"/>
            <w:hideMark/>
          </w:tcPr>
          <w:p w14:paraId="3F1D619C"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43.40%</w:t>
            </w:r>
          </w:p>
        </w:tc>
      </w:tr>
      <w:tr w:rsidR="0041689C" w14:paraId="7DFF694D" w14:textId="77777777" w:rsidTr="0041689C">
        <w:trPr>
          <w:cantSplit/>
        </w:trPr>
        <w:tc>
          <w:tcPr>
            <w:tcW w:w="4536" w:type="dxa"/>
            <w:shd w:val="clear" w:color="auto" w:fill="FFFFFF"/>
            <w:hideMark/>
          </w:tcPr>
          <w:p w14:paraId="75826F09"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₱20,000 and above</w:t>
            </w:r>
          </w:p>
        </w:tc>
        <w:tc>
          <w:tcPr>
            <w:tcW w:w="1985" w:type="dxa"/>
            <w:hideMark/>
          </w:tcPr>
          <w:p w14:paraId="27EA9E63"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40</w:t>
            </w:r>
          </w:p>
        </w:tc>
        <w:tc>
          <w:tcPr>
            <w:tcW w:w="2119" w:type="dxa"/>
            <w:shd w:val="clear" w:color="auto" w:fill="FFFFFF"/>
            <w:hideMark/>
          </w:tcPr>
          <w:p w14:paraId="6ECB0804"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25.16%</w:t>
            </w:r>
          </w:p>
        </w:tc>
      </w:tr>
      <w:tr w:rsidR="0041689C" w14:paraId="1EC56061" w14:textId="77777777" w:rsidTr="0041689C">
        <w:trPr>
          <w:cantSplit/>
        </w:trPr>
        <w:tc>
          <w:tcPr>
            <w:tcW w:w="4536" w:type="dxa"/>
            <w:shd w:val="clear" w:color="auto" w:fill="FFFFFF"/>
            <w:hideMark/>
          </w:tcPr>
          <w:p w14:paraId="4A77A5E2" w14:textId="77777777" w:rsidR="0041689C" w:rsidRDefault="0041689C">
            <w:pPr>
              <w:autoSpaceDE w:val="0"/>
              <w:autoSpaceDN w:val="0"/>
              <w:adjustRightInd w:val="0"/>
              <w:ind w:left="60" w:right="60"/>
              <w:jc w:val="right"/>
              <w:rPr>
                <w:rFonts w:ascii="Arial" w:hAnsi="Arial" w:cs="Arial"/>
                <w:b/>
                <w:bCs/>
                <w:color w:val="000000" w:themeColor="text1"/>
              </w:rPr>
            </w:pPr>
            <w:r>
              <w:rPr>
                <w:rFonts w:ascii="Arial" w:hAnsi="Arial" w:cs="Arial"/>
                <w:b/>
                <w:bCs/>
                <w:color w:val="000000" w:themeColor="text1"/>
              </w:rPr>
              <w:t>Total</w:t>
            </w:r>
          </w:p>
        </w:tc>
        <w:tc>
          <w:tcPr>
            <w:tcW w:w="1985" w:type="dxa"/>
            <w:hideMark/>
          </w:tcPr>
          <w:p w14:paraId="6B23B321"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159</w:t>
            </w:r>
          </w:p>
        </w:tc>
        <w:tc>
          <w:tcPr>
            <w:tcW w:w="2119" w:type="dxa"/>
            <w:shd w:val="clear" w:color="auto" w:fill="FFFFFF"/>
            <w:hideMark/>
          </w:tcPr>
          <w:p w14:paraId="539BE5A2"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100.00%</w:t>
            </w:r>
          </w:p>
        </w:tc>
      </w:tr>
      <w:tr w:rsidR="0041689C" w14:paraId="5D0F1B87" w14:textId="77777777" w:rsidTr="0041689C">
        <w:trPr>
          <w:cantSplit/>
        </w:trPr>
        <w:tc>
          <w:tcPr>
            <w:tcW w:w="4536" w:type="dxa"/>
            <w:shd w:val="clear" w:color="auto" w:fill="FFFFFF"/>
            <w:hideMark/>
          </w:tcPr>
          <w:p w14:paraId="150F2BA1" w14:textId="77777777" w:rsidR="0041689C" w:rsidRDefault="0041689C">
            <w:pPr>
              <w:autoSpaceDE w:val="0"/>
              <w:autoSpaceDN w:val="0"/>
              <w:adjustRightInd w:val="0"/>
              <w:ind w:left="60" w:right="60"/>
              <w:rPr>
                <w:rFonts w:ascii="Arial" w:hAnsi="Arial" w:cs="Arial"/>
                <w:b/>
                <w:bCs/>
                <w:color w:val="000000" w:themeColor="text1"/>
              </w:rPr>
            </w:pPr>
            <w:r>
              <w:rPr>
                <w:rFonts w:ascii="Arial" w:hAnsi="Arial" w:cs="Arial"/>
                <w:b/>
                <w:bCs/>
                <w:color w:val="000000" w:themeColor="text1"/>
              </w:rPr>
              <w:t>Nature of Work</w:t>
            </w:r>
          </w:p>
        </w:tc>
        <w:tc>
          <w:tcPr>
            <w:tcW w:w="1985" w:type="dxa"/>
          </w:tcPr>
          <w:p w14:paraId="0209706C" w14:textId="77777777" w:rsidR="0041689C" w:rsidRDefault="0041689C">
            <w:pPr>
              <w:autoSpaceDE w:val="0"/>
              <w:autoSpaceDN w:val="0"/>
              <w:adjustRightInd w:val="0"/>
              <w:jc w:val="center"/>
              <w:rPr>
                <w:rFonts w:ascii="Arial" w:hAnsi="Arial" w:cs="Arial"/>
                <w:color w:val="000000" w:themeColor="text1"/>
              </w:rPr>
            </w:pPr>
          </w:p>
        </w:tc>
        <w:tc>
          <w:tcPr>
            <w:tcW w:w="2119" w:type="dxa"/>
            <w:shd w:val="clear" w:color="auto" w:fill="FFFFFF"/>
          </w:tcPr>
          <w:p w14:paraId="3F2A83CD" w14:textId="77777777" w:rsidR="0041689C" w:rsidRDefault="0041689C">
            <w:pPr>
              <w:autoSpaceDE w:val="0"/>
              <w:autoSpaceDN w:val="0"/>
              <w:adjustRightInd w:val="0"/>
              <w:jc w:val="center"/>
              <w:rPr>
                <w:rFonts w:ascii="Arial" w:hAnsi="Arial" w:cs="Arial"/>
                <w:color w:val="000000" w:themeColor="text1"/>
              </w:rPr>
            </w:pPr>
          </w:p>
        </w:tc>
      </w:tr>
      <w:tr w:rsidR="0041689C" w14:paraId="363D9B5E" w14:textId="77777777" w:rsidTr="0041689C">
        <w:trPr>
          <w:cantSplit/>
        </w:trPr>
        <w:tc>
          <w:tcPr>
            <w:tcW w:w="4536" w:type="dxa"/>
            <w:shd w:val="clear" w:color="auto" w:fill="FFFFFF"/>
            <w:hideMark/>
          </w:tcPr>
          <w:p w14:paraId="279FE289"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Self-employed</w:t>
            </w:r>
          </w:p>
        </w:tc>
        <w:tc>
          <w:tcPr>
            <w:tcW w:w="1985" w:type="dxa"/>
            <w:hideMark/>
          </w:tcPr>
          <w:p w14:paraId="3BC2691A"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35</w:t>
            </w:r>
          </w:p>
        </w:tc>
        <w:tc>
          <w:tcPr>
            <w:tcW w:w="2119" w:type="dxa"/>
            <w:shd w:val="clear" w:color="auto" w:fill="FFFFFF"/>
            <w:hideMark/>
          </w:tcPr>
          <w:p w14:paraId="2C46E14A"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22.01%</w:t>
            </w:r>
          </w:p>
        </w:tc>
      </w:tr>
      <w:tr w:rsidR="0041689C" w14:paraId="4D467454" w14:textId="77777777" w:rsidTr="0041689C">
        <w:trPr>
          <w:cantSplit/>
        </w:trPr>
        <w:tc>
          <w:tcPr>
            <w:tcW w:w="4536" w:type="dxa"/>
            <w:shd w:val="clear" w:color="auto" w:fill="FFFFFF"/>
            <w:hideMark/>
          </w:tcPr>
          <w:p w14:paraId="747E2390"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Private sector employee</w:t>
            </w:r>
          </w:p>
        </w:tc>
        <w:tc>
          <w:tcPr>
            <w:tcW w:w="1985" w:type="dxa"/>
            <w:hideMark/>
          </w:tcPr>
          <w:p w14:paraId="262730EB"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50</w:t>
            </w:r>
          </w:p>
        </w:tc>
        <w:tc>
          <w:tcPr>
            <w:tcW w:w="2119" w:type="dxa"/>
            <w:shd w:val="clear" w:color="auto" w:fill="FFFFFF"/>
            <w:hideMark/>
          </w:tcPr>
          <w:p w14:paraId="488C6689"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31.45%</w:t>
            </w:r>
          </w:p>
        </w:tc>
      </w:tr>
      <w:tr w:rsidR="0041689C" w14:paraId="10D23162" w14:textId="77777777" w:rsidTr="0041689C">
        <w:trPr>
          <w:cantSplit/>
        </w:trPr>
        <w:tc>
          <w:tcPr>
            <w:tcW w:w="4536" w:type="dxa"/>
            <w:shd w:val="clear" w:color="auto" w:fill="FFFFFF"/>
            <w:hideMark/>
          </w:tcPr>
          <w:p w14:paraId="22E99D33"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Government employee</w:t>
            </w:r>
          </w:p>
        </w:tc>
        <w:tc>
          <w:tcPr>
            <w:tcW w:w="1985" w:type="dxa"/>
            <w:hideMark/>
          </w:tcPr>
          <w:p w14:paraId="77406978"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40</w:t>
            </w:r>
          </w:p>
        </w:tc>
        <w:tc>
          <w:tcPr>
            <w:tcW w:w="2119" w:type="dxa"/>
            <w:shd w:val="clear" w:color="auto" w:fill="FFFFFF"/>
            <w:hideMark/>
          </w:tcPr>
          <w:p w14:paraId="7D1B066B"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25.16%</w:t>
            </w:r>
          </w:p>
        </w:tc>
      </w:tr>
      <w:tr w:rsidR="0041689C" w14:paraId="2F884A72" w14:textId="77777777" w:rsidTr="0041689C">
        <w:trPr>
          <w:cantSplit/>
        </w:trPr>
        <w:tc>
          <w:tcPr>
            <w:tcW w:w="4536" w:type="dxa"/>
            <w:shd w:val="clear" w:color="auto" w:fill="FFFFFF"/>
            <w:hideMark/>
          </w:tcPr>
          <w:p w14:paraId="6ABD2F7A"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Unemployed</w:t>
            </w:r>
          </w:p>
        </w:tc>
        <w:tc>
          <w:tcPr>
            <w:tcW w:w="1985" w:type="dxa"/>
            <w:hideMark/>
          </w:tcPr>
          <w:p w14:paraId="76D341F8"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34</w:t>
            </w:r>
          </w:p>
        </w:tc>
        <w:tc>
          <w:tcPr>
            <w:tcW w:w="2119" w:type="dxa"/>
            <w:shd w:val="clear" w:color="auto" w:fill="FFFFFF"/>
            <w:hideMark/>
          </w:tcPr>
          <w:p w14:paraId="2196C174"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21.38%</w:t>
            </w:r>
          </w:p>
        </w:tc>
      </w:tr>
      <w:tr w:rsidR="0041689C" w14:paraId="696EBB07" w14:textId="77777777" w:rsidTr="0041689C">
        <w:trPr>
          <w:cantSplit/>
        </w:trPr>
        <w:tc>
          <w:tcPr>
            <w:tcW w:w="4536" w:type="dxa"/>
            <w:shd w:val="clear" w:color="auto" w:fill="FFFFFF"/>
            <w:hideMark/>
          </w:tcPr>
          <w:p w14:paraId="1A9CBFF2" w14:textId="77777777" w:rsidR="0041689C" w:rsidRDefault="0041689C">
            <w:pPr>
              <w:autoSpaceDE w:val="0"/>
              <w:autoSpaceDN w:val="0"/>
              <w:adjustRightInd w:val="0"/>
              <w:ind w:left="60" w:right="60"/>
              <w:jc w:val="right"/>
              <w:rPr>
                <w:rFonts w:ascii="Arial" w:hAnsi="Arial" w:cs="Arial"/>
                <w:b/>
                <w:bCs/>
                <w:color w:val="000000" w:themeColor="text1"/>
              </w:rPr>
            </w:pPr>
            <w:r>
              <w:rPr>
                <w:rFonts w:ascii="Arial" w:hAnsi="Arial" w:cs="Arial"/>
                <w:b/>
                <w:bCs/>
                <w:color w:val="000000" w:themeColor="text1"/>
              </w:rPr>
              <w:t>Total</w:t>
            </w:r>
          </w:p>
        </w:tc>
        <w:tc>
          <w:tcPr>
            <w:tcW w:w="1985" w:type="dxa"/>
            <w:hideMark/>
          </w:tcPr>
          <w:p w14:paraId="0A7C7A2A"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159</w:t>
            </w:r>
          </w:p>
        </w:tc>
        <w:tc>
          <w:tcPr>
            <w:tcW w:w="2119" w:type="dxa"/>
            <w:shd w:val="clear" w:color="auto" w:fill="FFFFFF"/>
            <w:hideMark/>
          </w:tcPr>
          <w:p w14:paraId="6467492A"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100.00%</w:t>
            </w:r>
          </w:p>
        </w:tc>
      </w:tr>
      <w:tr w:rsidR="0041689C" w14:paraId="3BBB5D80" w14:textId="77777777" w:rsidTr="0041689C">
        <w:trPr>
          <w:cantSplit/>
        </w:trPr>
        <w:tc>
          <w:tcPr>
            <w:tcW w:w="4536" w:type="dxa"/>
            <w:shd w:val="clear" w:color="auto" w:fill="FFFFFF"/>
            <w:hideMark/>
          </w:tcPr>
          <w:p w14:paraId="5809F586" w14:textId="77777777" w:rsidR="0041689C" w:rsidRDefault="0041689C">
            <w:pPr>
              <w:autoSpaceDE w:val="0"/>
              <w:autoSpaceDN w:val="0"/>
              <w:adjustRightInd w:val="0"/>
              <w:ind w:left="60" w:right="60"/>
              <w:rPr>
                <w:rFonts w:ascii="Arial" w:hAnsi="Arial" w:cs="Arial"/>
                <w:b/>
                <w:bCs/>
                <w:color w:val="000000" w:themeColor="text1"/>
              </w:rPr>
            </w:pPr>
            <w:r>
              <w:rPr>
                <w:rFonts w:ascii="Arial" w:hAnsi="Arial" w:cs="Arial"/>
                <w:b/>
                <w:bCs/>
                <w:color w:val="000000" w:themeColor="text1"/>
              </w:rPr>
              <w:t>Educational Attainment</w:t>
            </w:r>
          </w:p>
        </w:tc>
        <w:tc>
          <w:tcPr>
            <w:tcW w:w="1985" w:type="dxa"/>
          </w:tcPr>
          <w:p w14:paraId="111D0ACC" w14:textId="77777777" w:rsidR="0041689C" w:rsidRDefault="0041689C">
            <w:pPr>
              <w:autoSpaceDE w:val="0"/>
              <w:autoSpaceDN w:val="0"/>
              <w:adjustRightInd w:val="0"/>
              <w:jc w:val="center"/>
              <w:rPr>
                <w:rFonts w:ascii="Arial" w:hAnsi="Arial" w:cs="Arial"/>
                <w:color w:val="000000" w:themeColor="text1"/>
              </w:rPr>
            </w:pPr>
          </w:p>
        </w:tc>
        <w:tc>
          <w:tcPr>
            <w:tcW w:w="2119" w:type="dxa"/>
            <w:shd w:val="clear" w:color="auto" w:fill="FFFFFF"/>
          </w:tcPr>
          <w:p w14:paraId="2233E3EA" w14:textId="77777777" w:rsidR="0041689C" w:rsidRDefault="0041689C">
            <w:pPr>
              <w:autoSpaceDE w:val="0"/>
              <w:autoSpaceDN w:val="0"/>
              <w:adjustRightInd w:val="0"/>
              <w:jc w:val="center"/>
              <w:rPr>
                <w:rFonts w:ascii="Arial" w:hAnsi="Arial" w:cs="Arial"/>
                <w:color w:val="000000" w:themeColor="text1"/>
              </w:rPr>
            </w:pPr>
          </w:p>
        </w:tc>
      </w:tr>
      <w:tr w:rsidR="0041689C" w14:paraId="47DCB475" w14:textId="77777777" w:rsidTr="0041689C">
        <w:trPr>
          <w:cantSplit/>
        </w:trPr>
        <w:tc>
          <w:tcPr>
            <w:tcW w:w="4536" w:type="dxa"/>
            <w:shd w:val="clear" w:color="auto" w:fill="FFFFFF"/>
            <w:hideMark/>
          </w:tcPr>
          <w:p w14:paraId="1DFEDB02"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No formal education</w:t>
            </w:r>
          </w:p>
        </w:tc>
        <w:tc>
          <w:tcPr>
            <w:tcW w:w="1985" w:type="dxa"/>
            <w:hideMark/>
          </w:tcPr>
          <w:p w14:paraId="55249798"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6</w:t>
            </w:r>
          </w:p>
        </w:tc>
        <w:tc>
          <w:tcPr>
            <w:tcW w:w="2119" w:type="dxa"/>
            <w:shd w:val="clear" w:color="auto" w:fill="FFFFFF"/>
            <w:hideMark/>
          </w:tcPr>
          <w:p w14:paraId="77D88113"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3.77%</w:t>
            </w:r>
          </w:p>
        </w:tc>
      </w:tr>
      <w:tr w:rsidR="0041689C" w14:paraId="6323A5D3" w14:textId="77777777" w:rsidTr="0041689C">
        <w:trPr>
          <w:cantSplit/>
        </w:trPr>
        <w:tc>
          <w:tcPr>
            <w:tcW w:w="4536" w:type="dxa"/>
            <w:shd w:val="clear" w:color="auto" w:fill="FFFFFF"/>
            <w:hideMark/>
          </w:tcPr>
          <w:p w14:paraId="7903BE66"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Elementary level</w:t>
            </w:r>
          </w:p>
        </w:tc>
        <w:tc>
          <w:tcPr>
            <w:tcW w:w="1985" w:type="dxa"/>
            <w:hideMark/>
          </w:tcPr>
          <w:p w14:paraId="1FAC3D5A"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12</w:t>
            </w:r>
          </w:p>
        </w:tc>
        <w:tc>
          <w:tcPr>
            <w:tcW w:w="2119" w:type="dxa"/>
            <w:shd w:val="clear" w:color="auto" w:fill="FFFFFF"/>
            <w:hideMark/>
          </w:tcPr>
          <w:p w14:paraId="2DBA678F"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7.55%</w:t>
            </w:r>
          </w:p>
        </w:tc>
      </w:tr>
      <w:tr w:rsidR="0041689C" w14:paraId="20F700C7" w14:textId="77777777" w:rsidTr="0041689C">
        <w:trPr>
          <w:cantSplit/>
        </w:trPr>
        <w:tc>
          <w:tcPr>
            <w:tcW w:w="4536" w:type="dxa"/>
            <w:shd w:val="clear" w:color="auto" w:fill="FFFFFF"/>
            <w:hideMark/>
          </w:tcPr>
          <w:p w14:paraId="699D776D"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Elementary graduate</w:t>
            </w:r>
          </w:p>
        </w:tc>
        <w:tc>
          <w:tcPr>
            <w:tcW w:w="1985" w:type="dxa"/>
            <w:hideMark/>
          </w:tcPr>
          <w:p w14:paraId="58FB8064"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20</w:t>
            </w:r>
          </w:p>
        </w:tc>
        <w:tc>
          <w:tcPr>
            <w:tcW w:w="2119" w:type="dxa"/>
            <w:shd w:val="clear" w:color="auto" w:fill="FFFFFF"/>
            <w:hideMark/>
          </w:tcPr>
          <w:p w14:paraId="43795678"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12.58%</w:t>
            </w:r>
          </w:p>
        </w:tc>
      </w:tr>
      <w:tr w:rsidR="0041689C" w14:paraId="0DCB5A71" w14:textId="77777777" w:rsidTr="0041689C">
        <w:trPr>
          <w:cantSplit/>
        </w:trPr>
        <w:tc>
          <w:tcPr>
            <w:tcW w:w="4536" w:type="dxa"/>
            <w:shd w:val="clear" w:color="auto" w:fill="FFFFFF"/>
            <w:hideMark/>
          </w:tcPr>
          <w:p w14:paraId="3EE59B33"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High school level</w:t>
            </w:r>
          </w:p>
        </w:tc>
        <w:tc>
          <w:tcPr>
            <w:tcW w:w="1985" w:type="dxa"/>
            <w:hideMark/>
          </w:tcPr>
          <w:p w14:paraId="097FC341"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35</w:t>
            </w:r>
          </w:p>
        </w:tc>
        <w:tc>
          <w:tcPr>
            <w:tcW w:w="2119" w:type="dxa"/>
            <w:shd w:val="clear" w:color="auto" w:fill="FFFFFF"/>
            <w:hideMark/>
          </w:tcPr>
          <w:p w14:paraId="05725248"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22.01%</w:t>
            </w:r>
          </w:p>
        </w:tc>
      </w:tr>
      <w:tr w:rsidR="0041689C" w14:paraId="220F21A7" w14:textId="77777777" w:rsidTr="0041689C">
        <w:trPr>
          <w:cantSplit/>
        </w:trPr>
        <w:tc>
          <w:tcPr>
            <w:tcW w:w="4536" w:type="dxa"/>
            <w:shd w:val="clear" w:color="auto" w:fill="FFFFFF"/>
            <w:hideMark/>
          </w:tcPr>
          <w:p w14:paraId="4D596310" w14:textId="77777777" w:rsidR="0041689C" w:rsidRDefault="0041689C">
            <w:pPr>
              <w:autoSpaceDE w:val="0"/>
              <w:autoSpaceDN w:val="0"/>
              <w:adjustRightInd w:val="0"/>
              <w:ind w:right="60"/>
              <w:jc w:val="center"/>
              <w:rPr>
                <w:rFonts w:ascii="Arial" w:hAnsi="Arial" w:cs="Arial"/>
                <w:color w:val="000000" w:themeColor="text1"/>
              </w:rPr>
            </w:pPr>
            <w:r>
              <w:rPr>
                <w:rFonts w:ascii="Arial" w:hAnsi="Arial" w:cs="Arial"/>
                <w:color w:val="000000" w:themeColor="text1"/>
              </w:rPr>
              <w:t>High school graduate</w:t>
            </w:r>
          </w:p>
        </w:tc>
        <w:tc>
          <w:tcPr>
            <w:tcW w:w="1985" w:type="dxa"/>
            <w:hideMark/>
          </w:tcPr>
          <w:p w14:paraId="793A379F"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38</w:t>
            </w:r>
          </w:p>
        </w:tc>
        <w:tc>
          <w:tcPr>
            <w:tcW w:w="2119" w:type="dxa"/>
            <w:shd w:val="clear" w:color="auto" w:fill="FFFFFF"/>
            <w:hideMark/>
          </w:tcPr>
          <w:p w14:paraId="4974D4A9"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23.90%</w:t>
            </w:r>
          </w:p>
        </w:tc>
      </w:tr>
      <w:tr w:rsidR="0041689C" w14:paraId="0E5BA7EF" w14:textId="77777777" w:rsidTr="0041689C">
        <w:trPr>
          <w:cantSplit/>
        </w:trPr>
        <w:tc>
          <w:tcPr>
            <w:tcW w:w="4536" w:type="dxa"/>
            <w:shd w:val="clear" w:color="auto" w:fill="FFFFFF"/>
            <w:hideMark/>
          </w:tcPr>
          <w:p w14:paraId="398AB75F" w14:textId="77777777" w:rsidR="0041689C" w:rsidRDefault="0041689C">
            <w:pPr>
              <w:autoSpaceDE w:val="0"/>
              <w:autoSpaceDN w:val="0"/>
              <w:adjustRightInd w:val="0"/>
              <w:ind w:left="60" w:right="60"/>
              <w:jc w:val="center"/>
              <w:rPr>
                <w:rFonts w:ascii="Arial" w:hAnsi="Arial" w:cs="Arial"/>
                <w:color w:val="000000" w:themeColor="text1"/>
              </w:rPr>
            </w:pPr>
            <w:r>
              <w:rPr>
                <w:rFonts w:ascii="Arial" w:hAnsi="Arial" w:cs="Arial"/>
                <w:color w:val="000000" w:themeColor="text1"/>
              </w:rPr>
              <w:t>College level</w:t>
            </w:r>
          </w:p>
        </w:tc>
        <w:tc>
          <w:tcPr>
            <w:tcW w:w="1985" w:type="dxa"/>
            <w:hideMark/>
          </w:tcPr>
          <w:p w14:paraId="19A977BA"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30</w:t>
            </w:r>
          </w:p>
        </w:tc>
        <w:tc>
          <w:tcPr>
            <w:tcW w:w="2119" w:type="dxa"/>
            <w:shd w:val="clear" w:color="auto" w:fill="FFFFFF"/>
            <w:hideMark/>
          </w:tcPr>
          <w:p w14:paraId="1562E799"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18.87%</w:t>
            </w:r>
          </w:p>
        </w:tc>
      </w:tr>
      <w:tr w:rsidR="0041689C" w14:paraId="41878515" w14:textId="77777777" w:rsidTr="0041689C">
        <w:trPr>
          <w:cantSplit/>
        </w:trPr>
        <w:tc>
          <w:tcPr>
            <w:tcW w:w="4536" w:type="dxa"/>
            <w:shd w:val="clear" w:color="auto" w:fill="FFFFFF"/>
            <w:hideMark/>
          </w:tcPr>
          <w:p w14:paraId="6D463D02" w14:textId="77777777" w:rsidR="0041689C" w:rsidRDefault="0041689C">
            <w:pPr>
              <w:autoSpaceDE w:val="0"/>
              <w:autoSpaceDN w:val="0"/>
              <w:adjustRightInd w:val="0"/>
              <w:ind w:left="60" w:right="60"/>
              <w:jc w:val="center"/>
              <w:rPr>
                <w:rFonts w:ascii="Arial" w:hAnsi="Arial" w:cs="Arial"/>
                <w:bCs/>
                <w:color w:val="000000" w:themeColor="text1"/>
              </w:rPr>
            </w:pPr>
            <w:r>
              <w:rPr>
                <w:rFonts w:ascii="Arial" w:hAnsi="Arial" w:cs="Arial"/>
                <w:color w:val="000000" w:themeColor="text1"/>
              </w:rPr>
              <w:t>College graduate</w:t>
            </w:r>
          </w:p>
        </w:tc>
        <w:tc>
          <w:tcPr>
            <w:tcW w:w="1985" w:type="dxa"/>
            <w:hideMark/>
          </w:tcPr>
          <w:p w14:paraId="3A9F76FB"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18</w:t>
            </w:r>
          </w:p>
        </w:tc>
        <w:tc>
          <w:tcPr>
            <w:tcW w:w="2119" w:type="dxa"/>
            <w:shd w:val="clear" w:color="auto" w:fill="FFFFFF"/>
            <w:hideMark/>
          </w:tcPr>
          <w:p w14:paraId="12A43B66" w14:textId="77777777" w:rsidR="0041689C" w:rsidRDefault="0041689C">
            <w:pPr>
              <w:autoSpaceDE w:val="0"/>
              <w:autoSpaceDN w:val="0"/>
              <w:adjustRightInd w:val="0"/>
              <w:jc w:val="center"/>
              <w:rPr>
                <w:rFonts w:ascii="Arial" w:hAnsi="Arial" w:cs="Arial"/>
                <w:color w:val="000000" w:themeColor="text1"/>
              </w:rPr>
            </w:pPr>
            <w:r>
              <w:rPr>
                <w:rFonts w:ascii="Arial" w:hAnsi="Arial" w:cs="Arial"/>
                <w:color w:val="000000" w:themeColor="text1"/>
              </w:rPr>
              <w:t>11.32%</w:t>
            </w:r>
          </w:p>
        </w:tc>
      </w:tr>
      <w:tr w:rsidR="0041689C" w14:paraId="09598103" w14:textId="77777777" w:rsidTr="0041689C">
        <w:trPr>
          <w:cantSplit/>
        </w:trPr>
        <w:tc>
          <w:tcPr>
            <w:tcW w:w="4536" w:type="dxa"/>
            <w:tcBorders>
              <w:top w:val="nil"/>
              <w:left w:val="nil"/>
              <w:bottom w:val="single" w:sz="4" w:space="0" w:color="auto"/>
              <w:right w:val="nil"/>
            </w:tcBorders>
            <w:shd w:val="clear" w:color="auto" w:fill="FFFFFF"/>
          </w:tcPr>
          <w:p w14:paraId="070945FB" w14:textId="77777777" w:rsidR="0041689C" w:rsidRDefault="0041689C">
            <w:pPr>
              <w:autoSpaceDE w:val="0"/>
              <w:autoSpaceDN w:val="0"/>
              <w:adjustRightInd w:val="0"/>
              <w:ind w:left="60" w:right="60"/>
              <w:jc w:val="right"/>
              <w:rPr>
                <w:rFonts w:ascii="Arial" w:hAnsi="Arial" w:cs="Arial"/>
                <w:b/>
                <w:bCs/>
                <w:color w:val="000000" w:themeColor="text1"/>
              </w:rPr>
            </w:pPr>
          </w:p>
          <w:p w14:paraId="09CE6F60" w14:textId="77777777" w:rsidR="0041689C" w:rsidRDefault="0041689C">
            <w:pPr>
              <w:autoSpaceDE w:val="0"/>
              <w:autoSpaceDN w:val="0"/>
              <w:adjustRightInd w:val="0"/>
              <w:ind w:left="60" w:right="60"/>
              <w:jc w:val="right"/>
              <w:rPr>
                <w:rFonts w:ascii="Arial" w:hAnsi="Arial" w:cs="Arial"/>
                <w:b/>
                <w:bCs/>
                <w:color w:val="000000" w:themeColor="text1"/>
              </w:rPr>
            </w:pPr>
            <w:r>
              <w:rPr>
                <w:rFonts w:ascii="Arial" w:hAnsi="Arial" w:cs="Arial"/>
                <w:b/>
                <w:bCs/>
                <w:color w:val="000000" w:themeColor="text1"/>
              </w:rPr>
              <w:t>Total</w:t>
            </w:r>
          </w:p>
        </w:tc>
        <w:tc>
          <w:tcPr>
            <w:tcW w:w="1985" w:type="dxa"/>
            <w:tcBorders>
              <w:top w:val="nil"/>
              <w:left w:val="nil"/>
              <w:bottom w:val="single" w:sz="4" w:space="0" w:color="auto"/>
              <w:right w:val="nil"/>
            </w:tcBorders>
            <w:hideMark/>
          </w:tcPr>
          <w:p w14:paraId="4F936A66"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159</w:t>
            </w:r>
          </w:p>
        </w:tc>
        <w:tc>
          <w:tcPr>
            <w:tcW w:w="2119" w:type="dxa"/>
            <w:tcBorders>
              <w:top w:val="nil"/>
              <w:left w:val="nil"/>
              <w:bottom w:val="single" w:sz="4" w:space="0" w:color="auto"/>
              <w:right w:val="nil"/>
            </w:tcBorders>
            <w:shd w:val="clear" w:color="auto" w:fill="FFFFFF"/>
            <w:hideMark/>
          </w:tcPr>
          <w:p w14:paraId="6565B18E" w14:textId="77777777" w:rsidR="0041689C" w:rsidRDefault="0041689C">
            <w:pPr>
              <w:autoSpaceDE w:val="0"/>
              <w:autoSpaceDN w:val="0"/>
              <w:adjustRightInd w:val="0"/>
              <w:jc w:val="center"/>
              <w:rPr>
                <w:rFonts w:ascii="Arial" w:hAnsi="Arial" w:cs="Arial"/>
                <w:b/>
                <w:bCs/>
                <w:color w:val="000000" w:themeColor="text1"/>
              </w:rPr>
            </w:pPr>
            <w:r>
              <w:rPr>
                <w:rFonts w:ascii="Arial" w:hAnsi="Arial" w:cs="Arial"/>
                <w:b/>
                <w:bCs/>
                <w:color w:val="000000" w:themeColor="text1"/>
              </w:rPr>
              <w:t>100.00%</w:t>
            </w:r>
          </w:p>
        </w:tc>
      </w:tr>
    </w:tbl>
    <w:p w14:paraId="496DE70A" w14:textId="77777777" w:rsidR="002F5C4B" w:rsidRDefault="002F5C4B">
      <w:pPr>
        <w:suppressAutoHyphens/>
        <w:jc w:val="both"/>
        <w:rPr>
          <w:rFonts w:ascii="Arial" w:hAnsi="Arial" w:cs="Arial"/>
          <w:i/>
        </w:rPr>
      </w:pPr>
    </w:p>
    <w:p w14:paraId="20CF6BE0" w14:textId="77777777" w:rsidR="00D453B9" w:rsidRDefault="00D453B9" w:rsidP="003248E3">
      <w:pPr>
        <w:jc w:val="both"/>
        <w:rPr>
          <w:rFonts w:ascii="Arial" w:hAnsi="Arial" w:cs="Arial"/>
        </w:rPr>
      </w:pPr>
    </w:p>
    <w:p w14:paraId="1F2B7707" w14:textId="458957EF" w:rsidR="0041689C" w:rsidRDefault="0041689C" w:rsidP="0041689C">
      <w:pPr>
        <w:jc w:val="both"/>
        <w:rPr>
          <w:rFonts w:ascii="Arial" w:hAnsi="Arial" w:cs="Arial"/>
        </w:rPr>
      </w:pPr>
      <w:r w:rsidRPr="0041689C">
        <w:rPr>
          <w:rFonts w:ascii="Arial" w:hAnsi="Arial" w:cs="Arial"/>
        </w:rPr>
        <w:t>Presented in Table 1 is the demographic profile of the respondents in terms of gender, family income, nature of work, and educational attainment. Out of 159 respondents, the majority are female, with 81 respondents (50.94%), while 78 respondents (49.06%) are male.</w:t>
      </w:r>
      <w:r>
        <w:rPr>
          <w:rFonts w:ascii="Arial" w:hAnsi="Arial" w:cs="Arial"/>
        </w:rPr>
        <w:t xml:space="preserve"> </w:t>
      </w:r>
      <w:r w:rsidRPr="0041689C">
        <w:rPr>
          <w:rFonts w:ascii="Arial" w:hAnsi="Arial" w:cs="Arial"/>
        </w:rPr>
        <w:t>In terms of family income, the largest proportion of respondents, 69 respondents (43.40%), earn between ₱10,001 – ₱20,000 per month. Meanwhile, 50 respondents (31.45%) earn below ₱10,000, and 40 respondents (25.16%) have a monthly income of ₱20,000 and above.</w:t>
      </w:r>
      <w:r>
        <w:rPr>
          <w:rFonts w:ascii="Arial" w:hAnsi="Arial" w:cs="Arial"/>
        </w:rPr>
        <w:t xml:space="preserve"> </w:t>
      </w:r>
      <w:r w:rsidRPr="0041689C">
        <w:rPr>
          <w:rFonts w:ascii="Arial" w:hAnsi="Arial" w:cs="Arial"/>
        </w:rPr>
        <w:t>Regarding nature of work, most respondents are private sector employees, with 50 respondents (31.45%), followed by government employees, with 40 respondents (25.16%), and self-employed individuals, with 35 respondents (22.01%). A smaller portion, 34 respondents (21.38%), reported being unemployed.</w:t>
      </w:r>
      <w:r>
        <w:rPr>
          <w:rFonts w:ascii="Arial" w:hAnsi="Arial" w:cs="Arial"/>
        </w:rPr>
        <w:t xml:space="preserve"> </w:t>
      </w:r>
      <w:r w:rsidRPr="0041689C">
        <w:rPr>
          <w:rFonts w:ascii="Arial" w:hAnsi="Arial" w:cs="Arial"/>
        </w:rPr>
        <w:t xml:space="preserve">For educational attainment, the highest proportion of respondents, 38 respondents (23.90%), are high school graduates, followed by 35 respondents (22.01%) who have some high school education. Additionally, 30 respondents (18.87%) have some college education, while 18 respondents (11.32%) have completed a college degree. A total of 20 respondents (12.58%) have graduated from elementary, while 12 </w:t>
      </w:r>
      <w:r w:rsidRPr="0041689C">
        <w:rPr>
          <w:rFonts w:ascii="Arial" w:hAnsi="Arial" w:cs="Arial"/>
        </w:rPr>
        <w:lastRenderedPageBreak/>
        <w:t>respondents (7.55%) have some elementary education. A minimal 6 respondents (3.77%) reported having no formal education.</w:t>
      </w:r>
    </w:p>
    <w:p w14:paraId="40FF3D92" w14:textId="77777777" w:rsidR="0041689C" w:rsidRPr="0041689C" w:rsidRDefault="0041689C" w:rsidP="0041689C">
      <w:pPr>
        <w:jc w:val="both"/>
        <w:rPr>
          <w:rFonts w:ascii="Arial" w:hAnsi="Arial" w:cs="Arial"/>
        </w:rPr>
      </w:pPr>
    </w:p>
    <w:p w14:paraId="61821937" w14:textId="77777777" w:rsidR="0041689C" w:rsidRPr="0041689C" w:rsidRDefault="0041689C" w:rsidP="0041689C">
      <w:pPr>
        <w:jc w:val="both"/>
        <w:rPr>
          <w:rFonts w:ascii="Arial" w:hAnsi="Arial" w:cs="Arial"/>
        </w:rPr>
      </w:pPr>
      <w:r w:rsidRPr="0041689C">
        <w:rPr>
          <w:rFonts w:ascii="Arial" w:hAnsi="Arial" w:cs="Arial"/>
        </w:rPr>
        <w:t xml:space="preserve">This finding aligns with the study of </w:t>
      </w:r>
      <w:proofErr w:type="spellStart"/>
      <w:r w:rsidRPr="0041689C">
        <w:rPr>
          <w:rFonts w:ascii="Arial" w:hAnsi="Arial" w:cs="Arial"/>
        </w:rPr>
        <w:t>Crato</w:t>
      </w:r>
      <w:proofErr w:type="spellEnd"/>
      <w:r w:rsidRPr="0041689C">
        <w:rPr>
          <w:rFonts w:ascii="Arial" w:hAnsi="Arial" w:cs="Arial"/>
        </w:rPr>
        <w:t xml:space="preserve"> (2020), who emphasized that socioeconomic status and educational background significantly influence individuals' awareness and engagement in educational matters. Parents with higher educational attainment are more likely to have a better understanding of curriculum policies and reforms, allowing them to be more proactive in their children's education. Similarly, Posey-Maddox and Haley-Lock (2020) highlighted that income level and employment status play a crucial role in shaping parental awareness and involvement in education. Parents with stable jobs and higher income levels often have greater access to educational resources, school meetings, and discussions regarding curriculum changes. In contrast, those with lower income and less stable employment may have limited access to information, affecting their awareness of the K to 12 language curriculum.</w:t>
      </w:r>
    </w:p>
    <w:p w14:paraId="334BCDF3" w14:textId="77777777" w:rsidR="0041689C" w:rsidRDefault="0041689C" w:rsidP="0041689C">
      <w:pPr>
        <w:jc w:val="both"/>
        <w:rPr>
          <w:rFonts w:ascii="Arial" w:hAnsi="Arial" w:cs="Arial"/>
        </w:rPr>
      </w:pPr>
    </w:p>
    <w:p w14:paraId="3B50269C" w14:textId="2C257024" w:rsidR="0041689C" w:rsidRDefault="0041689C" w:rsidP="0041689C">
      <w:pPr>
        <w:jc w:val="both"/>
        <w:rPr>
          <w:rFonts w:ascii="Arial" w:hAnsi="Arial" w:cs="Arial"/>
        </w:rPr>
      </w:pPr>
      <w:r w:rsidRPr="0041689C">
        <w:rPr>
          <w:rFonts w:ascii="Arial" w:hAnsi="Arial" w:cs="Arial"/>
        </w:rPr>
        <w:t xml:space="preserve">Moreover, McKinnon-Crowley et al. (2022) examined gender differences in parental involvement in education and found that mothers are generally more engaged in their children's academic affairs than fathers. They suggested that women are more likely to attend school meetings, communicate with teachers, and actively seek information about curriculum changes. This could explain why female respondents in this study exhibited a higher level of awareness of the K to 12 language curricula than male respondents. Furthermore, </w:t>
      </w:r>
      <w:proofErr w:type="spellStart"/>
      <w:r w:rsidRPr="0041689C">
        <w:rPr>
          <w:rFonts w:ascii="Arial" w:hAnsi="Arial" w:cs="Arial"/>
        </w:rPr>
        <w:t>Sengonul</w:t>
      </w:r>
      <w:proofErr w:type="spellEnd"/>
      <w:r w:rsidRPr="0041689C">
        <w:rPr>
          <w:rFonts w:ascii="Arial" w:hAnsi="Arial" w:cs="Arial"/>
        </w:rPr>
        <w:t xml:space="preserve"> (2022) found that parental engagement in education is closely linked to socioeconomic factors, with individuals in higher income brackets and professional work sectors demonstrating greater involvement in school-related activities. Their study suggests that parents in government and private sector employment may have more exposure to information regarding curriculum updates, whereas unemployed parents or those with minimal formal education may experience barriers in accessing educational knowledge.</w:t>
      </w:r>
    </w:p>
    <w:p w14:paraId="21C94FE8" w14:textId="77777777" w:rsidR="0041689C" w:rsidRPr="00E956F6" w:rsidRDefault="0041689C" w:rsidP="0041689C">
      <w:pPr>
        <w:jc w:val="both"/>
        <w:rPr>
          <w:rFonts w:ascii="Arial" w:hAnsi="Arial" w:cs="Arial"/>
        </w:rPr>
      </w:pPr>
    </w:p>
    <w:p w14:paraId="49153FC3" w14:textId="2808F7E6" w:rsidR="00E16D4E" w:rsidRPr="00AD6582" w:rsidRDefault="00E956F6" w:rsidP="00AD6582">
      <w:pPr>
        <w:jc w:val="both"/>
        <w:rPr>
          <w:rFonts w:ascii="Arial" w:hAnsi="Arial" w:cs="Arial"/>
          <w:b/>
        </w:rPr>
      </w:pPr>
      <w:r>
        <w:rPr>
          <w:rFonts w:ascii="Arial" w:hAnsi="Arial" w:cs="Arial"/>
          <w:b/>
        </w:rPr>
        <w:t xml:space="preserve"> </w:t>
      </w:r>
      <w:r w:rsidR="00180859">
        <w:rPr>
          <w:rFonts w:ascii="Arial" w:hAnsi="Arial" w:cs="Arial"/>
          <w:b/>
        </w:rPr>
        <w:t xml:space="preserve">3.2 </w:t>
      </w:r>
      <w:r w:rsidR="00AD6582" w:rsidRPr="00AD6582">
        <w:rPr>
          <w:rFonts w:ascii="Arial" w:hAnsi="Arial" w:cs="Arial"/>
          <w:b/>
        </w:rPr>
        <w:t>Level of Awareness of Parents on the K to 12 Language Curriculum</w:t>
      </w:r>
    </w:p>
    <w:p w14:paraId="5B335AF5" w14:textId="77777777" w:rsidR="00D532E8" w:rsidRDefault="00D532E8">
      <w:pPr>
        <w:jc w:val="both"/>
        <w:rPr>
          <w:rFonts w:ascii="Arial" w:hAnsi="Arial" w:cs="Arial"/>
          <w:b/>
        </w:rPr>
      </w:pPr>
    </w:p>
    <w:p w14:paraId="2745F126" w14:textId="4CBF7670" w:rsidR="00781D5E" w:rsidRPr="00AD6582" w:rsidRDefault="00180859" w:rsidP="00AD6582">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AD6582" w:rsidRPr="00AD6582">
        <w:rPr>
          <w:rFonts w:ascii="Arial" w:hAnsi="Arial" w:cs="Arial"/>
          <w:i/>
        </w:rPr>
        <w:t>Level of Awareness of Parents on the K to 12 Language Curriculum</w:t>
      </w:r>
    </w:p>
    <w:p w14:paraId="0470EF4F" w14:textId="77777777" w:rsidR="00D532E8" w:rsidRDefault="00D532E8">
      <w:pPr>
        <w:jc w:val="both"/>
        <w:rPr>
          <w:rFonts w:ascii="Arial" w:hAnsi="Arial" w:cs="Arial"/>
          <w:i/>
        </w:rPr>
      </w:pPr>
    </w:p>
    <w:tbl>
      <w:tblPr>
        <w:tblW w:w="8436" w:type="dxa"/>
        <w:tblBorders>
          <w:top w:val="single" w:sz="4" w:space="0" w:color="auto"/>
          <w:bottom w:val="single" w:sz="4" w:space="0" w:color="auto"/>
        </w:tblBorders>
        <w:tblLayout w:type="fixed"/>
        <w:tblLook w:val="04A0" w:firstRow="1" w:lastRow="0" w:firstColumn="1" w:lastColumn="0" w:noHBand="0" w:noVBand="1"/>
      </w:tblPr>
      <w:tblGrid>
        <w:gridCol w:w="3809"/>
        <w:gridCol w:w="907"/>
        <w:gridCol w:w="997"/>
        <w:gridCol w:w="2712"/>
        <w:gridCol w:w="11"/>
      </w:tblGrid>
      <w:tr w:rsidR="00AD6582" w14:paraId="326FB3DF" w14:textId="77777777" w:rsidTr="00AD6582">
        <w:trPr>
          <w:gridAfter w:val="1"/>
          <w:wAfter w:w="11" w:type="dxa"/>
          <w:trHeight w:val="458"/>
        </w:trPr>
        <w:tc>
          <w:tcPr>
            <w:tcW w:w="3811" w:type="dxa"/>
            <w:tcBorders>
              <w:top w:val="single" w:sz="4" w:space="0" w:color="auto"/>
              <w:left w:val="nil"/>
              <w:bottom w:val="single" w:sz="4" w:space="0" w:color="auto"/>
              <w:right w:val="nil"/>
            </w:tcBorders>
            <w:hideMark/>
          </w:tcPr>
          <w:p w14:paraId="0894CDD2" w14:textId="77777777" w:rsidR="00AD6582" w:rsidRDefault="00AD6582">
            <w:pPr>
              <w:jc w:val="center"/>
              <w:rPr>
                <w:rFonts w:ascii="Arial" w:eastAsia="Arial" w:hAnsi="Arial"/>
                <w:b/>
                <w:color w:val="000000" w:themeColor="text1"/>
              </w:rPr>
            </w:pPr>
            <w:r>
              <w:rPr>
                <w:rFonts w:ascii="Arial" w:eastAsia="Arial" w:hAnsi="Arial"/>
                <w:b/>
                <w:color w:val="000000" w:themeColor="text1"/>
              </w:rPr>
              <w:t>Indicators</w:t>
            </w:r>
          </w:p>
        </w:tc>
        <w:tc>
          <w:tcPr>
            <w:tcW w:w="907" w:type="dxa"/>
            <w:tcBorders>
              <w:top w:val="single" w:sz="4" w:space="0" w:color="auto"/>
              <w:left w:val="nil"/>
              <w:bottom w:val="single" w:sz="4" w:space="0" w:color="auto"/>
              <w:right w:val="nil"/>
            </w:tcBorders>
            <w:hideMark/>
          </w:tcPr>
          <w:p w14:paraId="4FA8B0C1" w14:textId="77777777" w:rsidR="00AD6582" w:rsidRDefault="00AD6582">
            <w:pPr>
              <w:jc w:val="center"/>
              <w:rPr>
                <w:rFonts w:ascii="Arial" w:eastAsia="Arial" w:hAnsi="Arial"/>
                <w:b/>
                <w:color w:val="000000" w:themeColor="text1"/>
              </w:rPr>
            </w:pPr>
            <w:r>
              <w:rPr>
                <w:rFonts w:ascii="Arial" w:eastAsia="Arial" w:hAnsi="Arial"/>
                <w:b/>
                <w:color w:val="000000" w:themeColor="text1"/>
              </w:rPr>
              <w:t>SD</w:t>
            </w:r>
          </w:p>
        </w:tc>
        <w:tc>
          <w:tcPr>
            <w:tcW w:w="998" w:type="dxa"/>
            <w:tcBorders>
              <w:top w:val="single" w:sz="4" w:space="0" w:color="auto"/>
              <w:left w:val="nil"/>
              <w:bottom w:val="single" w:sz="4" w:space="0" w:color="auto"/>
              <w:right w:val="nil"/>
            </w:tcBorders>
            <w:hideMark/>
          </w:tcPr>
          <w:p w14:paraId="1591B030" w14:textId="77777777" w:rsidR="00AD6582" w:rsidRDefault="00AD6582">
            <w:pPr>
              <w:jc w:val="center"/>
              <w:rPr>
                <w:rFonts w:ascii="Arial" w:eastAsia="Arial" w:hAnsi="Arial"/>
                <w:b/>
                <w:color w:val="000000" w:themeColor="text1"/>
              </w:rPr>
            </w:pPr>
            <w:r>
              <w:rPr>
                <w:rFonts w:ascii="Arial" w:eastAsia="Arial" w:hAnsi="Arial"/>
                <w:b/>
                <w:color w:val="000000" w:themeColor="text1"/>
              </w:rPr>
              <w:t>Mean</w:t>
            </w:r>
          </w:p>
        </w:tc>
        <w:tc>
          <w:tcPr>
            <w:tcW w:w="2714" w:type="dxa"/>
            <w:tcBorders>
              <w:top w:val="single" w:sz="4" w:space="0" w:color="auto"/>
              <w:left w:val="nil"/>
              <w:bottom w:val="single" w:sz="4" w:space="0" w:color="auto"/>
              <w:right w:val="nil"/>
            </w:tcBorders>
            <w:hideMark/>
          </w:tcPr>
          <w:p w14:paraId="1120CD46" w14:textId="77777777" w:rsidR="00AD6582" w:rsidRDefault="00AD6582">
            <w:pPr>
              <w:jc w:val="center"/>
              <w:rPr>
                <w:rFonts w:ascii="Arial" w:eastAsia="Arial" w:hAnsi="Arial"/>
                <w:b/>
                <w:color w:val="000000" w:themeColor="text1"/>
              </w:rPr>
            </w:pPr>
            <w:r>
              <w:rPr>
                <w:rFonts w:ascii="Arial" w:eastAsia="Arial" w:hAnsi="Arial"/>
                <w:b/>
                <w:color w:val="000000" w:themeColor="text1"/>
              </w:rPr>
              <w:t>Descriptive Level</w:t>
            </w:r>
          </w:p>
        </w:tc>
      </w:tr>
      <w:tr w:rsidR="00AD6582" w14:paraId="13C5DBA4" w14:textId="77777777" w:rsidTr="00AD6582">
        <w:trPr>
          <w:gridAfter w:val="1"/>
          <w:wAfter w:w="11" w:type="dxa"/>
          <w:trHeight w:val="468"/>
        </w:trPr>
        <w:tc>
          <w:tcPr>
            <w:tcW w:w="3811" w:type="dxa"/>
            <w:tcBorders>
              <w:top w:val="single" w:sz="4" w:space="0" w:color="auto"/>
              <w:left w:val="nil"/>
              <w:bottom w:val="nil"/>
              <w:right w:val="nil"/>
            </w:tcBorders>
            <w:hideMark/>
          </w:tcPr>
          <w:p w14:paraId="025449C2" w14:textId="77777777" w:rsidR="00AD6582" w:rsidRDefault="00AD6582">
            <w:pPr>
              <w:widowControl w:val="0"/>
              <w:ind w:left="346"/>
              <w:rPr>
                <w:rFonts w:ascii="Arial" w:eastAsia="Arial" w:hAnsi="Arial"/>
                <w:color w:val="000000" w:themeColor="text1"/>
              </w:rPr>
            </w:pPr>
            <w:r>
              <w:rPr>
                <w:rFonts w:ascii="Arial" w:eastAsia="Arial" w:hAnsi="Arial"/>
                <w:color w:val="000000" w:themeColor="text1"/>
              </w:rPr>
              <w:t>Early Childhood Education</w:t>
            </w:r>
          </w:p>
        </w:tc>
        <w:tc>
          <w:tcPr>
            <w:tcW w:w="907" w:type="dxa"/>
            <w:tcBorders>
              <w:top w:val="single" w:sz="4" w:space="0" w:color="auto"/>
              <w:left w:val="nil"/>
              <w:bottom w:val="nil"/>
              <w:right w:val="nil"/>
            </w:tcBorders>
            <w:hideMark/>
          </w:tcPr>
          <w:p w14:paraId="769E3F7C" w14:textId="77777777" w:rsidR="00AD6582" w:rsidRDefault="00AD6582">
            <w:pPr>
              <w:jc w:val="center"/>
              <w:rPr>
                <w:rFonts w:ascii="Arial" w:eastAsia="Arial" w:hAnsi="Arial"/>
                <w:color w:val="000000" w:themeColor="text1"/>
              </w:rPr>
            </w:pPr>
            <w:r>
              <w:rPr>
                <w:rFonts w:ascii="Arial" w:eastAsia="Arial" w:hAnsi="Arial"/>
                <w:color w:val="000000" w:themeColor="text1"/>
              </w:rPr>
              <w:t>0.68</w:t>
            </w:r>
          </w:p>
        </w:tc>
        <w:tc>
          <w:tcPr>
            <w:tcW w:w="998" w:type="dxa"/>
            <w:tcBorders>
              <w:top w:val="single" w:sz="4" w:space="0" w:color="auto"/>
              <w:left w:val="nil"/>
              <w:bottom w:val="nil"/>
              <w:right w:val="nil"/>
            </w:tcBorders>
            <w:hideMark/>
          </w:tcPr>
          <w:p w14:paraId="2FF6781A" w14:textId="77777777" w:rsidR="00AD6582" w:rsidRDefault="00AD6582">
            <w:pPr>
              <w:jc w:val="center"/>
              <w:rPr>
                <w:rFonts w:ascii="Arial" w:eastAsia="Arial" w:hAnsi="Arial"/>
                <w:color w:val="000000" w:themeColor="text1"/>
              </w:rPr>
            </w:pPr>
            <w:r>
              <w:rPr>
                <w:rFonts w:ascii="Arial" w:eastAsia="Arial" w:hAnsi="Arial"/>
                <w:color w:val="000000" w:themeColor="text1"/>
              </w:rPr>
              <w:t>4.08</w:t>
            </w:r>
          </w:p>
        </w:tc>
        <w:tc>
          <w:tcPr>
            <w:tcW w:w="2714" w:type="dxa"/>
            <w:tcBorders>
              <w:top w:val="single" w:sz="4" w:space="0" w:color="auto"/>
              <w:left w:val="nil"/>
              <w:bottom w:val="nil"/>
              <w:right w:val="nil"/>
            </w:tcBorders>
            <w:hideMark/>
          </w:tcPr>
          <w:p w14:paraId="1D6A5830" w14:textId="77777777" w:rsidR="00AD6582" w:rsidRDefault="00AD6582">
            <w:pPr>
              <w:jc w:val="center"/>
              <w:rPr>
                <w:rFonts w:ascii="Arial" w:eastAsia="Arial" w:hAnsi="Arial" w:cs="Arial"/>
                <w:color w:val="000000" w:themeColor="text1"/>
              </w:rPr>
            </w:pPr>
            <w:r>
              <w:rPr>
                <w:rFonts w:ascii="Arial" w:hAnsi="Arial" w:cs="Arial"/>
                <w:color w:val="000000" w:themeColor="text1"/>
              </w:rPr>
              <w:t>High</w:t>
            </w:r>
          </w:p>
        </w:tc>
      </w:tr>
      <w:tr w:rsidR="00AD6582" w14:paraId="3C06F73B" w14:textId="77777777" w:rsidTr="00AD6582">
        <w:trPr>
          <w:gridAfter w:val="1"/>
          <w:wAfter w:w="11" w:type="dxa"/>
          <w:trHeight w:val="684"/>
        </w:trPr>
        <w:tc>
          <w:tcPr>
            <w:tcW w:w="3811" w:type="dxa"/>
            <w:tcBorders>
              <w:top w:val="nil"/>
              <w:left w:val="nil"/>
              <w:bottom w:val="nil"/>
              <w:right w:val="nil"/>
            </w:tcBorders>
            <w:hideMark/>
          </w:tcPr>
          <w:p w14:paraId="2887F0E1" w14:textId="77777777" w:rsidR="00AD6582" w:rsidRDefault="00AD6582">
            <w:pPr>
              <w:widowControl w:val="0"/>
              <w:ind w:left="346"/>
              <w:rPr>
                <w:rFonts w:ascii="Arial" w:eastAsia="Arial" w:hAnsi="Arial"/>
                <w:color w:val="000000" w:themeColor="text1"/>
              </w:rPr>
            </w:pPr>
            <w:r>
              <w:rPr>
                <w:rFonts w:ascii="Arial" w:eastAsia="Arial" w:hAnsi="Arial"/>
                <w:color w:val="000000" w:themeColor="text1"/>
              </w:rPr>
              <w:t>Making Curriculum Relevant to the Learner</w:t>
            </w:r>
          </w:p>
        </w:tc>
        <w:tc>
          <w:tcPr>
            <w:tcW w:w="907" w:type="dxa"/>
            <w:tcBorders>
              <w:top w:val="nil"/>
              <w:left w:val="nil"/>
              <w:bottom w:val="nil"/>
              <w:right w:val="nil"/>
            </w:tcBorders>
            <w:hideMark/>
          </w:tcPr>
          <w:p w14:paraId="0230BA77" w14:textId="77777777" w:rsidR="00AD6582" w:rsidRDefault="00AD6582">
            <w:pPr>
              <w:jc w:val="center"/>
              <w:rPr>
                <w:rFonts w:ascii="Arial" w:eastAsia="Arial" w:hAnsi="Arial"/>
                <w:color w:val="000000" w:themeColor="text1"/>
              </w:rPr>
            </w:pPr>
            <w:r>
              <w:rPr>
                <w:rFonts w:ascii="Arial" w:eastAsia="Arial" w:hAnsi="Arial"/>
                <w:color w:val="000000" w:themeColor="text1"/>
              </w:rPr>
              <w:t>0.70</w:t>
            </w:r>
          </w:p>
        </w:tc>
        <w:tc>
          <w:tcPr>
            <w:tcW w:w="998" w:type="dxa"/>
            <w:tcBorders>
              <w:top w:val="nil"/>
              <w:left w:val="nil"/>
              <w:bottom w:val="nil"/>
              <w:right w:val="nil"/>
            </w:tcBorders>
            <w:hideMark/>
          </w:tcPr>
          <w:p w14:paraId="226E08BA" w14:textId="77777777" w:rsidR="00AD6582" w:rsidRDefault="00AD6582">
            <w:pPr>
              <w:jc w:val="center"/>
              <w:rPr>
                <w:rFonts w:ascii="Arial" w:eastAsia="Arial" w:hAnsi="Arial"/>
                <w:color w:val="000000" w:themeColor="text1"/>
              </w:rPr>
            </w:pPr>
            <w:r>
              <w:rPr>
                <w:rFonts w:ascii="Arial" w:eastAsia="Arial" w:hAnsi="Arial"/>
                <w:color w:val="000000" w:themeColor="text1"/>
              </w:rPr>
              <w:t>4.11</w:t>
            </w:r>
          </w:p>
        </w:tc>
        <w:tc>
          <w:tcPr>
            <w:tcW w:w="2714" w:type="dxa"/>
            <w:tcBorders>
              <w:top w:val="nil"/>
              <w:left w:val="nil"/>
              <w:bottom w:val="nil"/>
              <w:right w:val="nil"/>
            </w:tcBorders>
            <w:hideMark/>
          </w:tcPr>
          <w:p w14:paraId="72518277" w14:textId="77777777" w:rsidR="00AD6582" w:rsidRDefault="00AD6582">
            <w:pPr>
              <w:jc w:val="center"/>
              <w:rPr>
                <w:rFonts w:ascii="Arial" w:eastAsia="Arial" w:hAnsi="Arial" w:cs="Arial"/>
                <w:color w:val="000000" w:themeColor="text1"/>
              </w:rPr>
            </w:pPr>
            <w:r>
              <w:rPr>
                <w:rFonts w:ascii="Arial" w:hAnsi="Arial" w:cs="Arial"/>
                <w:color w:val="000000" w:themeColor="text1"/>
              </w:rPr>
              <w:t>High</w:t>
            </w:r>
          </w:p>
        </w:tc>
      </w:tr>
      <w:tr w:rsidR="00AD6582" w14:paraId="4F332BC4" w14:textId="77777777" w:rsidTr="00AD6582">
        <w:trPr>
          <w:gridAfter w:val="1"/>
          <w:wAfter w:w="11" w:type="dxa"/>
          <w:trHeight w:val="729"/>
        </w:trPr>
        <w:tc>
          <w:tcPr>
            <w:tcW w:w="3811" w:type="dxa"/>
            <w:tcBorders>
              <w:top w:val="nil"/>
              <w:left w:val="nil"/>
              <w:bottom w:val="nil"/>
              <w:right w:val="nil"/>
            </w:tcBorders>
            <w:hideMark/>
          </w:tcPr>
          <w:p w14:paraId="724770C4" w14:textId="77777777" w:rsidR="00AD6582" w:rsidRDefault="00AD6582">
            <w:pPr>
              <w:widowControl w:val="0"/>
              <w:ind w:left="346"/>
              <w:rPr>
                <w:rFonts w:ascii="Arial" w:eastAsia="Arial" w:hAnsi="Arial"/>
                <w:color w:val="000000" w:themeColor="text1"/>
              </w:rPr>
            </w:pPr>
            <w:r>
              <w:rPr>
                <w:rFonts w:ascii="Arial" w:eastAsia="Arial" w:hAnsi="Arial"/>
                <w:color w:val="000000" w:themeColor="text1"/>
              </w:rPr>
              <w:t>Building Proficiency through Language</w:t>
            </w:r>
          </w:p>
        </w:tc>
        <w:tc>
          <w:tcPr>
            <w:tcW w:w="907" w:type="dxa"/>
            <w:tcBorders>
              <w:top w:val="nil"/>
              <w:left w:val="nil"/>
              <w:bottom w:val="nil"/>
              <w:right w:val="nil"/>
            </w:tcBorders>
            <w:hideMark/>
          </w:tcPr>
          <w:p w14:paraId="39BE0358" w14:textId="77777777" w:rsidR="00AD6582" w:rsidRDefault="00AD6582">
            <w:pPr>
              <w:jc w:val="center"/>
              <w:rPr>
                <w:rFonts w:ascii="Arial" w:eastAsia="Arial" w:hAnsi="Arial"/>
                <w:color w:val="000000" w:themeColor="text1"/>
              </w:rPr>
            </w:pPr>
            <w:r>
              <w:rPr>
                <w:rFonts w:ascii="Arial" w:eastAsia="Arial" w:hAnsi="Arial"/>
                <w:color w:val="000000" w:themeColor="text1"/>
              </w:rPr>
              <w:t>0.65</w:t>
            </w:r>
          </w:p>
        </w:tc>
        <w:tc>
          <w:tcPr>
            <w:tcW w:w="998" w:type="dxa"/>
            <w:tcBorders>
              <w:top w:val="nil"/>
              <w:left w:val="nil"/>
              <w:bottom w:val="nil"/>
              <w:right w:val="nil"/>
            </w:tcBorders>
            <w:hideMark/>
          </w:tcPr>
          <w:p w14:paraId="49930F6D" w14:textId="77777777" w:rsidR="00AD6582" w:rsidRDefault="00AD6582">
            <w:pPr>
              <w:jc w:val="center"/>
              <w:rPr>
                <w:rFonts w:ascii="Arial" w:eastAsia="Arial" w:hAnsi="Arial"/>
                <w:color w:val="000000" w:themeColor="text1"/>
              </w:rPr>
            </w:pPr>
            <w:r>
              <w:rPr>
                <w:rFonts w:ascii="Arial" w:eastAsia="Arial" w:hAnsi="Arial"/>
                <w:color w:val="000000" w:themeColor="text1"/>
              </w:rPr>
              <w:t>4.13</w:t>
            </w:r>
          </w:p>
        </w:tc>
        <w:tc>
          <w:tcPr>
            <w:tcW w:w="2714" w:type="dxa"/>
            <w:tcBorders>
              <w:top w:val="nil"/>
              <w:left w:val="nil"/>
              <w:bottom w:val="nil"/>
              <w:right w:val="nil"/>
            </w:tcBorders>
            <w:hideMark/>
          </w:tcPr>
          <w:p w14:paraId="29C394E0" w14:textId="77777777" w:rsidR="00AD6582" w:rsidRDefault="00AD6582">
            <w:pPr>
              <w:jc w:val="center"/>
              <w:rPr>
                <w:rFonts w:ascii="Arial" w:eastAsia="Arial" w:hAnsi="Arial" w:cs="Arial"/>
                <w:color w:val="000000" w:themeColor="text1"/>
              </w:rPr>
            </w:pPr>
            <w:r>
              <w:rPr>
                <w:rFonts w:ascii="Arial" w:hAnsi="Arial" w:cs="Arial"/>
                <w:color w:val="000000" w:themeColor="text1"/>
              </w:rPr>
              <w:t>High</w:t>
            </w:r>
          </w:p>
        </w:tc>
      </w:tr>
      <w:tr w:rsidR="00AD6582" w14:paraId="40B3731E" w14:textId="77777777" w:rsidTr="00AD6582">
        <w:trPr>
          <w:gridAfter w:val="1"/>
          <w:wAfter w:w="11" w:type="dxa"/>
          <w:trHeight w:val="720"/>
        </w:trPr>
        <w:tc>
          <w:tcPr>
            <w:tcW w:w="3811" w:type="dxa"/>
            <w:tcBorders>
              <w:top w:val="nil"/>
              <w:left w:val="nil"/>
              <w:bottom w:val="nil"/>
              <w:right w:val="nil"/>
            </w:tcBorders>
            <w:hideMark/>
          </w:tcPr>
          <w:p w14:paraId="7922E899" w14:textId="77777777" w:rsidR="00AD6582" w:rsidRDefault="00AD6582">
            <w:pPr>
              <w:widowControl w:val="0"/>
              <w:ind w:left="346"/>
              <w:rPr>
                <w:rFonts w:ascii="Arial" w:eastAsia="Arial" w:hAnsi="Arial"/>
                <w:color w:val="000000" w:themeColor="text1"/>
              </w:rPr>
            </w:pPr>
            <w:r>
              <w:rPr>
                <w:rFonts w:ascii="Arial" w:eastAsia="Arial" w:hAnsi="Arial"/>
                <w:color w:val="000000" w:themeColor="text1"/>
              </w:rPr>
              <w:t>Ensuring Integrated and Seamless Learning</w:t>
            </w:r>
          </w:p>
        </w:tc>
        <w:tc>
          <w:tcPr>
            <w:tcW w:w="907" w:type="dxa"/>
            <w:tcBorders>
              <w:top w:val="nil"/>
              <w:left w:val="nil"/>
              <w:bottom w:val="nil"/>
              <w:right w:val="nil"/>
            </w:tcBorders>
            <w:hideMark/>
          </w:tcPr>
          <w:p w14:paraId="4B423316" w14:textId="77777777" w:rsidR="00AD6582" w:rsidRDefault="00AD6582">
            <w:pPr>
              <w:jc w:val="center"/>
              <w:rPr>
                <w:rFonts w:ascii="Arial" w:eastAsia="Arial" w:hAnsi="Arial"/>
                <w:color w:val="000000" w:themeColor="text1"/>
              </w:rPr>
            </w:pPr>
            <w:r>
              <w:rPr>
                <w:rFonts w:ascii="Arial" w:eastAsia="Arial" w:hAnsi="Arial"/>
                <w:color w:val="000000" w:themeColor="text1"/>
              </w:rPr>
              <w:t>0.78</w:t>
            </w:r>
          </w:p>
        </w:tc>
        <w:tc>
          <w:tcPr>
            <w:tcW w:w="998" w:type="dxa"/>
            <w:tcBorders>
              <w:top w:val="nil"/>
              <w:left w:val="nil"/>
              <w:bottom w:val="nil"/>
              <w:right w:val="nil"/>
            </w:tcBorders>
            <w:hideMark/>
          </w:tcPr>
          <w:p w14:paraId="45AEB66C" w14:textId="77777777" w:rsidR="00AD6582" w:rsidRDefault="00AD6582">
            <w:pPr>
              <w:jc w:val="center"/>
              <w:rPr>
                <w:rFonts w:ascii="Arial" w:eastAsia="Arial" w:hAnsi="Arial"/>
                <w:color w:val="000000" w:themeColor="text1"/>
              </w:rPr>
            </w:pPr>
            <w:r>
              <w:rPr>
                <w:rFonts w:ascii="Arial" w:eastAsia="Arial" w:hAnsi="Arial"/>
                <w:color w:val="000000" w:themeColor="text1"/>
              </w:rPr>
              <w:t>4.09</w:t>
            </w:r>
          </w:p>
        </w:tc>
        <w:tc>
          <w:tcPr>
            <w:tcW w:w="2714" w:type="dxa"/>
            <w:tcBorders>
              <w:top w:val="nil"/>
              <w:left w:val="nil"/>
              <w:bottom w:val="nil"/>
              <w:right w:val="nil"/>
            </w:tcBorders>
            <w:hideMark/>
          </w:tcPr>
          <w:p w14:paraId="5A99287F" w14:textId="77777777" w:rsidR="00AD6582" w:rsidRDefault="00AD6582">
            <w:pPr>
              <w:jc w:val="center"/>
              <w:rPr>
                <w:rFonts w:ascii="Arial" w:eastAsia="Arial" w:hAnsi="Arial" w:cs="Arial"/>
                <w:color w:val="000000" w:themeColor="text1"/>
              </w:rPr>
            </w:pPr>
            <w:r>
              <w:rPr>
                <w:rFonts w:ascii="Arial" w:hAnsi="Arial" w:cs="Arial"/>
                <w:color w:val="000000" w:themeColor="text1"/>
              </w:rPr>
              <w:t>High</w:t>
            </w:r>
          </w:p>
        </w:tc>
      </w:tr>
      <w:tr w:rsidR="00AD6582" w14:paraId="07F08C0A" w14:textId="77777777" w:rsidTr="00AD6582">
        <w:trPr>
          <w:gridAfter w:val="1"/>
          <w:wAfter w:w="11" w:type="dxa"/>
          <w:trHeight w:val="549"/>
        </w:trPr>
        <w:tc>
          <w:tcPr>
            <w:tcW w:w="3811" w:type="dxa"/>
            <w:tcBorders>
              <w:top w:val="nil"/>
              <w:left w:val="nil"/>
              <w:bottom w:val="nil"/>
              <w:right w:val="nil"/>
            </w:tcBorders>
            <w:hideMark/>
          </w:tcPr>
          <w:p w14:paraId="3F541DB7" w14:textId="77777777" w:rsidR="00AD6582" w:rsidRDefault="00AD6582">
            <w:pPr>
              <w:widowControl w:val="0"/>
              <w:ind w:left="346"/>
              <w:rPr>
                <w:rFonts w:ascii="Arial" w:eastAsia="Arial" w:hAnsi="Arial"/>
                <w:color w:val="000000" w:themeColor="text1"/>
              </w:rPr>
            </w:pPr>
            <w:r>
              <w:rPr>
                <w:rFonts w:ascii="Arial" w:eastAsia="Arial" w:hAnsi="Arial"/>
                <w:color w:val="000000" w:themeColor="text1"/>
              </w:rPr>
              <w:t>Gearing Up for the Future</w:t>
            </w:r>
          </w:p>
        </w:tc>
        <w:tc>
          <w:tcPr>
            <w:tcW w:w="907" w:type="dxa"/>
            <w:tcBorders>
              <w:top w:val="nil"/>
              <w:left w:val="nil"/>
              <w:bottom w:val="nil"/>
              <w:right w:val="nil"/>
            </w:tcBorders>
            <w:hideMark/>
          </w:tcPr>
          <w:p w14:paraId="1904CAD4" w14:textId="77777777" w:rsidR="00AD6582" w:rsidRDefault="00AD6582">
            <w:pPr>
              <w:jc w:val="center"/>
              <w:rPr>
                <w:rFonts w:ascii="Arial" w:eastAsia="Arial" w:hAnsi="Arial"/>
                <w:color w:val="000000" w:themeColor="text1"/>
              </w:rPr>
            </w:pPr>
            <w:r>
              <w:rPr>
                <w:rFonts w:ascii="Arial" w:eastAsia="Arial" w:hAnsi="Arial"/>
                <w:color w:val="000000" w:themeColor="text1"/>
              </w:rPr>
              <w:t>0.75</w:t>
            </w:r>
          </w:p>
        </w:tc>
        <w:tc>
          <w:tcPr>
            <w:tcW w:w="998" w:type="dxa"/>
            <w:tcBorders>
              <w:top w:val="nil"/>
              <w:left w:val="nil"/>
              <w:bottom w:val="nil"/>
              <w:right w:val="nil"/>
            </w:tcBorders>
            <w:hideMark/>
          </w:tcPr>
          <w:p w14:paraId="67E5D638" w14:textId="77777777" w:rsidR="00AD6582" w:rsidRDefault="00AD6582">
            <w:pPr>
              <w:jc w:val="center"/>
              <w:rPr>
                <w:rFonts w:ascii="Arial" w:eastAsia="Arial" w:hAnsi="Arial"/>
                <w:color w:val="000000" w:themeColor="text1"/>
              </w:rPr>
            </w:pPr>
            <w:r>
              <w:rPr>
                <w:rFonts w:ascii="Arial" w:eastAsia="Arial" w:hAnsi="Arial"/>
                <w:color w:val="000000" w:themeColor="text1"/>
              </w:rPr>
              <w:t>4.11</w:t>
            </w:r>
          </w:p>
        </w:tc>
        <w:tc>
          <w:tcPr>
            <w:tcW w:w="2714" w:type="dxa"/>
            <w:tcBorders>
              <w:top w:val="nil"/>
              <w:left w:val="nil"/>
              <w:bottom w:val="nil"/>
              <w:right w:val="nil"/>
            </w:tcBorders>
            <w:hideMark/>
          </w:tcPr>
          <w:p w14:paraId="77580CD0" w14:textId="77777777" w:rsidR="00AD6582" w:rsidRDefault="00AD6582">
            <w:pPr>
              <w:jc w:val="center"/>
              <w:rPr>
                <w:rFonts w:ascii="Arial" w:eastAsia="Arial" w:hAnsi="Arial" w:cs="Arial"/>
                <w:color w:val="000000" w:themeColor="text1"/>
              </w:rPr>
            </w:pPr>
            <w:r>
              <w:rPr>
                <w:rFonts w:ascii="Arial" w:hAnsi="Arial" w:cs="Arial"/>
                <w:color w:val="000000" w:themeColor="text1"/>
              </w:rPr>
              <w:t>High</w:t>
            </w:r>
          </w:p>
        </w:tc>
      </w:tr>
      <w:tr w:rsidR="00AD6582" w14:paraId="04BA7B21" w14:textId="77777777" w:rsidTr="00AD6582">
        <w:trPr>
          <w:gridAfter w:val="1"/>
          <w:wAfter w:w="11" w:type="dxa"/>
          <w:trHeight w:val="711"/>
        </w:trPr>
        <w:tc>
          <w:tcPr>
            <w:tcW w:w="3811" w:type="dxa"/>
            <w:tcBorders>
              <w:top w:val="nil"/>
              <w:left w:val="nil"/>
              <w:bottom w:val="nil"/>
              <w:right w:val="nil"/>
            </w:tcBorders>
            <w:hideMark/>
          </w:tcPr>
          <w:p w14:paraId="32391481" w14:textId="77777777" w:rsidR="00AD6582" w:rsidRDefault="00AD6582">
            <w:pPr>
              <w:widowControl w:val="0"/>
              <w:ind w:left="346"/>
              <w:rPr>
                <w:rFonts w:ascii="Arial" w:eastAsia="Arial" w:hAnsi="Arial"/>
                <w:color w:val="000000" w:themeColor="text1"/>
              </w:rPr>
            </w:pPr>
            <w:r>
              <w:rPr>
                <w:rFonts w:ascii="Arial" w:eastAsia="Arial" w:hAnsi="Arial"/>
                <w:color w:val="000000" w:themeColor="text1"/>
              </w:rPr>
              <w:t>Nurturing the Holistically Developed Filipino</w:t>
            </w:r>
          </w:p>
        </w:tc>
        <w:tc>
          <w:tcPr>
            <w:tcW w:w="907" w:type="dxa"/>
            <w:tcBorders>
              <w:top w:val="nil"/>
              <w:left w:val="nil"/>
              <w:bottom w:val="nil"/>
              <w:right w:val="nil"/>
            </w:tcBorders>
            <w:hideMark/>
          </w:tcPr>
          <w:p w14:paraId="52D46D88" w14:textId="77777777" w:rsidR="00AD6582" w:rsidRDefault="00AD6582">
            <w:pPr>
              <w:jc w:val="center"/>
              <w:rPr>
                <w:rFonts w:ascii="Arial" w:eastAsia="Arial" w:hAnsi="Arial"/>
                <w:color w:val="000000" w:themeColor="text1"/>
              </w:rPr>
            </w:pPr>
            <w:r>
              <w:rPr>
                <w:rFonts w:ascii="Arial" w:eastAsia="Arial" w:hAnsi="Arial"/>
                <w:color w:val="000000" w:themeColor="text1"/>
              </w:rPr>
              <w:t>0.73</w:t>
            </w:r>
          </w:p>
        </w:tc>
        <w:tc>
          <w:tcPr>
            <w:tcW w:w="998" w:type="dxa"/>
            <w:tcBorders>
              <w:top w:val="nil"/>
              <w:left w:val="nil"/>
              <w:bottom w:val="nil"/>
              <w:right w:val="nil"/>
            </w:tcBorders>
            <w:hideMark/>
          </w:tcPr>
          <w:p w14:paraId="3A7ADDFD" w14:textId="77777777" w:rsidR="00AD6582" w:rsidRDefault="00AD6582">
            <w:pPr>
              <w:jc w:val="center"/>
              <w:rPr>
                <w:rFonts w:ascii="Arial" w:eastAsia="Arial" w:hAnsi="Arial"/>
                <w:color w:val="000000" w:themeColor="text1"/>
              </w:rPr>
            </w:pPr>
            <w:r>
              <w:rPr>
                <w:rFonts w:ascii="Arial" w:eastAsia="Arial" w:hAnsi="Arial"/>
                <w:color w:val="000000" w:themeColor="text1"/>
              </w:rPr>
              <w:t>4.17</w:t>
            </w:r>
          </w:p>
        </w:tc>
        <w:tc>
          <w:tcPr>
            <w:tcW w:w="2714" w:type="dxa"/>
            <w:tcBorders>
              <w:top w:val="nil"/>
              <w:left w:val="nil"/>
              <w:bottom w:val="nil"/>
              <w:right w:val="nil"/>
            </w:tcBorders>
            <w:hideMark/>
          </w:tcPr>
          <w:p w14:paraId="16A2F5C0" w14:textId="77777777" w:rsidR="00AD6582" w:rsidRDefault="00AD6582">
            <w:pPr>
              <w:jc w:val="center"/>
              <w:rPr>
                <w:rFonts w:ascii="Arial" w:eastAsia="Arial" w:hAnsi="Arial" w:cs="Arial"/>
                <w:color w:val="000000" w:themeColor="text1"/>
              </w:rPr>
            </w:pPr>
            <w:r>
              <w:rPr>
                <w:rFonts w:ascii="Arial" w:hAnsi="Arial" w:cs="Arial"/>
                <w:color w:val="000000" w:themeColor="text1"/>
              </w:rPr>
              <w:t>High</w:t>
            </w:r>
          </w:p>
        </w:tc>
      </w:tr>
      <w:tr w:rsidR="00AD6582" w14:paraId="63B0A3CA" w14:textId="77777777" w:rsidTr="00AD6582">
        <w:trPr>
          <w:trHeight w:val="313"/>
        </w:trPr>
        <w:tc>
          <w:tcPr>
            <w:tcW w:w="3811" w:type="dxa"/>
            <w:tcBorders>
              <w:top w:val="nil"/>
              <w:left w:val="nil"/>
              <w:bottom w:val="single" w:sz="4" w:space="0" w:color="auto"/>
              <w:right w:val="nil"/>
            </w:tcBorders>
            <w:hideMark/>
          </w:tcPr>
          <w:p w14:paraId="01125332" w14:textId="77777777" w:rsidR="00AD6582" w:rsidRDefault="00AD6582">
            <w:pPr>
              <w:rPr>
                <w:rFonts w:ascii="Arial" w:eastAsia="Arial" w:hAnsi="Arial"/>
                <w:b/>
                <w:color w:val="000000" w:themeColor="text1"/>
              </w:rPr>
            </w:pPr>
            <w:r>
              <w:rPr>
                <w:rFonts w:ascii="Arial" w:eastAsia="Arial" w:hAnsi="Arial"/>
                <w:b/>
                <w:color w:val="000000" w:themeColor="text1"/>
              </w:rPr>
              <w:t>Overall</w:t>
            </w:r>
          </w:p>
        </w:tc>
        <w:tc>
          <w:tcPr>
            <w:tcW w:w="907" w:type="dxa"/>
            <w:tcBorders>
              <w:top w:val="nil"/>
              <w:left w:val="nil"/>
              <w:bottom w:val="single" w:sz="4" w:space="0" w:color="auto"/>
              <w:right w:val="nil"/>
            </w:tcBorders>
            <w:hideMark/>
          </w:tcPr>
          <w:p w14:paraId="370E4D1A" w14:textId="77777777" w:rsidR="00AD6582" w:rsidRDefault="00AD6582">
            <w:pPr>
              <w:jc w:val="center"/>
              <w:rPr>
                <w:rFonts w:ascii="Arial" w:eastAsia="Arial" w:hAnsi="Arial"/>
                <w:b/>
                <w:color w:val="000000" w:themeColor="text1"/>
              </w:rPr>
            </w:pPr>
            <w:r>
              <w:rPr>
                <w:rFonts w:ascii="Arial" w:eastAsia="Arial" w:hAnsi="Arial"/>
                <w:b/>
                <w:color w:val="000000" w:themeColor="text1"/>
              </w:rPr>
              <w:t>0.65</w:t>
            </w:r>
          </w:p>
        </w:tc>
        <w:tc>
          <w:tcPr>
            <w:tcW w:w="998" w:type="dxa"/>
            <w:tcBorders>
              <w:top w:val="nil"/>
              <w:left w:val="nil"/>
              <w:bottom w:val="single" w:sz="4" w:space="0" w:color="auto"/>
              <w:right w:val="nil"/>
            </w:tcBorders>
            <w:hideMark/>
          </w:tcPr>
          <w:p w14:paraId="3AB0B12B" w14:textId="77777777" w:rsidR="00AD6582" w:rsidRDefault="00AD6582">
            <w:pPr>
              <w:jc w:val="center"/>
              <w:rPr>
                <w:rFonts w:ascii="Arial" w:eastAsia="Arial" w:hAnsi="Arial"/>
                <w:b/>
                <w:color w:val="000000" w:themeColor="text1"/>
              </w:rPr>
            </w:pPr>
            <w:r>
              <w:rPr>
                <w:rFonts w:ascii="Arial" w:eastAsia="Arial" w:hAnsi="Arial"/>
                <w:b/>
                <w:color w:val="000000" w:themeColor="text1"/>
              </w:rPr>
              <w:t>4.10</w:t>
            </w:r>
          </w:p>
        </w:tc>
        <w:tc>
          <w:tcPr>
            <w:tcW w:w="2725" w:type="dxa"/>
            <w:gridSpan w:val="2"/>
            <w:tcBorders>
              <w:top w:val="nil"/>
              <w:left w:val="nil"/>
              <w:bottom w:val="single" w:sz="4" w:space="0" w:color="auto"/>
              <w:right w:val="nil"/>
            </w:tcBorders>
            <w:hideMark/>
          </w:tcPr>
          <w:p w14:paraId="278991F1" w14:textId="77777777" w:rsidR="00AD6582" w:rsidRDefault="00AD6582">
            <w:pPr>
              <w:jc w:val="center"/>
              <w:rPr>
                <w:rFonts w:ascii="Arial" w:eastAsia="Arial" w:hAnsi="Arial"/>
                <w:b/>
                <w:color w:val="000000" w:themeColor="text1"/>
              </w:rPr>
            </w:pPr>
            <w:r>
              <w:rPr>
                <w:rFonts w:ascii="Arial" w:eastAsia="Arial" w:hAnsi="Arial"/>
                <w:b/>
                <w:color w:val="000000" w:themeColor="text1"/>
              </w:rPr>
              <w:t>High</w:t>
            </w:r>
          </w:p>
        </w:tc>
      </w:tr>
    </w:tbl>
    <w:p w14:paraId="21ED3F61" w14:textId="34DBD861" w:rsidR="0073677C" w:rsidRDefault="0073677C" w:rsidP="0073677C">
      <w:pPr>
        <w:jc w:val="both"/>
        <w:rPr>
          <w:rFonts w:ascii="Arial" w:hAnsi="Arial" w:cs="Arial"/>
        </w:rPr>
      </w:pPr>
    </w:p>
    <w:p w14:paraId="0B57B6BC" w14:textId="52BB4EAE" w:rsidR="00AD6582" w:rsidRPr="00AD6582" w:rsidRDefault="00AD6582" w:rsidP="00AD6582">
      <w:pPr>
        <w:jc w:val="both"/>
        <w:rPr>
          <w:rFonts w:ascii="Arial" w:hAnsi="Arial" w:cs="Arial"/>
        </w:rPr>
      </w:pPr>
      <w:r w:rsidRPr="00AD6582">
        <w:rPr>
          <w:rFonts w:ascii="Arial" w:hAnsi="Arial" w:cs="Arial"/>
        </w:rPr>
        <w:lastRenderedPageBreak/>
        <w:t>Presented in Table 2 is the summary of the domains in the level of awareness of parents on the K to 12 language curricula, based on the mean scores and standard deviations.</w:t>
      </w:r>
      <w:r>
        <w:rPr>
          <w:rFonts w:ascii="Arial" w:hAnsi="Arial" w:cs="Arial"/>
        </w:rPr>
        <w:t xml:space="preserve"> </w:t>
      </w:r>
      <w:r w:rsidRPr="00AD6582">
        <w:rPr>
          <w:rFonts w:ascii="Arial" w:hAnsi="Arial" w:cs="Arial"/>
        </w:rPr>
        <w:t>The indicator "Nurturing the Holistically Developed Filipino" has the highest mean of 4.17, categorized as high, followed by "Building Proficiency through Language" with a mean of 4.13, and "Making Curriculum Relevant to the Learner" and "Gearing Up for the Future," both with a mean of 4.11, all categorized as high. The domain "Ensuring Integrated and Seamless Learning" recorded a mean of 4.09, while "Early Childhood Education" had the lowest mean of 4.08, yet it remains within the high category. The overall mean of 4.10 suggests that parents have a high level of awareness across all domains of t</w:t>
      </w:r>
      <w:r>
        <w:rPr>
          <w:rFonts w:ascii="Arial" w:hAnsi="Arial" w:cs="Arial"/>
        </w:rPr>
        <w:t xml:space="preserve">he K to 12 language curriculum. </w:t>
      </w:r>
      <w:r w:rsidRPr="00AD6582">
        <w:rPr>
          <w:rFonts w:ascii="Arial" w:hAnsi="Arial" w:cs="Arial"/>
        </w:rPr>
        <w:t>The overall standard deviation of 0.65 indicates that responses were closely clustered around the mean, reflecting consistency in parents' awareness levels.</w:t>
      </w:r>
    </w:p>
    <w:p w14:paraId="3D7A4C70" w14:textId="77777777" w:rsidR="00AD6582" w:rsidRDefault="00AD6582" w:rsidP="00AD6582">
      <w:pPr>
        <w:jc w:val="both"/>
        <w:rPr>
          <w:rFonts w:ascii="Arial" w:hAnsi="Arial" w:cs="Arial"/>
        </w:rPr>
      </w:pPr>
    </w:p>
    <w:p w14:paraId="3F0A1094" w14:textId="2467CEEE" w:rsidR="00AD6582" w:rsidRPr="00AD6582" w:rsidRDefault="00AD6582" w:rsidP="00AD6582">
      <w:pPr>
        <w:jc w:val="both"/>
        <w:rPr>
          <w:rFonts w:ascii="Arial" w:hAnsi="Arial" w:cs="Arial"/>
        </w:rPr>
      </w:pPr>
      <w:r w:rsidRPr="00AD6582">
        <w:rPr>
          <w:rFonts w:ascii="Arial" w:hAnsi="Arial" w:cs="Arial"/>
        </w:rPr>
        <w:t>This finding suggests that parents generally understand the different aspects of the K to 12 language curricula, particularly in fostering holistic development among learners. Their high awareness of nurturing well-rounded graduates, language proficiency, and curriculum relevance underscores their recognition of the program’s role in equipping students with essential skills for future success. Moreover, this finding highlights the importance of continuous efforts to further enhance parental awareness, ensuring that they remain active partners in the effective implementation of the K to 12 program.</w:t>
      </w:r>
    </w:p>
    <w:p w14:paraId="615350F2" w14:textId="77777777" w:rsidR="00AD6582" w:rsidRDefault="00AD6582" w:rsidP="00AD6582">
      <w:pPr>
        <w:jc w:val="both"/>
        <w:rPr>
          <w:rFonts w:ascii="Arial" w:hAnsi="Arial" w:cs="Arial"/>
        </w:rPr>
      </w:pPr>
    </w:p>
    <w:p w14:paraId="2F708BA7" w14:textId="218E0B46" w:rsidR="0020483D" w:rsidRPr="00AD6582" w:rsidRDefault="00AD6582" w:rsidP="00AD6582">
      <w:pPr>
        <w:jc w:val="both"/>
        <w:rPr>
          <w:rFonts w:ascii="Arial" w:hAnsi="Arial" w:cs="Arial"/>
        </w:rPr>
      </w:pPr>
      <w:r w:rsidRPr="00AD6582">
        <w:rPr>
          <w:rFonts w:ascii="Arial" w:hAnsi="Arial" w:cs="Arial"/>
        </w:rPr>
        <w:t xml:space="preserve">This finding aligns with the study of </w:t>
      </w:r>
      <w:proofErr w:type="spellStart"/>
      <w:r w:rsidRPr="00AD6582">
        <w:rPr>
          <w:rFonts w:ascii="Arial" w:hAnsi="Arial" w:cs="Arial"/>
        </w:rPr>
        <w:t>Piliyesi</w:t>
      </w:r>
      <w:proofErr w:type="spellEnd"/>
      <w:r w:rsidRPr="00AD6582">
        <w:rPr>
          <w:rFonts w:ascii="Arial" w:hAnsi="Arial" w:cs="Arial"/>
        </w:rPr>
        <w:t xml:space="preserve"> et al. (2020), who emphasized that parental awareness of educational reforms significantly impacts student achievement and overall learning outcomes. Their research highlighted that when parents are well-informed about curriculum changes, such as the K to 12 program, they become more actively involved in their children's academic journey, providing the necessary support and reinforcement at home. Similarly, Forster and Van de </w:t>
      </w:r>
      <w:proofErr w:type="spellStart"/>
      <w:r w:rsidRPr="00AD6582">
        <w:rPr>
          <w:rFonts w:ascii="Arial" w:hAnsi="Arial" w:cs="Arial"/>
        </w:rPr>
        <w:t>Werfhorst</w:t>
      </w:r>
      <w:proofErr w:type="spellEnd"/>
      <w:r w:rsidRPr="00AD6582">
        <w:rPr>
          <w:rFonts w:ascii="Arial" w:hAnsi="Arial" w:cs="Arial"/>
        </w:rPr>
        <w:t xml:space="preserve"> (2020) found that parents with strong awareness of the curriculum are better equipped to guide their children through the educational system, ensuring they take full advantage of learning opportunities. They noted that understanding the objectives of the K to 12 </w:t>
      </w:r>
      <w:proofErr w:type="gramStart"/>
      <w:r w:rsidRPr="00AD6582">
        <w:rPr>
          <w:rFonts w:ascii="Arial" w:hAnsi="Arial" w:cs="Arial"/>
        </w:rPr>
        <w:t>curriculum</w:t>
      </w:r>
      <w:proofErr w:type="gramEnd"/>
      <w:r w:rsidRPr="00AD6582">
        <w:rPr>
          <w:rFonts w:ascii="Arial" w:hAnsi="Arial" w:cs="Arial"/>
        </w:rPr>
        <w:t xml:space="preserve">, such as strengthening foundational skills, enhancing career readiness, and promoting lifelong learning, enables parents to encourage their children to maximize their potential in both academic and non-academic areas. Furthermore, </w:t>
      </w:r>
      <w:proofErr w:type="spellStart"/>
      <w:r w:rsidRPr="00AD6582">
        <w:rPr>
          <w:rFonts w:ascii="Arial" w:hAnsi="Arial" w:cs="Arial"/>
        </w:rPr>
        <w:t>Durlak</w:t>
      </w:r>
      <w:proofErr w:type="spellEnd"/>
      <w:r w:rsidRPr="00AD6582">
        <w:rPr>
          <w:rFonts w:ascii="Arial" w:hAnsi="Arial" w:cs="Arial"/>
        </w:rPr>
        <w:t xml:space="preserve"> et al. (2022) argued that parental knowledge of curriculum frameworks fosters stronger collaboration between schools and families. Their study suggested that when parents comprehend the importance of each stage of education, from early childhood learning to senior high school specialization, they become more engaged in school activities, communicate more effectively with teachers, and advocate for better educational policies.</w:t>
      </w:r>
    </w:p>
    <w:p w14:paraId="1D433F03" w14:textId="77777777" w:rsidR="00AD6582" w:rsidRDefault="00AD6582" w:rsidP="00F600DB">
      <w:pPr>
        <w:jc w:val="both"/>
        <w:rPr>
          <w:rFonts w:ascii="Arial" w:hAnsi="Arial" w:cs="Arial"/>
          <w:b/>
          <w:bCs/>
          <w:iCs/>
        </w:rPr>
      </w:pPr>
    </w:p>
    <w:p w14:paraId="0A228F1A" w14:textId="516FBD71" w:rsidR="00FF7425" w:rsidRDefault="00781D5E" w:rsidP="00F600DB">
      <w:pPr>
        <w:jc w:val="both"/>
        <w:rPr>
          <w:rFonts w:ascii="Arial" w:hAnsi="Arial" w:cs="Arial"/>
          <w:b/>
          <w:bCs/>
          <w:iCs/>
        </w:rPr>
      </w:pPr>
      <w:r>
        <w:rPr>
          <w:rFonts w:ascii="Arial" w:hAnsi="Arial" w:cs="Arial"/>
          <w:b/>
          <w:bCs/>
          <w:iCs/>
        </w:rPr>
        <w:t xml:space="preserve">3.3 </w:t>
      </w:r>
      <w:r w:rsidR="00DF4034" w:rsidRPr="00DF4034">
        <w:rPr>
          <w:rFonts w:ascii="Arial" w:hAnsi="Arial" w:cs="Arial"/>
          <w:b/>
          <w:bCs/>
          <w:iCs/>
        </w:rPr>
        <w:t>Significant Difference in the Level of Awareness of Parents on the K to 12 Language Curriculum when Grouped According to Family Income</w:t>
      </w:r>
    </w:p>
    <w:p w14:paraId="46C38106" w14:textId="77777777" w:rsidR="00DF4034" w:rsidRDefault="00DF4034" w:rsidP="00F600DB">
      <w:pPr>
        <w:jc w:val="both"/>
        <w:rPr>
          <w:rFonts w:ascii="Arial" w:hAnsi="Arial" w:cs="Arial"/>
          <w:iCs/>
        </w:rPr>
      </w:pPr>
    </w:p>
    <w:p w14:paraId="1C8DB0B6" w14:textId="1C7DB038"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DF4034" w:rsidRPr="00DF4034">
        <w:rPr>
          <w:rFonts w:ascii="Arial" w:hAnsi="Arial" w:cs="Arial"/>
          <w:i/>
        </w:rPr>
        <w:t>Significant Difference in the Level of Awareness of Parents on the K to 12 Language Curriculum when Grouped According to Family Income</w:t>
      </w:r>
    </w:p>
    <w:p w14:paraId="3580D37C" w14:textId="0A40BE3F" w:rsidR="00017E5D" w:rsidRDefault="00017E5D" w:rsidP="00F927B2">
      <w:pPr>
        <w:jc w:val="both"/>
        <w:rPr>
          <w:rFonts w:ascii="Arial" w:hAnsi="Arial" w:cs="Arial"/>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233"/>
        <w:gridCol w:w="1064"/>
        <w:gridCol w:w="1196"/>
        <w:gridCol w:w="1341"/>
        <w:gridCol w:w="1646"/>
      </w:tblGrid>
      <w:tr w:rsidR="00DF4034" w:rsidRPr="00E1237F" w14:paraId="1E220E00" w14:textId="77777777" w:rsidTr="00DF4034">
        <w:tc>
          <w:tcPr>
            <w:tcW w:w="1800" w:type="dxa"/>
            <w:tcBorders>
              <w:top w:val="single" w:sz="4" w:space="0" w:color="auto"/>
              <w:left w:val="nil"/>
              <w:bottom w:val="single" w:sz="4" w:space="0" w:color="auto"/>
              <w:right w:val="nil"/>
            </w:tcBorders>
            <w:hideMark/>
          </w:tcPr>
          <w:p w14:paraId="4C8C5ECD" w14:textId="77777777" w:rsidR="00DF4034" w:rsidRPr="00E1237F" w:rsidRDefault="00DF4034">
            <w:pPr>
              <w:jc w:val="center"/>
              <w:rPr>
                <w:rFonts w:ascii="Arial" w:hAnsi="Arial" w:cs="Arial"/>
                <w:b/>
                <w:bCs/>
                <w:color w:val="000000" w:themeColor="text1"/>
                <w:sz w:val="20"/>
                <w:szCs w:val="20"/>
              </w:rPr>
            </w:pPr>
            <w:r w:rsidRPr="00E1237F">
              <w:rPr>
                <w:rFonts w:ascii="Arial" w:hAnsi="Arial" w:cs="Arial"/>
                <w:b/>
                <w:bCs/>
                <w:color w:val="000000" w:themeColor="text1"/>
                <w:sz w:val="20"/>
                <w:szCs w:val="20"/>
              </w:rPr>
              <w:t>Family Income</w:t>
            </w:r>
          </w:p>
        </w:tc>
        <w:tc>
          <w:tcPr>
            <w:tcW w:w="1304" w:type="dxa"/>
            <w:tcBorders>
              <w:top w:val="single" w:sz="4" w:space="0" w:color="auto"/>
              <w:left w:val="nil"/>
              <w:bottom w:val="single" w:sz="4" w:space="0" w:color="auto"/>
              <w:right w:val="nil"/>
            </w:tcBorders>
            <w:hideMark/>
          </w:tcPr>
          <w:p w14:paraId="401DC1FA" w14:textId="77777777" w:rsidR="00DF4034" w:rsidRPr="00E1237F" w:rsidRDefault="00DF4034">
            <w:pPr>
              <w:jc w:val="center"/>
              <w:rPr>
                <w:rFonts w:ascii="Arial" w:hAnsi="Arial" w:cs="Arial"/>
                <w:b/>
                <w:bCs/>
                <w:color w:val="000000" w:themeColor="text1"/>
                <w:sz w:val="20"/>
                <w:szCs w:val="20"/>
              </w:rPr>
            </w:pPr>
            <w:r w:rsidRPr="00E1237F">
              <w:rPr>
                <w:rFonts w:ascii="Arial" w:hAnsi="Arial" w:cs="Arial"/>
                <w:b/>
                <w:bCs/>
                <w:color w:val="000000" w:themeColor="text1"/>
                <w:sz w:val="20"/>
                <w:szCs w:val="20"/>
              </w:rPr>
              <w:t>Mean</w:t>
            </w:r>
          </w:p>
        </w:tc>
        <w:tc>
          <w:tcPr>
            <w:tcW w:w="1129" w:type="dxa"/>
            <w:tcBorders>
              <w:top w:val="single" w:sz="4" w:space="0" w:color="auto"/>
              <w:left w:val="nil"/>
              <w:bottom w:val="single" w:sz="4" w:space="0" w:color="auto"/>
              <w:right w:val="nil"/>
            </w:tcBorders>
            <w:hideMark/>
          </w:tcPr>
          <w:p w14:paraId="50A7760D" w14:textId="77777777" w:rsidR="00DF4034" w:rsidRPr="00E1237F" w:rsidRDefault="00DF4034">
            <w:pPr>
              <w:jc w:val="center"/>
              <w:rPr>
                <w:rFonts w:ascii="Arial" w:hAnsi="Arial" w:cs="Arial"/>
                <w:b/>
                <w:bCs/>
                <w:color w:val="000000" w:themeColor="text1"/>
                <w:sz w:val="20"/>
                <w:szCs w:val="20"/>
              </w:rPr>
            </w:pPr>
            <w:r w:rsidRPr="00E1237F">
              <w:rPr>
                <w:rFonts w:ascii="Arial" w:hAnsi="Arial" w:cs="Arial"/>
                <w:b/>
                <w:bCs/>
                <w:color w:val="000000" w:themeColor="text1"/>
                <w:sz w:val="20"/>
                <w:szCs w:val="20"/>
              </w:rPr>
              <w:t>SD</w:t>
            </w:r>
          </w:p>
        </w:tc>
        <w:tc>
          <w:tcPr>
            <w:tcW w:w="1262" w:type="dxa"/>
            <w:tcBorders>
              <w:top w:val="single" w:sz="4" w:space="0" w:color="auto"/>
              <w:left w:val="nil"/>
              <w:bottom w:val="single" w:sz="4" w:space="0" w:color="auto"/>
              <w:right w:val="nil"/>
            </w:tcBorders>
            <w:hideMark/>
          </w:tcPr>
          <w:p w14:paraId="4368AF95" w14:textId="77777777" w:rsidR="00DF4034" w:rsidRPr="00E1237F" w:rsidRDefault="00DF4034">
            <w:pPr>
              <w:jc w:val="center"/>
              <w:rPr>
                <w:rFonts w:ascii="Arial" w:hAnsi="Arial" w:cs="Arial"/>
                <w:b/>
                <w:bCs/>
                <w:color w:val="000000" w:themeColor="text1"/>
                <w:sz w:val="20"/>
                <w:szCs w:val="20"/>
              </w:rPr>
            </w:pPr>
            <w:r w:rsidRPr="00E1237F">
              <w:rPr>
                <w:rFonts w:ascii="Arial" w:hAnsi="Arial" w:cs="Arial"/>
                <w:b/>
                <w:bCs/>
                <w:color w:val="000000" w:themeColor="text1"/>
                <w:sz w:val="20"/>
                <w:szCs w:val="20"/>
              </w:rPr>
              <w:t>f-value</w:t>
            </w:r>
          </w:p>
        </w:tc>
        <w:tc>
          <w:tcPr>
            <w:tcW w:w="1427" w:type="dxa"/>
            <w:tcBorders>
              <w:top w:val="single" w:sz="4" w:space="0" w:color="auto"/>
              <w:left w:val="nil"/>
              <w:bottom w:val="single" w:sz="4" w:space="0" w:color="auto"/>
              <w:right w:val="nil"/>
            </w:tcBorders>
            <w:hideMark/>
          </w:tcPr>
          <w:p w14:paraId="2224BF52" w14:textId="77777777" w:rsidR="00DF4034" w:rsidRPr="00E1237F" w:rsidRDefault="00DF4034">
            <w:pPr>
              <w:jc w:val="center"/>
              <w:rPr>
                <w:rFonts w:ascii="Arial" w:hAnsi="Arial" w:cs="Arial"/>
                <w:b/>
                <w:bCs/>
                <w:color w:val="000000" w:themeColor="text1"/>
                <w:sz w:val="20"/>
                <w:szCs w:val="20"/>
              </w:rPr>
            </w:pPr>
            <w:r w:rsidRPr="00E1237F">
              <w:rPr>
                <w:rFonts w:ascii="Arial" w:hAnsi="Arial" w:cs="Arial"/>
                <w:b/>
                <w:bCs/>
                <w:color w:val="000000" w:themeColor="text1"/>
                <w:sz w:val="20"/>
                <w:szCs w:val="20"/>
              </w:rPr>
              <w:t>p-value</w:t>
            </w:r>
          </w:p>
        </w:tc>
        <w:tc>
          <w:tcPr>
            <w:tcW w:w="1718" w:type="dxa"/>
            <w:tcBorders>
              <w:top w:val="single" w:sz="4" w:space="0" w:color="auto"/>
              <w:left w:val="nil"/>
              <w:bottom w:val="single" w:sz="4" w:space="0" w:color="auto"/>
              <w:right w:val="nil"/>
            </w:tcBorders>
            <w:hideMark/>
          </w:tcPr>
          <w:p w14:paraId="76CC7E9C" w14:textId="77777777" w:rsidR="00DF4034" w:rsidRPr="00E1237F" w:rsidRDefault="00DF4034">
            <w:pPr>
              <w:jc w:val="center"/>
              <w:rPr>
                <w:rFonts w:ascii="Arial" w:hAnsi="Arial" w:cs="Arial"/>
                <w:b/>
                <w:bCs/>
                <w:color w:val="000000" w:themeColor="text1"/>
                <w:sz w:val="20"/>
                <w:szCs w:val="20"/>
              </w:rPr>
            </w:pPr>
            <w:r w:rsidRPr="00E1237F">
              <w:rPr>
                <w:rFonts w:ascii="Arial" w:hAnsi="Arial" w:cs="Arial"/>
                <w:b/>
                <w:bCs/>
                <w:color w:val="000000" w:themeColor="text1"/>
                <w:sz w:val="20"/>
                <w:szCs w:val="20"/>
              </w:rPr>
              <w:t>Remarks</w:t>
            </w:r>
          </w:p>
        </w:tc>
      </w:tr>
      <w:tr w:rsidR="00DF4034" w:rsidRPr="00E1237F" w14:paraId="4F7CFB77" w14:textId="77777777" w:rsidTr="00DF4034">
        <w:tc>
          <w:tcPr>
            <w:tcW w:w="1800" w:type="dxa"/>
            <w:tcBorders>
              <w:top w:val="single" w:sz="4" w:space="0" w:color="auto"/>
              <w:left w:val="nil"/>
              <w:bottom w:val="nil"/>
              <w:right w:val="nil"/>
            </w:tcBorders>
            <w:hideMark/>
          </w:tcPr>
          <w:p w14:paraId="1B7FDC0F" w14:textId="77777777" w:rsidR="00DF4034" w:rsidRPr="00E1237F" w:rsidRDefault="00DF4034">
            <w:pPr>
              <w:ind w:left="256"/>
              <w:rPr>
                <w:rFonts w:ascii="Arial" w:hAnsi="Arial" w:cs="Arial"/>
                <w:b/>
                <w:bCs/>
                <w:color w:val="000000" w:themeColor="text1"/>
                <w:sz w:val="20"/>
                <w:szCs w:val="20"/>
              </w:rPr>
            </w:pPr>
            <w:r w:rsidRPr="00E1237F">
              <w:rPr>
                <w:rFonts w:ascii="Arial" w:hAnsi="Arial" w:cs="Arial"/>
                <w:color w:val="000000" w:themeColor="text1"/>
                <w:sz w:val="20"/>
                <w:szCs w:val="20"/>
              </w:rPr>
              <w:t>Below ₱10,000</w:t>
            </w:r>
          </w:p>
        </w:tc>
        <w:tc>
          <w:tcPr>
            <w:tcW w:w="1304" w:type="dxa"/>
            <w:tcBorders>
              <w:top w:val="single" w:sz="4" w:space="0" w:color="auto"/>
              <w:left w:val="nil"/>
              <w:bottom w:val="nil"/>
              <w:right w:val="nil"/>
            </w:tcBorders>
            <w:hideMark/>
          </w:tcPr>
          <w:p w14:paraId="1329FEEC"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3.10</w:t>
            </w:r>
          </w:p>
        </w:tc>
        <w:tc>
          <w:tcPr>
            <w:tcW w:w="1129" w:type="dxa"/>
            <w:tcBorders>
              <w:top w:val="single" w:sz="4" w:space="0" w:color="auto"/>
              <w:left w:val="nil"/>
              <w:bottom w:val="nil"/>
              <w:right w:val="nil"/>
            </w:tcBorders>
            <w:hideMark/>
          </w:tcPr>
          <w:p w14:paraId="4D25648C"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0.80</w:t>
            </w:r>
          </w:p>
        </w:tc>
        <w:tc>
          <w:tcPr>
            <w:tcW w:w="1262" w:type="dxa"/>
            <w:vMerge w:val="restart"/>
            <w:tcBorders>
              <w:top w:val="single" w:sz="4" w:space="0" w:color="auto"/>
              <w:left w:val="nil"/>
              <w:bottom w:val="single" w:sz="4" w:space="0" w:color="auto"/>
              <w:right w:val="nil"/>
            </w:tcBorders>
            <w:vAlign w:val="center"/>
            <w:hideMark/>
          </w:tcPr>
          <w:p w14:paraId="2E8F2D45"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60.38</w:t>
            </w:r>
          </w:p>
        </w:tc>
        <w:tc>
          <w:tcPr>
            <w:tcW w:w="1427" w:type="dxa"/>
            <w:vMerge w:val="restart"/>
            <w:tcBorders>
              <w:top w:val="single" w:sz="4" w:space="0" w:color="auto"/>
              <w:left w:val="nil"/>
              <w:bottom w:val="single" w:sz="4" w:space="0" w:color="auto"/>
              <w:right w:val="nil"/>
            </w:tcBorders>
            <w:vAlign w:val="center"/>
            <w:hideMark/>
          </w:tcPr>
          <w:p w14:paraId="45C884CF"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0.000</w:t>
            </w:r>
          </w:p>
        </w:tc>
        <w:tc>
          <w:tcPr>
            <w:tcW w:w="1718" w:type="dxa"/>
            <w:vMerge w:val="restart"/>
            <w:tcBorders>
              <w:top w:val="single" w:sz="4" w:space="0" w:color="auto"/>
              <w:left w:val="nil"/>
              <w:bottom w:val="single" w:sz="4" w:space="0" w:color="auto"/>
              <w:right w:val="nil"/>
            </w:tcBorders>
            <w:vAlign w:val="center"/>
            <w:hideMark/>
          </w:tcPr>
          <w:p w14:paraId="389BE3BF"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Significant</w:t>
            </w:r>
          </w:p>
        </w:tc>
      </w:tr>
      <w:tr w:rsidR="00DF4034" w:rsidRPr="00E1237F" w14:paraId="5619BB09" w14:textId="77777777" w:rsidTr="00DF4034">
        <w:tc>
          <w:tcPr>
            <w:tcW w:w="1800" w:type="dxa"/>
            <w:hideMark/>
          </w:tcPr>
          <w:p w14:paraId="08C7DF59" w14:textId="77777777" w:rsidR="00DF4034" w:rsidRPr="00E1237F" w:rsidRDefault="00DF4034">
            <w:pPr>
              <w:ind w:left="256"/>
              <w:rPr>
                <w:rFonts w:ascii="Arial" w:hAnsi="Arial" w:cs="Arial"/>
                <w:color w:val="000000" w:themeColor="text1"/>
                <w:sz w:val="20"/>
                <w:szCs w:val="20"/>
              </w:rPr>
            </w:pPr>
            <w:r w:rsidRPr="00E1237F">
              <w:rPr>
                <w:rFonts w:ascii="Arial" w:hAnsi="Arial" w:cs="Arial"/>
                <w:color w:val="000000" w:themeColor="text1"/>
                <w:sz w:val="20"/>
                <w:szCs w:val="20"/>
              </w:rPr>
              <w:t>₱10,001 – ₱20,000</w:t>
            </w:r>
          </w:p>
        </w:tc>
        <w:tc>
          <w:tcPr>
            <w:tcW w:w="1304" w:type="dxa"/>
            <w:hideMark/>
          </w:tcPr>
          <w:p w14:paraId="76D00802"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3.30</w:t>
            </w:r>
          </w:p>
        </w:tc>
        <w:tc>
          <w:tcPr>
            <w:tcW w:w="1129" w:type="dxa"/>
            <w:hideMark/>
          </w:tcPr>
          <w:p w14:paraId="25D03B26"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0.72</w:t>
            </w:r>
          </w:p>
        </w:tc>
        <w:tc>
          <w:tcPr>
            <w:tcW w:w="0" w:type="auto"/>
            <w:vMerge/>
            <w:tcBorders>
              <w:top w:val="single" w:sz="4" w:space="0" w:color="auto"/>
              <w:left w:val="nil"/>
              <w:bottom w:val="single" w:sz="4" w:space="0" w:color="auto"/>
              <w:right w:val="nil"/>
            </w:tcBorders>
            <w:vAlign w:val="center"/>
            <w:hideMark/>
          </w:tcPr>
          <w:p w14:paraId="4079F58D" w14:textId="77777777" w:rsidR="00DF4034" w:rsidRPr="00E1237F" w:rsidRDefault="00DF4034">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21CDE669" w14:textId="77777777" w:rsidR="00DF4034" w:rsidRPr="00E1237F" w:rsidRDefault="00DF4034">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730D08DB" w14:textId="77777777" w:rsidR="00DF4034" w:rsidRPr="00E1237F" w:rsidRDefault="00DF4034">
            <w:pPr>
              <w:rPr>
                <w:rFonts w:ascii="Arial" w:hAnsi="Arial" w:cs="Arial"/>
                <w:color w:val="000000" w:themeColor="text1"/>
                <w:sz w:val="20"/>
                <w:szCs w:val="20"/>
                <w:lang w:val="en-PH"/>
              </w:rPr>
            </w:pPr>
          </w:p>
        </w:tc>
      </w:tr>
      <w:tr w:rsidR="00DF4034" w:rsidRPr="00E1237F" w14:paraId="72EA1318" w14:textId="77777777" w:rsidTr="00DF4034">
        <w:tc>
          <w:tcPr>
            <w:tcW w:w="1800" w:type="dxa"/>
            <w:tcBorders>
              <w:top w:val="nil"/>
              <w:left w:val="nil"/>
              <w:bottom w:val="single" w:sz="4" w:space="0" w:color="auto"/>
              <w:right w:val="nil"/>
            </w:tcBorders>
            <w:hideMark/>
          </w:tcPr>
          <w:p w14:paraId="34291D50" w14:textId="77777777" w:rsidR="00DF4034" w:rsidRPr="00E1237F" w:rsidRDefault="00DF4034">
            <w:pPr>
              <w:ind w:left="256"/>
              <w:rPr>
                <w:rFonts w:ascii="Arial" w:hAnsi="Arial" w:cs="Arial"/>
                <w:color w:val="000000" w:themeColor="text1"/>
                <w:sz w:val="20"/>
                <w:szCs w:val="20"/>
              </w:rPr>
            </w:pPr>
            <w:r w:rsidRPr="00E1237F">
              <w:rPr>
                <w:rFonts w:ascii="Arial" w:hAnsi="Arial" w:cs="Arial"/>
                <w:color w:val="000000" w:themeColor="text1"/>
                <w:sz w:val="20"/>
                <w:szCs w:val="20"/>
              </w:rPr>
              <w:t>₱20,001 and above</w:t>
            </w:r>
          </w:p>
        </w:tc>
        <w:tc>
          <w:tcPr>
            <w:tcW w:w="1304" w:type="dxa"/>
            <w:tcBorders>
              <w:top w:val="nil"/>
              <w:left w:val="nil"/>
              <w:bottom w:val="single" w:sz="4" w:space="0" w:color="auto"/>
              <w:right w:val="nil"/>
            </w:tcBorders>
            <w:hideMark/>
          </w:tcPr>
          <w:p w14:paraId="2856661F"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3.55</w:t>
            </w:r>
          </w:p>
        </w:tc>
        <w:tc>
          <w:tcPr>
            <w:tcW w:w="1129" w:type="dxa"/>
            <w:tcBorders>
              <w:top w:val="nil"/>
              <w:left w:val="nil"/>
              <w:bottom w:val="single" w:sz="4" w:space="0" w:color="auto"/>
              <w:right w:val="nil"/>
            </w:tcBorders>
            <w:hideMark/>
          </w:tcPr>
          <w:p w14:paraId="159887DC" w14:textId="77777777" w:rsidR="00DF4034" w:rsidRPr="00E1237F" w:rsidRDefault="00DF4034">
            <w:pPr>
              <w:jc w:val="center"/>
              <w:rPr>
                <w:rFonts w:ascii="Arial" w:hAnsi="Arial" w:cs="Arial"/>
                <w:color w:val="000000" w:themeColor="text1"/>
                <w:sz w:val="20"/>
                <w:szCs w:val="20"/>
              </w:rPr>
            </w:pPr>
            <w:r w:rsidRPr="00E1237F">
              <w:rPr>
                <w:rFonts w:ascii="Arial" w:hAnsi="Arial" w:cs="Arial"/>
                <w:color w:val="000000" w:themeColor="text1"/>
                <w:sz w:val="20"/>
                <w:szCs w:val="20"/>
              </w:rPr>
              <w:t>0.65</w:t>
            </w:r>
          </w:p>
        </w:tc>
        <w:tc>
          <w:tcPr>
            <w:tcW w:w="0" w:type="auto"/>
            <w:vMerge/>
            <w:tcBorders>
              <w:top w:val="single" w:sz="4" w:space="0" w:color="auto"/>
              <w:left w:val="nil"/>
              <w:bottom w:val="single" w:sz="4" w:space="0" w:color="auto"/>
              <w:right w:val="nil"/>
            </w:tcBorders>
            <w:vAlign w:val="center"/>
            <w:hideMark/>
          </w:tcPr>
          <w:p w14:paraId="17A0B92C" w14:textId="77777777" w:rsidR="00DF4034" w:rsidRPr="00E1237F" w:rsidRDefault="00DF4034">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0BEC93F2" w14:textId="77777777" w:rsidR="00DF4034" w:rsidRPr="00E1237F" w:rsidRDefault="00DF4034">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0DF45EEB" w14:textId="77777777" w:rsidR="00DF4034" w:rsidRPr="00E1237F" w:rsidRDefault="00DF4034">
            <w:pPr>
              <w:rPr>
                <w:rFonts w:ascii="Arial" w:hAnsi="Arial" w:cs="Arial"/>
                <w:color w:val="000000" w:themeColor="text1"/>
                <w:sz w:val="20"/>
                <w:szCs w:val="20"/>
                <w:lang w:val="en-PH"/>
              </w:rPr>
            </w:pPr>
          </w:p>
        </w:tc>
      </w:tr>
    </w:tbl>
    <w:p w14:paraId="1BDBE2B2" w14:textId="77777777" w:rsidR="00717F2E" w:rsidRDefault="00717F2E">
      <w:pPr>
        <w:jc w:val="both"/>
        <w:rPr>
          <w:rFonts w:ascii="Arial" w:hAnsi="Arial" w:cs="Arial"/>
        </w:rPr>
      </w:pPr>
    </w:p>
    <w:p w14:paraId="3F585980" w14:textId="5E1466F5" w:rsidR="00E1237F" w:rsidRPr="00E1237F" w:rsidRDefault="00E1237F" w:rsidP="00E1237F">
      <w:pPr>
        <w:jc w:val="both"/>
        <w:rPr>
          <w:rFonts w:ascii="Arial" w:hAnsi="Arial" w:cs="Arial"/>
        </w:rPr>
      </w:pPr>
      <w:r w:rsidRPr="00E1237F">
        <w:rPr>
          <w:rFonts w:ascii="Arial" w:hAnsi="Arial" w:cs="Arial"/>
        </w:rPr>
        <w:t xml:space="preserve">Presented in Table 10 is the test of significant difference in the level of awareness of parents on the K to 12 language curricula when grouped according to family income. A one-way </w:t>
      </w:r>
      <w:r w:rsidRPr="00E1237F">
        <w:rPr>
          <w:rFonts w:ascii="Arial" w:hAnsi="Arial" w:cs="Arial"/>
        </w:rPr>
        <w:lastRenderedPageBreak/>
        <w:t>ANOVA was conducted to determine whether a significant difference exists among parents with different income levels.</w:t>
      </w:r>
      <w:r>
        <w:rPr>
          <w:rFonts w:ascii="Arial" w:hAnsi="Arial" w:cs="Arial"/>
        </w:rPr>
        <w:t xml:space="preserve"> </w:t>
      </w:r>
      <w:r w:rsidRPr="00E1237F">
        <w:rPr>
          <w:rFonts w:ascii="Arial" w:hAnsi="Arial" w:cs="Arial"/>
          <w:bCs/>
          <w:iCs/>
        </w:rPr>
        <w:t>The results show that parents with a monthly income of ₱20,001 and above (M = 3.55, SD = 0.65) had the highest level of awareness, followed by those earning ₱10,001 – ₱20,000 (M = 3.30, SD = 0.72), while parents with a monthly income below ₱10,000 (M = 3.10, SD = 0.80) had the lowest level of awareness. The computed f-value of 60.38 and a p-value of 0.000 indicate a statistically significant difference at the 0.05 level. Since the p-value is less than 0.05, this confirms that parents with different income levels do not have the same level of awareness of the K to 12 language curriculum. Parents with higher family income tend to have greater awareness than those with lower income. This may be attributed to their greater access to educational resources, information, and school-related activities, as well as their ability to provide better academic support to their children.</w:t>
      </w:r>
      <w:r>
        <w:rPr>
          <w:rFonts w:ascii="Arial" w:hAnsi="Arial" w:cs="Arial"/>
        </w:rPr>
        <w:t xml:space="preserve"> </w:t>
      </w:r>
      <w:r w:rsidRPr="00E1237F">
        <w:rPr>
          <w:rFonts w:ascii="Arial" w:hAnsi="Arial" w:cs="Arial"/>
          <w:bCs/>
          <w:iCs/>
        </w:rPr>
        <w:t>Thus, there is a significant difference in the level of awareness of parents on the K to 12 language curriculum when grouped according to family income. This means that parents with higher income demonstrated a statistically higher level of awareness compared to those with lower income, possibly due to their better access to education-related opportunities and information.</w:t>
      </w:r>
    </w:p>
    <w:p w14:paraId="0DD955CE" w14:textId="77777777" w:rsidR="00E1237F" w:rsidRDefault="00E1237F" w:rsidP="00E1237F">
      <w:pPr>
        <w:jc w:val="both"/>
        <w:rPr>
          <w:rFonts w:ascii="Arial" w:hAnsi="Arial" w:cs="Arial"/>
          <w:bCs/>
          <w:iCs/>
        </w:rPr>
      </w:pPr>
    </w:p>
    <w:p w14:paraId="14F8B1AB" w14:textId="12DEF13C" w:rsidR="00E1237F" w:rsidRPr="00E1237F" w:rsidRDefault="00E1237F" w:rsidP="00E1237F">
      <w:pPr>
        <w:jc w:val="both"/>
        <w:rPr>
          <w:rFonts w:ascii="Arial" w:hAnsi="Arial" w:cs="Arial"/>
          <w:bCs/>
          <w:iCs/>
        </w:rPr>
      </w:pPr>
      <w:r w:rsidRPr="00E1237F">
        <w:rPr>
          <w:rFonts w:ascii="Arial" w:hAnsi="Arial" w:cs="Arial"/>
          <w:bCs/>
          <w:iCs/>
        </w:rPr>
        <w:t xml:space="preserve">This finding is consistent with the study of </w:t>
      </w:r>
      <w:proofErr w:type="spellStart"/>
      <w:r w:rsidRPr="00E1237F">
        <w:rPr>
          <w:rFonts w:ascii="Arial" w:hAnsi="Arial" w:cs="Arial"/>
          <w:bCs/>
          <w:iCs/>
        </w:rPr>
        <w:t>Havrisko</w:t>
      </w:r>
      <w:proofErr w:type="spellEnd"/>
      <w:r w:rsidRPr="00E1237F">
        <w:rPr>
          <w:rFonts w:ascii="Arial" w:hAnsi="Arial" w:cs="Arial"/>
          <w:bCs/>
          <w:iCs/>
        </w:rPr>
        <w:t xml:space="preserve"> (2024), who emphasized that socioeconomic status significantly influences parents' access to educational information. Their research highlighted that families with higher income levels have more opportunities to engage in school-related activities, attend meetings, and access digital learning resources, all of which contribute to a greater awareness of curriculum changes like K to 12. Similarly, </w:t>
      </w:r>
      <w:proofErr w:type="spellStart"/>
      <w:r w:rsidRPr="00E1237F">
        <w:rPr>
          <w:rFonts w:ascii="Arial" w:hAnsi="Arial" w:cs="Arial"/>
          <w:bCs/>
          <w:iCs/>
        </w:rPr>
        <w:t>Wanof</w:t>
      </w:r>
      <w:proofErr w:type="spellEnd"/>
      <w:r w:rsidRPr="00E1237F">
        <w:rPr>
          <w:rFonts w:ascii="Arial" w:hAnsi="Arial" w:cs="Arial"/>
          <w:bCs/>
          <w:iCs/>
        </w:rPr>
        <w:t xml:space="preserve"> (2023) found that low-income parents often face barriers in acquiring information about educational reforms due to limited access to technology, lower participation in school activities, and financial constraints that prevent them from fully supporting their children's academic needs. Their study suggested that government and school programs should provide targeted efforts, such as community seminars and accessible learning materials, to bridge the information gap for low-income families. Furthermore, Posey-Maddox and Haley-Lock (2020) argued that financial stability allows parents to invest in their children's education, making them more engaged in academic discussions, curriculum updates, and school policies. They emphasized that income disparity can lead to unequal awareness levels, which may affect how parents support their children's learning process under the K to 12 curricula.</w:t>
      </w:r>
    </w:p>
    <w:p w14:paraId="48DDA902" w14:textId="77777777" w:rsidR="00E1237F" w:rsidRDefault="00E1237F" w:rsidP="00E1237F">
      <w:pPr>
        <w:jc w:val="both"/>
        <w:rPr>
          <w:rFonts w:ascii="Arial" w:hAnsi="Arial" w:cs="Arial"/>
          <w:b/>
          <w:bCs/>
          <w:iCs/>
        </w:rPr>
      </w:pPr>
    </w:p>
    <w:p w14:paraId="7568132A" w14:textId="7F37BE6F" w:rsidR="00914755" w:rsidRDefault="00665D1C" w:rsidP="000A2785">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C62D13" w:rsidRPr="00C62D13">
        <w:rPr>
          <w:rFonts w:ascii="Arial" w:hAnsi="Arial" w:cs="Arial"/>
          <w:b/>
          <w:bCs/>
          <w:iCs/>
        </w:rPr>
        <w:t>Significant Difference in the Level of Awareness of Parents on the K to 12 Language Curriculum when Grouped According to Nature of Work</w:t>
      </w:r>
    </w:p>
    <w:p w14:paraId="02153925" w14:textId="77777777" w:rsidR="000A2785" w:rsidRDefault="000A2785" w:rsidP="000A2785">
      <w:pPr>
        <w:jc w:val="both"/>
        <w:rPr>
          <w:rFonts w:ascii="Arial" w:hAnsi="Arial" w:cs="Arial"/>
          <w:b/>
          <w:bCs/>
          <w:iCs/>
        </w:rPr>
      </w:pPr>
    </w:p>
    <w:p w14:paraId="461FD1E7" w14:textId="064287ED" w:rsidR="00DE3EAB" w:rsidRPr="00D82866" w:rsidRDefault="00B364F1" w:rsidP="00D82866">
      <w:pPr>
        <w:jc w:val="both"/>
        <w:rPr>
          <w:rFonts w:ascii="Arial" w:eastAsia="Arial" w:hAnsi="Arial"/>
          <w:i/>
        </w:rPr>
      </w:pPr>
      <w:r w:rsidRPr="00B364F1">
        <w:rPr>
          <w:rFonts w:ascii="Arial" w:eastAsia="Arial" w:hAnsi="Arial"/>
          <w:b/>
        </w:rPr>
        <w:t xml:space="preserve">Table 4. </w:t>
      </w:r>
      <w:r w:rsidR="00C62D13" w:rsidRPr="00C62D13">
        <w:rPr>
          <w:rFonts w:ascii="Arial" w:eastAsia="Arial" w:hAnsi="Arial"/>
          <w:i/>
        </w:rPr>
        <w:t>Significant Difference in the Level of Awareness of Parents on the K to 12 Language Curriculum when Grouped According to Nature of Work</w:t>
      </w:r>
    </w:p>
    <w:p w14:paraId="42F31227" w14:textId="708EB413" w:rsidR="00187916" w:rsidRPr="00B364F1" w:rsidRDefault="00187916" w:rsidP="00B364F1">
      <w:pPr>
        <w:jc w:val="both"/>
        <w:rPr>
          <w:rFonts w:ascii="Arial" w:eastAsia="Arial" w:hAnsi="Arial"/>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1152"/>
        <w:gridCol w:w="1062"/>
        <w:gridCol w:w="1194"/>
        <w:gridCol w:w="1337"/>
        <w:gridCol w:w="1644"/>
      </w:tblGrid>
      <w:tr w:rsidR="00C62D13" w:rsidRPr="00C62D13" w14:paraId="6A0878B9" w14:textId="77777777" w:rsidTr="00C62D13">
        <w:tc>
          <w:tcPr>
            <w:tcW w:w="1890" w:type="dxa"/>
            <w:tcBorders>
              <w:top w:val="single" w:sz="4" w:space="0" w:color="auto"/>
              <w:left w:val="nil"/>
              <w:bottom w:val="single" w:sz="4" w:space="0" w:color="auto"/>
              <w:right w:val="nil"/>
            </w:tcBorders>
            <w:hideMark/>
          </w:tcPr>
          <w:p w14:paraId="7914AA04"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b/>
                <w:bCs/>
                <w:color w:val="000000" w:themeColor="text1"/>
                <w:sz w:val="20"/>
                <w:szCs w:val="20"/>
              </w:rPr>
              <w:t>Nature of Work</w:t>
            </w:r>
          </w:p>
        </w:tc>
        <w:tc>
          <w:tcPr>
            <w:tcW w:w="1214" w:type="dxa"/>
            <w:tcBorders>
              <w:top w:val="single" w:sz="4" w:space="0" w:color="auto"/>
              <w:left w:val="nil"/>
              <w:bottom w:val="single" w:sz="4" w:space="0" w:color="auto"/>
              <w:right w:val="nil"/>
            </w:tcBorders>
            <w:hideMark/>
          </w:tcPr>
          <w:p w14:paraId="28CB5417"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b/>
                <w:bCs/>
                <w:color w:val="000000" w:themeColor="text1"/>
                <w:sz w:val="20"/>
                <w:szCs w:val="20"/>
              </w:rPr>
              <w:t>Mean</w:t>
            </w:r>
          </w:p>
        </w:tc>
        <w:tc>
          <w:tcPr>
            <w:tcW w:w="1129" w:type="dxa"/>
            <w:tcBorders>
              <w:top w:val="single" w:sz="4" w:space="0" w:color="auto"/>
              <w:left w:val="nil"/>
              <w:bottom w:val="single" w:sz="4" w:space="0" w:color="auto"/>
              <w:right w:val="nil"/>
            </w:tcBorders>
            <w:hideMark/>
          </w:tcPr>
          <w:p w14:paraId="1B65BAEB"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b/>
                <w:bCs/>
                <w:color w:val="000000" w:themeColor="text1"/>
                <w:sz w:val="20"/>
                <w:szCs w:val="20"/>
              </w:rPr>
              <w:t>SD</w:t>
            </w:r>
          </w:p>
        </w:tc>
        <w:tc>
          <w:tcPr>
            <w:tcW w:w="1262" w:type="dxa"/>
            <w:tcBorders>
              <w:top w:val="single" w:sz="4" w:space="0" w:color="auto"/>
              <w:left w:val="nil"/>
              <w:bottom w:val="single" w:sz="4" w:space="0" w:color="auto"/>
              <w:right w:val="nil"/>
            </w:tcBorders>
            <w:hideMark/>
          </w:tcPr>
          <w:p w14:paraId="28C08491"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b/>
                <w:bCs/>
                <w:color w:val="000000" w:themeColor="text1"/>
                <w:sz w:val="20"/>
                <w:szCs w:val="20"/>
              </w:rPr>
              <w:t>f-value</w:t>
            </w:r>
          </w:p>
        </w:tc>
        <w:tc>
          <w:tcPr>
            <w:tcW w:w="1427" w:type="dxa"/>
            <w:tcBorders>
              <w:top w:val="single" w:sz="4" w:space="0" w:color="auto"/>
              <w:left w:val="nil"/>
              <w:bottom w:val="single" w:sz="4" w:space="0" w:color="auto"/>
              <w:right w:val="nil"/>
            </w:tcBorders>
            <w:hideMark/>
          </w:tcPr>
          <w:p w14:paraId="7CAA752E"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b/>
                <w:bCs/>
                <w:color w:val="000000" w:themeColor="text1"/>
                <w:sz w:val="20"/>
                <w:szCs w:val="20"/>
              </w:rPr>
              <w:t>p-value</w:t>
            </w:r>
          </w:p>
        </w:tc>
        <w:tc>
          <w:tcPr>
            <w:tcW w:w="1718" w:type="dxa"/>
            <w:tcBorders>
              <w:top w:val="single" w:sz="4" w:space="0" w:color="auto"/>
              <w:left w:val="nil"/>
              <w:bottom w:val="single" w:sz="4" w:space="0" w:color="auto"/>
              <w:right w:val="nil"/>
            </w:tcBorders>
            <w:hideMark/>
          </w:tcPr>
          <w:p w14:paraId="325E62FE"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b/>
                <w:bCs/>
                <w:color w:val="000000" w:themeColor="text1"/>
                <w:sz w:val="20"/>
                <w:szCs w:val="20"/>
              </w:rPr>
              <w:t>Remarks</w:t>
            </w:r>
          </w:p>
        </w:tc>
      </w:tr>
      <w:tr w:rsidR="00C62D13" w:rsidRPr="00C62D13" w14:paraId="4F9F0A4A" w14:textId="77777777" w:rsidTr="00C62D13">
        <w:tc>
          <w:tcPr>
            <w:tcW w:w="1890" w:type="dxa"/>
            <w:tcBorders>
              <w:top w:val="single" w:sz="4" w:space="0" w:color="auto"/>
              <w:left w:val="nil"/>
              <w:bottom w:val="nil"/>
              <w:right w:val="nil"/>
            </w:tcBorders>
            <w:hideMark/>
          </w:tcPr>
          <w:p w14:paraId="620C31DD" w14:textId="77777777" w:rsidR="00C62D13" w:rsidRPr="00C62D13" w:rsidRDefault="00C62D13">
            <w:pPr>
              <w:jc w:val="center"/>
              <w:rPr>
                <w:rFonts w:ascii="Arial" w:hAnsi="Arial" w:cs="Arial"/>
                <w:b/>
                <w:bCs/>
                <w:color w:val="000000" w:themeColor="text1"/>
                <w:sz w:val="20"/>
                <w:szCs w:val="20"/>
              </w:rPr>
            </w:pPr>
            <w:r w:rsidRPr="00C62D13">
              <w:rPr>
                <w:rFonts w:ascii="Arial" w:hAnsi="Arial" w:cs="Arial"/>
                <w:color w:val="000000" w:themeColor="text1"/>
                <w:sz w:val="20"/>
                <w:szCs w:val="20"/>
              </w:rPr>
              <w:t>Self-employed</w:t>
            </w:r>
          </w:p>
        </w:tc>
        <w:tc>
          <w:tcPr>
            <w:tcW w:w="1214" w:type="dxa"/>
            <w:tcBorders>
              <w:top w:val="single" w:sz="4" w:space="0" w:color="auto"/>
              <w:left w:val="nil"/>
              <w:bottom w:val="nil"/>
              <w:right w:val="nil"/>
            </w:tcBorders>
            <w:hideMark/>
          </w:tcPr>
          <w:p w14:paraId="08E1D144"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3.20</w:t>
            </w:r>
          </w:p>
        </w:tc>
        <w:tc>
          <w:tcPr>
            <w:tcW w:w="1129" w:type="dxa"/>
            <w:tcBorders>
              <w:top w:val="single" w:sz="4" w:space="0" w:color="auto"/>
              <w:left w:val="nil"/>
              <w:bottom w:val="nil"/>
              <w:right w:val="nil"/>
            </w:tcBorders>
            <w:hideMark/>
          </w:tcPr>
          <w:p w14:paraId="5A25D958"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0.78</w:t>
            </w:r>
          </w:p>
        </w:tc>
        <w:tc>
          <w:tcPr>
            <w:tcW w:w="1262" w:type="dxa"/>
            <w:vMerge w:val="restart"/>
            <w:tcBorders>
              <w:top w:val="single" w:sz="4" w:space="0" w:color="auto"/>
              <w:left w:val="nil"/>
              <w:bottom w:val="single" w:sz="4" w:space="0" w:color="auto"/>
              <w:right w:val="nil"/>
            </w:tcBorders>
            <w:vAlign w:val="center"/>
            <w:hideMark/>
          </w:tcPr>
          <w:p w14:paraId="790FF548"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52.18</w:t>
            </w:r>
          </w:p>
        </w:tc>
        <w:tc>
          <w:tcPr>
            <w:tcW w:w="1427" w:type="dxa"/>
            <w:vMerge w:val="restart"/>
            <w:tcBorders>
              <w:top w:val="single" w:sz="4" w:space="0" w:color="auto"/>
              <w:left w:val="nil"/>
              <w:bottom w:val="single" w:sz="4" w:space="0" w:color="auto"/>
              <w:right w:val="nil"/>
            </w:tcBorders>
            <w:vAlign w:val="center"/>
            <w:hideMark/>
          </w:tcPr>
          <w:p w14:paraId="7441D612"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0.000</w:t>
            </w:r>
          </w:p>
        </w:tc>
        <w:tc>
          <w:tcPr>
            <w:tcW w:w="1718" w:type="dxa"/>
            <w:vMerge w:val="restart"/>
            <w:tcBorders>
              <w:top w:val="single" w:sz="4" w:space="0" w:color="auto"/>
              <w:left w:val="nil"/>
              <w:bottom w:val="single" w:sz="4" w:space="0" w:color="auto"/>
              <w:right w:val="nil"/>
            </w:tcBorders>
            <w:vAlign w:val="center"/>
            <w:hideMark/>
          </w:tcPr>
          <w:p w14:paraId="1CBE67C1"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Significant</w:t>
            </w:r>
          </w:p>
        </w:tc>
      </w:tr>
      <w:tr w:rsidR="00C62D13" w:rsidRPr="00C62D13" w14:paraId="4481F11A" w14:textId="77777777" w:rsidTr="00C62D13">
        <w:tc>
          <w:tcPr>
            <w:tcW w:w="1890" w:type="dxa"/>
            <w:hideMark/>
          </w:tcPr>
          <w:p w14:paraId="235A950C"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Private sector employee</w:t>
            </w:r>
          </w:p>
        </w:tc>
        <w:tc>
          <w:tcPr>
            <w:tcW w:w="1214" w:type="dxa"/>
            <w:hideMark/>
          </w:tcPr>
          <w:p w14:paraId="6514B0DE"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3.35</w:t>
            </w:r>
          </w:p>
        </w:tc>
        <w:tc>
          <w:tcPr>
            <w:tcW w:w="1129" w:type="dxa"/>
            <w:hideMark/>
          </w:tcPr>
          <w:p w14:paraId="65D227BC"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0.70</w:t>
            </w:r>
          </w:p>
        </w:tc>
        <w:tc>
          <w:tcPr>
            <w:tcW w:w="0" w:type="auto"/>
            <w:vMerge/>
            <w:tcBorders>
              <w:top w:val="single" w:sz="4" w:space="0" w:color="auto"/>
              <w:left w:val="nil"/>
              <w:bottom w:val="single" w:sz="4" w:space="0" w:color="auto"/>
              <w:right w:val="nil"/>
            </w:tcBorders>
            <w:vAlign w:val="center"/>
            <w:hideMark/>
          </w:tcPr>
          <w:p w14:paraId="4A4B5780" w14:textId="77777777" w:rsidR="00C62D13" w:rsidRPr="00C62D13" w:rsidRDefault="00C62D13">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47689B2C" w14:textId="77777777" w:rsidR="00C62D13" w:rsidRPr="00C62D13" w:rsidRDefault="00C62D13">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1315C060" w14:textId="77777777" w:rsidR="00C62D13" w:rsidRPr="00C62D13" w:rsidRDefault="00C62D13">
            <w:pPr>
              <w:rPr>
                <w:rFonts w:ascii="Arial" w:hAnsi="Arial" w:cs="Arial"/>
                <w:color w:val="000000" w:themeColor="text1"/>
                <w:sz w:val="20"/>
                <w:szCs w:val="20"/>
                <w:lang w:val="en-PH"/>
              </w:rPr>
            </w:pPr>
          </w:p>
        </w:tc>
      </w:tr>
      <w:tr w:rsidR="00C62D13" w:rsidRPr="00C62D13" w14:paraId="50E4FE8A" w14:textId="77777777" w:rsidTr="00C62D13">
        <w:tc>
          <w:tcPr>
            <w:tcW w:w="1890" w:type="dxa"/>
            <w:hideMark/>
          </w:tcPr>
          <w:p w14:paraId="480B3E33"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Government employee</w:t>
            </w:r>
          </w:p>
        </w:tc>
        <w:tc>
          <w:tcPr>
            <w:tcW w:w="1214" w:type="dxa"/>
            <w:hideMark/>
          </w:tcPr>
          <w:p w14:paraId="725DF680"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3.50</w:t>
            </w:r>
          </w:p>
        </w:tc>
        <w:tc>
          <w:tcPr>
            <w:tcW w:w="1129" w:type="dxa"/>
            <w:hideMark/>
          </w:tcPr>
          <w:p w14:paraId="19C693C0"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0.65</w:t>
            </w:r>
          </w:p>
        </w:tc>
        <w:tc>
          <w:tcPr>
            <w:tcW w:w="0" w:type="auto"/>
            <w:vMerge/>
            <w:tcBorders>
              <w:top w:val="single" w:sz="4" w:space="0" w:color="auto"/>
              <w:left w:val="nil"/>
              <w:bottom w:val="single" w:sz="4" w:space="0" w:color="auto"/>
              <w:right w:val="nil"/>
            </w:tcBorders>
            <w:vAlign w:val="center"/>
            <w:hideMark/>
          </w:tcPr>
          <w:p w14:paraId="721EDAFA" w14:textId="77777777" w:rsidR="00C62D13" w:rsidRPr="00C62D13" w:rsidRDefault="00C62D13">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24C3ABCC" w14:textId="77777777" w:rsidR="00C62D13" w:rsidRPr="00C62D13" w:rsidRDefault="00C62D13">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01A27812" w14:textId="77777777" w:rsidR="00C62D13" w:rsidRPr="00C62D13" w:rsidRDefault="00C62D13">
            <w:pPr>
              <w:rPr>
                <w:rFonts w:ascii="Arial" w:hAnsi="Arial" w:cs="Arial"/>
                <w:color w:val="000000" w:themeColor="text1"/>
                <w:sz w:val="20"/>
                <w:szCs w:val="20"/>
                <w:lang w:val="en-PH"/>
              </w:rPr>
            </w:pPr>
          </w:p>
        </w:tc>
      </w:tr>
      <w:tr w:rsidR="00C62D13" w:rsidRPr="00C62D13" w14:paraId="2648CE67" w14:textId="77777777" w:rsidTr="00C62D13">
        <w:tc>
          <w:tcPr>
            <w:tcW w:w="1890" w:type="dxa"/>
            <w:tcBorders>
              <w:top w:val="nil"/>
              <w:left w:val="nil"/>
              <w:bottom w:val="single" w:sz="4" w:space="0" w:color="auto"/>
              <w:right w:val="nil"/>
            </w:tcBorders>
            <w:hideMark/>
          </w:tcPr>
          <w:p w14:paraId="7C05D038"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Unemployed</w:t>
            </w:r>
          </w:p>
        </w:tc>
        <w:tc>
          <w:tcPr>
            <w:tcW w:w="1214" w:type="dxa"/>
            <w:tcBorders>
              <w:top w:val="nil"/>
              <w:left w:val="nil"/>
              <w:bottom w:val="single" w:sz="4" w:space="0" w:color="auto"/>
              <w:right w:val="nil"/>
            </w:tcBorders>
            <w:hideMark/>
          </w:tcPr>
          <w:p w14:paraId="0611E2B8"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3.05</w:t>
            </w:r>
          </w:p>
        </w:tc>
        <w:tc>
          <w:tcPr>
            <w:tcW w:w="1129" w:type="dxa"/>
            <w:tcBorders>
              <w:top w:val="nil"/>
              <w:left w:val="nil"/>
              <w:bottom w:val="single" w:sz="4" w:space="0" w:color="auto"/>
              <w:right w:val="nil"/>
            </w:tcBorders>
            <w:hideMark/>
          </w:tcPr>
          <w:p w14:paraId="77334F62" w14:textId="77777777" w:rsidR="00C62D13" w:rsidRPr="00C62D13" w:rsidRDefault="00C62D13">
            <w:pPr>
              <w:jc w:val="center"/>
              <w:rPr>
                <w:rFonts w:ascii="Arial" w:hAnsi="Arial" w:cs="Arial"/>
                <w:color w:val="000000" w:themeColor="text1"/>
                <w:sz w:val="20"/>
                <w:szCs w:val="20"/>
              </w:rPr>
            </w:pPr>
            <w:r w:rsidRPr="00C62D13">
              <w:rPr>
                <w:rFonts w:ascii="Arial" w:hAnsi="Arial" w:cs="Arial"/>
                <w:color w:val="000000" w:themeColor="text1"/>
                <w:sz w:val="20"/>
                <w:szCs w:val="20"/>
              </w:rPr>
              <w:t>0.82</w:t>
            </w:r>
          </w:p>
        </w:tc>
        <w:tc>
          <w:tcPr>
            <w:tcW w:w="0" w:type="auto"/>
            <w:vMerge/>
            <w:tcBorders>
              <w:top w:val="single" w:sz="4" w:space="0" w:color="auto"/>
              <w:left w:val="nil"/>
              <w:bottom w:val="single" w:sz="4" w:space="0" w:color="auto"/>
              <w:right w:val="nil"/>
            </w:tcBorders>
            <w:vAlign w:val="center"/>
            <w:hideMark/>
          </w:tcPr>
          <w:p w14:paraId="067958B1" w14:textId="77777777" w:rsidR="00C62D13" w:rsidRPr="00C62D13" w:rsidRDefault="00C62D13">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784C3BF7" w14:textId="77777777" w:rsidR="00C62D13" w:rsidRPr="00C62D13" w:rsidRDefault="00C62D13">
            <w:pPr>
              <w:rPr>
                <w:rFonts w:ascii="Arial" w:hAnsi="Arial" w:cs="Arial"/>
                <w:color w:val="000000" w:themeColor="text1"/>
                <w:sz w:val="20"/>
                <w:szCs w:val="20"/>
                <w:lang w:val="en-PH"/>
              </w:rPr>
            </w:pPr>
          </w:p>
        </w:tc>
        <w:tc>
          <w:tcPr>
            <w:tcW w:w="0" w:type="auto"/>
            <w:vMerge/>
            <w:tcBorders>
              <w:top w:val="single" w:sz="4" w:space="0" w:color="auto"/>
              <w:left w:val="nil"/>
              <w:bottom w:val="single" w:sz="4" w:space="0" w:color="auto"/>
              <w:right w:val="nil"/>
            </w:tcBorders>
            <w:vAlign w:val="center"/>
            <w:hideMark/>
          </w:tcPr>
          <w:p w14:paraId="1FA55F61" w14:textId="77777777" w:rsidR="00C62D13" w:rsidRPr="00C62D13" w:rsidRDefault="00C62D13">
            <w:pPr>
              <w:rPr>
                <w:rFonts w:ascii="Arial" w:hAnsi="Arial" w:cs="Arial"/>
                <w:color w:val="000000" w:themeColor="text1"/>
                <w:sz w:val="20"/>
                <w:szCs w:val="20"/>
                <w:lang w:val="en-PH"/>
              </w:rPr>
            </w:pPr>
          </w:p>
        </w:tc>
      </w:tr>
    </w:tbl>
    <w:p w14:paraId="5CB07BF5" w14:textId="7437914E" w:rsidR="00D82866" w:rsidRPr="00D815DA" w:rsidRDefault="00D82866" w:rsidP="00D82866">
      <w:pPr>
        <w:jc w:val="both"/>
        <w:rPr>
          <w:rFonts w:ascii="Arial" w:hAnsi="Arial" w:cs="Arial"/>
        </w:rPr>
      </w:pPr>
    </w:p>
    <w:p w14:paraId="6FDD1CAA" w14:textId="77777777" w:rsidR="00717F2E" w:rsidRDefault="00717F2E">
      <w:pPr>
        <w:jc w:val="both"/>
        <w:rPr>
          <w:rFonts w:ascii="Arial" w:hAnsi="Arial" w:cs="Arial"/>
        </w:rPr>
      </w:pPr>
    </w:p>
    <w:p w14:paraId="68652FDE" w14:textId="1558BD9B" w:rsidR="008556BB" w:rsidRPr="008556BB" w:rsidRDefault="00C62D13" w:rsidP="008556BB">
      <w:pPr>
        <w:pStyle w:val="Body"/>
        <w:rPr>
          <w:rFonts w:ascii="Arial" w:hAnsi="Arial" w:cs="Arial"/>
        </w:rPr>
      </w:pPr>
      <w:r>
        <w:rPr>
          <w:rFonts w:ascii="Arial" w:hAnsi="Arial" w:cs="Arial"/>
        </w:rPr>
        <w:t>Presented in Table 4</w:t>
      </w:r>
      <w:r w:rsidRPr="00C62D13">
        <w:rPr>
          <w:rFonts w:ascii="Arial" w:hAnsi="Arial" w:cs="Arial"/>
        </w:rPr>
        <w:t xml:space="preserve"> is the test of significant difference in the level of awareness of parents on the K to 12 language curricula when grouped according to the nature of work. A one-way ANOVA was conducted to determine whether a significant difference exists among parents with different occupations. </w:t>
      </w:r>
      <w:r w:rsidR="008556BB" w:rsidRPr="008556BB">
        <w:rPr>
          <w:rFonts w:ascii="Arial" w:hAnsi="Arial" w:cs="Arial"/>
        </w:rPr>
        <w:t xml:space="preserve">The results show that parents who are government employees (M = 3.50, SD = 0.65) had the highest level of awareness, followed by private sector employees (M = 3.35, SD = 0.70), and self-employed individuals (M = 3.20, SD = 0.78). Meanwhile, </w:t>
      </w:r>
      <w:r w:rsidR="008556BB" w:rsidRPr="008556BB">
        <w:rPr>
          <w:rFonts w:ascii="Arial" w:hAnsi="Arial" w:cs="Arial"/>
        </w:rPr>
        <w:lastRenderedPageBreak/>
        <w:t>unemployed parents (M = 3.05, SD = 0.82) had the lowest level of awareness. The computed f-value of 52.18 and a p-value of 0.000 indicate a statistically significan</w:t>
      </w:r>
      <w:r w:rsidR="008556BB">
        <w:rPr>
          <w:rFonts w:ascii="Arial" w:hAnsi="Arial" w:cs="Arial"/>
        </w:rPr>
        <w:t xml:space="preserve">t difference at the 0.05 level. </w:t>
      </w:r>
      <w:r w:rsidR="008556BB" w:rsidRPr="008556BB">
        <w:rPr>
          <w:rFonts w:ascii="Arial" w:hAnsi="Arial" w:cs="Arial"/>
        </w:rPr>
        <w:t>Since the p-value is less than 0.05, this confirms that parents with different occupations do not have the same level of awareness of the K to 12 language curricula. Parents who work in the government sector exhibit significantly higher awareness compared to those who are unemployed or self-employed. This may be attributed to greater exposure to educational policies, school programs, and structured work environments that emphasize the importance of formal education.</w:t>
      </w:r>
      <w:r w:rsidR="008556BB">
        <w:rPr>
          <w:rFonts w:ascii="Arial" w:hAnsi="Arial" w:cs="Arial"/>
        </w:rPr>
        <w:t xml:space="preserve"> </w:t>
      </w:r>
      <w:r w:rsidR="008556BB" w:rsidRPr="008556BB">
        <w:rPr>
          <w:rFonts w:ascii="Arial" w:hAnsi="Arial" w:cs="Arial"/>
        </w:rPr>
        <w:t>Thus, there is a significant difference in the level of awareness of parents on the K to 12 language curriculum when grouped according to nature of work. This means that government employees demonstrated a statistically higher level of awareness compared to other groups, particularly unemployed parents, possibly due to their direct access to educational information and involvement in government-led programs.</w:t>
      </w:r>
    </w:p>
    <w:p w14:paraId="1FE479C7" w14:textId="2D268F08" w:rsidR="00C62D13" w:rsidRDefault="008556BB" w:rsidP="008556BB">
      <w:pPr>
        <w:pStyle w:val="Body"/>
        <w:rPr>
          <w:rFonts w:ascii="Arial" w:hAnsi="Arial" w:cs="Arial"/>
        </w:rPr>
      </w:pPr>
      <w:r w:rsidRPr="008556BB">
        <w:rPr>
          <w:rFonts w:ascii="Arial" w:hAnsi="Arial" w:cs="Arial"/>
        </w:rPr>
        <w:t>This finding aligns with the study of Berman et al. (2021), who emphasized that employment status significantly influences parents' engagement in educational matters. Their study found that government employees often have more exposure to educational policies and curriculum updates due to their work environment, access to resources, and involvement in public sector programs. Similarly, McCredie et al. (2025) highlighted that private sector employees and self-employed parents may have moderate awareness levels due to their varying work schedules and availability for school-related activities. They noted that while some private sector employees actively participate in school discussions, others may struggle to balance work commitments and parental involvement. Furthermore, Tijani (2022) found that unemployed parents tend to have lower awareness levels, as they may lack access to formal information channels and rely more on informal sources for curriculum-related updates. They emphasized the need for schools to implement outreach programs that provide accessible information about K to 12, especially for parents who may not have direct engagement with educational institutions.</w:t>
      </w:r>
    </w:p>
    <w:p w14:paraId="35418D0B" w14:textId="28352382" w:rsidR="008556BB" w:rsidRDefault="008556BB" w:rsidP="008556BB">
      <w:pPr>
        <w:jc w:val="both"/>
        <w:rPr>
          <w:rFonts w:ascii="Arial" w:hAnsi="Arial" w:cs="Arial"/>
          <w:b/>
          <w:bCs/>
          <w:iCs/>
        </w:rPr>
      </w:pPr>
      <w:r>
        <w:rPr>
          <w:rFonts w:ascii="Arial" w:hAnsi="Arial" w:cs="Arial"/>
          <w:b/>
          <w:bCs/>
          <w:iCs/>
        </w:rPr>
        <w:t xml:space="preserve">3.5. </w:t>
      </w:r>
      <w:r w:rsidRPr="008556BB">
        <w:rPr>
          <w:rFonts w:ascii="Arial" w:hAnsi="Arial" w:cs="Arial"/>
          <w:b/>
          <w:bCs/>
          <w:iCs/>
        </w:rPr>
        <w:t>Significant Difference in the Level of Awareness of Parents on the K to 12 Language Curriculum when Grouped According to Educational Attainment</w:t>
      </w:r>
    </w:p>
    <w:p w14:paraId="2ECCB3BE" w14:textId="77777777" w:rsidR="008556BB" w:rsidRDefault="008556BB" w:rsidP="008556BB">
      <w:pPr>
        <w:jc w:val="both"/>
        <w:rPr>
          <w:rFonts w:ascii="Arial" w:hAnsi="Arial" w:cs="Arial"/>
          <w:b/>
          <w:bCs/>
          <w:iCs/>
        </w:rPr>
      </w:pPr>
    </w:p>
    <w:p w14:paraId="7E184434" w14:textId="6A3D1A2C" w:rsidR="008556BB" w:rsidRPr="00D82866" w:rsidRDefault="008556BB" w:rsidP="008556BB">
      <w:pPr>
        <w:jc w:val="both"/>
        <w:rPr>
          <w:rFonts w:ascii="Arial" w:eastAsia="Arial" w:hAnsi="Arial"/>
          <w:i/>
        </w:rPr>
      </w:pPr>
      <w:r>
        <w:rPr>
          <w:rFonts w:ascii="Arial" w:eastAsia="Arial" w:hAnsi="Arial"/>
          <w:b/>
        </w:rPr>
        <w:t>Table 5</w:t>
      </w:r>
      <w:r w:rsidRPr="00B364F1">
        <w:rPr>
          <w:rFonts w:ascii="Arial" w:eastAsia="Arial" w:hAnsi="Arial"/>
          <w:b/>
        </w:rPr>
        <w:t xml:space="preserve">. </w:t>
      </w:r>
      <w:r w:rsidRPr="008556BB">
        <w:rPr>
          <w:rFonts w:ascii="Arial" w:eastAsia="Arial" w:hAnsi="Arial"/>
          <w:i/>
        </w:rPr>
        <w:t>Significant Difference in the Level of Awareness of Parents on the K to 12 Language Curriculum when Grouped According to Educational Attainment</w:t>
      </w:r>
    </w:p>
    <w:p w14:paraId="03FD8A56" w14:textId="77777777" w:rsidR="008556BB" w:rsidRPr="00B364F1" w:rsidRDefault="008556BB" w:rsidP="008556BB">
      <w:pPr>
        <w:jc w:val="both"/>
        <w:rPr>
          <w:rFonts w:ascii="Arial" w:eastAsia="Arial" w:hAnsi="Arial"/>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1152"/>
        <w:gridCol w:w="1062"/>
        <w:gridCol w:w="1193"/>
        <w:gridCol w:w="1337"/>
        <w:gridCol w:w="1644"/>
      </w:tblGrid>
      <w:tr w:rsidR="008556BB" w:rsidRPr="008556BB" w14:paraId="2D75B4B2" w14:textId="77777777" w:rsidTr="008556BB">
        <w:tc>
          <w:tcPr>
            <w:tcW w:w="1890" w:type="dxa"/>
            <w:tcBorders>
              <w:top w:val="single" w:sz="4" w:space="0" w:color="auto"/>
              <w:left w:val="nil"/>
              <w:bottom w:val="single" w:sz="4" w:space="0" w:color="auto"/>
              <w:right w:val="nil"/>
            </w:tcBorders>
            <w:hideMark/>
          </w:tcPr>
          <w:p w14:paraId="594B4E31" w14:textId="77777777" w:rsidR="008556BB" w:rsidRPr="008556BB" w:rsidRDefault="008556BB">
            <w:pPr>
              <w:jc w:val="center"/>
              <w:rPr>
                <w:rFonts w:ascii="Arial" w:hAnsi="Arial" w:cs="Arial"/>
                <w:b/>
                <w:bCs/>
                <w:color w:val="000000" w:themeColor="text1"/>
                <w:sz w:val="20"/>
                <w:szCs w:val="20"/>
              </w:rPr>
            </w:pPr>
            <w:r w:rsidRPr="008556BB">
              <w:rPr>
                <w:rFonts w:ascii="Arial" w:hAnsi="Arial" w:cs="Arial"/>
                <w:b/>
                <w:bCs/>
                <w:color w:val="000000" w:themeColor="text1"/>
                <w:sz w:val="20"/>
                <w:szCs w:val="20"/>
              </w:rPr>
              <w:t>Educational Attainment</w:t>
            </w:r>
          </w:p>
        </w:tc>
        <w:tc>
          <w:tcPr>
            <w:tcW w:w="1214" w:type="dxa"/>
            <w:tcBorders>
              <w:top w:val="single" w:sz="4" w:space="0" w:color="auto"/>
              <w:left w:val="nil"/>
              <w:bottom w:val="single" w:sz="4" w:space="0" w:color="auto"/>
              <w:right w:val="nil"/>
            </w:tcBorders>
            <w:hideMark/>
          </w:tcPr>
          <w:p w14:paraId="39038E29" w14:textId="77777777" w:rsidR="008556BB" w:rsidRPr="008556BB" w:rsidRDefault="008556BB">
            <w:pPr>
              <w:jc w:val="center"/>
              <w:rPr>
                <w:rFonts w:ascii="Arial" w:hAnsi="Arial" w:cs="Arial"/>
                <w:b/>
                <w:bCs/>
                <w:color w:val="000000" w:themeColor="text1"/>
                <w:sz w:val="20"/>
                <w:szCs w:val="20"/>
              </w:rPr>
            </w:pPr>
            <w:r w:rsidRPr="008556BB">
              <w:rPr>
                <w:rFonts w:ascii="Arial" w:hAnsi="Arial" w:cs="Arial"/>
                <w:b/>
                <w:bCs/>
                <w:color w:val="000000" w:themeColor="text1"/>
                <w:sz w:val="20"/>
                <w:szCs w:val="20"/>
              </w:rPr>
              <w:t>Mean</w:t>
            </w:r>
          </w:p>
        </w:tc>
        <w:tc>
          <w:tcPr>
            <w:tcW w:w="1129" w:type="dxa"/>
            <w:tcBorders>
              <w:top w:val="single" w:sz="4" w:space="0" w:color="auto"/>
              <w:left w:val="nil"/>
              <w:bottom w:val="single" w:sz="4" w:space="0" w:color="auto"/>
              <w:right w:val="nil"/>
            </w:tcBorders>
            <w:hideMark/>
          </w:tcPr>
          <w:p w14:paraId="587184FF" w14:textId="77777777" w:rsidR="008556BB" w:rsidRPr="008556BB" w:rsidRDefault="008556BB">
            <w:pPr>
              <w:jc w:val="center"/>
              <w:rPr>
                <w:rFonts w:ascii="Arial" w:hAnsi="Arial" w:cs="Arial"/>
                <w:b/>
                <w:bCs/>
                <w:color w:val="000000" w:themeColor="text1"/>
                <w:sz w:val="20"/>
                <w:szCs w:val="20"/>
              </w:rPr>
            </w:pPr>
            <w:r w:rsidRPr="008556BB">
              <w:rPr>
                <w:rFonts w:ascii="Arial" w:hAnsi="Arial" w:cs="Arial"/>
                <w:b/>
                <w:bCs/>
                <w:color w:val="000000" w:themeColor="text1"/>
                <w:sz w:val="20"/>
                <w:szCs w:val="20"/>
              </w:rPr>
              <w:t>SD</w:t>
            </w:r>
          </w:p>
        </w:tc>
        <w:tc>
          <w:tcPr>
            <w:tcW w:w="1262" w:type="dxa"/>
            <w:tcBorders>
              <w:top w:val="single" w:sz="4" w:space="0" w:color="auto"/>
              <w:left w:val="nil"/>
              <w:bottom w:val="single" w:sz="4" w:space="0" w:color="auto"/>
              <w:right w:val="nil"/>
            </w:tcBorders>
            <w:hideMark/>
          </w:tcPr>
          <w:p w14:paraId="16081D21" w14:textId="77777777" w:rsidR="008556BB" w:rsidRPr="008556BB" w:rsidRDefault="008556BB">
            <w:pPr>
              <w:jc w:val="center"/>
              <w:rPr>
                <w:rFonts w:ascii="Arial" w:hAnsi="Arial" w:cs="Arial"/>
                <w:b/>
                <w:bCs/>
                <w:color w:val="000000" w:themeColor="text1"/>
                <w:sz w:val="20"/>
                <w:szCs w:val="20"/>
              </w:rPr>
            </w:pPr>
            <w:r w:rsidRPr="008556BB">
              <w:rPr>
                <w:rFonts w:ascii="Arial" w:hAnsi="Arial" w:cs="Arial"/>
                <w:b/>
                <w:bCs/>
                <w:color w:val="000000" w:themeColor="text1"/>
                <w:sz w:val="20"/>
                <w:szCs w:val="20"/>
              </w:rPr>
              <w:t>f-value</w:t>
            </w:r>
          </w:p>
        </w:tc>
        <w:tc>
          <w:tcPr>
            <w:tcW w:w="1427" w:type="dxa"/>
            <w:tcBorders>
              <w:top w:val="single" w:sz="4" w:space="0" w:color="auto"/>
              <w:left w:val="nil"/>
              <w:bottom w:val="single" w:sz="4" w:space="0" w:color="auto"/>
              <w:right w:val="nil"/>
            </w:tcBorders>
            <w:hideMark/>
          </w:tcPr>
          <w:p w14:paraId="50524371" w14:textId="77777777" w:rsidR="008556BB" w:rsidRPr="008556BB" w:rsidRDefault="008556BB">
            <w:pPr>
              <w:jc w:val="center"/>
              <w:rPr>
                <w:rFonts w:ascii="Arial" w:hAnsi="Arial" w:cs="Arial"/>
                <w:b/>
                <w:bCs/>
                <w:color w:val="000000" w:themeColor="text1"/>
                <w:sz w:val="20"/>
                <w:szCs w:val="20"/>
              </w:rPr>
            </w:pPr>
            <w:r w:rsidRPr="008556BB">
              <w:rPr>
                <w:rFonts w:ascii="Arial" w:hAnsi="Arial" w:cs="Arial"/>
                <w:b/>
                <w:bCs/>
                <w:color w:val="000000" w:themeColor="text1"/>
                <w:sz w:val="20"/>
                <w:szCs w:val="20"/>
              </w:rPr>
              <w:t>p-value</w:t>
            </w:r>
          </w:p>
        </w:tc>
        <w:tc>
          <w:tcPr>
            <w:tcW w:w="1718" w:type="dxa"/>
            <w:tcBorders>
              <w:top w:val="single" w:sz="4" w:space="0" w:color="auto"/>
              <w:left w:val="nil"/>
              <w:bottom w:val="single" w:sz="4" w:space="0" w:color="auto"/>
              <w:right w:val="nil"/>
            </w:tcBorders>
            <w:hideMark/>
          </w:tcPr>
          <w:p w14:paraId="7EF238B0" w14:textId="77777777" w:rsidR="008556BB" w:rsidRPr="008556BB" w:rsidRDefault="008556BB">
            <w:pPr>
              <w:jc w:val="center"/>
              <w:rPr>
                <w:rFonts w:ascii="Arial" w:hAnsi="Arial" w:cs="Arial"/>
                <w:b/>
                <w:bCs/>
                <w:color w:val="000000" w:themeColor="text1"/>
                <w:sz w:val="20"/>
                <w:szCs w:val="20"/>
              </w:rPr>
            </w:pPr>
            <w:r w:rsidRPr="008556BB">
              <w:rPr>
                <w:rFonts w:ascii="Arial" w:hAnsi="Arial" w:cs="Arial"/>
                <w:b/>
                <w:bCs/>
                <w:color w:val="000000" w:themeColor="text1"/>
                <w:sz w:val="20"/>
                <w:szCs w:val="20"/>
              </w:rPr>
              <w:t>Remarks</w:t>
            </w:r>
          </w:p>
        </w:tc>
      </w:tr>
      <w:tr w:rsidR="008556BB" w:rsidRPr="008556BB" w14:paraId="193BE5D6" w14:textId="77777777" w:rsidTr="008556BB">
        <w:tc>
          <w:tcPr>
            <w:tcW w:w="1890" w:type="dxa"/>
            <w:hideMark/>
          </w:tcPr>
          <w:p w14:paraId="17A1D4C7"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Elementary Level</w:t>
            </w:r>
          </w:p>
        </w:tc>
        <w:tc>
          <w:tcPr>
            <w:tcW w:w="1214" w:type="dxa"/>
            <w:hideMark/>
          </w:tcPr>
          <w:p w14:paraId="366C8E0A"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3.00</w:t>
            </w:r>
          </w:p>
        </w:tc>
        <w:tc>
          <w:tcPr>
            <w:tcW w:w="1129" w:type="dxa"/>
            <w:hideMark/>
          </w:tcPr>
          <w:p w14:paraId="7D91F4DD"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0.80</w:t>
            </w:r>
          </w:p>
        </w:tc>
        <w:tc>
          <w:tcPr>
            <w:tcW w:w="1262" w:type="dxa"/>
            <w:vMerge w:val="restart"/>
            <w:tcBorders>
              <w:top w:val="nil"/>
              <w:left w:val="nil"/>
              <w:bottom w:val="single" w:sz="4" w:space="0" w:color="auto"/>
              <w:right w:val="nil"/>
            </w:tcBorders>
            <w:vAlign w:val="center"/>
            <w:hideMark/>
          </w:tcPr>
          <w:p w14:paraId="636BBD51"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50.05</w:t>
            </w:r>
          </w:p>
        </w:tc>
        <w:tc>
          <w:tcPr>
            <w:tcW w:w="1427" w:type="dxa"/>
            <w:vMerge w:val="restart"/>
            <w:tcBorders>
              <w:top w:val="nil"/>
              <w:left w:val="nil"/>
              <w:bottom w:val="single" w:sz="4" w:space="0" w:color="auto"/>
              <w:right w:val="nil"/>
            </w:tcBorders>
            <w:vAlign w:val="center"/>
            <w:hideMark/>
          </w:tcPr>
          <w:p w14:paraId="374AB028"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0.001</w:t>
            </w:r>
          </w:p>
        </w:tc>
        <w:tc>
          <w:tcPr>
            <w:tcW w:w="1718" w:type="dxa"/>
            <w:vMerge w:val="restart"/>
            <w:tcBorders>
              <w:top w:val="nil"/>
              <w:left w:val="nil"/>
              <w:bottom w:val="single" w:sz="4" w:space="0" w:color="auto"/>
              <w:right w:val="nil"/>
            </w:tcBorders>
            <w:vAlign w:val="center"/>
            <w:hideMark/>
          </w:tcPr>
          <w:p w14:paraId="4754BF4E"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Significant</w:t>
            </w:r>
          </w:p>
        </w:tc>
      </w:tr>
      <w:tr w:rsidR="008556BB" w:rsidRPr="008556BB" w14:paraId="37FC4F11" w14:textId="77777777" w:rsidTr="008556BB">
        <w:tc>
          <w:tcPr>
            <w:tcW w:w="1890" w:type="dxa"/>
            <w:hideMark/>
          </w:tcPr>
          <w:p w14:paraId="29ECF5B2"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Elementary Graduate</w:t>
            </w:r>
          </w:p>
        </w:tc>
        <w:tc>
          <w:tcPr>
            <w:tcW w:w="1214" w:type="dxa"/>
            <w:hideMark/>
          </w:tcPr>
          <w:p w14:paraId="029A74ED"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3.20</w:t>
            </w:r>
          </w:p>
        </w:tc>
        <w:tc>
          <w:tcPr>
            <w:tcW w:w="1129" w:type="dxa"/>
            <w:hideMark/>
          </w:tcPr>
          <w:p w14:paraId="7A84519B"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0.75</w:t>
            </w:r>
          </w:p>
        </w:tc>
        <w:tc>
          <w:tcPr>
            <w:tcW w:w="0" w:type="auto"/>
            <w:vMerge/>
            <w:tcBorders>
              <w:top w:val="nil"/>
              <w:left w:val="nil"/>
              <w:bottom w:val="single" w:sz="4" w:space="0" w:color="auto"/>
              <w:right w:val="nil"/>
            </w:tcBorders>
            <w:vAlign w:val="center"/>
            <w:hideMark/>
          </w:tcPr>
          <w:p w14:paraId="413B9947"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26740DD7"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4D43AACD" w14:textId="77777777" w:rsidR="008556BB" w:rsidRPr="008556BB" w:rsidRDefault="008556BB">
            <w:pPr>
              <w:rPr>
                <w:rFonts w:ascii="Arial" w:hAnsi="Arial" w:cs="Arial"/>
                <w:color w:val="000000" w:themeColor="text1"/>
                <w:sz w:val="20"/>
                <w:szCs w:val="20"/>
                <w:lang w:val="en-PH"/>
              </w:rPr>
            </w:pPr>
          </w:p>
        </w:tc>
      </w:tr>
      <w:tr w:rsidR="008556BB" w:rsidRPr="008556BB" w14:paraId="415E7F5A" w14:textId="77777777" w:rsidTr="008556BB">
        <w:tc>
          <w:tcPr>
            <w:tcW w:w="1890" w:type="dxa"/>
            <w:hideMark/>
          </w:tcPr>
          <w:p w14:paraId="65721BC9"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High School Level</w:t>
            </w:r>
          </w:p>
        </w:tc>
        <w:tc>
          <w:tcPr>
            <w:tcW w:w="1214" w:type="dxa"/>
            <w:hideMark/>
          </w:tcPr>
          <w:p w14:paraId="65A0DB57"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3.35</w:t>
            </w:r>
          </w:p>
        </w:tc>
        <w:tc>
          <w:tcPr>
            <w:tcW w:w="1129" w:type="dxa"/>
            <w:hideMark/>
          </w:tcPr>
          <w:p w14:paraId="670B72F8"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0.70</w:t>
            </w:r>
          </w:p>
        </w:tc>
        <w:tc>
          <w:tcPr>
            <w:tcW w:w="0" w:type="auto"/>
            <w:vMerge/>
            <w:tcBorders>
              <w:top w:val="nil"/>
              <w:left w:val="nil"/>
              <w:bottom w:val="single" w:sz="4" w:space="0" w:color="auto"/>
              <w:right w:val="nil"/>
            </w:tcBorders>
            <w:vAlign w:val="center"/>
            <w:hideMark/>
          </w:tcPr>
          <w:p w14:paraId="3D46702E"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524A779E"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0DDBB940" w14:textId="77777777" w:rsidR="008556BB" w:rsidRPr="008556BB" w:rsidRDefault="008556BB">
            <w:pPr>
              <w:rPr>
                <w:rFonts w:ascii="Arial" w:hAnsi="Arial" w:cs="Arial"/>
                <w:color w:val="000000" w:themeColor="text1"/>
                <w:sz w:val="20"/>
                <w:szCs w:val="20"/>
                <w:lang w:val="en-PH"/>
              </w:rPr>
            </w:pPr>
          </w:p>
        </w:tc>
      </w:tr>
      <w:tr w:rsidR="008556BB" w:rsidRPr="008556BB" w14:paraId="0FCCAD0D" w14:textId="77777777" w:rsidTr="008556BB">
        <w:tc>
          <w:tcPr>
            <w:tcW w:w="1890" w:type="dxa"/>
            <w:hideMark/>
          </w:tcPr>
          <w:p w14:paraId="614874E3"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High School Graduate</w:t>
            </w:r>
          </w:p>
        </w:tc>
        <w:tc>
          <w:tcPr>
            <w:tcW w:w="1214" w:type="dxa"/>
            <w:hideMark/>
          </w:tcPr>
          <w:p w14:paraId="33B91676"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3.50</w:t>
            </w:r>
          </w:p>
        </w:tc>
        <w:tc>
          <w:tcPr>
            <w:tcW w:w="1129" w:type="dxa"/>
            <w:hideMark/>
          </w:tcPr>
          <w:p w14:paraId="5E9F7938"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0.68</w:t>
            </w:r>
          </w:p>
        </w:tc>
        <w:tc>
          <w:tcPr>
            <w:tcW w:w="0" w:type="auto"/>
            <w:vMerge/>
            <w:tcBorders>
              <w:top w:val="nil"/>
              <w:left w:val="nil"/>
              <w:bottom w:val="single" w:sz="4" w:space="0" w:color="auto"/>
              <w:right w:val="nil"/>
            </w:tcBorders>
            <w:vAlign w:val="center"/>
            <w:hideMark/>
          </w:tcPr>
          <w:p w14:paraId="26FA36B5"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68117DAA"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020EE0A4" w14:textId="77777777" w:rsidR="008556BB" w:rsidRPr="008556BB" w:rsidRDefault="008556BB">
            <w:pPr>
              <w:rPr>
                <w:rFonts w:ascii="Arial" w:hAnsi="Arial" w:cs="Arial"/>
                <w:color w:val="000000" w:themeColor="text1"/>
                <w:sz w:val="20"/>
                <w:szCs w:val="20"/>
                <w:lang w:val="en-PH"/>
              </w:rPr>
            </w:pPr>
          </w:p>
        </w:tc>
      </w:tr>
      <w:tr w:rsidR="008556BB" w:rsidRPr="008556BB" w14:paraId="365C4D9D" w14:textId="77777777" w:rsidTr="008556BB">
        <w:tc>
          <w:tcPr>
            <w:tcW w:w="1890" w:type="dxa"/>
            <w:hideMark/>
          </w:tcPr>
          <w:p w14:paraId="3A178B6A"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College Level</w:t>
            </w:r>
          </w:p>
        </w:tc>
        <w:tc>
          <w:tcPr>
            <w:tcW w:w="1214" w:type="dxa"/>
            <w:hideMark/>
          </w:tcPr>
          <w:p w14:paraId="344C3B20"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3.65</w:t>
            </w:r>
          </w:p>
        </w:tc>
        <w:tc>
          <w:tcPr>
            <w:tcW w:w="1129" w:type="dxa"/>
            <w:hideMark/>
          </w:tcPr>
          <w:p w14:paraId="6B84F764"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0.65</w:t>
            </w:r>
          </w:p>
        </w:tc>
        <w:tc>
          <w:tcPr>
            <w:tcW w:w="0" w:type="auto"/>
            <w:vMerge/>
            <w:tcBorders>
              <w:top w:val="nil"/>
              <w:left w:val="nil"/>
              <w:bottom w:val="single" w:sz="4" w:space="0" w:color="auto"/>
              <w:right w:val="nil"/>
            </w:tcBorders>
            <w:vAlign w:val="center"/>
            <w:hideMark/>
          </w:tcPr>
          <w:p w14:paraId="67139D14"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767DFBE1"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5A34CAFE" w14:textId="77777777" w:rsidR="008556BB" w:rsidRPr="008556BB" w:rsidRDefault="008556BB">
            <w:pPr>
              <w:rPr>
                <w:rFonts w:ascii="Arial" w:hAnsi="Arial" w:cs="Arial"/>
                <w:color w:val="000000" w:themeColor="text1"/>
                <w:sz w:val="20"/>
                <w:szCs w:val="20"/>
                <w:lang w:val="en-PH"/>
              </w:rPr>
            </w:pPr>
          </w:p>
        </w:tc>
      </w:tr>
      <w:tr w:rsidR="008556BB" w:rsidRPr="008556BB" w14:paraId="5BBEA0FD" w14:textId="77777777" w:rsidTr="008556BB">
        <w:tc>
          <w:tcPr>
            <w:tcW w:w="1890" w:type="dxa"/>
            <w:hideMark/>
          </w:tcPr>
          <w:p w14:paraId="0E1A43A0"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College Graduate</w:t>
            </w:r>
          </w:p>
        </w:tc>
        <w:tc>
          <w:tcPr>
            <w:tcW w:w="1214" w:type="dxa"/>
            <w:hideMark/>
          </w:tcPr>
          <w:p w14:paraId="20A0FE75"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3.80</w:t>
            </w:r>
          </w:p>
        </w:tc>
        <w:tc>
          <w:tcPr>
            <w:tcW w:w="1129" w:type="dxa"/>
            <w:hideMark/>
          </w:tcPr>
          <w:p w14:paraId="5B4EA438"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0.60</w:t>
            </w:r>
          </w:p>
        </w:tc>
        <w:tc>
          <w:tcPr>
            <w:tcW w:w="0" w:type="auto"/>
            <w:vMerge/>
            <w:tcBorders>
              <w:top w:val="nil"/>
              <w:left w:val="nil"/>
              <w:bottom w:val="single" w:sz="4" w:space="0" w:color="auto"/>
              <w:right w:val="nil"/>
            </w:tcBorders>
            <w:vAlign w:val="center"/>
            <w:hideMark/>
          </w:tcPr>
          <w:p w14:paraId="72FEF0C0"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3966F1FB"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3D5E0A51" w14:textId="77777777" w:rsidR="008556BB" w:rsidRPr="008556BB" w:rsidRDefault="008556BB">
            <w:pPr>
              <w:rPr>
                <w:rFonts w:ascii="Arial" w:hAnsi="Arial" w:cs="Arial"/>
                <w:color w:val="000000" w:themeColor="text1"/>
                <w:sz w:val="20"/>
                <w:szCs w:val="20"/>
                <w:lang w:val="en-PH"/>
              </w:rPr>
            </w:pPr>
          </w:p>
        </w:tc>
      </w:tr>
      <w:tr w:rsidR="008556BB" w:rsidRPr="008556BB" w14:paraId="7821C336" w14:textId="77777777" w:rsidTr="008556BB">
        <w:tc>
          <w:tcPr>
            <w:tcW w:w="1890" w:type="dxa"/>
            <w:tcBorders>
              <w:top w:val="nil"/>
              <w:left w:val="nil"/>
              <w:bottom w:val="single" w:sz="4" w:space="0" w:color="auto"/>
              <w:right w:val="nil"/>
            </w:tcBorders>
            <w:hideMark/>
          </w:tcPr>
          <w:p w14:paraId="3B32E267"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No Formal Education</w:t>
            </w:r>
          </w:p>
        </w:tc>
        <w:tc>
          <w:tcPr>
            <w:tcW w:w="1214" w:type="dxa"/>
            <w:tcBorders>
              <w:top w:val="nil"/>
              <w:left w:val="nil"/>
              <w:bottom w:val="single" w:sz="4" w:space="0" w:color="auto"/>
              <w:right w:val="nil"/>
            </w:tcBorders>
            <w:hideMark/>
          </w:tcPr>
          <w:p w14:paraId="2A2450C0"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2.80</w:t>
            </w:r>
          </w:p>
        </w:tc>
        <w:tc>
          <w:tcPr>
            <w:tcW w:w="1129" w:type="dxa"/>
            <w:tcBorders>
              <w:top w:val="nil"/>
              <w:left w:val="nil"/>
              <w:bottom w:val="single" w:sz="4" w:space="0" w:color="auto"/>
              <w:right w:val="nil"/>
            </w:tcBorders>
            <w:hideMark/>
          </w:tcPr>
          <w:p w14:paraId="4E3AAC97" w14:textId="77777777" w:rsidR="008556BB" w:rsidRPr="008556BB" w:rsidRDefault="008556BB">
            <w:pPr>
              <w:jc w:val="center"/>
              <w:rPr>
                <w:rFonts w:ascii="Arial" w:hAnsi="Arial" w:cs="Arial"/>
                <w:color w:val="000000" w:themeColor="text1"/>
                <w:sz w:val="20"/>
                <w:szCs w:val="20"/>
              </w:rPr>
            </w:pPr>
            <w:r w:rsidRPr="008556BB">
              <w:rPr>
                <w:rFonts w:ascii="Arial" w:hAnsi="Arial" w:cs="Arial"/>
                <w:color w:val="000000" w:themeColor="text1"/>
                <w:sz w:val="20"/>
                <w:szCs w:val="20"/>
              </w:rPr>
              <w:t>0.85</w:t>
            </w:r>
          </w:p>
        </w:tc>
        <w:tc>
          <w:tcPr>
            <w:tcW w:w="0" w:type="auto"/>
            <w:vMerge/>
            <w:tcBorders>
              <w:top w:val="nil"/>
              <w:left w:val="nil"/>
              <w:bottom w:val="single" w:sz="4" w:space="0" w:color="auto"/>
              <w:right w:val="nil"/>
            </w:tcBorders>
            <w:vAlign w:val="center"/>
            <w:hideMark/>
          </w:tcPr>
          <w:p w14:paraId="3BFC0AB3"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4F3359CE" w14:textId="77777777" w:rsidR="008556BB" w:rsidRPr="008556BB" w:rsidRDefault="008556BB">
            <w:pPr>
              <w:rPr>
                <w:rFonts w:ascii="Arial" w:hAnsi="Arial" w:cs="Arial"/>
                <w:color w:val="000000" w:themeColor="text1"/>
                <w:sz w:val="20"/>
                <w:szCs w:val="20"/>
                <w:lang w:val="en-PH"/>
              </w:rPr>
            </w:pPr>
          </w:p>
        </w:tc>
        <w:tc>
          <w:tcPr>
            <w:tcW w:w="0" w:type="auto"/>
            <w:vMerge/>
            <w:tcBorders>
              <w:top w:val="nil"/>
              <w:left w:val="nil"/>
              <w:bottom w:val="single" w:sz="4" w:space="0" w:color="auto"/>
              <w:right w:val="nil"/>
            </w:tcBorders>
            <w:vAlign w:val="center"/>
            <w:hideMark/>
          </w:tcPr>
          <w:p w14:paraId="00091971" w14:textId="77777777" w:rsidR="008556BB" w:rsidRPr="008556BB" w:rsidRDefault="008556BB">
            <w:pPr>
              <w:rPr>
                <w:rFonts w:ascii="Arial" w:hAnsi="Arial" w:cs="Arial"/>
                <w:color w:val="000000" w:themeColor="text1"/>
                <w:sz w:val="20"/>
                <w:szCs w:val="20"/>
                <w:lang w:val="en-PH"/>
              </w:rPr>
            </w:pPr>
          </w:p>
        </w:tc>
      </w:tr>
    </w:tbl>
    <w:p w14:paraId="73ABE7EA" w14:textId="77777777" w:rsidR="008556BB" w:rsidRPr="00D815DA" w:rsidRDefault="008556BB" w:rsidP="008556BB">
      <w:pPr>
        <w:jc w:val="both"/>
        <w:rPr>
          <w:rFonts w:ascii="Arial" w:hAnsi="Arial" w:cs="Arial"/>
        </w:rPr>
      </w:pPr>
    </w:p>
    <w:p w14:paraId="24ECFAB7" w14:textId="77777777" w:rsidR="008556BB" w:rsidRDefault="008556BB" w:rsidP="008556BB">
      <w:pPr>
        <w:jc w:val="both"/>
        <w:rPr>
          <w:rFonts w:ascii="Arial" w:hAnsi="Arial" w:cs="Arial"/>
        </w:rPr>
      </w:pPr>
    </w:p>
    <w:p w14:paraId="4A8D81F3" w14:textId="0B0C02C8" w:rsidR="008556BB" w:rsidRPr="008556BB" w:rsidRDefault="008556BB" w:rsidP="008556BB">
      <w:pPr>
        <w:pStyle w:val="Body"/>
        <w:rPr>
          <w:rFonts w:ascii="Arial" w:hAnsi="Arial" w:cs="Arial"/>
        </w:rPr>
      </w:pPr>
      <w:r>
        <w:rPr>
          <w:rFonts w:ascii="Arial" w:hAnsi="Arial" w:cs="Arial"/>
        </w:rPr>
        <w:t>Presented in Table 5</w:t>
      </w:r>
      <w:r w:rsidRPr="008556BB">
        <w:rPr>
          <w:rFonts w:ascii="Arial" w:hAnsi="Arial" w:cs="Arial"/>
        </w:rPr>
        <w:t xml:space="preserve"> is the test of significant difference in the level of awareness of parents on the K to 12 language curriculum when grouped according to educational attainment. A one-way ANOVA was conducted to determine whether a significant difference exists among parents with varying educational backgrounds.</w:t>
      </w:r>
      <w:r>
        <w:rPr>
          <w:rFonts w:ascii="Arial" w:hAnsi="Arial" w:cs="Arial"/>
        </w:rPr>
        <w:t xml:space="preserve"> </w:t>
      </w:r>
      <w:r w:rsidRPr="008556BB">
        <w:rPr>
          <w:rFonts w:ascii="Arial" w:hAnsi="Arial" w:cs="Arial"/>
        </w:rPr>
        <w:t xml:space="preserve">The results show that parents who are college </w:t>
      </w:r>
      <w:r w:rsidRPr="008556BB">
        <w:rPr>
          <w:rFonts w:ascii="Arial" w:hAnsi="Arial" w:cs="Arial"/>
        </w:rPr>
        <w:lastRenderedPageBreak/>
        <w:t>graduates (M = 3.80, SD = 0.60) had the highest level of awareness, followed by those with a college level education (M = 3.65, SD = 0.65) and high school graduates (M = 3.50, SD = 0.68). Meanwhile, parents with no formal education (M = 2.80, SD = 0.85) had the lowest level of awareness, followed by those with an elementary-level education (M = 3.00, SD = 0.80). The computed f-value of 50.05 and a p-value of 0.001 indicate a statistically significan</w:t>
      </w:r>
      <w:r>
        <w:rPr>
          <w:rFonts w:ascii="Arial" w:hAnsi="Arial" w:cs="Arial"/>
        </w:rPr>
        <w:t xml:space="preserve">t difference at the 0.05 level. </w:t>
      </w:r>
      <w:r w:rsidRPr="008556BB">
        <w:rPr>
          <w:rFonts w:ascii="Arial" w:hAnsi="Arial" w:cs="Arial"/>
        </w:rPr>
        <w:t>Since the p-value is less than 0.05, this confirms that parents with different educational attainment levels do not have the same level of awareness of the K to 12 language curriculum. Parents with higher education levels exhibit significantly greater awareness compared to those with lower educational backgrounds. This may be attributed to better access to information, improved comprehension of educational policies, and a deeper understanding of the curriculum's impact on their children's learning.</w:t>
      </w:r>
      <w:r>
        <w:rPr>
          <w:rFonts w:ascii="Arial" w:hAnsi="Arial" w:cs="Arial"/>
        </w:rPr>
        <w:t xml:space="preserve"> </w:t>
      </w:r>
      <w:r w:rsidRPr="008556BB">
        <w:rPr>
          <w:rFonts w:ascii="Arial" w:hAnsi="Arial" w:cs="Arial"/>
        </w:rPr>
        <w:t>Thus, there is a significant difference in the level of awareness of parents on the K to 12 language curriculum when grouped according to educational attainment. This means that parents with higher educational attainment demonstrated a statistically higher level of awareness compared to those with lower education levels, possibly due to their greater exposure to academic discussions, school-related resources, and formal learning experiences</w:t>
      </w:r>
    </w:p>
    <w:p w14:paraId="3B49F5A1" w14:textId="31BF3439" w:rsidR="008556BB" w:rsidRPr="008556BB" w:rsidRDefault="008556BB" w:rsidP="008556BB">
      <w:pPr>
        <w:pStyle w:val="Body"/>
        <w:rPr>
          <w:rFonts w:ascii="Arial" w:hAnsi="Arial" w:cs="Arial"/>
        </w:rPr>
      </w:pPr>
      <w:r w:rsidRPr="008556BB">
        <w:rPr>
          <w:rFonts w:ascii="Arial" w:hAnsi="Arial" w:cs="Arial"/>
        </w:rPr>
        <w:t xml:space="preserve">This finding supports with the study of Posey-Maddox and Haley-Lock (2020), who emphasized that higher educational attainment is linked to increased awareness and understanding of curriculum changes. Their research found that parents with college degrees are more likely to stay informed about educational policies, attend school meetings, and engage with teachers regarding their children's learning progress. Similarly, Tyner and </w:t>
      </w:r>
      <w:proofErr w:type="spellStart"/>
      <w:r w:rsidRPr="008556BB">
        <w:rPr>
          <w:rFonts w:ascii="Arial" w:hAnsi="Arial" w:cs="Arial"/>
        </w:rPr>
        <w:t>Kabourek</w:t>
      </w:r>
      <w:proofErr w:type="spellEnd"/>
      <w:r w:rsidRPr="008556BB">
        <w:rPr>
          <w:rFonts w:ascii="Arial" w:hAnsi="Arial" w:cs="Arial"/>
        </w:rPr>
        <w:t xml:space="preserve"> (2020) highlighted that parents with higher education tend to have stronger literacy and research skills, enabling them to access and comprehend information about the K to 12 </w:t>
      </w:r>
      <w:proofErr w:type="gramStart"/>
      <w:r w:rsidRPr="008556BB">
        <w:rPr>
          <w:rFonts w:ascii="Arial" w:hAnsi="Arial" w:cs="Arial"/>
        </w:rPr>
        <w:t>curriculum</w:t>
      </w:r>
      <w:proofErr w:type="gramEnd"/>
      <w:r w:rsidRPr="008556BB">
        <w:rPr>
          <w:rFonts w:ascii="Arial" w:hAnsi="Arial" w:cs="Arial"/>
        </w:rPr>
        <w:t xml:space="preserve"> more effectively. They also pointed out that these parents are more likely to discuss educational matters with their children and provide additional academic support at home. Furthermore, </w:t>
      </w:r>
      <w:proofErr w:type="spellStart"/>
      <w:r w:rsidRPr="008556BB">
        <w:rPr>
          <w:rFonts w:ascii="Arial" w:hAnsi="Arial" w:cs="Arial"/>
        </w:rPr>
        <w:t>Marschall</w:t>
      </w:r>
      <w:proofErr w:type="spellEnd"/>
      <w:r w:rsidRPr="008556BB">
        <w:rPr>
          <w:rFonts w:ascii="Arial" w:hAnsi="Arial" w:cs="Arial"/>
        </w:rPr>
        <w:t xml:space="preserve"> and Shah (2020) argued that parents with lower educational attainment may have limited access to formal information sources, leading to gaps in their awareness of curriculum policies and changes. They emphasized the importance of school-based programs that educate parents, especially those with minimal schooling, on the essential components of the K to 12 curricula.</w:t>
      </w:r>
    </w:p>
    <w:p w14:paraId="01A951FA" w14:textId="44EB25E2" w:rsidR="003D66AD" w:rsidRPr="003D66AD" w:rsidRDefault="003D66AD" w:rsidP="003D66AD">
      <w:pPr>
        <w:pStyle w:val="Body"/>
        <w:rPr>
          <w:rFonts w:ascii="Arial" w:hAnsi="Arial" w:cs="Arial"/>
          <w:b/>
          <w:bCs/>
        </w:rPr>
      </w:pPr>
      <w:r>
        <w:rPr>
          <w:rFonts w:ascii="Arial" w:hAnsi="Arial" w:cs="Arial"/>
          <w:b/>
          <w:bCs/>
        </w:rPr>
        <w:t xml:space="preserve">3.6 </w:t>
      </w:r>
      <w:r w:rsidRPr="003D66AD">
        <w:rPr>
          <w:rFonts w:ascii="Arial" w:hAnsi="Arial" w:cs="Arial"/>
          <w:b/>
          <w:bCs/>
        </w:rPr>
        <w:t xml:space="preserve">Proposed Program for Parents’ Awareness </w:t>
      </w:r>
      <w:r>
        <w:rPr>
          <w:rFonts w:ascii="Arial" w:hAnsi="Arial" w:cs="Arial"/>
          <w:b/>
          <w:bCs/>
        </w:rPr>
        <w:t>a</w:t>
      </w:r>
      <w:r w:rsidRPr="003D66AD">
        <w:rPr>
          <w:rFonts w:ascii="Arial" w:hAnsi="Arial" w:cs="Arial"/>
          <w:b/>
          <w:bCs/>
        </w:rPr>
        <w:t>nd Continuous Involvement</w:t>
      </w:r>
    </w:p>
    <w:p w14:paraId="79CE979B" w14:textId="7113628A" w:rsidR="008556BB" w:rsidRDefault="003D66AD" w:rsidP="003D66AD">
      <w:pPr>
        <w:pStyle w:val="Body"/>
        <w:rPr>
          <w:rFonts w:ascii="Arial" w:hAnsi="Arial" w:cs="Arial"/>
          <w:bCs/>
        </w:rPr>
      </w:pPr>
      <w:r w:rsidRPr="003D66AD">
        <w:rPr>
          <w:rFonts w:ascii="Arial" w:hAnsi="Arial" w:cs="Arial"/>
          <w:bCs/>
        </w:rPr>
        <w:t>The proposed program, “</w:t>
      </w:r>
      <w:proofErr w:type="spellStart"/>
      <w:r w:rsidRPr="003D66AD">
        <w:rPr>
          <w:rFonts w:ascii="Arial" w:hAnsi="Arial" w:cs="Arial"/>
          <w:bCs/>
        </w:rPr>
        <w:t>Kaalaman</w:t>
      </w:r>
      <w:proofErr w:type="spellEnd"/>
      <w:r w:rsidRPr="003D66AD">
        <w:rPr>
          <w:rFonts w:ascii="Arial" w:hAnsi="Arial" w:cs="Arial"/>
          <w:bCs/>
        </w:rPr>
        <w:t xml:space="preserve"> para </w:t>
      </w:r>
      <w:proofErr w:type="spellStart"/>
      <w:r w:rsidRPr="003D66AD">
        <w:rPr>
          <w:rFonts w:ascii="Arial" w:hAnsi="Arial" w:cs="Arial"/>
          <w:bCs/>
        </w:rPr>
        <w:t>sa</w:t>
      </w:r>
      <w:proofErr w:type="spellEnd"/>
      <w:r w:rsidRPr="003D66AD">
        <w:rPr>
          <w:rFonts w:ascii="Arial" w:hAnsi="Arial" w:cs="Arial"/>
          <w:bCs/>
        </w:rPr>
        <w:t xml:space="preserve"> </w:t>
      </w:r>
      <w:proofErr w:type="spellStart"/>
      <w:r w:rsidRPr="003D66AD">
        <w:rPr>
          <w:rFonts w:ascii="Arial" w:hAnsi="Arial" w:cs="Arial"/>
          <w:bCs/>
        </w:rPr>
        <w:t>Kinabukasan</w:t>
      </w:r>
      <w:proofErr w:type="spellEnd"/>
      <w:r w:rsidRPr="003D66AD">
        <w:rPr>
          <w:rFonts w:ascii="Arial" w:hAnsi="Arial" w:cs="Arial"/>
          <w:bCs/>
        </w:rPr>
        <w:t>,” aims to bridge the significant gaps in parental awareness of the K to 12 Language Curriculum by providing inclusive, community-based learning opportunities for parents, especially those from marginalized backgrounds. Recent studies emphasize that parental involvement directly correlates with improved student performance and better curriculum understanding (</w:t>
      </w:r>
      <w:proofErr w:type="spellStart"/>
      <w:r w:rsidRPr="003D66AD">
        <w:rPr>
          <w:rFonts w:ascii="Arial" w:hAnsi="Arial" w:cs="Arial"/>
          <w:bCs/>
        </w:rPr>
        <w:t>Durisic</w:t>
      </w:r>
      <w:proofErr w:type="spellEnd"/>
      <w:r w:rsidRPr="003D66AD">
        <w:rPr>
          <w:rFonts w:ascii="Arial" w:hAnsi="Arial" w:cs="Arial"/>
          <w:bCs/>
        </w:rPr>
        <w:t xml:space="preserve"> &amp; </w:t>
      </w:r>
      <w:proofErr w:type="spellStart"/>
      <w:r w:rsidRPr="003D66AD">
        <w:rPr>
          <w:rFonts w:ascii="Arial" w:hAnsi="Arial" w:cs="Arial"/>
          <w:bCs/>
        </w:rPr>
        <w:t>Bunijevac</w:t>
      </w:r>
      <w:proofErr w:type="spellEnd"/>
      <w:r w:rsidRPr="003D66AD">
        <w:rPr>
          <w:rFonts w:ascii="Arial" w:hAnsi="Arial" w:cs="Arial"/>
          <w:bCs/>
        </w:rPr>
        <w:t>, 2017). However, findings also reveal disparities in awareness based on gender, income, employment, and educational attainment, highlighting the need for targeted interventions. Female, higher-income, and more educated parents generally show higher levels of engagement due to better access to information and resources (</w:t>
      </w:r>
      <w:proofErr w:type="spellStart"/>
      <w:r w:rsidRPr="003D66AD">
        <w:rPr>
          <w:rFonts w:ascii="Arial" w:hAnsi="Arial" w:cs="Arial"/>
          <w:bCs/>
        </w:rPr>
        <w:t>Massucco</w:t>
      </w:r>
      <w:proofErr w:type="spellEnd"/>
      <w:r w:rsidRPr="003D66AD">
        <w:rPr>
          <w:rFonts w:ascii="Arial" w:hAnsi="Arial" w:cs="Arial"/>
          <w:bCs/>
        </w:rPr>
        <w:t xml:space="preserve">, 2020). By implementing localized orientation sessions, mobile information caravans, and parent education circles, this program addresses these barriers and fosters equity in curriculum awareness. </w:t>
      </w:r>
    </w:p>
    <w:p w14:paraId="6BB3A674" w14:textId="77777777" w:rsidR="003D66AD" w:rsidRDefault="003D66AD" w:rsidP="003D66AD">
      <w:pPr>
        <w:jc w:val="both"/>
        <w:rPr>
          <w:rFonts w:ascii="Arial" w:eastAsia="Calibri" w:hAnsi="Arial" w:cs="Arial"/>
          <w:b/>
          <w:bCs/>
          <w:i/>
          <w:iCs/>
        </w:rPr>
      </w:pPr>
      <w:r>
        <w:rPr>
          <w:rFonts w:ascii="Arial" w:eastAsia="Calibri" w:hAnsi="Arial" w:cs="Arial"/>
          <w:b/>
          <w:bCs/>
          <w:i/>
          <w:iCs/>
        </w:rPr>
        <w:t>Program Proposal: “</w:t>
      </w:r>
      <w:proofErr w:type="spellStart"/>
      <w:r>
        <w:rPr>
          <w:rFonts w:ascii="Arial" w:eastAsia="Calibri" w:hAnsi="Arial" w:cs="Arial"/>
          <w:b/>
          <w:bCs/>
          <w:i/>
          <w:iCs/>
        </w:rPr>
        <w:t>Kaalaman</w:t>
      </w:r>
      <w:proofErr w:type="spellEnd"/>
      <w:r>
        <w:rPr>
          <w:rFonts w:ascii="Arial" w:eastAsia="Calibri" w:hAnsi="Arial" w:cs="Arial"/>
          <w:b/>
          <w:bCs/>
          <w:i/>
          <w:iCs/>
        </w:rPr>
        <w:t xml:space="preserve"> para </w:t>
      </w:r>
      <w:proofErr w:type="spellStart"/>
      <w:r>
        <w:rPr>
          <w:rFonts w:ascii="Arial" w:eastAsia="Calibri" w:hAnsi="Arial" w:cs="Arial"/>
          <w:b/>
          <w:bCs/>
          <w:i/>
          <w:iCs/>
        </w:rPr>
        <w:t>sa</w:t>
      </w:r>
      <w:proofErr w:type="spellEnd"/>
      <w:r>
        <w:rPr>
          <w:rFonts w:ascii="Arial" w:eastAsia="Calibri" w:hAnsi="Arial" w:cs="Arial"/>
          <w:b/>
          <w:bCs/>
          <w:i/>
          <w:iCs/>
        </w:rPr>
        <w:t xml:space="preserve"> </w:t>
      </w:r>
      <w:proofErr w:type="spellStart"/>
      <w:r>
        <w:rPr>
          <w:rFonts w:ascii="Arial" w:eastAsia="Calibri" w:hAnsi="Arial" w:cs="Arial"/>
          <w:b/>
          <w:bCs/>
          <w:i/>
          <w:iCs/>
        </w:rPr>
        <w:t>Kinabukasan</w:t>
      </w:r>
      <w:proofErr w:type="spellEnd"/>
      <w:r>
        <w:rPr>
          <w:rFonts w:ascii="Arial" w:eastAsia="Calibri" w:hAnsi="Arial" w:cs="Arial"/>
          <w:b/>
          <w:bCs/>
          <w:i/>
          <w:iCs/>
        </w:rPr>
        <w:t>”</w:t>
      </w:r>
    </w:p>
    <w:p w14:paraId="6605AB19" w14:textId="77777777" w:rsidR="003D66AD" w:rsidRDefault="003D66AD" w:rsidP="003D66AD">
      <w:pPr>
        <w:jc w:val="both"/>
        <w:rPr>
          <w:rFonts w:ascii="Arial" w:eastAsia="Calibri" w:hAnsi="Arial" w:cs="Arial"/>
          <w:i/>
          <w:iCs/>
        </w:rPr>
      </w:pPr>
      <w:r>
        <w:rPr>
          <w:rFonts w:ascii="Arial" w:eastAsia="Calibri" w:hAnsi="Arial" w:cs="Arial"/>
          <w:b/>
          <w:bCs/>
          <w:i/>
          <w:iCs/>
        </w:rPr>
        <w:t>A Community-Based Parent Awareness Program on the K to 12 Language Curriculum</w:t>
      </w:r>
    </w:p>
    <w:p w14:paraId="0281BAC6" w14:textId="77777777" w:rsidR="003D66AD" w:rsidRDefault="002B4203" w:rsidP="003D66AD">
      <w:pPr>
        <w:jc w:val="center"/>
        <w:rPr>
          <w:rFonts w:ascii="Arial" w:eastAsia="Calibri" w:hAnsi="Arial" w:cs="Arial"/>
          <w:noProof/>
        </w:rPr>
      </w:pPr>
      <w:r>
        <w:rPr>
          <w:rFonts w:ascii="Arial" w:eastAsia="Calibri" w:hAnsi="Arial" w:cs="Arial"/>
          <w:noProof/>
        </w:rPr>
        <w:pict w14:anchorId="11C35A4A">
          <v:rect id="_x0000_i1025" style="width:250.35pt;height:.6pt" o:hrpct="610" o:hralign="center" o:hrstd="t" o:hr="t" fillcolor="#a0a0a0" stroked="f"/>
        </w:pict>
      </w:r>
    </w:p>
    <w:p w14:paraId="45E6E57E" w14:textId="77777777" w:rsidR="003D66AD" w:rsidRDefault="003D66AD" w:rsidP="003D66AD">
      <w:pPr>
        <w:jc w:val="both"/>
        <w:rPr>
          <w:rFonts w:ascii="Arial" w:eastAsia="Calibri" w:hAnsi="Arial" w:cs="Arial"/>
          <w:b/>
          <w:bCs/>
        </w:rPr>
      </w:pPr>
      <w:r>
        <w:rPr>
          <w:rFonts w:ascii="Arial" w:eastAsia="Calibri" w:hAnsi="Arial" w:cs="Arial"/>
          <w:b/>
          <w:bCs/>
        </w:rPr>
        <w:t>I. Rationale</w:t>
      </w:r>
    </w:p>
    <w:p w14:paraId="45FEE905" w14:textId="77777777" w:rsidR="003D66AD" w:rsidRDefault="003D66AD" w:rsidP="003D66AD">
      <w:pPr>
        <w:ind w:firstLine="720"/>
        <w:jc w:val="both"/>
        <w:rPr>
          <w:rFonts w:ascii="Arial" w:eastAsia="Calibri" w:hAnsi="Arial" w:cs="Arial"/>
        </w:rPr>
      </w:pPr>
      <w:r>
        <w:rPr>
          <w:rFonts w:ascii="Arial" w:eastAsia="Calibri" w:hAnsi="Arial" w:cs="Arial"/>
        </w:rPr>
        <w:t xml:space="preserve">Recent findings reveal statistically significant differences in parents' awareness of the K to 12 Language Curriculum based on gender, income, nature of work, and educational attainment. Female parents, higher-income earners, government employees, and college </w:t>
      </w:r>
      <w:r>
        <w:rPr>
          <w:rFonts w:ascii="Arial" w:eastAsia="Calibri" w:hAnsi="Arial" w:cs="Arial"/>
        </w:rPr>
        <w:lastRenderedPageBreak/>
        <w:t>graduates exhibit higher awareness levels. This discrepancy challenges inclusive educational development, particularly when parent involvement is crucial to student success.</w:t>
      </w:r>
    </w:p>
    <w:p w14:paraId="5F3E31EB" w14:textId="77777777" w:rsidR="003D66AD" w:rsidRDefault="003D66AD" w:rsidP="003D66AD">
      <w:pPr>
        <w:ind w:firstLine="720"/>
        <w:jc w:val="both"/>
        <w:rPr>
          <w:rFonts w:ascii="Arial" w:eastAsia="Calibri" w:hAnsi="Arial" w:cs="Arial"/>
        </w:rPr>
      </w:pPr>
      <w:r>
        <w:rPr>
          <w:rFonts w:ascii="Arial" w:eastAsia="Calibri" w:hAnsi="Arial" w:cs="Arial"/>
        </w:rPr>
        <w:t>To address this, the proposed program “</w:t>
      </w:r>
      <w:proofErr w:type="spellStart"/>
      <w:r>
        <w:rPr>
          <w:rFonts w:ascii="Arial" w:eastAsia="Calibri" w:hAnsi="Arial" w:cs="Arial"/>
          <w:b/>
          <w:bCs/>
        </w:rPr>
        <w:t>Kaalaman</w:t>
      </w:r>
      <w:proofErr w:type="spellEnd"/>
      <w:r>
        <w:rPr>
          <w:rFonts w:ascii="Arial" w:eastAsia="Calibri" w:hAnsi="Arial" w:cs="Arial"/>
          <w:b/>
          <w:bCs/>
        </w:rPr>
        <w:t xml:space="preserve"> para </w:t>
      </w:r>
      <w:proofErr w:type="spellStart"/>
      <w:r>
        <w:rPr>
          <w:rFonts w:ascii="Arial" w:eastAsia="Calibri" w:hAnsi="Arial" w:cs="Arial"/>
          <w:b/>
          <w:bCs/>
        </w:rPr>
        <w:t>sa</w:t>
      </w:r>
      <w:proofErr w:type="spellEnd"/>
      <w:r>
        <w:rPr>
          <w:rFonts w:ascii="Arial" w:eastAsia="Calibri" w:hAnsi="Arial" w:cs="Arial"/>
          <w:b/>
          <w:bCs/>
        </w:rPr>
        <w:t xml:space="preserve"> </w:t>
      </w:r>
      <w:proofErr w:type="spellStart"/>
      <w:r>
        <w:rPr>
          <w:rFonts w:ascii="Arial" w:eastAsia="Calibri" w:hAnsi="Arial" w:cs="Arial"/>
          <w:b/>
          <w:bCs/>
        </w:rPr>
        <w:t>Kinabukasan</w:t>
      </w:r>
      <w:proofErr w:type="spellEnd"/>
      <w:r>
        <w:rPr>
          <w:rFonts w:ascii="Arial" w:eastAsia="Calibri" w:hAnsi="Arial" w:cs="Arial"/>
        </w:rPr>
        <w:t xml:space="preserve">” aims to intensify parents’ awareness and understanding of the K to 12 Language Curriculum through targeted community engagement and communication strategies. The goal is to </w:t>
      </w:r>
      <w:r>
        <w:rPr>
          <w:rFonts w:ascii="Arial" w:eastAsia="Calibri" w:hAnsi="Arial" w:cs="Arial"/>
          <w:b/>
          <w:bCs/>
        </w:rPr>
        <w:t>bridge the information gap</w:t>
      </w:r>
      <w:r>
        <w:rPr>
          <w:rFonts w:ascii="Arial" w:eastAsia="Calibri" w:hAnsi="Arial" w:cs="Arial"/>
        </w:rPr>
        <w:t xml:space="preserve"> and promote </w:t>
      </w:r>
      <w:r>
        <w:rPr>
          <w:rFonts w:ascii="Arial" w:eastAsia="Calibri" w:hAnsi="Arial" w:cs="Arial"/>
          <w:b/>
          <w:bCs/>
        </w:rPr>
        <w:t>equitable participation</w:t>
      </w:r>
      <w:r>
        <w:rPr>
          <w:rFonts w:ascii="Arial" w:eastAsia="Calibri" w:hAnsi="Arial" w:cs="Arial"/>
        </w:rPr>
        <w:t xml:space="preserve"> among all parent demographics.</w:t>
      </w:r>
    </w:p>
    <w:p w14:paraId="700DDAB0" w14:textId="77777777" w:rsidR="003D66AD" w:rsidRDefault="002B4203" w:rsidP="003D66AD">
      <w:pPr>
        <w:jc w:val="center"/>
        <w:rPr>
          <w:rFonts w:ascii="Arial" w:eastAsia="Calibri" w:hAnsi="Arial" w:cs="Arial"/>
          <w:noProof/>
        </w:rPr>
      </w:pPr>
      <w:r>
        <w:rPr>
          <w:rFonts w:ascii="Arial" w:eastAsia="Calibri" w:hAnsi="Arial" w:cs="Arial"/>
          <w:noProof/>
        </w:rPr>
        <w:pict w14:anchorId="0E6B8B33">
          <v:rect id="_x0000_i1026" style="width:250.35pt;height:.6pt" o:hrpct="610" o:hralign="center" o:hrstd="t" o:hr="t" fillcolor="#a0a0a0" stroked="f"/>
        </w:pict>
      </w:r>
    </w:p>
    <w:p w14:paraId="5E8B755E" w14:textId="77777777" w:rsidR="003D66AD" w:rsidRDefault="003D66AD" w:rsidP="003D66AD">
      <w:pPr>
        <w:jc w:val="both"/>
        <w:rPr>
          <w:rFonts w:ascii="Arial" w:eastAsia="Calibri" w:hAnsi="Arial" w:cs="Arial"/>
          <w:b/>
          <w:bCs/>
        </w:rPr>
      </w:pPr>
      <w:r>
        <w:rPr>
          <w:rFonts w:ascii="Arial" w:eastAsia="Calibri" w:hAnsi="Arial" w:cs="Arial"/>
          <w:b/>
          <w:bCs/>
        </w:rPr>
        <w:t>II. Goals and Objectives</w:t>
      </w:r>
    </w:p>
    <w:p w14:paraId="2722727D" w14:textId="77777777" w:rsidR="003D66AD" w:rsidRDefault="003D66AD" w:rsidP="003D66AD">
      <w:pPr>
        <w:jc w:val="both"/>
        <w:rPr>
          <w:rFonts w:ascii="Arial" w:eastAsia="Calibri" w:hAnsi="Arial" w:cs="Arial"/>
          <w:b/>
          <w:bCs/>
        </w:rPr>
      </w:pPr>
      <w:r>
        <w:rPr>
          <w:rFonts w:ascii="Arial" w:eastAsia="Calibri" w:hAnsi="Arial" w:cs="Arial"/>
          <w:b/>
          <w:bCs/>
        </w:rPr>
        <w:t>General Goal:</w:t>
      </w:r>
    </w:p>
    <w:p w14:paraId="6F8EE8FE" w14:textId="77777777" w:rsidR="003D66AD" w:rsidRDefault="003D66AD" w:rsidP="003D66AD">
      <w:pPr>
        <w:jc w:val="both"/>
        <w:rPr>
          <w:rFonts w:ascii="Arial" w:eastAsia="Calibri" w:hAnsi="Arial" w:cs="Arial"/>
        </w:rPr>
      </w:pPr>
      <w:r>
        <w:rPr>
          <w:rFonts w:ascii="Arial" w:eastAsia="Calibri" w:hAnsi="Arial" w:cs="Arial"/>
        </w:rPr>
        <w:t>To enhance the awareness and understanding of the K to 12 Language Curriculum among parents across all socioeconomic and educational backgrounds.</w:t>
      </w:r>
    </w:p>
    <w:p w14:paraId="588D5255" w14:textId="77777777" w:rsidR="003D66AD" w:rsidRDefault="003D66AD" w:rsidP="003D66AD">
      <w:pPr>
        <w:jc w:val="both"/>
        <w:rPr>
          <w:rFonts w:ascii="Arial" w:eastAsia="Calibri" w:hAnsi="Arial" w:cs="Arial"/>
          <w:b/>
          <w:bCs/>
        </w:rPr>
      </w:pPr>
      <w:r>
        <w:rPr>
          <w:rFonts w:ascii="Arial" w:eastAsia="Calibri" w:hAnsi="Arial" w:cs="Arial"/>
          <w:b/>
          <w:bCs/>
        </w:rPr>
        <w:t>Specific Objectives:</w:t>
      </w:r>
    </w:p>
    <w:p w14:paraId="409C5CAC" w14:textId="77777777" w:rsidR="003D66AD" w:rsidRDefault="003D66AD" w:rsidP="003D66AD">
      <w:pPr>
        <w:numPr>
          <w:ilvl w:val="0"/>
          <w:numId w:val="5"/>
        </w:numPr>
        <w:jc w:val="both"/>
        <w:rPr>
          <w:rFonts w:ascii="Arial" w:eastAsia="Calibri" w:hAnsi="Arial" w:cs="Arial"/>
        </w:rPr>
      </w:pPr>
      <w:r>
        <w:rPr>
          <w:rFonts w:ascii="Arial" w:eastAsia="Calibri" w:hAnsi="Arial" w:cs="Arial"/>
        </w:rPr>
        <w:t>To provide accessible and understandable information on the K to 12 Language Curriculum.</w:t>
      </w:r>
    </w:p>
    <w:p w14:paraId="499C0B80" w14:textId="77777777" w:rsidR="003D66AD" w:rsidRDefault="003D66AD" w:rsidP="003D66AD">
      <w:pPr>
        <w:numPr>
          <w:ilvl w:val="0"/>
          <w:numId w:val="5"/>
        </w:numPr>
        <w:jc w:val="both"/>
        <w:rPr>
          <w:rFonts w:ascii="Arial" w:eastAsia="Calibri" w:hAnsi="Arial" w:cs="Arial"/>
        </w:rPr>
      </w:pPr>
      <w:r>
        <w:rPr>
          <w:rFonts w:ascii="Arial" w:eastAsia="Calibri" w:hAnsi="Arial" w:cs="Arial"/>
        </w:rPr>
        <w:t>To reduce the awareness gap between different parental demographics.</w:t>
      </w:r>
    </w:p>
    <w:p w14:paraId="0271FF40" w14:textId="77777777" w:rsidR="003D66AD" w:rsidRDefault="003D66AD" w:rsidP="003D66AD">
      <w:pPr>
        <w:numPr>
          <w:ilvl w:val="0"/>
          <w:numId w:val="5"/>
        </w:numPr>
        <w:jc w:val="both"/>
        <w:rPr>
          <w:rFonts w:ascii="Arial" w:eastAsia="Calibri" w:hAnsi="Arial" w:cs="Arial"/>
        </w:rPr>
      </w:pPr>
      <w:r>
        <w:rPr>
          <w:rFonts w:ascii="Arial" w:eastAsia="Calibri" w:hAnsi="Arial" w:cs="Arial"/>
        </w:rPr>
        <w:t>To strengthen parent-school partnerships through active participation and collaboration.</w:t>
      </w:r>
    </w:p>
    <w:p w14:paraId="6A59F43E" w14:textId="77777777" w:rsidR="003D66AD" w:rsidRDefault="003D66AD" w:rsidP="003D66AD">
      <w:pPr>
        <w:numPr>
          <w:ilvl w:val="0"/>
          <w:numId w:val="5"/>
        </w:numPr>
        <w:jc w:val="both"/>
        <w:rPr>
          <w:rFonts w:ascii="Arial" w:eastAsia="Calibri" w:hAnsi="Arial" w:cs="Arial"/>
        </w:rPr>
      </w:pPr>
      <w:r>
        <w:rPr>
          <w:rFonts w:ascii="Arial" w:eastAsia="Calibri" w:hAnsi="Arial" w:cs="Arial"/>
        </w:rPr>
        <w:t>To empower parents to support their children’s language learning at home.</w:t>
      </w:r>
    </w:p>
    <w:p w14:paraId="17FBDEFF" w14:textId="77777777" w:rsidR="003D66AD" w:rsidRDefault="002B4203" w:rsidP="003D66AD">
      <w:pPr>
        <w:tabs>
          <w:tab w:val="left" w:pos="420"/>
        </w:tabs>
        <w:jc w:val="center"/>
        <w:rPr>
          <w:rFonts w:ascii="Arial" w:eastAsia="Calibri" w:hAnsi="Arial" w:cs="Arial"/>
          <w:noProof/>
        </w:rPr>
      </w:pPr>
      <w:r>
        <w:rPr>
          <w:rFonts w:ascii="Arial" w:eastAsia="Calibri" w:hAnsi="Arial" w:cs="Arial"/>
          <w:noProof/>
        </w:rPr>
        <w:pict w14:anchorId="4EC7CD7D">
          <v:rect id="_x0000_i1027" style="width:228.4pt;height:.6pt" o:hrpct="610" o:hralign="center" o:hrstd="t" o:hr="t" fillcolor="#a0a0a0" stroked="f"/>
        </w:pict>
      </w:r>
    </w:p>
    <w:p w14:paraId="34A69968" w14:textId="77777777" w:rsidR="003D66AD" w:rsidRDefault="003D66AD" w:rsidP="003D66AD">
      <w:pPr>
        <w:jc w:val="both"/>
        <w:rPr>
          <w:rFonts w:ascii="Arial" w:eastAsia="Calibri" w:hAnsi="Arial" w:cs="Arial"/>
          <w:b/>
          <w:bCs/>
        </w:rPr>
      </w:pPr>
      <w:r>
        <w:rPr>
          <w:rFonts w:ascii="Arial" w:eastAsia="Calibri" w:hAnsi="Arial" w:cs="Arial"/>
          <w:b/>
          <w:bCs/>
        </w:rPr>
        <w:t>III. Target Participants</w:t>
      </w:r>
    </w:p>
    <w:p w14:paraId="7657EA2B" w14:textId="77777777" w:rsidR="003D66AD" w:rsidRDefault="003D66AD" w:rsidP="003D66AD">
      <w:pPr>
        <w:numPr>
          <w:ilvl w:val="0"/>
          <w:numId w:val="6"/>
        </w:numPr>
        <w:jc w:val="both"/>
        <w:rPr>
          <w:rFonts w:ascii="Arial" w:eastAsia="Calibri" w:hAnsi="Arial" w:cs="Arial"/>
        </w:rPr>
      </w:pPr>
      <w:r>
        <w:rPr>
          <w:rFonts w:ascii="Arial" w:eastAsia="Calibri" w:hAnsi="Arial" w:cs="Arial"/>
        </w:rPr>
        <w:t>Parents/guardians of learners from Kinder to Grade 12</w:t>
      </w:r>
    </w:p>
    <w:p w14:paraId="25BF6716" w14:textId="77777777" w:rsidR="003D66AD" w:rsidRDefault="003D66AD" w:rsidP="003D66AD">
      <w:pPr>
        <w:numPr>
          <w:ilvl w:val="0"/>
          <w:numId w:val="6"/>
        </w:numPr>
        <w:jc w:val="both"/>
        <w:rPr>
          <w:rFonts w:ascii="Arial" w:eastAsia="Calibri" w:hAnsi="Arial" w:cs="Arial"/>
        </w:rPr>
      </w:pPr>
      <w:r>
        <w:rPr>
          <w:rFonts w:ascii="Arial" w:eastAsia="Calibri" w:hAnsi="Arial" w:cs="Arial"/>
        </w:rPr>
        <w:t>Focus on:</w:t>
      </w:r>
    </w:p>
    <w:p w14:paraId="3AE28D63" w14:textId="77777777" w:rsidR="003D66AD" w:rsidRDefault="003D66AD" w:rsidP="003D66AD">
      <w:pPr>
        <w:numPr>
          <w:ilvl w:val="1"/>
          <w:numId w:val="6"/>
        </w:numPr>
        <w:jc w:val="both"/>
        <w:rPr>
          <w:rFonts w:ascii="Arial" w:eastAsia="Calibri" w:hAnsi="Arial" w:cs="Arial"/>
        </w:rPr>
      </w:pPr>
      <w:r>
        <w:rPr>
          <w:rFonts w:ascii="Arial" w:eastAsia="Calibri" w:hAnsi="Arial" w:cs="Arial"/>
        </w:rPr>
        <w:t>Male parents</w:t>
      </w:r>
    </w:p>
    <w:p w14:paraId="2056D301" w14:textId="77777777" w:rsidR="003D66AD" w:rsidRDefault="003D66AD" w:rsidP="003D66AD">
      <w:pPr>
        <w:numPr>
          <w:ilvl w:val="1"/>
          <w:numId w:val="6"/>
        </w:numPr>
        <w:jc w:val="both"/>
        <w:rPr>
          <w:rFonts w:ascii="Arial" w:eastAsia="Calibri" w:hAnsi="Arial" w:cs="Arial"/>
        </w:rPr>
      </w:pPr>
      <w:r>
        <w:rPr>
          <w:rFonts w:ascii="Arial" w:eastAsia="Calibri" w:hAnsi="Arial" w:cs="Arial"/>
        </w:rPr>
        <w:t>Low-income families</w:t>
      </w:r>
    </w:p>
    <w:p w14:paraId="3DE97E24" w14:textId="77777777" w:rsidR="003D66AD" w:rsidRDefault="003D66AD" w:rsidP="003D66AD">
      <w:pPr>
        <w:numPr>
          <w:ilvl w:val="1"/>
          <w:numId w:val="6"/>
        </w:numPr>
        <w:jc w:val="both"/>
        <w:rPr>
          <w:rFonts w:ascii="Arial" w:eastAsia="Calibri" w:hAnsi="Arial" w:cs="Arial"/>
        </w:rPr>
      </w:pPr>
      <w:r>
        <w:rPr>
          <w:rFonts w:ascii="Arial" w:eastAsia="Calibri" w:hAnsi="Arial" w:cs="Arial"/>
        </w:rPr>
        <w:t>Unemployed/self-employed parents</w:t>
      </w:r>
    </w:p>
    <w:p w14:paraId="41990E6F" w14:textId="77777777" w:rsidR="003D66AD" w:rsidRDefault="003D66AD" w:rsidP="003D66AD">
      <w:pPr>
        <w:numPr>
          <w:ilvl w:val="1"/>
          <w:numId w:val="6"/>
        </w:numPr>
        <w:jc w:val="both"/>
        <w:rPr>
          <w:rFonts w:ascii="Arial" w:eastAsia="Calibri" w:hAnsi="Arial" w:cs="Arial"/>
        </w:rPr>
      </w:pPr>
      <w:r>
        <w:rPr>
          <w:rFonts w:ascii="Arial" w:eastAsia="Calibri" w:hAnsi="Arial" w:cs="Arial"/>
        </w:rPr>
        <w:t>Parents with no formal or only elementary education</w:t>
      </w:r>
    </w:p>
    <w:p w14:paraId="27CB8C9F" w14:textId="77777777" w:rsidR="003D66AD" w:rsidRDefault="002B4203" w:rsidP="003D66AD">
      <w:pPr>
        <w:jc w:val="center"/>
        <w:rPr>
          <w:rFonts w:ascii="Arial" w:eastAsia="Calibri" w:hAnsi="Arial" w:cs="Arial"/>
          <w:noProof/>
        </w:rPr>
      </w:pPr>
      <w:r>
        <w:rPr>
          <w:rFonts w:ascii="Arial" w:eastAsia="Calibri" w:hAnsi="Arial" w:cs="Arial"/>
          <w:noProof/>
        </w:rPr>
        <w:pict w14:anchorId="62230375">
          <v:rect id="_x0000_i1028" style="width:206.4pt;height:.6pt" o:hrpct="610" o:hralign="center" o:hrstd="t" o:hr="t" fillcolor="#a0a0a0" stroked="f"/>
        </w:pict>
      </w:r>
    </w:p>
    <w:p w14:paraId="46DE7080" w14:textId="77777777" w:rsidR="003D66AD" w:rsidRDefault="003D66AD" w:rsidP="003D66AD">
      <w:pPr>
        <w:jc w:val="both"/>
        <w:rPr>
          <w:rFonts w:ascii="Arial" w:eastAsia="Calibri" w:hAnsi="Arial" w:cs="Arial"/>
          <w:b/>
          <w:bCs/>
        </w:rPr>
      </w:pPr>
      <w:r>
        <w:rPr>
          <w:rFonts w:ascii="Arial" w:eastAsia="Calibri" w:hAnsi="Arial" w:cs="Arial"/>
          <w:b/>
          <w:bCs/>
        </w:rPr>
        <w:t>IV. Program Components</w:t>
      </w:r>
    </w:p>
    <w:p w14:paraId="5E8EB5F1" w14:textId="77777777" w:rsidR="003D66AD" w:rsidRDefault="003D66AD" w:rsidP="003D66AD">
      <w:pPr>
        <w:jc w:val="both"/>
        <w:rPr>
          <w:rFonts w:ascii="Arial" w:eastAsia="Calibri" w:hAnsi="Arial" w:cs="Arial"/>
          <w:b/>
          <w:bCs/>
        </w:rPr>
      </w:pPr>
      <w:r>
        <w:rPr>
          <w:rFonts w:ascii="Arial" w:eastAsia="Calibri" w:hAnsi="Arial" w:cs="Arial"/>
          <w:b/>
          <w:bCs/>
        </w:rPr>
        <w:t>1. Parent Orientation Sessions (Quarterly)</w:t>
      </w:r>
    </w:p>
    <w:p w14:paraId="23E6B76B" w14:textId="77777777" w:rsidR="003D66AD" w:rsidRDefault="003D66AD" w:rsidP="003D66AD">
      <w:pPr>
        <w:numPr>
          <w:ilvl w:val="0"/>
          <w:numId w:val="7"/>
        </w:numPr>
        <w:jc w:val="both"/>
        <w:rPr>
          <w:rFonts w:ascii="Arial" w:eastAsia="Calibri" w:hAnsi="Arial" w:cs="Arial"/>
        </w:rPr>
      </w:pPr>
      <w:r>
        <w:rPr>
          <w:rFonts w:ascii="Arial" w:eastAsia="Calibri" w:hAnsi="Arial" w:cs="Arial"/>
        </w:rPr>
        <w:t>Conducted at schools, barangay halls, and community centers.</w:t>
      </w:r>
    </w:p>
    <w:p w14:paraId="651747AE" w14:textId="77777777" w:rsidR="003D66AD" w:rsidRDefault="003D66AD" w:rsidP="003D66AD">
      <w:pPr>
        <w:numPr>
          <w:ilvl w:val="0"/>
          <w:numId w:val="7"/>
        </w:numPr>
        <w:jc w:val="both"/>
        <w:rPr>
          <w:rFonts w:ascii="Arial" w:eastAsia="Calibri" w:hAnsi="Arial" w:cs="Arial"/>
        </w:rPr>
      </w:pPr>
      <w:r>
        <w:rPr>
          <w:rFonts w:ascii="Arial" w:eastAsia="Calibri" w:hAnsi="Arial" w:cs="Arial"/>
        </w:rPr>
        <w:t>Language of instruction: mother tongue/regional language.</w:t>
      </w:r>
    </w:p>
    <w:p w14:paraId="4925C6D0" w14:textId="77777777" w:rsidR="003D66AD" w:rsidRDefault="003D66AD" w:rsidP="003D66AD">
      <w:pPr>
        <w:numPr>
          <w:ilvl w:val="0"/>
          <w:numId w:val="7"/>
        </w:numPr>
        <w:jc w:val="both"/>
        <w:rPr>
          <w:rFonts w:ascii="Arial" w:eastAsia="Calibri" w:hAnsi="Arial" w:cs="Arial"/>
        </w:rPr>
      </w:pPr>
      <w:r>
        <w:rPr>
          <w:rFonts w:ascii="Arial" w:eastAsia="Calibri" w:hAnsi="Arial" w:cs="Arial"/>
        </w:rPr>
        <w:t>Topics:</w:t>
      </w:r>
    </w:p>
    <w:p w14:paraId="4948E2EB" w14:textId="77777777" w:rsidR="003D66AD" w:rsidRDefault="003D66AD" w:rsidP="003D66AD">
      <w:pPr>
        <w:numPr>
          <w:ilvl w:val="1"/>
          <w:numId w:val="7"/>
        </w:numPr>
        <w:jc w:val="both"/>
        <w:rPr>
          <w:rFonts w:ascii="Arial" w:eastAsia="Calibri" w:hAnsi="Arial" w:cs="Arial"/>
        </w:rPr>
      </w:pPr>
      <w:r>
        <w:rPr>
          <w:rFonts w:ascii="Arial" w:eastAsia="Calibri" w:hAnsi="Arial" w:cs="Arial"/>
        </w:rPr>
        <w:t>Overview of the K to 12 Language Curriculum</w:t>
      </w:r>
    </w:p>
    <w:p w14:paraId="0C36248C" w14:textId="77777777" w:rsidR="003D66AD" w:rsidRDefault="003D66AD" w:rsidP="003D66AD">
      <w:pPr>
        <w:numPr>
          <w:ilvl w:val="1"/>
          <w:numId w:val="7"/>
        </w:numPr>
        <w:jc w:val="both"/>
        <w:rPr>
          <w:rFonts w:ascii="Arial" w:eastAsia="Calibri" w:hAnsi="Arial" w:cs="Arial"/>
        </w:rPr>
      </w:pPr>
      <w:r>
        <w:rPr>
          <w:rFonts w:ascii="Arial" w:eastAsia="Calibri" w:hAnsi="Arial" w:cs="Arial"/>
        </w:rPr>
        <w:t>Importance of mother tongue in early education</w:t>
      </w:r>
    </w:p>
    <w:p w14:paraId="1424B3CD" w14:textId="77777777" w:rsidR="003D66AD" w:rsidRDefault="003D66AD" w:rsidP="003D66AD">
      <w:pPr>
        <w:numPr>
          <w:ilvl w:val="1"/>
          <w:numId w:val="7"/>
        </w:numPr>
        <w:jc w:val="both"/>
        <w:rPr>
          <w:rFonts w:ascii="Arial" w:eastAsia="Calibri" w:hAnsi="Arial" w:cs="Arial"/>
        </w:rPr>
      </w:pPr>
      <w:r>
        <w:rPr>
          <w:rFonts w:ascii="Arial" w:eastAsia="Calibri" w:hAnsi="Arial" w:cs="Arial"/>
        </w:rPr>
        <w:t>Roles of parents in language development</w:t>
      </w:r>
    </w:p>
    <w:p w14:paraId="5F128800" w14:textId="77777777" w:rsidR="003D66AD" w:rsidRDefault="003D66AD" w:rsidP="003D66AD">
      <w:pPr>
        <w:jc w:val="both"/>
        <w:rPr>
          <w:rFonts w:ascii="Arial" w:eastAsia="Calibri" w:hAnsi="Arial" w:cs="Arial"/>
          <w:b/>
          <w:bCs/>
        </w:rPr>
      </w:pPr>
      <w:r>
        <w:rPr>
          <w:rFonts w:ascii="Arial" w:eastAsia="Calibri" w:hAnsi="Arial" w:cs="Arial"/>
          <w:b/>
          <w:bCs/>
        </w:rPr>
        <w:t>2. Mobile “K-12 Info Caravan”</w:t>
      </w:r>
    </w:p>
    <w:p w14:paraId="64F8619B" w14:textId="77777777" w:rsidR="003D66AD" w:rsidRDefault="003D66AD" w:rsidP="003D66AD">
      <w:pPr>
        <w:numPr>
          <w:ilvl w:val="0"/>
          <w:numId w:val="8"/>
        </w:numPr>
        <w:jc w:val="both"/>
        <w:rPr>
          <w:rFonts w:ascii="Arial" w:eastAsia="Calibri" w:hAnsi="Arial" w:cs="Arial"/>
        </w:rPr>
      </w:pPr>
      <w:r>
        <w:rPr>
          <w:rFonts w:ascii="Arial" w:eastAsia="Calibri" w:hAnsi="Arial" w:cs="Arial"/>
        </w:rPr>
        <w:t>Roving info sessions to reach far-flung communities.</w:t>
      </w:r>
    </w:p>
    <w:p w14:paraId="27C56FF2" w14:textId="77777777" w:rsidR="003D66AD" w:rsidRDefault="003D66AD" w:rsidP="003D66AD">
      <w:pPr>
        <w:numPr>
          <w:ilvl w:val="0"/>
          <w:numId w:val="8"/>
        </w:numPr>
        <w:jc w:val="both"/>
        <w:rPr>
          <w:rFonts w:ascii="Arial" w:eastAsia="Calibri" w:hAnsi="Arial" w:cs="Arial"/>
        </w:rPr>
      </w:pPr>
      <w:r>
        <w:rPr>
          <w:rFonts w:ascii="Arial" w:eastAsia="Calibri" w:hAnsi="Arial" w:cs="Arial"/>
        </w:rPr>
        <w:t>Equipped with printed modules, videos, and visual aids.</w:t>
      </w:r>
    </w:p>
    <w:p w14:paraId="5C645B52" w14:textId="77777777" w:rsidR="003D66AD" w:rsidRDefault="003D66AD" w:rsidP="003D66AD">
      <w:pPr>
        <w:numPr>
          <w:ilvl w:val="0"/>
          <w:numId w:val="8"/>
        </w:numPr>
        <w:jc w:val="both"/>
        <w:rPr>
          <w:rFonts w:ascii="Arial" w:eastAsia="Calibri" w:hAnsi="Arial" w:cs="Arial"/>
        </w:rPr>
      </w:pPr>
      <w:r>
        <w:rPr>
          <w:rFonts w:ascii="Arial" w:eastAsia="Calibri" w:hAnsi="Arial" w:cs="Arial"/>
        </w:rPr>
        <w:t>Led by trained teachers, school heads, and volunteer parents.</w:t>
      </w:r>
    </w:p>
    <w:p w14:paraId="111052C7" w14:textId="77777777" w:rsidR="003D66AD" w:rsidRDefault="003D66AD" w:rsidP="003D66AD">
      <w:pPr>
        <w:jc w:val="both"/>
        <w:rPr>
          <w:rFonts w:ascii="Arial" w:eastAsia="Calibri" w:hAnsi="Arial" w:cs="Arial"/>
          <w:b/>
          <w:bCs/>
        </w:rPr>
      </w:pPr>
      <w:r>
        <w:rPr>
          <w:rFonts w:ascii="Arial" w:eastAsia="Calibri" w:hAnsi="Arial" w:cs="Arial"/>
          <w:b/>
          <w:bCs/>
        </w:rPr>
        <w:t>3. Barangay-Based “Parent Education Circles”</w:t>
      </w:r>
    </w:p>
    <w:p w14:paraId="3A4444AE" w14:textId="77777777" w:rsidR="003D66AD" w:rsidRDefault="003D66AD" w:rsidP="003D66AD">
      <w:pPr>
        <w:numPr>
          <w:ilvl w:val="0"/>
          <w:numId w:val="9"/>
        </w:numPr>
        <w:jc w:val="both"/>
        <w:rPr>
          <w:rFonts w:ascii="Arial" w:eastAsia="Calibri" w:hAnsi="Arial" w:cs="Arial"/>
        </w:rPr>
      </w:pPr>
      <w:r>
        <w:rPr>
          <w:rFonts w:ascii="Arial" w:eastAsia="Calibri" w:hAnsi="Arial" w:cs="Arial"/>
        </w:rPr>
        <w:t>School PTA members facilitate monthly meetings.</w:t>
      </w:r>
    </w:p>
    <w:p w14:paraId="680B9D60" w14:textId="77777777" w:rsidR="003D66AD" w:rsidRDefault="003D66AD" w:rsidP="003D66AD">
      <w:pPr>
        <w:numPr>
          <w:ilvl w:val="0"/>
          <w:numId w:val="9"/>
        </w:numPr>
        <w:jc w:val="both"/>
        <w:rPr>
          <w:rFonts w:ascii="Arial" w:eastAsia="Calibri" w:hAnsi="Arial" w:cs="Arial"/>
        </w:rPr>
      </w:pPr>
      <w:r>
        <w:rPr>
          <w:rFonts w:ascii="Arial" w:eastAsia="Calibri" w:hAnsi="Arial" w:cs="Arial"/>
        </w:rPr>
        <w:t>Peer learning and discussion groups.</w:t>
      </w:r>
    </w:p>
    <w:p w14:paraId="20A167BC" w14:textId="77777777" w:rsidR="003D66AD" w:rsidRDefault="003D66AD" w:rsidP="003D66AD">
      <w:pPr>
        <w:numPr>
          <w:ilvl w:val="0"/>
          <w:numId w:val="9"/>
        </w:numPr>
        <w:jc w:val="both"/>
        <w:rPr>
          <w:rFonts w:ascii="Arial" w:eastAsia="Calibri" w:hAnsi="Arial" w:cs="Arial"/>
        </w:rPr>
      </w:pPr>
      <w:r>
        <w:rPr>
          <w:rFonts w:ascii="Arial" w:eastAsia="Calibri" w:hAnsi="Arial" w:cs="Arial"/>
        </w:rPr>
        <w:t>Focus on low-literacy-friendly materials (infographics, audio guides, sample learning activities).</w:t>
      </w:r>
    </w:p>
    <w:p w14:paraId="6B155470" w14:textId="77777777" w:rsidR="003D66AD" w:rsidRDefault="003D66AD" w:rsidP="003D66AD">
      <w:pPr>
        <w:jc w:val="both"/>
        <w:rPr>
          <w:rFonts w:ascii="Arial" w:eastAsia="Calibri" w:hAnsi="Arial" w:cs="Arial"/>
          <w:b/>
          <w:bCs/>
        </w:rPr>
      </w:pPr>
      <w:r>
        <w:rPr>
          <w:rFonts w:ascii="Arial" w:eastAsia="Calibri" w:hAnsi="Arial" w:cs="Arial"/>
          <w:b/>
          <w:bCs/>
        </w:rPr>
        <w:t>4. Father Engagement Initiative</w:t>
      </w:r>
    </w:p>
    <w:p w14:paraId="2C552EEC" w14:textId="77777777" w:rsidR="003D66AD" w:rsidRDefault="003D66AD" w:rsidP="003D66AD">
      <w:pPr>
        <w:numPr>
          <w:ilvl w:val="0"/>
          <w:numId w:val="10"/>
        </w:numPr>
        <w:jc w:val="both"/>
        <w:rPr>
          <w:rFonts w:ascii="Arial" w:eastAsia="Calibri" w:hAnsi="Arial" w:cs="Arial"/>
        </w:rPr>
      </w:pPr>
      <w:r>
        <w:rPr>
          <w:rFonts w:ascii="Arial" w:eastAsia="Calibri" w:hAnsi="Arial" w:cs="Arial"/>
        </w:rPr>
        <w:t>“</w:t>
      </w:r>
      <w:proofErr w:type="spellStart"/>
      <w:r>
        <w:rPr>
          <w:rFonts w:ascii="Arial" w:eastAsia="Calibri" w:hAnsi="Arial" w:cs="Arial"/>
        </w:rPr>
        <w:t>Tatays</w:t>
      </w:r>
      <w:proofErr w:type="spellEnd"/>
      <w:r>
        <w:rPr>
          <w:rFonts w:ascii="Arial" w:eastAsia="Calibri" w:hAnsi="Arial" w:cs="Arial"/>
        </w:rPr>
        <w:t xml:space="preserve"> para </w:t>
      </w:r>
      <w:proofErr w:type="spellStart"/>
      <w:r>
        <w:rPr>
          <w:rFonts w:ascii="Arial" w:eastAsia="Calibri" w:hAnsi="Arial" w:cs="Arial"/>
        </w:rPr>
        <w:t>sa</w:t>
      </w:r>
      <w:proofErr w:type="spellEnd"/>
      <w:r>
        <w:rPr>
          <w:rFonts w:ascii="Arial" w:eastAsia="Calibri" w:hAnsi="Arial" w:cs="Arial"/>
        </w:rPr>
        <w:t xml:space="preserve"> </w:t>
      </w:r>
      <w:proofErr w:type="spellStart"/>
      <w:r>
        <w:rPr>
          <w:rFonts w:ascii="Arial" w:eastAsia="Calibri" w:hAnsi="Arial" w:cs="Arial"/>
        </w:rPr>
        <w:t>Edukasyon</w:t>
      </w:r>
      <w:proofErr w:type="spellEnd"/>
      <w:r>
        <w:rPr>
          <w:rFonts w:ascii="Arial" w:eastAsia="Calibri" w:hAnsi="Arial" w:cs="Arial"/>
        </w:rPr>
        <w:t>” workshops</w:t>
      </w:r>
    </w:p>
    <w:p w14:paraId="5AF5CC4E" w14:textId="77777777" w:rsidR="003D66AD" w:rsidRDefault="003D66AD" w:rsidP="003D66AD">
      <w:pPr>
        <w:numPr>
          <w:ilvl w:val="0"/>
          <w:numId w:val="10"/>
        </w:numPr>
        <w:jc w:val="both"/>
        <w:rPr>
          <w:rFonts w:ascii="Arial" w:eastAsia="Calibri" w:hAnsi="Arial" w:cs="Arial"/>
        </w:rPr>
      </w:pPr>
      <w:r>
        <w:rPr>
          <w:rFonts w:ascii="Arial" w:eastAsia="Calibri" w:hAnsi="Arial" w:cs="Arial"/>
        </w:rPr>
        <w:t>Promote father involvement through male-led sessions and success stories.</w:t>
      </w:r>
    </w:p>
    <w:p w14:paraId="22ABAB7F" w14:textId="77777777" w:rsidR="003D66AD" w:rsidRDefault="003D66AD" w:rsidP="003D66AD">
      <w:pPr>
        <w:numPr>
          <w:ilvl w:val="0"/>
          <w:numId w:val="10"/>
        </w:numPr>
        <w:jc w:val="both"/>
        <w:rPr>
          <w:rFonts w:ascii="Arial" w:eastAsia="Calibri" w:hAnsi="Arial" w:cs="Arial"/>
        </w:rPr>
      </w:pPr>
      <w:r>
        <w:rPr>
          <w:rFonts w:ascii="Arial" w:eastAsia="Calibri" w:hAnsi="Arial" w:cs="Arial"/>
        </w:rPr>
        <w:t>Address barriers to male participation in school affairs.</w:t>
      </w:r>
    </w:p>
    <w:p w14:paraId="2EDEF4D7" w14:textId="77777777" w:rsidR="003D66AD" w:rsidRDefault="003D66AD" w:rsidP="003D66AD">
      <w:pPr>
        <w:jc w:val="both"/>
        <w:rPr>
          <w:rFonts w:ascii="Arial" w:eastAsia="Calibri" w:hAnsi="Arial" w:cs="Arial"/>
          <w:b/>
          <w:bCs/>
        </w:rPr>
      </w:pPr>
      <w:r>
        <w:rPr>
          <w:rFonts w:ascii="Arial" w:eastAsia="Calibri" w:hAnsi="Arial" w:cs="Arial"/>
          <w:b/>
          <w:bCs/>
        </w:rPr>
        <w:t>5. IEC Materials Development and Distribution</w:t>
      </w:r>
    </w:p>
    <w:p w14:paraId="3A639D72" w14:textId="77777777" w:rsidR="003D66AD" w:rsidRDefault="003D66AD" w:rsidP="003D66AD">
      <w:pPr>
        <w:numPr>
          <w:ilvl w:val="0"/>
          <w:numId w:val="11"/>
        </w:numPr>
        <w:jc w:val="both"/>
        <w:rPr>
          <w:rFonts w:ascii="Arial" w:eastAsia="Calibri" w:hAnsi="Arial" w:cs="Arial"/>
        </w:rPr>
      </w:pPr>
      <w:r>
        <w:rPr>
          <w:rFonts w:ascii="Arial" w:eastAsia="Calibri" w:hAnsi="Arial" w:cs="Arial"/>
        </w:rPr>
        <w:t>Flyers, brochures, and comic-style leaflets in the mother tongues</w:t>
      </w:r>
    </w:p>
    <w:p w14:paraId="1A9BE0E1" w14:textId="77777777" w:rsidR="003D66AD" w:rsidRDefault="003D66AD" w:rsidP="003D66AD">
      <w:pPr>
        <w:numPr>
          <w:ilvl w:val="0"/>
          <w:numId w:val="11"/>
        </w:numPr>
        <w:jc w:val="both"/>
        <w:rPr>
          <w:rFonts w:ascii="Arial" w:eastAsia="Calibri" w:hAnsi="Arial" w:cs="Arial"/>
        </w:rPr>
      </w:pPr>
      <w:r>
        <w:rPr>
          <w:rFonts w:ascii="Arial" w:eastAsia="Calibri" w:hAnsi="Arial" w:cs="Arial"/>
        </w:rPr>
        <w:t>Radio segments and local TV public service announcements</w:t>
      </w:r>
    </w:p>
    <w:p w14:paraId="690ECFA2" w14:textId="77777777" w:rsidR="003D66AD" w:rsidRDefault="003D66AD" w:rsidP="003D66AD">
      <w:pPr>
        <w:numPr>
          <w:ilvl w:val="0"/>
          <w:numId w:val="11"/>
        </w:numPr>
        <w:jc w:val="both"/>
        <w:rPr>
          <w:rFonts w:ascii="Arial" w:eastAsia="Calibri" w:hAnsi="Arial" w:cs="Arial"/>
        </w:rPr>
      </w:pPr>
      <w:r>
        <w:rPr>
          <w:rFonts w:ascii="Arial" w:eastAsia="Calibri" w:hAnsi="Arial" w:cs="Arial"/>
        </w:rPr>
        <w:t>Facebook page and community group with bite-sized info posts</w:t>
      </w:r>
    </w:p>
    <w:p w14:paraId="78406705" w14:textId="77777777" w:rsidR="003D66AD" w:rsidRDefault="003D66AD" w:rsidP="003D66AD">
      <w:pPr>
        <w:jc w:val="both"/>
        <w:rPr>
          <w:rFonts w:ascii="Arial" w:eastAsia="Calibri" w:hAnsi="Arial" w:cs="Arial"/>
          <w:b/>
          <w:bCs/>
        </w:rPr>
      </w:pPr>
      <w:r>
        <w:rPr>
          <w:rFonts w:ascii="Arial" w:eastAsia="Calibri" w:hAnsi="Arial" w:cs="Arial"/>
          <w:b/>
          <w:bCs/>
        </w:rPr>
        <w:lastRenderedPageBreak/>
        <w:t>6. Capacity-Building for Teachers and Barangay Officials</w:t>
      </w:r>
    </w:p>
    <w:p w14:paraId="59BD1D9B" w14:textId="77777777" w:rsidR="003D66AD" w:rsidRDefault="003D66AD" w:rsidP="003D66AD">
      <w:pPr>
        <w:numPr>
          <w:ilvl w:val="0"/>
          <w:numId w:val="12"/>
        </w:numPr>
        <w:jc w:val="both"/>
        <w:rPr>
          <w:rFonts w:ascii="Arial" w:eastAsia="Calibri" w:hAnsi="Arial" w:cs="Arial"/>
        </w:rPr>
      </w:pPr>
      <w:r>
        <w:rPr>
          <w:rFonts w:ascii="Arial" w:eastAsia="Calibri" w:hAnsi="Arial" w:cs="Arial"/>
        </w:rPr>
        <w:t>Training on community communication and parental engagement strategies.</w:t>
      </w:r>
    </w:p>
    <w:p w14:paraId="4725A7A3" w14:textId="77777777" w:rsidR="003D66AD" w:rsidRDefault="003D66AD" w:rsidP="003D66AD">
      <w:pPr>
        <w:numPr>
          <w:ilvl w:val="0"/>
          <w:numId w:val="12"/>
        </w:numPr>
        <w:jc w:val="both"/>
        <w:rPr>
          <w:rFonts w:ascii="Arial" w:eastAsia="Calibri" w:hAnsi="Arial" w:cs="Arial"/>
        </w:rPr>
      </w:pPr>
      <w:r>
        <w:rPr>
          <w:rFonts w:ascii="Arial" w:eastAsia="Calibri" w:hAnsi="Arial" w:cs="Arial"/>
        </w:rPr>
        <w:t>Partnership with DepEd, LGUs, and local NGOs for support and sustainability.</w:t>
      </w:r>
    </w:p>
    <w:p w14:paraId="0A9CFA60" w14:textId="77777777" w:rsidR="003D66AD" w:rsidRDefault="002B4203" w:rsidP="003D66AD">
      <w:pPr>
        <w:jc w:val="center"/>
        <w:rPr>
          <w:rFonts w:ascii="Arial" w:eastAsia="Calibri" w:hAnsi="Arial" w:cs="Arial"/>
          <w:noProof/>
        </w:rPr>
      </w:pPr>
      <w:r>
        <w:rPr>
          <w:rFonts w:ascii="Arial" w:eastAsia="Calibri" w:hAnsi="Arial" w:cs="Arial"/>
          <w:noProof/>
        </w:rPr>
        <w:pict w14:anchorId="7448918B">
          <v:rect id="_x0000_i1029" style="width:228.4pt;height:.6pt" o:hrpct="610" o:hralign="center" o:hrstd="t" o:hr="t" fillcolor="#a0a0a0" stroked="f"/>
        </w:pict>
      </w:r>
    </w:p>
    <w:p w14:paraId="433DE667" w14:textId="77777777" w:rsidR="003D66AD" w:rsidRDefault="003D66AD" w:rsidP="003D66AD">
      <w:pPr>
        <w:jc w:val="both"/>
        <w:rPr>
          <w:rFonts w:ascii="Arial" w:eastAsia="Calibri" w:hAnsi="Arial" w:cs="Arial"/>
          <w:b/>
          <w:bCs/>
        </w:rPr>
      </w:pPr>
      <w:r>
        <w:rPr>
          <w:rFonts w:ascii="Arial" w:eastAsia="Calibri" w:hAnsi="Arial" w:cs="Arial"/>
          <w:b/>
          <w:bCs/>
        </w:rPr>
        <w:t>V. Implementation Timeline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4362"/>
        <w:gridCol w:w="1378"/>
      </w:tblGrid>
      <w:tr w:rsidR="003D66AD" w14:paraId="6A455694" w14:textId="77777777" w:rsidTr="003D66AD">
        <w:tc>
          <w:tcPr>
            <w:tcW w:w="0" w:type="auto"/>
            <w:hideMark/>
          </w:tcPr>
          <w:p w14:paraId="38BCD9BB" w14:textId="77777777" w:rsidR="003D66AD" w:rsidRDefault="003D66AD">
            <w:pPr>
              <w:jc w:val="both"/>
              <w:rPr>
                <w:rFonts w:ascii="Arial" w:eastAsia="Calibri" w:hAnsi="Arial" w:cs="Arial"/>
                <w:b/>
                <w:bCs/>
              </w:rPr>
            </w:pPr>
            <w:r>
              <w:rPr>
                <w:rFonts w:ascii="Arial" w:eastAsia="Calibri" w:hAnsi="Arial" w:cs="Arial"/>
                <w:b/>
                <w:bCs/>
              </w:rPr>
              <w:t>Phase</w:t>
            </w:r>
          </w:p>
        </w:tc>
        <w:tc>
          <w:tcPr>
            <w:tcW w:w="0" w:type="auto"/>
            <w:hideMark/>
          </w:tcPr>
          <w:p w14:paraId="3FF9AC62" w14:textId="77777777" w:rsidR="003D66AD" w:rsidRDefault="003D66AD">
            <w:pPr>
              <w:jc w:val="both"/>
              <w:rPr>
                <w:rFonts w:ascii="Arial" w:eastAsia="Calibri" w:hAnsi="Arial" w:cs="Arial"/>
                <w:b/>
                <w:bCs/>
              </w:rPr>
            </w:pPr>
            <w:r>
              <w:rPr>
                <w:rFonts w:ascii="Arial" w:eastAsia="Calibri" w:hAnsi="Arial" w:cs="Arial"/>
                <w:b/>
                <w:bCs/>
              </w:rPr>
              <w:t>Activities</w:t>
            </w:r>
          </w:p>
        </w:tc>
        <w:tc>
          <w:tcPr>
            <w:tcW w:w="0" w:type="auto"/>
            <w:hideMark/>
          </w:tcPr>
          <w:p w14:paraId="6856F015" w14:textId="77777777" w:rsidR="003D66AD" w:rsidRDefault="003D66AD">
            <w:pPr>
              <w:jc w:val="both"/>
              <w:rPr>
                <w:rFonts w:ascii="Arial" w:eastAsia="Calibri" w:hAnsi="Arial" w:cs="Arial"/>
                <w:b/>
                <w:bCs/>
              </w:rPr>
            </w:pPr>
            <w:r>
              <w:rPr>
                <w:rFonts w:ascii="Arial" w:eastAsia="Calibri" w:hAnsi="Arial" w:cs="Arial"/>
                <w:b/>
                <w:bCs/>
              </w:rPr>
              <w:t>Timeline</w:t>
            </w:r>
          </w:p>
        </w:tc>
      </w:tr>
      <w:tr w:rsidR="003D66AD" w14:paraId="27E089D3" w14:textId="77777777" w:rsidTr="003D66AD">
        <w:tc>
          <w:tcPr>
            <w:tcW w:w="0" w:type="auto"/>
            <w:hideMark/>
          </w:tcPr>
          <w:p w14:paraId="01175CC3" w14:textId="77777777" w:rsidR="003D66AD" w:rsidRDefault="003D66AD">
            <w:pPr>
              <w:jc w:val="both"/>
              <w:rPr>
                <w:rFonts w:ascii="Arial" w:eastAsia="Calibri" w:hAnsi="Arial" w:cs="Arial"/>
              </w:rPr>
            </w:pPr>
            <w:r>
              <w:rPr>
                <w:rFonts w:ascii="Arial" w:eastAsia="Calibri" w:hAnsi="Arial" w:cs="Arial"/>
              </w:rPr>
              <w:t>Planning</w:t>
            </w:r>
          </w:p>
        </w:tc>
        <w:tc>
          <w:tcPr>
            <w:tcW w:w="0" w:type="auto"/>
            <w:hideMark/>
          </w:tcPr>
          <w:p w14:paraId="784E5504" w14:textId="77777777" w:rsidR="003D66AD" w:rsidRDefault="003D66AD">
            <w:pPr>
              <w:jc w:val="both"/>
              <w:rPr>
                <w:rFonts w:ascii="Arial" w:eastAsia="Calibri" w:hAnsi="Arial" w:cs="Arial"/>
              </w:rPr>
            </w:pPr>
            <w:r>
              <w:rPr>
                <w:rFonts w:ascii="Arial" w:eastAsia="Calibri" w:hAnsi="Arial" w:cs="Arial"/>
              </w:rPr>
              <w:t>Needs assessment, coordination meetings</w:t>
            </w:r>
          </w:p>
        </w:tc>
        <w:tc>
          <w:tcPr>
            <w:tcW w:w="0" w:type="auto"/>
            <w:hideMark/>
          </w:tcPr>
          <w:p w14:paraId="702072C9" w14:textId="77777777" w:rsidR="003D66AD" w:rsidRDefault="003D66AD">
            <w:pPr>
              <w:jc w:val="both"/>
              <w:rPr>
                <w:rFonts w:ascii="Arial" w:eastAsia="Calibri" w:hAnsi="Arial" w:cs="Arial"/>
              </w:rPr>
            </w:pPr>
            <w:r>
              <w:rPr>
                <w:rFonts w:ascii="Arial" w:eastAsia="Calibri" w:hAnsi="Arial" w:cs="Arial"/>
              </w:rPr>
              <w:t>Month 1</w:t>
            </w:r>
          </w:p>
        </w:tc>
      </w:tr>
      <w:tr w:rsidR="003D66AD" w14:paraId="59D31021" w14:textId="77777777" w:rsidTr="003D66AD">
        <w:tc>
          <w:tcPr>
            <w:tcW w:w="0" w:type="auto"/>
            <w:hideMark/>
          </w:tcPr>
          <w:p w14:paraId="6C14206B" w14:textId="77777777" w:rsidR="003D66AD" w:rsidRDefault="003D66AD">
            <w:pPr>
              <w:jc w:val="both"/>
              <w:rPr>
                <w:rFonts w:ascii="Arial" w:eastAsia="Calibri" w:hAnsi="Arial" w:cs="Arial"/>
              </w:rPr>
            </w:pPr>
            <w:r>
              <w:rPr>
                <w:rFonts w:ascii="Arial" w:eastAsia="Calibri" w:hAnsi="Arial" w:cs="Arial"/>
              </w:rPr>
              <w:t>Development</w:t>
            </w:r>
          </w:p>
        </w:tc>
        <w:tc>
          <w:tcPr>
            <w:tcW w:w="0" w:type="auto"/>
            <w:hideMark/>
          </w:tcPr>
          <w:p w14:paraId="5B2C8E9F" w14:textId="77777777" w:rsidR="003D66AD" w:rsidRDefault="003D66AD">
            <w:pPr>
              <w:jc w:val="both"/>
              <w:rPr>
                <w:rFonts w:ascii="Arial" w:eastAsia="Calibri" w:hAnsi="Arial" w:cs="Arial"/>
              </w:rPr>
            </w:pPr>
            <w:r>
              <w:rPr>
                <w:rFonts w:ascii="Arial" w:eastAsia="Calibri" w:hAnsi="Arial" w:cs="Arial"/>
              </w:rPr>
              <w:t>IEC creation, training of facilitators</w:t>
            </w:r>
          </w:p>
        </w:tc>
        <w:tc>
          <w:tcPr>
            <w:tcW w:w="0" w:type="auto"/>
            <w:hideMark/>
          </w:tcPr>
          <w:p w14:paraId="57685D60" w14:textId="77777777" w:rsidR="003D66AD" w:rsidRDefault="003D66AD">
            <w:pPr>
              <w:jc w:val="both"/>
              <w:rPr>
                <w:rFonts w:ascii="Arial" w:eastAsia="Calibri" w:hAnsi="Arial" w:cs="Arial"/>
              </w:rPr>
            </w:pPr>
            <w:r>
              <w:rPr>
                <w:rFonts w:ascii="Arial" w:eastAsia="Calibri" w:hAnsi="Arial" w:cs="Arial"/>
              </w:rPr>
              <w:t>Month 2–3</w:t>
            </w:r>
          </w:p>
        </w:tc>
      </w:tr>
      <w:tr w:rsidR="003D66AD" w14:paraId="309D8A64" w14:textId="77777777" w:rsidTr="003D66AD">
        <w:tc>
          <w:tcPr>
            <w:tcW w:w="0" w:type="auto"/>
            <w:hideMark/>
          </w:tcPr>
          <w:p w14:paraId="111E9D2E" w14:textId="77777777" w:rsidR="003D66AD" w:rsidRDefault="003D66AD">
            <w:pPr>
              <w:jc w:val="both"/>
              <w:rPr>
                <w:rFonts w:ascii="Arial" w:eastAsia="Calibri" w:hAnsi="Arial" w:cs="Arial"/>
              </w:rPr>
            </w:pPr>
            <w:r>
              <w:rPr>
                <w:rFonts w:ascii="Arial" w:eastAsia="Calibri" w:hAnsi="Arial" w:cs="Arial"/>
              </w:rPr>
              <w:t>Launch</w:t>
            </w:r>
          </w:p>
        </w:tc>
        <w:tc>
          <w:tcPr>
            <w:tcW w:w="0" w:type="auto"/>
            <w:hideMark/>
          </w:tcPr>
          <w:p w14:paraId="5E80A35C" w14:textId="77777777" w:rsidR="003D66AD" w:rsidRDefault="003D66AD">
            <w:pPr>
              <w:jc w:val="both"/>
              <w:rPr>
                <w:rFonts w:ascii="Arial" w:eastAsia="Calibri" w:hAnsi="Arial" w:cs="Arial"/>
              </w:rPr>
            </w:pPr>
            <w:r>
              <w:rPr>
                <w:rFonts w:ascii="Arial" w:eastAsia="Calibri" w:hAnsi="Arial" w:cs="Arial"/>
              </w:rPr>
              <w:t>Info Caravan, Orientation Sessions Begin</w:t>
            </w:r>
          </w:p>
        </w:tc>
        <w:tc>
          <w:tcPr>
            <w:tcW w:w="0" w:type="auto"/>
            <w:hideMark/>
          </w:tcPr>
          <w:p w14:paraId="0807DC5D" w14:textId="77777777" w:rsidR="003D66AD" w:rsidRDefault="003D66AD">
            <w:pPr>
              <w:jc w:val="both"/>
              <w:rPr>
                <w:rFonts w:ascii="Arial" w:eastAsia="Calibri" w:hAnsi="Arial" w:cs="Arial"/>
              </w:rPr>
            </w:pPr>
            <w:r>
              <w:rPr>
                <w:rFonts w:ascii="Arial" w:eastAsia="Calibri" w:hAnsi="Arial" w:cs="Arial"/>
              </w:rPr>
              <w:t>Month 4</w:t>
            </w:r>
          </w:p>
        </w:tc>
      </w:tr>
      <w:tr w:rsidR="003D66AD" w14:paraId="58A38A69" w14:textId="77777777" w:rsidTr="003D66AD">
        <w:tc>
          <w:tcPr>
            <w:tcW w:w="0" w:type="auto"/>
            <w:hideMark/>
          </w:tcPr>
          <w:p w14:paraId="26D2F76B" w14:textId="77777777" w:rsidR="003D66AD" w:rsidRDefault="003D66AD">
            <w:pPr>
              <w:jc w:val="both"/>
              <w:rPr>
                <w:rFonts w:ascii="Arial" w:eastAsia="Calibri" w:hAnsi="Arial" w:cs="Arial"/>
              </w:rPr>
            </w:pPr>
            <w:r>
              <w:rPr>
                <w:rFonts w:ascii="Arial" w:eastAsia="Calibri" w:hAnsi="Arial" w:cs="Arial"/>
              </w:rPr>
              <w:t>Expansion</w:t>
            </w:r>
          </w:p>
        </w:tc>
        <w:tc>
          <w:tcPr>
            <w:tcW w:w="0" w:type="auto"/>
            <w:hideMark/>
          </w:tcPr>
          <w:p w14:paraId="066A9C97" w14:textId="77777777" w:rsidR="003D66AD" w:rsidRDefault="003D66AD">
            <w:pPr>
              <w:jc w:val="both"/>
              <w:rPr>
                <w:rFonts w:ascii="Arial" w:eastAsia="Calibri" w:hAnsi="Arial" w:cs="Arial"/>
              </w:rPr>
            </w:pPr>
            <w:r>
              <w:rPr>
                <w:rFonts w:ascii="Arial" w:eastAsia="Calibri" w:hAnsi="Arial" w:cs="Arial"/>
              </w:rPr>
              <w:t>Community Circles, Radio/TV segments</w:t>
            </w:r>
          </w:p>
        </w:tc>
        <w:tc>
          <w:tcPr>
            <w:tcW w:w="0" w:type="auto"/>
            <w:hideMark/>
          </w:tcPr>
          <w:p w14:paraId="430602BB" w14:textId="77777777" w:rsidR="003D66AD" w:rsidRDefault="003D66AD">
            <w:pPr>
              <w:jc w:val="both"/>
              <w:rPr>
                <w:rFonts w:ascii="Arial" w:eastAsia="Calibri" w:hAnsi="Arial" w:cs="Arial"/>
              </w:rPr>
            </w:pPr>
            <w:r>
              <w:rPr>
                <w:rFonts w:ascii="Arial" w:eastAsia="Calibri" w:hAnsi="Arial" w:cs="Arial"/>
              </w:rPr>
              <w:t>Month 5–10</w:t>
            </w:r>
          </w:p>
        </w:tc>
      </w:tr>
      <w:tr w:rsidR="003D66AD" w14:paraId="2DB70CB4" w14:textId="77777777" w:rsidTr="003D66AD">
        <w:tc>
          <w:tcPr>
            <w:tcW w:w="0" w:type="auto"/>
            <w:hideMark/>
          </w:tcPr>
          <w:p w14:paraId="1501CD1E" w14:textId="77777777" w:rsidR="003D66AD" w:rsidRDefault="003D66AD">
            <w:pPr>
              <w:jc w:val="both"/>
              <w:rPr>
                <w:rFonts w:ascii="Arial" w:eastAsia="Calibri" w:hAnsi="Arial" w:cs="Arial"/>
              </w:rPr>
            </w:pPr>
            <w:r>
              <w:rPr>
                <w:rFonts w:ascii="Arial" w:eastAsia="Calibri" w:hAnsi="Arial" w:cs="Arial"/>
              </w:rPr>
              <w:t>Evaluation</w:t>
            </w:r>
          </w:p>
        </w:tc>
        <w:tc>
          <w:tcPr>
            <w:tcW w:w="0" w:type="auto"/>
            <w:hideMark/>
          </w:tcPr>
          <w:p w14:paraId="0126ABC1" w14:textId="77777777" w:rsidR="003D66AD" w:rsidRDefault="003D66AD">
            <w:pPr>
              <w:jc w:val="both"/>
              <w:rPr>
                <w:rFonts w:ascii="Arial" w:eastAsia="Calibri" w:hAnsi="Arial" w:cs="Arial"/>
              </w:rPr>
            </w:pPr>
            <w:r>
              <w:rPr>
                <w:rFonts w:ascii="Arial" w:eastAsia="Calibri" w:hAnsi="Arial" w:cs="Arial"/>
              </w:rPr>
              <w:t>Surveys, focus group discussions</w:t>
            </w:r>
          </w:p>
        </w:tc>
        <w:tc>
          <w:tcPr>
            <w:tcW w:w="0" w:type="auto"/>
            <w:hideMark/>
          </w:tcPr>
          <w:p w14:paraId="4397B2E6" w14:textId="77777777" w:rsidR="003D66AD" w:rsidRDefault="003D66AD">
            <w:pPr>
              <w:jc w:val="both"/>
              <w:rPr>
                <w:rFonts w:ascii="Arial" w:eastAsia="Calibri" w:hAnsi="Arial" w:cs="Arial"/>
              </w:rPr>
            </w:pPr>
            <w:r>
              <w:rPr>
                <w:rFonts w:ascii="Arial" w:eastAsia="Calibri" w:hAnsi="Arial" w:cs="Arial"/>
              </w:rPr>
              <w:t>Month 11</w:t>
            </w:r>
          </w:p>
        </w:tc>
      </w:tr>
      <w:tr w:rsidR="003D66AD" w14:paraId="1CBB746B" w14:textId="77777777" w:rsidTr="003D66AD">
        <w:tc>
          <w:tcPr>
            <w:tcW w:w="0" w:type="auto"/>
            <w:hideMark/>
          </w:tcPr>
          <w:p w14:paraId="626F30F4" w14:textId="77777777" w:rsidR="003D66AD" w:rsidRDefault="003D66AD">
            <w:pPr>
              <w:jc w:val="both"/>
              <w:rPr>
                <w:rFonts w:ascii="Arial" w:eastAsia="Calibri" w:hAnsi="Arial" w:cs="Arial"/>
              </w:rPr>
            </w:pPr>
            <w:r>
              <w:rPr>
                <w:rFonts w:ascii="Arial" w:eastAsia="Calibri" w:hAnsi="Arial" w:cs="Arial"/>
              </w:rPr>
              <w:t>Reporting</w:t>
            </w:r>
          </w:p>
        </w:tc>
        <w:tc>
          <w:tcPr>
            <w:tcW w:w="0" w:type="auto"/>
            <w:hideMark/>
          </w:tcPr>
          <w:p w14:paraId="5EB5D921" w14:textId="77777777" w:rsidR="003D66AD" w:rsidRDefault="003D66AD">
            <w:pPr>
              <w:jc w:val="both"/>
              <w:rPr>
                <w:rFonts w:ascii="Arial" w:eastAsia="Calibri" w:hAnsi="Arial" w:cs="Arial"/>
              </w:rPr>
            </w:pPr>
            <w:r>
              <w:rPr>
                <w:rFonts w:ascii="Arial" w:eastAsia="Calibri" w:hAnsi="Arial" w:cs="Arial"/>
              </w:rPr>
              <w:t>Final report and policy recommendations</w:t>
            </w:r>
          </w:p>
        </w:tc>
        <w:tc>
          <w:tcPr>
            <w:tcW w:w="0" w:type="auto"/>
            <w:hideMark/>
          </w:tcPr>
          <w:p w14:paraId="0157B4B0" w14:textId="77777777" w:rsidR="003D66AD" w:rsidRDefault="003D66AD">
            <w:pPr>
              <w:jc w:val="both"/>
              <w:rPr>
                <w:rFonts w:ascii="Arial" w:eastAsia="Calibri" w:hAnsi="Arial" w:cs="Arial"/>
              </w:rPr>
            </w:pPr>
            <w:r>
              <w:rPr>
                <w:rFonts w:ascii="Arial" w:eastAsia="Calibri" w:hAnsi="Arial" w:cs="Arial"/>
              </w:rPr>
              <w:t>Month 12</w:t>
            </w:r>
          </w:p>
        </w:tc>
      </w:tr>
    </w:tbl>
    <w:p w14:paraId="5E6DF45A" w14:textId="77777777" w:rsidR="003D66AD" w:rsidRDefault="002B4203" w:rsidP="003D66AD">
      <w:pPr>
        <w:jc w:val="center"/>
        <w:rPr>
          <w:rFonts w:ascii="Arial" w:eastAsia="Calibri" w:hAnsi="Arial" w:cs="Arial"/>
          <w:noProof/>
          <w:lang w:val="en-PH"/>
        </w:rPr>
      </w:pPr>
      <w:r>
        <w:rPr>
          <w:rFonts w:ascii="Arial" w:eastAsia="Calibri" w:hAnsi="Arial" w:cs="Arial"/>
          <w:noProof/>
        </w:rPr>
        <w:pict w14:anchorId="1F046CDF">
          <v:rect id="_x0000_i1030" style="width:250.35pt;height:.6pt" o:hrpct="610" o:hralign="center" o:hrstd="t" o:hr="t" fillcolor="#a0a0a0" stroked="f"/>
        </w:pict>
      </w:r>
    </w:p>
    <w:p w14:paraId="3B4410FA" w14:textId="77777777" w:rsidR="003D66AD" w:rsidRDefault="003D66AD" w:rsidP="003D66AD">
      <w:pPr>
        <w:jc w:val="both"/>
        <w:rPr>
          <w:rFonts w:ascii="Arial" w:eastAsia="Calibri" w:hAnsi="Arial" w:cs="Arial"/>
          <w:b/>
          <w:bCs/>
        </w:rPr>
      </w:pPr>
      <w:r>
        <w:rPr>
          <w:rFonts w:ascii="Arial" w:eastAsia="Calibri" w:hAnsi="Arial" w:cs="Arial"/>
          <w:b/>
          <w:bCs/>
        </w:rPr>
        <w:t>VI. Monitoring and Evaluation</w:t>
      </w:r>
    </w:p>
    <w:p w14:paraId="3D4C14BF" w14:textId="77777777" w:rsidR="003D66AD" w:rsidRDefault="003D66AD" w:rsidP="003D66AD">
      <w:pPr>
        <w:numPr>
          <w:ilvl w:val="0"/>
          <w:numId w:val="13"/>
        </w:numPr>
        <w:jc w:val="both"/>
        <w:rPr>
          <w:rFonts w:ascii="Arial" w:eastAsia="Calibri" w:hAnsi="Arial" w:cs="Arial"/>
        </w:rPr>
      </w:pPr>
      <w:r>
        <w:rPr>
          <w:rFonts w:ascii="Arial" w:eastAsia="Calibri" w:hAnsi="Arial" w:cs="Arial"/>
          <w:b/>
          <w:bCs/>
        </w:rPr>
        <w:t>Pre and post-surveys</w:t>
      </w:r>
      <w:r>
        <w:rPr>
          <w:rFonts w:ascii="Arial" w:eastAsia="Calibri" w:hAnsi="Arial" w:cs="Arial"/>
        </w:rPr>
        <w:t xml:space="preserve"> to measure changes in parental awareness</w:t>
      </w:r>
    </w:p>
    <w:p w14:paraId="2AC4B9A1" w14:textId="77777777" w:rsidR="003D66AD" w:rsidRDefault="003D66AD" w:rsidP="003D66AD">
      <w:pPr>
        <w:numPr>
          <w:ilvl w:val="0"/>
          <w:numId w:val="13"/>
        </w:numPr>
        <w:jc w:val="both"/>
        <w:rPr>
          <w:rFonts w:ascii="Arial" w:eastAsia="Calibri" w:hAnsi="Arial" w:cs="Arial"/>
        </w:rPr>
      </w:pPr>
      <w:r>
        <w:rPr>
          <w:rFonts w:ascii="Arial" w:eastAsia="Calibri" w:hAnsi="Arial" w:cs="Arial"/>
        </w:rPr>
        <w:t>Regular feedback collection through suggestion boxes and interviews</w:t>
      </w:r>
    </w:p>
    <w:p w14:paraId="581231F3" w14:textId="77777777" w:rsidR="003D66AD" w:rsidRDefault="003D66AD" w:rsidP="003D66AD">
      <w:pPr>
        <w:numPr>
          <w:ilvl w:val="0"/>
          <w:numId w:val="13"/>
        </w:numPr>
        <w:jc w:val="both"/>
        <w:rPr>
          <w:rFonts w:ascii="Arial" w:eastAsia="Calibri" w:hAnsi="Arial" w:cs="Arial"/>
        </w:rPr>
      </w:pPr>
      <w:r>
        <w:rPr>
          <w:rFonts w:ascii="Arial" w:eastAsia="Calibri" w:hAnsi="Arial" w:cs="Arial"/>
        </w:rPr>
        <w:t>Impact indicators:</w:t>
      </w:r>
    </w:p>
    <w:p w14:paraId="4D1316A9" w14:textId="77777777" w:rsidR="003D66AD" w:rsidRDefault="003D66AD" w:rsidP="003D66AD">
      <w:pPr>
        <w:numPr>
          <w:ilvl w:val="1"/>
          <w:numId w:val="13"/>
        </w:numPr>
        <w:jc w:val="both"/>
        <w:rPr>
          <w:rFonts w:ascii="Arial" w:eastAsia="Calibri" w:hAnsi="Arial" w:cs="Arial"/>
        </w:rPr>
      </w:pPr>
      <w:r>
        <w:rPr>
          <w:rFonts w:ascii="Arial" w:eastAsia="Calibri" w:hAnsi="Arial" w:cs="Arial"/>
        </w:rPr>
        <w:t>Increase in parent attendance at school activities</w:t>
      </w:r>
    </w:p>
    <w:p w14:paraId="705933FF" w14:textId="77777777" w:rsidR="003D66AD" w:rsidRDefault="003D66AD" w:rsidP="003D66AD">
      <w:pPr>
        <w:numPr>
          <w:ilvl w:val="1"/>
          <w:numId w:val="13"/>
        </w:numPr>
        <w:jc w:val="both"/>
        <w:rPr>
          <w:rFonts w:ascii="Arial" w:eastAsia="Calibri" w:hAnsi="Arial" w:cs="Arial"/>
        </w:rPr>
      </w:pPr>
      <w:r>
        <w:rPr>
          <w:rFonts w:ascii="Arial" w:eastAsia="Calibri" w:hAnsi="Arial" w:cs="Arial"/>
        </w:rPr>
        <w:t>Improved parental support as reported by teachers</w:t>
      </w:r>
    </w:p>
    <w:p w14:paraId="292CBF57" w14:textId="77777777" w:rsidR="003D66AD" w:rsidRDefault="003D66AD" w:rsidP="003D66AD">
      <w:pPr>
        <w:numPr>
          <w:ilvl w:val="1"/>
          <w:numId w:val="13"/>
        </w:numPr>
        <w:jc w:val="both"/>
        <w:rPr>
          <w:rFonts w:ascii="Arial" w:eastAsia="Calibri" w:hAnsi="Arial" w:cs="Arial"/>
        </w:rPr>
      </w:pPr>
      <w:r>
        <w:rPr>
          <w:rFonts w:ascii="Arial" w:eastAsia="Calibri" w:hAnsi="Arial" w:cs="Arial"/>
        </w:rPr>
        <w:t>Higher awareness scores in follow-up assessments</w:t>
      </w:r>
    </w:p>
    <w:p w14:paraId="34B53044" w14:textId="77777777" w:rsidR="003D66AD" w:rsidRDefault="002B4203" w:rsidP="003D66AD">
      <w:pPr>
        <w:jc w:val="center"/>
        <w:rPr>
          <w:rFonts w:ascii="Arial" w:eastAsia="Calibri" w:hAnsi="Arial" w:cs="Arial"/>
          <w:noProof/>
        </w:rPr>
      </w:pPr>
      <w:r>
        <w:rPr>
          <w:rFonts w:ascii="Arial" w:eastAsia="Calibri" w:hAnsi="Arial" w:cs="Arial"/>
          <w:noProof/>
        </w:rPr>
        <w:pict w14:anchorId="07D165BB">
          <v:rect id="_x0000_i1031" style="width:206.4pt;height:.6pt" o:hrpct="610" o:hralign="center" o:hrstd="t" o:hr="t" fillcolor="#a0a0a0" stroked="f"/>
        </w:pict>
      </w:r>
    </w:p>
    <w:p w14:paraId="26097B5E" w14:textId="77777777" w:rsidR="003D66AD" w:rsidRDefault="003D66AD" w:rsidP="003D66AD">
      <w:pPr>
        <w:jc w:val="both"/>
        <w:rPr>
          <w:rFonts w:ascii="Arial" w:eastAsia="Calibri" w:hAnsi="Arial" w:cs="Arial"/>
          <w:b/>
          <w:bCs/>
        </w:rPr>
      </w:pPr>
      <w:r>
        <w:rPr>
          <w:rFonts w:ascii="Arial" w:eastAsia="Calibri" w:hAnsi="Arial" w:cs="Arial"/>
          <w:b/>
          <w:bCs/>
        </w:rPr>
        <w:t>VII. Budget and Resource Needs</w:t>
      </w:r>
    </w:p>
    <w:p w14:paraId="54CE96BF" w14:textId="77777777" w:rsidR="003D66AD" w:rsidRDefault="003D66AD" w:rsidP="003D66AD">
      <w:pPr>
        <w:numPr>
          <w:ilvl w:val="0"/>
          <w:numId w:val="14"/>
        </w:numPr>
        <w:jc w:val="both"/>
        <w:rPr>
          <w:rFonts w:ascii="Arial" w:eastAsia="Calibri" w:hAnsi="Arial" w:cs="Arial"/>
        </w:rPr>
      </w:pPr>
      <w:r>
        <w:rPr>
          <w:rFonts w:ascii="Arial" w:eastAsia="Calibri" w:hAnsi="Arial" w:cs="Arial"/>
        </w:rPr>
        <w:t>Logistics: transportation, venue setup, print materials</w:t>
      </w:r>
    </w:p>
    <w:p w14:paraId="1479EFD0" w14:textId="77777777" w:rsidR="003D66AD" w:rsidRDefault="003D66AD" w:rsidP="003D66AD">
      <w:pPr>
        <w:numPr>
          <w:ilvl w:val="0"/>
          <w:numId w:val="14"/>
        </w:numPr>
        <w:jc w:val="both"/>
        <w:rPr>
          <w:rFonts w:ascii="Arial" w:eastAsia="Calibri" w:hAnsi="Arial" w:cs="Arial"/>
        </w:rPr>
      </w:pPr>
      <w:r>
        <w:rPr>
          <w:rFonts w:ascii="Arial" w:eastAsia="Calibri" w:hAnsi="Arial" w:cs="Arial"/>
        </w:rPr>
        <w:t>Human resources: allowances for facilitators</w:t>
      </w:r>
    </w:p>
    <w:p w14:paraId="24F1AA8C" w14:textId="77777777" w:rsidR="003D66AD" w:rsidRDefault="003D66AD" w:rsidP="003D66AD">
      <w:pPr>
        <w:numPr>
          <w:ilvl w:val="0"/>
          <w:numId w:val="14"/>
        </w:numPr>
        <w:jc w:val="both"/>
        <w:rPr>
          <w:rFonts w:ascii="Arial" w:eastAsia="Calibri" w:hAnsi="Arial" w:cs="Arial"/>
        </w:rPr>
      </w:pPr>
      <w:r>
        <w:rPr>
          <w:rFonts w:ascii="Arial" w:eastAsia="Calibri" w:hAnsi="Arial" w:cs="Arial"/>
        </w:rPr>
        <w:t>Media: airtime for radio/TV, social media management</w:t>
      </w:r>
    </w:p>
    <w:p w14:paraId="6628883C" w14:textId="77777777" w:rsidR="003D66AD" w:rsidRDefault="003D66AD" w:rsidP="003D66AD">
      <w:pPr>
        <w:jc w:val="both"/>
        <w:rPr>
          <w:rFonts w:ascii="Arial" w:eastAsia="Calibri" w:hAnsi="Arial" w:cs="Arial"/>
        </w:rPr>
      </w:pPr>
      <w:r>
        <w:rPr>
          <w:rFonts w:ascii="Arial" w:eastAsia="Calibri" w:hAnsi="Arial" w:cs="Arial"/>
        </w:rPr>
        <w:t>(</w:t>
      </w:r>
      <w:r>
        <w:rPr>
          <w:rFonts w:ascii="Arial" w:eastAsia="Calibri" w:hAnsi="Arial" w:cs="Arial"/>
          <w:i/>
          <w:iCs/>
        </w:rPr>
        <w:t>Cost breakdown to be developed in coordination with the school and LGU.</w:t>
      </w:r>
      <w:r>
        <w:rPr>
          <w:rFonts w:ascii="Arial" w:eastAsia="Calibri" w:hAnsi="Arial" w:cs="Arial"/>
        </w:rPr>
        <w:t>)</w:t>
      </w:r>
    </w:p>
    <w:p w14:paraId="3BFF5BA9" w14:textId="77777777" w:rsidR="003D66AD" w:rsidRDefault="002B4203" w:rsidP="003D66AD">
      <w:pPr>
        <w:jc w:val="center"/>
        <w:rPr>
          <w:rFonts w:ascii="Arial" w:eastAsia="Calibri" w:hAnsi="Arial" w:cs="Arial"/>
          <w:noProof/>
        </w:rPr>
      </w:pPr>
      <w:r>
        <w:rPr>
          <w:rFonts w:ascii="Arial" w:eastAsia="Calibri" w:hAnsi="Arial" w:cs="Arial"/>
          <w:noProof/>
        </w:rPr>
        <w:pict w14:anchorId="07386BB0">
          <v:rect id="_x0000_i1032" style="width:250.35pt;height:.6pt" o:hrpct="610" o:hralign="center" o:hrstd="t" o:hr="t" fillcolor="#a0a0a0" stroked="f"/>
        </w:pict>
      </w:r>
    </w:p>
    <w:p w14:paraId="4E6C3185" w14:textId="77777777" w:rsidR="003D66AD" w:rsidRDefault="003D66AD" w:rsidP="003D66AD">
      <w:pPr>
        <w:jc w:val="both"/>
        <w:rPr>
          <w:rFonts w:ascii="Arial" w:eastAsia="Calibri" w:hAnsi="Arial" w:cs="Arial"/>
          <w:b/>
          <w:bCs/>
        </w:rPr>
      </w:pPr>
      <w:r>
        <w:rPr>
          <w:rFonts w:ascii="Arial" w:eastAsia="Calibri" w:hAnsi="Arial" w:cs="Arial"/>
          <w:b/>
          <w:bCs/>
        </w:rPr>
        <w:t>VIII. Sustainability Plan</w:t>
      </w:r>
    </w:p>
    <w:p w14:paraId="27B48DF7" w14:textId="77777777" w:rsidR="003D66AD" w:rsidRDefault="003D66AD" w:rsidP="003D66AD">
      <w:pPr>
        <w:numPr>
          <w:ilvl w:val="0"/>
          <w:numId w:val="15"/>
        </w:numPr>
        <w:jc w:val="both"/>
        <w:rPr>
          <w:rFonts w:ascii="Arial" w:eastAsia="Calibri" w:hAnsi="Arial" w:cs="Arial"/>
        </w:rPr>
      </w:pPr>
      <w:r>
        <w:rPr>
          <w:rFonts w:ascii="Arial" w:eastAsia="Calibri" w:hAnsi="Arial" w:cs="Arial"/>
        </w:rPr>
        <w:t>Integration into existing PTA and barangay programs</w:t>
      </w:r>
    </w:p>
    <w:p w14:paraId="54B6FD9E" w14:textId="77777777" w:rsidR="003D66AD" w:rsidRDefault="003D66AD" w:rsidP="003D66AD">
      <w:pPr>
        <w:numPr>
          <w:ilvl w:val="0"/>
          <w:numId w:val="15"/>
        </w:numPr>
        <w:jc w:val="both"/>
        <w:rPr>
          <w:rFonts w:ascii="Arial" w:eastAsia="Calibri" w:hAnsi="Arial" w:cs="Arial"/>
        </w:rPr>
      </w:pPr>
      <w:r>
        <w:rPr>
          <w:rFonts w:ascii="Arial" w:eastAsia="Calibri" w:hAnsi="Arial" w:cs="Arial"/>
        </w:rPr>
        <w:t>Partnership with DepEd, local media, and community organizations</w:t>
      </w:r>
    </w:p>
    <w:p w14:paraId="0B2C7BC8" w14:textId="77777777" w:rsidR="003D66AD" w:rsidRDefault="003D66AD" w:rsidP="003D66AD">
      <w:pPr>
        <w:numPr>
          <w:ilvl w:val="0"/>
          <w:numId w:val="15"/>
        </w:numPr>
        <w:jc w:val="both"/>
        <w:rPr>
          <w:rFonts w:ascii="Arial" w:eastAsia="Calibri" w:hAnsi="Arial" w:cs="Arial"/>
        </w:rPr>
      </w:pPr>
      <w:r>
        <w:rPr>
          <w:rFonts w:ascii="Arial" w:eastAsia="Calibri" w:hAnsi="Arial" w:cs="Arial"/>
        </w:rPr>
        <w:t>Creation of a permanent “Parent Education Desk” in schools</w:t>
      </w:r>
    </w:p>
    <w:p w14:paraId="449551EA" w14:textId="77777777" w:rsidR="003D66AD" w:rsidRDefault="002B4203" w:rsidP="003D66AD">
      <w:pPr>
        <w:jc w:val="center"/>
        <w:rPr>
          <w:rFonts w:ascii="Arial" w:eastAsia="Calibri" w:hAnsi="Arial" w:cs="Arial"/>
          <w:noProof/>
        </w:rPr>
      </w:pPr>
      <w:r>
        <w:rPr>
          <w:rFonts w:ascii="Arial" w:eastAsia="Calibri" w:hAnsi="Arial" w:cs="Arial"/>
          <w:noProof/>
        </w:rPr>
        <w:pict w14:anchorId="1A87ED9F">
          <v:rect id="_x0000_i1033" style="width:228.4pt;height:.6pt" o:hrpct="610" o:hralign="center" o:hrstd="t" o:hr="t" fillcolor="#a0a0a0" stroked="f"/>
        </w:pict>
      </w:r>
    </w:p>
    <w:p w14:paraId="2F7468EF" w14:textId="77777777" w:rsidR="003D66AD" w:rsidRDefault="003D66AD" w:rsidP="003D66AD">
      <w:pPr>
        <w:jc w:val="both"/>
        <w:rPr>
          <w:rFonts w:ascii="Arial" w:eastAsia="Calibri" w:hAnsi="Arial" w:cs="Arial"/>
          <w:b/>
          <w:bCs/>
        </w:rPr>
      </w:pPr>
      <w:r>
        <w:rPr>
          <w:rFonts w:ascii="Arial" w:eastAsia="Calibri" w:hAnsi="Arial" w:cs="Arial"/>
          <w:b/>
          <w:bCs/>
        </w:rPr>
        <w:t>IX. Conclusion</w:t>
      </w:r>
    </w:p>
    <w:p w14:paraId="1FEA5405" w14:textId="77777777" w:rsidR="003D66AD" w:rsidRDefault="003D66AD" w:rsidP="003D66AD">
      <w:pPr>
        <w:jc w:val="both"/>
        <w:rPr>
          <w:rFonts w:ascii="Arial" w:eastAsia="Calibri" w:hAnsi="Arial" w:cs="Arial"/>
        </w:rPr>
      </w:pPr>
      <w:r>
        <w:rPr>
          <w:rFonts w:ascii="Arial" w:eastAsia="Calibri" w:hAnsi="Arial" w:cs="Arial"/>
        </w:rPr>
        <w:t>Addressing the disparities in parental awareness of the K to 12 Language Curriculum is essential for inclusive and practical education. Through "</w:t>
      </w:r>
      <w:proofErr w:type="spellStart"/>
      <w:r>
        <w:rPr>
          <w:rFonts w:ascii="Arial" w:eastAsia="Calibri" w:hAnsi="Arial" w:cs="Arial"/>
        </w:rPr>
        <w:t>Kaalaman</w:t>
      </w:r>
      <w:proofErr w:type="spellEnd"/>
      <w:r>
        <w:rPr>
          <w:rFonts w:ascii="Arial" w:eastAsia="Calibri" w:hAnsi="Arial" w:cs="Arial"/>
        </w:rPr>
        <w:t xml:space="preserve"> para </w:t>
      </w:r>
      <w:proofErr w:type="spellStart"/>
      <w:r>
        <w:rPr>
          <w:rFonts w:ascii="Arial" w:eastAsia="Calibri" w:hAnsi="Arial" w:cs="Arial"/>
        </w:rPr>
        <w:t>sa</w:t>
      </w:r>
      <w:proofErr w:type="spellEnd"/>
      <w:r>
        <w:rPr>
          <w:rFonts w:ascii="Arial" w:eastAsia="Calibri" w:hAnsi="Arial" w:cs="Arial"/>
        </w:rPr>
        <w:t xml:space="preserve"> </w:t>
      </w:r>
      <w:proofErr w:type="spellStart"/>
      <w:r>
        <w:rPr>
          <w:rFonts w:ascii="Arial" w:eastAsia="Calibri" w:hAnsi="Arial" w:cs="Arial"/>
        </w:rPr>
        <w:t>Kinabukasan</w:t>
      </w:r>
      <w:proofErr w:type="spellEnd"/>
      <w:r>
        <w:rPr>
          <w:rFonts w:ascii="Arial" w:eastAsia="Calibri" w:hAnsi="Arial" w:cs="Arial"/>
        </w:rPr>
        <w:t>," parents, regardless of gender, income, occupation, or educational background, will be empowered to become informed, active partners in their children’s learning journeys.</w:t>
      </w:r>
    </w:p>
    <w:p w14:paraId="0FB83ED3" w14:textId="77777777" w:rsidR="003D66AD" w:rsidRPr="003D66AD" w:rsidRDefault="003D66AD" w:rsidP="003D66AD">
      <w:pPr>
        <w:pStyle w:val="Body"/>
        <w:rPr>
          <w:rFonts w:ascii="Arial" w:hAnsi="Arial" w:cs="Arial"/>
          <w:bCs/>
        </w:rPr>
      </w:pPr>
    </w:p>
    <w:p w14:paraId="08FEB9C6" w14:textId="65E769B1"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140BC949" w14:textId="77777777"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Based on the findings of the study, the following conclusions were formulated:</w:t>
      </w:r>
    </w:p>
    <w:p w14:paraId="2335B416" w14:textId="77777777"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 xml:space="preserve">Firstly, the majority of parent-respondents are female, with most having a monthly income between ₱10,001 – ₱20,000. In terms of nature of work, a significant portion are private sector employees, followed by government employees, self-employed individuals, and unemployed parents. Regarding educational attainment, most respondents are high school graduates, while others have varying levels of education, from elementary to college, with a small percentage having no formal education. These findings suggest that parents come from diverse socioeconomic and educational backgrounds, which may influence their level of awareness and engagement with their children’s education. Parents with higher educational </w:t>
      </w:r>
      <w:r w:rsidRPr="005B7EE4">
        <w:rPr>
          <w:rFonts w:ascii="Arial" w:hAnsi="Arial" w:cs="Arial"/>
          <w:b w:val="0"/>
          <w:caps w:val="0"/>
          <w:sz w:val="20"/>
        </w:rPr>
        <w:lastRenderedPageBreak/>
        <w:t>attainment and stable employment may have better access to information about the K to 12 language curriculum.</w:t>
      </w:r>
    </w:p>
    <w:p w14:paraId="5E4A7D2B" w14:textId="77777777"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Secondly, parents exhibited a high level of awareness of the K to 12 language curriculum, particularly in nurturing the holistically developed Filipino, which obtained the highest mean. Similarly, awareness was high in other areas such as building proficiency through language, making the curriculum relevant to the learner, and gearing up for the future. This implies that parents recognize the importance of language proficiency and holistic development in preparing their children for future academic and career opportunities. Their high awareness may stem from their active involvement in their children's education, engagement with teachers, and exposure to curriculum-related discussions in schools.</w:t>
      </w:r>
    </w:p>
    <w:p w14:paraId="772DDCDE" w14:textId="51CCDAA7" w:rsidR="00006E8A" w:rsidRDefault="005B7EE4" w:rsidP="005B7EE4">
      <w:pPr>
        <w:pStyle w:val="ReferHead"/>
        <w:spacing w:after="0"/>
        <w:jc w:val="both"/>
        <w:rPr>
          <w:rFonts w:ascii="Arial" w:hAnsi="Arial" w:cs="Arial"/>
          <w:b w:val="0"/>
          <w:caps w:val="0"/>
          <w:sz w:val="20"/>
        </w:rPr>
      </w:pPr>
      <w:r w:rsidRPr="005B7EE4">
        <w:rPr>
          <w:rFonts w:ascii="Arial" w:hAnsi="Arial" w:cs="Arial"/>
          <w:b w:val="0"/>
          <w:caps w:val="0"/>
          <w:sz w:val="20"/>
        </w:rPr>
        <w:t>Lastly, a significant difference was found in the level of awareness of parents on the K to 12 language curriculum when grouped according to gender, family income, nature of work, and educational attainment. Female parents, those with higher family income, government employees, and those with higher educational attainment demonstrated significantly higher awareness compared to other groups. This suggests that economic stability, professional background, and educational experience contribute to parents’ ability to access and understand information about the curriculum. Higher-income and well-educated parents may have more opportunities to attend school meetings, access learning materials, and communicate with educators, resulting in greater awareness of curriculum policies and objectives.</w:t>
      </w:r>
    </w:p>
    <w:p w14:paraId="3AED1AE6" w14:textId="77777777" w:rsidR="005B7EE4" w:rsidRDefault="005B7EE4" w:rsidP="005B7EE4">
      <w:pPr>
        <w:pStyle w:val="ReferHead"/>
        <w:spacing w:after="0"/>
        <w:jc w:val="both"/>
        <w:rPr>
          <w:rFonts w:ascii="Arial" w:hAnsi="Arial" w:cs="Arial"/>
          <w:b w:val="0"/>
          <w:caps w:val="0"/>
          <w:sz w:val="20"/>
        </w:rPr>
      </w:pPr>
    </w:p>
    <w:p w14:paraId="75409752" w14:textId="77777777" w:rsidR="000A2785" w:rsidRDefault="000A2785" w:rsidP="000A2785">
      <w:pPr>
        <w:pStyle w:val="ReferHead"/>
        <w:spacing w:after="0"/>
        <w:jc w:val="both"/>
        <w:rPr>
          <w:rFonts w:ascii="Arial" w:hAnsi="Arial" w:cs="Arial"/>
          <w:b w:val="0"/>
          <w:caps w:val="0"/>
          <w:sz w:val="20"/>
        </w:rPr>
      </w:pPr>
    </w:p>
    <w:p w14:paraId="561B0EA9" w14:textId="100AE437" w:rsidR="00F35314" w:rsidRPr="000A2785" w:rsidRDefault="006A0F34" w:rsidP="000A2785">
      <w:pPr>
        <w:pStyle w:val="Body"/>
        <w:rPr>
          <w:rFonts w:ascii="Arial" w:hAnsi="Arial" w:cs="Arial"/>
        </w:rPr>
      </w:pPr>
      <w:r>
        <w:rPr>
          <w:rFonts w:ascii="Arial" w:hAnsi="Arial" w:cs="Arial"/>
          <w:b/>
          <w:bCs/>
        </w:rPr>
        <w:t>6. RECOMMENDATIONS</w:t>
      </w:r>
    </w:p>
    <w:p w14:paraId="157F16E2" w14:textId="2CEC0624"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Based on the findings and conclusions of this study, the following recommendations were proposed:</w:t>
      </w:r>
    </w:p>
    <w:p w14:paraId="3ACCEA60" w14:textId="5F32501B"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It is recommended to implement targeted orientation programs and create accessible information materials tailored to various parent demographics to ensure inclusivity regardless of gender, employment status, or educational background. Collaborations with local government units and community organizations are also encouraged to provide support programs for parents with limited educational resources. Administrators should integrate practical applications of curriculum components into orientations, develop inclusive policies to ensure equal access to information, and implement flexible schedules or offer online sessions for parents who cannot attend in person.</w:t>
      </w:r>
    </w:p>
    <w:p w14:paraId="2AC3C7F1" w14:textId="5BFD90D8"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They are encouraged to enhance communication strategies using simple, culturally relevant language, foster home-school partnerships, and organize learning sessions for parents needing additional curriculum support. Teachers may also provide real-life examples and at-home strategies to help parents apply the curriculum, as well as additional resources and guidance for those with lower awareness.</w:t>
      </w:r>
    </w:p>
    <w:p w14:paraId="13CCF545" w14:textId="5017DA7D" w:rsidR="005B7EE4" w:rsidRPr="005B7EE4" w:rsidRDefault="005B7EE4" w:rsidP="005B7EE4">
      <w:pPr>
        <w:pStyle w:val="ReferHead"/>
        <w:jc w:val="both"/>
        <w:rPr>
          <w:rFonts w:ascii="Arial" w:hAnsi="Arial" w:cs="Arial"/>
          <w:b w:val="0"/>
          <w:caps w:val="0"/>
          <w:sz w:val="20"/>
        </w:rPr>
      </w:pPr>
      <w:r w:rsidRPr="005B7EE4">
        <w:rPr>
          <w:rFonts w:ascii="Arial" w:hAnsi="Arial" w:cs="Arial"/>
          <w:b w:val="0"/>
          <w:caps w:val="0"/>
          <w:sz w:val="20"/>
        </w:rPr>
        <w:t>Parents, in turn, are encouraged to engage actively in school activities, participate in parent-teacher discussions, utilize educational resources, support home-based learning, reinforce classroom lessons, maintain communication with teachers, and independently seek out information and clarification as needed.</w:t>
      </w:r>
    </w:p>
    <w:p w14:paraId="1CEF5900" w14:textId="38EA1AD4" w:rsidR="00CA4932" w:rsidRDefault="005B7EE4" w:rsidP="005B7EE4">
      <w:pPr>
        <w:pStyle w:val="ReferHead"/>
        <w:spacing w:after="0"/>
        <w:jc w:val="both"/>
        <w:rPr>
          <w:rFonts w:ascii="Arial" w:hAnsi="Arial" w:cs="Arial"/>
          <w:b w:val="0"/>
          <w:caps w:val="0"/>
          <w:sz w:val="20"/>
        </w:rPr>
      </w:pPr>
      <w:r w:rsidRPr="005B7EE4">
        <w:rPr>
          <w:rFonts w:ascii="Arial" w:hAnsi="Arial" w:cs="Arial"/>
          <w:b w:val="0"/>
          <w:caps w:val="0"/>
          <w:sz w:val="20"/>
        </w:rPr>
        <w:t xml:space="preserve">It is recommended to explore the underlying causes of disparities in parental awareness, such as cultural attitudes, communication accessibility, and digital literacy, and assess the effectiveness of interventions designed to enhance parental involvement and curriculum </w:t>
      </w:r>
      <w:r w:rsidRPr="005B7EE4">
        <w:rPr>
          <w:rFonts w:ascii="Arial" w:hAnsi="Arial" w:cs="Arial"/>
          <w:b w:val="0"/>
          <w:caps w:val="0"/>
          <w:sz w:val="20"/>
        </w:rPr>
        <w:lastRenderedPageBreak/>
        <w:t>understanding. Longitudinal studies may also be conducted to determine the long-term impact of parental awareness on student academic performance and educational outcomes.</w:t>
      </w:r>
    </w:p>
    <w:p w14:paraId="1F7F6122" w14:textId="77777777" w:rsidR="00C44E1E" w:rsidRDefault="00C44E1E" w:rsidP="00850E61">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77558466" w14:textId="1F46E262" w:rsidR="000A2785" w:rsidRDefault="00C44E1E" w:rsidP="00CD4D57">
      <w:pPr>
        <w:pStyle w:val="ReferHead"/>
        <w:spacing w:after="0"/>
        <w:jc w:val="both"/>
        <w:rPr>
          <w:rFonts w:ascii="Arial" w:hAnsi="Arial" w:cs="Arial"/>
          <w:b w:val="0"/>
          <w:caps w:val="0"/>
          <w:sz w:val="20"/>
        </w:rPr>
      </w:pPr>
      <w:r w:rsidRPr="00C44E1E">
        <w:rPr>
          <w:rFonts w:ascii="Arial" w:hAnsi="Arial" w:cs="Arial"/>
          <w:b w:val="0"/>
          <w:caps w:val="0"/>
          <w:sz w:val="20"/>
        </w:rPr>
        <w:t xml:space="preserve">This study was conducted with full adherence to established ethical guidelines to ensure the protection, dignity, and welfare of all participants. Prior to the data collection process, the researcher secured the necessary authorizations, including an endorsement from the Dean of the Graduate School of Rizal Memorial Colleges and ethical approval from the institution’s Ethics Review Committee. The ethical procedures followed were based on the framework proposed by </w:t>
      </w:r>
      <w:proofErr w:type="spellStart"/>
      <w:r w:rsidRPr="00C44E1E">
        <w:rPr>
          <w:rFonts w:ascii="Arial" w:hAnsi="Arial" w:cs="Arial"/>
          <w:b w:val="0"/>
          <w:caps w:val="0"/>
          <w:sz w:val="20"/>
        </w:rPr>
        <w:t>Pregoner</w:t>
      </w:r>
      <w:proofErr w:type="spellEnd"/>
      <w:r w:rsidRPr="00C44E1E">
        <w:rPr>
          <w:rFonts w:ascii="Arial" w:hAnsi="Arial" w:cs="Arial"/>
          <w:b w:val="0"/>
          <w:caps w:val="0"/>
          <w:sz w:val="20"/>
        </w:rPr>
        <w:t xml:space="preserve"> et al. (2025), ensuring alignment with current protocols for research involving human subjects in educational contexts. Participation in the study was strictly voluntary, with all respondents thoroughly informed about the study’s objectives, scope, and their right to decline or withdraw at any time without consequence. Informed consent was obtained as a confirmation of their willingness to participate. To maintain confidentiality, no identifying personal information was collected, and all responses were treated with the highest level of confidentiality. The data were used exclusively for academic purposes, and the entire research process was carried out with transparency, integrity, and a strong commitment to ethical responsibility.</w:t>
      </w:r>
    </w:p>
    <w:p w14:paraId="7D679533" w14:textId="77777777" w:rsidR="00C44E1E" w:rsidRDefault="00C44E1E" w:rsidP="00CD4D57">
      <w:pPr>
        <w:pStyle w:val="ReferHead"/>
        <w:spacing w:after="0"/>
        <w:jc w:val="both"/>
        <w:rPr>
          <w:rFonts w:ascii="Arial" w:hAnsi="Arial" w:cs="Arial"/>
          <w:b w:val="0"/>
          <w:caps w:val="0"/>
          <w:sz w:val="20"/>
        </w:rPr>
      </w:pPr>
    </w:p>
    <w:p w14:paraId="2BC90047" w14:textId="00BD4039"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2EE156A3" w14:textId="565CA335" w:rsidR="00BD7A27" w:rsidRDefault="00BD7A27" w:rsidP="00BD7A27">
      <w:pPr>
        <w:rPr>
          <w:rFonts w:asciiTheme="minorHAnsi" w:hAnsiTheme="minorHAnsi"/>
          <w:color w:val="000000" w:themeColor="text1"/>
        </w:rPr>
      </w:pPr>
    </w:p>
    <w:p w14:paraId="15C57ED6" w14:textId="77777777" w:rsidR="00BD7A27" w:rsidRPr="00BD7A27" w:rsidRDefault="00BD7A27" w:rsidP="00BD7A27">
      <w:pPr>
        <w:ind w:left="720" w:hanging="720"/>
      </w:pPr>
      <w:proofErr w:type="spellStart"/>
      <w:r w:rsidRPr="00BD7A27">
        <w:rPr>
          <w:rFonts w:ascii="Arial" w:hAnsi="Arial" w:cs="Arial"/>
          <w:color w:val="000000" w:themeColor="text1"/>
          <w:shd w:val="clear" w:color="auto" w:fill="FFFFFF"/>
        </w:rPr>
        <w:t>Ajileye</w:t>
      </w:r>
      <w:proofErr w:type="spellEnd"/>
      <w:r w:rsidRPr="00BD7A27">
        <w:rPr>
          <w:rFonts w:ascii="Arial" w:hAnsi="Arial" w:cs="Arial"/>
          <w:color w:val="000000" w:themeColor="text1"/>
          <w:shd w:val="clear" w:color="auto" w:fill="FFFFFF"/>
        </w:rPr>
        <w:t xml:space="preserve">, M. O., &amp; </w:t>
      </w:r>
      <w:proofErr w:type="spellStart"/>
      <w:r w:rsidRPr="00BD7A27">
        <w:rPr>
          <w:rFonts w:ascii="Arial" w:hAnsi="Arial" w:cs="Arial"/>
          <w:color w:val="000000" w:themeColor="text1"/>
          <w:shd w:val="clear" w:color="auto" w:fill="FFFFFF"/>
        </w:rPr>
        <w:t>Akueshi</w:t>
      </w:r>
      <w:proofErr w:type="spellEnd"/>
      <w:r w:rsidRPr="00BD7A27">
        <w:rPr>
          <w:rFonts w:ascii="Arial" w:hAnsi="Arial" w:cs="Arial"/>
          <w:color w:val="000000" w:themeColor="text1"/>
          <w:shd w:val="clear" w:color="auto" w:fill="FFFFFF"/>
        </w:rPr>
        <w:t>, N. N. (2024). MULTILINGUAL EDUCATION AND ITS IMPACT ON EARLY-GRADE READING PROFICIENCY.</w:t>
      </w:r>
      <w:r w:rsidRPr="00BD7A27">
        <w:t xml:space="preserve"> </w:t>
      </w:r>
      <w:hyperlink r:id="rId15" w:history="1">
        <w:r w:rsidRPr="00BD7A27">
          <w:rPr>
            <w:rStyle w:val="Hyperlink"/>
            <w:color w:val="000000" w:themeColor="text1"/>
            <w:u w:val="none"/>
          </w:rPr>
          <w:t>https://www.researchgate.net/profile/Michael-Ajileye-2/publication/384292257_MULTILINGUAL_EDUCATION_AND_ITS_IMPACT_ON_EARLY-GRADE_READING_PROFICIENCY/links/66f30d52906bca2ac3c8a56e/MULTILINGUAL-EDUCATION-AND-ITS-IMPACT-ON-EARLY-GRADE-READING-PROFICIENCY.pdf</w:t>
        </w:r>
      </w:hyperlink>
    </w:p>
    <w:p w14:paraId="549FA67E" w14:textId="77777777" w:rsidR="00BD7A27" w:rsidRPr="00BD7A27" w:rsidRDefault="00BD7A27" w:rsidP="00BD7A27">
      <w:pPr>
        <w:ind w:left="720" w:hanging="720"/>
      </w:pPr>
      <w:proofErr w:type="spellStart"/>
      <w:r w:rsidRPr="00BD7A27">
        <w:rPr>
          <w:rFonts w:ascii="Arial" w:hAnsi="Arial" w:cs="Arial"/>
          <w:color w:val="000000" w:themeColor="text1"/>
          <w:shd w:val="clear" w:color="auto" w:fill="FFFFFF"/>
        </w:rPr>
        <w:t>Barrot</w:t>
      </w:r>
      <w:proofErr w:type="spellEnd"/>
      <w:r w:rsidRPr="00BD7A27">
        <w:rPr>
          <w:rFonts w:ascii="Arial" w:hAnsi="Arial" w:cs="Arial"/>
          <w:color w:val="000000" w:themeColor="text1"/>
          <w:shd w:val="clear" w:color="auto" w:fill="FFFFFF"/>
        </w:rPr>
        <w:t>, J. S. (2019). English curriculum reform in the Philippines: Issues and challenges from a 21st century learning perspective. </w:t>
      </w:r>
      <w:r w:rsidRPr="00BD7A27">
        <w:rPr>
          <w:i/>
          <w:iCs/>
        </w:rPr>
        <w:t>Journal of Language, Identity &amp; Education</w:t>
      </w:r>
      <w:r w:rsidRPr="00BD7A27">
        <w:t>, </w:t>
      </w:r>
      <w:r w:rsidRPr="00BD7A27">
        <w:rPr>
          <w:i/>
          <w:iCs/>
        </w:rPr>
        <w:t>18</w:t>
      </w:r>
      <w:r w:rsidRPr="00BD7A27">
        <w:t xml:space="preserve">(3), 145-160. </w:t>
      </w:r>
      <w:hyperlink r:id="rId16" w:history="1">
        <w:r w:rsidRPr="00BD7A27">
          <w:rPr>
            <w:rStyle w:val="Hyperlink"/>
            <w:color w:val="000000" w:themeColor="text1"/>
            <w:u w:val="none"/>
          </w:rPr>
          <w:t>https://www.tandfonline.com/doi/abs/10.1080/15348458.2018.1528547</w:t>
        </w:r>
      </w:hyperlink>
    </w:p>
    <w:p w14:paraId="0BC305F2" w14:textId="77777777" w:rsidR="00BD7A27" w:rsidRPr="00BD7A27" w:rsidRDefault="00BD7A27" w:rsidP="00BD7A27">
      <w:pPr>
        <w:ind w:left="720" w:hanging="720"/>
      </w:pPr>
      <w:r w:rsidRPr="00BD7A27">
        <w:rPr>
          <w:rFonts w:ascii="Arial" w:hAnsi="Arial" w:cs="Arial"/>
          <w:color w:val="000000" w:themeColor="text1"/>
          <w:shd w:val="clear" w:color="auto" w:fill="FFFFFF"/>
        </w:rPr>
        <w:t>Beltran-</w:t>
      </w:r>
      <w:proofErr w:type="spellStart"/>
      <w:r w:rsidRPr="00BD7A27">
        <w:rPr>
          <w:rFonts w:ascii="Arial" w:hAnsi="Arial" w:cs="Arial"/>
          <w:color w:val="000000" w:themeColor="text1"/>
          <w:shd w:val="clear" w:color="auto" w:fill="FFFFFF"/>
        </w:rPr>
        <w:t>Almazan</w:t>
      </w:r>
      <w:proofErr w:type="spellEnd"/>
      <w:r w:rsidRPr="00BD7A27">
        <w:rPr>
          <w:rFonts w:ascii="Arial" w:hAnsi="Arial" w:cs="Arial"/>
          <w:color w:val="000000" w:themeColor="text1"/>
          <w:shd w:val="clear" w:color="auto" w:fill="FFFFFF"/>
        </w:rPr>
        <w:t xml:space="preserve">, R. P., </w:t>
      </w:r>
      <w:proofErr w:type="spellStart"/>
      <w:r w:rsidRPr="00BD7A27">
        <w:rPr>
          <w:rFonts w:ascii="Arial" w:hAnsi="Arial" w:cs="Arial"/>
          <w:color w:val="000000" w:themeColor="text1"/>
          <w:shd w:val="clear" w:color="auto" w:fill="FFFFFF"/>
        </w:rPr>
        <w:t>Patolot</w:t>
      </w:r>
      <w:proofErr w:type="spellEnd"/>
      <w:r w:rsidRPr="00BD7A27">
        <w:rPr>
          <w:rFonts w:ascii="Arial" w:hAnsi="Arial" w:cs="Arial"/>
          <w:color w:val="000000" w:themeColor="text1"/>
          <w:shd w:val="clear" w:color="auto" w:fill="FFFFFF"/>
        </w:rPr>
        <w:t xml:space="preserve">-Velasco, C. V., </w:t>
      </w:r>
      <w:proofErr w:type="spellStart"/>
      <w:r w:rsidRPr="00BD7A27">
        <w:rPr>
          <w:rFonts w:ascii="Arial" w:hAnsi="Arial" w:cs="Arial"/>
          <w:color w:val="000000" w:themeColor="text1"/>
          <w:shd w:val="clear" w:color="auto" w:fill="FFFFFF"/>
        </w:rPr>
        <w:t>Almazan</w:t>
      </w:r>
      <w:proofErr w:type="spellEnd"/>
      <w:r w:rsidRPr="00BD7A27">
        <w:rPr>
          <w:rFonts w:ascii="Arial" w:hAnsi="Arial" w:cs="Arial"/>
          <w:color w:val="000000" w:themeColor="text1"/>
          <w:shd w:val="clear" w:color="auto" w:fill="FFFFFF"/>
        </w:rPr>
        <w:t>, R. R., Fajardo, A. C., Beltran-</w:t>
      </w:r>
      <w:proofErr w:type="spellStart"/>
      <w:r w:rsidRPr="00BD7A27">
        <w:rPr>
          <w:rFonts w:ascii="Arial" w:hAnsi="Arial" w:cs="Arial"/>
          <w:color w:val="000000" w:themeColor="text1"/>
          <w:shd w:val="clear" w:color="auto" w:fill="FFFFFF"/>
        </w:rPr>
        <w:t>Almazan</w:t>
      </w:r>
      <w:proofErr w:type="spellEnd"/>
      <w:r w:rsidRPr="00BD7A27">
        <w:rPr>
          <w:rFonts w:ascii="Arial" w:hAnsi="Arial" w:cs="Arial"/>
          <w:color w:val="000000" w:themeColor="text1"/>
          <w:shd w:val="clear" w:color="auto" w:fill="FFFFFF"/>
        </w:rPr>
        <w:t xml:space="preserve">, R. P., </w:t>
      </w:r>
      <w:proofErr w:type="spellStart"/>
      <w:r w:rsidRPr="00BD7A27">
        <w:rPr>
          <w:rFonts w:ascii="Arial" w:hAnsi="Arial" w:cs="Arial"/>
          <w:color w:val="000000" w:themeColor="text1"/>
          <w:shd w:val="clear" w:color="auto" w:fill="FFFFFF"/>
        </w:rPr>
        <w:t>Patolot</w:t>
      </w:r>
      <w:proofErr w:type="spellEnd"/>
      <w:r w:rsidRPr="00BD7A27">
        <w:rPr>
          <w:rFonts w:ascii="Arial" w:hAnsi="Arial" w:cs="Arial"/>
          <w:color w:val="000000" w:themeColor="text1"/>
          <w:shd w:val="clear" w:color="auto" w:fill="FFFFFF"/>
        </w:rPr>
        <w:t>-Velasco, C. V., ... &amp; Fajardo, A. C. (2020). Parents’ beliefs on Philippine educational and curriculum practices: What educators can learn from them. </w:t>
      </w:r>
      <w:r w:rsidRPr="00BD7A27">
        <w:rPr>
          <w:i/>
          <w:iCs/>
        </w:rPr>
        <w:t>Asia Pacific Journal on Curriculum Studies</w:t>
      </w:r>
      <w:r w:rsidRPr="00BD7A27">
        <w:t>, </w:t>
      </w:r>
      <w:r w:rsidRPr="00BD7A27">
        <w:rPr>
          <w:i/>
          <w:iCs/>
        </w:rPr>
        <w:t>3</w:t>
      </w:r>
      <w:r w:rsidRPr="00BD7A27">
        <w:t xml:space="preserve">(1), 1-8. </w:t>
      </w:r>
      <w:hyperlink r:id="rId17" w:history="1">
        <w:r w:rsidRPr="00BD7A27">
          <w:rPr>
            <w:rStyle w:val="Hyperlink"/>
            <w:color w:val="000000" w:themeColor="text1"/>
            <w:u w:val="none"/>
          </w:rPr>
          <w:t>https://magis-</w:t>
        </w:r>
        <w:r w:rsidRPr="00BD7A27">
          <w:rPr>
            <w:rStyle w:val="Hyperlink"/>
            <w:color w:val="000000" w:themeColor="text1"/>
            <w:u w:val="none"/>
          </w:rPr>
          <w:lastRenderedPageBreak/>
          <w:t>projects.sfo3.digitaloceanspaces.com/APJCS/issues/vol-3-issue-1/articles/10/rjsDVxUPdnuwLglUQHlCxLDy80BvwIPJxCFzqhiC.pdf</w:t>
        </w:r>
      </w:hyperlink>
    </w:p>
    <w:p w14:paraId="53C7C40B"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Berman, E. M., Bowman, J. S., West, J. P., &amp; Van Wart, M. R. (2021). </w:t>
      </w:r>
      <w:r w:rsidRPr="00BD7A27">
        <w:rPr>
          <w:rFonts w:ascii="Arial" w:hAnsi="Arial" w:cs="Arial"/>
          <w:i/>
          <w:iCs/>
          <w:color w:val="000000" w:themeColor="text1"/>
          <w:shd w:val="clear" w:color="auto" w:fill="FFFFFF"/>
        </w:rPr>
        <w:t>Human resource management in public service: Paradoxes, processes, and problems</w:t>
      </w:r>
      <w:r w:rsidRPr="00BD7A27">
        <w:rPr>
          <w:rFonts w:ascii="Arial" w:hAnsi="Arial" w:cs="Arial"/>
          <w:color w:val="000000" w:themeColor="text1"/>
          <w:shd w:val="clear" w:color="auto" w:fill="FFFFFF"/>
        </w:rPr>
        <w:t xml:space="preserve">. </w:t>
      </w:r>
      <w:proofErr w:type="spellStart"/>
      <w:r w:rsidRPr="00BD7A27">
        <w:rPr>
          <w:rFonts w:ascii="Arial" w:hAnsi="Arial" w:cs="Arial"/>
          <w:color w:val="000000" w:themeColor="text1"/>
          <w:shd w:val="clear" w:color="auto" w:fill="FFFFFF"/>
        </w:rPr>
        <w:t>Cq</w:t>
      </w:r>
      <w:proofErr w:type="spellEnd"/>
      <w:r w:rsidRPr="00BD7A27">
        <w:rPr>
          <w:rFonts w:ascii="Arial" w:hAnsi="Arial" w:cs="Arial"/>
          <w:color w:val="000000" w:themeColor="text1"/>
          <w:shd w:val="clear" w:color="auto" w:fill="FFFFFF"/>
        </w:rPr>
        <w:t xml:space="preserve"> Press. </w:t>
      </w:r>
    </w:p>
    <w:p w14:paraId="31B8BD81"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Crato</w:t>
      </w:r>
      <w:proofErr w:type="spellEnd"/>
      <w:r w:rsidRPr="00BD7A27">
        <w:rPr>
          <w:rFonts w:ascii="Arial" w:hAnsi="Arial" w:cs="Arial"/>
          <w:color w:val="000000" w:themeColor="text1"/>
          <w:shd w:val="clear" w:color="auto" w:fill="FFFFFF"/>
        </w:rPr>
        <w:t>, N. (2020). Curriculum and educational reforms in Portugal: An analysis on why and how students’ knowledge and skills improved. </w:t>
      </w:r>
      <w:r w:rsidRPr="00BD7A27">
        <w:rPr>
          <w:rFonts w:ascii="Arial" w:hAnsi="Arial" w:cs="Arial"/>
          <w:i/>
          <w:iCs/>
          <w:color w:val="000000" w:themeColor="text1"/>
          <w:shd w:val="clear" w:color="auto" w:fill="FFFFFF"/>
        </w:rPr>
        <w:t>Audacious education purposes: How governments transform the goals of education systems</w:t>
      </w:r>
      <w:r w:rsidRPr="00BD7A27">
        <w:rPr>
          <w:rFonts w:ascii="Arial" w:hAnsi="Arial" w:cs="Arial"/>
          <w:color w:val="000000" w:themeColor="text1"/>
          <w:shd w:val="clear" w:color="auto" w:fill="FFFFFF"/>
        </w:rPr>
        <w:t>, 209-231.</w:t>
      </w:r>
      <w:r w:rsidRPr="00BD7A27">
        <w:rPr>
          <w:color w:val="000000" w:themeColor="text1"/>
        </w:rPr>
        <w:t xml:space="preserve"> </w:t>
      </w:r>
      <w:r w:rsidRPr="00BD7A27">
        <w:rPr>
          <w:rFonts w:ascii="Arial" w:hAnsi="Arial" w:cs="Arial"/>
          <w:color w:val="000000" w:themeColor="text1"/>
          <w:shd w:val="clear" w:color="auto" w:fill="FFFFFF"/>
        </w:rPr>
        <w:t>https://library.oapen.org/bitstream/handle/20.500.12657/37709/2020_Book_AudaciousEducationPurposes.pdf?sequence=1#page=216</w:t>
      </w:r>
    </w:p>
    <w:p w14:paraId="174AB9BC"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Durlak</w:t>
      </w:r>
      <w:proofErr w:type="spellEnd"/>
      <w:r w:rsidRPr="00BD7A27">
        <w:rPr>
          <w:rFonts w:ascii="Arial" w:hAnsi="Arial" w:cs="Arial"/>
          <w:color w:val="000000" w:themeColor="text1"/>
          <w:shd w:val="clear" w:color="auto" w:fill="FFFFFF"/>
        </w:rPr>
        <w:t>, J. A., Mahoney, J. L., &amp; Boyle, A. E. (2022). What we know, and what we need to find out about universal, school-based social and emotional learning programs for children and adolescents: A review of meta-analyses and directions for future research. </w:t>
      </w:r>
      <w:r w:rsidRPr="00BD7A27">
        <w:rPr>
          <w:rFonts w:ascii="Arial" w:hAnsi="Arial" w:cs="Arial"/>
          <w:i/>
          <w:iCs/>
          <w:color w:val="000000" w:themeColor="text1"/>
          <w:shd w:val="clear" w:color="auto" w:fill="FFFFFF"/>
        </w:rPr>
        <w:t>Psychological Bulletin</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148</w:t>
      </w:r>
      <w:r w:rsidRPr="00BD7A27">
        <w:rPr>
          <w:rFonts w:ascii="Arial" w:hAnsi="Arial" w:cs="Arial"/>
          <w:color w:val="000000" w:themeColor="text1"/>
          <w:shd w:val="clear" w:color="auto" w:fill="FFFFFF"/>
        </w:rPr>
        <w:t>(11-12), 765. https://www.youcandoiteducation.com.au/wp-content/uploads/2023/07/What-We-Know-and-What-We-Need-to-Find-Out.pdf</w:t>
      </w:r>
    </w:p>
    <w:p w14:paraId="28C419CB"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 xml:space="preserve">Forster, A. G., &amp; Van de </w:t>
      </w:r>
      <w:proofErr w:type="spellStart"/>
      <w:r w:rsidRPr="00BD7A27">
        <w:rPr>
          <w:rFonts w:ascii="Arial" w:hAnsi="Arial" w:cs="Arial"/>
          <w:color w:val="000000" w:themeColor="text1"/>
          <w:shd w:val="clear" w:color="auto" w:fill="FFFFFF"/>
        </w:rPr>
        <w:t>Werfhorst</w:t>
      </w:r>
      <w:proofErr w:type="spellEnd"/>
      <w:r w:rsidRPr="00BD7A27">
        <w:rPr>
          <w:rFonts w:ascii="Arial" w:hAnsi="Arial" w:cs="Arial"/>
          <w:color w:val="000000" w:themeColor="text1"/>
          <w:shd w:val="clear" w:color="auto" w:fill="FFFFFF"/>
        </w:rPr>
        <w:t>, H. G. (2020). Navigating institutions: Parents’ knowledge of the educational system and students’ success in education. </w:t>
      </w:r>
      <w:r w:rsidRPr="00BD7A27">
        <w:rPr>
          <w:rFonts w:ascii="Arial" w:hAnsi="Arial" w:cs="Arial"/>
          <w:i/>
          <w:iCs/>
          <w:color w:val="000000" w:themeColor="text1"/>
          <w:shd w:val="clear" w:color="auto" w:fill="FFFFFF"/>
        </w:rPr>
        <w:t>European Sociological Review</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36</w:t>
      </w:r>
      <w:r w:rsidRPr="00BD7A27">
        <w:rPr>
          <w:rFonts w:ascii="Arial" w:hAnsi="Arial" w:cs="Arial"/>
          <w:color w:val="000000" w:themeColor="text1"/>
          <w:shd w:val="clear" w:color="auto" w:fill="FFFFFF"/>
        </w:rPr>
        <w:t>(1), 48-64. https://academic.oup.com/esr/article-abstract/36/1/48/5585829</w:t>
      </w:r>
    </w:p>
    <w:p w14:paraId="061E58F1" w14:textId="77777777" w:rsidR="00BD7A27" w:rsidRPr="00BD7A27" w:rsidRDefault="00BD7A27" w:rsidP="00BD7A27">
      <w:pPr>
        <w:ind w:left="720" w:hanging="720"/>
        <w:rPr>
          <w:rFonts w:asciiTheme="minorHAnsi" w:hAnsiTheme="minorHAnsi" w:cstheme="minorBidi"/>
        </w:rPr>
      </w:pPr>
      <w:r w:rsidRPr="00BD7A27">
        <w:rPr>
          <w:rFonts w:ascii="Arial" w:hAnsi="Arial" w:cs="Arial"/>
          <w:color w:val="000000" w:themeColor="text1"/>
          <w:shd w:val="clear" w:color="auto" w:fill="FFFFFF"/>
        </w:rPr>
        <w:t>Gil, E., &amp; Johnson, A. (2024). “We, as parents, do have a voice”: Learning from community-based programs effectively engaging parents in urban communities. </w:t>
      </w:r>
      <w:r w:rsidRPr="00BD7A27">
        <w:rPr>
          <w:i/>
          <w:iCs/>
        </w:rPr>
        <w:t>Urban Education</w:t>
      </w:r>
      <w:r w:rsidRPr="00BD7A27">
        <w:t>, </w:t>
      </w:r>
      <w:r w:rsidRPr="00BD7A27">
        <w:rPr>
          <w:i/>
          <w:iCs/>
        </w:rPr>
        <w:t>59</w:t>
      </w:r>
      <w:r w:rsidRPr="00BD7A27">
        <w:t xml:space="preserve">(4), 1048-1077. </w:t>
      </w:r>
      <w:hyperlink r:id="rId18" w:history="1">
        <w:r w:rsidRPr="00BD7A27">
          <w:rPr>
            <w:rStyle w:val="Hyperlink"/>
            <w:color w:val="000000" w:themeColor="text1"/>
            <w:u w:val="none"/>
          </w:rPr>
          <w:t>https://journals.sagepub.com/doi/abs/10.1177/00420859211068466</w:t>
        </w:r>
      </w:hyperlink>
    </w:p>
    <w:p w14:paraId="5546C102"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Havrisko</w:t>
      </w:r>
      <w:proofErr w:type="spellEnd"/>
      <w:r w:rsidRPr="00BD7A27">
        <w:rPr>
          <w:rFonts w:ascii="Arial" w:hAnsi="Arial" w:cs="Arial"/>
          <w:color w:val="000000" w:themeColor="text1"/>
          <w:shd w:val="clear" w:color="auto" w:fill="FFFFFF"/>
        </w:rPr>
        <w:t>, L. (2024). </w:t>
      </w:r>
      <w:r w:rsidRPr="00BD7A27">
        <w:rPr>
          <w:rFonts w:ascii="Arial" w:hAnsi="Arial" w:cs="Arial"/>
          <w:i/>
          <w:iCs/>
          <w:color w:val="000000" w:themeColor="text1"/>
          <w:shd w:val="clear" w:color="auto" w:fill="FFFFFF"/>
        </w:rPr>
        <w:t>Improving Opportunities for Authentic Family Engagement: Understanding How Family Structure, Socioeconomic Factors and Varied Options for Engagement Can Impact Home-School Connections in K-12 Public Education</w:t>
      </w:r>
      <w:r w:rsidRPr="00BD7A27">
        <w:rPr>
          <w:rFonts w:ascii="Arial" w:hAnsi="Arial" w:cs="Arial"/>
          <w:color w:val="000000" w:themeColor="text1"/>
          <w:shd w:val="clear" w:color="auto" w:fill="FFFFFF"/>
        </w:rPr>
        <w:t> (Doctoral dissertation, Point Park University).</w:t>
      </w:r>
      <w:r w:rsidRPr="00BD7A27">
        <w:rPr>
          <w:color w:val="000000" w:themeColor="text1"/>
        </w:rPr>
        <w:t xml:space="preserve"> </w:t>
      </w:r>
      <w:hyperlink r:id="rId19" w:history="1">
        <w:r w:rsidRPr="00BD7A27">
          <w:rPr>
            <w:rStyle w:val="Hyperlink"/>
            <w:rFonts w:ascii="Arial" w:hAnsi="Arial" w:cs="Arial"/>
            <w:color w:val="000000" w:themeColor="text1"/>
            <w:u w:val="none"/>
            <w:shd w:val="clear" w:color="auto" w:fill="FFFFFF"/>
          </w:rPr>
          <w:t>https://search.proquest.com/openview/a8fdeb9e54fcf9fa671e35cdacee03d1/1?pq-origsite=gscholar&amp;cbl=18750&amp;diss=y</w:t>
        </w:r>
      </w:hyperlink>
    </w:p>
    <w:p w14:paraId="1667510E" w14:textId="77777777" w:rsidR="00BD7A27" w:rsidRPr="00BD7A27" w:rsidRDefault="00BD7A27" w:rsidP="00BD7A27">
      <w:pPr>
        <w:ind w:left="720" w:hanging="720"/>
        <w:rPr>
          <w:rFonts w:asciiTheme="minorHAnsi" w:hAnsiTheme="minorHAnsi" w:cstheme="minorBidi"/>
        </w:rPr>
      </w:pPr>
      <w:r w:rsidRPr="00BD7A27">
        <w:rPr>
          <w:rFonts w:ascii="Arial" w:hAnsi="Arial" w:cs="Arial"/>
          <w:color w:val="000000" w:themeColor="text1"/>
          <w:shd w:val="clear" w:color="auto" w:fill="FFFFFF"/>
        </w:rPr>
        <w:t>Hobson, C. A. (2024). </w:t>
      </w:r>
      <w:r w:rsidRPr="00BD7A27">
        <w:rPr>
          <w:i/>
          <w:iCs/>
        </w:rPr>
        <w:t xml:space="preserve">Implementing School-to-Home Communication Platform </w:t>
      </w:r>
      <w:proofErr w:type="gramStart"/>
      <w:r w:rsidRPr="00BD7A27">
        <w:rPr>
          <w:i/>
          <w:iCs/>
        </w:rPr>
        <w:t>With</w:t>
      </w:r>
      <w:proofErr w:type="gramEnd"/>
      <w:r w:rsidRPr="00BD7A27">
        <w:rPr>
          <w:i/>
          <w:iCs/>
        </w:rPr>
        <w:t xml:space="preserve"> Parents, Stakeholders, and the Community</w:t>
      </w:r>
      <w:r w:rsidRPr="00BD7A27">
        <w:t xml:space="preserve">. Trevecca Nazarene University. </w:t>
      </w:r>
      <w:hyperlink r:id="rId20" w:history="1">
        <w:r w:rsidRPr="00BD7A27">
          <w:rPr>
            <w:rStyle w:val="Hyperlink"/>
            <w:color w:val="000000" w:themeColor="text1"/>
            <w:u w:val="none"/>
          </w:rPr>
          <w:t>https://search.proquest.com/openview/2c024dadd64c485cebdb0425b0bd5714/1?pq-origsite=gscholar&amp;cbl=18750&amp;diss=y</w:t>
        </w:r>
      </w:hyperlink>
    </w:p>
    <w:p w14:paraId="149D4C12" w14:textId="77777777" w:rsidR="00BD7A27" w:rsidRPr="00BD7A27" w:rsidRDefault="00BD7A27" w:rsidP="00BD7A27">
      <w:pPr>
        <w:ind w:left="720" w:hanging="720"/>
      </w:pPr>
      <w:proofErr w:type="spellStart"/>
      <w:r w:rsidRPr="00BD7A27">
        <w:rPr>
          <w:rFonts w:ascii="Arial" w:hAnsi="Arial" w:cs="Arial"/>
          <w:color w:val="000000" w:themeColor="text1"/>
          <w:shd w:val="clear" w:color="auto" w:fill="FFFFFF"/>
        </w:rPr>
        <w:t>Katel</w:t>
      </w:r>
      <w:proofErr w:type="spellEnd"/>
      <w:r w:rsidRPr="00BD7A27">
        <w:rPr>
          <w:rFonts w:ascii="Arial" w:hAnsi="Arial" w:cs="Arial"/>
          <w:color w:val="000000" w:themeColor="text1"/>
          <w:shd w:val="clear" w:color="auto" w:fill="FFFFFF"/>
        </w:rPr>
        <w:t xml:space="preserve">, N., &amp; </w:t>
      </w:r>
      <w:proofErr w:type="spellStart"/>
      <w:r w:rsidRPr="00BD7A27">
        <w:rPr>
          <w:rFonts w:ascii="Arial" w:hAnsi="Arial" w:cs="Arial"/>
          <w:color w:val="000000" w:themeColor="text1"/>
          <w:shd w:val="clear" w:color="auto" w:fill="FFFFFF"/>
        </w:rPr>
        <w:t>Katel</w:t>
      </w:r>
      <w:proofErr w:type="spellEnd"/>
      <w:r w:rsidRPr="00BD7A27">
        <w:rPr>
          <w:rFonts w:ascii="Arial" w:hAnsi="Arial" w:cs="Arial"/>
          <w:color w:val="000000" w:themeColor="text1"/>
          <w:shd w:val="clear" w:color="auto" w:fill="FFFFFF"/>
        </w:rPr>
        <w:t>, K. P. (2024). Enhancing Parental Participation in Government Schools: Overcoming Challenges and Promoting Active Participation. </w:t>
      </w:r>
      <w:r w:rsidRPr="00BD7A27">
        <w:rPr>
          <w:i/>
          <w:iCs/>
        </w:rPr>
        <w:t xml:space="preserve">Rabi </w:t>
      </w:r>
      <w:proofErr w:type="spellStart"/>
      <w:r w:rsidRPr="00BD7A27">
        <w:rPr>
          <w:i/>
          <w:iCs/>
        </w:rPr>
        <w:t>Sangyan</w:t>
      </w:r>
      <w:proofErr w:type="spellEnd"/>
      <w:r w:rsidRPr="00BD7A27">
        <w:t>, </w:t>
      </w:r>
      <w:r w:rsidRPr="00BD7A27">
        <w:rPr>
          <w:i/>
          <w:iCs/>
        </w:rPr>
        <w:t>1</w:t>
      </w:r>
      <w:r w:rsidRPr="00BD7A27">
        <w:t xml:space="preserve">, 9-22. </w:t>
      </w:r>
      <w:hyperlink r:id="rId21" w:history="1">
        <w:r w:rsidRPr="00BD7A27">
          <w:rPr>
            <w:rStyle w:val="Hyperlink"/>
            <w:color w:val="000000" w:themeColor="text1"/>
            <w:u w:val="none"/>
          </w:rPr>
          <w:t>https://nepjol.info/index.php/rs/article/view/74679</w:t>
        </w:r>
      </w:hyperlink>
    </w:p>
    <w:p w14:paraId="717C1B0A" w14:textId="77777777" w:rsidR="00BD7A27" w:rsidRPr="00BD7A27" w:rsidRDefault="00BD7A27" w:rsidP="00BD7A27">
      <w:pPr>
        <w:ind w:left="720" w:hanging="720"/>
      </w:pPr>
      <w:proofErr w:type="spellStart"/>
      <w:r w:rsidRPr="00BD7A27">
        <w:rPr>
          <w:rFonts w:ascii="Arial" w:hAnsi="Arial" w:cs="Arial"/>
          <w:color w:val="000000" w:themeColor="text1"/>
          <w:shd w:val="clear" w:color="auto" w:fill="FFFFFF"/>
        </w:rPr>
        <w:t>Levickis</w:t>
      </w:r>
      <w:proofErr w:type="spellEnd"/>
      <w:r w:rsidRPr="00BD7A27">
        <w:rPr>
          <w:rFonts w:ascii="Arial" w:hAnsi="Arial" w:cs="Arial"/>
          <w:color w:val="000000" w:themeColor="text1"/>
          <w:shd w:val="clear" w:color="auto" w:fill="FFFFFF"/>
        </w:rPr>
        <w:t xml:space="preserve">, P., McKean, C., Wiles, A., &amp; Law, J. (2020). Expectations and experiences of parents taking part in parent–child interaction </w:t>
      </w:r>
      <w:proofErr w:type="spellStart"/>
      <w:r w:rsidRPr="00BD7A27">
        <w:rPr>
          <w:rFonts w:ascii="Arial" w:hAnsi="Arial" w:cs="Arial"/>
          <w:color w:val="000000" w:themeColor="text1"/>
          <w:shd w:val="clear" w:color="auto" w:fill="FFFFFF"/>
        </w:rPr>
        <w:t>programmes</w:t>
      </w:r>
      <w:proofErr w:type="spellEnd"/>
      <w:r w:rsidRPr="00BD7A27">
        <w:rPr>
          <w:rFonts w:ascii="Arial" w:hAnsi="Arial" w:cs="Arial"/>
          <w:color w:val="000000" w:themeColor="text1"/>
          <w:shd w:val="clear" w:color="auto" w:fill="FFFFFF"/>
        </w:rPr>
        <w:t xml:space="preserve"> to promote child language: a qualitative interview study. </w:t>
      </w:r>
      <w:r w:rsidRPr="00BD7A27">
        <w:rPr>
          <w:i/>
          <w:iCs/>
        </w:rPr>
        <w:t>International journal of language &amp; communication disorders</w:t>
      </w:r>
      <w:r w:rsidRPr="00BD7A27">
        <w:t>, </w:t>
      </w:r>
      <w:r w:rsidRPr="00BD7A27">
        <w:rPr>
          <w:i/>
          <w:iCs/>
        </w:rPr>
        <w:t>55</w:t>
      </w:r>
      <w:r w:rsidRPr="00BD7A27">
        <w:t xml:space="preserve">(4), 603-617. </w:t>
      </w:r>
      <w:hyperlink r:id="rId22" w:history="1">
        <w:r w:rsidRPr="00BD7A27">
          <w:rPr>
            <w:rStyle w:val="Hyperlink"/>
            <w:color w:val="000000" w:themeColor="text1"/>
            <w:u w:val="none"/>
          </w:rPr>
          <w:t>https://onlinelibrary.wiley.com/doi/abs/10.1111/1460-6984.12543</w:t>
        </w:r>
      </w:hyperlink>
    </w:p>
    <w:p w14:paraId="412639EE"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Marschall</w:t>
      </w:r>
      <w:proofErr w:type="spellEnd"/>
      <w:r w:rsidRPr="00BD7A27">
        <w:rPr>
          <w:rFonts w:ascii="Arial" w:hAnsi="Arial" w:cs="Arial"/>
          <w:color w:val="000000" w:themeColor="text1"/>
          <w:shd w:val="clear" w:color="auto" w:fill="FFFFFF"/>
        </w:rPr>
        <w:t>, M. J., &amp; Shah, P. R. (2020). Linking the process and outcomes of parent involvement policy to the parent involvement gap. </w:t>
      </w:r>
      <w:r w:rsidRPr="00BD7A27">
        <w:rPr>
          <w:rFonts w:ascii="Arial" w:hAnsi="Arial" w:cs="Arial"/>
          <w:i/>
          <w:iCs/>
          <w:color w:val="000000" w:themeColor="text1"/>
          <w:shd w:val="clear" w:color="auto" w:fill="FFFFFF"/>
        </w:rPr>
        <w:t>Urban Education</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55</w:t>
      </w:r>
      <w:r w:rsidRPr="00BD7A27">
        <w:rPr>
          <w:rFonts w:ascii="Arial" w:hAnsi="Arial" w:cs="Arial"/>
          <w:color w:val="000000" w:themeColor="text1"/>
          <w:shd w:val="clear" w:color="auto" w:fill="FFFFFF"/>
        </w:rPr>
        <w:t>(5), 699-729. https://journals.sagepub.com/doi/abs/10.1177/0042085916661386</w:t>
      </w:r>
    </w:p>
    <w:p w14:paraId="72893D7E"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 xml:space="preserve">McCredie, K., </w:t>
      </w:r>
      <w:proofErr w:type="spellStart"/>
      <w:r w:rsidRPr="00BD7A27">
        <w:rPr>
          <w:rFonts w:ascii="Arial" w:hAnsi="Arial" w:cs="Arial"/>
          <w:color w:val="000000" w:themeColor="text1"/>
          <w:shd w:val="clear" w:color="auto" w:fill="FFFFFF"/>
        </w:rPr>
        <w:t>Hokke</w:t>
      </w:r>
      <w:proofErr w:type="spellEnd"/>
      <w:r w:rsidRPr="00BD7A27">
        <w:rPr>
          <w:rFonts w:ascii="Arial" w:hAnsi="Arial" w:cs="Arial"/>
          <w:color w:val="000000" w:themeColor="text1"/>
          <w:shd w:val="clear" w:color="auto" w:fill="FFFFFF"/>
        </w:rPr>
        <w:t xml:space="preserve">, S., Leach, L. S., &amp; </w:t>
      </w:r>
      <w:proofErr w:type="spellStart"/>
      <w:r w:rsidRPr="00BD7A27">
        <w:rPr>
          <w:rFonts w:ascii="Arial" w:hAnsi="Arial" w:cs="Arial"/>
          <w:color w:val="000000" w:themeColor="text1"/>
          <w:shd w:val="clear" w:color="auto" w:fill="FFFFFF"/>
        </w:rPr>
        <w:t>Cooklin</w:t>
      </w:r>
      <w:proofErr w:type="spellEnd"/>
      <w:r w:rsidRPr="00BD7A27">
        <w:rPr>
          <w:rFonts w:ascii="Arial" w:hAnsi="Arial" w:cs="Arial"/>
          <w:color w:val="000000" w:themeColor="text1"/>
          <w:shd w:val="clear" w:color="auto" w:fill="FFFFFF"/>
        </w:rPr>
        <w:t>, A. R. (2025). Longitudinal associations between parents' job characteristics, parenting, and adolescent academic outcomes. </w:t>
      </w:r>
      <w:r w:rsidRPr="00BD7A27">
        <w:rPr>
          <w:rFonts w:ascii="Arial" w:hAnsi="Arial" w:cs="Arial"/>
          <w:i/>
          <w:iCs/>
          <w:color w:val="000000" w:themeColor="text1"/>
          <w:shd w:val="clear" w:color="auto" w:fill="FFFFFF"/>
        </w:rPr>
        <w:t>Family Relations</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74</w:t>
      </w:r>
      <w:r w:rsidRPr="00BD7A27">
        <w:rPr>
          <w:rFonts w:ascii="Arial" w:hAnsi="Arial" w:cs="Arial"/>
          <w:color w:val="000000" w:themeColor="text1"/>
          <w:shd w:val="clear" w:color="auto" w:fill="FFFFFF"/>
        </w:rPr>
        <w:t>(1), 197-214. https://onlinelibrary.wiley.com/doi/abs/10.1111/fare.13098</w:t>
      </w:r>
    </w:p>
    <w:p w14:paraId="16090968"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 xml:space="preserve">McKinnon-Crowley, S., </w:t>
      </w:r>
      <w:proofErr w:type="spellStart"/>
      <w:r w:rsidRPr="00BD7A27">
        <w:rPr>
          <w:rFonts w:ascii="Arial" w:hAnsi="Arial" w:cs="Arial"/>
          <w:color w:val="000000" w:themeColor="text1"/>
          <w:shd w:val="clear" w:color="auto" w:fill="FFFFFF"/>
        </w:rPr>
        <w:t>Bukoski</w:t>
      </w:r>
      <w:proofErr w:type="spellEnd"/>
      <w:r w:rsidRPr="00BD7A27">
        <w:rPr>
          <w:rFonts w:ascii="Arial" w:hAnsi="Arial" w:cs="Arial"/>
          <w:color w:val="000000" w:themeColor="text1"/>
          <w:shd w:val="clear" w:color="auto" w:fill="FFFFFF"/>
        </w:rPr>
        <w:t xml:space="preserve">, B., Black, V., </w:t>
      </w:r>
      <w:proofErr w:type="spellStart"/>
      <w:r w:rsidRPr="00BD7A27">
        <w:rPr>
          <w:rFonts w:ascii="Arial" w:hAnsi="Arial" w:cs="Arial"/>
          <w:color w:val="000000" w:themeColor="text1"/>
          <w:shd w:val="clear" w:color="auto" w:fill="FFFFFF"/>
        </w:rPr>
        <w:t>Burmicky</w:t>
      </w:r>
      <w:proofErr w:type="spellEnd"/>
      <w:r w:rsidRPr="00BD7A27">
        <w:rPr>
          <w:rFonts w:ascii="Arial" w:hAnsi="Arial" w:cs="Arial"/>
          <w:color w:val="000000" w:themeColor="text1"/>
          <w:shd w:val="clear" w:color="auto" w:fill="FFFFFF"/>
        </w:rPr>
        <w:t>, J., Molina, V., &amp; Chacon, K. (2022). “I had to jump through a lot of hoops”: How working mothers in student affairs navigate institutional policies and student affairs norms. </w:t>
      </w:r>
      <w:r w:rsidRPr="00BD7A27">
        <w:rPr>
          <w:rFonts w:ascii="Arial" w:hAnsi="Arial" w:cs="Arial"/>
          <w:i/>
          <w:iCs/>
          <w:color w:val="000000" w:themeColor="text1"/>
          <w:shd w:val="clear" w:color="auto" w:fill="FFFFFF"/>
        </w:rPr>
        <w:t>Journal of Women and Gender in Higher Education</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15</w:t>
      </w:r>
      <w:r w:rsidRPr="00BD7A27">
        <w:rPr>
          <w:rFonts w:ascii="Arial" w:hAnsi="Arial" w:cs="Arial"/>
          <w:color w:val="000000" w:themeColor="text1"/>
          <w:shd w:val="clear" w:color="auto" w:fill="FFFFFF"/>
        </w:rPr>
        <w:t>(1), 65-86. https://www.tandfonline.com/doi/abs/10.1080/26379112.2021.1990076</w:t>
      </w:r>
    </w:p>
    <w:p w14:paraId="73BA8D5B" w14:textId="77777777" w:rsidR="00BD7A27" w:rsidRPr="00BD7A27" w:rsidRDefault="00BD7A27" w:rsidP="00BD7A27">
      <w:pPr>
        <w:ind w:left="720" w:hanging="720"/>
        <w:rPr>
          <w:rFonts w:asciiTheme="minorHAnsi" w:hAnsiTheme="minorHAnsi" w:cstheme="minorBidi"/>
        </w:rPr>
      </w:pPr>
      <w:r w:rsidRPr="00BD7A27">
        <w:rPr>
          <w:rFonts w:ascii="Arial" w:hAnsi="Arial" w:cs="Arial"/>
          <w:color w:val="000000" w:themeColor="text1"/>
          <w:shd w:val="clear" w:color="auto" w:fill="FFFFFF"/>
        </w:rPr>
        <w:lastRenderedPageBreak/>
        <w:t>Palmer, D. K., Cervantes-Soon, C., Dorner, L., &amp; Heiman, D. (2019). Bilingualism, biliteracy, biculturalism, and critical consciousness for all: Proposing a fourth fundamental goal for two-way dual language education. </w:t>
      </w:r>
      <w:r w:rsidRPr="00BD7A27">
        <w:rPr>
          <w:i/>
          <w:iCs/>
        </w:rPr>
        <w:t>Theory into Practice</w:t>
      </w:r>
      <w:r w:rsidRPr="00BD7A27">
        <w:t>, </w:t>
      </w:r>
      <w:r w:rsidRPr="00BD7A27">
        <w:rPr>
          <w:i/>
          <w:iCs/>
        </w:rPr>
        <w:t>58</w:t>
      </w:r>
      <w:r w:rsidRPr="00BD7A27">
        <w:t xml:space="preserve">(2), 121-133. </w:t>
      </w:r>
      <w:hyperlink r:id="rId23" w:history="1">
        <w:r w:rsidRPr="00BD7A27">
          <w:rPr>
            <w:rStyle w:val="Hyperlink"/>
            <w:color w:val="000000" w:themeColor="text1"/>
            <w:u w:val="none"/>
          </w:rPr>
          <w:t>https://www.tandfonline.com/doi/abs/10.1080/00405841.2019.1569376</w:t>
        </w:r>
      </w:hyperlink>
    </w:p>
    <w:p w14:paraId="56CDCD33"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Piliyesi</w:t>
      </w:r>
      <w:proofErr w:type="spellEnd"/>
      <w:r w:rsidRPr="00BD7A27">
        <w:rPr>
          <w:rFonts w:ascii="Arial" w:hAnsi="Arial" w:cs="Arial"/>
          <w:color w:val="000000" w:themeColor="text1"/>
          <w:shd w:val="clear" w:color="auto" w:fill="FFFFFF"/>
        </w:rPr>
        <w:t xml:space="preserve">, S. D. E., </w:t>
      </w:r>
      <w:proofErr w:type="spellStart"/>
      <w:r w:rsidRPr="00BD7A27">
        <w:rPr>
          <w:rFonts w:ascii="Arial" w:hAnsi="Arial" w:cs="Arial"/>
          <w:color w:val="000000" w:themeColor="text1"/>
          <w:shd w:val="clear" w:color="auto" w:fill="FFFFFF"/>
        </w:rPr>
        <w:t>Ogada</w:t>
      </w:r>
      <w:proofErr w:type="spellEnd"/>
      <w:r w:rsidRPr="00BD7A27">
        <w:rPr>
          <w:rFonts w:ascii="Arial" w:hAnsi="Arial" w:cs="Arial"/>
          <w:color w:val="000000" w:themeColor="text1"/>
          <w:shd w:val="clear" w:color="auto" w:fill="FFFFFF"/>
        </w:rPr>
        <w:t>, E. O., &amp; Ochieng, R. J. (2020). Practical approaches to parental engagement and resource provision in curriculum implementation. </w:t>
      </w:r>
      <w:r w:rsidRPr="00BD7A27">
        <w:rPr>
          <w:rFonts w:ascii="Arial" w:hAnsi="Arial" w:cs="Arial"/>
          <w:i/>
          <w:iCs/>
          <w:color w:val="000000" w:themeColor="text1"/>
          <w:shd w:val="clear" w:color="auto" w:fill="FFFFFF"/>
        </w:rPr>
        <w:t>African Journal of Emerging Issues</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2</w:t>
      </w:r>
      <w:r w:rsidRPr="00BD7A27">
        <w:rPr>
          <w:rFonts w:ascii="Arial" w:hAnsi="Arial" w:cs="Arial"/>
          <w:color w:val="000000" w:themeColor="text1"/>
          <w:shd w:val="clear" w:color="auto" w:fill="FFFFFF"/>
        </w:rPr>
        <w:t>(2), 70-95. https://ajoeijournals.org/sys/index.php/ajoei/article/view/93</w:t>
      </w:r>
    </w:p>
    <w:p w14:paraId="30460228"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Posey-Maddox, L., &amp; Haley-Lock, A. (2020). One size does not fit all: Understanding parent engagement in the contexts of work, family, and public schooling. </w:t>
      </w:r>
      <w:r w:rsidRPr="00BD7A27">
        <w:rPr>
          <w:rFonts w:ascii="Arial" w:hAnsi="Arial" w:cs="Arial"/>
          <w:i/>
          <w:iCs/>
          <w:color w:val="000000" w:themeColor="text1"/>
          <w:shd w:val="clear" w:color="auto" w:fill="FFFFFF"/>
        </w:rPr>
        <w:t>Urban education</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55</w:t>
      </w:r>
      <w:r w:rsidRPr="00BD7A27">
        <w:rPr>
          <w:rFonts w:ascii="Arial" w:hAnsi="Arial" w:cs="Arial"/>
          <w:color w:val="000000" w:themeColor="text1"/>
          <w:shd w:val="clear" w:color="auto" w:fill="FFFFFF"/>
        </w:rPr>
        <w:t xml:space="preserve">(5), 671-698. </w:t>
      </w:r>
      <w:hyperlink r:id="rId24" w:history="1">
        <w:r w:rsidRPr="00BD7A27">
          <w:rPr>
            <w:rStyle w:val="Hyperlink"/>
            <w:rFonts w:ascii="Arial" w:hAnsi="Arial" w:cs="Arial"/>
            <w:color w:val="000000" w:themeColor="text1"/>
            <w:u w:val="none"/>
            <w:shd w:val="clear" w:color="auto" w:fill="FFFFFF"/>
          </w:rPr>
          <w:t>https://journals.sagepub.com/doi/abs/10.1177/0042085916660348</w:t>
        </w:r>
      </w:hyperlink>
    </w:p>
    <w:p w14:paraId="5D287C2F" w14:textId="2D94A017" w:rsidR="00B63EE7" w:rsidRDefault="00B63EE7" w:rsidP="00BD7A27">
      <w:pPr>
        <w:ind w:left="720" w:hanging="720"/>
        <w:rPr>
          <w:rFonts w:ascii="Arial" w:hAnsi="Arial" w:cs="Arial"/>
          <w:color w:val="000000" w:themeColor="text1"/>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xml:space="preserve">, J. D., </w:t>
      </w:r>
      <w:proofErr w:type="spellStart"/>
      <w:r>
        <w:rPr>
          <w:rFonts w:ascii="Arial" w:hAnsi="Arial" w:cs="Arial"/>
          <w:color w:val="222222"/>
          <w:shd w:val="clear" w:color="auto" w:fill="FFFFFF"/>
        </w:rPr>
        <w:t>Leopardas</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Ganancial</w:t>
      </w:r>
      <w:proofErr w:type="spellEnd"/>
      <w:r>
        <w:rPr>
          <w:rFonts w:ascii="Arial" w:hAnsi="Arial" w:cs="Arial"/>
          <w:color w:val="222222"/>
          <w:shd w:val="clear" w:color="auto" w:fill="FFFFFF"/>
        </w:rPr>
        <w:t xml:space="preserve">, I. J., </w:t>
      </w:r>
      <w:proofErr w:type="spellStart"/>
      <w:r>
        <w:rPr>
          <w:rFonts w:ascii="Arial" w:hAnsi="Arial" w:cs="Arial"/>
          <w:color w:val="222222"/>
          <w:shd w:val="clear" w:color="auto" w:fill="FFFFFF"/>
        </w:rPr>
        <w:t>Baguhin</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Sedo</w:t>
      </w:r>
      <w:proofErr w:type="spellEnd"/>
      <w:r>
        <w:rPr>
          <w:rFonts w:ascii="Arial" w:hAnsi="Arial" w:cs="Arial"/>
          <w:color w:val="222222"/>
          <w:shd w:val="clear" w:color="auto" w:fill="FFFFFF"/>
        </w:rPr>
        <w:t>, F. (2025). Ethical Issues in Conducting Research Using Human Participants in the Post-COVID Era.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(1), 1-9.</w:t>
      </w:r>
      <w:r w:rsidRPr="00BD7A27">
        <w:rPr>
          <w:rFonts w:ascii="Arial" w:hAnsi="Arial" w:cs="Arial"/>
          <w:color w:val="000000" w:themeColor="text1"/>
          <w:shd w:val="clear" w:color="auto" w:fill="FFFFFF"/>
        </w:rPr>
        <w:t xml:space="preserve"> </w:t>
      </w:r>
      <w:r w:rsidRPr="00B63EE7">
        <w:rPr>
          <w:rFonts w:ascii="Arial" w:hAnsi="Arial" w:cs="Arial"/>
          <w:color w:val="000000" w:themeColor="text1"/>
          <w:shd w:val="clear" w:color="auto" w:fill="FFFFFF"/>
        </w:rPr>
        <w:t>https://hal.science/hal-05073466/</w:t>
      </w:r>
    </w:p>
    <w:p w14:paraId="5121BBEF" w14:textId="72DE81DA" w:rsidR="00BD7A27" w:rsidRPr="00BD7A27" w:rsidRDefault="00BD7A27" w:rsidP="00BD7A27">
      <w:pPr>
        <w:ind w:left="720" w:hanging="720"/>
        <w:rPr>
          <w:rFonts w:asciiTheme="minorHAnsi" w:hAnsiTheme="minorHAnsi" w:cstheme="minorBidi"/>
        </w:rPr>
      </w:pPr>
      <w:proofErr w:type="spellStart"/>
      <w:r w:rsidRPr="00BD7A27">
        <w:rPr>
          <w:rFonts w:ascii="Arial" w:hAnsi="Arial" w:cs="Arial"/>
          <w:color w:val="000000" w:themeColor="text1"/>
          <w:shd w:val="clear" w:color="auto" w:fill="FFFFFF"/>
        </w:rPr>
        <w:t>Samanth</w:t>
      </w:r>
      <w:proofErr w:type="spellEnd"/>
      <w:r w:rsidRPr="00BD7A27">
        <w:rPr>
          <w:rFonts w:ascii="Arial" w:hAnsi="Arial" w:cs="Arial"/>
          <w:color w:val="000000" w:themeColor="text1"/>
          <w:shd w:val="clear" w:color="auto" w:fill="FFFFFF"/>
        </w:rPr>
        <w:t>, M. (2024). A Brief Introduction to Research Methodology. </w:t>
      </w:r>
      <w:r w:rsidRPr="00BD7A27">
        <w:rPr>
          <w:i/>
          <w:iCs/>
        </w:rPr>
        <w:t>International Journal Od Creative Research Thoughts (IJCRT)</w:t>
      </w:r>
      <w:r w:rsidRPr="00BD7A27">
        <w:t>, </w:t>
      </w:r>
      <w:r w:rsidRPr="00BD7A27">
        <w:rPr>
          <w:i/>
          <w:iCs/>
        </w:rPr>
        <w:t>12</w:t>
      </w:r>
      <w:r w:rsidRPr="00BD7A27">
        <w:t xml:space="preserve">(5). </w:t>
      </w:r>
      <w:hyperlink r:id="rId25" w:history="1">
        <w:r w:rsidRPr="00BD7A27">
          <w:rPr>
            <w:rStyle w:val="Hyperlink"/>
            <w:color w:val="000000" w:themeColor="text1"/>
            <w:u w:val="none"/>
          </w:rPr>
          <w:t>https://www.researchgate.net/profile/Mahima-Samanth-2/publication/382830515_A_brief_introduction_to_Research_methodology/links/66adfe1e2361f42f23af48cf/A-brief-introduction-to-Research-methodology.pdf</w:t>
        </w:r>
      </w:hyperlink>
    </w:p>
    <w:p w14:paraId="16339DA3"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Sengonul</w:t>
      </w:r>
      <w:proofErr w:type="spellEnd"/>
      <w:r w:rsidRPr="00BD7A27">
        <w:rPr>
          <w:rFonts w:ascii="Arial" w:hAnsi="Arial" w:cs="Arial"/>
          <w:color w:val="000000" w:themeColor="text1"/>
          <w:shd w:val="clear" w:color="auto" w:fill="FFFFFF"/>
        </w:rPr>
        <w:t>, T. (2022). A Review of the Relationship between Parental Involvement and Children's Academic Achievement and the Role of Family Socioeconomic Status in This Relationship. </w:t>
      </w:r>
      <w:proofErr w:type="spellStart"/>
      <w:r w:rsidRPr="00BD7A27">
        <w:rPr>
          <w:rFonts w:ascii="Arial" w:hAnsi="Arial" w:cs="Arial"/>
          <w:i/>
          <w:iCs/>
          <w:color w:val="000000" w:themeColor="text1"/>
          <w:shd w:val="clear" w:color="auto" w:fill="FFFFFF"/>
        </w:rPr>
        <w:t>Pegem</w:t>
      </w:r>
      <w:proofErr w:type="spellEnd"/>
      <w:r w:rsidRPr="00BD7A27">
        <w:rPr>
          <w:rFonts w:ascii="Arial" w:hAnsi="Arial" w:cs="Arial"/>
          <w:i/>
          <w:iCs/>
          <w:color w:val="000000" w:themeColor="text1"/>
          <w:shd w:val="clear" w:color="auto" w:fill="FFFFFF"/>
        </w:rPr>
        <w:t xml:space="preserve"> Journal of Education and Instruction</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12</w:t>
      </w:r>
      <w:r w:rsidRPr="00BD7A27">
        <w:rPr>
          <w:rFonts w:ascii="Arial" w:hAnsi="Arial" w:cs="Arial"/>
          <w:color w:val="000000" w:themeColor="text1"/>
          <w:shd w:val="clear" w:color="auto" w:fill="FFFFFF"/>
        </w:rPr>
        <w:t>(2), 32-57.</w:t>
      </w:r>
      <w:r w:rsidRPr="00BD7A27">
        <w:rPr>
          <w:color w:val="000000" w:themeColor="text1"/>
        </w:rPr>
        <w:t xml:space="preserve"> </w:t>
      </w:r>
      <w:r w:rsidRPr="00BD7A27">
        <w:rPr>
          <w:rFonts w:ascii="Arial" w:hAnsi="Arial" w:cs="Arial"/>
          <w:color w:val="000000" w:themeColor="text1"/>
          <w:shd w:val="clear" w:color="auto" w:fill="FFFFFF"/>
        </w:rPr>
        <w:t>https://eric.ed.gov/?id=EJ1343324</w:t>
      </w:r>
    </w:p>
    <w:p w14:paraId="55333993" w14:textId="77777777" w:rsidR="00BD7A27" w:rsidRPr="00BD7A27" w:rsidRDefault="00BD7A27" w:rsidP="00BD7A27">
      <w:pPr>
        <w:ind w:left="720" w:hanging="720"/>
        <w:rPr>
          <w:rFonts w:asciiTheme="minorHAnsi" w:hAnsiTheme="minorHAnsi" w:cstheme="minorBidi"/>
        </w:rPr>
      </w:pPr>
      <w:proofErr w:type="spellStart"/>
      <w:r w:rsidRPr="00BD7A27">
        <w:rPr>
          <w:rFonts w:ascii="Arial" w:hAnsi="Arial" w:cs="Arial"/>
          <w:color w:val="000000" w:themeColor="text1"/>
          <w:shd w:val="clear" w:color="auto" w:fill="FFFFFF"/>
        </w:rPr>
        <w:t>Siedlecki</w:t>
      </w:r>
      <w:proofErr w:type="spellEnd"/>
      <w:r w:rsidRPr="00BD7A27">
        <w:rPr>
          <w:rFonts w:ascii="Arial" w:hAnsi="Arial" w:cs="Arial"/>
          <w:color w:val="000000" w:themeColor="text1"/>
          <w:shd w:val="clear" w:color="auto" w:fill="FFFFFF"/>
        </w:rPr>
        <w:t>, S. L. (2020). Understanding descriptive research designs and methods. </w:t>
      </w:r>
      <w:r w:rsidRPr="00BD7A27">
        <w:rPr>
          <w:i/>
          <w:iCs/>
        </w:rPr>
        <w:t>Clinical Nurse Specialist</w:t>
      </w:r>
      <w:r w:rsidRPr="00BD7A27">
        <w:t>, </w:t>
      </w:r>
      <w:r w:rsidRPr="00BD7A27">
        <w:rPr>
          <w:i/>
          <w:iCs/>
        </w:rPr>
        <w:t>34</w:t>
      </w:r>
      <w:r w:rsidRPr="00BD7A27">
        <w:t xml:space="preserve">(1), 8-12. </w:t>
      </w:r>
      <w:hyperlink r:id="rId26" w:history="1">
        <w:r w:rsidRPr="00BD7A27">
          <w:rPr>
            <w:rStyle w:val="Hyperlink"/>
            <w:color w:val="000000" w:themeColor="text1"/>
            <w:u w:val="none"/>
          </w:rPr>
          <w:t>https://journals.lww.com/cns-journal/fulltext/2020/01000/understanding_descriptive_research_designs_and.4.aspx</w:t>
        </w:r>
      </w:hyperlink>
    </w:p>
    <w:p w14:paraId="2934A18F" w14:textId="77777777" w:rsidR="00BD7A27" w:rsidRPr="00BD7A27" w:rsidRDefault="00BD7A27" w:rsidP="00BD7A27">
      <w:pPr>
        <w:ind w:left="720" w:hanging="720"/>
      </w:pPr>
      <w:proofErr w:type="spellStart"/>
      <w:r w:rsidRPr="00BD7A27">
        <w:rPr>
          <w:rFonts w:ascii="Arial" w:hAnsi="Arial" w:cs="Arial"/>
          <w:color w:val="000000" w:themeColor="text1"/>
          <w:shd w:val="clear" w:color="auto" w:fill="FFFFFF"/>
        </w:rPr>
        <w:t>Syomwene</w:t>
      </w:r>
      <w:proofErr w:type="spellEnd"/>
      <w:r w:rsidRPr="00BD7A27">
        <w:rPr>
          <w:rFonts w:ascii="Arial" w:hAnsi="Arial" w:cs="Arial"/>
          <w:color w:val="000000" w:themeColor="text1"/>
          <w:shd w:val="clear" w:color="auto" w:fill="FFFFFF"/>
        </w:rPr>
        <w:t xml:space="preserve">, A. (2022). Parental involvement strategies and challenges in development of pupils’ literacy skills in the implementation of </w:t>
      </w:r>
      <w:proofErr w:type="gramStart"/>
      <w:r w:rsidRPr="00BD7A27">
        <w:rPr>
          <w:rFonts w:ascii="Arial" w:hAnsi="Arial" w:cs="Arial"/>
          <w:color w:val="000000" w:themeColor="text1"/>
          <w:shd w:val="clear" w:color="auto" w:fill="FFFFFF"/>
        </w:rPr>
        <w:t>competency based</w:t>
      </w:r>
      <w:proofErr w:type="gramEnd"/>
      <w:r w:rsidRPr="00BD7A27">
        <w:rPr>
          <w:rFonts w:ascii="Arial" w:hAnsi="Arial" w:cs="Arial"/>
          <w:color w:val="000000" w:themeColor="text1"/>
          <w:shd w:val="clear" w:color="auto" w:fill="FFFFFF"/>
        </w:rPr>
        <w:t xml:space="preserve"> curriculum in early years education in Kenya. </w:t>
      </w:r>
      <w:r w:rsidRPr="00BD7A27">
        <w:rPr>
          <w:i/>
          <w:iCs/>
        </w:rPr>
        <w:t>European Journal of Education and Pedagogy</w:t>
      </w:r>
      <w:r w:rsidRPr="00BD7A27">
        <w:t>, </w:t>
      </w:r>
      <w:r w:rsidRPr="00BD7A27">
        <w:rPr>
          <w:i/>
          <w:iCs/>
        </w:rPr>
        <w:t>3</w:t>
      </w:r>
      <w:r w:rsidRPr="00BD7A27">
        <w:t xml:space="preserve">(2), 53-59. </w:t>
      </w:r>
      <w:hyperlink r:id="rId27" w:history="1">
        <w:r w:rsidRPr="00BD7A27">
          <w:rPr>
            <w:rStyle w:val="Hyperlink"/>
            <w:color w:val="000000" w:themeColor="text1"/>
            <w:u w:val="none"/>
          </w:rPr>
          <w:t>https://ej-edu.org/index.php/ejedu/article/view/273</w:t>
        </w:r>
      </w:hyperlink>
    </w:p>
    <w:p w14:paraId="6326A6AA"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Tijani, F. O. (2022). </w:t>
      </w:r>
      <w:r w:rsidRPr="00BD7A27">
        <w:rPr>
          <w:rFonts w:ascii="Arial" w:hAnsi="Arial" w:cs="Arial"/>
          <w:i/>
          <w:iCs/>
          <w:color w:val="000000" w:themeColor="text1"/>
          <w:shd w:val="clear" w:color="auto" w:fill="FFFFFF"/>
        </w:rPr>
        <w:t xml:space="preserve">Factors influencing Young Peoples' Career Choice in Agriculture from the Educational Perspective: A Case Study of </w:t>
      </w:r>
      <w:proofErr w:type="spellStart"/>
      <w:r w:rsidRPr="00BD7A27">
        <w:rPr>
          <w:rFonts w:ascii="Arial" w:hAnsi="Arial" w:cs="Arial"/>
          <w:i/>
          <w:iCs/>
          <w:color w:val="000000" w:themeColor="text1"/>
          <w:shd w:val="clear" w:color="auto" w:fill="FFFFFF"/>
        </w:rPr>
        <w:t>Kwara</w:t>
      </w:r>
      <w:proofErr w:type="spellEnd"/>
      <w:r w:rsidRPr="00BD7A27">
        <w:rPr>
          <w:rFonts w:ascii="Arial" w:hAnsi="Arial" w:cs="Arial"/>
          <w:i/>
          <w:iCs/>
          <w:color w:val="000000" w:themeColor="text1"/>
          <w:shd w:val="clear" w:color="auto" w:fill="FFFFFF"/>
        </w:rPr>
        <w:t xml:space="preserve"> State, Nigeria</w:t>
      </w:r>
      <w:r w:rsidRPr="00BD7A27">
        <w:rPr>
          <w:rFonts w:ascii="Arial" w:hAnsi="Arial" w:cs="Arial"/>
          <w:color w:val="000000" w:themeColor="text1"/>
          <w:shd w:val="clear" w:color="auto" w:fill="FFFFFF"/>
        </w:rPr>
        <w:t> (Doctoral dissertation, Newcastle University). http://theses.ncl.ac.uk/jspui/handle/10443/5989</w:t>
      </w:r>
    </w:p>
    <w:p w14:paraId="5CD4BF0B" w14:textId="77777777" w:rsidR="00BD7A27" w:rsidRPr="00BD7A27" w:rsidRDefault="00BD7A27" w:rsidP="00BD7A27">
      <w:pPr>
        <w:ind w:left="720" w:hanging="720"/>
        <w:rPr>
          <w:rFonts w:ascii="Arial" w:hAnsi="Arial" w:cs="Arial"/>
          <w:color w:val="000000" w:themeColor="text1"/>
          <w:shd w:val="clear" w:color="auto" w:fill="FFFFFF"/>
        </w:rPr>
      </w:pPr>
      <w:r w:rsidRPr="00BD7A27">
        <w:rPr>
          <w:rFonts w:ascii="Arial" w:hAnsi="Arial" w:cs="Arial"/>
          <w:color w:val="000000" w:themeColor="text1"/>
          <w:shd w:val="clear" w:color="auto" w:fill="FFFFFF"/>
        </w:rPr>
        <w:t xml:space="preserve">Tyner, A., &amp; </w:t>
      </w:r>
      <w:proofErr w:type="spellStart"/>
      <w:r w:rsidRPr="00BD7A27">
        <w:rPr>
          <w:rFonts w:ascii="Arial" w:hAnsi="Arial" w:cs="Arial"/>
          <w:color w:val="000000" w:themeColor="text1"/>
          <w:shd w:val="clear" w:color="auto" w:fill="FFFFFF"/>
        </w:rPr>
        <w:t>Kabourek</w:t>
      </w:r>
      <w:proofErr w:type="spellEnd"/>
      <w:r w:rsidRPr="00BD7A27">
        <w:rPr>
          <w:rFonts w:ascii="Arial" w:hAnsi="Arial" w:cs="Arial"/>
          <w:color w:val="000000" w:themeColor="text1"/>
          <w:shd w:val="clear" w:color="auto" w:fill="FFFFFF"/>
        </w:rPr>
        <w:t>, S. (2020). Social Studies Instruction and Reading Comprehension: Evidence from the Early Childhood Longitudinal Study. </w:t>
      </w:r>
      <w:r w:rsidRPr="00BD7A27">
        <w:rPr>
          <w:rFonts w:ascii="Arial" w:hAnsi="Arial" w:cs="Arial"/>
          <w:i/>
          <w:iCs/>
          <w:color w:val="000000" w:themeColor="text1"/>
          <w:shd w:val="clear" w:color="auto" w:fill="FFFFFF"/>
        </w:rPr>
        <w:t>Thomas B. Fordham Institute</w:t>
      </w:r>
      <w:r w:rsidRPr="00BD7A27">
        <w:rPr>
          <w:rFonts w:ascii="Arial" w:hAnsi="Arial" w:cs="Arial"/>
          <w:color w:val="000000" w:themeColor="text1"/>
          <w:shd w:val="clear" w:color="auto" w:fill="FFFFFF"/>
        </w:rPr>
        <w:t>. https://eric.ed.gov/?id=ED609934</w:t>
      </w:r>
    </w:p>
    <w:p w14:paraId="68B1E96D" w14:textId="77777777" w:rsidR="00BD7A27" w:rsidRPr="00BD7A27" w:rsidRDefault="00BD7A27" w:rsidP="00BD7A27">
      <w:pPr>
        <w:ind w:left="720" w:hanging="720"/>
        <w:rPr>
          <w:rFonts w:ascii="Arial" w:hAnsi="Arial" w:cs="Arial"/>
          <w:color w:val="000000" w:themeColor="text1"/>
          <w:shd w:val="clear" w:color="auto" w:fill="FFFFFF"/>
        </w:rPr>
      </w:pPr>
      <w:proofErr w:type="spellStart"/>
      <w:r w:rsidRPr="00BD7A27">
        <w:rPr>
          <w:rFonts w:ascii="Arial" w:hAnsi="Arial" w:cs="Arial"/>
          <w:color w:val="000000" w:themeColor="text1"/>
          <w:shd w:val="clear" w:color="auto" w:fill="FFFFFF"/>
        </w:rPr>
        <w:t>Wanof</w:t>
      </w:r>
      <w:proofErr w:type="spellEnd"/>
      <w:r w:rsidRPr="00BD7A27">
        <w:rPr>
          <w:rFonts w:ascii="Arial" w:hAnsi="Arial" w:cs="Arial"/>
          <w:color w:val="000000" w:themeColor="text1"/>
          <w:shd w:val="clear" w:color="auto" w:fill="FFFFFF"/>
        </w:rPr>
        <w:t>, M. I. (2023). Digital technology innovation in improving financial access for low-income communities. </w:t>
      </w:r>
      <w:r w:rsidRPr="00BD7A27">
        <w:rPr>
          <w:rFonts w:ascii="Arial" w:hAnsi="Arial" w:cs="Arial"/>
          <w:i/>
          <w:iCs/>
          <w:color w:val="000000" w:themeColor="text1"/>
          <w:shd w:val="clear" w:color="auto" w:fill="FFFFFF"/>
        </w:rPr>
        <w:t>Technology and Society Perspectives (TACIT)</w:t>
      </w:r>
      <w:r w:rsidRPr="00BD7A27">
        <w:rPr>
          <w:rFonts w:ascii="Arial" w:hAnsi="Arial" w:cs="Arial"/>
          <w:color w:val="000000" w:themeColor="text1"/>
          <w:shd w:val="clear" w:color="auto" w:fill="FFFFFF"/>
        </w:rPr>
        <w:t>, </w:t>
      </w:r>
      <w:r w:rsidRPr="00BD7A27">
        <w:rPr>
          <w:rFonts w:ascii="Arial" w:hAnsi="Arial" w:cs="Arial"/>
          <w:i/>
          <w:iCs/>
          <w:color w:val="000000" w:themeColor="text1"/>
          <w:shd w:val="clear" w:color="auto" w:fill="FFFFFF"/>
        </w:rPr>
        <w:t>1</w:t>
      </w:r>
      <w:r w:rsidRPr="00BD7A27">
        <w:rPr>
          <w:rFonts w:ascii="Arial" w:hAnsi="Arial" w:cs="Arial"/>
          <w:color w:val="000000" w:themeColor="text1"/>
          <w:shd w:val="clear" w:color="auto" w:fill="FFFFFF"/>
        </w:rPr>
        <w:t>(1), 26-34. https://journal.literasisainsnusantara.com/index.php/tacit/article/view/35</w:t>
      </w:r>
    </w:p>
    <w:p w14:paraId="5B6B9734" w14:textId="5C8D05E1" w:rsidR="00CD4D57" w:rsidRPr="001E0522" w:rsidRDefault="00CD4D57" w:rsidP="001E0522">
      <w:pPr>
        <w:rPr>
          <w:rFonts w:ascii="Arial" w:hAnsi="Arial" w:cs="Arial"/>
          <w:b/>
        </w:rPr>
      </w:pPr>
    </w:p>
    <w:sectPr w:rsidR="00CD4D57" w:rsidRPr="001E0522" w:rsidSect="00EF6083">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A9889" w14:textId="77777777" w:rsidR="002B4203" w:rsidRDefault="002B4203">
      <w:r>
        <w:separator/>
      </w:r>
    </w:p>
  </w:endnote>
  <w:endnote w:type="continuationSeparator" w:id="0">
    <w:p w14:paraId="6B875981" w14:textId="77777777" w:rsidR="002B4203" w:rsidRDefault="002B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AE14" w14:textId="77777777" w:rsidR="00054061" w:rsidRDefault="00054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A897" w14:textId="77777777" w:rsidR="00054061" w:rsidRDefault="00054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DF4034" w:rsidRDefault="00DF4034">
    <w:pPr>
      <w:pStyle w:val="Footer"/>
      <w:rPr>
        <w:rFonts w:ascii="Arial" w:hAnsi="Arial" w:cs="Arial"/>
        <w:sz w:val="16"/>
      </w:rPr>
    </w:pPr>
  </w:p>
  <w:p w14:paraId="37F70CA5" w14:textId="77777777" w:rsidR="00DF4034" w:rsidRDefault="00DF4034">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DF4034" w:rsidRDefault="00DF4034">
    <w:pPr>
      <w:pStyle w:val="Footer"/>
      <w:rPr>
        <w:rFonts w:ascii="Arial" w:hAnsi="Arial" w:cs="Arial"/>
        <w:sz w:val="16"/>
      </w:rPr>
    </w:pPr>
  </w:p>
  <w:p w14:paraId="51867F36" w14:textId="77777777" w:rsidR="00DF4034" w:rsidRDefault="00DF4034">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DF4034" w:rsidRDefault="00DF4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6BC44" w14:textId="77777777" w:rsidR="002B4203" w:rsidRDefault="002B4203">
      <w:r>
        <w:separator/>
      </w:r>
    </w:p>
  </w:footnote>
  <w:footnote w:type="continuationSeparator" w:id="0">
    <w:p w14:paraId="1D7815E3" w14:textId="77777777" w:rsidR="002B4203" w:rsidRDefault="002B4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18A93" w14:textId="660A58CC" w:rsidR="00054061" w:rsidRDefault="00054061">
    <w:pPr>
      <w:pStyle w:val="Header"/>
    </w:pPr>
    <w:r>
      <w:rPr>
        <w:noProof/>
      </w:rPr>
      <w:pict w14:anchorId="43DF3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5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FD57" w14:textId="08051CEF" w:rsidR="00054061" w:rsidRDefault="00054061">
    <w:pPr>
      <w:pStyle w:val="Header"/>
    </w:pPr>
    <w:r>
      <w:rPr>
        <w:noProof/>
      </w:rPr>
      <w:pict w14:anchorId="6B6E7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5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7BC3FA26" w:rsidR="00DF4034" w:rsidRDefault="00054061">
    <w:pPr>
      <w:ind w:left="2160"/>
      <w:jc w:val="center"/>
      <w:rPr>
        <w:rFonts w:ascii="Times New Roman" w:eastAsia="Calibri" w:hAnsi="Times New Roman"/>
        <w:i/>
        <w:sz w:val="18"/>
        <w:szCs w:val="22"/>
      </w:rPr>
    </w:pPr>
    <w:r>
      <w:rPr>
        <w:noProof/>
      </w:rPr>
      <w:pict w14:anchorId="42CAD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5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DF4034" w:rsidRDefault="00DF4034">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DF4034" w:rsidRDefault="00DF4034">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DF4034" w:rsidRDefault="00DF403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DF4034" w:rsidRDefault="00DF4034">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DF4034" w:rsidRDefault="00DF403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DF4034" w:rsidRDefault="00DF403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26D3" w14:textId="2D7AA913" w:rsidR="00054061" w:rsidRDefault="00054061">
    <w:pPr>
      <w:pStyle w:val="Header"/>
    </w:pPr>
    <w:r>
      <w:rPr>
        <w:noProof/>
      </w:rPr>
      <w:pict w14:anchorId="67FE9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54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1EF36" w14:textId="01189AD4" w:rsidR="00054061" w:rsidRDefault="00054061">
    <w:pPr>
      <w:pStyle w:val="Header"/>
    </w:pPr>
    <w:r>
      <w:rPr>
        <w:noProof/>
      </w:rPr>
      <w:pict w14:anchorId="5E29B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54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4467" w14:textId="5B7626A8" w:rsidR="00054061" w:rsidRDefault="00054061">
    <w:pPr>
      <w:pStyle w:val="Header"/>
    </w:pPr>
    <w:r>
      <w:rPr>
        <w:noProof/>
      </w:rPr>
      <w:pict w14:anchorId="4467C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654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557F"/>
    <w:multiLevelType w:val="multilevel"/>
    <w:tmpl w:val="7BF24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A50462A"/>
    <w:multiLevelType w:val="multilevel"/>
    <w:tmpl w:val="0BC60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C65B2"/>
    <w:multiLevelType w:val="multilevel"/>
    <w:tmpl w:val="5BE49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29584DA8"/>
    <w:multiLevelType w:val="multilevel"/>
    <w:tmpl w:val="D4A2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67DDE"/>
    <w:multiLevelType w:val="multilevel"/>
    <w:tmpl w:val="F5D0E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01FEB"/>
    <w:multiLevelType w:val="multilevel"/>
    <w:tmpl w:val="744AA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97AF8"/>
    <w:multiLevelType w:val="multilevel"/>
    <w:tmpl w:val="850EC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00FB9"/>
    <w:multiLevelType w:val="multilevel"/>
    <w:tmpl w:val="AB1A7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D6E76"/>
    <w:multiLevelType w:val="multilevel"/>
    <w:tmpl w:val="02B88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71E1D"/>
    <w:multiLevelType w:val="multilevel"/>
    <w:tmpl w:val="D78E2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14" w15:restartNumberingAfterBreak="0">
    <w:nsid w:val="71AF1CF0"/>
    <w:multiLevelType w:val="multilevel"/>
    <w:tmpl w:val="B2C4B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9"/>
  </w:num>
  <w:num w:numId="9">
    <w:abstractNumId w:val="3"/>
  </w:num>
  <w:num w:numId="10">
    <w:abstractNumId w:val="6"/>
  </w:num>
  <w:num w:numId="11">
    <w:abstractNumId w:val="11"/>
  </w:num>
  <w:num w:numId="12">
    <w:abstractNumId w:val="5"/>
  </w:num>
  <w:num w:numId="13">
    <w:abstractNumId w:val="0"/>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oFAB/I7hItAAAA"/>
  </w:docVars>
  <w:rsids>
    <w:rsidRoot w:val="00AA6219"/>
    <w:rsid w:val="00000F8F"/>
    <w:rsid w:val="000017FA"/>
    <w:rsid w:val="00004CD1"/>
    <w:rsid w:val="00005BE3"/>
    <w:rsid w:val="00006763"/>
    <w:rsid w:val="00006E8A"/>
    <w:rsid w:val="00007102"/>
    <w:rsid w:val="000077E4"/>
    <w:rsid w:val="00007978"/>
    <w:rsid w:val="000110B5"/>
    <w:rsid w:val="00014095"/>
    <w:rsid w:val="00015C44"/>
    <w:rsid w:val="00017E5D"/>
    <w:rsid w:val="00021967"/>
    <w:rsid w:val="00021FDF"/>
    <w:rsid w:val="00024B4F"/>
    <w:rsid w:val="000254BB"/>
    <w:rsid w:val="00025AF8"/>
    <w:rsid w:val="00025BD1"/>
    <w:rsid w:val="000260E3"/>
    <w:rsid w:val="00030174"/>
    <w:rsid w:val="00037406"/>
    <w:rsid w:val="00037475"/>
    <w:rsid w:val="00043453"/>
    <w:rsid w:val="0004445B"/>
    <w:rsid w:val="0004512C"/>
    <w:rsid w:val="0004579C"/>
    <w:rsid w:val="00045CD6"/>
    <w:rsid w:val="00046AE8"/>
    <w:rsid w:val="000520DD"/>
    <w:rsid w:val="00052575"/>
    <w:rsid w:val="00052710"/>
    <w:rsid w:val="000531C9"/>
    <w:rsid w:val="00053CE0"/>
    <w:rsid w:val="00054061"/>
    <w:rsid w:val="00054B24"/>
    <w:rsid w:val="00054B91"/>
    <w:rsid w:val="0005727A"/>
    <w:rsid w:val="00057C65"/>
    <w:rsid w:val="000603D4"/>
    <w:rsid w:val="00061339"/>
    <w:rsid w:val="000647E2"/>
    <w:rsid w:val="00065B83"/>
    <w:rsid w:val="0006706E"/>
    <w:rsid w:val="0006786A"/>
    <w:rsid w:val="00067A0F"/>
    <w:rsid w:val="00067B98"/>
    <w:rsid w:val="00073DA5"/>
    <w:rsid w:val="000763D2"/>
    <w:rsid w:val="00081ACB"/>
    <w:rsid w:val="000827FD"/>
    <w:rsid w:val="00084A16"/>
    <w:rsid w:val="00086702"/>
    <w:rsid w:val="00090DFA"/>
    <w:rsid w:val="00093400"/>
    <w:rsid w:val="00095BAE"/>
    <w:rsid w:val="00095F34"/>
    <w:rsid w:val="000960F6"/>
    <w:rsid w:val="00096483"/>
    <w:rsid w:val="00096CB5"/>
    <w:rsid w:val="000A2230"/>
    <w:rsid w:val="000A2785"/>
    <w:rsid w:val="000A3474"/>
    <w:rsid w:val="000A3EDA"/>
    <w:rsid w:val="000A47FA"/>
    <w:rsid w:val="000A61FE"/>
    <w:rsid w:val="000A65D3"/>
    <w:rsid w:val="000A77F6"/>
    <w:rsid w:val="000B03FC"/>
    <w:rsid w:val="000B05A0"/>
    <w:rsid w:val="000B1E33"/>
    <w:rsid w:val="000B6BC1"/>
    <w:rsid w:val="000C43E4"/>
    <w:rsid w:val="000C5AE7"/>
    <w:rsid w:val="000C6E8D"/>
    <w:rsid w:val="000C70E2"/>
    <w:rsid w:val="000C73EB"/>
    <w:rsid w:val="000C7DFC"/>
    <w:rsid w:val="000D2384"/>
    <w:rsid w:val="000D23E6"/>
    <w:rsid w:val="000D31C5"/>
    <w:rsid w:val="000D6596"/>
    <w:rsid w:val="000D6816"/>
    <w:rsid w:val="000D689F"/>
    <w:rsid w:val="000D75B5"/>
    <w:rsid w:val="000D7A6E"/>
    <w:rsid w:val="000D7D15"/>
    <w:rsid w:val="000E14BC"/>
    <w:rsid w:val="000E16BC"/>
    <w:rsid w:val="000E2902"/>
    <w:rsid w:val="000E2A0D"/>
    <w:rsid w:val="000E3042"/>
    <w:rsid w:val="000E3FD1"/>
    <w:rsid w:val="000E4A79"/>
    <w:rsid w:val="000E7B7B"/>
    <w:rsid w:val="000E7C38"/>
    <w:rsid w:val="000E7D62"/>
    <w:rsid w:val="000F0FE9"/>
    <w:rsid w:val="000F5DF1"/>
    <w:rsid w:val="000F64BC"/>
    <w:rsid w:val="000F668F"/>
    <w:rsid w:val="000F7123"/>
    <w:rsid w:val="00103357"/>
    <w:rsid w:val="00107572"/>
    <w:rsid w:val="00113238"/>
    <w:rsid w:val="00115F49"/>
    <w:rsid w:val="00117553"/>
    <w:rsid w:val="00122285"/>
    <w:rsid w:val="00122E99"/>
    <w:rsid w:val="0012387C"/>
    <w:rsid w:val="00123C9F"/>
    <w:rsid w:val="001242A5"/>
    <w:rsid w:val="00125A7F"/>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68A2"/>
    <w:rsid w:val="0016056F"/>
    <w:rsid w:val="00162528"/>
    <w:rsid w:val="001627B6"/>
    <w:rsid w:val="00163510"/>
    <w:rsid w:val="00163988"/>
    <w:rsid w:val="00163BC4"/>
    <w:rsid w:val="00164E6F"/>
    <w:rsid w:val="00171A32"/>
    <w:rsid w:val="001720E7"/>
    <w:rsid w:val="001746F8"/>
    <w:rsid w:val="001758C5"/>
    <w:rsid w:val="00176FD0"/>
    <w:rsid w:val="00177A80"/>
    <w:rsid w:val="00180573"/>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0522"/>
    <w:rsid w:val="001E10D2"/>
    <w:rsid w:val="001E25B4"/>
    <w:rsid w:val="001E44FE"/>
    <w:rsid w:val="001E5B29"/>
    <w:rsid w:val="001E6121"/>
    <w:rsid w:val="001E7EB7"/>
    <w:rsid w:val="001F72C3"/>
    <w:rsid w:val="001F7F3C"/>
    <w:rsid w:val="00200595"/>
    <w:rsid w:val="00200CF7"/>
    <w:rsid w:val="0020136A"/>
    <w:rsid w:val="002039CD"/>
    <w:rsid w:val="00203AF9"/>
    <w:rsid w:val="00204835"/>
    <w:rsid w:val="0020483D"/>
    <w:rsid w:val="002074B8"/>
    <w:rsid w:val="002075F9"/>
    <w:rsid w:val="00210C28"/>
    <w:rsid w:val="002170C0"/>
    <w:rsid w:val="0022165E"/>
    <w:rsid w:val="00224DE5"/>
    <w:rsid w:val="002274C1"/>
    <w:rsid w:val="002309B8"/>
    <w:rsid w:val="00231920"/>
    <w:rsid w:val="0023195C"/>
    <w:rsid w:val="00237589"/>
    <w:rsid w:val="00240CE3"/>
    <w:rsid w:val="00241741"/>
    <w:rsid w:val="002425B9"/>
    <w:rsid w:val="0024282C"/>
    <w:rsid w:val="00245CB7"/>
    <w:rsid w:val="002460DC"/>
    <w:rsid w:val="00246DC7"/>
    <w:rsid w:val="00250985"/>
    <w:rsid w:val="0025105D"/>
    <w:rsid w:val="00251946"/>
    <w:rsid w:val="0025372F"/>
    <w:rsid w:val="00254DA4"/>
    <w:rsid w:val="002556F6"/>
    <w:rsid w:val="00256882"/>
    <w:rsid w:val="002622D4"/>
    <w:rsid w:val="00264A59"/>
    <w:rsid w:val="00266E67"/>
    <w:rsid w:val="00271F07"/>
    <w:rsid w:val="002755D7"/>
    <w:rsid w:val="002814B3"/>
    <w:rsid w:val="00281E88"/>
    <w:rsid w:val="00283105"/>
    <w:rsid w:val="00284C4C"/>
    <w:rsid w:val="002855A6"/>
    <w:rsid w:val="00285607"/>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32A0"/>
    <w:rsid w:val="002B4203"/>
    <w:rsid w:val="002B4E2B"/>
    <w:rsid w:val="002B4EDC"/>
    <w:rsid w:val="002B528F"/>
    <w:rsid w:val="002B685A"/>
    <w:rsid w:val="002C0715"/>
    <w:rsid w:val="002C2BD6"/>
    <w:rsid w:val="002C3741"/>
    <w:rsid w:val="002C424B"/>
    <w:rsid w:val="002C4E16"/>
    <w:rsid w:val="002C57D2"/>
    <w:rsid w:val="002C6217"/>
    <w:rsid w:val="002D194A"/>
    <w:rsid w:val="002D2186"/>
    <w:rsid w:val="002D2A9F"/>
    <w:rsid w:val="002D3AE7"/>
    <w:rsid w:val="002D53D9"/>
    <w:rsid w:val="002D7311"/>
    <w:rsid w:val="002D7B25"/>
    <w:rsid w:val="002E0D56"/>
    <w:rsid w:val="002E3D6C"/>
    <w:rsid w:val="002E4205"/>
    <w:rsid w:val="002F2031"/>
    <w:rsid w:val="002F2D06"/>
    <w:rsid w:val="002F2D1F"/>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4502"/>
    <w:rsid w:val="003455D7"/>
    <w:rsid w:val="00346014"/>
    <w:rsid w:val="0034653D"/>
    <w:rsid w:val="003466A1"/>
    <w:rsid w:val="00350E79"/>
    <w:rsid w:val="003512C2"/>
    <w:rsid w:val="00351B03"/>
    <w:rsid w:val="00351E2F"/>
    <w:rsid w:val="00351F41"/>
    <w:rsid w:val="003541EC"/>
    <w:rsid w:val="00362B79"/>
    <w:rsid w:val="00362D97"/>
    <w:rsid w:val="00363B3A"/>
    <w:rsid w:val="00363CA7"/>
    <w:rsid w:val="00371FB6"/>
    <w:rsid w:val="003763C1"/>
    <w:rsid w:val="00376A55"/>
    <w:rsid w:val="00376BBE"/>
    <w:rsid w:val="00377430"/>
    <w:rsid w:val="0038437D"/>
    <w:rsid w:val="00384B44"/>
    <w:rsid w:val="0038523C"/>
    <w:rsid w:val="003872C9"/>
    <w:rsid w:val="0039224F"/>
    <w:rsid w:val="00394684"/>
    <w:rsid w:val="00394EAF"/>
    <w:rsid w:val="00395884"/>
    <w:rsid w:val="003A1837"/>
    <w:rsid w:val="003A32D6"/>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270"/>
    <w:rsid w:val="003D3677"/>
    <w:rsid w:val="003D4C18"/>
    <w:rsid w:val="003D66AD"/>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89C"/>
    <w:rsid w:val="00416DDE"/>
    <w:rsid w:val="00423789"/>
    <w:rsid w:val="00432C42"/>
    <w:rsid w:val="00432DD0"/>
    <w:rsid w:val="00434182"/>
    <w:rsid w:val="004346E5"/>
    <w:rsid w:val="00437079"/>
    <w:rsid w:val="00440F43"/>
    <w:rsid w:val="0044134F"/>
    <w:rsid w:val="00441B6F"/>
    <w:rsid w:val="00446221"/>
    <w:rsid w:val="00450E62"/>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4519"/>
    <w:rsid w:val="00483372"/>
    <w:rsid w:val="00483EDC"/>
    <w:rsid w:val="0048547F"/>
    <w:rsid w:val="00490B0B"/>
    <w:rsid w:val="00491EFD"/>
    <w:rsid w:val="00495915"/>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D536E"/>
    <w:rsid w:val="004E1DA9"/>
    <w:rsid w:val="004E21A0"/>
    <w:rsid w:val="004E5345"/>
    <w:rsid w:val="004E5924"/>
    <w:rsid w:val="004E6386"/>
    <w:rsid w:val="004F0467"/>
    <w:rsid w:val="004F45E4"/>
    <w:rsid w:val="004F7E11"/>
    <w:rsid w:val="00500D35"/>
    <w:rsid w:val="00502516"/>
    <w:rsid w:val="00502C0C"/>
    <w:rsid w:val="00502D46"/>
    <w:rsid w:val="00503ADC"/>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5A7"/>
    <w:rsid w:val="005428F9"/>
    <w:rsid w:val="005435C6"/>
    <w:rsid w:val="00550463"/>
    <w:rsid w:val="00553354"/>
    <w:rsid w:val="0055379E"/>
    <w:rsid w:val="00554C2B"/>
    <w:rsid w:val="00554EEE"/>
    <w:rsid w:val="00554FDA"/>
    <w:rsid w:val="00555852"/>
    <w:rsid w:val="00555A79"/>
    <w:rsid w:val="0055611F"/>
    <w:rsid w:val="00557ED8"/>
    <w:rsid w:val="005602BC"/>
    <w:rsid w:val="00561EAE"/>
    <w:rsid w:val="0056218A"/>
    <w:rsid w:val="00563916"/>
    <w:rsid w:val="00564650"/>
    <w:rsid w:val="00567306"/>
    <w:rsid w:val="00570131"/>
    <w:rsid w:val="0057110B"/>
    <w:rsid w:val="00572250"/>
    <w:rsid w:val="00573D3E"/>
    <w:rsid w:val="00574C91"/>
    <w:rsid w:val="00575E98"/>
    <w:rsid w:val="005811D6"/>
    <w:rsid w:val="00582069"/>
    <w:rsid w:val="00586B1C"/>
    <w:rsid w:val="00587F26"/>
    <w:rsid w:val="00590BF3"/>
    <w:rsid w:val="00591549"/>
    <w:rsid w:val="005923EA"/>
    <w:rsid w:val="005959D9"/>
    <w:rsid w:val="005A463E"/>
    <w:rsid w:val="005A4C3F"/>
    <w:rsid w:val="005A6405"/>
    <w:rsid w:val="005A6625"/>
    <w:rsid w:val="005B0E96"/>
    <w:rsid w:val="005B222E"/>
    <w:rsid w:val="005B2E0E"/>
    <w:rsid w:val="005B3F31"/>
    <w:rsid w:val="005B5EA4"/>
    <w:rsid w:val="005B7EE4"/>
    <w:rsid w:val="005C0A2C"/>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3234"/>
    <w:rsid w:val="0066489A"/>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3B3F"/>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99A"/>
    <w:rsid w:val="00756316"/>
    <w:rsid w:val="00756864"/>
    <w:rsid w:val="0075735E"/>
    <w:rsid w:val="00757C6E"/>
    <w:rsid w:val="00757F7F"/>
    <w:rsid w:val="00761D52"/>
    <w:rsid w:val="007632DC"/>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3189"/>
    <w:rsid w:val="007969E9"/>
    <w:rsid w:val="007A2E32"/>
    <w:rsid w:val="007A351A"/>
    <w:rsid w:val="007B026C"/>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61"/>
    <w:rsid w:val="00851CF6"/>
    <w:rsid w:val="0085546E"/>
    <w:rsid w:val="008556BB"/>
    <w:rsid w:val="0085657A"/>
    <w:rsid w:val="00860000"/>
    <w:rsid w:val="00862163"/>
    <w:rsid w:val="00863BD3"/>
    <w:rsid w:val="00866D66"/>
    <w:rsid w:val="008671C6"/>
    <w:rsid w:val="00872099"/>
    <w:rsid w:val="00872C97"/>
    <w:rsid w:val="00875803"/>
    <w:rsid w:val="00876CE5"/>
    <w:rsid w:val="00877D36"/>
    <w:rsid w:val="00881869"/>
    <w:rsid w:val="00881D2A"/>
    <w:rsid w:val="008825C9"/>
    <w:rsid w:val="00882A88"/>
    <w:rsid w:val="00883640"/>
    <w:rsid w:val="0088758F"/>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34F"/>
    <w:rsid w:val="008C3CF9"/>
    <w:rsid w:val="008C65DE"/>
    <w:rsid w:val="008C73DB"/>
    <w:rsid w:val="008D1544"/>
    <w:rsid w:val="008D4CC6"/>
    <w:rsid w:val="008D5531"/>
    <w:rsid w:val="008D6E31"/>
    <w:rsid w:val="008E13AE"/>
    <w:rsid w:val="008E1506"/>
    <w:rsid w:val="008E1D48"/>
    <w:rsid w:val="008E710C"/>
    <w:rsid w:val="008F0221"/>
    <w:rsid w:val="008F03E2"/>
    <w:rsid w:val="008F2E29"/>
    <w:rsid w:val="008F446C"/>
    <w:rsid w:val="008F5B17"/>
    <w:rsid w:val="008F69D6"/>
    <w:rsid w:val="00902823"/>
    <w:rsid w:val="00907A49"/>
    <w:rsid w:val="00912783"/>
    <w:rsid w:val="00914755"/>
    <w:rsid w:val="00914956"/>
    <w:rsid w:val="00915CA6"/>
    <w:rsid w:val="00915CD7"/>
    <w:rsid w:val="0091747E"/>
    <w:rsid w:val="009205F6"/>
    <w:rsid w:val="00922FF1"/>
    <w:rsid w:val="0092466B"/>
    <w:rsid w:val="00924904"/>
    <w:rsid w:val="00925012"/>
    <w:rsid w:val="00926B4B"/>
    <w:rsid w:val="00926E2A"/>
    <w:rsid w:val="0092734A"/>
    <w:rsid w:val="0092777F"/>
    <w:rsid w:val="00927834"/>
    <w:rsid w:val="009316B6"/>
    <w:rsid w:val="00932889"/>
    <w:rsid w:val="00934E13"/>
    <w:rsid w:val="00935FB5"/>
    <w:rsid w:val="00940320"/>
    <w:rsid w:val="009500A6"/>
    <w:rsid w:val="00951100"/>
    <w:rsid w:val="00952916"/>
    <w:rsid w:val="00957C18"/>
    <w:rsid w:val="00957C4C"/>
    <w:rsid w:val="00957CFB"/>
    <w:rsid w:val="00960222"/>
    <w:rsid w:val="00962B44"/>
    <w:rsid w:val="00962C41"/>
    <w:rsid w:val="009648BB"/>
    <w:rsid w:val="009659BA"/>
    <w:rsid w:val="0096663E"/>
    <w:rsid w:val="0096697A"/>
    <w:rsid w:val="00966B8A"/>
    <w:rsid w:val="009676BB"/>
    <w:rsid w:val="00970217"/>
    <w:rsid w:val="00972E76"/>
    <w:rsid w:val="00973D3A"/>
    <w:rsid w:val="0097678A"/>
    <w:rsid w:val="00976CB2"/>
    <w:rsid w:val="00982C5E"/>
    <w:rsid w:val="00982CC1"/>
    <w:rsid w:val="00982E47"/>
    <w:rsid w:val="00983040"/>
    <w:rsid w:val="00983911"/>
    <w:rsid w:val="0098668C"/>
    <w:rsid w:val="009913C6"/>
    <w:rsid w:val="00991ABC"/>
    <w:rsid w:val="00994FC5"/>
    <w:rsid w:val="009950D9"/>
    <w:rsid w:val="00995521"/>
    <w:rsid w:val="009A4B52"/>
    <w:rsid w:val="009A5463"/>
    <w:rsid w:val="009A5ABF"/>
    <w:rsid w:val="009B02B2"/>
    <w:rsid w:val="009B2A64"/>
    <w:rsid w:val="009B3195"/>
    <w:rsid w:val="009B3FB9"/>
    <w:rsid w:val="009B4824"/>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164D"/>
    <w:rsid w:val="009E3762"/>
    <w:rsid w:val="009E3DB9"/>
    <w:rsid w:val="009E68DA"/>
    <w:rsid w:val="009E6E35"/>
    <w:rsid w:val="009E74A6"/>
    <w:rsid w:val="009F0EDA"/>
    <w:rsid w:val="009F5D06"/>
    <w:rsid w:val="009F66A4"/>
    <w:rsid w:val="009F743A"/>
    <w:rsid w:val="00A03B96"/>
    <w:rsid w:val="00A03BA8"/>
    <w:rsid w:val="00A04439"/>
    <w:rsid w:val="00A04985"/>
    <w:rsid w:val="00A05387"/>
    <w:rsid w:val="00A05B19"/>
    <w:rsid w:val="00A1134E"/>
    <w:rsid w:val="00A12A42"/>
    <w:rsid w:val="00A12E1C"/>
    <w:rsid w:val="00A21D6E"/>
    <w:rsid w:val="00A24A0C"/>
    <w:rsid w:val="00A24E7E"/>
    <w:rsid w:val="00A254E5"/>
    <w:rsid w:val="00A258C3"/>
    <w:rsid w:val="00A313D4"/>
    <w:rsid w:val="00A32872"/>
    <w:rsid w:val="00A34302"/>
    <w:rsid w:val="00A347C0"/>
    <w:rsid w:val="00A40F15"/>
    <w:rsid w:val="00A44B85"/>
    <w:rsid w:val="00A4603F"/>
    <w:rsid w:val="00A461CC"/>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4249"/>
    <w:rsid w:val="00A863CA"/>
    <w:rsid w:val="00A8786A"/>
    <w:rsid w:val="00A9100D"/>
    <w:rsid w:val="00A94063"/>
    <w:rsid w:val="00A97CA7"/>
    <w:rsid w:val="00AA021D"/>
    <w:rsid w:val="00AA046F"/>
    <w:rsid w:val="00AA1280"/>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255A"/>
    <w:rsid w:val="00AD3432"/>
    <w:rsid w:val="00AD41CE"/>
    <w:rsid w:val="00AD47EC"/>
    <w:rsid w:val="00AD6582"/>
    <w:rsid w:val="00AD6E79"/>
    <w:rsid w:val="00AD766B"/>
    <w:rsid w:val="00AD7C27"/>
    <w:rsid w:val="00AD7D8B"/>
    <w:rsid w:val="00AE008F"/>
    <w:rsid w:val="00AE2CF7"/>
    <w:rsid w:val="00AE3293"/>
    <w:rsid w:val="00AE3FEB"/>
    <w:rsid w:val="00AE3FFB"/>
    <w:rsid w:val="00AE4F46"/>
    <w:rsid w:val="00AE67D3"/>
    <w:rsid w:val="00AF0598"/>
    <w:rsid w:val="00AF0868"/>
    <w:rsid w:val="00AF2CBB"/>
    <w:rsid w:val="00AF52FA"/>
    <w:rsid w:val="00AF7082"/>
    <w:rsid w:val="00B0064D"/>
    <w:rsid w:val="00B01FCD"/>
    <w:rsid w:val="00B02104"/>
    <w:rsid w:val="00B07178"/>
    <w:rsid w:val="00B07779"/>
    <w:rsid w:val="00B07F18"/>
    <w:rsid w:val="00B10C30"/>
    <w:rsid w:val="00B112C4"/>
    <w:rsid w:val="00B14546"/>
    <w:rsid w:val="00B14AA9"/>
    <w:rsid w:val="00B14F9A"/>
    <w:rsid w:val="00B1776C"/>
    <w:rsid w:val="00B2072B"/>
    <w:rsid w:val="00B211F4"/>
    <w:rsid w:val="00B21345"/>
    <w:rsid w:val="00B23046"/>
    <w:rsid w:val="00B23383"/>
    <w:rsid w:val="00B237FB"/>
    <w:rsid w:val="00B24740"/>
    <w:rsid w:val="00B278F0"/>
    <w:rsid w:val="00B31AFA"/>
    <w:rsid w:val="00B32415"/>
    <w:rsid w:val="00B346C5"/>
    <w:rsid w:val="00B346D1"/>
    <w:rsid w:val="00B35A5F"/>
    <w:rsid w:val="00B364F1"/>
    <w:rsid w:val="00B36CD1"/>
    <w:rsid w:val="00B37CEB"/>
    <w:rsid w:val="00B41F6F"/>
    <w:rsid w:val="00B43C88"/>
    <w:rsid w:val="00B43D88"/>
    <w:rsid w:val="00B44933"/>
    <w:rsid w:val="00B527D2"/>
    <w:rsid w:val="00B52896"/>
    <w:rsid w:val="00B52A44"/>
    <w:rsid w:val="00B549CE"/>
    <w:rsid w:val="00B55B85"/>
    <w:rsid w:val="00B55D37"/>
    <w:rsid w:val="00B55FCC"/>
    <w:rsid w:val="00B60155"/>
    <w:rsid w:val="00B62947"/>
    <w:rsid w:val="00B63EE7"/>
    <w:rsid w:val="00B64177"/>
    <w:rsid w:val="00B66AB4"/>
    <w:rsid w:val="00B70C2E"/>
    <w:rsid w:val="00B72B39"/>
    <w:rsid w:val="00B76ECF"/>
    <w:rsid w:val="00B76F94"/>
    <w:rsid w:val="00B771E5"/>
    <w:rsid w:val="00B8032C"/>
    <w:rsid w:val="00B83A45"/>
    <w:rsid w:val="00B859F0"/>
    <w:rsid w:val="00B927F2"/>
    <w:rsid w:val="00B95236"/>
    <w:rsid w:val="00B96BD9"/>
    <w:rsid w:val="00B978D8"/>
    <w:rsid w:val="00BA1B01"/>
    <w:rsid w:val="00BA2193"/>
    <w:rsid w:val="00BA2641"/>
    <w:rsid w:val="00BA35EB"/>
    <w:rsid w:val="00BA4CDF"/>
    <w:rsid w:val="00BA4D4E"/>
    <w:rsid w:val="00BA5BD8"/>
    <w:rsid w:val="00BA5C84"/>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D7A27"/>
    <w:rsid w:val="00BE0A38"/>
    <w:rsid w:val="00BE0E4E"/>
    <w:rsid w:val="00BE1295"/>
    <w:rsid w:val="00BE230B"/>
    <w:rsid w:val="00BE392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4E1E"/>
    <w:rsid w:val="00C455E5"/>
    <w:rsid w:val="00C52519"/>
    <w:rsid w:val="00C532EF"/>
    <w:rsid w:val="00C5460A"/>
    <w:rsid w:val="00C555E5"/>
    <w:rsid w:val="00C56639"/>
    <w:rsid w:val="00C62D13"/>
    <w:rsid w:val="00C63EF9"/>
    <w:rsid w:val="00C65D13"/>
    <w:rsid w:val="00C705A4"/>
    <w:rsid w:val="00C70F1B"/>
    <w:rsid w:val="00C71A47"/>
    <w:rsid w:val="00C72DF1"/>
    <w:rsid w:val="00C73A36"/>
    <w:rsid w:val="00C73E17"/>
    <w:rsid w:val="00C741DB"/>
    <w:rsid w:val="00C7464C"/>
    <w:rsid w:val="00C75625"/>
    <w:rsid w:val="00C75E29"/>
    <w:rsid w:val="00C76FFA"/>
    <w:rsid w:val="00C77BA7"/>
    <w:rsid w:val="00C8034F"/>
    <w:rsid w:val="00C8198B"/>
    <w:rsid w:val="00C81A14"/>
    <w:rsid w:val="00C838DC"/>
    <w:rsid w:val="00C83CFF"/>
    <w:rsid w:val="00C84872"/>
    <w:rsid w:val="00C85588"/>
    <w:rsid w:val="00C85987"/>
    <w:rsid w:val="00C868A2"/>
    <w:rsid w:val="00C90676"/>
    <w:rsid w:val="00C93C2A"/>
    <w:rsid w:val="00C944B7"/>
    <w:rsid w:val="00C94706"/>
    <w:rsid w:val="00C972A1"/>
    <w:rsid w:val="00CA1A21"/>
    <w:rsid w:val="00CA30FF"/>
    <w:rsid w:val="00CA4932"/>
    <w:rsid w:val="00CA5187"/>
    <w:rsid w:val="00CA7890"/>
    <w:rsid w:val="00CB059F"/>
    <w:rsid w:val="00CB11B3"/>
    <w:rsid w:val="00CB2155"/>
    <w:rsid w:val="00CB37FD"/>
    <w:rsid w:val="00CB6F3A"/>
    <w:rsid w:val="00CB7AC1"/>
    <w:rsid w:val="00CC5ECD"/>
    <w:rsid w:val="00CC701F"/>
    <w:rsid w:val="00CC7073"/>
    <w:rsid w:val="00CD1124"/>
    <w:rsid w:val="00CD1618"/>
    <w:rsid w:val="00CD4D57"/>
    <w:rsid w:val="00CD6339"/>
    <w:rsid w:val="00CD6755"/>
    <w:rsid w:val="00CD6856"/>
    <w:rsid w:val="00CD6F56"/>
    <w:rsid w:val="00CE0089"/>
    <w:rsid w:val="00CE3176"/>
    <w:rsid w:val="00CE5E13"/>
    <w:rsid w:val="00CE793C"/>
    <w:rsid w:val="00CF0448"/>
    <w:rsid w:val="00CF1243"/>
    <w:rsid w:val="00CF2E29"/>
    <w:rsid w:val="00CF2F99"/>
    <w:rsid w:val="00D00F3E"/>
    <w:rsid w:val="00D01782"/>
    <w:rsid w:val="00D0289A"/>
    <w:rsid w:val="00D03BEB"/>
    <w:rsid w:val="00D04A8F"/>
    <w:rsid w:val="00D065CB"/>
    <w:rsid w:val="00D13405"/>
    <w:rsid w:val="00D13BF4"/>
    <w:rsid w:val="00D16771"/>
    <w:rsid w:val="00D16A04"/>
    <w:rsid w:val="00D17273"/>
    <w:rsid w:val="00D173F1"/>
    <w:rsid w:val="00D21E8D"/>
    <w:rsid w:val="00D227D5"/>
    <w:rsid w:val="00D2327E"/>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7EE"/>
    <w:rsid w:val="00DB46B2"/>
    <w:rsid w:val="00DC09E0"/>
    <w:rsid w:val="00DC0BFC"/>
    <w:rsid w:val="00DC0E26"/>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034"/>
    <w:rsid w:val="00DF4C95"/>
    <w:rsid w:val="00E009EA"/>
    <w:rsid w:val="00E0166B"/>
    <w:rsid w:val="00E053D0"/>
    <w:rsid w:val="00E05D72"/>
    <w:rsid w:val="00E0760C"/>
    <w:rsid w:val="00E100D0"/>
    <w:rsid w:val="00E103CF"/>
    <w:rsid w:val="00E112E6"/>
    <w:rsid w:val="00E1142D"/>
    <w:rsid w:val="00E1237F"/>
    <w:rsid w:val="00E12CED"/>
    <w:rsid w:val="00E146D8"/>
    <w:rsid w:val="00E15994"/>
    <w:rsid w:val="00E16D4E"/>
    <w:rsid w:val="00E22B41"/>
    <w:rsid w:val="00E2395E"/>
    <w:rsid w:val="00E2437E"/>
    <w:rsid w:val="00E25EC4"/>
    <w:rsid w:val="00E263A0"/>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4F8"/>
    <w:rsid w:val="00E61952"/>
    <w:rsid w:val="00E64B1B"/>
    <w:rsid w:val="00E66496"/>
    <w:rsid w:val="00E66A3C"/>
    <w:rsid w:val="00E66B35"/>
    <w:rsid w:val="00E66E10"/>
    <w:rsid w:val="00E70CB4"/>
    <w:rsid w:val="00E71A6B"/>
    <w:rsid w:val="00E744D3"/>
    <w:rsid w:val="00E75068"/>
    <w:rsid w:val="00E75538"/>
    <w:rsid w:val="00E769F6"/>
    <w:rsid w:val="00E77968"/>
    <w:rsid w:val="00E77D53"/>
    <w:rsid w:val="00E80D52"/>
    <w:rsid w:val="00E8217A"/>
    <w:rsid w:val="00E82357"/>
    <w:rsid w:val="00E824CE"/>
    <w:rsid w:val="00E8407C"/>
    <w:rsid w:val="00E84F3C"/>
    <w:rsid w:val="00E855E0"/>
    <w:rsid w:val="00E94E5E"/>
    <w:rsid w:val="00E956F6"/>
    <w:rsid w:val="00E9718F"/>
    <w:rsid w:val="00EA012C"/>
    <w:rsid w:val="00EA1B20"/>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1DC1"/>
    <w:rsid w:val="00EE3755"/>
    <w:rsid w:val="00EE52CB"/>
    <w:rsid w:val="00EE66A5"/>
    <w:rsid w:val="00EF15DE"/>
    <w:rsid w:val="00EF1EB5"/>
    <w:rsid w:val="00EF2383"/>
    <w:rsid w:val="00EF4B2D"/>
    <w:rsid w:val="00EF581D"/>
    <w:rsid w:val="00EF6083"/>
    <w:rsid w:val="00EF7DF2"/>
    <w:rsid w:val="00EF7FD8"/>
    <w:rsid w:val="00F02CEA"/>
    <w:rsid w:val="00F03243"/>
    <w:rsid w:val="00F04F13"/>
    <w:rsid w:val="00F05FAA"/>
    <w:rsid w:val="00F06F59"/>
    <w:rsid w:val="00F071D7"/>
    <w:rsid w:val="00F07371"/>
    <w:rsid w:val="00F11DDA"/>
    <w:rsid w:val="00F12135"/>
    <w:rsid w:val="00F121AE"/>
    <w:rsid w:val="00F159E4"/>
    <w:rsid w:val="00F174B8"/>
    <w:rsid w:val="00F17988"/>
    <w:rsid w:val="00F17F60"/>
    <w:rsid w:val="00F20BD8"/>
    <w:rsid w:val="00F2100D"/>
    <w:rsid w:val="00F21FC5"/>
    <w:rsid w:val="00F23A67"/>
    <w:rsid w:val="00F25401"/>
    <w:rsid w:val="00F266FB"/>
    <w:rsid w:val="00F26DEB"/>
    <w:rsid w:val="00F2706C"/>
    <w:rsid w:val="00F278FD"/>
    <w:rsid w:val="00F303EB"/>
    <w:rsid w:val="00F30D27"/>
    <w:rsid w:val="00F35314"/>
    <w:rsid w:val="00F36ABC"/>
    <w:rsid w:val="00F40FB0"/>
    <w:rsid w:val="00F41F1C"/>
    <w:rsid w:val="00F42FC6"/>
    <w:rsid w:val="00F458DD"/>
    <w:rsid w:val="00F4685B"/>
    <w:rsid w:val="00F469F0"/>
    <w:rsid w:val="00F51246"/>
    <w:rsid w:val="00F53273"/>
    <w:rsid w:val="00F53CF3"/>
    <w:rsid w:val="00F55DF5"/>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01F2"/>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E50C2"/>
    <w:rsid w:val="00FF0EAF"/>
    <w:rsid w:val="00FF23CD"/>
    <w:rsid w:val="00FF30BA"/>
    <w:rsid w:val="00FF7425"/>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24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7450">
      <w:bodyDiv w:val="1"/>
      <w:marLeft w:val="0"/>
      <w:marRight w:val="0"/>
      <w:marTop w:val="0"/>
      <w:marBottom w:val="0"/>
      <w:divBdr>
        <w:top w:val="none" w:sz="0" w:space="0" w:color="auto"/>
        <w:left w:val="none" w:sz="0" w:space="0" w:color="auto"/>
        <w:bottom w:val="none" w:sz="0" w:space="0" w:color="auto"/>
        <w:right w:val="none" w:sz="0" w:space="0" w:color="auto"/>
      </w:divBdr>
    </w:div>
    <w:div w:id="186261102">
      <w:bodyDiv w:val="1"/>
      <w:marLeft w:val="0"/>
      <w:marRight w:val="0"/>
      <w:marTop w:val="0"/>
      <w:marBottom w:val="0"/>
      <w:divBdr>
        <w:top w:val="none" w:sz="0" w:space="0" w:color="auto"/>
        <w:left w:val="none" w:sz="0" w:space="0" w:color="auto"/>
        <w:bottom w:val="none" w:sz="0" w:space="0" w:color="auto"/>
        <w:right w:val="none" w:sz="0" w:space="0" w:color="auto"/>
      </w:divBdr>
    </w:div>
    <w:div w:id="208037671">
      <w:bodyDiv w:val="1"/>
      <w:marLeft w:val="0"/>
      <w:marRight w:val="0"/>
      <w:marTop w:val="0"/>
      <w:marBottom w:val="0"/>
      <w:divBdr>
        <w:top w:val="none" w:sz="0" w:space="0" w:color="auto"/>
        <w:left w:val="none" w:sz="0" w:space="0" w:color="auto"/>
        <w:bottom w:val="none" w:sz="0" w:space="0" w:color="auto"/>
        <w:right w:val="none" w:sz="0" w:space="0" w:color="auto"/>
      </w:divBdr>
    </w:div>
    <w:div w:id="248930338">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13344236">
      <w:bodyDiv w:val="1"/>
      <w:marLeft w:val="0"/>
      <w:marRight w:val="0"/>
      <w:marTop w:val="0"/>
      <w:marBottom w:val="0"/>
      <w:divBdr>
        <w:top w:val="none" w:sz="0" w:space="0" w:color="auto"/>
        <w:left w:val="none" w:sz="0" w:space="0" w:color="auto"/>
        <w:bottom w:val="none" w:sz="0" w:space="0" w:color="auto"/>
        <w:right w:val="none" w:sz="0" w:space="0" w:color="auto"/>
      </w:divBdr>
    </w:div>
    <w:div w:id="700321106">
      <w:bodyDiv w:val="1"/>
      <w:marLeft w:val="0"/>
      <w:marRight w:val="0"/>
      <w:marTop w:val="0"/>
      <w:marBottom w:val="0"/>
      <w:divBdr>
        <w:top w:val="none" w:sz="0" w:space="0" w:color="auto"/>
        <w:left w:val="none" w:sz="0" w:space="0" w:color="auto"/>
        <w:bottom w:val="none" w:sz="0" w:space="0" w:color="auto"/>
        <w:right w:val="none" w:sz="0" w:space="0" w:color="auto"/>
      </w:divBdr>
    </w:div>
    <w:div w:id="760838399">
      <w:bodyDiv w:val="1"/>
      <w:marLeft w:val="0"/>
      <w:marRight w:val="0"/>
      <w:marTop w:val="0"/>
      <w:marBottom w:val="0"/>
      <w:divBdr>
        <w:top w:val="none" w:sz="0" w:space="0" w:color="auto"/>
        <w:left w:val="none" w:sz="0" w:space="0" w:color="auto"/>
        <w:bottom w:val="none" w:sz="0" w:space="0" w:color="auto"/>
        <w:right w:val="none" w:sz="0" w:space="0" w:color="auto"/>
      </w:divBdr>
    </w:div>
    <w:div w:id="983242746">
      <w:bodyDiv w:val="1"/>
      <w:marLeft w:val="0"/>
      <w:marRight w:val="0"/>
      <w:marTop w:val="0"/>
      <w:marBottom w:val="0"/>
      <w:divBdr>
        <w:top w:val="none" w:sz="0" w:space="0" w:color="auto"/>
        <w:left w:val="none" w:sz="0" w:space="0" w:color="auto"/>
        <w:bottom w:val="none" w:sz="0" w:space="0" w:color="auto"/>
        <w:right w:val="none" w:sz="0" w:space="0" w:color="auto"/>
      </w:divBdr>
    </w:div>
    <w:div w:id="1154374615">
      <w:bodyDiv w:val="1"/>
      <w:marLeft w:val="0"/>
      <w:marRight w:val="0"/>
      <w:marTop w:val="0"/>
      <w:marBottom w:val="0"/>
      <w:divBdr>
        <w:top w:val="none" w:sz="0" w:space="0" w:color="auto"/>
        <w:left w:val="none" w:sz="0" w:space="0" w:color="auto"/>
        <w:bottom w:val="none" w:sz="0" w:space="0" w:color="auto"/>
        <w:right w:val="none" w:sz="0" w:space="0" w:color="auto"/>
      </w:divBdr>
    </w:div>
    <w:div w:id="1171678163">
      <w:bodyDiv w:val="1"/>
      <w:marLeft w:val="0"/>
      <w:marRight w:val="0"/>
      <w:marTop w:val="0"/>
      <w:marBottom w:val="0"/>
      <w:divBdr>
        <w:top w:val="none" w:sz="0" w:space="0" w:color="auto"/>
        <w:left w:val="none" w:sz="0" w:space="0" w:color="auto"/>
        <w:bottom w:val="none" w:sz="0" w:space="0" w:color="auto"/>
        <w:right w:val="none" w:sz="0" w:space="0" w:color="auto"/>
      </w:divBdr>
    </w:div>
    <w:div w:id="1180436451">
      <w:bodyDiv w:val="1"/>
      <w:marLeft w:val="0"/>
      <w:marRight w:val="0"/>
      <w:marTop w:val="0"/>
      <w:marBottom w:val="0"/>
      <w:divBdr>
        <w:top w:val="none" w:sz="0" w:space="0" w:color="auto"/>
        <w:left w:val="none" w:sz="0" w:space="0" w:color="auto"/>
        <w:bottom w:val="none" w:sz="0" w:space="0" w:color="auto"/>
        <w:right w:val="none" w:sz="0" w:space="0" w:color="auto"/>
      </w:divBdr>
    </w:div>
    <w:div w:id="1540969969">
      <w:bodyDiv w:val="1"/>
      <w:marLeft w:val="0"/>
      <w:marRight w:val="0"/>
      <w:marTop w:val="0"/>
      <w:marBottom w:val="0"/>
      <w:divBdr>
        <w:top w:val="none" w:sz="0" w:space="0" w:color="auto"/>
        <w:left w:val="none" w:sz="0" w:space="0" w:color="auto"/>
        <w:bottom w:val="none" w:sz="0" w:space="0" w:color="auto"/>
        <w:right w:val="none" w:sz="0" w:space="0" w:color="auto"/>
      </w:divBdr>
    </w:div>
    <w:div w:id="1603144026">
      <w:bodyDiv w:val="1"/>
      <w:marLeft w:val="0"/>
      <w:marRight w:val="0"/>
      <w:marTop w:val="0"/>
      <w:marBottom w:val="0"/>
      <w:divBdr>
        <w:top w:val="none" w:sz="0" w:space="0" w:color="auto"/>
        <w:left w:val="none" w:sz="0" w:space="0" w:color="auto"/>
        <w:bottom w:val="none" w:sz="0" w:space="0" w:color="auto"/>
        <w:right w:val="none" w:sz="0" w:space="0" w:color="auto"/>
      </w:divBdr>
    </w:div>
    <w:div w:id="1645161766">
      <w:bodyDiv w:val="1"/>
      <w:marLeft w:val="0"/>
      <w:marRight w:val="0"/>
      <w:marTop w:val="0"/>
      <w:marBottom w:val="0"/>
      <w:divBdr>
        <w:top w:val="none" w:sz="0" w:space="0" w:color="auto"/>
        <w:left w:val="none" w:sz="0" w:space="0" w:color="auto"/>
        <w:bottom w:val="none" w:sz="0" w:space="0" w:color="auto"/>
        <w:right w:val="none" w:sz="0" w:space="0" w:color="auto"/>
      </w:divBdr>
    </w:div>
    <w:div w:id="1814906376">
      <w:bodyDiv w:val="1"/>
      <w:marLeft w:val="0"/>
      <w:marRight w:val="0"/>
      <w:marTop w:val="0"/>
      <w:marBottom w:val="0"/>
      <w:divBdr>
        <w:top w:val="none" w:sz="0" w:space="0" w:color="auto"/>
        <w:left w:val="none" w:sz="0" w:space="0" w:color="auto"/>
        <w:bottom w:val="none" w:sz="0" w:space="0" w:color="auto"/>
        <w:right w:val="none" w:sz="0" w:space="0" w:color="auto"/>
      </w:divBdr>
    </w:div>
    <w:div w:id="1932733558">
      <w:bodyDiv w:val="1"/>
      <w:marLeft w:val="0"/>
      <w:marRight w:val="0"/>
      <w:marTop w:val="0"/>
      <w:marBottom w:val="0"/>
      <w:divBdr>
        <w:top w:val="none" w:sz="0" w:space="0" w:color="auto"/>
        <w:left w:val="none" w:sz="0" w:space="0" w:color="auto"/>
        <w:bottom w:val="none" w:sz="0" w:space="0" w:color="auto"/>
        <w:right w:val="none" w:sz="0" w:space="0" w:color="auto"/>
      </w:divBdr>
    </w:div>
    <w:div w:id="1974208719">
      <w:bodyDiv w:val="1"/>
      <w:marLeft w:val="0"/>
      <w:marRight w:val="0"/>
      <w:marTop w:val="0"/>
      <w:marBottom w:val="0"/>
      <w:divBdr>
        <w:top w:val="none" w:sz="0" w:space="0" w:color="auto"/>
        <w:left w:val="none" w:sz="0" w:space="0" w:color="auto"/>
        <w:bottom w:val="none" w:sz="0" w:space="0" w:color="auto"/>
        <w:right w:val="none" w:sz="0" w:space="0" w:color="auto"/>
      </w:divBdr>
    </w:div>
    <w:div w:id="204520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journals.sagepub.com/doi/abs/10.1177/00420859211068466" TargetMode="External"/><Relationship Id="rId26" Type="http://schemas.openxmlformats.org/officeDocument/2006/relationships/hyperlink" Target="https://journals.lww.com/cns-journal/fulltext/2020/01000/understanding_descriptive_research_designs_and.4.aspx" TargetMode="External"/><Relationship Id="rId3" Type="http://schemas.openxmlformats.org/officeDocument/2006/relationships/styles" Target="styles.xml"/><Relationship Id="rId21" Type="http://schemas.openxmlformats.org/officeDocument/2006/relationships/hyperlink" Target="https://nepjol.info/index.php/rs/article/view/7467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agis-projects.sfo3.digitaloceanspaces.com/APJCS/issues/vol-3-issue-1/articles/10/rjsDVxUPdnuwLglUQHlCxLDy80BvwIPJxCFzqhiC.pdf" TargetMode="External"/><Relationship Id="rId25" Type="http://schemas.openxmlformats.org/officeDocument/2006/relationships/hyperlink" Target="https://www.researchgate.net/profile/Mahima-Samanth-2/publication/382830515_A_brief_introduction_to_Research_methodology/links/66adfe1e2361f42f23af48cf/A-brief-introduction-to-Research-methodology.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andfonline.com/doi/abs/10.1080/15348458.2018.1528547" TargetMode="External"/><Relationship Id="rId20" Type="http://schemas.openxmlformats.org/officeDocument/2006/relationships/hyperlink" Target="https://search.proquest.com/openview/2c024dadd64c485cebdb0425b0bd5714/1?pq-origsite=gscholar&amp;cbl=18750&amp;diss=y"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journals.sagepub.com/doi/abs/10.1177/004208591666034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earchgate.net/profile/Michael-Ajileye-2/publication/384292257_MULTILINGUAL_EDUCATION_AND_ITS_IMPACT_ON_EARLY-GRADE_READING_PROFICIENCY/links/66f30d52906bca2ac3c8a56e/MULTILINGUAL-EDUCATION-AND-ITS-IMPACT-ON-EARLY-GRADE-READING-PROFICIENCY.pdf" TargetMode="External"/><Relationship Id="rId23" Type="http://schemas.openxmlformats.org/officeDocument/2006/relationships/hyperlink" Target="https://www.tandfonline.com/doi/abs/10.1080/00405841.2019.1569376"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search.proquest.com/openview/a8fdeb9e54fcf9fa671e35cdacee03d1/1?pq-origsite=gscholar&amp;cbl=18750&amp;diss=y"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onlinelibrary.wiley.com/doi/abs/10.1111/1460-6984.12543" TargetMode="External"/><Relationship Id="rId27" Type="http://schemas.openxmlformats.org/officeDocument/2006/relationships/hyperlink" Target="https://ej-edu.org/index.php/ejedu/article/view/273"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TotalTime>
  <Pages>17</Pages>
  <Words>7816</Words>
  <Characters>44553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88</cp:revision>
  <cp:lastPrinted>2024-10-20T02:52:00Z</cp:lastPrinted>
  <dcterms:created xsi:type="dcterms:W3CDTF">2025-06-15T12:35:00Z</dcterms:created>
  <dcterms:modified xsi:type="dcterms:W3CDTF">2025-06-16T09:38:00Z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