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3E6203EE"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13DA364" w14:textId="77777777" w:rsidR="00717BE1" w:rsidRDefault="00717BE1" w:rsidP="000763D2">
      <w:pPr>
        <w:pStyle w:val="Author"/>
        <w:spacing w:line="240" w:lineRule="auto"/>
        <w:jc w:val="left"/>
        <w:rPr>
          <w:rFonts w:ascii="Arial" w:hAnsi="Arial" w:cs="Arial"/>
          <w:bCs/>
          <w:iCs/>
          <w:kern w:val="28"/>
          <w:szCs w:val="24"/>
        </w:rPr>
      </w:pPr>
    </w:p>
    <w:p w14:paraId="77F35F6E" w14:textId="54D4AA0C" w:rsidR="002309B8" w:rsidRDefault="009A1589" w:rsidP="009A1589">
      <w:pPr>
        <w:jc w:val="right"/>
        <w:rPr>
          <w:rFonts w:ascii="Arial" w:hAnsi="Arial" w:cs="Arial"/>
          <w:b/>
          <w:noProof/>
          <w:sz w:val="28"/>
          <w:szCs w:val="28"/>
          <w:lang w:eastAsia="en-PH"/>
        </w:rPr>
      </w:pPr>
      <w:r w:rsidRPr="00560590">
        <w:rPr>
          <w:rFonts w:ascii="Arial" w:hAnsi="Arial" w:cs="Arial"/>
          <w:b/>
          <w:noProof/>
          <w:sz w:val="28"/>
          <w:szCs w:val="28"/>
          <w:lang w:eastAsia="en-PH"/>
        </w:rPr>
        <w:t>TECHNOLOGICAL PEDAGOGICAL CONTENT KNOWLEDGE AND REFLECTIVE TEACHING PRACTICES AS PREDICTORS OF WORKPLACE RETENTION AMONG PUBLIC SECONDARY SCHOOL TEACHERS</w:t>
      </w:r>
    </w:p>
    <w:p w14:paraId="7D8C68F2" w14:textId="77777777" w:rsidR="00892A7B" w:rsidRPr="002309B8" w:rsidRDefault="00892A7B" w:rsidP="009A1589">
      <w:pPr>
        <w:jc w:val="right"/>
        <w:rPr>
          <w:rFonts w:ascii="Arial" w:hAnsi="Arial" w:cs="Arial"/>
          <w:b/>
          <w:noProof/>
          <w:sz w:val="28"/>
          <w:szCs w:val="28"/>
          <w:lang w:eastAsia="en-PH"/>
        </w:rPr>
      </w:pPr>
    </w:p>
    <w:p w14:paraId="46B3DCDD" w14:textId="77777777" w:rsidR="00717F2E" w:rsidRPr="0076337A" w:rsidRDefault="00180859">
      <w:pPr>
        <w:pStyle w:val="Affiliation"/>
        <w:spacing w:line="240" w:lineRule="auto"/>
        <w:jc w:val="left"/>
        <w:rPr>
          <w:rFonts w:ascii="Arial" w:hAnsi="Arial" w:cs="Arial"/>
          <w:i/>
        </w:rPr>
        <w:sectPr w:rsidR="00717F2E" w:rsidRPr="0076337A" w:rsidSect="00E11DE2">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6337A" w:rsidRDefault="00180859">
      <w:pPr>
        <w:pStyle w:val="AbstHead"/>
        <w:spacing w:after="0"/>
        <w:jc w:val="both"/>
        <w:rPr>
          <w:rFonts w:ascii="Arial" w:hAnsi="Arial" w:cs="Arial"/>
          <w:sz w:val="20"/>
        </w:rPr>
      </w:pPr>
      <w:r w:rsidRPr="0076337A">
        <w:rPr>
          <w:rFonts w:ascii="Arial" w:hAnsi="Arial" w:cs="Arial"/>
          <w:sz w:val="20"/>
        </w:rPr>
        <w:t xml:space="preserve">ABSTRACT </w:t>
      </w:r>
    </w:p>
    <w:p w14:paraId="3D835972" w14:textId="77777777" w:rsidR="00717F2E" w:rsidRPr="0076337A"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6337A" w14:paraId="4274D69E" w14:textId="77777777" w:rsidTr="008825C9">
        <w:trPr>
          <w:trHeight w:val="3167"/>
        </w:trPr>
        <w:tc>
          <w:tcPr>
            <w:tcW w:w="9576" w:type="dxa"/>
            <w:shd w:val="clear" w:color="auto" w:fill="F2F2F2"/>
          </w:tcPr>
          <w:p w14:paraId="10E1D353" w14:textId="1675E22A" w:rsidR="00717F2E" w:rsidRPr="0076337A" w:rsidRDefault="00B06F9D" w:rsidP="00896129">
            <w:pPr>
              <w:jc w:val="both"/>
              <w:rPr>
                <w:rFonts w:ascii="Arial" w:hAnsi="Arial" w:cs="Arial"/>
                <w:iCs/>
                <w:sz w:val="20"/>
                <w:szCs w:val="20"/>
              </w:rPr>
            </w:pPr>
            <w:r w:rsidRPr="0076337A">
              <w:rPr>
                <w:rFonts w:ascii="Arial" w:hAnsi="Arial" w:cs="Arial"/>
                <w:iCs/>
                <w:sz w:val="20"/>
                <w:szCs w:val="20"/>
              </w:rPr>
              <w:t xml:space="preserve">This study aimed to determine if technological pedagogical content knowledge and reflective teaching practices significantly predict workplace retention among teachers in public secondary institutions. A descriptive-correlational research design was employed, involving a sample of 145 teachers from public secondary schools in </w:t>
            </w:r>
            <w:proofErr w:type="spellStart"/>
            <w:r w:rsidRPr="0076337A">
              <w:rPr>
                <w:rFonts w:ascii="Arial" w:hAnsi="Arial" w:cs="Arial"/>
                <w:iCs/>
                <w:sz w:val="20"/>
                <w:szCs w:val="20"/>
              </w:rPr>
              <w:t>Paquibato</w:t>
            </w:r>
            <w:proofErr w:type="spellEnd"/>
            <w:r w:rsidRPr="0076337A">
              <w:rPr>
                <w:rFonts w:ascii="Arial" w:hAnsi="Arial" w:cs="Arial"/>
                <w:iCs/>
                <w:sz w:val="20"/>
                <w:szCs w:val="20"/>
              </w:rPr>
              <w:t xml:space="preserve"> District, Division of Davao City, Philippines. Standardized questionnaires were administered through face-to-face surveys. The mean, standard deviation (SD), Pearson product-moment correlation, and multiple linear regression analyses were utilized to analyze the collected data. The findings revealed that technological pedagogical content knowledge, reflective teaching practices, and workplace retention </w:t>
            </w:r>
            <w:r w:rsidR="00F60286" w:rsidRPr="0076337A">
              <w:rPr>
                <w:rFonts w:ascii="Arial" w:hAnsi="Arial" w:cs="Arial"/>
                <w:iCs/>
                <w:sz w:val="20"/>
                <w:szCs w:val="20"/>
              </w:rPr>
              <w:t>were</w:t>
            </w:r>
            <w:r w:rsidRPr="0076337A">
              <w:rPr>
                <w:rFonts w:ascii="Arial" w:hAnsi="Arial" w:cs="Arial"/>
                <w:iCs/>
                <w:sz w:val="20"/>
                <w:szCs w:val="20"/>
              </w:rPr>
              <w:t xml:space="preserve"> </w:t>
            </w:r>
            <w:r w:rsidR="002025A7" w:rsidRPr="0076337A">
              <w:rPr>
                <w:rFonts w:ascii="Arial" w:hAnsi="Arial" w:cs="Arial"/>
                <w:iCs/>
                <w:sz w:val="20"/>
                <w:szCs w:val="20"/>
              </w:rPr>
              <w:t>rated as high</w:t>
            </w:r>
            <w:r w:rsidRPr="0076337A">
              <w:rPr>
                <w:rFonts w:ascii="Arial" w:hAnsi="Arial" w:cs="Arial"/>
                <w:iCs/>
                <w:sz w:val="20"/>
                <w:szCs w:val="20"/>
              </w:rPr>
              <w:t>. Correlation analysis indicated significant relationships between technological pedagogical content knowledge and reflective teaching practices on workplace retention. Furthermore, both technological pedagogical content knowledge and reflective teaching practices significantly predicted workplace retention. It is recommended that school administrators continue to enhance technological pedagogical content knowledge and reflective teaching practices among teachers by offering professional development programs that focus on strengthening technological skills and reflective practices. Encouraging teachers to engage in regular self-assessment, peer collaboration, and continuous learning opportunities may improve job satisfaction and contribute to a supportive teaching environment.</w:t>
            </w:r>
          </w:p>
        </w:tc>
      </w:tr>
    </w:tbl>
    <w:p w14:paraId="175A3F79" w14:textId="77777777" w:rsidR="00717F2E" w:rsidRPr="0076337A" w:rsidRDefault="00717F2E">
      <w:pPr>
        <w:pStyle w:val="Body"/>
        <w:spacing w:after="0"/>
        <w:rPr>
          <w:rFonts w:ascii="Arial" w:hAnsi="Arial" w:cs="Arial"/>
          <w:i/>
        </w:rPr>
      </w:pPr>
    </w:p>
    <w:p w14:paraId="63DA1D4D" w14:textId="22239A6E" w:rsidR="00DC2754" w:rsidRPr="0076337A" w:rsidRDefault="00180859" w:rsidP="00BB0E63">
      <w:pPr>
        <w:jc w:val="both"/>
        <w:rPr>
          <w:rFonts w:ascii="Arial" w:hAnsi="Arial" w:cs="Arial"/>
          <w:iCs/>
          <w:sz w:val="20"/>
          <w:szCs w:val="20"/>
        </w:rPr>
      </w:pPr>
      <w:r w:rsidRPr="0076337A">
        <w:rPr>
          <w:rFonts w:ascii="Arial" w:hAnsi="Arial" w:cs="Arial"/>
          <w:i/>
          <w:iCs/>
          <w:sz w:val="20"/>
          <w:szCs w:val="20"/>
        </w:rPr>
        <w:t>Keywords</w:t>
      </w:r>
      <w:r w:rsidRPr="0076337A">
        <w:rPr>
          <w:rFonts w:ascii="Arial" w:hAnsi="Arial" w:cs="Arial"/>
          <w:sz w:val="20"/>
          <w:szCs w:val="20"/>
        </w:rPr>
        <w:t xml:space="preserve">: </w:t>
      </w:r>
      <w:r w:rsidR="003D6D18" w:rsidRPr="0076337A">
        <w:rPr>
          <w:rFonts w:ascii="Arial" w:hAnsi="Arial" w:cs="Arial"/>
          <w:iCs/>
          <w:sz w:val="20"/>
          <w:szCs w:val="20"/>
        </w:rPr>
        <w:t>Technological Pedagogical Content Knowledge, Reflective Teaching Practices, Workplace Retention, Descriptive Correlational, Education</w:t>
      </w:r>
    </w:p>
    <w:p w14:paraId="63A7B6AA" w14:textId="77777777" w:rsidR="00BB0E63" w:rsidRPr="0076337A" w:rsidRDefault="00BB0E63" w:rsidP="00BB0E63">
      <w:pPr>
        <w:jc w:val="both"/>
        <w:rPr>
          <w:rFonts w:ascii="Arial" w:hAnsi="Arial" w:cs="Arial"/>
          <w:sz w:val="20"/>
          <w:szCs w:val="20"/>
        </w:rPr>
      </w:pPr>
    </w:p>
    <w:p w14:paraId="0C7D9A8E" w14:textId="77777777" w:rsidR="00717F2E" w:rsidRPr="0076337A" w:rsidRDefault="00180859">
      <w:pPr>
        <w:pStyle w:val="AbstHead"/>
        <w:spacing w:after="0"/>
        <w:jc w:val="both"/>
        <w:rPr>
          <w:rFonts w:ascii="Arial" w:hAnsi="Arial" w:cs="Arial"/>
          <w:sz w:val="20"/>
        </w:rPr>
      </w:pPr>
      <w:r w:rsidRPr="0076337A">
        <w:rPr>
          <w:rFonts w:ascii="Arial" w:hAnsi="Arial" w:cs="Arial"/>
          <w:sz w:val="20"/>
        </w:rPr>
        <w:t>1. INTRODUCTION</w:t>
      </w:r>
    </w:p>
    <w:p w14:paraId="499EF934" w14:textId="77777777" w:rsidR="00717F2E" w:rsidRPr="0076337A" w:rsidRDefault="00717F2E">
      <w:pPr>
        <w:pStyle w:val="AbstHead"/>
        <w:spacing w:after="0"/>
        <w:jc w:val="both"/>
        <w:rPr>
          <w:rFonts w:ascii="Arial" w:hAnsi="Arial" w:cs="Arial"/>
          <w:sz w:val="20"/>
        </w:rPr>
      </w:pPr>
    </w:p>
    <w:p w14:paraId="58141CFF" w14:textId="78724245" w:rsidR="0051664C" w:rsidRPr="0076337A" w:rsidRDefault="0051664C" w:rsidP="0051664C">
      <w:pPr>
        <w:jc w:val="both"/>
        <w:rPr>
          <w:rFonts w:ascii="Arial" w:hAnsi="Arial"/>
          <w:sz w:val="20"/>
          <w:szCs w:val="20"/>
        </w:rPr>
      </w:pPr>
      <w:r w:rsidRPr="0076337A">
        <w:rPr>
          <w:rFonts w:ascii="Arial" w:hAnsi="Arial"/>
          <w:sz w:val="20"/>
          <w:szCs w:val="20"/>
        </w:rPr>
        <w:t>Teacher retention has long been a pressing concern in education systems worldwide, as the loss of experienced and competent teachers disrupts continuity in instruction, burdens remaining faculty, and affects student learning outcomes</w:t>
      </w:r>
      <w:r w:rsidR="00F16D53" w:rsidRPr="0076337A">
        <w:rPr>
          <w:rFonts w:ascii="Arial" w:hAnsi="Arial"/>
          <w:sz w:val="20"/>
          <w:szCs w:val="20"/>
        </w:rPr>
        <w:t xml:space="preserve"> (Miller et al., 2020)</w:t>
      </w:r>
      <w:r w:rsidRPr="0076337A">
        <w:rPr>
          <w:rFonts w:ascii="Arial" w:hAnsi="Arial"/>
          <w:sz w:val="20"/>
          <w:szCs w:val="20"/>
        </w:rPr>
        <w:t>. High turnover rates are often linked to burnout, lack of professional growth, poor working conditions, and limited institutional support</w:t>
      </w:r>
      <w:r w:rsidR="00FF06DB" w:rsidRPr="0076337A">
        <w:rPr>
          <w:rFonts w:ascii="Arial" w:hAnsi="Arial"/>
          <w:sz w:val="20"/>
          <w:szCs w:val="20"/>
        </w:rPr>
        <w:t xml:space="preserve"> (Casely-Hayford et al., 2022)</w:t>
      </w:r>
      <w:r w:rsidRPr="0076337A">
        <w:rPr>
          <w:rFonts w:ascii="Arial" w:hAnsi="Arial"/>
          <w:sz w:val="20"/>
          <w:szCs w:val="20"/>
        </w:rPr>
        <w:t>. In many cases, teachers leave the profession within the first five years due to dissatisfaction and stress, leading to significant human resource and financial costs for school systems</w:t>
      </w:r>
      <w:r w:rsidR="00FF06DB" w:rsidRPr="0076337A">
        <w:rPr>
          <w:rFonts w:ascii="Arial" w:hAnsi="Arial"/>
          <w:sz w:val="20"/>
          <w:szCs w:val="20"/>
        </w:rPr>
        <w:t xml:space="preserve"> (Maready et al., 2021)</w:t>
      </w:r>
      <w:r w:rsidRPr="0076337A">
        <w:rPr>
          <w:rFonts w:ascii="Arial" w:hAnsi="Arial"/>
          <w:sz w:val="20"/>
          <w:szCs w:val="20"/>
        </w:rPr>
        <w:t>. This issue threatens the sustainability and effectiveness of schools, especially in underserved and remote areas, where teacher shortages are more prevalent and replacements are difficult to find.</w:t>
      </w:r>
    </w:p>
    <w:p w14:paraId="16A955A8" w14:textId="77777777" w:rsidR="0051664C" w:rsidRPr="0076337A" w:rsidRDefault="0051664C" w:rsidP="0051664C">
      <w:pPr>
        <w:jc w:val="both"/>
        <w:rPr>
          <w:rFonts w:ascii="Arial" w:hAnsi="Arial"/>
          <w:sz w:val="20"/>
          <w:szCs w:val="20"/>
        </w:rPr>
      </w:pPr>
    </w:p>
    <w:p w14:paraId="7947BA89" w14:textId="4A27AD3B" w:rsidR="0051664C" w:rsidRPr="0076337A" w:rsidRDefault="0051664C" w:rsidP="0051664C">
      <w:pPr>
        <w:jc w:val="both"/>
        <w:rPr>
          <w:rFonts w:ascii="Arial" w:hAnsi="Arial"/>
          <w:sz w:val="20"/>
          <w:szCs w:val="20"/>
        </w:rPr>
      </w:pPr>
      <w:r w:rsidRPr="0076337A">
        <w:rPr>
          <w:rFonts w:ascii="Arial" w:hAnsi="Arial"/>
          <w:sz w:val="20"/>
          <w:szCs w:val="20"/>
        </w:rPr>
        <w:t>Globally, the issue of teacher retention remains critical across various countries. In the United States, teachers frequently cite overwhelming workloads, inadequate compensation, and insufficient administrative support as reasons for leaving the profession</w:t>
      </w:r>
      <w:r w:rsidR="00CA519B" w:rsidRPr="0076337A">
        <w:rPr>
          <w:rFonts w:ascii="Arial" w:hAnsi="Arial"/>
          <w:sz w:val="20"/>
          <w:szCs w:val="20"/>
        </w:rPr>
        <w:t xml:space="preserve"> (Hester et al., 2020)</w:t>
      </w:r>
      <w:r w:rsidRPr="0076337A">
        <w:rPr>
          <w:rFonts w:ascii="Arial" w:hAnsi="Arial"/>
          <w:sz w:val="20"/>
          <w:szCs w:val="20"/>
        </w:rPr>
        <w:t>. In the United Kingdom, the Education</w:t>
      </w:r>
      <w:r w:rsidR="00CA519B" w:rsidRPr="0076337A">
        <w:rPr>
          <w:rFonts w:ascii="Arial" w:hAnsi="Arial"/>
          <w:sz w:val="20"/>
          <w:szCs w:val="20"/>
        </w:rPr>
        <w:t xml:space="preserve"> Department</w:t>
      </w:r>
      <w:r w:rsidRPr="0076337A">
        <w:rPr>
          <w:rFonts w:ascii="Arial" w:hAnsi="Arial"/>
          <w:sz w:val="20"/>
          <w:szCs w:val="20"/>
        </w:rPr>
        <w:t xml:space="preserve"> reports that nearly one in three new teachers leave within five years of entering the profession, often due to stress and lack of </w:t>
      </w:r>
      <w:r w:rsidRPr="0076337A">
        <w:rPr>
          <w:rFonts w:ascii="Arial" w:hAnsi="Arial"/>
          <w:sz w:val="20"/>
          <w:szCs w:val="20"/>
        </w:rPr>
        <w:lastRenderedPageBreak/>
        <w:t>work-life balance</w:t>
      </w:r>
      <w:r w:rsidR="00E026F4" w:rsidRPr="0076337A">
        <w:rPr>
          <w:rFonts w:ascii="Arial" w:hAnsi="Arial"/>
          <w:sz w:val="20"/>
          <w:szCs w:val="20"/>
        </w:rPr>
        <w:t xml:space="preserve"> (Worth &amp; Faulkner-Ellis, 2021)</w:t>
      </w:r>
      <w:r w:rsidRPr="0076337A">
        <w:rPr>
          <w:rFonts w:ascii="Arial" w:hAnsi="Arial"/>
          <w:sz w:val="20"/>
          <w:szCs w:val="20"/>
        </w:rPr>
        <w:t>. Similarly, in South Africa, teachers face challenging working environments and safety concerns, which contribute to early exits from the profession</w:t>
      </w:r>
      <w:r w:rsidR="00D461DC" w:rsidRPr="0076337A">
        <w:rPr>
          <w:rFonts w:ascii="Arial" w:hAnsi="Arial"/>
          <w:sz w:val="20"/>
          <w:szCs w:val="20"/>
        </w:rPr>
        <w:t xml:space="preserve"> (Nkambule, 2022)</w:t>
      </w:r>
      <w:r w:rsidRPr="0076337A">
        <w:rPr>
          <w:rFonts w:ascii="Arial" w:hAnsi="Arial"/>
          <w:sz w:val="20"/>
          <w:szCs w:val="20"/>
        </w:rPr>
        <w:t>. These international cases demonstrate that despite contextual differences, the challenges related to workplace retention of teachers share common themes and warrant strategic solutions.</w:t>
      </w:r>
    </w:p>
    <w:p w14:paraId="4FCC15ED" w14:textId="77777777" w:rsidR="0051664C" w:rsidRPr="0076337A" w:rsidRDefault="0051664C" w:rsidP="0051664C">
      <w:pPr>
        <w:jc w:val="both"/>
        <w:rPr>
          <w:rFonts w:ascii="Arial" w:hAnsi="Arial"/>
          <w:sz w:val="20"/>
          <w:szCs w:val="20"/>
        </w:rPr>
      </w:pPr>
    </w:p>
    <w:p w14:paraId="6371FE30" w14:textId="7B9D0A6F" w:rsidR="0051664C" w:rsidRPr="0076337A" w:rsidRDefault="0051664C" w:rsidP="0051664C">
      <w:pPr>
        <w:jc w:val="both"/>
        <w:rPr>
          <w:rFonts w:ascii="Arial" w:hAnsi="Arial"/>
          <w:sz w:val="20"/>
          <w:szCs w:val="20"/>
        </w:rPr>
      </w:pPr>
      <w:r w:rsidRPr="0076337A">
        <w:rPr>
          <w:rFonts w:ascii="Arial" w:hAnsi="Arial"/>
          <w:sz w:val="20"/>
          <w:szCs w:val="20"/>
        </w:rPr>
        <w:t>In the Philippines, teacher retention is also a growing concern, particularly in public schools where class sizes are large, teaching loads are heavy, and opportunities for professional development are limited</w:t>
      </w:r>
      <w:r w:rsidR="00204F90" w:rsidRPr="0076337A">
        <w:rPr>
          <w:rFonts w:ascii="Arial" w:hAnsi="Arial"/>
          <w:sz w:val="20"/>
          <w:szCs w:val="20"/>
        </w:rPr>
        <w:t xml:space="preserve"> (</w:t>
      </w:r>
      <w:proofErr w:type="spellStart"/>
      <w:r w:rsidR="00204F90" w:rsidRPr="0076337A">
        <w:rPr>
          <w:rFonts w:ascii="Arial" w:hAnsi="Arial"/>
          <w:sz w:val="20"/>
          <w:szCs w:val="20"/>
        </w:rPr>
        <w:t>Bulawat</w:t>
      </w:r>
      <w:proofErr w:type="spellEnd"/>
      <w:r w:rsidR="00204F90" w:rsidRPr="0076337A">
        <w:rPr>
          <w:rFonts w:ascii="Arial" w:hAnsi="Arial"/>
          <w:sz w:val="20"/>
          <w:szCs w:val="20"/>
        </w:rPr>
        <w:t>, 2020)</w:t>
      </w:r>
      <w:r w:rsidRPr="0076337A">
        <w:rPr>
          <w:rFonts w:ascii="Arial" w:hAnsi="Arial"/>
          <w:sz w:val="20"/>
          <w:szCs w:val="20"/>
        </w:rPr>
        <w:t>. Many public secondary school teachers experience burnout and frustration, especially when they are assigned to far-flung communities with minimal access to resources</w:t>
      </w:r>
      <w:r w:rsidR="004A78DF" w:rsidRPr="0076337A">
        <w:rPr>
          <w:rFonts w:ascii="Arial" w:hAnsi="Arial"/>
          <w:sz w:val="20"/>
          <w:szCs w:val="20"/>
        </w:rPr>
        <w:t xml:space="preserve"> (Fabella et al., 2023)</w:t>
      </w:r>
      <w:r w:rsidRPr="0076337A">
        <w:rPr>
          <w:rFonts w:ascii="Arial" w:hAnsi="Arial"/>
          <w:sz w:val="20"/>
          <w:szCs w:val="20"/>
        </w:rPr>
        <w:t>. While the Department of Education has initiated measures to enhance teacher welfare, such as salary adjustments and continuous training, challenges in work satisfaction and long-term commitment remain. This situation affects the quality of education delivery and hinders the goal of maintaining a stable and competent teaching workforce in the country.</w:t>
      </w:r>
    </w:p>
    <w:p w14:paraId="27315028" w14:textId="77777777" w:rsidR="0051664C" w:rsidRPr="0076337A" w:rsidRDefault="0051664C" w:rsidP="0051664C">
      <w:pPr>
        <w:jc w:val="both"/>
        <w:rPr>
          <w:rFonts w:ascii="Arial" w:hAnsi="Arial"/>
          <w:sz w:val="20"/>
          <w:szCs w:val="20"/>
        </w:rPr>
      </w:pPr>
    </w:p>
    <w:p w14:paraId="29DCC468" w14:textId="777B4791" w:rsidR="0051664C" w:rsidRPr="0076337A" w:rsidRDefault="0051664C" w:rsidP="0051664C">
      <w:pPr>
        <w:jc w:val="both"/>
        <w:rPr>
          <w:rFonts w:ascii="Arial" w:hAnsi="Arial"/>
          <w:sz w:val="20"/>
          <w:szCs w:val="20"/>
        </w:rPr>
      </w:pPr>
      <w:r w:rsidRPr="0076337A">
        <w:rPr>
          <w:rFonts w:ascii="Arial" w:hAnsi="Arial"/>
          <w:sz w:val="20"/>
          <w:szCs w:val="20"/>
        </w:rPr>
        <w:t>Technological Pedagogical Content Knowledge (TPACK) and reflective teaching practices are two key professional competencies that may play a vital role in enhancing teacher retention. TPACK integrates content expertise, pedagogical strategies, and technological tools to facilitate effective teaching in the digital age, enabling teachers to adapt to new learning environments and student needs</w:t>
      </w:r>
      <w:r w:rsidR="004A78DF" w:rsidRPr="0076337A">
        <w:rPr>
          <w:rFonts w:ascii="Arial" w:hAnsi="Arial"/>
          <w:sz w:val="20"/>
          <w:szCs w:val="20"/>
        </w:rPr>
        <w:t xml:space="preserve"> (</w:t>
      </w:r>
      <w:proofErr w:type="spellStart"/>
      <w:r w:rsidR="004A78DF" w:rsidRPr="0076337A">
        <w:rPr>
          <w:rFonts w:ascii="Arial" w:hAnsi="Arial"/>
          <w:sz w:val="20"/>
          <w:szCs w:val="20"/>
        </w:rPr>
        <w:t>Adipat</w:t>
      </w:r>
      <w:proofErr w:type="spellEnd"/>
      <w:r w:rsidR="004A78DF" w:rsidRPr="0076337A">
        <w:rPr>
          <w:rFonts w:ascii="Arial" w:hAnsi="Arial"/>
          <w:sz w:val="20"/>
          <w:szCs w:val="20"/>
        </w:rPr>
        <w:t xml:space="preserve"> et al., 2023; Nartey, 2023)</w:t>
      </w:r>
      <w:r w:rsidRPr="0076337A">
        <w:rPr>
          <w:rFonts w:ascii="Arial" w:hAnsi="Arial"/>
          <w:sz w:val="20"/>
          <w:szCs w:val="20"/>
        </w:rPr>
        <w:t>. Reflective teaching, on the other hand, allows educators to critically examine their practice, learn from experience, and continuously improve</w:t>
      </w:r>
      <w:r w:rsidR="004A78DF" w:rsidRPr="0076337A">
        <w:rPr>
          <w:rFonts w:ascii="Arial" w:hAnsi="Arial"/>
          <w:sz w:val="20"/>
          <w:szCs w:val="20"/>
        </w:rPr>
        <w:t xml:space="preserve"> (Gross, 2020; Tompkins, 2023)</w:t>
      </w:r>
      <w:r w:rsidRPr="0076337A">
        <w:rPr>
          <w:rFonts w:ascii="Arial" w:hAnsi="Arial"/>
          <w:sz w:val="20"/>
          <w:szCs w:val="20"/>
        </w:rPr>
        <w:t>. Teachers who possess strong TPACK skills and engage in reflective practices are more likely to feel confident, empowered, and professionally fulfilled, potentially increasing their commitment to the profession and their workplace</w:t>
      </w:r>
      <w:r w:rsidR="004A78DF" w:rsidRPr="0076337A">
        <w:rPr>
          <w:rFonts w:ascii="Arial" w:hAnsi="Arial"/>
          <w:sz w:val="20"/>
          <w:szCs w:val="20"/>
        </w:rPr>
        <w:t xml:space="preserve"> (Jacob et al., 2020; See et al., 2020)</w:t>
      </w:r>
      <w:r w:rsidRPr="0076337A">
        <w:rPr>
          <w:rFonts w:ascii="Arial" w:hAnsi="Arial"/>
          <w:sz w:val="20"/>
          <w:szCs w:val="20"/>
        </w:rPr>
        <w:t>.</w:t>
      </w:r>
    </w:p>
    <w:p w14:paraId="15679443" w14:textId="77777777" w:rsidR="0051664C" w:rsidRPr="0076337A" w:rsidRDefault="0051664C" w:rsidP="0051664C">
      <w:pPr>
        <w:jc w:val="both"/>
        <w:rPr>
          <w:rFonts w:ascii="Arial" w:hAnsi="Arial"/>
          <w:sz w:val="20"/>
          <w:szCs w:val="20"/>
        </w:rPr>
      </w:pPr>
    </w:p>
    <w:p w14:paraId="41AF96F2" w14:textId="77777777" w:rsidR="0051664C" w:rsidRPr="0076337A" w:rsidRDefault="0051664C" w:rsidP="0051664C">
      <w:pPr>
        <w:jc w:val="both"/>
        <w:rPr>
          <w:rFonts w:ascii="Arial" w:hAnsi="Arial"/>
          <w:sz w:val="20"/>
          <w:szCs w:val="20"/>
        </w:rPr>
      </w:pPr>
      <w:r w:rsidRPr="0076337A">
        <w:rPr>
          <w:rFonts w:ascii="Arial" w:hAnsi="Arial"/>
          <w:sz w:val="20"/>
          <w:szCs w:val="20"/>
        </w:rPr>
        <w:t>Despite increasing interest in teacher retention, few studies have examined how the combination of technological pedagogical content knowledge and reflective teaching practices influence teachers' decisions to remain in the profession. While there is growing literature on TPACK and reflection individually, there is limited empirical research exploring how these factors interact and affect workplace retention, especially within the context of public secondary education in the Philippines. This research gap underscores the need for localized studies that investigate the predictive power of these professional competencies on teacher retention outcomes.</w:t>
      </w:r>
    </w:p>
    <w:p w14:paraId="083E9C22" w14:textId="77777777" w:rsidR="0051664C" w:rsidRPr="0076337A" w:rsidRDefault="0051664C" w:rsidP="0051664C">
      <w:pPr>
        <w:jc w:val="both"/>
        <w:rPr>
          <w:rFonts w:ascii="Arial" w:hAnsi="Arial"/>
          <w:sz w:val="20"/>
          <w:szCs w:val="20"/>
        </w:rPr>
      </w:pPr>
    </w:p>
    <w:p w14:paraId="138E8A69" w14:textId="64F86C23" w:rsidR="00CA30FF" w:rsidRPr="0076337A" w:rsidRDefault="0051664C" w:rsidP="0051664C">
      <w:pPr>
        <w:jc w:val="both"/>
        <w:rPr>
          <w:noProof/>
          <w:sz w:val="20"/>
          <w:szCs w:val="20"/>
        </w:rPr>
      </w:pPr>
      <w:r w:rsidRPr="0076337A">
        <w:rPr>
          <w:rFonts w:ascii="Arial" w:hAnsi="Arial"/>
          <w:sz w:val="20"/>
          <w:szCs w:val="20"/>
        </w:rPr>
        <w:t xml:space="preserve">This study aimed to determine if technological pedagogical content knowledge and reflective teaching practices significantly predict workplace retention among teachers in public secondary institutions in </w:t>
      </w:r>
      <w:proofErr w:type="spellStart"/>
      <w:r w:rsidRPr="0076337A">
        <w:rPr>
          <w:rFonts w:ascii="Arial" w:hAnsi="Arial"/>
          <w:sz w:val="20"/>
          <w:szCs w:val="20"/>
        </w:rPr>
        <w:t>Paquibato</w:t>
      </w:r>
      <w:proofErr w:type="spellEnd"/>
      <w:r w:rsidRPr="0076337A">
        <w:rPr>
          <w:rFonts w:ascii="Arial" w:hAnsi="Arial"/>
          <w:sz w:val="20"/>
          <w:szCs w:val="20"/>
        </w:rPr>
        <w:t xml:space="preserve"> District, Division of Davao City, Philippines. By examining the relationships among these variables, the study intends to provide insights that can inform the design of professional development programs and retention strategies that support teachers' professional growth and long-term commitment to their schools.</w:t>
      </w:r>
    </w:p>
    <w:p w14:paraId="5DF8BEF5" w14:textId="54AB1415" w:rsidR="00CA30FF" w:rsidRPr="0076337A" w:rsidRDefault="00CA30FF" w:rsidP="00CA30FF">
      <w:pPr>
        <w:jc w:val="both"/>
        <w:rPr>
          <w:noProof/>
          <w:sz w:val="20"/>
          <w:szCs w:val="20"/>
        </w:rPr>
      </w:pPr>
    </w:p>
    <w:p w14:paraId="7AEEE99D" w14:textId="544C5C05" w:rsidR="0074551A" w:rsidRPr="0076337A" w:rsidRDefault="0074551A" w:rsidP="00D8415F">
      <w:pPr>
        <w:jc w:val="both"/>
        <w:rPr>
          <w:rFonts w:ascii="Arial" w:eastAsia="MS Mincho" w:hAnsi="Arial" w:cs="Arial"/>
          <w:b/>
          <w:bCs/>
          <w:sz w:val="20"/>
          <w:szCs w:val="20"/>
          <w:lang w:eastAsia="ja-JP"/>
        </w:rPr>
      </w:pPr>
    </w:p>
    <w:p w14:paraId="24AB303C" w14:textId="77777777" w:rsidR="0074551A" w:rsidRPr="0076337A" w:rsidRDefault="0074551A" w:rsidP="00323BB4">
      <w:pPr>
        <w:jc w:val="center"/>
        <w:rPr>
          <w:rFonts w:ascii="Arial" w:eastAsia="MS Mincho" w:hAnsi="Arial" w:cs="Arial"/>
          <w:b/>
          <w:bCs/>
          <w:sz w:val="20"/>
          <w:szCs w:val="20"/>
          <w:lang w:eastAsia="ja-JP"/>
        </w:rPr>
      </w:pPr>
    </w:p>
    <w:p w14:paraId="779EF7AF" w14:textId="77777777" w:rsidR="0056218A" w:rsidRPr="0076337A" w:rsidRDefault="0056218A" w:rsidP="00323BB4">
      <w:pPr>
        <w:jc w:val="center"/>
        <w:rPr>
          <w:rFonts w:ascii="Arial" w:eastAsia="MS Mincho" w:hAnsi="Arial" w:cs="Arial"/>
          <w:b/>
          <w:bCs/>
          <w:sz w:val="20"/>
          <w:szCs w:val="20"/>
          <w:lang w:eastAsia="ja-JP"/>
        </w:rPr>
      </w:pPr>
    </w:p>
    <w:p w14:paraId="3017206B" w14:textId="77777777" w:rsidR="003227FA" w:rsidRPr="0076337A" w:rsidRDefault="003227FA" w:rsidP="00323BB4">
      <w:pPr>
        <w:jc w:val="center"/>
        <w:rPr>
          <w:rFonts w:ascii="Arial" w:eastAsia="MS Mincho" w:hAnsi="Arial" w:cs="Arial"/>
          <w:b/>
          <w:bCs/>
          <w:sz w:val="20"/>
          <w:szCs w:val="20"/>
          <w:lang w:eastAsia="ja-JP"/>
        </w:rPr>
      </w:pPr>
    </w:p>
    <w:p w14:paraId="4E2B6B39" w14:textId="77777777" w:rsidR="003227FA" w:rsidRPr="0076337A" w:rsidRDefault="003227FA" w:rsidP="00323BB4">
      <w:pPr>
        <w:jc w:val="center"/>
        <w:rPr>
          <w:rFonts w:ascii="Arial" w:eastAsia="MS Mincho" w:hAnsi="Arial" w:cs="Arial"/>
          <w:b/>
          <w:bCs/>
          <w:sz w:val="20"/>
          <w:szCs w:val="20"/>
          <w:lang w:eastAsia="ja-JP"/>
        </w:rPr>
      </w:pPr>
    </w:p>
    <w:p w14:paraId="14CB7266" w14:textId="77777777" w:rsidR="003227FA" w:rsidRPr="0076337A" w:rsidRDefault="003227FA" w:rsidP="00323BB4">
      <w:pPr>
        <w:jc w:val="center"/>
        <w:rPr>
          <w:rFonts w:ascii="Arial" w:eastAsia="MS Mincho" w:hAnsi="Arial" w:cs="Arial"/>
          <w:b/>
          <w:bCs/>
          <w:sz w:val="20"/>
          <w:szCs w:val="20"/>
          <w:lang w:eastAsia="ja-JP"/>
        </w:rPr>
      </w:pPr>
    </w:p>
    <w:p w14:paraId="2816209E" w14:textId="088FC819" w:rsidR="003227FA" w:rsidRPr="0076337A" w:rsidRDefault="00DA7635" w:rsidP="003340B8">
      <w:pPr>
        <w:jc w:val="center"/>
        <w:rPr>
          <w:rFonts w:ascii="Arial" w:eastAsia="MS Mincho" w:hAnsi="Arial" w:cs="Arial"/>
          <w:b/>
          <w:bCs/>
          <w:sz w:val="20"/>
          <w:szCs w:val="20"/>
          <w:lang w:eastAsia="ja-JP"/>
        </w:rPr>
      </w:pPr>
      <w:r w:rsidRPr="0076337A">
        <w:rPr>
          <w:rFonts w:ascii="Arial" w:eastAsia="MS Mincho" w:hAnsi="Arial" w:cs="Arial"/>
          <w:b/>
          <w:bCs/>
          <w:noProof/>
          <w:sz w:val="20"/>
          <w:szCs w:val="20"/>
          <w:lang w:val="en-US"/>
        </w:rPr>
        <w:lastRenderedPageBreak/>
        <w:drawing>
          <wp:inline distT="0" distB="0" distL="0" distR="0" wp14:anchorId="0EFC0EB9" wp14:editId="13505AC6">
            <wp:extent cx="3270460" cy="4137084"/>
            <wp:effectExtent l="0" t="0" r="0" b="0"/>
            <wp:docPr id="690192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92745" name=""/>
                    <pic:cNvPicPr/>
                  </pic:nvPicPr>
                  <pic:blipFill>
                    <a:blip r:embed="rId14"/>
                    <a:stretch>
                      <a:fillRect/>
                    </a:stretch>
                  </pic:blipFill>
                  <pic:spPr>
                    <a:xfrm>
                      <a:off x="0" y="0"/>
                      <a:ext cx="3289991" cy="4161791"/>
                    </a:xfrm>
                    <a:prstGeom prst="rect">
                      <a:avLst/>
                    </a:prstGeom>
                  </pic:spPr>
                </pic:pic>
              </a:graphicData>
            </a:graphic>
          </wp:inline>
        </w:drawing>
      </w:r>
    </w:p>
    <w:p w14:paraId="37236F59" w14:textId="77777777" w:rsidR="003227FA" w:rsidRPr="0076337A" w:rsidRDefault="003227FA" w:rsidP="00323BB4">
      <w:pPr>
        <w:jc w:val="center"/>
        <w:rPr>
          <w:rFonts w:ascii="Arial" w:eastAsia="MS Mincho" w:hAnsi="Arial" w:cs="Arial"/>
          <w:b/>
          <w:bCs/>
          <w:sz w:val="20"/>
          <w:szCs w:val="20"/>
          <w:lang w:eastAsia="ja-JP"/>
        </w:rPr>
      </w:pPr>
    </w:p>
    <w:p w14:paraId="70BF97C8" w14:textId="5B81A52E" w:rsidR="00717F2E" w:rsidRPr="0076337A" w:rsidRDefault="00180859" w:rsidP="00323BB4">
      <w:pPr>
        <w:jc w:val="center"/>
        <w:rPr>
          <w:rFonts w:ascii="Arial" w:eastAsia="MS Mincho" w:hAnsi="Arial" w:cs="Arial"/>
          <w:sz w:val="20"/>
          <w:szCs w:val="20"/>
          <w:lang w:eastAsia="ja-JP"/>
        </w:rPr>
      </w:pPr>
      <w:r w:rsidRPr="0076337A">
        <w:rPr>
          <w:rFonts w:ascii="Arial" w:eastAsia="MS Mincho" w:hAnsi="Arial" w:cs="Arial"/>
          <w:b/>
          <w:bCs/>
          <w:sz w:val="20"/>
          <w:szCs w:val="20"/>
          <w:lang w:eastAsia="ja-JP"/>
        </w:rPr>
        <w:t xml:space="preserve">Figure 1:  </w:t>
      </w:r>
      <w:r w:rsidRPr="0076337A">
        <w:rPr>
          <w:rFonts w:ascii="Arial" w:eastAsia="MS Mincho" w:hAnsi="Arial" w:cs="Arial"/>
          <w:sz w:val="20"/>
          <w:szCs w:val="20"/>
          <w:lang w:eastAsia="ja-JP"/>
        </w:rPr>
        <w:t>Conceptual Framework of the Study</w:t>
      </w:r>
    </w:p>
    <w:p w14:paraId="0ED0213D" w14:textId="60A60C46" w:rsidR="002F5C4B" w:rsidRPr="0076337A" w:rsidRDefault="002F5C4B" w:rsidP="002F5C4B">
      <w:pPr>
        <w:rPr>
          <w:rFonts w:ascii="Arial" w:eastAsia="MS Mincho" w:hAnsi="Arial" w:cs="Arial"/>
          <w:sz w:val="20"/>
          <w:szCs w:val="20"/>
          <w:lang w:eastAsia="ja-JP"/>
        </w:rPr>
      </w:pPr>
    </w:p>
    <w:p w14:paraId="305CBFC1" w14:textId="23EF8DCF" w:rsidR="000D23E6" w:rsidRPr="0076337A" w:rsidRDefault="002F5C4B" w:rsidP="000D23E6">
      <w:pPr>
        <w:rPr>
          <w:rFonts w:ascii="Arial" w:eastAsia="MS Mincho" w:hAnsi="Arial" w:cs="Arial"/>
          <w:b/>
          <w:sz w:val="20"/>
          <w:szCs w:val="20"/>
          <w:lang w:eastAsia="ja-JP"/>
        </w:rPr>
      </w:pPr>
      <w:r w:rsidRPr="0076337A">
        <w:rPr>
          <w:rFonts w:ascii="Arial" w:eastAsia="MS Mincho" w:hAnsi="Arial" w:cs="Arial"/>
          <w:b/>
          <w:sz w:val="20"/>
          <w:szCs w:val="20"/>
          <w:lang w:eastAsia="ja-JP"/>
        </w:rPr>
        <w:t>1.1 Statement of the Problem</w:t>
      </w:r>
    </w:p>
    <w:p w14:paraId="71350A61" w14:textId="77777777" w:rsidR="000D23E6" w:rsidRPr="0076337A" w:rsidRDefault="000D23E6" w:rsidP="000D23E6">
      <w:pPr>
        <w:rPr>
          <w:rFonts w:ascii="Arial" w:eastAsia="MS Mincho" w:hAnsi="Arial" w:cs="Arial"/>
          <w:sz w:val="20"/>
          <w:szCs w:val="20"/>
          <w:lang w:eastAsia="ja-JP"/>
        </w:rPr>
      </w:pPr>
    </w:p>
    <w:p w14:paraId="6B50A947"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 xml:space="preserve">This study aimed to determine if technological pedagogical content knowledge and reflective teaching practices significantly predict workplace retention among teachers in public secondary institutions in </w:t>
      </w:r>
      <w:proofErr w:type="spellStart"/>
      <w:r w:rsidRPr="0076337A">
        <w:rPr>
          <w:rFonts w:ascii="Arial" w:eastAsia="MS Mincho" w:hAnsi="Arial" w:cs="Arial"/>
          <w:sz w:val="20"/>
          <w:szCs w:val="20"/>
          <w:lang w:eastAsia="ja-JP"/>
        </w:rPr>
        <w:t>Paquibato</w:t>
      </w:r>
      <w:proofErr w:type="spellEnd"/>
      <w:r w:rsidRPr="0076337A">
        <w:rPr>
          <w:rFonts w:ascii="Arial" w:eastAsia="MS Mincho" w:hAnsi="Arial" w:cs="Arial"/>
          <w:sz w:val="20"/>
          <w:szCs w:val="20"/>
          <w:lang w:eastAsia="ja-JP"/>
        </w:rPr>
        <w:t xml:space="preserve"> District, Division of Davao City. Specifically, it sought answers to the following questions:</w:t>
      </w:r>
    </w:p>
    <w:p w14:paraId="79DF2AD2" w14:textId="77777777" w:rsidR="0051664C" w:rsidRPr="0076337A" w:rsidRDefault="0051664C" w:rsidP="0051664C">
      <w:pPr>
        <w:jc w:val="both"/>
        <w:rPr>
          <w:rFonts w:ascii="Arial" w:eastAsia="MS Mincho" w:hAnsi="Arial" w:cs="Arial"/>
          <w:sz w:val="20"/>
          <w:szCs w:val="20"/>
          <w:lang w:eastAsia="ja-JP"/>
        </w:rPr>
      </w:pPr>
    </w:p>
    <w:p w14:paraId="7A7A1BBF" w14:textId="7F97B3F1"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1. What is the extent of technological pedagogical content knowledge of teachers in terms of:</w:t>
      </w:r>
    </w:p>
    <w:p w14:paraId="398776E8"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1.1 Technology Knowledge,</w:t>
      </w:r>
    </w:p>
    <w:p w14:paraId="1CE97A2D" w14:textId="60AC96FF"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1.2 Pedagogical knowledge, and</w:t>
      </w:r>
    </w:p>
    <w:p w14:paraId="0145C823"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1.3 Content knowledge?</w:t>
      </w:r>
    </w:p>
    <w:p w14:paraId="4EFEA6BA" w14:textId="77777777" w:rsidR="0051664C" w:rsidRPr="0076337A" w:rsidRDefault="0051664C" w:rsidP="0051664C">
      <w:pPr>
        <w:jc w:val="both"/>
        <w:rPr>
          <w:rFonts w:ascii="Arial" w:eastAsia="MS Mincho" w:hAnsi="Arial" w:cs="Arial"/>
          <w:sz w:val="20"/>
          <w:szCs w:val="20"/>
          <w:lang w:eastAsia="ja-JP"/>
        </w:rPr>
      </w:pPr>
    </w:p>
    <w:p w14:paraId="6CC4230E" w14:textId="16F1A2C9"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2. What is the extent of reflective teaching practices of teachers in terms of:</w:t>
      </w:r>
    </w:p>
    <w:p w14:paraId="3B81BAEF"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2.1 Surface reflection,</w:t>
      </w:r>
    </w:p>
    <w:p w14:paraId="7AED3D69"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2.2 Pedagogical reflection, and</w:t>
      </w:r>
    </w:p>
    <w:p w14:paraId="42DBB00A"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2.3 Critical reflection?</w:t>
      </w:r>
    </w:p>
    <w:p w14:paraId="707F8E99" w14:textId="77777777" w:rsidR="0051664C" w:rsidRPr="0076337A" w:rsidRDefault="0051664C" w:rsidP="0051664C">
      <w:pPr>
        <w:jc w:val="both"/>
        <w:rPr>
          <w:rFonts w:ascii="Arial" w:eastAsia="MS Mincho" w:hAnsi="Arial" w:cs="Arial"/>
          <w:sz w:val="20"/>
          <w:szCs w:val="20"/>
          <w:lang w:eastAsia="ja-JP"/>
        </w:rPr>
      </w:pPr>
    </w:p>
    <w:p w14:paraId="6378D341" w14:textId="0C714563"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3. What is the extent of workplace retention in terms of:</w:t>
      </w:r>
    </w:p>
    <w:p w14:paraId="2D4D5D06" w14:textId="2AB229EB"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3.1 Career Growth,</w:t>
      </w:r>
    </w:p>
    <w:p w14:paraId="0BF6850D" w14:textId="16A21996"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3.2 Incentive retention, and</w:t>
      </w:r>
    </w:p>
    <w:p w14:paraId="0B5AFD59" w14:textId="1C4AB1F1"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3.3 Welfare?</w:t>
      </w:r>
    </w:p>
    <w:p w14:paraId="1095F2A1" w14:textId="77777777" w:rsidR="0051664C" w:rsidRPr="0076337A" w:rsidRDefault="0051664C" w:rsidP="0051664C">
      <w:pPr>
        <w:jc w:val="both"/>
        <w:rPr>
          <w:rFonts w:ascii="Arial" w:eastAsia="MS Mincho" w:hAnsi="Arial" w:cs="Arial"/>
          <w:sz w:val="20"/>
          <w:szCs w:val="20"/>
          <w:lang w:eastAsia="ja-JP"/>
        </w:rPr>
      </w:pPr>
    </w:p>
    <w:p w14:paraId="3CB5E698" w14:textId="30ADA4BF"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lastRenderedPageBreak/>
        <w:t>4. Is there a significant relationship between:</w:t>
      </w:r>
    </w:p>
    <w:p w14:paraId="295C35F4"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 xml:space="preserve">4.1 Technological pedagogical content knowledge and workplace retention; </w:t>
      </w:r>
    </w:p>
    <w:p w14:paraId="518E9839"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4.2 Reflective teaching practices and workplace retention?</w:t>
      </w:r>
    </w:p>
    <w:p w14:paraId="0C4F01F4" w14:textId="77777777" w:rsidR="0051664C" w:rsidRPr="0076337A" w:rsidRDefault="0051664C" w:rsidP="0051664C">
      <w:pPr>
        <w:jc w:val="both"/>
        <w:rPr>
          <w:rFonts w:ascii="Arial" w:eastAsia="MS Mincho" w:hAnsi="Arial" w:cs="Arial"/>
          <w:sz w:val="20"/>
          <w:szCs w:val="20"/>
          <w:lang w:eastAsia="ja-JP"/>
        </w:rPr>
      </w:pPr>
    </w:p>
    <w:p w14:paraId="326BDC65" w14:textId="0D979C2C" w:rsidR="003340B8"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5. Which domains of technological pedagogical content knowledge and reflective teaching practices significantly predict workplace retention?</w:t>
      </w:r>
    </w:p>
    <w:p w14:paraId="5A8C5127" w14:textId="77777777" w:rsidR="000D23E6" w:rsidRPr="0076337A" w:rsidRDefault="000D23E6" w:rsidP="000D23E6">
      <w:pPr>
        <w:rPr>
          <w:rFonts w:ascii="Arial" w:eastAsia="MS Mincho" w:hAnsi="Arial" w:cs="Arial"/>
          <w:sz w:val="20"/>
          <w:szCs w:val="20"/>
          <w:lang w:eastAsia="ja-JP"/>
        </w:rPr>
      </w:pPr>
    </w:p>
    <w:p w14:paraId="4110F409" w14:textId="2A19F9F9" w:rsidR="002F5C4B" w:rsidRPr="0076337A" w:rsidRDefault="002F5C4B" w:rsidP="002F5C4B">
      <w:pPr>
        <w:rPr>
          <w:rFonts w:ascii="Arial" w:eastAsia="MS Mincho" w:hAnsi="Arial" w:cs="Arial"/>
          <w:b/>
          <w:sz w:val="20"/>
          <w:szCs w:val="20"/>
          <w:lang w:eastAsia="ja-JP"/>
        </w:rPr>
      </w:pPr>
      <w:r w:rsidRPr="0076337A">
        <w:rPr>
          <w:rFonts w:ascii="Arial" w:eastAsia="MS Mincho" w:hAnsi="Arial" w:cs="Arial"/>
          <w:b/>
          <w:sz w:val="20"/>
          <w:szCs w:val="20"/>
          <w:lang w:eastAsia="ja-JP"/>
        </w:rPr>
        <w:t>1.2 Hypotheses</w:t>
      </w:r>
    </w:p>
    <w:p w14:paraId="426EE532" w14:textId="77777777" w:rsidR="002F5C4B" w:rsidRPr="0076337A" w:rsidRDefault="002F5C4B" w:rsidP="002F5C4B">
      <w:pPr>
        <w:rPr>
          <w:rFonts w:ascii="Arial" w:eastAsia="MS Mincho" w:hAnsi="Arial" w:cs="Arial"/>
          <w:sz w:val="20"/>
          <w:szCs w:val="20"/>
          <w:lang w:eastAsia="ja-JP"/>
        </w:rPr>
      </w:pPr>
    </w:p>
    <w:p w14:paraId="335B8688" w14:textId="573A3A88" w:rsidR="002F5C4B" w:rsidRPr="0076337A" w:rsidRDefault="002F5C4B" w:rsidP="002F5C4B">
      <w:pPr>
        <w:rPr>
          <w:rFonts w:ascii="Arial" w:eastAsia="MS Mincho" w:hAnsi="Arial" w:cs="Arial"/>
          <w:sz w:val="20"/>
          <w:szCs w:val="20"/>
          <w:lang w:eastAsia="ja-JP"/>
        </w:rPr>
      </w:pPr>
      <w:r w:rsidRPr="0076337A">
        <w:rPr>
          <w:rFonts w:ascii="Arial" w:eastAsia="MS Mincho" w:hAnsi="Arial" w:cs="Arial"/>
          <w:sz w:val="20"/>
          <w:szCs w:val="20"/>
          <w:lang w:eastAsia="ja-JP"/>
        </w:rPr>
        <w:t>The null hypotheses were tested at 0.05 level of significance:</w:t>
      </w:r>
    </w:p>
    <w:p w14:paraId="4DCE443D" w14:textId="77777777" w:rsidR="002F5C4B" w:rsidRPr="0076337A" w:rsidRDefault="002F5C4B" w:rsidP="002F5C4B">
      <w:pPr>
        <w:rPr>
          <w:rFonts w:ascii="Arial" w:eastAsia="MS Mincho" w:hAnsi="Arial" w:cs="Arial"/>
          <w:sz w:val="20"/>
          <w:szCs w:val="20"/>
          <w:lang w:eastAsia="ja-JP"/>
        </w:rPr>
      </w:pPr>
    </w:p>
    <w:p w14:paraId="799A2C48" w14:textId="77777777" w:rsidR="007A0633" w:rsidRPr="0076337A" w:rsidRDefault="007A0633" w:rsidP="007A0633">
      <w:pPr>
        <w:jc w:val="both"/>
        <w:rPr>
          <w:rFonts w:ascii="Arial" w:eastAsia="MS Mincho" w:hAnsi="Arial" w:cs="Arial"/>
          <w:sz w:val="20"/>
          <w:szCs w:val="20"/>
          <w:lang w:eastAsia="ja-JP"/>
        </w:rPr>
      </w:pPr>
      <w:r w:rsidRPr="0076337A">
        <w:rPr>
          <w:rFonts w:ascii="Arial" w:eastAsia="MS Mincho" w:hAnsi="Arial" w:cs="Arial"/>
          <w:sz w:val="20"/>
          <w:szCs w:val="20"/>
          <w:lang w:eastAsia="ja-JP"/>
        </w:rPr>
        <w:t>Ho1. There is no significant relationship between technological pedagogical content knowledge and reflective teaching practices on workplace retention.</w:t>
      </w:r>
    </w:p>
    <w:p w14:paraId="2AA1B3EE" w14:textId="77777777" w:rsidR="007A0633" w:rsidRPr="0076337A" w:rsidRDefault="007A0633" w:rsidP="007A0633">
      <w:pPr>
        <w:jc w:val="both"/>
        <w:rPr>
          <w:rFonts w:ascii="Arial" w:eastAsia="MS Mincho" w:hAnsi="Arial" w:cs="Arial"/>
          <w:sz w:val="20"/>
          <w:szCs w:val="20"/>
          <w:lang w:eastAsia="ja-JP"/>
        </w:rPr>
      </w:pPr>
      <w:r w:rsidRPr="0076337A">
        <w:rPr>
          <w:rFonts w:ascii="Arial" w:eastAsia="MS Mincho" w:hAnsi="Arial" w:cs="Arial"/>
          <w:sz w:val="20"/>
          <w:szCs w:val="20"/>
          <w:lang w:eastAsia="ja-JP"/>
        </w:rPr>
        <w:t>Ho2. Technological pedagogical content knowledge and reflective teaching practices do not significantly predict workplace retention.</w:t>
      </w:r>
    </w:p>
    <w:p w14:paraId="7D8B8BB8" w14:textId="188068FC" w:rsidR="003340B8" w:rsidRPr="0076337A" w:rsidRDefault="007A0633" w:rsidP="007A0633">
      <w:pPr>
        <w:jc w:val="both"/>
        <w:rPr>
          <w:rFonts w:ascii="Arial" w:eastAsia="MS Mincho" w:hAnsi="Arial" w:cs="Arial"/>
          <w:sz w:val="20"/>
          <w:szCs w:val="20"/>
          <w:lang w:eastAsia="ja-JP"/>
        </w:rPr>
      </w:pPr>
      <w:r w:rsidRPr="0076337A">
        <w:rPr>
          <w:rFonts w:ascii="Arial" w:eastAsia="MS Mincho" w:hAnsi="Arial" w:cs="Arial"/>
          <w:sz w:val="20"/>
          <w:szCs w:val="20"/>
          <w:lang w:eastAsia="ja-JP"/>
        </w:rPr>
        <w:t>Ho3.  There are no domains of technological pedagogical content knowledge and reflective teaching practices that significantly predict workplace retention.</w:t>
      </w:r>
    </w:p>
    <w:p w14:paraId="2761BBBA" w14:textId="77777777" w:rsidR="000D23E6" w:rsidRPr="0076337A" w:rsidRDefault="000D23E6" w:rsidP="000D23E6">
      <w:pPr>
        <w:rPr>
          <w:rFonts w:ascii="Arial" w:hAnsi="Arial" w:cs="Arial"/>
          <w:sz w:val="20"/>
          <w:szCs w:val="20"/>
        </w:rPr>
      </w:pPr>
    </w:p>
    <w:p w14:paraId="786C1FBD" w14:textId="00BFAEF4" w:rsidR="00717F2E" w:rsidRPr="0076337A" w:rsidRDefault="00180859" w:rsidP="000C2E75">
      <w:pPr>
        <w:pStyle w:val="AbstHead"/>
        <w:spacing w:after="0"/>
        <w:jc w:val="both"/>
        <w:rPr>
          <w:rFonts w:ascii="Arial" w:hAnsi="Arial" w:cs="Arial"/>
          <w:sz w:val="20"/>
        </w:rPr>
      </w:pPr>
      <w:r w:rsidRPr="0076337A">
        <w:rPr>
          <w:rFonts w:ascii="Arial" w:hAnsi="Arial" w:cs="Arial"/>
          <w:sz w:val="20"/>
        </w:rPr>
        <w:t>2. methodology</w:t>
      </w:r>
    </w:p>
    <w:p w14:paraId="7FF85A85" w14:textId="77777777" w:rsidR="00CA7F2F" w:rsidRPr="0076337A" w:rsidRDefault="00CA7F2F" w:rsidP="00F5572F">
      <w:pPr>
        <w:pStyle w:val="NormalWeb"/>
        <w:spacing w:before="0" w:beforeAutospacing="0" w:after="0" w:afterAutospacing="0"/>
        <w:jc w:val="both"/>
        <w:rPr>
          <w:rStyle w:val="Strong"/>
          <w:rFonts w:ascii="Arial" w:hAnsi="Arial" w:cs="Arial"/>
          <w:sz w:val="20"/>
          <w:szCs w:val="20"/>
        </w:rPr>
      </w:pPr>
    </w:p>
    <w:p w14:paraId="16882A6B" w14:textId="77777777" w:rsidR="00CA7F2F" w:rsidRPr="0076337A" w:rsidRDefault="000C2E75" w:rsidP="00F5572F">
      <w:pPr>
        <w:pStyle w:val="NormalWeb"/>
        <w:spacing w:before="0" w:beforeAutospacing="0" w:after="0" w:afterAutospacing="0"/>
        <w:jc w:val="both"/>
        <w:rPr>
          <w:rFonts w:ascii="Arial" w:hAnsi="Arial" w:cs="Arial"/>
          <w:sz w:val="20"/>
          <w:szCs w:val="20"/>
        </w:rPr>
      </w:pPr>
      <w:r w:rsidRPr="0076337A">
        <w:rPr>
          <w:rStyle w:val="Strong"/>
          <w:rFonts w:ascii="Arial" w:hAnsi="Arial" w:cs="Arial"/>
          <w:sz w:val="20"/>
          <w:szCs w:val="20"/>
        </w:rPr>
        <w:t>2.1 Research Design</w:t>
      </w:r>
      <w:r w:rsidRPr="0076337A">
        <w:rPr>
          <w:rFonts w:ascii="Arial" w:hAnsi="Arial" w:cs="Arial"/>
          <w:sz w:val="20"/>
          <w:szCs w:val="20"/>
        </w:rPr>
        <w:br/>
      </w:r>
    </w:p>
    <w:p w14:paraId="1C0BCC5F" w14:textId="2DC804EB" w:rsidR="000C2E75" w:rsidRPr="0076337A" w:rsidRDefault="00420BB1" w:rsidP="00F5572F">
      <w:pPr>
        <w:pStyle w:val="NormalWeb"/>
        <w:spacing w:before="0" w:beforeAutospacing="0" w:after="0" w:afterAutospacing="0"/>
        <w:jc w:val="both"/>
        <w:rPr>
          <w:rFonts w:ascii="Arial" w:hAnsi="Arial" w:cs="Arial"/>
          <w:sz w:val="20"/>
          <w:szCs w:val="20"/>
        </w:rPr>
      </w:pPr>
      <w:r w:rsidRPr="0076337A">
        <w:rPr>
          <w:rFonts w:ascii="Arial" w:hAnsi="Arial" w:cs="Arial"/>
          <w:sz w:val="20"/>
          <w:szCs w:val="20"/>
        </w:rPr>
        <w:t xml:space="preserve">This study employed a non-experimental quantitative research design utilizing the correlational method. This design was appropriate for examining the degree of association between technological pedagogical content knowledge, reflective teaching practices, and workplace retention among public secondary school teachers. As </w:t>
      </w:r>
      <w:proofErr w:type="spellStart"/>
      <w:r w:rsidRPr="0076337A">
        <w:rPr>
          <w:rFonts w:ascii="Arial" w:hAnsi="Arial" w:cs="Arial"/>
          <w:sz w:val="20"/>
          <w:szCs w:val="20"/>
        </w:rPr>
        <w:t>Pregoner</w:t>
      </w:r>
      <w:proofErr w:type="spellEnd"/>
      <w:r w:rsidRPr="0076337A">
        <w:rPr>
          <w:rFonts w:ascii="Arial" w:hAnsi="Arial" w:cs="Arial"/>
          <w:sz w:val="20"/>
          <w:szCs w:val="20"/>
        </w:rPr>
        <w:t xml:space="preserve"> (2025) emphasized, variables may be correlated through shared patterns or by a common underlying influence. In this study, the correlational method enabled the researcher to determine whether the levels of technological pedagogical content knowledge and reflective teaching practices are significantly linked to the workplace retention of teachers. By exploring the relationship among these variables, the study aimed to generate insights that could support teacher development initiatives and long-term workforce stability in the </w:t>
      </w:r>
      <w:proofErr w:type="spellStart"/>
      <w:r w:rsidRPr="0076337A">
        <w:rPr>
          <w:rFonts w:ascii="Arial" w:hAnsi="Arial" w:cs="Arial"/>
          <w:sz w:val="20"/>
          <w:szCs w:val="20"/>
        </w:rPr>
        <w:t>Paquibato</w:t>
      </w:r>
      <w:proofErr w:type="spellEnd"/>
      <w:r w:rsidRPr="0076337A">
        <w:rPr>
          <w:rFonts w:ascii="Arial" w:hAnsi="Arial" w:cs="Arial"/>
          <w:sz w:val="20"/>
          <w:szCs w:val="20"/>
        </w:rPr>
        <w:t xml:space="preserve"> District, Division of Davao City.</w:t>
      </w:r>
    </w:p>
    <w:p w14:paraId="49EB2495" w14:textId="77777777" w:rsidR="00CA7F2F" w:rsidRPr="0076337A" w:rsidRDefault="00CA7F2F" w:rsidP="00F5572F">
      <w:pPr>
        <w:pStyle w:val="NormalWeb"/>
        <w:spacing w:before="0" w:beforeAutospacing="0" w:after="0" w:afterAutospacing="0"/>
        <w:jc w:val="both"/>
        <w:rPr>
          <w:rStyle w:val="Strong"/>
          <w:rFonts w:ascii="Arial" w:hAnsi="Arial" w:cs="Arial"/>
          <w:sz w:val="20"/>
          <w:szCs w:val="20"/>
        </w:rPr>
      </w:pPr>
    </w:p>
    <w:p w14:paraId="5BF67423" w14:textId="77777777" w:rsidR="00CA7F2F" w:rsidRPr="0076337A" w:rsidRDefault="000C2E75" w:rsidP="00F5572F">
      <w:pPr>
        <w:pStyle w:val="NormalWeb"/>
        <w:spacing w:before="0" w:beforeAutospacing="0" w:after="0" w:afterAutospacing="0"/>
        <w:jc w:val="both"/>
        <w:rPr>
          <w:rFonts w:ascii="Arial" w:hAnsi="Arial" w:cs="Arial"/>
          <w:sz w:val="20"/>
          <w:szCs w:val="20"/>
        </w:rPr>
      </w:pPr>
      <w:r w:rsidRPr="0076337A">
        <w:rPr>
          <w:rStyle w:val="Strong"/>
          <w:rFonts w:ascii="Arial" w:hAnsi="Arial" w:cs="Arial"/>
          <w:sz w:val="20"/>
          <w:szCs w:val="20"/>
        </w:rPr>
        <w:t>2.2 Research Respondents</w:t>
      </w:r>
      <w:r w:rsidRPr="0076337A">
        <w:rPr>
          <w:rFonts w:ascii="Arial" w:hAnsi="Arial" w:cs="Arial"/>
          <w:sz w:val="20"/>
          <w:szCs w:val="20"/>
        </w:rPr>
        <w:br/>
      </w:r>
    </w:p>
    <w:p w14:paraId="40736451" w14:textId="50A73D52" w:rsidR="00CA7F2F" w:rsidRPr="0076337A" w:rsidRDefault="00420BB1" w:rsidP="00F5572F">
      <w:pPr>
        <w:pStyle w:val="NormalWeb"/>
        <w:spacing w:before="0" w:beforeAutospacing="0" w:after="0" w:afterAutospacing="0"/>
        <w:jc w:val="both"/>
        <w:rPr>
          <w:rFonts w:ascii="Arial" w:hAnsi="Arial" w:cs="Arial"/>
          <w:sz w:val="20"/>
          <w:szCs w:val="20"/>
        </w:rPr>
      </w:pPr>
      <w:r w:rsidRPr="0076337A">
        <w:rPr>
          <w:rFonts w:ascii="Arial" w:hAnsi="Arial" w:cs="Arial"/>
          <w:sz w:val="20"/>
          <w:szCs w:val="20"/>
        </w:rPr>
        <w:t xml:space="preserve">The respondents of this study were 145 public secondary school teachers from </w:t>
      </w:r>
      <w:proofErr w:type="spellStart"/>
      <w:r w:rsidRPr="0076337A">
        <w:rPr>
          <w:rFonts w:ascii="Arial" w:hAnsi="Arial" w:cs="Arial"/>
          <w:sz w:val="20"/>
          <w:szCs w:val="20"/>
        </w:rPr>
        <w:t>Paquibato</w:t>
      </w:r>
      <w:proofErr w:type="spellEnd"/>
      <w:r w:rsidRPr="0076337A">
        <w:rPr>
          <w:rFonts w:ascii="Arial" w:hAnsi="Arial" w:cs="Arial"/>
          <w:sz w:val="20"/>
          <w:szCs w:val="20"/>
        </w:rPr>
        <w:t xml:space="preserve"> District, Division of Davao City. All respondents were actively teaching and held various instructional responsibilities in their respective schools. Universal sampling was utilized, meaning all qualified public secondary teachers in the district were included in the study. The participants were informed about the study’s purpose, and their participation was voluntary, with confidentiality strictly observed. The study was conducted during the academic year 2024–2025.</w:t>
      </w:r>
    </w:p>
    <w:p w14:paraId="4808EA60" w14:textId="77777777" w:rsidR="00420BB1" w:rsidRPr="0076337A" w:rsidRDefault="00420BB1" w:rsidP="00F5572F">
      <w:pPr>
        <w:pStyle w:val="NormalWeb"/>
        <w:spacing w:before="0" w:beforeAutospacing="0" w:after="0" w:afterAutospacing="0"/>
        <w:jc w:val="both"/>
        <w:rPr>
          <w:rStyle w:val="Strong"/>
          <w:rFonts w:ascii="Arial" w:hAnsi="Arial" w:cs="Arial"/>
          <w:sz w:val="20"/>
          <w:szCs w:val="20"/>
        </w:rPr>
      </w:pPr>
    </w:p>
    <w:p w14:paraId="1026A07F" w14:textId="61316EC5" w:rsidR="00CA7F2F" w:rsidRPr="0076337A" w:rsidRDefault="000C2E75" w:rsidP="00F5572F">
      <w:pPr>
        <w:pStyle w:val="NormalWeb"/>
        <w:spacing w:before="0" w:beforeAutospacing="0" w:after="0" w:afterAutospacing="0"/>
        <w:jc w:val="both"/>
        <w:rPr>
          <w:rFonts w:ascii="Arial" w:hAnsi="Arial" w:cs="Arial"/>
          <w:sz w:val="20"/>
          <w:szCs w:val="20"/>
        </w:rPr>
      </w:pPr>
      <w:r w:rsidRPr="0076337A">
        <w:rPr>
          <w:rStyle w:val="Strong"/>
          <w:rFonts w:ascii="Arial" w:hAnsi="Arial" w:cs="Arial"/>
          <w:sz w:val="20"/>
          <w:szCs w:val="20"/>
        </w:rPr>
        <w:t>2.3 Research Instrument</w:t>
      </w:r>
      <w:r w:rsidRPr="0076337A">
        <w:rPr>
          <w:rFonts w:ascii="Arial" w:hAnsi="Arial" w:cs="Arial"/>
          <w:sz w:val="20"/>
          <w:szCs w:val="20"/>
        </w:rPr>
        <w:br/>
      </w:r>
    </w:p>
    <w:p w14:paraId="298434A8" w14:textId="66E7BDE9" w:rsidR="00366AA2" w:rsidRPr="0076337A" w:rsidRDefault="00366AA2" w:rsidP="00366AA2">
      <w:pPr>
        <w:pStyle w:val="NormalWeb"/>
        <w:jc w:val="both"/>
        <w:rPr>
          <w:rFonts w:ascii="Arial" w:hAnsi="Arial" w:cs="Arial"/>
          <w:sz w:val="20"/>
          <w:szCs w:val="20"/>
        </w:rPr>
      </w:pPr>
      <w:r w:rsidRPr="0076337A">
        <w:rPr>
          <w:rFonts w:ascii="Arial" w:hAnsi="Arial" w:cs="Arial"/>
          <w:sz w:val="20"/>
          <w:szCs w:val="20"/>
        </w:rPr>
        <w:t xml:space="preserve">The main instruments used in this study were standardized survey questionnaires that assessed the levels of technological pedagogical content knowledge, reflective teaching practices, and workplace retention. These instruments were developed based on established theoretical frameworks and existing validated scales related to TPACK, teacher reflection, and retention. To ensure validity, the instruments underwent face and content validation by a panel of experts in Educational Technology, Teacher Education, and Educational Management. </w:t>
      </w:r>
      <w:r w:rsidRPr="0076337A">
        <w:rPr>
          <w:rFonts w:ascii="Arial" w:hAnsi="Arial" w:cs="Arial"/>
          <w:sz w:val="20"/>
          <w:szCs w:val="20"/>
        </w:rPr>
        <w:lastRenderedPageBreak/>
        <w:t>Revisions were made based on expert feedback to ensure clarity, relevance, and alignment with the study’s objectives.</w:t>
      </w:r>
    </w:p>
    <w:p w14:paraId="2616D910" w14:textId="4FE4CB40" w:rsidR="000C2E75" w:rsidRPr="0076337A" w:rsidRDefault="00366AA2" w:rsidP="00366AA2">
      <w:pPr>
        <w:pStyle w:val="NormalWeb"/>
        <w:spacing w:before="0" w:beforeAutospacing="0" w:after="0" w:afterAutospacing="0"/>
        <w:jc w:val="both"/>
        <w:rPr>
          <w:rFonts w:ascii="Arial" w:hAnsi="Arial" w:cs="Arial"/>
          <w:sz w:val="20"/>
          <w:szCs w:val="20"/>
        </w:rPr>
      </w:pPr>
      <w:r w:rsidRPr="0076337A">
        <w:rPr>
          <w:rFonts w:ascii="Arial" w:hAnsi="Arial" w:cs="Arial"/>
          <w:sz w:val="20"/>
          <w:szCs w:val="20"/>
        </w:rPr>
        <w:t>A pilot test was also conducted among 30 teachers from a neighboring district who were not part of the final study. Results from the pilot test indicated high internal consistency, with a Cronbach’s Alpha of 0.912 for the Technological Pedagogical Content Knowledge scale, 0.918 for the Reflective Teaching Practices scale, and 0.925 for the Workplace Retention scale.</w:t>
      </w:r>
    </w:p>
    <w:p w14:paraId="74DFA897" w14:textId="77777777" w:rsidR="009877FB" w:rsidRPr="0076337A" w:rsidRDefault="009877FB" w:rsidP="00F5572F">
      <w:pPr>
        <w:pStyle w:val="NormalWeb"/>
        <w:spacing w:before="0" w:beforeAutospacing="0" w:after="0" w:afterAutospacing="0"/>
        <w:jc w:val="both"/>
        <w:rPr>
          <w:rStyle w:val="Strong"/>
          <w:rFonts w:ascii="Arial" w:hAnsi="Arial" w:cs="Arial"/>
          <w:sz w:val="20"/>
          <w:szCs w:val="20"/>
        </w:rPr>
      </w:pPr>
    </w:p>
    <w:p w14:paraId="332AB00D" w14:textId="2019D1B1" w:rsidR="00F5572F" w:rsidRPr="0076337A" w:rsidRDefault="000C2E75" w:rsidP="00F5572F">
      <w:pPr>
        <w:pStyle w:val="NormalWeb"/>
        <w:spacing w:before="0" w:beforeAutospacing="0" w:after="0" w:afterAutospacing="0"/>
        <w:jc w:val="both"/>
        <w:rPr>
          <w:rFonts w:ascii="Arial" w:hAnsi="Arial" w:cs="Arial"/>
          <w:sz w:val="20"/>
          <w:szCs w:val="20"/>
        </w:rPr>
      </w:pPr>
      <w:r w:rsidRPr="0076337A">
        <w:rPr>
          <w:rStyle w:val="Strong"/>
          <w:rFonts w:ascii="Arial" w:hAnsi="Arial" w:cs="Arial"/>
          <w:sz w:val="20"/>
          <w:szCs w:val="20"/>
        </w:rPr>
        <w:t>2.4 Data Gathering Procedure</w:t>
      </w:r>
    </w:p>
    <w:p w14:paraId="6C4A2E2A" w14:textId="3D8CFF8C" w:rsidR="003B216A" w:rsidRPr="0076337A" w:rsidRDefault="003B216A" w:rsidP="003B216A">
      <w:pPr>
        <w:pStyle w:val="NormalWeb"/>
        <w:jc w:val="both"/>
        <w:rPr>
          <w:rFonts w:ascii="Arial" w:hAnsi="Arial" w:cs="Arial"/>
          <w:sz w:val="20"/>
          <w:szCs w:val="20"/>
        </w:rPr>
      </w:pPr>
      <w:r w:rsidRPr="0076337A">
        <w:rPr>
          <w:rFonts w:ascii="Arial" w:hAnsi="Arial" w:cs="Arial"/>
          <w:sz w:val="20"/>
          <w:szCs w:val="20"/>
        </w:rPr>
        <w:t xml:space="preserve">The data gathering process followed proper ethical and procedural standards. The researcher first obtained an endorsement from the Dean of the Graduate School and secured ethical clearance from the Ethics Review Committee of the institution. A formal letter of request was then submitted to the Schools Division Superintendent of Davao City. Upon approval, the Division Office issued an endorsement to the school heads in </w:t>
      </w:r>
      <w:proofErr w:type="spellStart"/>
      <w:r w:rsidRPr="0076337A">
        <w:rPr>
          <w:rFonts w:ascii="Arial" w:hAnsi="Arial" w:cs="Arial"/>
          <w:sz w:val="20"/>
          <w:szCs w:val="20"/>
        </w:rPr>
        <w:t>Paquibato</w:t>
      </w:r>
      <w:proofErr w:type="spellEnd"/>
      <w:r w:rsidRPr="0076337A">
        <w:rPr>
          <w:rFonts w:ascii="Arial" w:hAnsi="Arial" w:cs="Arial"/>
          <w:sz w:val="20"/>
          <w:szCs w:val="20"/>
        </w:rPr>
        <w:t xml:space="preserve"> District, allowing the conduct of the study within their respective schools.</w:t>
      </w:r>
    </w:p>
    <w:p w14:paraId="5AC87A8B" w14:textId="74D9F2C5" w:rsidR="000C2E75" w:rsidRPr="0076337A" w:rsidRDefault="003B216A" w:rsidP="003B216A">
      <w:pPr>
        <w:pStyle w:val="NormalWeb"/>
        <w:spacing w:before="0" w:beforeAutospacing="0" w:after="0" w:afterAutospacing="0"/>
        <w:jc w:val="both"/>
        <w:rPr>
          <w:rFonts w:ascii="Arial" w:hAnsi="Arial" w:cs="Arial"/>
          <w:sz w:val="20"/>
          <w:szCs w:val="20"/>
        </w:rPr>
      </w:pPr>
      <w:r w:rsidRPr="0076337A">
        <w:rPr>
          <w:rFonts w:ascii="Arial" w:hAnsi="Arial" w:cs="Arial"/>
          <w:sz w:val="20"/>
          <w:szCs w:val="20"/>
        </w:rPr>
        <w:t>Following approval, a pilot test was administered to validate the instruments. The final versions of the questionnaires were then distributed to the 145 teachers identified through universal sampling. Respondents were oriented on the nature and purpose of the study and were guided on how to answer the instrument. All completed questionnaires were personally collected by the researcher. The collected data were submitted to a professional statistician for proper coding, tabulation, and statistical treatment.</w:t>
      </w:r>
    </w:p>
    <w:p w14:paraId="7B01A74C" w14:textId="77777777" w:rsidR="00F5572F" w:rsidRPr="0076337A" w:rsidRDefault="00F5572F" w:rsidP="00F5572F">
      <w:pPr>
        <w:pStyle w:val="NormalWeb"/>
        <w:spacing w:before="0" w:beforeAutospacing="0" w:after="0" w:afterAutospacing="0"/>
        <w:jc w:val="both"/>
        <w:rPr>
          <w:rStyle w:val="Strong"/>
          <w:rFonts w:ascii="Arial" w:hAnsi="Arial" w:cs="Arial"/>
          <w:sz w:val="20"/>
          <w:szCs w:val="20"/>
        </w:rPr>
      </w:pPr>
    </w:p>
    <w:p w14:paraId="3D98BE76" w14:textId="145160A5" w:rsidR="00F5572F" w:rsidRPr="0076337A" w:rsidRDefault="000C2E75" w:rsidP="00F5572F">
      <w:pPr>
        <w:pStyle w:val="NormalWeb"/>
        <w:spacing w:before="0" w:beforeAutospacing="0" w:after="0" w:afterAutospacing="0"/>
        <w:jc w:val="both"/>
        <w:rPr>
          <w:rFonts w:ascii="Arial" w:hAnsi="Arial" w:cs="Arial"/>
          <w:sz w:val="20"/>
          <w:szCs w:val="20"/>
        </w:rPr>
      </w:pPr>
      <w:r w:rsidRPr="0076337A">
        <w:rPr>
          <w:rStyle w:val="Strong"/>
          <w:rFonts w:ascii="Arial" w:hAnsi="Arial" w:cs="Arial"/>
          <w:sz w:val="20"/>
          <w:szCs w:val="20"/>
        </w:rPr>
        <w:t>2.5 Data Analysis</w:t>
      </w:r>
    </w:p>
    <w:p w14:paraId="6A8E6EF0" w14:textId="77777777" w:rsidR="00F5572F" w:rsidRPr="0076337A" w:rsidRDefault="000C2E75" w:rsidP="00F5572F">
      <w:pPr>
        <w:pStyle w:val="NormalWeb"/>
        <w:jc w:val="both"/>
        <w:rPr>
          <w:rFonts w:ascii="Arial" w:hAnsi="Arial" w:cs="Arial"/>
          <w:sz w:val="20"/>
          <w:szCs w:val="20"/>
        </w:rPr>
      </w:pPr>
      <w:r w:rsidRPr="0076337A">
        <w:rPr>
          <w:rFonts w:ascii="Arial" w:hAnsi="Arial" w:cs="Arial"/>
          <w:sz w:val="20"/>
          <w:szCs w:val="20"/>
        </w:rPr>
        <w:t>To analyze the data and address the research objectives, the following statistical tools were employed:</w:t>
      </w:r>
      <w:r w:rsidR="00F5572F" w:rsidRPr="0076337A">
        <w:rPr>
          <w:rFonts w:ascii="Arial" w:hAnsi="Arial" w:cs="Arial"/>
          <w:sz w:val="20"/>
          <w:szCs w:val="20"/>
        </w:rPr>
        <w:t xml:space="preserve"> </w:t>
      </w:r>
    </w:p>
    <w:p w14:paraId="048FF5C6" w14:textId="77777777" w:rsidR="0057230F" w:rsidRPr="0076337A" w:rsidRDefault="0057230F" w:rsidP="0057230F">
      <w:pPr>
        <w:pStyle w:val="NormalWeb"/>
        <w:jc w:val="both"/>
        <w:rPr>
          <w:rFonts w:ascii="Arial" w:hAnsi="Arial" w:cs="Arial"/>
          <w:sz w:val="20"/>
          <w:szCs w:val="20"/>
        </w:rPr>
      </w:pPr>
      <w:r w:rsidRPr="0076337A">
        <w:rPr>
          <w:rFonts w:ascii="Arial" w:hAnsi="Arial" w:cs="Arial"/>
          <w:sz w:val="20"/>
          <w:szCs w:val="20"/>
        </w:rPr>
        <w:t>Mean. This was used to determine the levels of technological pedagogical content knowledge, reflective teaching practices, and workplace retention among public secondary school teachers.</w:t>
      </w:r>
    </w:p>
    <w:p w14:paraId="21D46BB9" w14:textId="77777777" w:rsidR="0057230F" w:rsidRPr="0076337A" w:rsidRDefault="0057230F" w:rsidP="0057230F">
      <w:pPr>
        <w:pStyle w:val="NormalWeb"/>
        <w:jc w:val="both"/>
        <w:rPr>
          <w:rFonts w:ascii="Arial" w:hAnsi="Arial" w:cs="Arial"/>
          <w:sz w:val="20"/>
          <w:szCs w:val="20"/>
        </w:rPr>
      </w:pPr>
      <w:r w:rsidRPr="0076337A">
        <w:rPr>
          <w:rFonts w:ascii="Arial" w:hAnsi="Arial" w:cs="Arial"/>
          <w:sz w:val="20"/>
          <w:szCs w:val="20"/>
        </w:rPr>
        <w:t>Standard Deviation (SD). This was applied to understand the variability of responses from the mean.</w:t>
      </w:r>
    </w:p>
    <w:p w14:paraId="6D3553EC" w14:textId="77777777" w:rsidR="0057230F" w:rsidRPr="0076337A" w:rsidRDefault="0057230F" w:rsidP="0057230F">
      <w:pPr>
        <w:pStyle w:val="NormalWeb"/>
        <w:jc w:val="both"/>
        <w:rPr>
          <w:rFonts w:ascii="Arial" w:hAnsi="Arial" w:cs="Arial"/>
          <w:sz w:val="20"/>
          <w:szCs w:val="20"/>
        </w:rPr>
      </w:pPr>
      <w:r w:rsidRPr="0076337A">
        <w:rPr>
          <w:rFonts w:ascii="Arial" w:hAnsi="Arial" w:cs="Arial"/>
          <w:sz w:val="20"/>
          <w:szCs w:val="20"/>
        </w:rPr>
        <w:t>Pearson Product-Moment Correlation Coefficient (Pearson r). This was employed to examine the relationships between technological pedagogical content knowledge, reflective teaching practices, and workplace retention.</w:t>
      </w:r>
    </w:p>
    <w:p w14:paraId="31E17C05" w14:textId="77777777" w:rsidR="0057230F" w:rsidRPr="0076337A" w:rsidRDefault="0057230F" w:rsidP="0057230F">
      <w:pPr>
        <w:pStyle w:val="NormalWeb"/>
        <w:jc w:val="both"/>
        <w:rPr>
          <w:rFonts w:ascii="Arial" w:hAnsi="Arial" w:cs="Arial"/>
          <w:sz w:val="20"/>
          <w:szCs w:val="20"/>
        </w:rPr>
      </w:pPr>
      <w:r w:rsidRPr="0076337A">
        <w:rPr>
          <w:rFonts w:ascii="Arial" w:hAnsi="Arial" w:cs="Arial"/>
          <w:sz w:val="20"/>
          <w:szCs w:val="20"/>
        </w:rPr>
        <w:t>Multiple Regression Analysis. This was conducted to determine the extent to which technological pedagogical content knowledge and reflective teaching practices significantly predict workplace retention, and to identify which of the variables had a stronger predictive influence.</w:t>
      </w:r>
    </w:p>
    <w:p w14:paraId="58121996" w14:textId="5DF0B531" w:rsidR="000C2E75" w:rsidRPr="0076337A" w:rsidRDefault="000C2E75" w:rsidP="00F5572F">
      <w:pPr>
        <w:pStyle w:val="NormalWeb"/>
        <w:spacing w:before="0" w:beforeAutospacing="0" w:after="0" w:afterAutospacing="0"/>
        <w:jc w:val="both"/>
        <w:rPr>
          <w:rFonts w:ascii="Arial" w:hAnsi="Arial" w:cs="Arial"/>
          <w:sz w:val="20"/>
          <w:szCs w:val="20"/>
        </w:rPr>
      </w:pPr>
    </w:p>
    <w:p w14:paraId="42919EB3" w14:textId="77777777" w:rsidR="00F5572F" w:rsidRPr="0076337A" w:rsidRDefault="00F5572F" w:rsidP="00F5572F">
      <w:pPr>
        <w:pStyle w:val="NormalWeb"/>
        <w:spacing w:before="0" w:beforeAutospacing="0" w:after="0" w:afterAutospacing="0"/>
        <w:jc w:val="both"/>
        <w:rPr>
          <w:rStyle w:val="Strong"/>
          <w:rFonts w:ascii="Arial" w:hAnsi="Arial" w:cs="Arial"/>
          <w:sz w:val="20"/>
          <w:szCs w:val="20"/>
        </w:rPr>
      </w:pPr>
    </w:p>
    <w:p w14:paraId="22F37306" w14:textId="77777777" w:rsidR="000C2E75" w:rsidRPr="0076337A" w:rsidRDefault="000C2E75" w:rsidP="005923EA">
      <w:pPr>
        <w:pStyle w:val="Head1"/>
        <w:spacing w:after="0"/>
        <w:jc w:val="both"/>
        <w:rPr>
          <w:rFonts w:ascii="Arial" w:hAnsi="Arial" w:cs="Arial"/>
          <w:b w:val="0"/>
          <w:sz w:val="20"/>
        </w:rPr>
      </w:pPr>
    </w:p>
    <w:p w14:paraId="2078C8C6" w14:textId="77777777" w:rsidR="000E75FA" w:rsidRPr="0076337A" w:rsidRDefault="000E75FA">
      <w:pPr>
        <w:rPr>
          <w:rFonts w:ascii="Arial" w:hAnsi="Arial" w:cs="Arial"/>
          <w:b/>
          <w:caps/>
          <w:sz w:val="20"/>
          <w:szCs w:val="20"/>
        </w:rPr>
      </w:pPr>
      <w:r w:rsidRPr="0076337A">
        <w:rPr>
          <w:rFonts w:ascii="Arial" w:hAnsi="Arial" w:cs="Arial"/>
          <w:sz w:val="20"/>
          <w:szCs w:val="20"/>
        </w:rPr>
        <w:br w:type="page"/>
      </w:r>
    </w:p>
    <w:p w14:paraId="54D02440" w14:textId="485C8576" w:rsidR="00717F2E" w:rsidRPr="0076337A" w:rsidRDefault="00180859">
      <w:pPr>
        <w:pStyle w:val="Head1"/>
        <w:spacing w:after="0"/>
        <w:jc w:val="both"/>
        <w:rPr>
          <w:rFonts w:ascii="Arial" w:hAnsi="Arial" w:cs="Arial"/>
          <w:sz w:val="20"/>
        </w:rPr>
      </w:pPr>
      <w:r w:rsidRPr="0076337A">
        <w:rPr>
          <w:rFonts w:ascii="Arial" w:hAnsi="Arial" w:cs="Arial"/>
          <w:sz w:val="20"/>
        </w:rPr>
        <w:lastRenderedPageBreak/>
        <w:t>3. results and discussion</w:t>
      </w:r>
    </w:p>
    <w:p w14:paraId="500B7B33" w14:textId="77777777" w:rsidR="00717F2E" w:rsidRPr="0076337A" w:rsidRDefault="00717F2E">
      <w:pPr>
        <w:rPr>
          <w:rFonts w:ascii="Arial" w:hAnsi="Arial" w:cs="Arial"/>
          <w:b/>
          <w:i/>
          <w:sz w:val="20"/>
          <w:szCs w:val="20"/>
        </w:rPr>
      </w:pPr>
    </w:p>
    <w:p w14:paraId="1DF55D87" w14:textId="6F3BCBDA" w:rsidR="005D71AE" w:rsidRPr="0076337A" w:rsidRDefault="00180859">
      <w:pPr>
        <w:suppressAutoHyphens/>
        <w:jc w:val="both"/>
        <w:rPr>
          <w:rFonts w:ascii="Arial" w:hAnsi="Arial" w:cs="Arial"/>
          <w:b/>
          <w:sz w:val="20"/>
          <w:szCs w:val="20"/>
        </w:rPr>
      </w:pPr>
      <w:r w:rsidRPr="0076337A">
        <w:rPr>
          <w:rFonts w:ascii="Arial" w:hAnsi="Arial" w:cs="Arial"/>
          <w:b/>
          <w:sz w:val="20"/>
          <w:szCs w:val="20"/>
        </w:rPr>
        <w:t xml:space="preserve">3.1 </w:t>
      </w:r>
      <w:r w:rsidR="001E28EE" w:rsidRPr="0076337A">
        <w:rPr>
          <w:rFonts w:ascii="Arial" w:hAnsi="Arial" w:cs="Arial"/>
          <w:b/>
          <w:sz w:val="20"/>
          <w:szCs w:val="20"/>
        </w:rPr>
        <w:t>Level of Technological Pedagogical Content Knowledge among Public Secondary School Teachers</w:t>
      </w:r>
    </w:p>
    <w:p w14:paraId="1B38FF68" w14:textId="77777777" w:rsidR="00EF4B2D" w:rsidRPr="0076337A" w:rsidRDefault="00EF4B2D">
      <w:pPr>
        <w:suppressAutoHyphens/>
        <w:jc w:val="both"/>
        <w:rPr>
          <w:rFonts w:ascii="Arial" w:hAnsi="Arial" w:cs="Arial"/>
          <w:b/>
          <w:sz w:val="20"/>
          <w:szCs w:val="20"/>
        </w:rPr>
      </w:pPr>
    </w:p>
    <w:p w14:paraId="69D23EB0" w14:textId="669CD0C7" w:rsidR="008927A1" w:rsidRPr="0076337A" w:rsidRDefault="00180859">
      <w:pPr>
        <w:suppressAutoHyphens/>
        <w:jc w:val="both"/>
        <w:rPr>
          <w:rFonts w:ascii="Arial" w:hAnsi="Arial" w:cs="Arial"/>
          <w:i/>
          <w:iCs/>
          <w:sz w:val="20"/>
          <w:szCs w:val="20"/>
        </w:rPr>
      </w:pPr>
      <w:r w:rsidRPr="0076337A">
        <w:rPr>
          <w:rFonts w:ascii="Arial" w:hAnsi="Arial" w:cs="Arial"/>
          <w:iCs/>
          <w:sz w:val="20"/>
          <w:szCs w:val="20"/>
        </w:rPr>
        <w:t>Table 1</w:t>
      </w:r>
      <w:r w:rsidR="00CC5ECD" w:rsidRPr="0076337A">
        <w:rPr>
          <w:rFonts w:ascii="Arial" w:hAnsi="Arial" w:cs="Arial"/>
          <w:iCs/>
          <w:sz w:val="20"/>
          <w:szCs w:val="20"/>
        </w:rPr>
        <w:t>.</w:t>
      </w:r>
      <w:r w:rsidR="00CC5ECD" w:rsidRPr="0076337A">
        <w:rPr>
          <w:sz w:val="20"/>
          <w:szCs w:val="20"/>
        </w:rPr>
        <w:t xml:space="preserve"> </w:t>
      </w:r>
      <w:r w:rsidR="001E28EE" w:rsidRPr="0076337A">
        <w:rPr>
          <w:rFonts w:ascii="Arial" w:hAnsi="Arial" w:cs="Arial"/>
          <w:i/>
          <w:iCs/>
          <w:sz w:val="20"/>
          <w:szCs w:val="20"/>
        </w:rPr>
        <w:t>Level of Technological Pedagogical Content Knowledge among Public Secondary School Teachers</w:t>
      </w:r>
    </w:p>
    <w:p w14:paraId="496DE70A" w14:textId="77777777" w:rsidR="002F5C4B" w:rsidRPr="0076337A" w:rsidRDefault="002F5C4B">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76337A"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76337A" w:rsidRDefault="005923EA" w:rsidP="00C8398D">
            <w:pPr>
              <w:jc w:val="center"/>
              <w:rPr>
                <w:rFonts w:ascii="Arial" w:hAnsi="Arial"/>
                <w:b/>
                <w:sz w:val="20"/>
                <w:szCs w:val="20"/>
              </w:rPr>
            </w:pPr>
            <w:r w:rsidRPr="0076337A">
              <w:rPr>
                <w:rFonts w:ascii="Arial" w:hAnsi="Arial"/>
                <w:b/>
                <w:sz w:val="20"/>
                <w:szCs w:val="20"/>
              </w:rPr>
              <w:t xml:space="preserve">Domains </w:t>
            </w:r>
          </w:p>
        </w:tc>
        <w:tc>
          <w:tcPr>
            <w:tcW w:w="862" w:type="dxa"/>
            <w:tcBorders>
              <w:bottom w:val="single" w:sz="4" w:space="0" w:color="auto"/>
            </w:tcBorders>
          </w:tcPr>
          <w:p w14:paraId="724F4F2C" w14:textId="77777777" w:rsidR="005923EA" w:rsidRPr="0076337A" w:rsidRDefault="005923EA" w:rsidP="00C8398D">
            <w:pPr>
              <w:jc w:val="center"/>
              <w:rPr>
                <w:rFonts w:ascii="Arial" w:hAnsi="Arial"/>
                <w:b/>
                <w:sz w:val="20"/>
                <w:szCs w:val="20"/>
              </w:rPr>
            </w:pPr>
            <w:r w:rsidRPr="0076337A">
              <w:rPr>
                <w:rFonts w:ascii="Arial" w:hAnsi="Arial"/>
                <w:b/>
                <w:sz w:val="20"/>
                <w:szCs w:val="20"/>
              </w:rPr>
              <w:t>SD</w:t>
            </w:r>
          </w:p>
        </w:tc>
        <w:tc>
          <w:tcPr>
            <w:tcW w:w="1019" w:type="dxa"/>
            <w:gridSpan w:val="2"/>
            <w:tcBorders>
              <w:bottom w:val="single" w:sz="4" w:space="0" w:color="auto"/>
            </w:tcBorders>
          </w:tcPr>
          <w:p w14:paraId="679D4F61" w14:textId="77777777" w:rsidR="005923EA" w:rsidRPr="0076337A" w:rsidRDefault="005923EA" w:rsidP="00C8398D">
            <w:pPr>
              <w:jc w:val="center"/>
              <w:rPr>
                <w:rFonts w:ascii="Arial" w:hAnsi="Arial"/>
                <w:b/>
                <w:sz w:val="20"/>
                <w:szCs w:val="20"/>
              </w:rPr>
            </w:pPr>
            <w:r w:rsidRPr="0076337A">
              <w:rPr>
                <w:rFonts w:ascii="Arial" w:hAnsi="Arial"/>
                <w:b/>
                <w:sz w:val="20"/>
                <w:szCs w:val="20"/>
              </w:rPr>
              <w:t>Mean</w:t>
            </w:r>
          </w:p>
        </w:tc>
        <w:tc>
          <w:tcPr>
            <w:tcW w:w="2245" w:type="dxa"/>
            <w:tcBorders>
              <w:bottom w:val="single" w:sz="4" w:space="0" w:color="auto"/>
            </w:tcBorders>
          </w:tcPr>
          <w:p w14:paraId="18FB3AF2" w14:textId="77777777" w:rsidR="005923EA" w:rsidRPr="0076337A" w:rsidRDefault="005923EA" w:rsidP="00C8398D">
            <w:pPr>
              <w:jc w:val="center"/>
              <w:rPr>
                <w:rFonts w:ascii="Arial" w:hAnsi="Arial"/>
                <w:b/>
                <w:sz w:val="20"/>
                <w:szCs w:val="20"/>
              </w:rPr>
            </w:pPr>
            <w:r w:rsidRPr="0076337A">
              <w:rPr>
                <w:rFonts w:ascii="Arial" w:hAnsi="Arial"/>
                <w:b/>
                <w:sz w:val="20"/>
                <w:szCs w:val="20"/>
              </w:rPr>
              <w:t>Descriptive Level</w:t>
            </w:r>
          </w:p>
        </w:tc>
      </w:tr>
      <w:tr w:rsidR="002E68B9" w:rsidRPr="0076337A" w14:paraId="15DA0C79" w14:textId="77777777" w:rsidTr="001142F8">
        <w:trPr>
          <w:gridAfter w:val="1"/>
          <w:wAfter w:w="11" w:type="dxa"/>
          <w:trHeight w:val="422"/>
        </w:trPr>
        <w:tc>
          <w:tcPr>
            <w:tcW w:w="4320" w:type="dxa"/>
            <w:gridSpan w:val="2"/>
            <w:tcBorders>
              <w:top w:val="single" w:sz="4" w:space="0" w:color="auto"/>
            </w:tcBorders>
            <w:vAlign w:val="center"/>
          </w:tcPr>
          <w:p w14:paraId="1E8528C9" w14:textId="3C77BEE5" w:rsidR="002E68B9" w:rsidRPr="0076337A" w:rsidRDefault="002E68B9" w:rsidP="001142F8">
            <w:pPr>
              <w:widowControl w:val="0"/>
              <w:ind w:left="431"/>
              <w:rPr>
                <w:rFonts w:ascii="Arial" w:hAnsi="Arial" w:cs="Arial"/>
                <w:sz w:val="20"/>
                <w:szCs w:val="20"/>
              </w:rPr>
            </w:pPr>
            <w:r w:rsidRPr="0076337A">
              <w:rPr>
                <w:rFonts w:ascii="Arial" w:hAnsi="Arial"/>
                <w:sz w:val="20"/>
                <w:szCs w:val="20"/>
              </w:rPr>
              <w:t>Technology Knowledge</w:t>
            </w:r>
          </w:p>
        </w:tc>
        <w:tc>
          <w:tcPr>
            <w:tcW w:w="862" w:type="dxa"/>
            <w:tcBorders>
              <w:top w:val="single" w:sz="4" w:space="0" w:color="auto"/>
            </w:tcBorders>
            <w:vAlign w:val="center"/>
          </w:tcPr>
          <w:p w14:paraId="757A6DD3" w14:textId="1FF0C52A" w:rsidR="002E68B9" w:rsidRPr="0076337A" w:rsidRDefault="002E68B9" w:rsidP="001142F8">
            <w:pPr>
              <w:jc w:val="center"/>
              <w:rPr>
                <w:rFonts w:ascii="Arial" w:hAnsi="Arial" w:cs="Arial"/>
                <w:sz w:val="20"/>
                <w:szCs w:val="20"/>
              </w:rPr>
            </w:pPr>
            <w:r w:rsidRPr="0076337A">
              <w:rPr>
                <w:rFonts w:ascii="Arial" w:hAnsi="Arial"/>
                <w:sz w:val="20"/>
                <w:szCs w:val="20"/>
              </w:rPr>
              <w:t>1.08</w:t>
            </w:r>
          </w:p>
        </w:tc>
        <w:tc>
          <w:tcPr>
            <w:tcW w:w="1019" w:type="dxa"/>
            <w:gridSpan w:val="2"/>
            <w:tcBorders>
              <w:top w:val="single" w:sz="4" w:space="0" w:color="auto"/>
            </w:tcBorders>
            <w:vAlign w:val="center"/>
          </w:tcPr>
          <w:p w14:paraId="74D42A71" w14:textId="1721843A" w:rsidR="002E68B9" w:rsidRPr="0076337A" w:rsidRDefault="002E68B9" w:rsidP="001142F8">
            <w:pPr>
              <w:jc w:val="center"/>
              <w:rPr>
                <w:rFonts w:ascii="Arial" w:hAnsi="Arial" w:cs="Arial"/>
                <w:sz w:val="20"/>
                <w:szCs w:val="20"/>
              </w:rPr>
            </w:pPr>
            <w:r w:rsidRPr="0076337A">
              <w:rPr>
                <w:rFonts w:ascii="Arial" w:hAnsi="Arial"/>
                <w:sz w:val="20"/>
                <w:szCs w:val="20"/>
              </w:rPr>
              <w:t>4.13</w:t>
            </w:r>
          </w:p>
        </w:tc>
        <w:tc>
          <w:tcPr>
            <w:tcW w:w="2245" w:type="dxa"/>
            <w:tcBorders>
              <w:top w:val="single" w:sz="4" w:space="0" w:color="auto"/>
            </w:tcBorders>
            <w:vAlign w:val="center"/>
          </w:tcPr>
          <w:p w14:paraId="0A6D1562" w14:textId="3ECED18B" w:rsidR="002E68B9" w:rsidRPr="0076337A" w:rsidRDefault="002E68B9" w:rsidP="001142F8">
            <w:pPr>
              <w:jc w:val="center"/>
              <w:rPr>
                <w:rFonts w:ascii="Arial" w:hAnsi="Arial" w:cs="Arial"/>
                <w:sz w:val="20"/>
                <w:szCs w:val="20"/>
              </w:rPr>
            </w:pPr>
            <w:r w:rsidRPr="0076337A">
              <w:rPr>
                <w:rFonts w:ascii="Arial" w:hAnsi="Arial" w:cs="Arial"/>
                <w:sz w:val="20"/>
                <w:szCs w:val="20"/>
              </w:rPr>
              <w:t>High</w:t>
            </w:r>
          </w:p>
        </w:tc>
      </w:tr>
      <w:tr w:rsidR="002E68B9" w:rsidRPr="0076337A" w14:paraId="4A3882EF" w14:textId="77777777" w:rsidTr="001142F8">
        <w:trPr>
          <w:gridAfter w:val="1"/>
          <w:wAfter w:w="11" w:type="dxa"/>
          <w:trHeight w:val="438"/>
        </w:trPr>
        <w:tc>
          <w:tcPr>
            <w:tcW w:w="4320" w:type="dxa"/>
            <w:gridSpan w:val="2"/>
            <w:vAlign w:val="center"/>
          </w:tcPr>
          <w:p w14:paraId="197CBC2C" w14:textId="017B506F" w:rsidR="002E68B9" w:rsidRPr="0076337A" w:rsidRDefault="002E68B9" w:rsidP="001142F8">
            <w:pPr>
              <w:widowControl w:val="0"/>
              <w:ind w:left="431"/>
              <w:rPr>
                <w:rFonts w:ascii="Arial" w:hAnsi="Arial" w:cs="Arial"/>
                <w:sz w:val="20"/>
                <w:szCs w:val="20"/>
              </w:rPr>
            </w:pPr>
            <w:r w:rsidRPr="0076337A">
              <w:rPr>
                <w:rFonts w:ascii="Arial" w:hAnsi="Arial"/>
                <w:sz w:val="20"/>
                <w:szCs w:val="20"/>
              </w:rPr>
              <w:t>Pedagogical Knowledge</w:t>
            </w:r>
          </w:p>
        </w:tc>
        <w:tc>
          <w:tcPr>
            <w:tcW w:w="862" w:type="dxa"/>
            <w:vAlign w:val="center"/>
          </w:tcPr>
          <w:p w14:paraId="614B9835" w14:textId="329583AF" w:rsidR="002E68B9" w:rsidRPr="0076337A" w:rsidRDefault="002E68B9" w:rsidP="001142F8">
            <w:pPr>
              <w:jc w:val="center"/>
              <w:rPr>
                <w:rFonts w:ascii="Arial" w:hAnsi="Arial" w:cs="Arial"/>
                <w:sz w:val="20"/>
                <w:szCs w:val="20"/>
              </w:rPr>
            </w:pPr>
            <w:r w:rsidRPr="0076337A">
              <w:rPr>
                <w:rFonts w:ascii="Arial" w:hAnsi="Arial"/>
                <w:sz w:val="20"/>
                <w:szCs w:val="20"/>
              </w:rPr>
              <w:t>1.03</w:t>
            </w:r>
          </w:p>
        </w:tc>
        <w:tc>
          <w:tcPr>
            <w:tcW w:w="1019" w:type="dxa"/>
            <w:gridSpan w:val="2"/>
            <w:vAlign w:val="center"/>
          </w:tcPr>
          <w:p w14:paraId="2C1B1A3F" w14:textId="17A95F4F" w:rsidR="002E68B9" w:rsidRPr="0076337A" w:rsidRDefault="002E68B9" w:rsidP="001142F8">
            <w:pPr>
              <w:jc w:val="center"/>
              <w:rPr>
                <w:rFonts w:ascii="Arial" w:hAnsi="Arial" w:cs="Arial"/>
                <w:sz w:val="20"/>
                <w:szCs w:val="20"/>
              </w:rPr>
            </w:pPr>
            <w:r w:rsidRPr="0076337A">
              <w:rPr>
                <w:rFonts w:ascii="Arial" w:hAnsi="Arial"/>
                <w:sz w:val="20"/>
                <w:szCs w:val="20"/>
              </w:rPr>
              <w:t>4.15</w:t>
            </w:r>
          </w:p>
        </w:tc>
        <w:tc>
          <w:tcPr>
            <w:tcW w:w="2245" w:type="dxa"/>
            <w:vAlign w:val="center"/>
          </w:tcPr>
          <w:p w14:paraId="26CAB96E" w14:textId="0A3BF8CE" w:rsidR="002E68B9" w:rsidRPr="0076337A" w:rsidRDefault="002E68B9" w:rsidP="001142F8">
            <w:pPr>
              <w:jc w:val="center"/>
              <w:rPr>
                <w:rFonts w:ascii="Arial" w:hAnsi="Arial" w:cs="Arial"/>
                <w:sz w:val="20"/>
                <w:szCs w:val="20"/>
              </w:rPr>
            </w:pPr>
            <w:r w:rsidRPr="0076337A">
              <w:rPr>
                <w:rFonts w:ascii="Arial" w:hAnsi="Arial" w:cs="Arial"/>
                <w:sz w:val="20"/>
                <w:szCs w:val="20"/>
              </w:rPr>
              <w:t>High</w:t>
            </w:r>
          </w:p>
        </w:tc>
      </w:tr>
      <w:tr w:rsidR="002E68B9" w:rsidRPr="0076337A" w14:paraId="4C078F9D" w14:textId="77777777" w:rsidTr="001142F8">
        <w:trPr>
          <w:gridAfter w:val="1"/>
          <w:wAfter w:w="11" w:type="dxa"/>
          <w:trHeight w:val="438"/>
        </w:trPr>
        <w:tc>
          <w:tcPr>
            <w:tcW w:w="4320" w:type="dxa"/>
            <w:gridSpan w:val="2"/>
            <w:vAlign w:val="center"/>
          </w:tcPr>
          <w:p w14:paraId="7503D9B9" w14:textId="1872BF32" w:rsidR="002E68B9" w:rsidRPr="0076337A" w:rsidRDefault="002E68B9" w:rsidP="001142F8">
            <w:pPr>
              <w:widowControl w:val="0"/>
              <w:ind w:left="431"/>
              <w:rPr>
                <w:rFonts w:ascii="Arial" w:hAnsi="Arial" w:cs="Arial"/>
                <w:sz w:val="20"/>
                <w:szCs w:val="20"/>
              </w:rPr>
            </w:pPr>
            <w:r w:rsidRPr="0076337A">
              <w:rPr>
                <w:rFonts w:ascii="Arial" w:hAnsi="Arial"/>
                <w:sz w:val="20"/>
                <w:szCs w:val="20"/>
              </w:rPr>
              <w:t>Content Knowledge</w:t>
            </w:r>
          </w:p>
        </w:tc>
        <w:tc>
          <w:tcPr>
            <w:tcW w:w="862" w:type="dxa"/>
            <w:vAlign w:val="center"/>
          </w:tcPr>
          <w:p w14:paraId="2FC47250" w14:textId="59D974E3" w:rsidR="002E68B9" w:rsidRPr="0076337A" w:rsidRDefault="002E68B9" w:rsidP="001142F8">
            <w:pPr>
              <w:jc w:val="center"/>
              <w:rPr>
                <w:rFonts w:ascii="Arial" w:hAnsi="Arial" w:cs="Arial"/>
                <w:sz w:val="20"/>
                <w:szCs w:val="20"/>
              </w:rPr>
            </w:pPr>
            <w:r w:rsidRPr="0076337A">
              <w:rPr>
                <w:rFonts w:ascii="Arial" w:hAnsi="Arial"/>
                <w:sz w:val="20"/>
                <w:szCs w:val="20"/>
              </w:rPr>
              <w:t>1.05</w:t>
            </w:r>
          </w:p>
        </w:tc>
        <w:tc>
          <w:tcPr>
            <w:tcW w:w="1019" w:type="dxa"/>
            <w:gridSpan w:val="2"/>
            <w:vAlign w:val="center"/>
          </w:tcPr>
          <w:p w14:paraId="1E623451" w14:textId="1639108F" w:rsidR="002E68B9" w:rsidRPr="0076337A" w:rsidRDefault="002E68B9" w:rsidP="001142F8">
            <w:pPr>
              <w:jc w:val="center"/>
              <w:rPr>
                <w:rFonts w:ascii="Arial" w:hAnsi="Arial" w:cs="Arial"/>
                <w:sz w:val="20"/>
                <w:szCs w:val="20"/>
              </w:rPr>
            </w:pPr>
            <w:r w:rsidRPr="0076337A">
              <w:rPr>
                <w:rFonts w:ascii="Arial" w:hAnsi="Arial"/>
                <w:sz w:val="20"/>
                <w:szCs w:val="20"/>
              </w:rPr>
              <w:t>4.16</w:t>
            </w:r>
          </w:p>
        </w:tc>
        <w:tc>
          <w:tcPr>
            <w:tcW w:w="2245" w:type="dxa"/>
            <w:vAlign w:val="center"/>
          </w:tcPr>
          <w:p w14:paraId="387DC551" w14:textId="45EA1E96" w:rsidR="002E68B9" w:rsidRPr="0076337A" w:rsidRDefault="002E68B9" w:rsidP="001142F8">
            <w:pPr>
              <w:jc w:val="center"/>
              <w:rPr>
                <w:rFonts w:ascii="Arial" w:hAnsi="Arial" w:cs="Arial"/>
                <w:sz w:val="20"/>
                <w:szCs w:val="20"/>
              </w:rPr>
            </w:pPr>
            <w:r w:rsidRPr="0076337A">
              <w:rPr>
                <w:rFonts w:ascii="Arial" w:hAnsi="Arial" w:cs="Arial"/>
                <w:sz w:val="20"/>
                <w:szCs w:val="20"/>
              </w:rPr>
              <w:t>High</w:t>
            </w:r>
          </w:p>
        </w:tc>
      </w:tr>
      <w:tr w:rsidR="002E68B9" w:rsidRPr="0076337A" w14:paraId="5A3D4E46" w14:textId="77777777" w:rsidTr="002E68B9">
        <w:trPr>
          <w:trHeight w:val="413"/>
        </w:trPr>
        <w:tc>
          <w:tcPr>
            <w:tcW w:w="4278" w:type="dxa"/>
            <w:vAlign w:val="center"/>
          </w:tcPr>
          <w:p w14:paraId="591D560C" w14:textId="0A6B7B42" w:rsidR="002E68B9" w:rsidRPr="0076337A" w:rsidRDefault="002E68B9" w:rsidP="002E68B9">
            <w:pPr>
              <w:jc w:val="center"/>
              <w:rPr>
                <w:rFonts w:ascii="Arial" w:eastAsia="Calibri" w:hAnsi="Arial" w:cs="Arial"/>
                <w:b/>
                <w:sz w:val="20"/>
                <w:szCs w:val="20"/>
              </w:rPr>
            </w:pPr>
            <w:r w:rsidRPr="0076337A">
              <w:rPr>
                <w:rFonts w:ascii="Arial" w:eastAsiaTheme="minorHAnsi" w:hAnsi="Arial"/>
                <w:b/>
                <w:sz w:val="20"/>
                <w:szCs w:val="20"/>
              </w:rPr>
              <w:t>Overall</w:t>
            </w:r>
          </w:p>
        </w:tc>
        <w:tc>
          <w:tcPr>
            <w:tcW w:w="904" w:type="dxa"/>
            <w:gridSpan w:val="2"/>
            <w:vAlign w:val="center"/>
          </w:tcPr>
          <w:p w14:paraId="557AE64C" w14:textId="18B92FC8" w:rsidR="002E68B9" w:rsidRPr="0076337A" w:rsidRDefault="002E68B9" w:rsidP="002E68B9">
            <w:pPr>
              <w:jc w:val="center"/>
              <w:rPr>
                <w:rFonts w:ascii="Arial" w:hAnsi="Arial" w:cs="Arial"/>
                <w:b/>
                <w:bCs/>
                <w:sz w:val="20"/>
                <w:szCs w:val="20"/>
              </w:rPr>
            </w:pPr>
            <w:r w:rsidRPr="0076337A">
              <w:rPr>
                <w:rFonts w:ascii="Arial" w:hAnsi="Arial"/>
                <w:b/>
                <w:sz w:val="20"/>
                <w:szCs w:val="20"/>
              </w:rPr>
              <w:t>1.03</w:t>
            </w:r>
          </w:p>
        </w:tc>
        <w:tc>
          <w:tcPr>
            <w:tcW w:w="1000" w:type="dxa"/>
            <w:vAlign w:val="center"/>
          </w:tcPr>
          <w:p w14:paraId="66E1C693" w14:textId="049765F9" w:rsidR="002E68B9" w:rsidRPr="0076337A" w:rsidRDefault="002E68B9" w:rsidP="002E68B9">
            <w:pPr>
              <w:jc w:val="center"/>
              <w:rPr>
                <w:rFonts w:ascii="Arial" w:hAnsi="Arial" w:cs="Arial"/>
                <w:b/>
                <w:bCs/>
                <w:sz w:val="20"/>
                <w:szCs w:val="20"/>
              </w:rPr>
            </w:pPr>
            <w:r w:rsidRPr="0076337A">
              <w:rPr>
                <w:rFonts w:ascii="Arial" w:hAnsi="Arial"/>
                <w:b/>
                <w:sz w:val="20"/>
                <w:szCs w:val="20"/>
              </w:rPr>
              <w:t>4.15</w:t>
            </w:r>
          </w:p>
        </w:tc>
        <w:tc>
          <w:tcPr>
            <w:tcW w:w="2275" w:type="dxa"/>
            <w:gridSpan w:val="3"/>
            <w:vAlign w:val="center"/>
          </w:tcPr>
          <w:p w14:paraId="7E8BF4DA" w14:textId="08D96B3A" w:rsidR="002E68B9" w:rsidRPr="0076337A" w:rsidRDefault="002E68B9" w:rsidP="002E68B9">
            <w:pPr>
              <w:jc w:val="center"/>
              <w:rPr>
                <w:rFonts w:ascii="Arial" w:hAnsi="Arial" w:cs="Arial"/>
                <w:b/>
                <w:bCs/>
                <w:sz w:val="20"/>
                <w:szCs w:val="20"/>
              </w:rPr>
            </w:pPr>
            <w:r w:rsidRPr="0076337A">
              <w:rPr>
                <w:rFonts w:ascii="Arial" w:hAnsi="Arial" w:cs="Arial"/>
                <w:b/>
                <w:bCs/>
                <w:sz w:val="20"/>
                <w:szCs w:val="20"/>
              </w:rPr>
              <w:t>High</w:t>
            </w:r>
          </w:p>
        </w:tc>
      </w:tr>
    </w:tbl>
    <w:p w14:paraId="20CF6BE0" w14:textId="77777777" w:rsidR="00D453B9" w:rsidRPr="0076337A" w:rsidRDefault="00D453B9" w:rsidP="003248E3">
      <w:pPr>
        <w:jc w:val="both"/>
        <w:rPr>
          <w:rFonts w:ascii="Arial" w:hAnsi="Arial" w:cs="Arial"/>
          <w:sz w:val="20"/>
          <w:szCs w:val="20"/>
        </w:rPr>
      </w:pPr>
    </w:p>
    <w:p w14:paraId="629BA9EE" w14:textId="77777777" w:rsidR="00525B9D" w:rsidRPr="0076337A" w:rsidRDefault="00525B9D" w:rsidP="00525B9D">
      <w:pPr>
        <w:jc w:val="both"/>
        <w:rPr>
          <w:rFonts w:ascii="Arial" w:hAnsi="Arial" w:cs="Arial"/>
          <w:sz w:val="20"/>
          <w:szCs w:val="20"/>
        </w:rPr>
      </w:pPr>
      <w:r w:rsidRPr="0076337A">
        <w:rPr>
          <w:rFonts w:ascii="Arial" w:hAnsi="Arial" w:cs="Arial"/>
          <w:sz w:val="20"/>
          <w:szCs w:val="20"/>
        </w:rPr>
        <w:t>Presented in Table 1 is the summary of the indicators in the level of technological pedagogical content knowledge among public secondary school teachers, including technology knowledge, pedagogical knowledge, and content knowledge, based on the mean scores and standard deviations. The indicator content knowledge received the highest mean of 4.16, categorized as “high,” followed by pedagogical knowledge with a mean of 4.15. The indicator technology knowledge obtained a mean score of 4.13, also categorized as “high.” The overall mean of 4.15 is described as “high,” indicating that teachers generally demonstrate a strong level of technological pedagogical content knowledge.</w:t>
      </w:r>
    </w:p>
    <w:p w14:paraId="08D309F9" w14:textId="77777777" w:rsidR="00525B9D" w:rsidRPr="0076337A" w:rsidRDefault="00525B9D" w:rsidP="00525B9D">
      <w:pPr>
        <w:jc w:val="both"/>
        <w:rPr>
          <w:rFonts w:ascii="Arial" w:hAnsi="Arial" w:cs="Arial"/>
          <w:sz w:val="20"/>
          <w:szCs w:val="20"/>
        </w:rPr>
      </w:pPr>
    </w:p>
    <w:p w14:paraId="23324843" w14:textId="77777777" w:rsidR="00525B9D" w:rsidRPr="0076337A" w:rsidRDefault="00525B9D" w:rsidP="00525B9D">
      <w:pPr>
        <w:jc w:val="both"/>
        <w:rPr>
          <w:rFonts w:ascii="Arial" w:hAnsi="Arial" w:cs="Arial"/>
          <w:sz w:val="20"/>
          <w:szCs w:val="20"/>
        </w:rPr>
      </w:pPr>
      <w:r w:rsidRPr="0076337A">
        <w:rPr>
          <w:rFonts w:ascii="Arial" w:hAnsi="Arial" w:cs="Arial"/>
          <w:sz w:val="20"/>
          <w:szCs w:val="20"/>
        </w:rPr>
        <w:t>The overall standard deviation of 1.03 indicates that responses were relatively consistent across the indicators. This finding suggests that teachers tend to possess adequate command of content, pedagogy, and technology integration in the classroom. Enhancing these areas can improve instructional delivery, student engagement, and curriculum adaptability.</w:t>
      </w:r>
    </w:p>
    <w:p w14:paraId="5B0AEBA9" w14:textId="77777777" w:rsidR="00525B9D" w:rsidRPr="0076337A" w:rsidRDefault="00525B9D" w:rsidP="00525B9D">
      <w:pPr>
        <w:jc w:val="both"/>
        <w:rPr>
          <w:rFonts w:ascii="Arial" w:hAnsi="Arial" w:cs="Arial"/>
          <w:sz w:val="20"/>
          <w:szCs w:val="20"/>
        </w:rPr>
      </w:pPr>
    </w:p>
    <w:p w14:paraId="52E2B6BB" w14:textId="384DC99A" w:rsidR="00D00568" w:rsidRPr="0076337A" w:rsidRDefault="00525B9D" w:rsidP="00525B9D">
      <w:pPr>
        <w:jc w:val="both"/>
        <w:rPr>
          <w:rFonts w:ascii="Arial" w:hAnsi="Arial" w:cs="Arial"/>
          <w:sz w:val="20"/>
          <w:szCs w:val="20"/>
        </w:rPr>
      </w:pPr>
      <w:r w:rsidRPr="0076337A">
        <w:rPr>
          <w:rFonts w:ascii="Arial" w:hAnsi="Arial" w:cs="Arial"/>
          <w:sz w:val="20"/>
          <w:szCs w:val="20"/>
        </w:rPr>
        <w:t xml:space="preserve">This finding corresponds with the research of </w:t>
      </w:r>
      <w:r w:rsidR="007D42A0" w:rsidRPr="0076337A">
        <w:rPr>
          <w:rFonts w:ascii="Arial" w:hAnsi="Arial" w:cs="Arial"/>
          <w:sz w:val="20"/>
          <w:szCs w:val="20"/>
        </w:rPr>
        <w:t xml:space="preserve">Asad et al. </w:t>
      </w:r>
      <w:r w:rsidRPr="0076337A">
        <w:rPr>
          <w:rFonts w:ascii="Arial" w:hAnsi="Arial" w:cs="Arial"/>
          <w:sz w:val="20"/>
          <w:szCs w:val="20"/>
        </w:rPr>
        <w:t>(</w:t>
      </w:r>
      <w:r w:rsidR="007D42A0" w:rsidRPr="0076337A">
        <w:rPr>
          <w:rFonts w:ascii="Arial" w:hAnsi="Arial" w:cs="Arial"/>
          <w:sz w:val="20"/>
          <w:szCs w:val="20"/>
        </w:rPr>
        <w:t>2021</w:t>
      </w:r>
      <w:r w:rsidRPr="0076337A">
        <w:rPr>
          <w:rFonts w:ascii="Arial" w:hAnsi="Arial" w:cs="Arial"/>
          <w:sz w:val="20"/>
          <w:szCs w:val="20"/>
        </w:rPr>
        <w:t xml:space="preserve">), who emphasized that technological pedagogical content knowledge is foundational in preparing educators for 21st-century teaching environments. Their study found that when teachers effectively integrate content expertise with pedagogy and digital tools, it significantly enhances student outcomes. Similarly, the work of </w:t>
      </w:r>
      <w:r w:rsidR="003F51E6" w:rsidRPr="0076337A">
        <w:rPr>
          <w:rFonts w:ascii="Arial" w:hAnsi="Arial" w:cs="Arial"/>
          <w:sz w:val="20"/>
          <w:szCs w:val="20"/>
        </w:rPr>
        <w:t>Liesa-</w:t>
      </w:r>
      <w:proofErr w:type="spellStart"/>
      <w:r w:rsidR="003F51E6" w:rsidRPr="0076337A">
        <w:rPr>
          <w:rFonts w:ascii="Arial" w:hAnsi="Arial" w:cs="Arial"/>
          <w:sz w:val="20"/>
          <w:szCs w:val="20"/>
        </w:rPr>
        <w:t>Orús</w:t>
      </w:r>
      <w:proofErr w:type="spellEnd"/>
      <w:r w:rsidR="003F51E6" w:rsidRPr="0076337A">
        <w:rPr>
          <w:rFonts w:ascii="Arial" w:hAnsi="Arial" w:cs="Arial"/>
          <w:sz w:val="20"/>
          <w:szCs w:val="20"/>
        </w:rPr>
        <w:t xml:space="preserve"> </w:t>
      </w:r>
      <w:r w:rsidRPr="0076337A">
        <w:rPr>
          <w:rFonts w:ascii="Arial" w:hAnsi="Arial" w:cs="Arial"/>
          <w:sz w:val="20"/>
          <w:szCs w:val="20"/>
        </w:rPr>
        <w:t>et al. (</w:t>
      </w:r>
      <w:r w:rsidR="003F51E6" w:rsidRPr="0076337A">
        <w:rPr>
          <w:rFonts w:ascii="Arial" w:hAnsi="Arial" w:cs="Arial"/>
          <w:sz w:val="20"/>
          <w:szCs w:val="20"/>
        </w:rPr>
        <w:t>2020</w:t>
      </w:r>
      <w:r w:rsidRPr="0076337A">
        <w:rPr>
          <w:rFonts w:ascii="Arial" w:hAnsi="Arial" w:cs="Arial"/>
          <w:sz w:val="20"/>
          <w:szCs w:val="20"/>
        </w:rPr>
        <w:t xml:space="preserve">) revealed that teachers with strong TPACK are better equipped to implement learner-centered strategies and innovative instruction. Additionally, </w:t>
      </w:r>
      <w:r w:rsidR="008B64AB" w:rsidRPr="0076337A">
        <w:rPr>
          <w:rFonts w:ascii="Arial" w:hAnsi="Arial" w:cs="Arial"/>
          <w:sz w:val="20"/>
          <w:szCs w:val="20"/>
        </w:rPr>
        <w:t xml:space="preserve">Wu et al. </w:t>
      </w:r>
      <w:r w:rsidRPr="0076337A">
        <w:rPr>
          <w:rFonts w:ascii="Arial" w:hAnsi="Arial" w:cs="Arial"/>
          <w:sz w:val="20"/>
          <w:szCs w:val="20"/>
        </w:rPr>
        <w:t>(2023) concluded that sustained TPACK development through training programs supports teachers in navigating changing instructional demands and technologies.</w:t>
      </w:r>
    </w:p>
    <w:p w14:paraId="68D2CDDA" w14:textId="2D16CF51" w:rsidR="005923EA" w:rsidRPr="0076337A" w:rsidRDefault="005923EA">
      <w:pPr>
        <w:jc w:val="both"/>
        <w:rPr>
          <w:rFonts w:ascii="Arial" w:hAnsi="Arial" w:cs="Arial"/>
          <w:b/>
          <w:sz w:val="20"/>
          <w:szCs w:val="20"/>
        </w:rPr>
      </w:pPr>
    </w:p>
    <w:p w14:paraId="49153FC3" w14:textId="6CCDFD7C" w:rsidR="00E16D4E" w:rsidRPr="0076337A" w:rsidRDefault="00180859" w:rsidP="0080567F">
      <w:pPr>
        <w:rPr>
          <w:rFonts w:ascii="Arial" w:hAnsi="Arial" w:cs="Arial"/>
          <w:b/>
          <w:sz w:val="20"/>
          <w:szCs w:val="20"/>
        </w:rPr>
      </w:pPr>
      <w:r w:rsidRPr="0076337A">
        <w:rPr>
          <w:rFonts w:ascii="Arial" w:hAnsi="Arial" w:cs="Arial"/>
          <w:b/>
          <w:sz w:val="20"/>
          <w:szCs w:val="20"/>
        </w:rPr>
        <w:t xml:space="preserve">3.2 </w:t>
      </w:r>
      <w:r w:rsidR="0080567F" w:rsidRPr="0076337A">
        <w:rPr>
          <w:rFonts w:ascii="Arial" w:hAnsi="Arial" w:cs="Arial"/>
          <w:b/>
          <w:sz w:val="20"/>
          <w:szCs w:val="20"/>
        </w:rPr>
        <w:t>Level of Reflective Teaching Practices among Public Secondary School Teachers</w:t>
      </w:r>
    </w:p>
    <w:p w14:paraId="1155E593" w14:textId="77777777" w:rsidR="0080567F" w:rsidRPr="0076337A" w:rsidRDefault="0080567F" w:rsidP="0080567F">
      <w:pPr>
        <w:rPr>
          <w:rFonts w:ascii="Arial" w:hAnsi="Arial" w:cs="Arial"/>
          <w:b/>
          <w:sz w:val="20"/>
          <w:szCs w:val="20"/>
        </w:rPr>
      </w:pPr>
    </w:p>
    <w:p w14:paraId="2745F126" w14:textId="3ED992E7" w:rsidR="00781D5E" w:rsidRPr="0076337A" w:rsidRDefault="00180859">
      <w:pPr>
        <w:jc w:val="both"/>
        <w:rPr>
          <w:rFonts w:ascii="Arial" w:hAnsi="Arial" w:cs="Arial"/>
          <w:i/>
          <w:sz w:val="20"/>
          <w:szCs w:val="20"/>
        </w:rPr>
      </w:pPr>
      <w:r w:rsidRPr="0076337A">
        <w:rPr>
          <w:rFonts w:ascii="Arial" w:hAnsi="Arial" w:cs="Arial"/>
          <w:iCs/>
          <w:sz w:val="20"/>
          <w:szCs w:val="20"/>
        </w:rPr>
        <w:t>Table 2</w:t>
      </w:r>
      <w:r w:rsidR="00781D5E" w:rsidRPr="0076337A">
        <w:rPr>
          <w:rFonts w:ascii="Arial" w:hAnsi="Arial" w:cs="Arial"/>
          <w:iCs/>
          <w:sz w:val="20"/>
          <w:szCs w:val="20"/>
        </w:rPr>
        <w:t>.</w:t>
      </w:r>
      <w:r w:rsidRPr="0076337A">
        <w:rPr>
          <w:rFonts w:ascii="Arial" w:hAnsi="Arial" w:cs="Arial"/>
          <w:iCs/>
          <w:sz w:val="20"/>
          <w:szCs w:val="20"/>
        </w:rPr>
        <w:t xml:space="preserve"> </w:t>
      </w:r>
      <w:r w:rsidR="0080567F" w:rsidRPr="0076337A">
        <w:rPr>
          <w:rFonts w:ascii="Arial" w:hAnsi="Arial" w:cs="Arial"/>
          <w:i/>
          <w:sz w:val="20"/>
          <w:szCs w:val="20"/>
        </w:rPr>
        <w:t>Level of Reflective Teaching Practices among Public Secondary School Teachers</w:t>
      </w:r>
    </w:p>
    <w:p w14:paraId="58C71F5A" w14:textId="4C7965E3" w:rsidR="00A574C3" w:rsidRPr="0076337A"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76337A"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76337A" w:rsidRDefault="00D815DA" w:rsidP="00C8398D">
            <w:pPr>
              <w:jc w:val="center"/>
              <w:rPr>
                <w:rFonts w:ascii="Arial" w:hAnsi="Arial"/>
                <w:b/>
                <w:sz w:val="20"/>
                <w:szCs w:val="20"/>
              </w:rPr>
            </w:pPr>
            <w:r w:rsidRPr="0076337A">
              <w:rPr>
                <w:rFonts w:ascii="Arial" w:hAnsi="Arial"/>
                <w:b/>
                <w:sz w:val="20"/>
                <w:szCs w:val="20"/>
              </w:rPr>
              <w:t>Domains</w:t>
            </w:r>
          </w:p>
        </w:tc>
        <w:tc>
          <w:tcPr>
            <w:tcW w:w="869" w:type="dxa"/>
            <w:tcBorders>
              <w:bottom w:val="single" w:sz="4" w:space="0" w:color="auto"/>
            </w:tcBorders>
          </w:tcPr>
          <w:p w14:paraId="397A68C1" w14:textId="77777777" w:rsidR="00D815DA" w:rsidRPr="0076337A" w:rsidRDefault="00D815DA" w:rsidP="00C8398D">
            <w:pPr>
              <w:jc w:val="center"/>
              <w:rPr>
                <w:rFonts w:ascii="Arial" w:hAnsi="Arial"/>
                <w:b/>
                <w:sz w:val="20"/>
                <w:szCs w:val="20"/>
              </w:rPr>
            </w:pPr>
            <w:r w:rsidRPr="0076337A">
              <w:rPr>
                <w:rFonts w:ascii="Arial" w:hAnsi="Arial"/>
                <w:b/>
                <w:sz w:val="20"/>
                <w:szCs w:val="20"/>
              </w:rPr>
              <w:t>SD</w:t>
            </w:r>
          </w:p>
        </w:tc>
        <w:tc>
          <w:tcPr>
            <w:tcW w:w="1027" w:type="dxa"/>
            <w:gridSpan w:val="2"/>
            <w:tcBorders>
              <w:bottom w:val="single" w:sz="4" w:space="0" w:color="auto"/>
            </w:tcBorders>
          </w:tcPr>
          <w:p w14:paraId="28119226" w14:textId="77777777" w:rsidR="00D815DA" w:rsidRPr="0076337A" w:rsidRDefault="00D815DA" w:rsidP="00C8398D">
            <w:pPr>
              <w:jc w:val="center"/>
              <w:rPr>
                <w:rFonts w:ascii="Arial" w:hAnsi="Arial"/>
                <w:b/>
                <w:sz w:val="20"/>
                <w:szCs w:val="20"/>
              </w:rPr>
            </w:pPr>
            <w:r w:rsidRPr="0076337A">
              <w:rPr>
                <w:rFonts w:ascii="Arial" w:hAnsi="Arial"/>
                <w:b/>
                <w:sz w:val="20"/>
                <w:szCs w:val="20"/>
              </w:rPr>
              <w:t>Mean</w:t>
            </w:r>
          </w:p>
        </w:tc>
        <w:tc>
          <w:tcPr>
            <w:tcW w:w="2263" w:type="dxa"/>
            <w:tcBorders>
              <w:bottom w:val="single" w:sz="4" w:space="0" w:color="auto"/>
            </w:tcBorders>
          </w:tcPr>
          <w:p w14:paraId="45209412" w14:textId="77777777" w:rsidR="00D815DA" w:rsidRPr="0076337A" w:rsidRDefault="00D815DA" w:rsidP="00C8398D">
            <w:pPr>
              <w:jc w:val="center"/>
              <w:rPr>
                <w:rFonts w:ascii="Arial" w:hAnsi="Arial"/>
                <w:b/>
                <w:sz w:val="20"/>
                <w:szCs w:val="20"/>
              </w:rPr>
            </w:pPr>
            <w:r w:rsidRPr="0076337A">
              <w:rPr>
                <w:rFonts w:ascii="Arial" w:hAnsi="Arial"/>
                <w:b/>
                <w:sz w:val="20"/>
                <w:szCs w:val="20"/>
              </w:rPr>
              <w:t>Descriptive Level</w:t>
            </w:r>
          </w:p>
        </w:tc>
      </w:tr>
      <w:tr w:rsidR="00C728A3" w:rsidRPr="0076337A" w14:paraId="75E63BE0" w14:textId="77777777" w:rsidTr="000E03B8">
        <w:trPr>
          <w:gridAfter w:val="1"/>
          <w:wAfter w:w="12" w:type="dxa"/>
          <w:trHeight w:val="415"/>
        </w:trPr>
        <w:tc>
          <w:tcPr>
            <w:tcW w:w="4354" w:type="dxa"/>
            <w:gridSpan w:val="2"/>
            <w:tcBorders>
              <w:top w:val="single" w:sz="4" w:space="0" w:color="auto"/>
            </w:tcBorders>
            <w:vAlign w:val="center"/>
          </w:tcPr>
          <w:p w14:paraId="7E392CB8" w14:textId="5D2EAE38" w:rsidR="00C728A3" w:rsidRPr="0076337A" w:rsidRDefault="00C728A3" w:rsidP="00C728A3">
            <w:pPr>
              <w:widowControl w:val="0"/>
              <w:ind w:firstLine="341"/>
              <w:rPr>
                <w:rFonts w:ascii="Arial" w:hAnsi="Arial" w:cs="Arial"/>
                <w:sz w:val="20"/>
                <w:szCs w:val="20"/>
              </w:rPr>
            </w:pPr>
            <w:r w:rsidRPr="00DA0EED">
              <w:rPr>
                <w:rFonts w:ascii="Arial" w:hAnsi="Arial" w:cs="Arial"/>
                <w:sz w:val="20"/>
                <w:szCs w:val="20"/>
              </w:rPr>
              <w:t>Surface Reflection</w:t>
            </w:r>
          </w:p>
        </w:tc>
        <w:tc>
          <w:tcPr>
            <w:tcW w:w="869" w:type="dxa"/>
            <w:tcBorders>
              <w:top w:val="single" w:sz="4" w:space="0" w:color="auto"/>
            </w:tcBorders>
            <w:vAlign w:val="center"/>
          </w:tcPr>
          <w:p w14:paraId="72757B90" w14:textId="0B0AC187" w:rsidR="00C728A3" w:rsidRPr="0076337A" w:rsidRDefault="00C728A3" w:rsidP="00C728A3">
            <w:pPr>
              <w:jc w:val="center"/>
              <w:rPr>
                <w:rFonts w:ascii="Arial" w:hAnsi="Arial" w:cs="Arial"/>
                <w:sz w:val="20"/>
                <w:szCs w:val="20"/>
              </w:rPr>
            </w:pPr>
            <w:r w:rsidRPr="00DA0EED">
              <w:rPr>
                <w:rFonts w:ascii="Arial" w:hAnsi="Arial" w:cs="Arial"/>
                <w:sz w:val="20"/>
                <w:szCs w:val="20"/>
              </w:rPr>
              <w:t>1.02</w:t>
            </w:r>
          </w:p>
        </w:tc>
        <w:tc>
          <w:tcPr>
            <w:tcW w:w="1027" w:type="dxa"/>
            <w:gridSpan w:val="2"/>
            <w:tcBorders>
              <w:top w:val="single" w:sz="4" w:space="0" w:color="auto"/>
            </w:tcBorders>
            <w:vAlign w:val="center"/>
          </w:tcPr>
          <w:p w14:paraId="201232BC" w14:textId="723D574C" w:rsidR="00C728A3" w:rsidRPr="0076337A" w:rsidRDefault="00C728A3" w:rsidP="00C728A3">
            <w:pPr>
              <w:jc w:val="center"/>
              <w:rPr>
                <w:rFonts w:ascii="Arial" w:hAnsi="Arial" w:cs="Arial"/>
                <w:sz w:val="20"/>
                <w:szCs w:val="20"/>
              </w:rPr>
            </w:pPr>
            <w:r w:rsidRPr="00DA0EED">
              <w:rPr>
                <w:rFonts w:ascii="Arial" w:hAnsi="Arial" w:cs="Arial"/>
                <w:sz w:val="20"/>
                <w:szCs w:val="20"/>
              </w:rPr>
              <w:t>4.14</w:t>
            </w:r>
          </w:p>
        </w:tc>
        <w:tc>
          <w:tcPr>
            <w:tcW w:w="2263" w:type="dxa"/>
            <w:tcBorders>
              <w:top w:val="single" w:sz="4" w:space="0" w:color="auto"/>
            </w:tcBorders>
            <w:vAlign w:val="center"/>
          </w:tcPr>
          <w:p w14:paraId="75310DAA" w14:textId="772C7726" w:rsidR="00C728A3" w:rsidRPr="0076337A" w:rsidRDefault="00C728A3" w:rsidP="00C728A3">
            <w:pPr>
              <w:jc w:val="center"/>
              <w:rPr>
                <w:rFonts w:ascii="Arial" w:hAnsi="Arial" w:cs="Arial"/>
                <w:sz w:val="20"/>
                <w:szCs w:val="20"/>
              </w:rPr>
            </w:pPr>
            <w:r w:rsidRPr="00DA0EED">
              <w:rPr>
                <w:rFonts w:ascii="Arial" w:hAnsi="Arial" w:cs="Arial"/>
                <w:sz w:val="20"/>
                <w:szCs w:val="20"/>
              </w:rPr>
              <w:t>High</w:t>
            </w:r>
          </w:p>
        </w:tc>
      </w:tr>
      <w:tr w:rsidR="00C728A3" w:rsidRPr="0076337A" w14:paraId="72DBC142" w14:textId="77777777" w:rsidTr="000E03B8">
        <w:trPr>
          <w:gridAfter w:val="1"/>
          <w:wAfter w:w="12" w:type="dxa"/>
          <w:trHeight w:val="406"/>
        </w:trPr>
        <w:tc>
          <w:tcPr>
            <w:tcW w:w="4354" w:type="dxa"/>
            <w:gridSpan w:val="2"/>
            <w:vAlign w:val="center"/>
          </w:tcPr>
          <w:p w14:paraId="652365C3" w14:textId="6672929D" w:rsidR="00C728A3" w:rsidRPr="0076337A" w:rsidRDefault="00C728A3" w:rsidP="00C728A3">
            <w:pPr>
              <w:widowControl w:val="0"/>
              <w:ind w:firstLine="341"/>
              <w:rPr>
                <w:rFonts w:ascii="Arial" w:hAnsi="Arial" w:cs="Arial"/>
                <w:sz w:val="20"/>
                <w:szCs w:val="20"/>
              </w:rPr>
            </w:pPr>
            <w:r w:rsidRPr="00DA0EED">
              <w:rPr>
                <w:rFonts w:ascii="Arial" w:hAnsi="Arial" w:cs="Arial"/>
                <w:sz w:val="20"/>
                <w:szCs w:val="20"/>
              </w:rPr>
              <w:t>Pedagogical Reflection</w:t>
            </w:r>
          </w:p>
        </w:tc>
        <w:tc>
          <w:tcPr>
            <w:tcW w:w="869" w:type="dxa"/>
            <w:vAlign w:val="center"/>
          </w:tcPr>
          <w:p w14:paraId="1A03CACD" w14:textId="517AE403" w:rsidR="00C728A3" w:rsidRPr="0076337A" w:rsidRDefault="00C728A3" w:rsidP="00C728A3">
            <w:pPr>
              <w:jc w:val="center"/>
              <w:rPr>
                <w:rFonts w:ascii="Arial" w:hAnsi="Arial" w:cs="Arial"/>
                <w:sz w:val="20"/>
                <w:szCs w:val="20"/>
              </w:rPr>
            </w:pPr>
            <w:r w:rsidRPr="00DA0EED">
              <w:rPr>
                <w:rFonts w:ascii="Arial" w:hAnsi="Arial" w:cs="Arial"/>
                <w:sz w:val="20"/>
                <w:szCs w:val="20"/>
              </w:rPr>
              <w:t>1.05</w:t>
            </w:r>
          </w:p>
        </w:tc>
        <w:tc>
          <w:tcPr>
            <w:tcW w:w="1027" w:type="dxa"/>
            <w:gridSpan w:val="2"/>
            <w:vAlign w:val="center"/>
          </w:tcPr>
          <w:p w14:paraId="1E87CF99" w14:textId="38DBD399" w:rsidR="00C728A3" w:rsidRPr="0076337A" w:rsidRDefault="00C728A3" w:rsidP="00C728A3">
            <w:pPr>
              <w:jc w:val="center"/>
              <w:rPr>
                <w:rFonts w:ascii="Arial" w:hAnsi="Arial" w:cs="Arial"/>
                <w:sz w:val="20"/>
                <w:szCs w:val="20"/>
              </w:rPr>
            </w:pPr>
            <w:r w:rsidRPr="00DA0EED">
              <w:rPr>
                <w:rFonts w:ascii="Arial" w:hAnsi="Arial" w:cs="Arial"/>
                <w:sz w:val="20"/>
                <w:szCs w:val="20"/>
              </w:rPr>
              <w:t>4.19</w:t>
            </w:r>
          </w:p>
        </w:tc>
        <w:tc>
          <w:tcPr>
            <w:tcW w:w="2263" w:type="dxa"/>
            <w:vAlign w:val="center"/>
          </w:tcPr>
          <w:p w14:paraId="5B33F21A" w14:textId="22707DA2" w:rsidR="00C728A3" w:rsidRPr="0076337A" w:rsidRDefault="00C728A3" w:rsidP="00C728A3">
            <w:pPr>
              <w:jc w:val="center"/>
              <w:rPr>
                <w:rFonts w:ascii="Arial" w:hAnsi="Arial" w:cs="Arial"/>
                <w:sz w:val="20"/>
                <w:szCs w:val="20"/>
              </w:rPr>
            </w:pPr>
            <w:r w:rsidRPr="00DA0EED">
              <w:rPr>
                <w:rFonts w:ascii="Arial" w:hAnsi="Arial" w:cs="Arial"/>
                <w:sz w:val="20"/>
                <w:szCs w:val="20"/>
              </w:rPr>
              <w:t>High</w:t>
            </w:r>
          </w:p>
        </w:tc>
      </w:tr>
      <w:tr w:rsidR="00C728A3" w:rsidRPr="0076337A" w14:paraId="28BCBF44" w14:textId="77777777" w:rsidTr="000E03B8">
        <w:trPr>
          <w:gridAfter w:val="1"/>
          <w:wAfter w:w="12" w:type="dxa"/>
          <w:trHeight w:val="416"/>
        </w:trPr>
        <w:tc>
          <w:tcPr>
            <w:tcW w:w="4354" w:type="dxa"/>
            <w:gridSpan w:val="2"/>
            <w:vAlign w:val="center"/>
          </w:tcPr>
          <w:p w14:paraId="663D10BD" w14:textId="518C792A" w:rsidR="00C728A3" w:rsidRPr="0076337A" w:rsidRDefault="00C728A3" w:rsidP="00C728A3">
            <w:pPr>
              <w:widowControl w:val="0"/>
              <w:ind w:firstLine="341"/>
              <w:rPr>
                <w:rFonts w:ascii="Arial" w:hAnsi="Arial" w:cs="Arial"/>
                <w:sz w:val="20"/>
                <w:szCs w:val="20"/>
              </w:rPr>
            </w:pPr>
            <w:r w:rsidRPr="00DA0EED">
              <w:rPr>
                <w:rFonts w:ascii="Arial" w:hAnsi="Arial" w:cs="Arial"/>
                <w:sz w:val="20"/>
                <w:szCs w:val="20"/>
              </w:rPr>
              <w:t>Critical Reflection</w:t>
            </w:r>
          </w:p>
        </w:tc>
        <w:tc>
          <w:tcPr>
            <w:tcW w:w="869" w:type="dxa"/>
            <w:vAlign w:val="center"/>
          </w:tcPr>
          <w:p w14:paraId="4FB81BF8" w14:textId="4E78E7DB" w:rsidR="00C728A3" w:rsidRPr="0076337A" w:rsidRDefault="00C728A3" w:rsidP="00C728A3">
            <w:pPr>
              <w:jc w:val="center"/>
              <w:rPr>
                <w:rFonts w:ascii="Arial" w:hAnsi="Arial" w:cs="Arial"/>
                <w:sz w:val="20"/>
                <w:szCs w:val="20"/>
              </w:rPr>
            </w:pPr>
            <w:r w:rsidRPr="00DA0EED">
              <w:rPr>
                <w:rFonts w:ascii="Arial" w:hAnsi="Arial" w:cs="Arial"/>
                <w:sz w:val="20"/>
                <w:szCs w:val="20"/>
              </w:rPr>
              <w:t>1.04</w:t>
            </w:r>
          </w:p>
        </w:tc>
        <w:tc>
          <w:tcPr>
            <w:tcW w:w="1027" w:type="dxa"/>
            <w:gridSpan w:val="2"/>
            <w:vAlign w:val="center"/>
          </w:tcPr>
          <w:p w14:paraId="6515D5DA" w14:textId="78827043" w:rsidR="00C728A3" w:rsidRPr="0076337A" w:rsidRDefault="00C728A3" w:rsidP="00C728A3">
            <w:pPr>
              <w:jc w:val="center"/>
              <w:rPr>
                <w:rFonts w:ascii="Arial" w:hAnsi="Arial" w:cs="Arial"/>
                <w:sz w:val="20"/>
                <w:szCs w:val="20"/>
              </w:rPr>
            </w:pPr>
            <w:r w:rsidRPr="00DA0EED">
              <w:rPr>
                <w:rFonts w:ascii="Arial" w:hAnsi="Arial" w:cs="Arial"/>
                <w:sz w:val="20"/>
                <w:szCs w:val="20"/>
              </w:rPr>
              <w:t>4.19</w:t>
            </w:r>
          </w:p>
        </w:tc>
        <w:tc>
          <w:tcPr>
            <w:tcW w:w="2263" w:type="dxa"/>
            <w:vAlign w:val="center"/>
          </w:tcPr>
          <w:p w14:paraId="11BA0775" w14:textId="566FD6C3" w:rsidR="00C728A3" w:rsidRPr="0076337A" w:rsidRDefault="00C728A3" w:rsidP="00C728A3">
            <w:pPr>
              <w:jc w:val="center"/>
              <w:rPr>
                <w:rFonts w:ascii="Arial" w:hAnsi="Arial" w:cs="Arial"/>
                <w:sz w:val="20"/>
                <w:szCs w:val="20"/>
              </w:rPr>
            </w:pPr>
            <w:r w:rsidRPr="00DA0EED">
              <w:rPr>
                <w:rFonts w:ascii="Arial" w:hAnsi="Arial" w:cs="Arial"/>
                <w:sz w:val="20"/>
                <w:szCs w:val="20"/>
              </w:rPr>
              <w:t>High</w:t>
            </w:r>
          </w:p>
        </w:tc>
      </w:tr>
      <w:tr w:rsidR="00C728A3" w:rsidRPr="0076337A" w14:paraId="6B4267CB" w14:textId="77777777" w:rsidTr="000E03B8">
        <w:trPr>
          <w:trHeight w:val="305"/>
        </w:trPr>
        <w:tc>
          <w:tcPr>
            <w:tcW w:w="4312" w:type="dxa"/>
            <w:vAlign w:val="center"/>
          </w:tcPr>
          <w:p w14:paraId="6C024A2C" w14:textId="53E7F25A" w:rsidR="00C728A3" w:rsidRPr="0076337A" w:rsidRDefault="00C728A3" w:rsidP="00C728A3">
            <w:pPr>
              <w:jc w:val="center"/>
              <w:rPr>
                <w:rFonts w:ascii="Arial" w:eastAsia="Calibri" w:hAnsi="Arial" w:cs="Arial"/>
                <w:b/>
                <w:bCs/>
                <w:sz w:val="20"/>
                <w:szCs w:val="20"/>
              </w:rPr>
            </w:pPr>
            <w:r w:rsidRPr="00DA0EED">
              <w:rPr>
                <w:rFonts w:ascii="Arial" w:hAnsi="Arial" w:cs="Arial"/>
                <w:b/>
                <w:bCs/>
                <w:sz w:val="20"/>
                <w:szCs w:val="20"/>
              </w:rPr>
              <w:lastRenderedPageBreak/>
              <w:t>Overall</w:t>
            </w:r>
          </w:p>
        </w:tc>
        <w:tc>
          <w:tcPr>
            <w:tcW w:w="911" w:type="dxa"/>
            <w:gridSpan w:val="2"/>
            <w:vAlign w:val="center"/>
          </w:tcPr>
          <w:p w14:paraId="2EE47C36" w14:textId="0B00E524" w:rsidR="00C728A3" w:rsidRPr="0076337A" w:rsidRDefault="00C728A3" w:rsidP="00C728A3">
            <w:pPr>
              <w:jc w:val="center"/>
              <w:rPr>
                <w:rFonts w:ascii="Arial" w:hAnsi="Arial" w:cs="Arial"/>
                <w:b/>
                <w:bCs/>
                <w:sz w:val="20"/>
                <w:szCs w:val="20"/>
              </w:rPr>
            </w:pPr>
            <w:r w:rsidRPr="00DA0EED">
              <w:rPr>
                <w:rFonts w:ascii="Arial" w:hAnsi="Arial" w:cs="Arial"/>
                <w:sz w:val="20"/>
                <w:szCs w:val="20"/>
              </w:rPr>
              <w:t>1.00</w:t>
            </w:r>
          </w:p>
        </w:tc>
        <w:tc>
          <w:tcPr>
            <w:tcW w:w="1008" w:type="dxa"/>
            <w:vAlign w:val="center"/>
          </w:tcPr>
          <w:p w14:paraId="0E7DF1C5" w14:textId="48BEB61C" w:rsidR="00C728A3" w:rsidRPr="0076337A" w:rsidRDefault="00C728A3" w:rsidP="00C728A3">
            <w:pPr>
              <w:jc w:val="center"/>
              <w:rPr>
                <w:rFonts w:ascii="Arial" w:hAnsi="Arial" w:cs="Arial"/>
                <w:b/>
                <w:bCs/>
                <w:sz w:val="20"/>
                <w:szCs w:val="20"/>
              </w:rPr>
            </w:pPr>
            <w:r w:rsidRPr="00DA0EED">
              <w:rPr>
                <w:rFonts w:ascii="Arial" w:hAnsi="Arial" w:cs="Arial"/>
                <w:sz w:val="20"/>
                <w:szCs w:val="20"/>
              </w:rPr>
              <w:t>4.17</w:t>
            </w:r>
          </w:p>
        </w:tc>
        <w:tc>
          <w:tcPr>
            <w:tcW w:w="2294" w:type="dxa"/>
            <w:gridSpan w:val="3"/>
            <w:vAlign w:val="center"/>
          </w:tcPr>
          <w:p w14:paraId="10B0D75B" w14:textId="2D665826" w:rsidR="00C728A3" w:rsidRPr="0076337A" w:rsidRDefault="00C728A3" w:rsidP="00C728A3">
            <w:pPr>
              <w:jc w:val="center"/>
              <w:rPr>
                <w:rFonts w:ascii="Arial" w:hAnsi="Arial" w:cs="Arial"/>
                <w:b/>
                <w:bCs/>
                <w:sz w:val="20"/>
                <w:szCs w:val="20"/>
              </w:rPr>
            </w:pPr>
            <w:r w:rsidRPr="00DA0EED">
              <w:rPr>
                <w:rFonts w:ascii="Arial" w:hAnsi="Arial" w:cs="Arial"/>
                <w:b/>
                <w:bCs/>
                <w:sz w:val="20"/>
                <w:szCs w:val="20"/>
              </w:rPr>
              <w:t>High</w:t>
            </w:r>
          </w:p>
        </w:tc>
      </w:tr>
    </w:tbl>
    <w:p w14:paraId="684686C3" w14:textId="77777777" w:rsidR="00A574C3" w:rsidRPr="0076337A" w:rsidRDefault="00A574C3">
      <w:pPr>
        <w:jc w:val="both"/>
        <w:rPr>
          <w:rFonts w:ascii="Arial" w:hAnsi="Arial" w:cs="Arial"/>
          <w:b/>
          <w:iCs/>
          <w:sz w:val="20"/>
          <w:szCs w:val="20"/>
        </w:rPr>
      </w:pPr>
    </w:p>
    <w:p w14:paraId="21ED3F61" w14:textId="47C96E25" w:rsidR="0073677C" w:rsidRPr="0076337A" w:rsidRDefault="0073677C" w:rsidP="0073677C">
      <w:pPr>
        <w:jc w:val="both"/>
        <w:rPr>
          <w:rFonts w:ascii="Arial" w:hAnsi="Arial" w:cs="Arial"/>
          <w:sz w:val="20"/>
          <w:szCs w:val="20"/>
        </w:rPr>
      </w:pPr>
    </w:p>
    <w:p w14:paraId="6C198944" w14:textId="77777777" w:rsidR="0009184C" w:rsidRPr="0076337A" w:rsidRDefault="0009184C" w:rsidP="0009184C">
      <w:pPr>
        <w:jc w:val="both"/>
        <w:rPr>
          <w:rFonts w:ascii="Arial" w:hAnsi="Arial" w:cs="Arial"/>
          <w:sz w:val="20"/>
          <w:szCs w:val="20"/>
        </w:rPr>
      </w:pPr>
      <w:r w:rsidRPr="0076337A">
        <w:rPr>
          <w:rFonts w:ascii="Arial" w:hAnsi="Arial" w:cs="Arial"/>
          <w:sz w:val="20"/>
          <w:szCs w:val="20"/>
        </w:rPr>
        <w:t>Presented in Table 2 is the summary of the indicators in the level of reflective teaching practices among public secondary school teachers, including surface reflection, pedagogical reflection, and critical reflection, based on the mean scores and standard deviations. The indicators pedagogical reflection and critical reflection received the highest mean of 4.19, categorized as “high,” followed by surface reflection with a mean of 4.14. The overall mean of 4.17 is described as “high,” indicating that teachers generally demonstrate a strong level of reflective teaching practices.</w:t>
      </w:r>
    </w:p>
    <w:p w14:paraId="2AB3D3E4" w14:textId="77777777" w:rsidR="0009184C" w:rsidRPr="0076337A" w:rsidRDefault="0009184C" w:rsidP="0009184C">
      <w:pPr>
        <w:jc w:val="both"/>
        <w:rPr>
          <w:rFonts w:ascii="Arial" w:hAnsi="Arial" w:cs="Arial"/>
          <w:sz w:val="20"/>
          <w:szCs w:val="20"/>
        </w:rPr>
      </w:pPr>
    </w:p>
    <w:p w14:paraId="4FD491BE" w14:textId="77777777" w:rsidR="0009184C" w:rsidRPr="0076337A" w:rsidRDefault="0009184C" w:rsidP="0009184C">
      <w:pPr>
        <w:jc w:val="both"/>
        <w:rPr>
          <w:rFonts w:ascii="Arial" w:hAnsi="Arial" w:cs="Arial"/>
          <w:sz w:val="20"/>
          <w:szCs w:val="20"/>
        </w:rPr>
      </w:pPr>
      <w:r w:rsidRPr="0076337A">
        <w:rPr>
          <w:rFonts w:ascii="Arial" w:hAnsi="Arial" w:cs="Arial"/>
          <w:sz w:val="20"/>
          <w:szCs w:val="20"/>
        </w:rPr>
        <w:t>The overall standard deviation of 1.00 indicates that responses were relatively consistent across the indicators. This finding suggests that teachers engage in continuous self-assessment, analysis of teaching strategies, and thoughtful evaluation of student responses. Enhancing these areas can promote instructional refinement, personal growth, and responsiveness to learner diversity.</w:t>
      </w:r>
    </w:p>
    <w:p w14:paraId="28E7FD8B" w14:textId="77777777" w:rsidR="0009184C" w:rsidRPr="0076337A" w:rsidRDefault="0009184C" w:rsidP="0009184C">
      <w:pPr>
        <w:jc w:val="both"/>
        <w:rPr>
          <w:rFonts w:ascii="Arial" w:hAnsi="Arial" w:cs="Arial"/>
          <w:sz w:val="20"/>
          <w:szCs w:val="20"/>
        </w:rPr>
      </w:pPr>
    </w:p>
    <w:p w14:paraId="5591BBD8" w14:textId="44309900" w:rsidR="00D815DA" w:rsidRPr="0076337A" w:rsidRDefault="0009184C" w:rsidP="0009184C">
      <w:pPr>
        <w:jc w:val="both"/>
        <w:rPr>
          <w:rFonts w:ascii="Arial" w:hAnsi="Arial" w:cs="Arial"/>
          <w:sz w:val="20"/>
          <w:szCs w:val="20"/>
        </w:rPr>
      </w:pPr>
      <w:r w:rsidRPr="0076337A">
        <w:rPr>
          <w:rFonts w:ascii="Arial" w:hAnsi="Arial" w:cs="Arial"/>
          <w:sz w:val="20"/>
          <w:szCs w:val="20"/>
        </w:rPr>
        <w:t>This finding corresponds with the research of Farrell (</w:t>
      </w:r>
      <w:r w:rsidR="00076F23" w:rsidRPr="0076337A">
        <w:rPr>
          <w:rFonts w:ascii="Arial" w:hAnsi="Arial" w:cs="Arial"/>
          <w:sz w:val="20"/>
          <w:szCs w:val="20"/>
        </w:rPr>
        <w:t>2020</w:t>
      </w:r>
      <w:r w:rsidRPr="0076337A">
        <w:rPr>
          <w:rFonts w:ascii="Arial" w:hAnsi="Arial" w:cs="Arial"/>
          <w:sz w:val="20"/>
          <w:szCs w:val="20"/>
        </w:rPr>
        <w:t xml:space="preserve">), who emphasized that reflective teaching practices enable educators to make informed instructional decisions based on past experiences and student feedback. His study found that consistent pedagogical and critical reflection improves teacher adaptability and classroom management. Similarly, the work of </w:t>
      </w:r>
      <w:r w:rsidR="009276F6" w:rsidRPr="0076337A">
        <w:rPr>
          <w:rFonts w:ascii="Arial" w:hAnsi="Arial" w:cs="Arial"/>
          <w:sz w:val="20"/>
          <w:szCs w:val="20"/>
        </w:rPr>
        <w:t xml:space="preserve">Colomer et al. </w:t>
      </w:r>
      <w:r w:rsidRPr="0076337A">
        <w:rPr>
          <w:rFonts w:ascii="Arial" w:hAnsi="Arial" w:cs="Arial"/>
          <w:sz w:val="20"/>
          <w:szCs w:val="20"/>
        </w:rPr>
        <w:t>(</w:t>
      </w:r>
      <w:r w:rsidR="009276F6" w:rsidRPr="0076337A">
        <w:rPr>
          <w:rFonts w:ascii="Arial" w:hAnsi="Arial" w:cs="Arial"/>
          <w:sz w:val="20"/>
          <w:szCs w:val="20"/>
        </w:rPr>
        <w:t>2020</w:t>
      </w:r>
      <w:r w:rsidRPr="0076337A">
        <w:rPr>
          <w:rFonts w:ascii="Arial" w:hAnsi="Arial" w:cs="Arial"/>
          <w:sz w:val="20"/>
          <w:szCs w:val="20"/>
        </w:rPr>
        <w:t xml:space="preserve">) revealed that reflective teachers exhibit increased awareness of instructional effectiveness and learner needs. Additionally, </w:t>
      </w:r>
      <w:r w:rsidR="00916994" w:rsidRPr="0076337A">
        <w:rPr>
          <w:rFonts w:ascii="Arial" w:hAnsi="Arial" w:cs="Arial"/>
          <w:sz w:val="20"/>
          <w:szCs w:val="20"/>
        </w:rPr>
        <w:t xml:space="preserve">McGarr </w:t>
      </w:r>
      <w:r w:rsidRPr="0076337A">
        <w:rPr>
          <w:rFonts w:ascii="Arial" w:hAnsi="Arial" w:cs="Arial"/>
          <w:sz w:val="20"/>
          <w:szCs w:val="20"/>
        </w:rPr>
        <w:t>(</w:t>
      </w:r>
      <w:r w:rsidR="00916994" w:rsidRPr="0076337A">
        <w:rPr>
          <w:rFonts w:ascii="Arial" w:hAnsi="Arial" w:cs="Arial"/>
          <w:sz w:val="20"/>
          <w:szCs w:val="20"/>
        </w:rPr>
        <w:t>2021</w:t>
      </w:r>
      <w:r w:rsidRPr="0076337A">
        <w:rPr>
          <w:rFonts w:ascii="Arial" w:hAnsi="Arial" w:cs="Arial"/>
          <w:sz w:val="20"/>
          <w:szCs w:val="20"/>
        </w:rPr>
        <w:t>) concluded that reflective teaching supports professional identity formation, critical thinking, and lifelong learning in the teaching profession.</w:t>
      </w:r>
    </w:p>
    <w:p w14:paraId="0631691E" w14:textId="77777777" w:rsidR="0009184C" w:rsidRPr="0076337A" w:rsidRDefault="0009184C" w:rsidP="0009184C">
      <w:pPr>
        <w:rPr>
          <w:rFonts w:ascii="Arial" w:hAnsi="Arial" w:cs="Arial"/>
          <w:b/>
          <w:bCs/>
          <w:sz w:val="20"/>
          <w:szCs w:val="20"/>
        </w:rPr>
      </w:pPr>
    </w:p>
    <w:p w14:paraId="4AADC923" w14:textId="209986E3" w:rsidR="002A20A0" w:rsidRPr="0076337A" w:rsidRDefault="002A20A0" w:rsidP="0009184C">
      <w:pPr>
        <w:rPr>
          <w:rFonts w:ascii="Arial" w:hAnsi="Arial" w:cs="Arial"/>
          <w:b/>
          <w:bCs/>
          <w:sz w:val="20"/>
          <w:szCs w:val="20"/>
        </w:rPr>
      </w:pPr>
      <w:r w:rsidRPr="0076337A">
        <w:rPr>
          <w:rFonts w:ascii="Arial" w:hAnsi="Arial" w:cs="Arial"/>
          <w:b/>
          <w:bCs/>
          <w:sz w:val="20"/>
          <w:szCs w:val="20"/>
        </w:rPr>
        <w:t xml:space="preserve">3.3 </w:t>
      </w:r>
      <w:r w:rsidR="00D30AC4" w:rsidRPr="0076337A">
        <w:rPr>
          <w:rFonts w:ascii="Arial" w:hAnsi="Arial" w:cs="Arial"/>
          <w:b/>
          <w:bCs/>
          <w:sz w:val="20"/>
          <w:szCs w:val="20"/>
        </w:rPr>
        <w:t>Level of Workplace Retention among Public Secondary School Teachers</w:t>
      </w:r>
    </w:p>
    <w:p w14:paraId="42F8F11C" w14:textId="77777777" w:rsidR="00C03ED9" w:rsidRPr="0076337A" w:rsidRDefault="00C03ED9" w:rsidP="00C958E5">
      <w:pPr>
        <w:jc w:val="both"/>
        <w:rPr>
          <w:rFonts w:ascii="Arial" w:hAnsi="Arial" w:cs="Arial"/>
          <w:sz w:val="20"/>
          <w:szCs w:val="20"/>
        </w:rPr>
      </w:pPr>
    </w:p>
    <w:p w14:paraId="19D82D7C" w14:textId="245E6C4C" w:rsidR="00C03ED9" w:rsidRPr="0076337A" w:rsidRDefault="00C03ED9" w:rsidP="00C03ED9">
      <w:pPr>
        <w:jc w:val="both"/>
        <w:rPr>
          <w:rFonts w:ascii="Arial" w:hAnsi="Arial" w:cs="Arial"/>
          <w:i/>
          <w:sz w:val="20"/>
          <w:szCs w:val="20"/>
        </w:rPr>
      </w:pPr>
      <w:r w:rsidRPr="0076337A">
        <w:rPr>
          <w:rFonts w:ascii="Arial" w:hAnsi="Arial" w:cs="Arial"/>
          <w:iCs/>
          <w:sz w:val="20"/>
          <w:szCs w:val="20"/>
        </w:rPr>
        <w:t xml:space="preserve">Table 3. </w:t>
      </w:r>
      <w:r w:rsidR="004B3F72" w:rsidRPr="0076337A">
        <w:rPr>
          <w:rFonts w:ascii="Arial" w:hAnsi="Arial" w:cs="Arial"/>
          <w:i/>
          <w:sz w:val="20"/>
          <w:szCs w:val="20"/>
        </w:rPr>
        <w:t>Level of Workplace Retention among Public Secondary School Teachers</w:t>
      </w:r>
    </w:p>
    <w:p w14:paraId="3288D302" w14:textId="77777777" w:rsidR="004B3F72" w:rsidRPr="0076337A" w:rsidRDefault="004B3F72" w:rsidP="00C03ED9">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C03ED9" w:rsidRPr="0076337A" w14:paraId="2C5E5BE6" w14:textId="77777777" w:rsidTr="004C1123">
        <w:trPr>
          <w:gridAfter w:val="1"/>
          <w:wAfter w:w="12" w:type="dxa"/>
          <w:trHeight w:val="436"/>
        </w:trPr>
        <w:tc>
          <w:tcPr>
            <w:tcW w:w="4354" w:type="dxa"/>
            <w:gridSpan w:val="2"/>
            <w:tcBorders>
              <w:bottom w:val="single" w:sz="4" w:space="0" w:color="auto"/>
            </w:tcBorders>
          </w:tcPr>
          <w:p w14:paraId="15559C35" w14:textId="77777777" w:rsidR="00C03ED9" w:rsidRPr="0076337A" w:rsidRDefault="00C03ED9" w:rsidP="004C1123">
            <w:pPr>
              <w:jc w:val="center"/>
              <w:rPr>
                <w:rFonts w:ascii="Arial" w:hAnsi="Arial"/>
                <w:b/>
                <w:sz w:val="20"/>
                <w:szCs w:val="20"/>
              </w:rPr>
            </w:pPr>
            <w:r w:rsidRPr="0076337A">
              <w:rPr>
                <w:rFonts w:ascii="Arial" w:hAnsi="Arial"/>
                <w:b/>
                <w:sz w:val="20"/>
                <w:szCs w:val="20"/>
              </w:rPr>
              <w:t>Domains</w:t>
            </w:r>
          </w:p>
        </w:tc>
        <w:tc>
          <w:tcPr>
            <w:tcW w:w="869" w:type="dxa"/>
            <w:tcBorders>
              <w:bottom w:val="single" w:sz="4" w:space="0" w:color="auto"/>
            </w:tcBorders>
          </w:tcPr>
          <w:p w14:paraId="10564C89" w14:textId="77777777" w:rsidR="00C03ED9" w:rsidRPr="0076337A" w:rsidRDefault="00C03ED9" w:rsidP="004C1123">
            <w:pPr>
              <w:jc w:val="center"/>
              <w:rPr>
                <w:rFonts w:ascii="Arial" w:hAnsi="Arial"/>
                <w:b/>
                <w:sz w:val="20"/>
                <w:szCs w:val="20"/>
              </w:rPr>
            </w:pPr>
            <w:r w:rsidRPr="0076337A">
              <w:rPr>
                <w:rFonts w:ascii="Arial" w:hAnsi="Arial"/>
                <w:b/>
                <w:sz w:val="20"/>
                <w:szCs w:val="20"/>
              </w:rPr>
              <w:t>SD</w:t>
            </w:r>
          </w:p>
        </w:tc>
        <w:tc>
          <w:tcPr>
            <w:tcW w:w="1027" w:type="dxa"/>
            <w:gridSpan w:val="2"/>
            <w:tcBorders>
              <w:bottom w:val="single" w:sz="4" w:space="0" w:color="auto"/>
            </w:tcBorders>
          </w:tcPr>
          <w:p w14:paraId="59C2EED9" w14:textId="77777777" w:rsidR="00C03ED9" w:rsidRPr="0076337A" w:rsidRDefault="00C03ED9" w:rsidP="004C1123">
            <w:pPr>
              <w:jc w:val="center"/>
              <w:rPr>
                <w:rFonts w:ascii="Arial" w:hAnsi="Arial"/>
                <w:b/>
                <w:sz w:val="20"/>
                <w:szCs w:val="20"/>
              </w:rPr>
            </w:pPr>
            <w:r w:rsidRPr="0076337A">
              <w:rPr>
                <w:rFonts w:ascii="Arial" w:hAnsi="Arial"/>
                <w:b/>
                <w:sz w:val="20"/>
                <w:szCs w:val="20"/>
              </w:rPr>
              <w:t>Mean</w:t>
            </w:r>
          </w:p>
        </w:tc>
        <w:tc>
          <w:tcPr>
            <w:tcW w:w="2263" w:type="dxa"/>
            <w:tcBorders>
              <w:bottom w:val="single" w:sz="4" w:space="0" w:color="auto"/>
            </w:tcBorders>
          </w:tcPr>
          <w:p w14:paraId="2651D4D3" w14:textId="77777777" w:rsidR="00C03ED9" w:rsidRPr="0076337A" w:rsidRDefault="00C03ED9" w:rsidP="004C1123">
            <w:pPr>
              <w:jc w:val="center"/>
              <w:rPr>
                <w:rFonts w:ascii="Arial" w:hAnsi="Arial"/>
                <w:b/>
                <w:sz w:val="20"/>
                <w:szCs w:val="20"/>
              </w:rPr>
            </w:pPr>
            <w:r w:rsidRPr="0076337A">
              <w:rPr>
                <w:rFonts w:ascii="Arial" w:hAnsi="Arial"/>
                <w:b/>
                <w:sz w:val="20"/>
                <w:szCs w:val="20"/>
              </w:rPr>
              <w:t>Descriptive Level</w:t>
            </w:r>
          </w:p>
        </w:tc>
      </w:tr>
      <w:tr w:rsidR="00984EA7" w:rsidRPr="0076337A" w14:paraId="6A220D59" w14:textId="77777777" w:rsidTr="004C1123">
        <w:trPr>
          <w:gridAfter w:val="1"/>
          <w:wAfter w:w="12" w:type="dxa"/>
          <w:trHeight w:val="415"/>
        </w:trPr>
        <w:tc>
          <w:tcPr>
            <w:tcW w:w="4354" w:type="dxa"/>
            <w:gridSpan w:val="2"/>
            <w:tcBorders>
              <w:top w:val="single" w:sz="4" w:space="0" w:color="auto"/>
            </w:tcBorders>
            <w:vAlign w:val="center"/>
          </w:tcPr>
          <w:p w14:paraId="3AF857B4" w14:textId="21279BA7" w:rsidR="00984EA7" w:rsidRPr="0076337A" w:rsidRDefault="00984EA7" w:rsidP="00984EA7">
            <w:pPr>
              <w:widowControl w:val="0"/>
              <w:ind w:firstLine="341"/>
              <w:rPr>
                <w:rFonts w:ascii="Arial" w:hAnsi="Arial" w:cs="Arial"/>
                <w:sz w:val="20"/>
                <w:szCs w:val="20"/>
              </w:rPr>
            </w:pPr>
            <w:r w:rsidRPr="00DA0EED">
              <w:rPr>
                <w:rFonts w:ascii="Arial" w:hAnsi="Arial" w:cs="Arial"/>
                <w:sz w:val="20"/>
                <w:szCs w:val="20"/>
              </w:rPr>
              <w:t>Career Growth</w:t>
            </w:r>
          </w:p>
        </w:tc>
        <w:tc>
          <w:tcPr>
            <w:tcW w:w="869" w:type="dxa"/>
            <w:tcBorders>
              <w:top w:val="single" w:sz="4" w:space="0" w:color="auto"/>
            </w:tcBorders>
            <w:vAlign w:val="center"/>
          </w:tcPr>
          <w:p w14:paraId="6449635D" w14:textId="7CC23869" w:rsidR="00984EA7" w:rsidRPr="0076337A" w:rsidRDefault="00984EA7" w:rsidP="00984EA7">
            <w:pPr>
              <w:jc w:val="center"/>
              <w:rPr>
                <w:rFonts w:ascii="Arial" w:hAnsi="Arial" w:cs="Arial"/>
                <w:sz w:val="20"/>
                <w:szCs w:val="20"/>
              </w:rPr>
            </w:pPr>
            <w:r w:rsidRPr="00DA0EED">
              <w:rPr>
                <w:rFonts w:ascii="Arial" w:hAnsi="Arial" w:cs="Arial"/>
                <w:sz w:val="20"/>
                <w:szCs w:val="20"/>
              </w:rPr>
              <w:t>1.04</w:t>
            </w:r>
          </w:p>
        </w:tc>
        <w:tc>
          <w:tcPr>
            <w:tcW w:w="1027" w:type="dxa"/>
            <w:gridSpan w:val="2"/>
            <w:tcBorders>
              <w:top w:val="single" w:sz="4" w:space="0" w:color="auto"/>
            </w:tcBorders>
            <w:vAlign w:val="center"/>
          </w:tcPr>
          <w:p w14:paraId="6E75D1DB" w14:textId="57E3D087" w:rsidR="00984EA7" w:rsidRPr="0076337A" w:rsidRDefault="00984EA7" w:rsidP="00984EA7">
            <w:pPr>
              <w:jc w:val="center"/>
              <w:rPr>
                <w:rFonts w:ascii="Arial" w:hAnsi="Arial" w:cs="Arial"/>
                <w:sz w:val="20"/>
                <w:szCs w:val="20"/>
              </w:rPr>
            </w:pPr>
            <w:r w:rsidRPr="00DA0EED">
              <w:rPr>
                <w:rFonts w:ascii="Arial" w:hAnsi="Arial" w:cs="Arial"/>
                <w:sz w:val="20"/>
                <w:szCs w:val="20"/>
              </w:rPr>
              <w:t>4.10</w:t>
            </w:r>
          </w:p>
        </w:tc>
        <w:tc>
          <w:tcPr>
            <w:tcW w:w="2263" w:type="dxa"/>
            <w:tcBorders>
              <w:top w:val="single" w:sz="4" w:space="0" w:color="auto"/>
            </w:tcBorders>
            <w:vAlign w:val="center"/>
          </w:tcPr>
          <w:p w14:paraId="3900AE0D" w14:textId="45E6323E" w:rsidR="00984EA7" w:rsidRPr="0076337A" w:rsidRDefault="00984EA7" w:rsidP="00984EA7">
            <w:pPr>
              <w:jc w:val="center"/>
              <w:rPr>
                <w:rFonts w:ascii="Arial" w:hAnsi="Arial" w:cs="Arial"/>
                <w:sz w:val="20"/>
                <w:szCs w:val="20"/>
              </w:rPr>
            </w:pPr>
            <w:r w:rsidRPr="00DA0EED">
              <w:rPr>
                <w:rFonts w:ascii="Arial" w:hAnsi="Arial" w:cs="Arial"/>
                <w:sz w:val="20"/>
                <w:szCs w:val="20"/>
              </w:rPr>
              <w:t>High</w:t>
            </w:r>
          </w:p>
        </w:tc>
      </w:tr>
      <w:tr w:rsidR="00984EA7" w:rsidRPr="0076337A" w14:paraId="57A5CD78" w14:textId="77777777" w:rsidTr="004C1123">
        <w:trPr>
          <w:gridAfter w:val="1"/>
          <w:wAfter w:w="12" w:type="dxa"/>
          <w:trHeight w:val="406"/>
        </w:trPr>
        <w:tc>
          <w:tcPr>
            <w:tcW w:w="4354" w:type="dxa"/>
            <w:gridSpan w:val="2"/>
            <w:vAlign w:val="center"/>
          </w:tcPr>
          <w:p w14:paraId="6185E4B5" w14:textId="5D4201AC" w:rsidR="00984EA7" w:rsidRPr="0076337A" w:rsidRDefault="00984EA7" w:rsidP="00984EA7">
            <w:pPr>
              <w:widowControl w:val="0"/>
              <w:ind w:firstLine="341"/>
              <w:rPr>
                <w:rFonts w:ascii="Arial" w:hAnsi="Arial" w:cs="Arial"/>
                <w:sz w:val="20"/>
                <w:szCs w:val="20"/>
              </w:rPr>
            </w:pPr>
            <w:r w:rsidRPr="00DA0EED">
              <w:rPr>
                <w:rFonts w:ascii="Arial" w:hAnsi="Arial" w:cs="Arial"/>
                <w:sz w:val="20"/>
                <w:szCs w:val="20"/>
              </w:rPr>
              <w:t>Incentive Retention</w:t>
            </w:r>
          </w:p>
        </w:tc>
        <w:tc>
          <w:tcPr>
            <w:tcW w:w="869" w:type="dxa"/>
            <w:vAlign w:val="center"/>
          </w:tcPr>
          <w:p w14:paraId="68A3DE86" w14:textId="692BAB65" w:rsidR="00984EA7" w:rsidRPr="0076337A" w:rsidRDefault="00984EA7" w:rsidP="00984EA7">
            <w:pPr>
              <w:jc w:val="center"/>
              <w:rPr>
                <w:rFonts w:ascii="Arial" w:hAnsi="Arial" w:cs="Arial"/>
                <w:sz w:val="20"/>
                <w:szCs w:val="20"/>
              </w:rPr>
            </w:pPr>
            <w:r w:rsidRPr="00DA0EED">
              <w:rPr>
                <w:rFonts w:ascii="Arial" w:hAnsi="Arial" w:cs="Arial"/>
                <w:sz w:val="20"/>
                <w:szCs w:val="20"/>
              </w:rPr>
              <w:t>1.07</w:t>
            </w:r>
          </w:p>
        </w:tc>
        <w:tc>
          <w:tcPr>
            <w:tcW w:w="1027" w:type="dxa"/>
            <w:gridSpan w:val="2"/>
            <w:vAlign w:val="center"/>
          </w:tcPr>
          <w:p w14:paraId="719CB4A9" w14:textId="0652277F" w:rsidR="00984EA7" w:rsidRPr="0076337A" w:rsidRDefault="00984EA7" w:rsidP="00984EA7">
            <w:pPr>
              <w:jc w:val="center"/>
              <w:rPr>
                <w:rFonts w:ascii="Arial" w:hAnsi="Arial" w:cs="Arial"/>
                <w:sz w:val="20"/>
                <w:szCs w:val="20"/>
              </w:rPr>
            </w:pPr>
            <w:r w:rsidRPr="00DA0EED">
              <w:rPr>
                <w:rFonts w:ascii="Arial" w:hAnsi="Arial" w:cs="Arial"/>
                <w:sz w:val="20"/>
                <w:szCs w:val="20"/>
              </w:rPr>
              <w:t>4.11</w:t>
            </w:r>
          </w:p>
        </w:tc>
        <w:tc>
          <w:tcPr>
            <w:tcW w:w="2263" w:type="dxa"/>
            <w:vAlign w:val="center"/>
          </w:tcPr>
          <w:p w14:paraId="23CBAC82" w14:textId="6398F11C" w:rsidR="00984EA7" w:rsidRPr="0076337A" w:rsidRDefault="00984EA7" w:rsidP="00984EA7">
            <w:pPr>
              <w:jc w:val="center"/>
              <w:rPr>
                <w:rFonts w:ascii="Arial" w:hAnsi="Arial" w:cs="Arial"/>
                <w:sz w:val="20"/>
                <w:szCs w:val="20"/>
              </w:rPr>
            </w:pPr>
            <w:r w:rsidRPr="00DA0EED">
              <w:rPr>
                <w:rFonts w:ascii="Arial" w:hAnsi="Arial" w:cs="Arial"/>
                <w:sz w:val="20"/>
                <w:szCs w:val="20"/>
              </w:rPr>
              <w:t>High</w:t>
            </w:r>
          </w:p>
        </w:tc>
      </w:tr>
      <w:tr w:rsidR="00984EA7" w:rsidRPr="0076337A" w14:paraId="501D14EA" w14:textId="77777777" w:rsidTr="004C1123">
        <w:trPr>
          <w:gridAfter w:val="1"/>
          <w:wAfter w:w="12" w:type="dxa"/>
          <w:trHeight w:val="416"/>
        </w:trPr>
        <w:tc>
          <w:tcPr>
            <w:tcW w:w="4354" w:type="dxa"/>
            <w:gridSpan w:val="2"/>
            <w:vAlign w:val="center"/>
          </w:tcPr>
          <w:p w14:paraId="212E9FED" w14:textId="6450B687" w:rsidR="00984EA7" w:rsidRPr="0076337A" w:rsidRDefault="00984EA7" w:rsidP="00984EA7">
            <w:pPr>
              <w:widowControl w:val="0"/>
              <w:ind w:firstLine="341"/>
              <w:rPr>
                <w:rFonts w:ascii="Arial" w:hAnsi="Arial" w:cs="Arial"/>
                <w:sz w:val="20"/>
                <w:szCs w:val="20"/>
              </w:rPr>
            </w:pPr>
            <w:r w:rsidRPr="00DA0EED">
              <w:rPr>
                <w:rFonts w:ascii="Arial" w:hAnsi="Arial" w:cs="Arial"/>
                <w:sz w:val="20"/>
                <w:szCs w:val="20"/>
              </w:rPr>
              <w:t>Welfare</w:t>
            </w:r>
          </w:p>
        </w:tc>
        <w:tc>
          <w:tcPr>
            <w:tcW w:w="869" w:type="dxa"/>
            <w:vAlign w:val="center"/>
          </w:tcPr>
          <w:p w14:paraId="14BA16D3" w14:textId="04A8459A" w:rsidR="00984EA7" w:rsidRPr="0076337A" w:rsidRDefault="00984EA7" w:rsidP="00984EA7">
            <w:pPr>
              <w:jc w:val="center"/>
              <w:rPr>
                <w:rFonts w:ascii="Arial" w:hAnsi="Arial" w:cs="Arial"/>
                <w:sz w:val="20"/>
                <w:szCs w:val="20"/>
              </w:rPr>
            </w:pPr>
            <w:r w:rsidRPr="00DA0EED">
              <w:rPr>
                <w:rFonts w:ascii="Arial" w:hAnsi="Arial" w:cs="Arial"/>
                <w:sz w:val="20"/>
                <w:szCs w:val="20"/>
              </w:rPr>
              <w:t>1.05</w:t>
            </w:r>
          </w:p>
        </w:tc>
        <w:tc>
          <w:tcPr>
            <w:tcW w:w="1027" w:type="dxa"/>
            <w:gridSpan w:val="2"/>
            <w:vAlign w:val="center"/>
          </w:tcPr>
          <w:p w14:paraId="420A5A52" w14:textId="2608A9A6" w:rsidR="00984EA7" w:rsidRPr="0076337A" w:rsidRDefault="00984EA7" w:rsidP="00984EA7">
            <w:pPr>
              <w:jc w:val="center"/>
              <w:rPr>
                <w:rFonts w:ascii="Arial" w:hAnsi="Arial" w:cs="Arial"/>
                <w:sz w:val="20"/>
                <w:szCs w:val="20"/>
              </w:rPr>
            </w:pPr>
            <w:r w:rsidRPr="00DA0EED">
              <w:rPr>
                <w:rFonts w:ascii="Arial" w:hAnsi="Arial" w:cs="Arial"/>
                <w:sz w:val="20"/>
                <w:szCs w:val="20"/>
              </w:rPr>
              <w:t>4.15</w:t>
            </w:r>
          </w:p>
        </w:tc>
        <w:tc>
          <w:tcPr>
            <w:tcW w:w="2263" w:type="dxa"/>
            <w:vAlign w:val="center"/>
          </w:tcPr>
          <w:p w14:paraId="2237C213" w14:textId="6600CDA2" w:rsidR="00984EA7" w:rsidRPr="0076337A" w:rsidRDefault="00984EA7" w:rsidP="00984EA7">
            <w:pPr>
              <w:jc w:val="center"/>
              <w:rPr>
                <w:rFonts w:ascii="Arial" w:hAnsi="Arial" w:cs="Arial"/>
                <w:sz w:val="20"/>
                <w:szCs w:val="20"/>
              </w:rPr>
            </w:pPr>
            <w:r w:rsidRPr="00DA0EED">
              <w:rPr>
                <w:rFonts w:ascii="Arial" w:hAnsi="Arial" w:cs="Arial"/>
                <w:sz w:val="20"/>
                <w:szCs w:val="20"/>
              </w:rPr>
              <w:t>High</w:t>
            </w:r>
          </w:p>
        </w:tc>
      </w:tr>
      <w:tr w:rsidR="00984EA7" w:rsidRPr="0076337A" w14:paraId="2D56CCA8" w14:textId="77777777" w:rsidTr="004C1123">
        <w:trPr>
          <w:trHeight w:val="305"/>
        </w:trPr>
        <w:tc>
          <w:tcPr>
            <w:tcW w:w="4312" w:type="dxa"/>
            <w:vAlign w:val="center"/>
          </w:tcPr>
          <w:p w14:paraId="06B82FD3" w14:textId="1FF877F4" w:rsidR="00984EA7" w:rsidRPr="0076337A" w:rsidRDefault="00984EA7" w:rsidP="00984EA7">
            <w:pPr>
              <w:jc w:val="center"/>
              <w:rPr>
                <w:rFonts w:ascii="Arial" w:eastAsia="Calibri" w:hAnsi="Arial" w:cs="Arial"/>
                <w:b/>
                <w:bCs/>
                <w:sz w:val="20"/>
                <w:szCs w:val="20"/>
              </w:rPr>
            </w:pPr>
            <w:r w:rsidRPr="00DA0EED">
              <w:rPr>
                <w:rFonts w:ascii="Arial" w:hAnsi="Arial" w:cs="Arial"/>
                <w:b/>
                <w:bCs/>
                <w:sz w:val="20"/>
                <w:szCs w:val="20"/>
              </w:rPr>
              <w:t>Overall</w:t>
            </w:r>
          </w:p>
        </w:tc>
        <w:tc>
          <w:tcPr>
            <w:tcW w:w="911" w:type="dxa"/>
            <w:gridSpan w:val="2"/>
            <w:vAlign w:val="center"/>
          </w:tcPr>
          <w:p w14:paraId="630F6AD2" w14:textId="1EAEF732" w:rsidR="00984EA7" w:rsidRPr="0076337A" w:rsidRDefault="00984EA7" w:rsidP="00984EA7">
            <w:pPr>
              <w:jc w:val="center"/>
              <w:rPr>
                <w:rFonts w:ascii="Arial" w:hAnsi="Arial" w:cs="Arial"/>
                <w:b/>
                <w:bCs/>
                <w:sz w:val="20"/>
                <w:szCs w:val="20"/>
              </w:rPr>
            </w:pPr>
            <w:r w:rsidRPr="00DA0EED">
              <w:rPr>
                <w:rFonts w:ascii="Arial" w:hAnsi="Arial" w:cs="Arial"/>
                <w:sz w:val="20"/>
                <w:szCs w:val="20"/>
              </w:rPr>
              <w:t>1.06</w:t>
            </w:r>
          </w:p>
        </w:tc>
        <w:tc>
          <w:tcPr>
            <w:tcW w:w="1008" w:type="dxa"/>
            <w:vAlign w:val="center"/>
          </w:tcPr>
          <w:p w14:paraId="6181EAD4" w14:textId="7D766181" w:rsidR="00984EA7" w:rsidRPr="0076337A" w:rsidRDefault="00984EA7" w:rsidP="00984EA7">
            <w:pPr>
              <w:jc w:val="center"/>
              <w:rPr>
                <w:rFonts w:ascii="Arial" w:hAnsi="Arial" w:cs="Arial"/>
                <w:b/>
                <w:bCs/>
                <w:sz w:val="20"/>
                <w:szCs w:val="20"/>
              </w:rPr>
            </w:pPr>
            <w:r w:rsidRPr="00DA0EED">
              <w:rPr>
                <w:rFonts w:ascii="Arial" w:hAnsi="Arial" w:cs="Arial"/>
                <w:sz w:val="20"/>
                <w:szCs w:val="20"/>
              </w:rPr>
              <w:t>4.12</w:t>
            </w:r>
          </w:p>
        </w:tc>
        <w:tc>
          <w:tcPr>
            <w:tcW w:w="2294" w:type="dxa"/>
            <w:gridSpan w:val="3"/>
            <w:vAlign w:val="center"/>
          </w:tcPr>
          <w:p w14:paraId="501AC079" w14:textId="0A265A7A" w:rsidR="00984EA7" w:rsidRPr="0076337A" w:rsidRDefault="00984EA7" w:rsidP="00984EA7">
            <w:pPr>
              <w:jc w:val="center"/>
              <w:rPr>
                <w:rFonts w:ascii="Arial" w:hAnsi="Arial" w:cs="Arial"/>
                <w:b/>
                <w:bCs/>
                <w:sz w:val="20"/>
                <w:szCs w:val="20"/>
              </w:rPr>
            </w:pPr>
            <w:r w:rsidRPr="00DA0EED">
              <w:rPr>
                <w:rFonts w:ascii="Arial" w:hAnsi="Arial" w:cs="Arial"/>
                <w:b/>
                <w:bCs/>
                <w:sz w:val="20"/>
                <w:szCs w:val="20"/>
              </w:rPr>
              <w:t>High</w:t>
            </w:r>
          </w:p>
        </w:tc>
      </w:tr>
    </w:tbl>
    <w:p w14:paraId="75F615AE" w14:textId="77777777" w:rsidR="00C03ED9" w:rsidRPr="0076337A" w:rsidRDefault="00C03ED9" w:rsidP="00C03ED9">
      <w:pPr>
        <w:jc w:val="both"/>
        <w:rPr>
          <w:rFonts w:ascii="Arial" w:hAnsi="Arial" w:cs="Arial"/>
          <w:b/>
          <w:iCs/>
          <w:sz w:val="20"/>
          <w:szCs w:val="20"/>
        </w:rPr>
      </w:pPr>
    </w:p>
    <w:p w14:paraId="7CAAAD71" w14:textId="77777777" w:rsidR="00C03ED9" w:rsidRPr="0076337A" w:rsidRDefault="00C03ED9" w:rsidP="00C03ED9">
      <w:pPr>
        <w:jc w:val="both"/>
        <w:rPr>
          <w:rFonts w:ascii="Arial" w:hAnsi="Arial" w:cs="Arial"/>
          <w:sz w:val="20"/>
          <w:szCs w:val="20"/>
        </w:rPr>
      </w:pPr>
    </w:p>
    <w:p w14:paraId="206A4D88" w14:textId="77777777" w:rsidR="00F50D17" w:rsidRPr="0076337A" w:rsidRDefault="00F50D17" w:rsidP="00F50D17">
      <w:pPr>
        <w:jc w:val="both"/>
        <w:rPr>
          <w:rFonts w:ascii="Arial" w:hAnsi="Arial" w:cs="Arial"/>
          <w:sz w:val="20"/>
          <w:szCs w:val="20"/>
        </w:rPr>
      </w:pPr>
      <w:r w:rsidRPr="0076337A">
        <w:rPr>
          <w:rFonts w:ascii="Arial" w:hAnsi="Arial" w:cs="Arial"/>
          <w:sz w:val="20"/>
          <w:szCs w:val="20"/>
        </w:rPr>
        <w:t>Presented in Table 3 is the summary of the indicators in the level of workplace retention among public secondary school teachers, including career growth, incentive retention, and welfare, based on the mean scores and standard deviations. The indicator welfare received the highest mean of 4.15, categorized as “high,” followed by incentive retention with a mean of 4.11. The indicator career growth obtained a mean score of 4.10, also categorized as “high.” The overall mean of 4.12 is described as “high,” indicating that teachers generally report a strong sense of workplace retention.</w:t>
      </w:r>
    </w:p>
    <w:p w14:paraId="292D1CF2" w14:textId="77777777" w:rsidR="00F50D17" w:rsidRPr="0076337A" w:rsidRDefault="00F50D17" w:rsidP="00F50D17">
      <w:pPr>
        <w:jc w:val="both"/>
        <w:rPr>
          <w:rFonts w:ascii="Arial" w:hAnsi="Arial" w:cs="Arial"/>
          <w:sz w:val="20"/>
          <w:szCs w:val="20"/>
        </w:rPr>
      </w:pPr>
    </w:p>
    <w:p w14:paraId="42BC2EC7" w14:textId="77777777" w:rsidR="00F50D17" w:rsidRPr="0076337A" w:rsidRDefault="00F50D17" w:rsidP="00F50D17">
      <w:pPr>
        <w:jc w:val="both"/>
        <w:rPr>
          <w:rFonts w:ascii="Arial" w:hAnsi="Arial" w:cs="Arial"/>
          <w:sz w:val="20"/>
          <w:szCs w:val="20"/>
        </w:rPr>
      </w:pPr>
      <w:r w:rsidRPr="0076337A">
        <w:rPr>
          <w:rFonts w:ascii="Arial" w:hAnsi="Arial" w:cs="Arial"/>
          <w:sz w:val="20"/>
          <w:szCs w:val="20"/>
        </w:rPr>
        <w:t xml:space="preserve">The overall standard deviation of 1.06 indicates that responses were relatively consistent across the indicators. This finding suggests that teachers perceive their workplace as supportive in terms of professional development opportunities, financial incentives, and overall </w:t>
      </w:r>
      <w:r w:rsidRPr="0076337A">
        <w:rPr>
          <w:rFonts w:ascii="Arial" w:hAnsi="Arial" w:cs="Arial"/>
          <w:sz w:val="20"/>
          <w:szCs w:val="20"/>
        </w:rPr>
        <w:lastRenderedPageBreak/>
        <w:t>well-being. Enhancing these areas can contribute to long-term commitment and reduce teacher attrition.</w:t>
      </w:r>
    </w:p>
    <w:p w14:paraId="485B7158" w14:textId="77777777" w:rsidR="00F50D17" w:rsidRPr="0076337A" w:rsidRDefault="00F50D17" w:rsidP="00F50D17">
      <w:pPr>
        <w:jc w:val="both"/>
        <w:rPr>
          <w:rFonts w:ascii="Arial" w:hAnsi="Arial" w:cs="Arial"/>
          <w:sz w:val="20"/>
          <w:szCs w:val="20"/>
        </w:rPr>
      </w:pPr>
    </w:p>
    <w:p w14:paraId="1F13EE89" w14:textId="6D2631F6" w:rsidR="00D815DA" w:rsidRPr="0076337A" w:rsidRDefault="00F50D17" w:rsidP="00D815DA">
      <w:pPr>
        <w:jc w:val="both"/>
        <w:rPr>
          <w:rFonts w:ascii="Arial" w:hAnsi="Arial" w:cs="Arial"/>
          <w:sz w:val="20"/>
          <w:szCs w:val="20"/>
        </w:rPr>
      </w:pPr>
      <w:r w:rsidRPr="0076337A">
        <w:rPr>
          <w:rFonts w:ascii="Arial" w:hAnsi="Arial" w:cs="Arial"/>
          <w:sz w:val="20"/>
          <w:szCs w:val="20"/>
        </w:rPr>
        <w:t xml:space="preserve">This finding corresponds with the research of </w:t>
      </w:r>
      <w:r w:rsidR="001B1159" w:rsidRPr="0076337A">
        <w:rPr>
          <w:rFonts w:ascii="Arial" w:hAnsi="Arial" w:cs="Arial"/>
          <w:sz w:val="20"/>
          <w:szCs w:val="20"/>
        </w:rPr>
        <w:t xml:space="preserve">Casely-Hayford et al. </w:t>
      </w:r>
      <w:r w:rsidRPr="0076337A">
        <w:rPr>
          <w:rFonts w:ascii="Arial" w:hAnsi="Arial" w:cs="Arial"/>
          <w:sz w:val="20"/>
          <w:szCs w:val="20"/>
        </w:rPr>
        <w:t>(</w:t>
      </w:r>
      <w:r w:rsidR="001B1159" w:rsidRPr="0076337A">
        <w:rPr>
          <w:rFonts w:ascii="Arial" w:hAnsi="Arial" w:cs="Arial"/>
          <w:sz w:val="20"/>
          <w:szCs w:val="20"/>
        </w:rPr>
        <w:t>2022</w:t>
      </w:r>
      <w:r w:rsidRPr="0076337A">
        <w:rPr>
          <w:rFonts w:ascii="Arial" w:hAnsi="Arial" w:cs="Arial"/>
          <w:sz w:val="20"/>
          <w:szCs w:val="20"/>
        </w:rPr>
        <w:t xml:space="preserve">), who emphasized that career growth, adequate incentives, and welfare provisions significantly influence a teacher’s decision to stay in the profession. Their study found that positive workplace conditions lead to higher job satisfaction and institutional loyalty. Similarly, the work of </w:t>
      </w:r>
      <w:r w:rsidR="001B1159" w:rsidRPr="0076337A">
        <w:rPr>
          <w:rFonts w:ascii="Arial" w:hAnsi="Arial" w:cs="Arial"/>
          <w:sz w:val="20"/>
          <w:szCs w:val="20"/>
        </w:rPr>
        <w:t xml:space="preserve">Miller </w:t>
      </w:r>
      <w:r w:rsidRPr="0076337A">
        <w:rPr>
          <w:rFonts w:ascii="Arial" w:hAnsi="Arial" w:cs="Arial"/>
          <w:sz w:val="20"/>
          <w:szCs w:val="20"/>
        </w:rPr>
        <w:t>et al. (</w:t>
      </w:r>
      <w:r w:rsidR="001B1159" w:rsidRPr="0076337A">
        <w:rPr>
          <w:rFonts w:ascii="Arial" w:hAnsi="Arial" w:cs="Arial"/>
          <w:sz w:val="20"/>
          <w:szCs w:val="20"/>
        </w:rPr>
        <w:t>2020</w:t>
      </w:r>
      <w:r w:rsidRPr="0076337A">
        <w:rPr>
          <w:rFonts w:ascii="Arial" w:hAnsi="Arial" w:cs="Arial"/>
          <w:sz w:val="20"/>
          <w:szCs w:val="20"/>
        </w:rPr>
        <w:t xml:space="preserve">) revealed that retention improves when educators experience meaningful support systems and professional pathways. Additionally, </w:t>
      </w:r>
      <w:r w:rsidR="00CC4B05" w:rsidRPr="0076337A">
        <w:rPr>
          <w:rFonts w:ascii="Arial" w:hAnsi="Arial" w:cs="Arial"/>
          <w:sz w:val="20"/>
          <w:szCs w:val="20"/>
        </w:rPr>
        <w:t xml:space="preserve">Maready et al. </w:t>
      </w:r>
      <w:r w:rsidRPr="0076337A">
        <w:rPr>
          <w:rFonts w:ascii="Arial" w:hAnsi="Arial" w:cs="Arial"/>
          <w:sz w:val="20"/>
          <w:szCs w:val="20"/>
        </w:rPr>
        <w:t>(</w:t>
      </w:r>
      <w:r w:rsidR="00CC4B05" w:rsidRPr="0076337A">
        <w:rPr>
          <w:rFonts w:ascii="Arial" w:hAnsi="Arial" w:cs="Arial"/>
          <w:sz w:val="20"/>
          <w:szCs w:val="20"/>
        </w:rPr>
        <w:t>2021</w:t>
      </w:r>
      <w:r w:rsidRPr="0076337A">
        <w:rPr>
          <w:rFonts w:ascii="Arial" w:hAnsi="Arial" w:cs="Arial"/>
          <w:sz w:val="20"/>
          <w:szCs w:val="20"/>
        </w:rPr>
        <w:t>) concluded that improving retention through well-being initiatives contributes to sustainable school improvement and student performance outcomes.</w:t>
      </w:r>
    </w:p>
    <w:p w14:paraId="4949537D" w14:textId="77777777" w:rsidR="00C74EA0" w:rsidRPr="0076337A" w:rsidRDefault="00C74EA0" w:rsidP="00C74EA0">
      <w:pPr>
        <w:rPr>
          <w:rFonts w:ascii="Arial" w:hAnsi="Arial" w:cs="Arial"/>
          <w:b/>
          <w:bCs/>
          <w:iCs/>
          <w:sz w:val="20"/>
          <w:szCs w:val="20"/>
        </w:rPr>
      </w:pPr>
    </w:p>
    <w:p w14:paraId="30567870" w14:textId="7AEBAC68" w:rsidR="00D815DA" w:rsidRPr="0076337A" w:rsidRDefault="00781D5E" w:rsidP="00C74EA0">
      <w:pPr>
        <w:rPr>
          <w:rFonts w:ascii="Arial" w:hAnsi="Arial" w:cs="Arial"/>
          <w:b/>
          <w:bCs/>
          <w:iCs/>
          <w:sz w:val="20"/>
          <w:szCs w:val="20"/>
        </w:rPr>
      </w:pPr>
      <w:r w:rsidRPr="0076337A">
        <w:rPr>
          <w:rFonts w:ascii="Arial" w:hAnsi="Arial" w:cs="Arial"/>
          <w:b/>
          <w:bCs/>
          <w:iCs/>
          <w:sz w:val="20"/>
          <w:szCs w:val="20"/>
        </w:rPr>
        <w:t>3.</w:t>
      </w:r>
      <w:r w:rsidR="00515908" w:rsidRPr="0076337A">
        <w:rPr>
          <w:rFonts w:ascii="Arial" w:hAnsi="Arial" w:cs="Arial"/>
          <w:b/>
          <w:bCs/>
          <w:iCs/>
          <w:sz w:val="20"/>
          <w:szCs w:val="20"/>
        </w:rPr>
        <w:t>4</w:t>
      </w:r>
      <w:r w:rsidRPr="0076337A">
        <w:rPr>
          <w:rFonts w:ascii="Arial" w:hAnsi="Arial" w:cs="Arial"/>
          <w:b/>
          <w:bCs/>
          <w:iCs/>
          <w:sz w:val="20"/>
          <w:szCs w:val="20"/>
        </w:rPr>
        <w:t xml:space="preserve"> </w:t>
      </w:r>
      <w:r w:rsidR="001462B8" w:rsidRPr="0076337A">
        <w:rPr>
          <w:rFonts w:ascii="Arial" w:hAnsi="Arial" w:cs="Arial"/>
          <w:b/>
          <w:bCs/>
          <w:iCs/>
          <w:sz w:val="20"/>
          <w:szCs w:val="20"/>
        </w:rPr>
        <w:t>Significant Relationship Between Technological Pedagogical Content Knowledge (TPACK) and Workplace Retention among Public Secondary School Teachers</w:t>
      </w:r>
    </w:p>
    <w:p w14:paraId="2C47C90E" w14:textId="77777777" w:rsidR="007E7D13" w:rsidRPr="0076337A" w:rsidRDefault="007E7D13" w:rsidP="00F600DB">
      <w:pPr>
        <w:jc w:val="both"/>
        <w:rPr>
          <w:rFonts w:ascii="Arial" w:hAnsi="Arial" w:cs="Arial"/>
          <w:iCs/>
          <w:sz w:val="20"/>
          <w:szCs w:val="20"/>
        </w:rPr>
      </w:pPr>
    </w:p>
    <w:p w14:paraId="3E38AC03" w14:textId="3B35E529" w:rsidR="00D815DA" w:rsidRPr="0076337A" w:rsidRDefault="00180859" w:rsidP="00F927B2">
      <w:pPr>
        <w:jc w:val="both"/>
        <w:rPr>
          <w:rFonts w:ascii="Arial" w:hAnsi="Arial" w:cs="Arial"/>
          <w:i/>
          <w:sz w:val="20"/>
          <w:szCs w:val="20"/>
        </w:rPr>
      </w:pPr>
      <w:r w:rsidRPr="0076337A">
        <w:rPr>
          <w:rFonts w:ascii="Arial" w:hAnsi="Arial" w:cs="Arial"/>
          <w:iCs/>
          <w:sz w:val="20"/>
          <w:szCs w:val="20"/>
        </w:rPr>
        <w:t xml:space="preserve">Table </w:t>
      </w:r>
      <w:r w:rsidR="00216E59" w:rsidRPr="0076337A">
        <w:rPr>
          <w:rFonts w:ascii="Arial" w:hAnsi="Arial" w:cs="Arial"/>
          <w:iCs/>
          <w:sz w:val="20"/>
          <w:szCs w:val="20"/>
        </w:rPr>
        <w:t>4</w:t>
      </w:r>
      <w:r w:rsidR="00781D5E" w:rsidRPr="0076337A">
        <w:rPr>
          <w:rFonts w:ascii="Arial" w:hAnsi="Arial" w:cs="Arial"/>
          <w:iCs/>
          <w:sz w:val="20"/>
          <w:szCs w:val="20"/>
        </w:rPr>
        <w:t>.</w:t>
      </w:r>
      <w:r w:rsidRPr="0076337A">
        <w:rPr>
          <w:rFonts w:ascii="Arial" w:hAnsi="Arial" w:cs="Arial"/>
          <w:iCs/>
          <w:sz w:val="20"/>
          <w:szCs w:val="20"/>
        </w:rPr>
        <w:t xml:space="preserve">  </w:t>
      </w:r>
      <w:r w:rsidR="001462B8" w:rsidRPr="0076337A">
        <w:rPr>
          <w:rFonts w:ascii="Arial" w:hAnsi="Arial" w:cs="Arial"/>
          <w:i/>
          <w:sz w:val="20"/>
          <w:szCs w:val="20"/>
        </w:rPr>
        <w:t>Significant Relationship Between Technological Pedagogical Content Knowledge (TPACK) and Workplace Retention among Public Secondary School Teachers</w:t>
      </w:r>
    </w:p>
    <w:p w14:paraId="3580D37C" w14:textId="77777777" w:rsidR="00017E5D" w:rsidRPr="0076337A"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849"/>
        <w:gridCol w:w="739"/>
        <w:gridCol w:w="739"/>
        <w:gridCol w:w="739"/>
        <w:gridCol w:w="1591"/>
        <w:gridCol w:w="850"/>
        <w:gridCol w:w="1170"/>
      </w:tblGrid>
      <w:tr w:rsidR="00D815DA" w:rsidRPr="0076337A" w14:paraId="3A18DD2E" w14:textId="77777777" w:rsidTr="00943756">
        <w:trPr>
          <w:trHeight w:val="790"/>
        </w:trPr>
        <w:tc>
          <w:tcPr>
            <w:tcW w:w="1531" w:type="dxa"/>
            <w:tcBorders>
              <w:top w:val="single" w:sz="4" w:space="0" w:color="auto"/>
              <w:bottom w:val="single" w:sz="4" w:space="0" w:color="auto"/>
            </w:tcBorders>
          </w:tcPr>
          <w:p w14:paraId="7CD69310"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Variables</w:t>
            </w:r>
          </w:p>
        </w:tc>
        <w:tc>
          <w:tcPr>
            <w:tcW w:w="849" w:type="dxa"/>
            <w:tcBorders>
              <w:top w:val="single" w:sz="4" w:space="0" w:color="auto"/>
              <w:bottom w:val="single" w:sz="4" w:space="0" w:color="auto"/>
            </w:tcBorders>
          </w:tcPr>
          <w:p w14:paraId="4ED4CFDD"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Mean</w:t>
            </w:r>
          </w:p>
        </w:tc>
        <w:tc>
          <w:tcPr>
            <w:tcW w:w="739" w:type="dxa"/>
            <w:tcBorders>
              <w:top w:val="single" w:sz="4" w:space="0" w:color="auto"/>
              <w:bottom w:val="single" w:sz="4" w:space="0" w:color="auto"/>
            </w:tcBorders>
          </w:tcPr>
          <w:p w14:paraId="55371F49"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SD</w:t>
            </w:r>
          </w:p>
        </w:tc>
        <w:tc>
          <w:tcPr>
            <w:tcW w:w="739" w:type="dxa"/>
            <w:tcBorders>
              <w:top w:val="single" w:sz="4" w:space="0" w:color="auto"/>
              <w:bottom w:val="single" w:sz="4" w:space="0" w:color="auto"/>
            </w:tcBorders>
          </w:tcPr>
          <w:p w14:paraId="3EB810BB"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R</w:t>
            </w:r>
          </w:p>
        </w:tc>
        <w:tc>
          <w:tcPr>
            <w:tcW w:w="739" w:type="dxa"/>
            <w:tcBorders>
              <w:top w:val="single" w:sz="4" w:space="0" w:color="auto"/>
              <w:bottom w:val="single" w:sz="4" w:space="0" w:color="auto"/>
            </w:tcBorders>
          </w:tcPr>
          <w:p w14:paraId="1C389331" w14:textId="14AA575E" w:rsidR="00D815DA" w:rsidRPr="0076337A" w:rsidRDefault="00D815DA" w:rsidP="00D815DA">
            <w:pPr>
              <w:shd w:val="clear" w:color="auto" w:fill="FFFFFF"/>
              <w:spacing w:after="120"/>
              <w:jc w:val="center"/>
              <w:outlineLvl w:val="0"/>
              <w:rPr>
                <w:rFonts w:ascii="Arial" w:hAnsi="Arial"/>
                <w:b/>
                <w:bCs/>
                <w:kern w:val="36"/>
                <w:sz w:val="20"/>
                <w:szCs w:val="20"/>
              </w:rPr>
            </w:pPr>
            <w:r w:rsidRPr="0076337A">
              <w:rPr>
                <w:rFonts w:ascii="Arial" w:hAnsi="Arial"/>
                <w:b/>
                <w:bCs/>
                <w:kern w:val="36"/>
                <w:sz w:val="20"/>
                <w:szCs w:val="20"/>
              </w:rPr>
              <w:t>R²</w:t>
            </w:r>
          </w:p>
        </w:tc>
        <w:tc>
          <w:tcPr>
            <w:tcW w:w="1591" w:type="dxa"/>
            <w:tcBorders>
              <w:top w:val="single" w:sz="4" w:space="0" w:color="auto"/>
              <w:bottom w:val="single" w:sz="4" w:space="0" w:color="auto"/>
            </w:tcBorders>
          </w:tcPr>
          <w:p w14:paraId="41737786"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Degree of Relationship</w:t>
            </w:r>
          </w:p>
        </w:tc>
        <w:tc>
          <w:tcPr>
            <w:tcW w:w="850" w:type="dxa"/>
            <w:tcBorders>
              <w:top w:val="single" w:sz="4" w:space="0" w:color="auto"/>
              <w:bottom w:val="single" w:sz="4" w:space="0" w:color="auto"/>
            </w:tcBorders>
          </w:tcPr>
          <w:p w14:paraId="05BD166A"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p-value</w:t>
            </w:r>
          </w:p>
        </w:tc>
        <w:tc>
          <w:tcPr>
            <w:tcW w:w="1170" w:type="dxa"/>
            <w:tcBorders>
              <w:top w:val="single" w:sz="4" w:space="0" w:color="auto"/>
              <w:bottom w:val="single" w:sz="4" w:space="0" w:color="auto"/>
            </w:tcBorders>
          </w:tcPr>
          <w:p w14:paraId="4211A5F7"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Decision</w:t>
            </w:r>
          </w:p>
        </w:tc>
      </w:tr>
      <w:tr w:rsidR="00356ACE" w:rsidRPr="0076337A" w14:paraId="50E32557" w14:textId="77777777" w:rsidTr="008C1FF6">
        <w:trPr>
          <w:trHeight w:val="967"/>
        </w:trPr>
        <w:tc>
          <w:tcPr>
            <w:tcW w:w="1531" w:type="dxa"/>
            <w:tcBorders>
              <w:top w:val="single" w:sz="4" w:space="0" w:color="auto"/>
            </w:tcBorders>
            <w:vAlign w:val="center"/>
          </w:tcPr>
          <w:p w14:paraId="66EA0F7E" w14:textId="487182D7" w:rsidR="00356ACE" w:rsidRPr="0076337A" w:rsidRDefault="00356ACE" w:rsidP="00356ACE">
            <w:pPr>
              <w:widowControl w:val="0"/>
              <w:autoSpaceDE w:val="0"/>
              <w:autoSpaceDN w:val="0"/>
              <w:jc w:val="center"/>
              <w:rPr>
                <w:rFonts w:ascii="Arial" w:eastAsia="Arial" w:hAnsi="Arial" w:cs="Arial"/>
                <w:sz w:val="20"/>
                <w:szCs w:val="20"/>
              </w:rPr>
            </w:pPr>
            <w:r w:rsidRPr="00DA0EED">
              <w:rPr>
                <w:rFonts w:ascii="Arial" w:hAnsi="Arial" w:cs="Arial"/>
                <w:sz w:val="20"/>
                <w:szCs w:val="20"/>
              </w:rPr>
              <w:t>Technological Pedagogical Content Knowledge (TPACK)</w:t>
            </w:r>
          </w:p>
        </w:tc>
        <w:tc>
          <w:tcPr>
            <w:tcW w:w="849" w:type="dxa"/>
            <w:tcBorders>
              <w:top w:val="single" w:sz="4" w:space="0" w:color="auto"/>
            </w:tcBorders>
            <w:vAlign w:val="center"/>
          </w:tcPr>
          <w:p w14:paraId="3C613030" w14:textId="5820C9B9"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4.15</w:t>
            </w:r>
          </w:p>
        </w:tc>
        <w:tc>
          <w:tcPr>
            <w:tcW w:w="739" w:type="dxa"/>
            <w:tcBorders>
              <w:top w:val="single" w:sz="4" w:space="0" w:color="auto"/>
            </w:tcBorders>
            <w:vAlign w:val="center"/>
          </w:tcPr>
          <w:p w14:paraId="77826BFD" w14:textId="5B8D185C"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1.03</w:t>
            </w:r>
          </w:p>
        </w:tc>
        <w:tc>
          <w:tcPr>
            <w:tcW w:w="739" w:type="dxa"/>
            <w:tcBorders>
              <w:top w:val="single" w:sz="4" w:space="0" w:color="auto"/>
            </w:tcBorders>
            <w:vAlign w:val="center"/>
          </w:tcPr>
          <w:p w14:paraId="6175BED8"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739" w:type="dxa"/>
            <w:tcBorders>
              <w:top w:val="single" w:sz="4" w:space="0" w:color="auto"/>
            </w:tcBorders>
            <w:vAlign w:val="center"/>
          </w:tcPr>
          <w:p w14:paraId="7D276112"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1591" w:type="dxa"/>
            <w:tcBorders>
              <w:top w:val="single" w:sz="4" w:space="0" w:color="auto"/>
            </w:tcBorders>
            <w:vAlign w:val="center"/>
          </w:tcPr>
          <w:p w14:paraId="6AC3F25D"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850" w:type="dxa"/>
            <w:tcBorders>
              <w:top w:val="single" w:sz="4" w:space="0" w:color="auto"/>
            </w:tcBorders>
            <w:vAlign w:val="center"/>
          </w:tcPr>
          <w:p w14:paraId="7A35B951"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1170" w:type="dxa"/>
            <w:tcBorders>
              <w:top w:val="single" w:sz="4" w:space="0" w:color="auto"/>
            </w:tcBorders>
            <w:vAlign w:val="center"/>
          </w:tcPr>
          <w:p w14:paraId="7A1348F7"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r>
      <w:tr w:rsidR="00356ACE" w:rsidRPr="0076337A" w14:paraId="61744C56" w14:textId="77777777" w:rsidTr="008C1FF6">
        <w:trPr>
          <w:trHeight w:val="652"/>
        </w:trPr>
        <w:tc>
          <w:tcPr>
            <w:tcW w:w="1531" w:type="dxa"/>
            <w:vAlign w:val="center"/>
          </w:tcPr>
          <w:p w14:paraId="351C4CF4" w14:textId="77777777" w:rsidR="00356ACE" w:rsidRPr="0076337A" w:rsidRDefault="00356ACE" w:rsidP="00356ACE">
            <w:pPr>
              <w:widowControl w:val="0"/>
              <w:autoSpaceDE w:val="0"/>
              <w:autoSpaceDN w:val="0"/>
              <w:jc w:val="center"/>
              <w:rPr>
                <w:rFonts w:ascii="Arial" w:eastAsia="Arial" w:hAnsi="Arial" w:cs="Arial"/>
                <w:sz w:val="20"/>
                <w:szCs w:val="20"/>
              </w:rPr>
            </w:pPr>
          </w:p>
        </w:tc>
        <w:tc>
          <w:tcPr>
            <w:tcW w:w="849" w:type="dxa"/>
            <w:vAlign w:val="center"/>
          </w:tcPr>
          <w:p w14:paraId="19C0F805"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1AF7A751"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9DA9D8D" w14:textId="5C02F02F"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0.69</w:t>
            </w:r>
          </w:p>
        </w:tc>
        <w:tc>
          <w:tcPr>
            <w:tcW w:w="739" w:type="dxa"/>
            <w:vAlign w:val="center"/>
          </w:tcPr>
          <w:p w14:paraId="42DAFCDE" w14:textId="6063D3CC"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0.48</w:t>
            </w:r>
          </w:p>
        </w:tc>
        <w:tc>
          <w:tcPr>
            <w:tcW w:w="1591" w:type="dxa"/>
            <w:vAlign w:val="center"/>
          </w:tcPr>
          <w:p w14:paraId="6623B7E6" w14:textId="3BC131C6"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High</w:t>
            </w:r>
          </w:p>
        </w:tc>
        <w:tc>
          <w:tcPr>
            <w:tcW w:w="850" w:type="dxa"/>
            <w:vAlign w:val="center"/>
          </w:tcPr>
          <w:p w14:paraId="0352D7F0" w14:textId="658A51FA"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0.000</w:t>
            </w:r>
          </w:p>
        </w:tc>
        <w:tc>
          <w:tcPr>
            <w:tcW w:w="1170" w:type="dxa"/>
            <w:vAlign w:val="center"/>
          </w:tcPr>
          <w:p w14:paraId="1C32BC73" w14:textId="3C7FB960" w:rsidR="00356ACE" w:rsidRPr="0076337A" w:rsidRDefault="00356ACE" w:rsidP="00356ACE">
            <w:pPr>
              <w:widowControl w:val="0"/>
              <w:autoSpaceDE w:val="0"/>
              <w:autoSpaceDN w:val="0"/>
              <w:jc w:val="center"/>
              <w:rPr>
                <w:rFonts w:ascii="Arial" w:eastAsia="Arial" w:hAnsi="Arial" w:cs="Arial"/>
                <w:sz w:val="20"/>
                <w:szCs w:val="20"/>
              </w:rPr>
            </w:pPr>
            <w:r w:rsidRPr="00DA0EED">
              <w:rPr>
                <w:rFonts w:ascii="Arial" w:hAnsi="Arial" w:cs="Arial"/>
                <w:sz w:val="20"/>
                <w:szCs w:val="20"/>
              </w:rPr>
              <w:t>Reject Ho</w:t>
            </w:r>
            <w:r w:rsidRPr="00DA0EED">
              <w:rPr>
                <w:rFonts w:ascii="Cambria Math" w:hAnsi="Cambria Math" w:cs="Cambria Math"/>
                <w:sz w:val="20"/>
                <w:szCs w:val="20"/>
              </w:rPr>
              <w:t>₁</w:t>
            </w:r>
          </w:p>
        </w:tc>
      </w:tr>
      <w:tr w:rsidR="00356ACE" w:rsidRPr="0076337A" w14:paraId="670EDBF1" w14:textId="77777777" w:rsidTr="008C1FF6">
        <w:trPr>
          <w:trHeight w:val="632"/>
        </w:trPr>
        <w:tc>
          <w:tcPr>
            <w:tcW w:w="1531" w:type="dxa"/>
            <w:vAlign w:val="center"/>
          </w:tcPr>
          <w:p w14:paraId="45A177CD" w14:textId="50AD1858" w:rsidR="00356ACE" w:rsidRPr="0076337A" w:rsidRDefault="00356ACE" w:rsidP="00356ACE">
            <w:pPr>
              <w:widowControl w:val="0"/>
              <w:autoSpaceDE w:val="0"/>
              <w:autoSpaceDN w:val="0"/>
              <w:jc w:val="center"/>
              <w:rPr>
                <w:rFonts w:ascii="Arial" w:eastAsia="Arial" w:hAnsi="Arial" w:cs="Arial"/>
                <w:sz w:val="20"/>
                <w:szCs w:val="20"/>
              </w:rPr>
            </w:pPr>
            <w:r w:rsidRPr="00DA0EED">
              <w:rPr>
                <w:rFonts w:ascii="Arial" w:hAnsi="Arial" w:cs="Arial"/>
                <w:sz w:val="20"/>
                <w:szCs w:val="20"/>
              </w:rPr>
              <w:t>Workplace Retention</w:t>
            </w:r>
          </w:p>
        </w:tc>
        <w:tc>
          <w:tcPr>
            <w:tcW w:w="849" w:type="dxa"/>
            <w:vAlign w:val="center"/>
          </w:tcPr>
          <w:p w14:paraId="5E7DD747" w14:textId="5B46777E"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4.12</w:t>
            </w:r>
          </w:p>
        </w:tc>
        <w:tc>
          <w:tcPr>
            <w:tcW w:w="739" w:type="dxa"/>
            <w:vAlign w:val="center"/>
          </w:tcPr>
          <w:p w14:paraId="1CB89689" w14:textId="2495F6F8"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1.06</w:t>
            </w:r>
          </w:p>
        </w:tc>
        <w:tc>
          <w:tcPr>
            <w:tcW w:w="739" w:type="dxa"/>
            <w:vAlign w:val="center"/>
          </w:tcPr>
          <w:p w14:paraId="7073D424"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69E6922"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1591" w:type="dxa"/>
            <w:vAlign w:val="center"/>
          </w:tcPr>
          <w:p w14:paraId="2634012A"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850" w:type="dxa"/>
            <w:vAlign w:val="center"/>
          </w:tcPr>
          <w:p w14:paraId="341D6A7F"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1170" w:type="dxa"/>
            <w:vAlign w:val="center"/>
          </w:tcPr>
          <w:p w14:paraId="678B537D"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r>
    </w:tbl>
    <w:p w14:paraId="1BDBE2B2" w14:textId="77777777" w:rsidR="00717F2E" w:rsidRPr="0076337A" w:rsidRDefault="00717F2E">
      <w:pPr>
        <w:jc w:val="both"/>
        <w:rPr>
          <w:rFonts w:ascii="Arial" w:hAnsi="Arial" w:cs="Arial"/>
          <w:sz w:val="20"/>
          <w:szCs w:val="20"/>
        </w:rPr>
      </w:pPr>
    </w:p>
    <w:p w14:paraId="5FC69AE0" w14:textId="77777777" w:rsidR="00356ACE" w:rsidRPr="0076337A" w:rsidRDefault="00356ACE" w:rsidP="00356ACE">
      <w:pPr>
        <w:jc w:val="both"/>
        <w:rPr>
          <w:rFonts w:ascii="Arial" w:hAnsi="Arial" w:cs="Arial"/>
          <w:sz w:val="20"/>
          <w:szCs w:val="20"/>
        </w:rPr>
      </w:pPr>
      <w:r w:rsidRPr="0076337A">
        <w:rPr>
          <w:rFonts w:ascii="Arial" w:hAnsi="Arial" w:cs="Arial"/>
          <w:sz w:val="20"/>
          <w:szCs w:val="20"/>
        </w:rPr>
        <w:t>Presented in Table 4 is the correlation analysis between technological pedagogical content knowledge (TPACK) and workplace retention among public secondary school teachers. The computed correlation coefficient (R) is 0.69, with a p-value of 0.000, which is significantly lower than the 0.05 threshold for statistical significance. This result indicates a high and statistically significant positive relationship between TPACK and workplace retention. The coefficient of determination (R²) is 0.48, which implies that 48% of the variance in workplace retention can be explained by the extent to which teachers integrate technology, pedagogy, and content in their instructional practices. Given that the p-value is below the 0.05 level, the null hypothesis (Ho</w:t>
      </w:r>
      <w:r w:rsidRPr="0076337A">
        <w:rPr>
          <w:rFonts w:ascii="Cambria Math" w:hAnsi="Cambria Math" w:cs="Cambria Math"/>
          <w:sz w:val="20"/>
          <w:szCs w:val="20"/>
        </w:rPr>
        <w:t>₁</w:t>
      </w:r>
      <w:r w:rsidRPr="0076337A">
        <w:rPr>
          <w:rFonts w:ascii="Arial" w:hAnsi="Arial" w:cs="Arial"/>
          <w:sz w:val="20"/>
          <w:szCs w:val="20"/>
        </w:rPr>
        <w:t>) is rejected, thereby confirming that TPACK is significantly related to workplace retention among teachers.</w:t>
      </w:r>
    </w:p>
    <w:p w14:paraId="61307530" w14:textId="77777777" w:rsidR="00356ACE" w:rsidRPr="0076337A" w:rsidRDefault="00356ACE" w:rsidP="00356ACE">
      <w:pPr>
        <w:jc w:val="both"/>
        <w:rPr>
          <w:rFonts w:ascii="Arial" w:hAnsi="Arial" w:cs="Arial"/>
          <w:sz w:val="20"/>
          <w:szCs w:val="20"/>
        </w:rPr>
      </w:pPr>
    </w:p>
    <w:p w14:paraId="1B0CAF45" w14:textId="77777777" w:rsidR="00356ACE" w:rsidRPr="0076337A" w:rsidRDefault="00356ACE" w:rsidP="00356ACE">
      <w:pPr>
        <w:jc w:val="both"/>
        <w:rPr>
          <w:rFonts w:ascii="Arial" w:hAnsi="Arial" w:cs="Arial"/>
          <w:sz w:val="20"/>
          <w:szCs w:val="20"/>
        </w:rPr>
      </w:pPr>
      <w:r w:rsidRPr="0076337A">
        <w:rPr>
          <w:rFonts w:ascii="Arial" w:hAnsi="Arial" w:cs="Arial"/>
          <w:sz w:val="20"/>
          <w:szCs w:val="20"/>
        </w:rPr>
        <w:t>This finding implies that teachers who possess a more advanced level of technological pedagogical content knowledge are more likely to remain committed to the teaching profession. When educators are proficient in integrating appropriate technological tools with sound pedagogy and strong content expertise, they experience greater instructional success and professional satisfaction. This competence enhances their confidence and reduces feelings of burnout and frustration, which are critical factors influencing retention in the workplace.</w:t>
      </w:r>
    </w:p>
    <w:p w14:paraId="50ACB512" w14:textId="77777777" w:rsidR="00356ACE" w:rsidRPr="0076337A" w:rsidRDefault="00356ACE" w:rsidP="00356ACE">
      <w:pPr>
        <w:jc w:val="both"/>
        <w:rPr>
          <w:rFonts w:ascii="Arial" w:hAnsi="Arial" w:cs="Arial"/>
          <w:sz w:val="20"/>
          <w:szCs w:val="20"/>
        </w:rPr>
      </w:pPr>
    </w:p>
    <w:p w14:paraId="79180C0F" w14:textId="53DD3D24" w:rsidR="00D82866" w:rsidRPr="0076337A" w:rsidRDefault="00356ACE" w:rsidP="00216E59">
      <w:pPr>
        <w:jc w:val="both"/>
        <w:rPr>
          <w:rFonts w:ascii="Arial" w:hAnsi="Arial" w:cs="Arial"/>
          <w:sz w:val="20"/>
          <w:szCs w:val="20"/>
        </w:rPr>
      </w:pPr>
      <w:r w:rsidRPr="0076337A">
        <w:rPr>
          <w:rFonts w:ascii="Arial" w:hAnsi="Arial" w:cs="Arial"/>
          <w:sz w:val="20"/>
          <w:szCs w:val="20"/>
        </w:rPr>
        <w:lastRenderedPageBreak/>
        <w:t xml:space="preserve">This result aligns with the findings of </w:t>
      </w:r>
      <w:proofErr w:type="spellStart"/>
      <w:r w:rsidR="005D5985" w:rsidRPr="0076337A">
        <w:rPr>
          <w:rFonts w:ascii="Arial" w:hAnsi="Arial" w:cs="Arial"/>
          <w:sz w:val="20"/>
          <w:szCs w:val="20"/>
        </w:rPr>
        <w:t>Adipat</w:t>
      </w:r>
      <w:proofErr w:type="spellEnd"/>
      <w:r w:rsidR="005D5985" w:rsidRPr="0076337A">
        <w:rPr>
          <w:rFonts w:ascii="Arial" w:hAnsi="Arial" w:cs="Arial"/>
          <w:sz w:val="20"/>
          <w:szCs w:val="20"/>
        </w:rPr>
        <w:t xml:space="preserve"> </w:t>
      </w:r>
      <w:r w:rsidRPr="0076337A">
        <w:rPr>
          <w:rFonts w:ascii="Arial" w:hAnsi="Arial" w:cs="Arial"/>
          <w:sz w:val="20"/>
          <w:szCs w:val="20"/>
        </w:rPr>
        <w:t>et al. (</w:t>
      </w:r>
      <w:r w:rsidR="005D5985" w:rsidRPr="0076337A">
        <w:rPr>
          <w:rFonts w:ascii="Arial" w:hAnsi="Arial" w:cs="Arial"/>
          <w:sz w:val="20"/>
          <w:szCs w:val="20"/>
        </w:rPr>
        <w:t>2023</w:t>
      </w:r>
      <w:r w:rsidRPr="0076337A">
        <w:rPr>
          <w:rFonts w:ascii="Arial" w:hAnsi="Arial" w:cs="Arial"/>
          <w:sz w:val="20"/>
          <w:szCs w:val="20"/>
        </w:rPr>
        <w:t xml:space="preserve">), who emphasized that teachers with higher TPACK levels tend to demonstrate more satisfaction in their roles and express stronger professional commitment. Similarly, </w:t>
      </w:r>
      <w:r w:rsidR="005D5985" w:rsidRPr="0076337A">
        <w:rPr>
          <w:rFonts w:ascii="Arial" w:hAnsi="Arial" w:cs="Arial"/>
          <w:sz w:val="20"/>
          <w:szCs w:val="20"/>
        </w:rPr>
        <w:t xml:space="preserve">Jacob et al. </w:t>
      </w:r>
      <w:r w:rsidRPr="0076337A">
        <w:rPr>
          <w:rFonts w:ascii="Arial" w:hAnsi="Arial" w:cs="Arial"/>
          <w:sz w:val="20"/>
          <w:szCs w:val="20"/>
        </w:rPr>
        <w:t>(</w:t>
      </w:r>
      <w:r w:rsidR="005D5985" w:rsidRPr="0076337A">
        <w:rPr>
          <w:rFonts w:ascii="Arial" w:hAnsi="Arial" w:cs="Arial"/>
          <w:sz w:val="20"/>
          <w:szCs w:val="20"/>
        </w:rPr>
        <w:t>2020</w:t>
      </w:r>
      <w:r w:rsidRPr="0076337A">
        <w:rPr>
          <w:rFonts w:ascii="Arial" w:hAnsi="Arial" w:cs="Arial"/>
          <w:sz w:val="20"/>
          <w:szCs w:val="20"/>
        </w:rPr>
        <w:t xml:space="preserve">) highlighted that TPACK proficiency supports instructional flexibility and innovation, which contribute to a more rewarding teaching experience. Furthermore, </w:t>
      </w:r>
      <w:r w:rsidR="005D5985" w:rsidRPr="0076337A">
        <w:rPr>
          <w:rFonts w:ascii="Arial" w:hAnsi="Arial" w:cs="Arial"/>
          <w:sz w:val="20"/>
          <w:szCs w:val="20"/>
        </w:rPr>
        <w:t xml:space="preserve">Nartey </w:t>
      </w:r>
      <w:r w:rsidRPr="0076337A">
        <w:rPr>
          <w:rFonts w:ascii="Arial" w:hAnsi="Arial" w:cs="Arial"/>
          <w:sz w:val="20"/>
          <w:szCs w:val="20"/>
        </w:rPr>
        <w:t>(</w:t>
      </w:r>
      <w:r w:rsidR="005D5985" w:rsidRPr="0076337A">
        <w:rPr>
          <w:rFonts w:ascii="Arial" w:hAnsi="Arial" w:cs="Arial"/>
          <w:sz w:val="20"/>
          <w:szCs w:val="20"/>
        </w:rPr>
        <w:t>2023</w:t>
      </w:r>
      <w:r w:rsidRPr="0076337A">
        <w:rPr>
          <w:rFonts w:ascii="Arial" w:hAnsi="Arial" w:cs="Arial"/>
          <w:sz w:val="20"/>
          <w:szCs w:val="20"/>
        </w:rPr>
        <w:t>) found that the effective integration of TPACK fosters teacher efficacy, motivation, and long-term engagement in their schools. These findings confirm that enhancing TPACK among teachers is an important strategy to improve teacher retention and ensure consistent educational quality.</w:t>
      </w:r>
    </w:p>
    <w:p w14:paraId="1FB8CBC1" w14:textId="2B0212CF" w:rsidR="00017E5D" w:rsidRPr="0076337A" w:rsidRDefault="00017E5D" w:rsidP="00017E5D">
      <w:pPr>
        <w:jc w:val="both"/>
        <w:rPr>
          <w:rFonts w:ascii="Arial" w:hAnsi="Arial" w:cs="Arial"/>
          <w:sz w:val="20"/>
          <w:szCs w:val="20"/>
        </w:rPr>
      </w:pPr>
    </w:p>
    <w:p w14:paraId="480B46C9" w14:textId="5304A900" w:rsidR="00943756" w:rsidRPr="0076337A" w:rsidRDefault="00943756" w:rsidP="00943756">
      <w:pPr>
        <w:jc w:val="both"/>
        <w:rPr>
          <w:rFonts w:ascii="Arial" w:hAnsi="Arial" w:cs="Arial"/>
          <w:b/>
          <w:bCs/>
          <w:iCs/>
          <w:sz w:val="20"/>
          <w:szCs w:val="20"/>
        </w:rPr>
      </w:pPr>
      <w:r w:rsidRPr="0076337A">
        <w:rPr>
          <w:rFonts w:ascii="Arial" w:hAnsi="Arial" w:cs="Arial"/>
          <w:b/>
          <w:bCs/>
          <w:iCs/>
          <w:sz w:val="20"/>
          <w:szCs w:val="20"/>
        </w:rPr>
        <w:t xml:space="preserve">3.5 </w:t>
      </w:r>
      <w:r w:rsidR="00477570" w:rsidRPr="0076337A">
        <w:rPr>
          <w:rFonts w:ascii="Arial" w:hAnsi="Arial" w:cs="Arial"/>
          <w:b/>
          <w:bCs/>
          <w:iCs/>
          <w:sz w:val="20"/>
          <w:szCs w:val="20"/>
        </w:rPr>
        <w:t>Significant Relationship Between Reflective Teaching Practices and Workplace Retention among Public Secondary School Teachers</w:t>
      </w:r>
    </w:p>
    <w:p w14:paraId="73A76D13" w14:textId="77777777" w:rsidR="00943756" w:rsidRPr="0076337A" w:rsidRDefault="00943756" w:rsidP="00943756">
      <w:pPr>
        <w:jc w:val="both"/>
        <w:rPr>
          <w:rFonts w:ascii="Arial" w:hAnsi="Arial" w:cs="Arial"/>
          <w:iCs/>
          <w:sz w:val="20"/>
          <w:szCs w:val="20"/>
        </w:rPr>
      </w:pPr>
    </w:p>
    <w:p w14:paraId="79106CDB" w14:textId="478D44D7" w:rsidR="00943756" w:rsidRPr="0076337A" w:rsidRDefault="00943756" w:rsidP="00943756">
      <w:pPr>
        <w:jc w:val="both"/>
        <w:rPr>
          <w:rFonts w:ascii="Arial" w:hAnsi="Arial" w:cs="Arial"/>
          <w:i/>
          <w:sz w:val="20"/>
          <w:szCs w:val="20"/>
        </w:rPr>
      </w:pPr>
      <w:r w:rsidRPr="0076337A">
        <w:rPr>
          <w:rFonts w:ascii="Arial" w:hAnsi="Arial" w:cs="Arial"/>
          <w:iCs/>
          <w:sz w:val="20"/>
          <w:szCs w:val="20"/>
        </w:rPr>
        <w:t xml:space="preserve">Table </w:t>
      </w:r>
      <w:r w:rsidR="00477570" w:rsidRPr="0076337A">
        <w:rPr>
          <w:rFonts w:ascii="Arial" w:hAnsi="Arial" w:cs="Arial"/>
          <w:iCs/>
          <w:sz w:val="20"/>
          <w:szCs w:val="20"/>
        </w:rPr>
        <w:t>5</w:t>
      </w:r>
      <w:r w:rsidRPr="0076337A">
        <w:rPr>
          <w:rFonts w:ascii="Arial" w:hAnsi="Arial" w:cs="Arial"/>
          <w:iCs/>
          <w:sz w:val="20"/>
          <w:szCs w:val="20"/>
        </w:rPr>
        <w:t xml:space="preserve">.  </w:t>
      </w:r>
      <w:r w:rsidR="00477570" w:rsidRPr="0076337A">
        <w:rPr>
          <w:rFonts w:ascii="Arial" w:hAnsi="Arial" w:cs="Arial"/>
          <w:i/>
          <w:sz w:val="20"/>
          <w:szCs w:val="20"/>
        </w:rPr>
        <w:t>Significant Relationship Between Reflective Teaching Practices and Workplace Retention among Public Secondary School Teachers</w:t>
      </w:r>
    </w:p>
    <w:p w14:paraId="062D109D" w14:textId="77777777" w:rsidR="00943756" w:rsidRPr="0076337A" w:rsidRDefault="00943756" w:rsidP="00943756">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849"/>
        <w:gridCol w:w="739"/>
        <w:gridCol w:w="739"/>
        <w:gridCol w:w="739"/>
        <w:gridCol w:w="1591"/>
        <w:gridCol w:w="850"/>
        <w:gridCol w:w="1170"/>
      </w:tblGrid>
      <w:tr w:rsidR="00943756" w:rsidRPr="0076337A" w14:paraId="31EAF4B3" w14:textId="77777777" w:rsidTr="004C1123">
        <w:trPr>
          <w:trHeight w:val="790"/>
        </w:trPr>
        <w:tc>
          <w:tcPr>
            <w:tcW w:w="1531" w:type="dxa"/>
            <w:tcBorders>
              <w:top w:val="single" w:sz="4" w:space="0" w:color="auto"/>
              <w:bottom w:val="single" w:sz="4" w:space="0" w:color="auto"/>
            </w:tcBorders>
          </w:tcPr>
          <w:p w14:paraId="09E2FEAD"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Variables</w:t>
            </w:r>
          </w:p>
        </w:tc>
        <w:tc>
          <w:tcPr>
            <w:tcW w:w="849" w:type="dxa"/>
            <w:tcBorders>
              <w:top w:val="single" w:sz="4" w:space="0" w:color="auto"/>
              <w:bottom w:val="single" w:sz="4" w:space="0" w:color="auto"/>
            </w:tcBorders>
          </w:tcPr>
          <w:p w14:paraId="6450E9B1"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Mean</w:t>
            </w:r>
          </w:p>
        </w:tc>
        <w:tc>
          <w:tcPr>
            <w:tcW w:w="739" w:type="dxa"/>
            <w:tcBorders>
              <w:top w:val="single" w:sz="4" w:space="0" w:color="auto"/>
              <w:bottom w:val="single" w:sz="4" w:space="0" w:color="auto"/>
            </w:tcBorders>
          </w:tcPr>
          <w:p w14:paraId="0F222A02"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SD</w:t>
            </w:r>
          </w:p>
        </w:tc>
        <w:tc>
          <w:tcPr>
            <w:tcW w:w="739" w:type="dxa"/>
            <w:tcBorders>
              <w:top w:val="single" w:sz="4" w:space="0" w:color="auto"/>
              <w:bottom w:val="single" w:sz="4" w:space="0" w:color="auto"/>
            </w:tcBorders>
          </w:tcPr>
          <w:p w14:paraId="2CB24820"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R</w:t>
            </w:r>
          </w:p>
        </w:tc>
        <w:tc>
          <w:tcPr>
            <w:tcW w:w="739" w:type="dxa"/>
            <w:tcBorders>
              <w:top w:val="single" w:sz="4" w:space="0" w:color="auto"/>
              <w:bottom w:val="single" w:sz="4" w:space="0" w:color="auto"/>
            </w:tcBorders>
          </w:tcPr>
          <w:p w14:paraId="4E85AC58" w14:textId="77777777" w:rsidR="00943756" w:rsidRPr="0076337A" w:rsidRDefault="00943756" w:rsidP="004C1123">
            <w:pPr>
              <w:shd w:val="clear" w:color="auto" w:fill="FFFFFF"/>
              <w:spacing w:after="120"/>
              <w:jc w:val="center"/>
              <w:outlineLvl w:val="0"/>
              <w:rPr>
                <w:rFonts w:ascii="Arial" w:hAnsi="Arial"/>
                <w:b/>
                <w:bCs/>
                <w:kern w:val="36"/>
                <w:sz w:val="20"/>
                <w:szCs w:val="20"/>
              </w:rPr>
            </w:pPr>
            <w:r w:rsidRPr="0076337A">
              <w:rPr>
                <w:rFonts w:ascii="Arial" w:hAnsi="Arial"/>
                <w:b/>
                <w:bCs/>
                <w:kern w:val="36"/>
                <w:sz w:val="20"/>
                <w:szCs w:val="20"/>
              </w:rPr>
              <w:t>R²</w:t>
            </w:r>
          </w:p>
        </w:tc>
        <w:tc>
          <w:tcPr>
            <w:tcW w:w="1591" w:type="dxa"/>
            <w:tcBorders>
              <w:top w:val="single" w:sz="4" w:space="0" w:color="auto"/>
              <w:bottom w:val="single" w:sz="4" w:space="0" w:color="auto"/>
            </w:tcBorders>
          </w:tcPr>
          <w:p w14:paraId="79319910"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Degree of Relationship</w:t>
            </w:r>
          </w:p>
        </w:tc>
        <w:tc>
          <w:tcPr>
            <w:tcW w:w="850" w:type="dxa"/>
            <w:tcBorders>
              <w:top w:val="single" w:sz="4" w:space="0" w:color="auto"/>
              <w:bottom w:val="single" w:sz="4" w:space="0" w:color="auto"/>
            </w:tcBorders>
          </w:tcPr>
          <w:p w14:paraId="7EC9E6A1"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p-value</w:t>
            </w:r>
          </w:p>
        </w:tc>
        <w:tc>
          <w:tcPr>
            <w:tcW w:w="1170" w:type="dxa"/>
            <w:tcBorders>
              <w:top w:val="single" w:sz="4" w:space="0" w:color="auto"/>
              <w:bottom w:val="single" w:sz="4" w:space="0" w:color="auto"/>
            </w:tcBorders>
          </w:tcPr>
          <w:p w14:paraId="22A1BD61"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Decision</w:t>
            </w:r>
          </w:p>
        </w:tc>
      </w:tr>
      <w:tr w:rsidR="00BE10E0" w:rsidRPr="0076337A" w14:paraId="7109E61C" w14:textId="77777777" w:rsidTr="00D11801">
        <w:trPr>
          <w:trHeight w:val="967"/>
        </w:trPr>
        <w:tc>
          <w:tcPr>
            <w:tcW w:w="1531" w:type="dxa"/>
            <w:tcBorders>
              <w:top w:val="single" w:sz="4" w:space="0" w:color="auto"/>
            </w:tcBorders>
            <w:vAlign w:val="center"/>
          </w:tcPr>
          <w:p w14:paraId="1DBA554A" w14:textId="00E67B58" w:rsidR="00BE10E0" w:rsidRPr="0076337A" w:rsidRDefault="00BE10E0" w:rsidP="00BE10E0">
            <w:pPr>
              <w:widowControl w:val="0"/>
              <w:autoSpaceDE w:val="0"/>
              <w:autoSpaceDN w:val="0"/>
              <w:jc w:val="center"/>
              <w:rPr>
                <w:rFonts w:ascii="Arial" w:eastAsia="Arial" w:hAnsi="Arial" w:cs="Arial"/>
                <w:sz w:val="20"/>
                <w:szCs w:val="20"/>
              </w:rPr>
            </w:pPr>
            <w:r w:rsidRPr="00DA0EED">
              <w:rPr>
                <w:rFonts w:ascii="Arial" w:hAnsi="Arial" w:cs="Arial"/>
                <w:sz w:val="20"/>
                <w:szCs w:val="20"/>
              </w:rPr>
              <w:t>Reflective Teaching Practices</w:t>
            </w:r>
          </w:p>
        </w:tc>
        <w:tc>
          <w:tcPr>
            <w:tcW w:w="849" w:type="dxa"/>
            <w:tcBorders>
              <w:top w:val="single" w:sz="4" w:space="0" w:color="auto"/>
            </w:tcBorders>
            <w:vAlign w:val="center"/>
          </w:tcPr>
          <w:p w14:paraId="1066BEB1" w14:textId="6EA98052"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4.17</w:t>
            </w:r>
          </w:p>
        </w:tc>
        <w:tc>
          <w:tcPr>
            <w:tcW w:w="739" w:type="dxa"/>
            <w:tcBorders>
              <w:top w:val="single" w:sz="4" w:space="0" w:color="auto"/>
            </w:tcBorders>
            <w:vAlign w:val="center"/>
          </w:tcPr>
          <w:p w14:paraId="50AE58BA" w14:textId="39B433B2"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1.00</w:t>
            </w:r>
          </w:p>
        </w:tc>
        <w:tc>
          <w:tcPr>
            <w:tcW w:w="739" w:type="dxa"/>
            <w:tcBorders>
              <w:top w:val="single" w:sz="4" w:space="0" w:color="auto"/>
            </w:tcBorders>
            <w:vAlign w:val="center"/>
          </w:tcPr>
          <w:p w14:paraId="4B8EBBE6"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739" w:type="dxa"/>
            <w:tcBorders>
              <w:top w:val="single" w:sz="4" w:space="0" w:color="auto"/>
            </w:tcBorders>
            <w:vAlign w:val="center"/>
          </w:tcPr>
          <w:p w14:paraId="3DCB48B6"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1591" w:type="dxa"/>
            <w:tcBorders>
              <w:top w:val="single" w:sz="4" w:space="0" w:color="auto"/>
            </w:tcBorders>
            <w:vAlign w:val="center"/>
          </w:tcPr>
          <w:p w14:paraId="3AB14602"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850" w:type="dxa"/>
            <w:tcBorders>
              <w:top w:val="single" w:sz="4" w:space="0" w:color="auto"/>
            </w:tcBorders>
            <w:vAlign w:val="center"/>
          </w:tcPr>
          <w:p w14:paraId="3DD7970A"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1170" w:type="dxa"/>
            <w:tcBorders>
              <w:top w:val="single" w:sz="4" w:space="0" w:color="auto"/>
            </w:tcBorders>
            <w:vAlign w:val="center"/>
          </w:tcPr>
          <w:p w14:paraId="12CA2C15"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r>
      <w:tr w:rsidR="00BE10E0" w:rsidRPr="0076337A" w14:paraId="4CD267B3" w14:textId="77777777" w:rsidTr="00D11801">
        <w:trPr>
          <w:trHeight w:val="652"/>
        </w:trPr>
        <w:tc>
          <w:tcPr>
            <w:tcW w:w="1531" w:type="dxa"/>
            <w:vAlign w:val="center"/>
          </w:tcPr>
          <w:p w14:paraId="23CDC120" w14:textId="77777777" w:rsidR="00BE10E0" w:rsidRPr="0076337A" w:rsidRDefault="00BE10E0" w:rsidP="00BE10E0">
            <w:pPr>
              <w:widowControl w:val="0"/>
              <w:autoSpaceDE w:val="0"/>
              <w:autoSpaceDN w:val="0"/>
              <w:jc w:val="center"/>
              <w:rPr>
                <w:rFonts w:ascii="Arial" w:eastAsia="Arial" w:hAnsi="Arial" w:cs="Arial"/>
                <w:sz w:val="20"/>
                <w:szCs w:val="20"/>
              </w:rPr>
            </w:pPr>
          </w:p>
        </w:tc>
        <w:tc>
          <w:tcPr>
            <w:tcW w:w="849" w:type="dxa"/>
            <w:vAlign w:val="center"/>
          </w:tcPr>
          <w:p w14:paraId="2776B355"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0FCA7B08"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65DE8964" w14:textId="39C83374"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0.70</w:t>
            </w:r>
          </w:p>
        </w:tc>
        <w:tc>
          <w:tcPr>
            <w:tcW w:w="739" w:type="dxa"/>
            <w:vAlign w:val="center"/>
          </w:tcPr>
          <w:p w14:paraId="2549B6F8" w14:textId="281507E5"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0.49</w:t>
            </w:r>
          </w:p>
        </w:tc>
        <w:tc>
          <w:tcPr>
            <w:tcW w:w="1591" w:type="dxa"/>
            <w:vAlign w:val="center"/>
          </w:tcPr>
          <w:p w14:paraId="17FD0251" w14:textId="31ECF1D7"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High</w:t>
            </w:r>
          </w:p>
        </w:tc>
        <w:tc>
          <w:tcPr>
            <w:tcW w:w="850" w:type="dxa"/>
            <w:vAlign w:val="center"/>
          </w:tcPr>
          <w:p w14:paraId="604E9612" w14:textId="191E11D5"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0.000</w:t>
            </w:r>
          </w:p>
        </w:tc>
        <w:tc>
          <w:tcPr>
            <w:tcW w:w="1170" w:type="dxa"/>
            <w:vAlign w:val="center"/>
          </w:tcPr>
          <w:p w14:paraId="41E016AB" w14:textId="36AB8374" w:rsidR="00BE10E0" w:rsidRPr="0076337A" w:rsidRDefault="00BE10E0" w:rsidP="00BE10E0">
            <w:pPr>
              <w:widowControl w:val="0"/>
              <w:autoSpaceDE w:val="0"/>
              <w:autoSpaceDN w:val="0"/>
              <w:jc w:val="center"/>
              <w:rPr>
                <w:rFonts w:ascii="Arial" w:eastAsia="Arial" w:hAnsi="Arial" w:cs="Arial"/>
                <w:sz w:val="20"/>
                <w:szCs w:val="20"/>
              </w:rPr>
            </w:pPr>
            <w:r w:rsidRPr="00DA0EED">
              <w:rPr>
                <w:rFonts w:ascii="Arial" w:hAnsi="Arial" w:cs="Arial"/>
                <w:sz w:val="20"/>
                <w:szCs w:val="20"/>
              </w:rPr>
              <w:t>Reject Ho</w:t>
            </w:r>
            <w:r w:rsidRPr="00DA0EED">
              <w:rPr>
                <w:rFonts w:ascii="Cambria Math" w:hAnsi="Cambria Math" w:cs="Cambria Math"/>
                <w:sz w:val="20"/>
                <w:szCs w:val="20"/>
              </w:rPr>
              <w:t>₁</w:t>
            </w:r>
          </w:p>
        </w:tc>
      </w:tr>
      <w:tr w:rsidR="00BE10E0" w:rsidRPr="0076337A" w14:paraId="2C2AF4D5" w14:textId="77777777" w:rsidTr="00D11801">
        <w:trPr>
          <w:trHeight w:val="632"/>
        </w:trPr>
        <w:tc>
          <w:tcPr>
            <w:tcW w:w="1531" w:type="dxa"/>
            <w:vAlign w:val="center"/>
          </w:tcPr>
          <w:p w14:paraId="3EE1261A" w14:textId="37FDDF23" w:rsidR="00BE10E0" w:rsidRPr="0076337A" w:rsidRDefault="00BE10E0" w:rsidP="00BE10E0">
            <w:pPr>
              <w:widowControl w:val="0"/>
              <w:autoSpaceDE w:val="0"/>
              <w:autoSpaceDN w:val="0"/>
              <w:jc w:val="center"/>
              <w:rPr>
                <w:rFonts w:ascii="Arial" w:eastAsia="Arial" w:hAnsi="Arial" w:cs="Arial"/>
                <w:sz w:val="20"/>
                <w:szCs w:val="20"/>
              </w:rPr>
            </w:pPr>
            <w:r w:rsidRPr="00DA0EED">
              <w:rPr>
                <w:rFonts w:ascii="Arial" w:hAnsi="Arial" w:cs="Arial"/>
                <w:sz w:val="20"/>
                <w:szCs w:val="20"/>
              </w:rPr>
              <w:t>Workplace Retention</w:t>
            </w:r>
          </w:p>
        </w:tc>
        <w:tc>
          <w:tcPr>
            <w:tcW w:w="849" w:type="dxa"/>
            <w:vAlign w:val="center"/>
          </w:tcPr>
          <w:p w14:paraId="5E7F98BF" w14:textId="63FFB67B"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4.12</w:t>
            </w:r>
          </w:p>
        </w:tc>
        <w:tc>
          <w:tcPr>
            <w:tcW w:w="739" w:type="dxa"/>
            <w:vAlign w:val="center"/>
          </w:tcPr>
          <w:p w14:paraId="6013C767" w14:textId="35F23F12"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1.06</w:t>
            </w:r>
          </w:p>
        </w:tc>
        <w:tc>
          <w:tcPr>
            <w:tcW w:w="739" w:type="dxa"/>
            <w:vAlign w:val="center"/>
          </w:tcPr>
          <w:p w14:paraId="71D5A975"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CD2F50D"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1591" w:type="dxa"/>
            <w:vAlign w:val="center"/>
          </w:tcPr>
          <w:p w14:paraId="340FBDD4"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850" w:type="dxa"/>
            <w:vAlign w:val="center"/>
          </w:tcPr>
          <w:p w14:paraId="5AF23A24"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1170" w:type="dxa"/>
            <w:vAlign w:val="center"/>
          </w:tcPr>
          <w:p w14:paraId="19AD65E6"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r>
    </w:tbl>
    <w:p w14:paraId="06FF65C6" w14:textId="77777777" w:rsidR="00943756" w:rsidRPr="0076337A" w:rsidRDefault="00943756" w:rsidP="00943756">
      <w:pPr>
        <w:jc w:val="both"/>
        <w:rPr>
          <w:rFonts w:ascii="Arial" w:hAnsi="Arial" w:cs="Arial"/>
          <w:sz w:val="20"/>
          <w:szCs w:val="20"/>
        </w:rPr>
      </w:pPr>
    </w:p>
    <w:p w14:paraId="6EBE7C40" w14:textId="77777777" w:rsidR="005704B3" w:rsidRPr="0076337A" w:rsidRDefault="005704B3" w:rsidP="005704B3">
      <w:pPr>
        <w:jc w:val="both"/>
        <w:rPr>
          <w:rFonts w:ascii="Arial" w:hAnsi="Arial" w:cs="Arial"/>
          <w:sz w:val="20"/>
          <w:szCs w:val="20"/>
        </w:rPr>
      </w:pPr>
      <w:r w:rsidRPr="0076337A">
        <w:rPr>
          <w:rFonts w:ascii="Arial" w:hAnsi="Arial" w:cs="Arial"/>
          <w:sz w:val="20"/>
          <w:szCs w:val="20"/>
        </w:rPr>
        <w:t>Presented in Table 5 is the correlation analysis between reflective teaching practices and workplace retention among public secondary school teachers. The computed correlation coefficient (R) is 0.70, accompanied by a p-value of 0.000, which is well below the 0.05 significance threshold. This indicates a high and statistically significant positive correlation between reflective teaching practices and workplace retention. The coefficient of determination (R²) is 0.49, meaning that nearly half (49%) of the variance in workplace retention can be attributed to the level of reflective teaching exhibited by the teachers. Given this result, the null hypothesis (Ho</w:t>
      </w:r>
      <w:r w:rsidRPr="0076337A">
        <w:rPr>
          <w:rFonts w:ascii="Cambria Math" w:hAnsi="Cambria Math" w:cs="Cambria Math"/>
          <w:sz w:val="20"/>
          <w:szCs w:val="20"/>
        </w:rPr>
        <w:t>₁</w:t>
      </w:r>
      <w:r w:rsidRPr="0076337A">
        <w:rPr>
          <w:rFonts w:ascii="Arial" w:hAnsi="Arial" w:cs="Arial"/>
          <w:sz w:val="20"/>
          <w:szCs w:val="20"/>
        </w:rPr>
        <w:t>) is rejected, confirming that reflective teaching practices have a significant relationship with workplace retention.</w:t>
      </w:r>
    </w:p>
    <w:p w14:paraId="1CB1A088" w14:textId="77777777" w:rsidR="005704B3" w:rsidRPr="0076337A" w:rsidRDefault="005704B3" w:rsidP="005704B3">
      <w:pPr>
        <w:jc w:val="both"/>
        <w:rPr>
          <w:rFonts w:ascii="Arial" w:hAnsi="Arial" w:cs="Arial"/>
          <w:sz w:val="20"/>
          <w:szCs w:val="20"/>
        </w:rPr>
      </w:pPr>
    </w:p>
    <w:p w14:paraId="65684FDB" w14:textId="77777777" w:rsidR="005704B3" w:rsidRPr="0076337A" w:rsidRDefault="005704B3" w:rsidP="005704B3">
      <w:pPr>
        <w:jc w:val="both"/>
        <w:rPr>
          <w:rFonts w:ascii="Arial" w:hAnsi="Arial" w:cs="Arial"/>
          <w:sz w:val="20"/>
          <w:szCs w:val="20"/>
        </w:rPr>
      </w:pPr>
      <w:r w:rsidRPr="0076337A">
        <w:rPr>
          <w:rFonts w:ascii="Arial" w:hAnsi="Arial" w:cs="Arial"/>
          <w:sz w:val="20"/>
          <w:szCs w:val="20"/>
        </w:rPr>
        <w:t>This result implies that teachers who actively and consistently reflect on their instructional strategies, student engagement, and personal growth are more likely to stay in the teaching profession. Reflective practices allow educators to better understand their professional identity, identify areas for improvement, and make informed changes that enhance their effectiveness. This ongoing process of self-evaluation contributes to professional resilience, reduced stress, and a stronger sense of fulfillment, all of which are critical to teacher retention.</w:t>
      </w:r>
    </w:p>
    <w:p w14:paraId="6DCC6537" w14:textId="77777777" w:rsidR="005704B3" w:rsidRPr="0076337A" w:rsidRDefault="005704B3" w:rsidP="005704B3">
      <w:pPr>
        <w:jc w:val="both"/>
        <w:rPr>
          <w:rFonts w:ascii="Arial" w:hAnsi="Arial" w:cs="Arial"/>
          <w:sz w:val="20"/>
          <w:szCs w:val="20"/>
        </w:rPr>
      </w:pPr>
    </w:p>
    <w:p w14:paraId="22C57827" w14:textId="3072FC02" w:rsidR="00943756" w:rsidRPr="0076337A" w:rsidRDefault="005704B3" w:rsidP="005704B3">
      <w:pPr>
        <w:jc w:val="both"/>
        <w:rPr>
          <w:rFonts w:ascii="Arial" w:hAnsi="Arial" w:cs="Arial"/>
          <w:sz w:val="20"/>
          <w:szCs w:val="20"/>
        </w:rPr>
      </w:pPr>
      <w:r w:rsidRPr="0076337A">
        <w:rPr>
          <w:rFonts w:ascii="Arial" w:hAnsi="Arial" w:cs="Arial"/>
          <w:sz w:val="20"/>
          <w:szCs w:val="20"/>
        </w:rPr>
        <w:t xml:space="preserve">This finding is supported by the research of </w:t>
      </w:r>
      <w:r w:rsidR="004408A9" w:rsidRPr="0076337A">
        <w:rPr>
          <w:rFonts w:ascii="Arial" w:hAnsi="Arial" w:cs="Arial"/>
          <w:sz w:val="20"/>
          <w:szCs w:val="20"/>
        </w:rPr>
        <w:t xml:space="preserve">Tompkins </w:t>
      </w:r>
      <w:r w:rsidRPr="0076337A">
        <w:rPr>
          <w:rFonts w:ascii="Arial" w:hAnsi="Arial" w:cs="Arial"/>
          <w:sz w:val="20"/>
          <w:szCs w:val="20"/>
        </w:rPr>
        <w:t xml:space="preserve">(2023), who asserted that reflective teaching is essential in promoting job satisfaction and long-term engagement in the teaching profession. </w:t>
      </w:r>
      <w:r w:rsidR="00422C7D" w:rsidRPr="0076337A">
        <w:rPr>
          <w:rFonts w:ascii="Arial" w:hAnsi="Arial" w:cs="Arial"/>
          <w:sz w:val="20"/>
          <w:szCs w:val="20"/>
        </w:rPr>
        <w:t xml:space="preserve">See et al. </w:t>
      </w:r>
      <w:r w:rsidRPr="0076337A">
        <w:rPr>
          <w:rFonts w:ascii="Arial" w:hAnsi="Arial" w:cs="Arial"/>
          <w:sz w:val="20"/>
          <w:szCs w:val="20"/>
        </w:rPr>
        <w:t>(</w:t>
      </w:r>
      <w:r w:rsidR="00422C7D" w:rsidRPr="0076337A">
        <w:rPr>
          <w:rFonts w:ascii="Arial" w:hAnsi="Arial" w:cs="Arial"/>
          <w:sz w:val="20"/>
          <w:szCs w:val="20"/>
        </w:rPr>
        <w:t>2020</w:t>
      </w:r>
      <w:r w:rsidRPr="0076337A">
        <w:rPr>
          <w:rFonts w:ascii="Arial" w:hAnsi="Arial" w:cs="Arial"/>
          <w:sz w:val="20"/>
          <w:szCs w:val="20"/>
        </w:rPr>
        <w:t xml:space="preserve">) similarly emphasized that reflective educators develop stronger coping mechanisms, greater adaptability, and a deeper connection to their roles, leading to sustained career longevity. Additionally, </w:t>
      </w:r>
      <w:r w:rsidR="00AC6E42" w:rsidRPr="0076337A">
        <w:rPr>
          <w:rFonts w:ascii="Arial" w:hAnsi="Arial" w:cs="Arial"/>
          <w:sz w:val="20"/>
          <w:szCs w:val="20"/>
        </w:rPr>
        <w:t xml:space="preserve">Gross </w:t>
      </w:r>
      <w:r w:rsidRPr="0076337A">
        <w:rPr>
          <w:rFonts w:ascii="Arial" w:hAnsi="Arial" w:cs="Arial"/>
          <w:sz w:val="20"/>
          <w:szCs w:val="20"/>
        </w:rPr>
        <w:t>(</w:t>
      </w:r>
      <w:r w:rsidR="00AC6E42" w:rsidRPr="0076337A">
        <w:rPr>
          <w:rFonts w:ascii="Arial" w:hAnsi="Arial" w:cs="Arial"/>
          <w:sz w:val="20"/>
          <w:szCs w:val="20"/>
        </w:rPr>
        <w:t>2020</w:t>
      </w:r>
      <w:r w:rsidRPr="0076337A">
        <w:rPr>
          <w:rFonts w:ascii="Arial" w:hAnsi="Arial" w:cs="Arial"/>
          <w:sz w:val="20"/>
          <w:szCs w:val="20"/>
        </w:rPr>
        <w:t xml:space="preserve">) observed that when teachers align their daily classroom practices with broader pedagogical goals through reflection, they experience </w:t>
      </w:r>
      <w:r w:rsidRPr="0076337A">
        <w:rPr>
          <w:rFonts w:ascii="Arial" w:hAnsi="Arial" w:cs="Arial"/>
          <w:sz w:val="20"/>
          <w:szCs w:val="20"/>
        </w:rPr>
        <w:lastRenderedPageBreak/>
        <w:t>a sense of purpose and belonging in their institutions. Altogether, these findings affirm that reflective teaching practices are a key driver of teacher retention and institutional continuity.</w:t>
      </w:r>
    </w:p>
    <w:p w14:paraId="2E3462A4" w14:textId="77777777" w:rsidR="00943756" w:rsidRPr="0076337A" w:rsidRDefault="00943756" w:rsidP="00017E5D">
      <w:pPr>
        <w:jc w:val="both"/>
        <w:rPr>
          <w:rFonts w:ascii="Arial" w:hAnsi="Arial" w:cs="Arial"/>
          <w:sz w:val="20"/>
          <w:szCs w:val="20"/>
        </w:rPr>
      </w:pPr>
    </w:p>
    <w:p w14:paraId="0D8ABDEF" w14:textId="4F6529D4" w:rsidR="00914755" w:rsidRPr="0076337A" w:rsidRDefault="00665D1C" w:rsidP="00151F8F">
      <w:pPr>
        <w:jc w:val="both"/>
        <w:rPr>
          <w:rFonts w:ascii="Arial" w:hAnsi="Arial" w:cs="Arial"/>
          <w:b/>
          <w:bCs/>
          <w:iCs/>
          <w:sz w:val="20"/>
          <w:szCs w:val="20"/>
        </w:rPr>
      </w:pPr>
      <w:r w:rsidRPr="0076337A">
        <w:rPr>
          <w:rFonts w:ascii="Arial" w:hAnsi="Arial" w:cs="Arial"/>
          <w:b/>
          <w:bCs/>
          <w:iCs/>
          <w:sz w:val="20"/>
          <w:szCs w:val="20"/>
        </w:rPr>
        <w:t>3.</w:t>
      </w:r>
      <w:r w:rsidR="006C3F9D" w:rsidRPr="0076337A">
        <w:rPr>
          <w:rFonts w:ascii="Arial" w:hAnsi="Arial" w:cs="Arial"/>
          <w:b/>
          <w:bCs/>
          <w:iCs/>
          <w:sz w:val="20"/>
          <w:szCs w:val="20"/>
        </w:rPr>
        <w:t>6</w:t>
      </w:r>
      <w:r w:rsidR="00271F07" w:rsidRPr="0076337A">
        <w:rPr>
          <w:rFonts w:ascii="Arial" w:hAnsi="Arial" w:cs="Arial"/>
          <w:b/>
          <w:bCs/>
          <w:iCs/>
          <w:sz w:val="20"/>
          <w:szCs w:val="20"/>
        </w:rPr>
        <w:t>.</w:t>
      </w:r>
      <w:r w:rsidRPr="0076337A">
        <w:rPr>
          <w:rFonts w:ascii="Arial" w:hAnsi="Arial" w:cs="Arial"/>
          <w:b/>
          <w:bCs/>
          <w:iCs/>
          <w:sz w:val="20"/>
          <w:szCs w:val="20"/>
        </w:rPr>
        <w:t xml:space="preserve"> </w:t>
      </w:r>
      <w:r w:rsidR="005C004F" w:rsidRPr="0076337A">
        <w:rPr>
          <w:rFonts w:ascii="Arial" w:hAnsi="Arial" w:cs="Arial"/>
          <w:b/>
          <w:bCs/>
          <w:iCs/>
          <w:sz w:val="20"/>
          <w:szCs w:val="20"/>
        </w:rPr>
        <w:t>Significant Influence of Technological Pedagogical Content Knowledge (TPACK) and Reflective Teaching Practices on Workplace Retention among Public Secondary School Teachers</w:t>
      </w:r>
    </w:p>
    <w:p w14:paraId="7568132A" w14:textId="77777777" w:rsidR="00914755" w:rsidRPr="0076337A" w:rsidRDefault="00914755" w:rsidP="00665D1C">
      <w:pPr>
        <w:rPr>
          <w:rFonts w:ascii="Arial" w:hAnsi="Arial" w:cs="Arial"/>
          <w:b/>
          <w:bCs/>
          <w:iCs/>
          <w:sz w:val="20"/>
          <w:szCs w:val="20"/>
        </w:rPr>
      </w:pPr>
    </w:p>
    <w:p w14:paraId="461FD1E7" w14:textId="0F5666B9" w:rsidR="00DE3EAB" w:rsidRPr="0076337A" w:rsidRDefault="00B364F1" w:rsidP="00D82866">
      <w:pPr>
        <w:jc w:val="both"/>
        <w:rPr>
          <w:rFonts w:ascii="Arial" w:eastAsia="Arial" w:hAnsi="Arial"/>
          <w:i/>
          <w:sz w:val="20"/>
          <w:szCs w:val="20"/>
        </w:rPr>
      </w:pPr>
      <w:r w:rsidRPr="0076337A">
        <w:rPr>
          <w:rFonts w:ascii="Arial" w:eastAsia="Arial" w:hAnsi="Arial"/>
          <w:b/>
          <w:sz w:val="20"/>
          <w:szCs w:val="20"/>
        </w:rPr>
        <w:t xml:space="preserve">Table </w:t>
      </w:r>
      <w:r w:rsidR="001C204D" w:rsidRPr="0076337A">
        <w:rPr>
          <w:rFonts w:ascii="Arial" w:eastAsia="Arial" w:hAnsi="Arial"/>
          <w:b/>
          <w:sz w:val="20"/>
          <w:szCs w:val="20"/>
        </w:rPr>
        <w:t>6.</w:t>
      </w:r>
      <w:r w:rsidRPr="0076337A">
        <w:rPr>
          <w:rFonts w:ascii="Arial" w:eastAsia="Arial" w:hAnsi="Arial"/>
          <w:b/>
          <w:sz w:val="20"/>
          <w:szCs w:val="20"/>
        </w:rPr>
        <w:t xml:space="preserve"> </w:t>
      </w:r>
      <w:r w:rsidR="005C004F" w:rsidRPr="0076337A">
        <w:rPr>
          <w:rFonts w:ascii="Arial" w:eastAsia="Arial" w:hAnsi="Arial"/>
          <w:i/>
          <w:sz w:val="20"/>
          <w:szCs w:val="20"/>
        </w:rPr>
        <w:t>Significant Influence of Technological Pedagogical Content Knowledge (TPACK) and Reflective Teaching Practices on Workplace Retention among Public Secondary School Teachers</w:t>
      </w:r>
    </w:p>
    <w:p w14:paraId="42F31227" w14:textId="708EB413" w:rsidR="00187916" w:rsidRPr="0076337A"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76337A" w14:paraId="7A1D9757" w14:textId="77777777" w:rsidTr="00157F68">
        <w:trPr>
          <w:trHeight w:val="324"/>
        </w:trPr>
        <w:tc>
          <w:tcPr>
            <w:tcW w:w="2100" w:type="dxa"/>
            <w:tcBorders>
              <w:top w:val="single" w:sz="4" w:space="0" w:color="auto"/>
              <w:bottom w:val="single" w:sz="4" w:space="0" w:color="auto"/>
            </w:tcBorders>
          </w:tcPr>
          <w:p w14:paraId="3B92D8AC" w14:textId="77777777" w:rsidR="00D815DA" w:rsidRPr="0076337A" w:rsidRDefault="00D815DA" w:rsidP="00D815DA">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76337A" w:rsidRDefault="00D815DA" w:rsidP="00C8398D">
            <w:pPr>
              <w:widowControl w:val="0"/>
              <w:autoSpaceDE w:val="0"/>
              <w:autoSpaceDN w:val="0"/>
              <w:spacing w:line="480" w:lineRule="auto"/>
              <w:jc w:val="center"/>
              <w:rPr>
                <w:rFonts w:ascii="Arial" w:eastAsia="Arial" w:hAnsi="Arial"/>
                <w:b/>
                <w:bCs/>
                <w:sz w:val="20"/>
                <w:szCs w:val="20"/>
              </w:rPr>
            </w:pPr>
            <w:r w:rsidRPr="0076337A">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76337A" w:rsidRDefault="00D815DA" w:rsidP="00C8398D">
            <w:pPr>
              <w:widowControl w:val="0"/>
              <w:autoSpaceDE w:val="0"/>
              <w:autoSpaceDN w:val="0"/>
              <w:spacing w:line="480" w:lineRule="auto"/>
              <w:jc w:val="center"/>
              <w:rPr>
                <w:rFonts w:ascii="Arial" w:eastAsia="Arial" w:hAnsi="Arial"/>
                <w:b/>
                <w:bCs/>
                <w:sz w:val="20"/>
                <w:szCs w:val="20"/>
              </w:rPr>
            </w:pPr>
            <w:r w:rsidRPr="0076337A">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76337A" w:rsidRDefault="00D815DA" w:rsidP="00C8398D">
            <w:pPr>
              <w:widowControl w:val="0"/>
              <w:autoSpaceDE w:val="0"/>
              <w:autoSpaceDN w:val="0"/>
              <w:spacing w:line="480" w:lineRule="auto"/>
              <w:jc w:val="center"/>
              <w:rPr>
                <w:rFonts w:ascii="Arial" w:eastAsia="Arial" w:hAnsi="Arial"/>
                <w:b/>
                <w:bCs/>
                <w:sz w:val="20"/>
                <w:szCs w:val="20"/>
              </w:rPr>
            </w:pPr>
            <w:r w:rsidRPr="0076337A">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76337A" w:rsidRDefault="00D815DA" w:rsidP="00C8398D">
            <w:pPr>
              <w:widowControl w:val="0"/>
              <w:autoSpaceDE w:val="0"/>
              <w:autoSpaceDN w:val="0"/>
              <w:spacing w:line="480" w:lineRule="auto"/>
              <w:jc w:val="center"/>
              <w:rPr>
                <w:rFonts w:ascii="Arial" w:eastAsia="Arial" w:hAnsi="Arial"/>
                <w:b/>
                <w:bCs/>
                <w:sz w:val="20"/>
                <w:szCs w:val="20"/>
              </w:rPr>
            </w:pPr>
            <w:r w:rsidRPr="0076337A">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76337A" w:rsidRDefault="00D815DA" w:rsidP="00C8398D">
            <w:pPr>
              <w:widowControl w:val="0"/>
              <w:autoSpaceDE w:val="0"/>
              <w:autoSpaceDN w:val="0"/>
              <w:spacing w:line="480" w:lineRule="auto"/>
              <w:jc w:val="center"/>
              <w:rPr>
                <w:rFonts w:ascii="Arial" w:eastAsia="Arial" w:hAnsi="Arial"/>
                <w:b/>
                <w:bCs/>
                <w:sz w:val="20"/>
                <w:szCs w:val="20"/>
              </w:rPr>
            </w:pPr>
            <w:r w:rsidRPr="0076337A">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76337A" w:rsidRDefault="00D815DA" w:rsidP="00C8398D">
            <w:pPr>
              <w:widowControl w:val="0"/>
              <w:autoSpaceDE w:val="0"/>
              <w:autoSpaceDN w:val="0"/>
              <w:spacing w:line="480" w:lineRule="auto"/>
              <w:jc w:val="center"/>
              <w:rPr>
                <w:rFonts w:ascii="Arial" w:eastAsia="Arial" w:hAnsi="Arial"/>
                <w:b/>
                <w:bCs/>
                <w:sz w:val="20"/>
                <w:szCs w:val="20"/>
              </w:rPr>
            </w:pPr>
            <w:r w:rsidRPr="0076337A">
              <w:rPr>
                <w:rFonts w:ascii="Arial" w:eastAsia="Arial" w:hAnsi="Arial"/>
                <w:b/>
                <w:bCs/>
                <w:sz w:val="20"/>
                <w:szCs w:val="20"/>
              </w:rPr>
              <w:t>Decision</w:t>
            </w:r>
          </w:p>
        </w:tc>
      </w:tr>
      <w:tr w:rsidR="00254400" w:rsidRPr="0076337A" w14:paraId="4CCCD09F" w14:textId="77777777" w:rsidTr="00A55C5E">
        <w:trPr>
          <w:trHeight w:val="537"/>
        </w:trPr>
        <w:tc>
          <w:tcPr>
            <w:tcW w:w="2100" w:type="dxa"/>
            <w:tcBorders>
              <w:top w:val="single" w:sz="4" w:space="0" w:color="auto"/>
            </w:tcBorders>
            <w:vAlign w:val="center"/>
          </w:tcPr>
          <w:p w14:paraId="5C43EE9F" w14:textId="122C90ED" w:rsidR="00254400" w:rsidRPr="0076337A" w:rsidRDefault="00254400" w:rsidP="00254400">
            <w:pPr>
              <w:widowControl w:val="0"/>
              <w:autoSpaceDE w:val="0"/>
              <w:autoSpaceDN w:val="0"/>
              <w:jc w:val="center"/>
              <w:rPr>
                <w:rFonts w:ascii="Arial" w:eastAsia="Arial" w:hAnsi="Arial" w:cs="Arial"/>
                <w:sz w:val="20"/>
                <w:szCs w:val="20"/>
              </w:rPr>
            </w:pPr>
            <w:r w:rsidRPr="00DA0EED">
              <w:rPr>
                <w:rFonts w:ascii="Arial" w:hAnsi="Arial" w:cs="Arial"/>
                <w:sz w:val="20"/>
                <w:szCs w:val="20"/>
              </w:rPr>
              <w:t>Constant</w:t>
            </w:r>
          </w:p>
        </w:tc>
        <w:tc>
          <w:tcPr>
            <w:tcW w:w="640" w:type="dxa"/>
            <w:tcBorders>
              <w:top w:val="single" w:sz="4" w:space="0" w:color="auto"/>
            </w:tcBorders>
            <w:vAlign w:val="center"/>
          </w:tcPr>
          <w:p w14:paraId="35263A15" w14:textId="3E5A6CDE" w:rsidR="00254400" w:rsidRPr="0076337A" w:rsidRDefault="00254400" w:rsidP="0025440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1.97</w:t>
            </w:r>
          </w:p>
        </w:tc>
        <w:tc>
          <w:tcPr>
            <w:tcW w:w="998" w:type="dxa"/>
            <w:tcBorders>
              <w:top w:val="single" w:sz="4" w:space="0" w:color="auto"/>
            </w:tcBorders>
            <w:vAlign w:val="center"/>
          </w:tcPr>
          <w:p w14:paraId="168EF5D2" w14:textId="1FBE6BAF" w:rsidR="00254400" w:rsidRPr="0076337A" w:rsidRDefault="00254400" w:rsidP="0025440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0.66</w:t>
            </w:r>
          </w:p>
        </w:tc>
        <w:tc>
          <w:tcPr>
            <w:tcW w:w="1050" w:type="dxa"/>
            <w:tcBorders>
              <w:top w:val="single" w:sz="4" w:space="0" w:color="auto"/>
            </w:tcBorders>
            <w:vAlign w:val="center"/>
          </w:tcPr>
          <w:p w14:paraId="057949FE" w14:textId="77777777" w:rsidR="00254400" w:rsidRPr="0076337A" w:rsidRDefault="00254400" w:rsidP="00254400">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1AE9A676" w:rsidR="00254400" w:rsidRPr="0076337A" w:rsidRDefault="00254400" w:rsidP="0025440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2.98</w:t>
            </w:r>
          </w:p>
        </w:tc>
        <w:tc>
          <w:tcPr>
            <w:tcW w:w="1074" w:type="dxa"/>
            <w:tcBorders>
              <w:top w:val="single" w:sz="4" w:space="0" w:color="auto"/>
            </w:tcBorders>
            <w:vAlign w:val="center"/>
          </w:tcPr>
          <w:p w14:paraId="5186B81F" w14:textId="71E7BAB1" w:rsidR="00254400" w:rsidRPr="0076337A" w:rsidRDefault="00254400" w:rsidP="0025440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0.004</w:t>
            </w:r>
          </w:p>
        </w:tc>
        <w:tc>
          <w:tcPr>
            <w:tcW w:w="1447" w:type="dxa"/>
            <w:tcBorders>
              <w:top w:val="single" w:sz="4" w:space="0" w:color="auto"/>
            </w:tcBorders>
            <w:vAlign w:val="center"/>
          </w:tcPr>
          <w:p w14:paraId="38526A82" w14:textId="1CCE7F34" w:rsidR="00254400" w:rsidRPr="0076337A" w:rsidRDefault="00254400" w:rsidP="0025440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Significant</w:t>
            </w:r>
          </w:p>
        </w:tc>
      </w:tr>
      <w:tr w:rsidR="00254400" w:rsidRPr="0076337A" w14:paraId="35082B81" w14:textId="77777777" w:rsidTr="00A55C5E">
        <w:trPr>
          <w:trHeight w:val="522"/>
        </w:trPr>
        <w:tc>
          <w:tcPr>
            <w:tcW w:w="2100" w:type="dxa"/>
            <w:vAlign w:val="center"/>
          </w:tcPr>
          <w:p w14:paraId="686C43F8" w14:textId="5086F4EA" w:rsidR="00254400" w:rsidRPr="0076337A" w:rsidRDefault="00254400" w:rsidP="00254400">
            <w:pPr>
              <w:widowControl w:val="0"/>
              <w:autoSpaceDE w:val="0"/>
              <w:autoSpaceDN w:val="0"/>
              <w:spacing w:after="240"/>
              <w:jc w:val="center"/>
              <w:rPr>
                <w:rFonts w:ascii="Arial" w:eastAsia="Arial" w:hAnsi="Arial" w:cs="Arial"/>
                <w:sz w:val="20"/>
                <w:szCs w:val="20"/>
              </w:rPr>
            </w:pPr>
            <w:r w:rsidRPr="00DA0EED">
              <w:rPr>
                <w:rFonts w:ascii="Arial" w:hAnsi="Arial" w:cs="Arial"/>
                <w:sz w:val="20"/>
                <w:szCs w:val="20"/>
              </w:rPr>
              <w:t>TPACK</w:t>
            </w:r>
          </w:p>
        </w:tc>
        <w:tc>
          <w:tcPr>
            <w:tcW w:w="640" w:type="dxa"/>
            <w:vAlign w:val="center"/>
          </w:tcPr>
          <w:p w14:paraId="1C7863A0" w14:textId="7F205B5F"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0.51</w:t>
            </w:r>
          </w:p>
        </w:tc>
        <w:tc>
          <w:tcPr>
            <w:tcW w:w="998" w:type="dxa"/>
            <w:vAlign w:val="center"/>
          </w:tcPr>
          <w:p w14:paraId="5192C57E" w14:textId="19828686"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0.47</w:t>
            </w:r>
          </w:p>
        </w:tc>
        <w:tc>
          <w:tcPr>
            <w:tcW w:w="1050" w:type="dxa"/>
            <w:vAlign w:val="center"/>
          </w:tcPr>
          <w:p w14:paraId="06AF60D9" w14:textId="332B81A9"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0.44</w:t>
            </w:r>
          </w:p>
        </w:tc>
        <w:tc>
          <w:tcPr>
            <w:tcW w:w="1019" w:type="dxa"/>
            <w:vAlign w:val="center"/>
          </w:tcPr>
          <w:p w14:paraId="112311CB" w14:textId="2A8C2E0D"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5.91</w:t>
            </w:r>
          </w:p>
        </w:tc>
        <w:tc>
          <w:tcPr>
            <w:tcW w:w="1074" w:type="dxa"/>
            <w:vAlign w:val="center"/>
          </w:tcPr>
          <w:p w14:paraId="096E4BA0" w14:textId="584111F6"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0.000</w:t>
            </w:r>
          </w:p>
        </w:tc>
        <w:tc>
          <w:tcPr>
            <w:tcW w:w="1447" w:type="dxa"/>
            <w:vAlign w:val="center"/>
          </w:tcPr>
          <w:p w14:paraId="6757F969" w14:textId="607BBC3A"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Significant</w:t>
            </w:r>
          </w:p>
        </w:tc>
      </w:tr>
      <w:tr w:rsidR="00254400" w:rsidRPr="0076337A" w14:paraId="41B98FE8" w14:textId="77777777" w:rsidTr="00A55C5E">
        <w:trPr>
          <w:trHeight w:val="568"/>
        </w:trPr>
        <w:tc>
          <w:tcPr>
            <w:tcW w:w="2100" w:type="dxa"/>
            <w:vAlign w:val="center"/>
          </w:tcPr>
          <w:p w14:paraId="1579BF18" w14:textId="05B34053" w:rsidR="00254400" w:rsidRPr="0076337A" w:rsidRDefault="00254400" w:rsidP="00254400">
            <w:pPr>
              <w:widowControl w:val="0"/>
              <w:autoSpaceDE w:val="0"/>
              <w:autoSpaceDN w:val="0"/>
              <w:spacing w:after="240"/>
              <w:jc w:val="center"/>
              <w:rPr>
                <w:rFonts w:ascii="Arial" w:eastAsia="Arial" w:hAnsi="Arial" w:cs="Arial"/>
                <w:sz w:val="20"/>
                <w:szCs w:val="20"/>
              </w:rPr>
            </w:pPr>
            <w:r w:rsidRPr="00DA0EED">
              <w:rPr>
                <w:rFonts w:ascii="Arial" w:hAnsi="Arial" w:cs="Arial"/>
                <w:sz w:val="20"/>
                <w:szCs w:val="20"/>
              </w:rPr>
              <w:t>Reflective Teaching Practices</w:t>
            </w:r>
          </w:p>
        </w:tc>
        <w:tc>
          <w:tcPr>
            <w:tcW w:w="640" w:type="dxa"/>
            <w:vAlign w:val="center"/>
          </w:tcPr>
          <w:p w14:paraId="7AA4BD47" w14:textId="40BD6EE8"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0.57</w:t>
            </w:r>
          </w:p>
        </w:tc>
        <w:tc>
          <w:tcPr>
            <w:tcW w:w="998" w:type="dxa"/>
            <w:vAlign w:val="center"/>
          </w:tcPr>
          <w:p w14:paraId="1CFE4A86" w14:textId="4ECE8EE8"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0.49</w:t>
            </w:r>
          </w:p>
        </w:tc>
        <w:tc>
          <w:tcPr>
            <w:tcW w:w="1050" w:type="dxa"/>
            <w:vAlign w:val="center"/>
          </w:tcPr>
          <w:p w14:paraId="627DC8B9" w14:textId="5DD27B10"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0.46</w:t>
            </w:r>
          </w:p>
        </w:tc>
        <w:tc>
          <w:tcPr>
            <w:tcW w:w="1019" w:type="dxa"/>
            <w:vAlign w:val="center"/>
          </w:tcPr>
          <w:p w14:paraId="0E8A5D71" w14:textId="07A82802"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6.08</w:t>
            </w:r>
          </w:p>
        </w:tc>
        <w:tc>
          <w:tcPr>
            <w:tcW w:w="1074" w:type="dxa"/>
            <w:vAlign w:val="center"/>
          </w:tcPr>
          <w:p w14:paraId="6D2F71AB" w14:textId="5BCA96AB"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0.000</w:t>
            </w:r>
          </w:p>
        </w:tc>
        <w:tc>
          <w:tcPr>
            <w:tcW w:w="1447" w:type="dxa"/>
            <w:vAlign w:val="center"/>
          </w:tcPr>
          <w:p w14:paraId="5028A11C" w14:textId="3B17A83B"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Significant</w:t>
            </w:r>
          </w:p>
        </w:tc>
      </w:tr>
      <w:tr w:rsidR="00D815DA" w:rsidRPr="0076337A" w14:paraId="0606F920" w14:textId="77777777" w:rsidTr="00D815DA">
        <w:trPr>
          <w:trHeight w:val="522"/>
        </w:trPr>
        <w:tc>
          <w:tcPr>
            <w:tcW w:w="8328" w:type="dxa"/>
            <w:gridSpan w:val="7"/>
          </w:tcPr>
          <w:p w14:paraId="349CFF9D" w14:textId="77777777" w:rsidR="00D815DA" w:rsidRPr="0076337A" w:rsidRDefault="00D815DA" w:rsidP="00D815DA">
            <w:pPr>
              <w:widowControl w:val="0"/>
              <w:autoSpaceDE w:val="0"/>
              <w:autoSpaceDN w:val="0"/>
              <w:jc w:val="both"/>
              <w:rPr>
                <w:rFonts w:ascii="Arial" w:eastAsia="Arial" w:hAnsi="Arial"/>
                <w:b/>
                <w:bCs/>
                <w:sz w:val="20"/>
                <w:szCs w:val="20"/>
                <w:u w:val="single"/>
              </w:rPr>
            </w:pPr>
            <w:r w:rsidRPr="0076337A">
              <w:rPr>
                <w:rFonts w:ascii="Arial" w:eastAsia="Arial" w:hAnsi="Arial"/>
                <w:b/>
                <w:bCs/>
                <w:sz w:val="20"/>
                <w:szCs w:val="20"/>
                <w:u w:val="single"/>
              </w:rPr>
              <w:t>Regression Model</w:t>
            </w:r>
          </w:p>
        </w:tc>
      </w:tr>
      <w:tr w:rsidR="00D815DA" w:rsidRPr="0076337A" w14:paraId="32DA9C71" w14:textId="77777777" w:rsidTr="00D815DA">
        <w:trPr>
          <w:trHeight w:val="522"/>
        </w:trPr>
        <w:tc>
          <w:tcPr>
            <w:tcW w:w="8328" w:type="dxa"/>
            <w:gridSpan w:val="7"/>
          </w:tcPr>
          <w:p w14:paraId="548FFC9B" w14:textId="7A43DB9F" w:rsidR="00D815DA" w:rsidRPr="0076337A" w:rsidRDefault="00254400" w:rsidP="00D815DA">
            <w:pPr>
              <w:widowControl w:val="0"/>
              <w:autoSpaceDE w:val="0"/>
              <w:autoSpaceDN w:val="0"/>
              <w:jc w:val="both"/>
              <w:rPr>
                <w:rFonts w:ascii="Arial" w:eastAsia="Arial" w:hAnsi="Arial"/>
                <w:sz w:val="20"/>
                <w:szCs w:val="20"/>
              </w:rPr>
            </w:pPr>
            <w:r w:rsidRPr="0076337A">
              <w:rPr>
                <w:rFonts w:ascii="Arial" w:eastAsia="Arial" w:hAnsi="Arial"/>
                <w:sz w:val="20"/>
                <w:szCs w:val="20"/>
              </w:rPr>
              <w:t>Workplace Retention = 1.97 + 0.51 (TPACK) + 0.57 (Reflective Teaching Practices)</w:t>
            </w:r>
          </w:p>
        </w:tc>
      </w:tr>
      <w:tr w:rsidR="00D815DA" w:rsidRPr="0076337A" w14:paraId="13736F31" w14:textId="77777777" w:rsidTr="00D815DA">
        <w:trPr>
          <w:trHeight w:val="80"/>
        </w:trPr>
        <w:tc>
          <w:tcPr>
            <w:tcW w:w="8328" w:type="dxa"/>
            <w:gridSpan w:val="7"/>
          </w:tcPr>
          <w:p w14:paraId="07B059D8" w14:textId="560BFDF8" w:rsidR="00D815DA" w:rsidRPr="0076337A" w:rsidRDefault="00510433" w:rsidP="00560CCA">
            <w:pPr>
              <w:rPr>
                <w:rFonts w:ascii="Arial" w:eastAsia="Arial" w:hAnsi="Arial"/>
                <w:sz w:val="20"/>
                <w:szCs w:val="20"/>
              </w:rPr>
            </w:pPr>
            <w:r w:rsidRPr="0076337A">
              <w:rPr>
                <w:rFonts w:ascii="Arial" w:eastAsia="Arial" w:hAnsi="Arial"/>
                <w:sz w:val="20"/>
                <w:szCs w:val="20"/>
              </w:rPr>
              <w:t>R = 0.70; R² = 0.49; F = 76.23; p-value = 0.000</w:t>
            </w:r>
          </w:p>
        </w:tc>
      </w:tr>
    </w:tbl>
    <w:p w14:paraId="5CB07BF5" w14:textId="7437914E" w:rsidR="00D82866" w:rsidRPr="0076337A" w:rsidRDefault="00D82866" w:rsidP="00D82866">
      <w:pPr>
        <w:jc w:val="both"/>
        <w:rPr>
          <w:rFonts w:ascii="Arial" w:hAnsi="Arial" w:cs="Arial"/>
          <w:sz w:val="20"/>
          <w:szCs w:val="20"/>
        </w:rPr>
      </w:pPr>
    </w:p>
    <w:p w14:paraId="6FDD1CAA" w14:textId="77777777" w:rsidR="00717F2E" w:rsidRPr="0076337A" w:rsidRDefault="00717F2E">
      <w:pPr>
        <w:jc w:val="both"/>
        <w:rPr>
          <w:rFonts w:ascii="Arial" w:hAnsi="Arial" w:cs="Arial"/>
          <w:sz w:val="20"/>
          <w:szCs w:val="20"/>
        </w:rPr>
      </w:pPr>
    </w:p>
    <w:p w14:paraId="49C5DAE8" w14:textId="777A6B91" w:rsidR="00FA5D23" w:rsidRPr="0076337A" w:rsidRDefault="00FA5D23" w:rsidP="00FA5D23">
      <w:pPr>
        <w:pStyle w:val="Body"/>
        <w:rPr>
          <w:rFonts w:ascii="Arial" w:hAnsi="Arial" w:cs="Arial"/>
        </w:rPr>
      </w:pPr>
      <w:r w:rsidRPr="0076337A">
        <w:rPr>
          <w:rFonts w:ascii="Arial" w:hAnsi="Arial" w:cs="Arial"/>
        </w:rPr>
        <w:t>Presented in Table 6 is the regression analysis examining how technological pedagogical content knowledge (TPACK) and reflective teaching practices significantly influence workplace retention among public secondary school teachers. The regression equation, which predicts workplace retention based on these two independent variables, is expressed as: Workplace Retention = 1.97 + 0.51 (TPACK) + 0.57 (Reflective Teaching Practices). The model accounts for 49% of the total variance in workplace retention, as indicated by the R² value of 0.49. The overall model is statistically significant with an F-value of 76.23 and a p-value of 0.000, indicating a strong predictive capacity and meaningful contribution of both factors to workplace retention.</w:t>
      </w:r>
    </w:p>
    <w:p w14:paraId="328636A4" w14:textId="7F98547F" w:rsidR="00FA5D23" w:rsidRPr="0076337A" w:rsidRDefault="00FA5D23" w:rsidP="00FA5D23">
      <w:pPr>
        <w:pStyle w:val="Body"/>
        <w:rPr>
          <w:rFonts w:ascii="Arial" w:hAnsi="Arial" w:cs="Arial"/>
        </w:rPr>
      </w:pPr>
      <w:r w:rsidRPr="0076337A">
        <w:rPr>
          <w:rFonts w:ascii="Arial" w:hAnsi="Arial" w:cs="Arial"/>
        </w:rPr>
        <w:t>These findings highlight that both TPACK and reflective teaching practices play crucial roles in promoting workplace retention among teachers. When educators demonstrate competence in integrating technology, pedagogy, and content, they are more likely to feel professionally equipped and confident, which enhances their desire to stay in the profession. In addition, teachers who regularly engage in reflective practices are more likely to evaluate and improve their teaching strategies, leading to increased job satisfaction and a stronger commitment to their roles. Together, these factors provide a solid foundation for sustainable career engagement in the teaching profession.</w:t>
      </w:r>
    </w:p>
    <w:p w14:paraId="20DD07F3" w14:textId="295DD4EC" w:rsidR="00D815DA" w:rsidRPr="0076337A" w:rsidRDefault="00FA5D23" w:rsidP="00FA5D23">
      <w:pPr>
        <w:pStyle w:val="Body"/>
        <w:rPr>
          <w:rFonts w:ascii="Arial" w:hAnsi="Arial" w:cs="Arial"/>
        </w:rPr>
      </w:pPr>
      <w:r w:rsidRPr="0076337A">
        <w:rPr>
          <w:rFonts w:ascii="Arial" w:hAnsi="Arial" w:cs="Arial"/>
        </w:rPr>
        <w:t xml:space="preserve">This result supports the research of </w:t>
      </w:r>
      <w:proofErr w:type="spellStart"/>
      <w:r w:rsidR="00DF6E1B" w:rsidRPr="0076337A">
        <w:rPr>
          <w:rFonts w:ascii="Arial" w:hAnsi="Arial" w:cs="Arial"/>
        </w:rPr>
        <w:t>Meletiou-Mavrotheris</w:t>
      </w:r>
      <w:proofErr w:type="spellEnd"/>
      <w:r w:rsidR="00DF6E1B" w:rsidRPr="0076337A">
        <w:rPr>
          <w:rFonts w:ascii="Arial" w:hAnsi="Arial" w:cs="Arial"/>
        </w:rPr>
        <w:t xml:space="preserve"> and </w:t>
      </w:r>
      <w:proofErr w:type="spellStart"/>
      <w:r w:rsidR="00DF6E1B" w:rsidRPr="0076337A">
        <w:rPr>
          <w:rFonts w:ascii="Arial" w:hAnsi="Arial" w:cs="Arial"/>
        </w:rPr>
        <w:t>Paparistodemou</w:t>
      </w:r>
      <w:proofErr w:type="spellEnd"/>
      <w:r w:rsidRPr="0076337A">
        <w:rPr>
          <w:rFonts w:ascii="Arial" w:hAnsi="Arial" w:cs="Arial"/>
        </w:rPr>
        <w:t xml:space="preserve"> (2024), who emphasized that the development of TPACK leads to increased professional competence, which contributes to teacher retention. Likewise, </w:t>
      </w:r>
      <w:r w:rsidR="00DF6E1B" w:rsidRPr="0076337A">
        <w:rPr>
          <w:rFonts w:ascii="Arial" w:hAnsi="Arial" w:cs="Arial"/>
        </w:rPr>
        <w:t xml:space="preserve">Neumann and </w:t>
      </w:r>
      <w:proofErr w:type="spellStart"/>
      <w:r w:rsidR="00DF6E1B" w:rsidRPr="0076337A">
        <w:rPr>
          <w:rFonts w:ascii="Arial" w:hAnsi="Arial" w:cs="Arial"/>
        </w:rPr>
        <w:t>Tillott</w:t>
      </w:r>
      <w:proofErr w:type="spellEnd"/>
      <w:r w:rsidR="00DF6E1B" w:rsidRPr="0076337A">
        <w:rPr>
          <w:rFonts w:ascii="Arial" w:hAnsi="Arial" w:cs="Arial"/>
        </w:rPr>
        <w:t xml:space="preserve"> </w:t>
      </w:r>
      <w:r w:rsidRPr="0076337A">
        <w:rPr>
          <w:rFonts w:ascii="Arial" w:hAnsi="Arial" w:cs="Arial"/>
        </w:rPr>
        <w:t>(</w:t>
      </w:r>
      <w:r w:rsidR="00DF6E1B" w:rsidRPr="0076337A">
        <w:rPr>
          <w:rFonts w:ascii="Arial" w:hAnsi="Arial" w:cs="Arial"/>
        </w:rPr>
        <w:t>2022</w:t>
      </w:r>
      <w:r w:rsidRPr="0076337A">
        <w:rPr>
          <w:rFonts w:ascii="Arial" w:hAnsi="Arial" w:cs="Arial"/>
        </w:rPr>
        <w:t xml:space="preserve">) underscored that reflective teaching enhances teacher self-awareness and resilience, helping educators navigate the challenges of the profession more effectively. Furthermore, </w:t>
      </w:r>
      <w:r w:rsidR="00FA07CE" w:rsidRPr="0076337A">
        <w:rPr>
          <w:rFonts w:ascii="Arial" w:hAnsi="Arial" w:cs="Arial"/>
        </w:rPr>
        <w:t xml:space="preserve">Yaacob </w:t>
      </w:r>
      <w:r w:rsidRPr="0076337A">
        <w:rPr>
          <w:rFonts w:ascii="Arial" w:hAnsi="Arial" w:cs="Arial"/>
        </w:rPr>
        <w:t>et al.</w:t>
      </w:r>
      <w:r w:rsidR="00FA07CE" w:rsidRPr="0076337A">
        <w:rPr>
          <w:rFonts w:ascii="Arial" w:hAnsi="Arial" w:cs="Arial"/>
        </w:rPr>
        <w:t xml:space="preserve"> </w:t>
      </w:r>
      <w:r w:rsidRPr="0076337A">
        <w:rPr>
          <w:rFonts w:ascii="Arial" w:hAnsi="Arial" w:cs="Arial"/>
        </w:rPr>
        <w:t>(</w:t>
      </w:r>
      <w:r w:rsidR="00FA07CE" w:rsidRPr="0076337A">
        <w:rPr>
          <w:rFonts w:ascii="Arial" w:hAnsi="Arial" w:cs="Arial"/>
        </w:rPr>
        <w:t>2021</w:t>
      </w:r>
      <w:r w:rsidRPr="0076337A">
        <w:rPr>
          <w:rFonts w:ascii="Arial" w:hAnsi="Arial" w:cs="Arial"/>
        </w:rPr>
        <w:t xml:space="preserve">) </w:t>
      </w:r>
      <w:r w:rsidRPr="0076337A">
        <w:rPr>
          <w:rFonts w:ascii="Arial" w:hAnsi="Arial" w:cs="Arial"/>
        </w:rPr>
        <w:lastRenderedPageBreak/>
        <w:t>concluded that when teachers possess advanced instructional competencies and engage in reflective thought, they are more likely to remain committed to their educational communities. The combination of strong TPACK and reflective teaching thus creates a robust framework for improving teacher retention and fostering institutional stability.</w:t>
      </w:r>
    </w:p>
    <w:p w14:paraId="08FEB9C6" w14:textId="089D9801" w:rsidR="002039CD" w:rsidRPr="0076337A" w:rsidRDefault="00180859" w:rsidP="00850E61">
      <w:pPr>
        <w:pStyle w:val="Body"/>
        <w:rPr>
          <w:rFonts w:ascii="Arial" w:hAnsi="Arial" w:cs="Arial"/>
          <w:b/>
          <w:bCs/>
        </w:rPr>
      </w:pPr>
      <w:r w:rsidRPr="0076337A">
        <w:rPr>
          <w:rFonts w:ascii="Arial" w:hAnsi="Arial" w:cs="Arial"/>
          <w:b/>
          <w:bCs/>
        </w:rPr>
        <w:t xml:space="preserve">5. </w:t>
      </w:r>
      <w:r w:rsidR="00B364F1" w:rsidRPr="0076337A">
        <w:rPr>
          <w:rFonts w:ascii="Arial" w:hAnsi="Arial" w:cs="Arial"/>
          <w:b/>
          <w:bCs/>
        </w:rPr>
        <w:t>CONCLUSIONS</w:t>
      </w:r>
    </w:p>
    <w:p w14:paraId="1F8EF9DC" w14:textId="2AF91362" w:rsidR="009676BB" w:rsidRPr="0076337A" w:rsidRDefault="009676BB" w:rsidP="009676BB">
      <w:pPr>
        <w:pStyle w:val="ReferHead"/>
        <w:jc w:val="both"/>
        <w:rPr>
          <w:rFonts w:ascii="Arial" w:hAnsi="Arial" w:cs="Arial"/>
          <w:b w:val="0"/>
          <w:caps w:val="0"/>
          <w:sz w:val="20"/>
        </w:rPr>
      </w:pPr>
      <w:r w:rsidRPr="0076337A">
        <w:rPr>
          <w:rFonts w:ascii="Arial" w:hAnsi="Arial" w:cs="Arial"/>
          <w:b w:val="0"/>
          <w:caps w:val="0"/>
          <w:sz w:val="20"/>
        </w:rPr>
        <w:t>Based on the findings of the study, the following conclusions were formulated:</w:t>
      </w:r>
    </w:p>
    <w:p w14:paraId="54059B56" w14:textId="4282A9E1" w:rsidR="00EA4419" w:rsidRPr="0076337A" w:rsidRDefault="00EA4419" w:rsidP="00EA4419">
      <w:pPr>
        <w:pStyle w:val="ReferHead"/>
        <w:jc w:val="both"/>
        <w:rPr>
          <w:rFonts w:ascii="Arial" w:hAnsi="Arial" w:cs="Arial"/>
          <w:b w:val="0"/>
          <w:caps w:val="0"/>
          <w:sz w:val="20"/>
        </w:rPr>
      </w:pPr>
      <w:r w:rsidRPr="0076337A">
        <w:rPr>
          <w:rFonts w:ascii="Arial" w:hAnsi="Arial" w:cs="Arial"/>
          <w:b w:val="0"/>
          <w:caps w:val="0"/>
          <w:sz w:val="20"/>
        </w:rPr>
        <w:t>Firstly, the level of technological pedagogical content knowledge (TPACK) among public secondary school teachers is often observed, indicating that teachers are generally proficient in integrating technology with content and pedagogy. This suggests that they are capable of using digital tools to enhance instruction while maintaining a strong grasp of their subject matter and teaching strategies. When teachers possess high levels of TPACK, they are more confident in the classroom, more adaptable to changes, and more effective in delivering meaningful learning experiences. This competency contributes to their overall job satisfaction and encourages long-term engagement in the teaching profession.</w:t>
      </w:r>
    </w:p>
    <w:p w14:paraId="066A1203" w14:textId="5293B357" w:rsidR="00EA4419" w:rsidRPr="0076337A" w:rsidRDefault="00EA4419" w:rsidP="00EA4419">
      <w:pPr>
        <w:pStyle w:val="ReferHead"/>
        <w:jc w:val="both"/>
        <w:rPr>
          <w:rFonts w:ascii="Arial" w:hAnsi="Arial" w:cs="Arial"/>
          <w:b w:val="0"/>
          <w:caps w:val="0"/>
          <w:sz w:val="20"/>
        </w:rPr>
      </w:pPr>
      <w:r w:rsidRPr="0076337A">
        <w:rPr>
          <w:rFonts w:ascii="Arial" w:hAnsi="Arial" w:cs="Arial"/>
          <w:b w:val="0"/>
          <w:caps w:val="0"/>
          <w:sz w:val="20"/>
        </w:rPr>
        <w:t>Secondly, the level of reflective teaching practices among public secondary school teachers is also often observed. Teachers consistently engage in self-evaluation, pedagogical analysis, and critical reflection, allowing them to identify areas for improvement and build upon successful strategies. Reflective practices empower teachers to become more intentional and responsive in their instruction. By continually assessing their work, educators are better equipped to manage challenges, enhance student outcomes, and sustain professional growth, which in turn supports their continued presence and commitment in the school system.</w:t>
      </w:r>
    </w:p>
    <w:p w14:paraId="28A1020A" w14:textId="21A3FFB2" w:rsidR="00EA4419" w:rsidRPr="0076337A" w:rsidRDefault="00EA4419" w:rsidP="00EA4419">
      <w:pPr>
        <w:pStyle w:val="ReferHead"/>
        <w:jc w:val="both"/>
        <w:rPr>
          <w:rFonts w:ascii="Arial" w:hAnsi="Arial" w:cs="Arial"/>
          <w:b w:val="0"/>
          <w:caps w:val="0"/>
          <w:sz w:val="20"/>
        </w:rPr>
      </w:pPr>
      <w:r w:rsidRPr="0076337A">
        <w:rPr>
          <w:rFonts w:ascii="Arial" w:hAnsi="Arial" w:cs="Arial"/>
          <w:b w:val="0"/>
          <w:caps w:val="0"/>
          <w:sz w:val="20"/>
        </w:rPr>
        <w:t>Thirdly, the level of workplace retention among teachers is generally high, suggesting that teachers are inclined to remain in their positions when their professional needs are met. Factors such as career growth opportunities, adequate incentives, and welfare support contribute to this retention. Teachers who experience a positive work environment and access to professional development are more likely to stay committed to their schools. This retention not only benefits individual educators but also strengthens institutional continuity and student learning outcomes.</w:t>
      </w:r>
    </w:p>
    <w:p w14:paraId="51CC2D82" w14:textId="42A26B5A" w:rsidR="00EA4419" w:rsidRPr="0076337A" w:rsidRDefault="00EA4419" w:rsidP="00EA4419">
      <w:pPr>
        <w:pStyle w:val="ReferHead"/>
        <w:jc w:val="both"/>
        <w:rPr>
          <w:rFonts w:ascii="Arial" w:hAnsi="Arial" w:cs="Arial"/>
          <w:b w:val="0"/>
          <w:caps w:val="0"/>
          <w:sz w:val="20"/>
        </w:rPr>
      </w:pPr>
      <w:r w:rsidRPr="0076337A">
        <w:rPr>
          <w:rFonts w:ascii="Arial" w:hAnsi="Arial" w:cs="Arial"/>
          <w:b w:val="0"/>
          <w:caps w:val="0"/>
          <w:sz w:val="20"/>
        </w:rPr>
        <w:t>Fourthly, a significant relationship between technological pedagogical content knowledge (TPACK), reflective teaching practices, and workplace retention was observed. This means that teachers who demonstrate strong TPACK and actively engage in reflective teaching are more likely to stay in their positions. The combination of instructional competence and reflective capacity enhances their satisfaction, motivation, and resilience. These findings affirm that well-developed teaching competencies and reflective habits are integral to sustaining teacher engagement and institutional stability.</w:t>
      </w:r>
    </w:p>
    <w:p w14:paraId="31EFD7C0" w14:textId="20FAC7D8" w:rsidR="009676BB" w:rsidRPr="0076337A" w:rsidRDefault="00EA4419" w:rsidP="00EA4419">
      <w:pPr>
        <w:pStyle w:val="ReferHead"/>
        <w:spacing w:after="0"/>
        <w:jc w:val="both"/>
        <w:rPr>
          <w:rFonts w:ascii="Arial" w:hAnsi="Arial" w:cs="Arial"/>
          <w:b w:val="0"/>
          <w:caps w:val="0"/>
          <w:sz w:val="20"/>
        </w:rPr>
      </w:pPr>
      <w:r w:rsidRPr="0076337A">
        <w:rPr>
          <w:rFonts w:ascii="Arial" w:hAnsi="Arial" w:cs="Arial"/>
          <w:b w:val="0"/>
          <w:caps w:val="0"/>
          <w:sz w:val="20"/>
        </w:rPr>
        <w:t>Finally, both TPACK and reflective teaching practices significantly influence workplace retention, with reflective teaching practices emerging as the stronger predictor. This underscores the importance of promoting a culture of continuous self-improvement and introspection among teachers. While mastery of instructional technology and content ensures classroom effectiveness, it is the ability to reflect critically and adapt meaningfully that most strongly supports teachers’ long-term commitment. Schools that invest in TPACK development and encourage reflective practice are more likely to foster a thriving, enduring, and professionally fulfilled teaching workforce.</w:t>
      </w:r>
    </w:p>
    <w:p w14:paraId="32CA4429" w14:textId="77777777" w:rsidR="009676BB" w:rsidRPr="0076337A" w:rsidRDefault="009676BB" w:rsidP="009676BB">
      <w:pPr>
        <w:pStyle w:val="ReferHead"/>
        <w:spacing w:after="0"/>
        <w:jc w:val="both"/>
        <w:rPr>
          <w:rFonts w:ascii="Arial" w:hAnsi="Arial" w:cs="Arial"/>
          <w:b w:val="0"/>
          <w:caps w:val="0"/>
          <w:sz w:val="20"/>
        </w:rPr>
      </w:pPr>
    </w:p>
    <w:p w14:paraId="295DD41E" w14:textId="01F6025E" w:rsidR="006A0F34" w:rsidRPr="0076337A" w:rsidRDefault="006A0F34" w:rsidP="006A0F34">
      <w:pPr>
        <w:pStyle w:val="Body"/>
        <w:rPr>
          <w:rFonts w:ascii="Arial" w:hAnsi="Arial" w:cs="Arial"/>
        </w:rPr>
      </w:pPr>
      <w:r w:rsidRPr="0076337A">
        <w:rPr>
          <w:rFonts w:ascii="Arial" w:hAnsi="Arial" w:cs="Arial"/>
          <w:b/>
          <w:bCs/>
        </w:rPr>
        <w:t>6. RECOMMENDATIONS</w:t>
      </w:r>
    </w:p>
    <w:p w14:paraId="05405137" w14:textId="508DDB48" w:rsidR="009676BB" w:rsidRPr="0076337A" w:rsidRDefault="009676BB" w:rsidP="009676BB">
      <w:pPr>
        <w:pStyle w:val="ReferHead"/>
        <w:jc w:val="both"/>
        <w:rPr>
          <w:rFonts w:ascii="Arial" w:hAnsi="Arial" w:cs="Arial"/>
          <w:b w:val="0"/>
          <w:caps w:val="0"/>
          <w:sz w:val="20"/>
        </w:rPr>
      </w:pPr>
      <w:r w:rsidRPr="0076337A">
        <w:rPr>
          <w:rFonts w:ascii="Arial" w:hAnsi="Arial" w:cs="Arial"/>
          <w:b w:val="0"/>
          <w:caps w:val="0"/>
          <w:sz w:val="20"/>
        </w:rPr>
        <w:lastRenderedPageBreak/>
        <w:t>Based on the findings and conclusions of this study, the following recommendations were proposed:</w:t>
      </w:r>
    </w:p>
    <w:p w14:paraId="2D772513" w14:textId="4CC5380C" w:rsidR="000500E5" w:rsidRPr="0076337A" w:rsidRDefault="000500E5" w:rsidP="000500E5">
      <w:pPr>
        <w:pStyle w:val="ReferHead"/>
        <w:jc w:val="both"/>
        <w:rPr>
          <w:rFonts w:ascii="Arial" w:hAnsi="Arial" w:cs="Arial"/>
          <w:b w:val="0"/>
          <w:caps w:val="0"/>
          <w:sz w:val="20"/>
        </w:rPr>
      </w:pPr>
      <w:r w:rsidRPr="0076337A">
        <w:rPr>
          <w:rFonts w:ascii="Arial" w:hAnsi="Arial" w:cs="Arial"/>
          <w:b w:val="0"/>
          <w:caps w:val="0"/>
          <w:sz w:val="20"/>
        </w:rPr>
        <w:t>For DepEd officials, it is recommended to institutionalize teacher development programs that emphasize the integration of technology with pedagogy and content. These programs should include national standards and training frameworks that develop TPACK competencies across subject areas. In addition, DepEd should promote policies that encourage reflective practice as a core component of instructional excellence and teacher retention. Allocating resources for regular training, digital infrastructure, and reflection-based teaching modules will enhance teacher effectiveness and reduce attrition rates.</w:t>
      </w:r>
    </w:p>
    <w:p w14:paraId="082EA150" w14:textId="55BC75BC" w:rsidR="000500E5" w:rsidRPr="0076337A" w:rsidRDefault="000500E5" w:rsidP="000500E5">
      <w:pPr>
        <w:pStyle w:val="ReferHead"/>
        <w:jc w:val="both"/>
        <w:rPr>
          <w:rFonts w:ascii="Arial" w:hAnsi="Arial" w:cs="Arial"/>
          <w:b w:val="0"/>
          <w:caps w:val="0"/>
          <w:sz w:val="20"/>
        </w:rPr>
      </w:pPr>
      <w:r w:rsidRPr="0076337A">
        <w:rPr>
          <w:rFonts w:ascii="Arial" w:hAnsi="Arial" w:cs="Arial"/>
          <w:b w:val="0"/>
          <w:caps w:val="0"/>
          <w:sz w:val="20"/>
        </w:rPr>
        <w:t>School administrators are advised to implement structured professional development initiatives that focus on enhancing both TPACK and reflective teaching practices. This includes organizing in-service training on digital integration, lesson study cycles, and reflective journaling. Administrators should also create opportunities for peer collaboration through mentoring programs, faculty learning circles, and classroom-based research. Providing supportive environments where teachers can reflect on their practice and improve instructional delivery will not only promote workplace satisfaction but also increase retention.</w:t>
      </w:r>
    </w:p>
    <w:p w14:paraId="13C74EEC" w14:textId="2B457638" w:rsidR="000500E5" w:rsidRPr="0076337A" w:rsidRDefault="000500E5" w:rsidP="000500E5">
      <w:pPr>
        <w:pStyle w:val="ReferHead"/>
        <w:jc w:val="both"/>
        <w:rPr>
          <w:rFonts w:ascii="Arial" w:hAnsi="Arial" w:cs="Arial"/>
          <w:b w:val="0"/>
          <w:caps w:val="0"/>
          <w:sz w:val="20"/>
        </w:rPr>
      </w:pPr>
      <w:r w:rsidRPr="0076337A">
        <w:rPr>
          <w:rFonts w:ascii="Arial" w:hAnsi="Arial" w:cs="Arial"/>
          <w:b w:val="0"/>
          <w:caps w:val="0"/>
          <w:sz w:val="20"/>
        </w:rPr>
        <w:t>For teachers, the study recommends actively engaging in professional learning communities that foster collaborative learning and reflective dialogue. Teachers are encouraged to enhance their TPACK skills by integrating digital tools into lesson planning and by seeking feedback from peers and mentors. Practicing regular self-reflection through teaching journals, peer observations, or action research can also help teachers refine their instructional strategies. These practices contribute to a more fulfilling teaching experience and reinforce long-term commitment to the profession.</w:t>
      </w:r>
    </w:p>
    <w:p w14:paraId="53E88C64" w14:textId="602B74FF" w:rsidR="009676BB" w:rsidRPr="0076337A" w:rsidRDefault="000500E5" w:rsidP="000500E5">
      <w:pPr>
        <w:pStyle w:val="ReferHead"/>
        <w:spacing w:after="0"/>
        <w:jc w:val="both"/>
        <w:rPr>
          <w:rFonts w:ascii="Arial" w:hAnsi="Arial" w:cs="Arial"/>
          <w:b w:val="0"/>
          <w:caps w:val="0"/>
          <w:sz w:val="20"/>
        </w:rPr>
      </w:pPr>
      <w:r w:rsidRPr="0076337A">
        <w:rPr>
          <w:rFonts w:ascii="Arial" w:hAnsi="Arial" w:cs="Arial"/>
          <w:b w:val="0"/>
          <w:caps w:val="0"/>
          <w:sz w:val="20"/>
        </w:rPr>
        <w:t>Lastly, for future researchers, it is recommended to explore the role of mediating variables such as job satisfaction, teacher identity, or institutional support in the relationship between TPACK, reflective practice, and workplace retention. Comparative studies across subject areas, school levels, or regions may uncover contextual factors that influence teacher retention. Longitudinal and qualitative approaches may also offer deeper insights into how continuous professional development and reflective growth contribute to teachers’ decision to remain in the profession over time.</w:t>
      </w:r>
    </w:p>
    <w:p w14:paraId="32AD8B0D" w14:textId="77777777" w:rsidR="00585E1D" w:rsidRPr="0076337A" w:rsidRDefault="00585E1D" w:rsidP="00585E1D">
      <w:pPr>
        <w:pStyle w:val="ReferHead"/>
        <w:spacing w:after="0"/>
        <w:jc w:val="both"/>
        <w:rPr>
          <w:rFonts w:ascii="Arial" w:hAnsi="Arial" w:cs="Arial"/>
          <w:b w:val="0"/>
          <w:caps w:val="0"/>
          <w:sz w:val="20"/>
        </w:rPr>
      </w:pPr>
    </w:p>
    <w:p w14:paraId="7242A187" w14:textId="77777777" w:rsidR="00717F2E" w:rsidRPr="0076337A" w:rsidRDefault="00717F2E">
      <w:pPr>
        <w:pStyle w:val="ReferHead"/>
        <w:spacing w:after="0"/>
        <w:jc w:val="both"/>
        <w:rPr>
          <w:rFonts w:ascii="Arial" w:hAnsi="Arial" w:cs="Arial"/>
          <w:b w:val="0"/>
          <w:caps w:val="0"/>
          <w:sz w:val="20"/>
        </w:rPr>
      </w:pPr>
    </w:p>
    <w:p w14:paraId="013BA332" w14:textId="77777777" w:rsidR="00717F2E" w:rsidRPr="0076337A" w:rsidRDefault="00180859">
      <w:pPr>
        <w:pStyle w:val="ReferHead"/>
        <w:spacing w:after="0"/>
        <w:jc w:val="both"/>
        <w:rPr>
          <w:rFonts w:ascii="Arial" w:hAnsi="Arial" w:cs="Arial"/>
          <w:bCs/>
          <w:sz w:val="20"/>
        </w:rPr>
      </w:pPr>
      <w:r w:rsidRPr="0076337A">
        <w:rPr>
          <w:rFonts w:ascii="Arial" w:hAnsi="Arial" w:cs="Arial"/>
          <w:bCs/>
          <w:sz w:val="20"/>
        </w:rPr>
        <w:t>Consent (where ever applicable)</w:t>
      </w:r>
    </w:p>
    <w:p w14:paraId="67F05F0C" w14:textId="77777777" w:rsidR="00717F2E" w:rsidRPr="0076337A" w:rsidRDefault="00717F2E">
      <w:pPr>
        <w:pStyle w:val="ReferHead"/>
        <w:spacing w:after="0"/>
        <w:jc w:val="both"/>
        <w:rPr>
          <w:rFonts w:ascii="Arial" w:hAnsi="Arial" w:cs="Arial"/>
          <w:bCs/>
          <w:sz w:val="20"/>
        </w:rPr>
      </w:pPr>
    </w:p>
    <w:p w14:paraId="7891B505" w14:textId="58316861" w:rsidR="00A50958" w:rsidRPr="0076337A" w:rsidRDefault="000500E5" w:rsidP="00505231">
      <w:pPr>
        <w:pStyle w:val="ReferHead"/>
        <w:spacing w:after="0"/>
        <w:jc w:val="both"/>
        <w:rPr>
          <w:rFonts w:ascii="Arial" w:hAnsi="Arial" w:cs="Arial"/>
          <w:b w:val="0"/>
          <w:caps w:val="0"/>
          <w:sz w:val="20"/>
        </w:rPr>
      </w:pPr>
      <w:r w:rsidRPr="0076337A">
        <w:rPr>
          <w:rFonts w:ascii="Arial" w:hAnsi="Arial" w:cs="Arial"/>
          <w:b w:val="0"/>
          <w:caps w:val="0"/>
          <w:sz w:val="20"/>
        </w:rPr>
        <w:t xml:space="preserve">This research was carried out in strict adherence to established ethical standards to safeguard the rights, dignity, and well-being of all participants. Prior to the collection of any data, the researcher secured the required approvals from relevant institutional bodies, including an endorsement from the Dean of the Graduate School and clearance from the designated Ethics Review Committee. The procedures were guided by the ethical framework outlined by </w:t>
      </w:r>
      <w:proofErr w:type="spellStart"/>
      <w:r w:rsidRPr="0076337A">
        <w:rPr>
          <w:rFonts w:ascii="Arial" w:hAnsi="Arial" w:cs="Arial"/>
          <w:b w:val="0"/>
          <w:caps w:val="0"/>
          <w:sz w:val="20"/>
        </w:rPr>
        <w:t>Pregoner</w:t>
      </w:r>
      <w:proofErr w:type="spellEnd"/>
      <w:r w:rsidRPr="0076337A">
        <w:rPr>
          <w:rFonts w:ascii="Arial" w:hAnsi="Arial" w:cs="Arial"/>
          <w:b w:val="0"/>
          <w:caps w:val="0"/>
          <w:sz w:val="20"/>
        </w:rPr>
        <w:t xml:space="preserve"> et al. (2025), aligning with contemporary protocols for research involving human subjects in educational settings. Participation in the study was completely voluntary, and all respondents were fully informed of the study’s objectives, processes, and their right to refuse or withdraw at any time without facing any negative consequences. Informed consent was obtained to ensure participants' clear understanding and agreement. No personal identifiers were gathered, and strict confidentiality was observed throughout the study. All collected data were used exclusively for academic and research purposes. These ethical measures ensured </w:t>
      </w:r>
      <w:r w:rsidRPr="0076337A">
        <w:rPr>
          <w:rFonts w:ascii="Arial" w:hAnsi="Arial" w:cs="Arial"/>
          <w:b w:val="0"/>
          <w:caps w:val="0"/>
          <w:sz w:val="20"/>
        </w:rPr>
        <w:lastRenderedPageBreak/>
        <w:t>the study was conducted with transparency, responsibility, and full respect for participant autonomy.</w:t>
      </w:r>
    </w:p>
    <w:p w14:paraId="32515379" w14:textId="77777777" w:rsidR="00943A20" w:rsidRPr="0076337A" w:rsidRDefault="00943A20" w:rsidP="00505231">
      <w:pPr>
        <w:pStyle w:val="ReferHead"/>
        <w:spacing w:after="0"/>
        <w:jc w:val="both"/>
        <w:rPr>
          <w:rFonts w:ascii="Arial" w:hAnsi="Arial" w:cs="Arial"/>
          <w:b w:val="0"/>
          <w:caps w:val="0"/>
          <w:sz w:val="20"/>
        </w:rPr>
      </w:pPr>
    </w:p>
    <w:p w14:paraId="2BC90047" w14:textId="77777777" w:rsidR="00CD4D57" w:rsidRPr="0076337A" w:rsidRDefault="00CD4D57" w:rsidP="00CD4D57">
      <w:pPr>
        <w:pStyle w:val="ReferHead"/>
        <w:spacing w:after="0"/>
        <w:jc w:val="both"/>
        <w:rPr>
          <w:rFonts w:ascii="Arial" w:hAnsi="Arial" w:cs="Arial"/>
          <w:b w:val="0"/>
          <w:caps w:val="0"/>
          <w:sz w:val="20"/>
          <w:highlight w:val="yellow"/>
        </w:rPr>
      </w:pPr>
      <w:r w:rsidRPr="0076337A">
        <w:rPr>
          <w:rFonts w:ascii="Arial" w:hAnsi="Arial" w:cs="Arial"/>
          <w:b w:val="0"/>
          <w:caps w:val="0"/>
          <w:sz w:val="20"/>
          <w:highlight w:val="yellow"/>
        </w:rPr>
        <w:t>Disclaimer (Artificial Intelligence)</w:t>
      </w:r>
    </w:p>
    <w:p w14:paraId="591C5FF6" w14:textId="77777777" w:rsidR="00CD4D57" w:rsidRPr="0076337A" w:rsidRDefault="00CD4D57" w:rsidP="00CD4D57">
      <w:pPr>
        <w:pStyle w:val="ReferHead"/>
        <w:spacing w:after="0"/>
        <w:jc w:val="both"/>
        <w:rPr>
          <w:rFonts w:ascii="Arial" w:hAnsi="Arial" w:cs="Arial"/>
          <w:b w:val="0"/>
          <w:caps w:val="0"/>
          <w:sz w:val="20"/>
          <w:highlight w:val="yellow"/>
        </w:rPr>
      </w:pPr>
    </w:p>
    <w:p w14:paraId="309A34BD" w14:textId="77777777" w:rsidR="00CD4D57" w:rsidRPr="0076337A" w:rsidRDefault="00CD4D57" w:rsidP="00CD4D57">
      <w:pPr>
        <w:pStyle w:val="ReferHead"/>
        <w:spacing w:after="0"/>
        <w:jc w:val="both"/>
        <w:rPr>
          <w:rFonts w:ascii="Arial" w:hAnsi="Arial" w:cs="Arial"/>
          <w:b w:val="0"/>
          <w:caps w:val="0"/>
          <w:sz w:val="20"/>
          <w:highlight w:val="yellow"/>
        </w:rPr>
      </w:pPr>
    </w:p>
    <w:p w14:paraId="26E5FE5E" w14:textId="77777777" w:rsidR="00CD4D57" w:rsidRPr="0076337A" w:rsidRDefault="00CD4D57" w:rsidP="00CD4D57">
      <w:pPr>
        <w:jc w:val="both"/>
        <w:rPr>
          <w:rFonts w:ascii="Arial" w:eastAsia="Calibri" w:hAnsi="Arial" w:cs="Arial"/>
          <w:kern w:val="2"/>
          <w:sz w:val="20"/>
          <w:szCs w:val="20"/>
          <w:highlight w:val="yellow"/>
        </w:rPr>
      </w:pPr>
      <w:r w:rsidRPr="0076337A">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6337A" w:rsidRDefault="00CD4D57" w:rsidP="00CD4D57">
      <w:pPr>
        <w:jc w:val="both"/>
        <w:rPr>
          <w:rFonts w:ascii="Arial" w:eastAsia="Calibri" w:hAnsi="Arial" w:cs="Arial"/>
          <w:kern w:val="2"/>
          <w:sz w:val="20"/>
          <w:szCs w:val="20"/>
          <w:highlight w:val="yellow"/>
        </w:rPr>
      </w:pPr>
    </w:p>
    <w:p w14:paraId="4B95E7D5" w14:textId="77777777" w:rsidR="00CD4D57" w:rsidRPr="0076337A" w:rsidRDefault="00CD4D57" w:rsidP="00CD4D57">
      <w:pPr>
        <w:numPr>
          <w:ilvl w:val="0"/>
          <w:numId w:val="4"/>
        </w:numPr>
        <w:ind w:left="540"/>
        <w:jc w:val="both"/>
        <w:rPr>
          <w:rFonts w:ascii="Arial" w:eastAsia="Calibri" w:hAnsi="Arial" w:cs="Arial"/>
          <w:kern w:val="2"/>
          <w:sz w:val="20"/>
          <w:szCs w:val="20"/>
          <w:highlight w:val="yellow"/>
        </w:rPr>
      </w:pPr>
      <w:r w:rsidRPr="0076337A">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76337A" w:rsidRDefault="00CD4D57" w:rsidP="00CD4D57">
      <w:pPr>
        <w:numPr>
          <w:ilvl w:val="0"/>
          <w:numId w:val="4"/>
        </w:numPr>
        <w:ind w:left="540"/>
        <w:jc w:val="both"/>
        <w:rPr>
          <w:rFonts w:ascii="Arial" w:hAnsi="Arial" w:cs="Arial"/>
          <w:sz w:val="20"/>
          <w:szCs w:val="20"/>
          <w:highlight w:val="yellow"/>
        </w:rPr>
      </w:pPr>
      <w:proofErr w:type="spellStart"/>
      <w:r w:rsidRPr="0076337A">
        <w:rPr>
          <w:rFonts w:ascii="Arial" w:eastAsia="Calibri" w:hAnsi="Arial" w:cs="Arial"/>
          <w:kern w:val="2"/>
          <w:sz w:val="20"/>
          <w:szCs w:val="20"/>
          <w:highlight w:val="yellow"/>
        </w:rPr>
        <w:t>Quillbot</w:t>
      </w:r>
      <w:proofErr w:type="spellEnd"/>
      <w:r w:rsidRPr="0076337A">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6337A" w:rsidRDefault="00CD4D57" w:rsidP="00505231">
      <w:pPr>
        <w:pStyle w:val="ReferHead"/>
        <w:spacing w:after="0"/>
        <w:jc w:val="both"/>
        <w:rPr>
          <w:rFonts w:ascii="Arial" w:hAnsi="Arial" w:cs="Arial"/>
          <w:b w:val="0"/>
          <w:caps w:val="0"/>
          <w:sz w:val="20"/>
        </w:rPr>
      </w:pPr>
    </w:p>
    <w:p w14:paraId="3710B9F1" w14:textId="77777777" w:rsidR="00151F8F" w:rsidRPr="0076337A" w:rsidRDefault="00151F8F" w:rsidP="00505231">
      <w:pPr>
        <w:pStyle w:val="ReferHead"/>
        <w:spacing w:after="0"/>
        <w:jc w:val="both"/>
        <w:rPr>
          <w:rFonts w:ascii="Arial" w:hAnsi="Arial" w:cs="Arial"/>
          <w:b w:val="0"/>
          <w:caps w:val="0"/>
          <w:sz w:val="20"/>
        </w:rPr>
      </w:pPr>
    </w:p>
    <w:p w14:paraId="2C952D29" w14:textId="7A4BF349" w:rsidR="002B4E2B" w:rsidRPr="0076337A" w:rsidRDefault="00180859" w:rsidP="00AA5542">
      <w:pPr>
        <w:pStyle w:val="ReferHead"/>
        <w:spacing w:after="0"/>
        <w:jc w:val="both"/>
        <w:rPr>
          <w:rFonts w:ascii="Arial" w:hAnsi="Arial" w:cs="Arial"/>
          <w:sz w:val="20"/>
        </w:rPr>
      </w:pPr>
      <w:r w:rsidRPr="0076337A">
        <w:rPr>
          <w:rFonts w:ascii="Arial" w:hAnsi="Arial" w:cs="Arial"/>
          <w:sz w:val="20"/>
        </w:rPr>
        <w:t>References</w:t>
      </w:r>
    </w:p>
    <w:p w14:paraId="01CBF4CC" w14:textId="77777777" w:rsidR="00DE7036" w:rsidRPr="00DE7036" w:rsidRDefault="00DE7036" w:rsidP="00DE7036">
      <w:pPr>
        <w:ind w:left="709" w:hanging="709"/>
        <w:jc w:val="both"/>
        <w:rPr>
          <w:sz w:val="20"/>
          <w:szCs w:val="20"/>
        </w:rPr>
      </w:pPr>
    </w:p>
    <w:p w14:paraId="087AE578" w14:textId="77777777" w:rsidR="00DE7036" w:rsidRPr="00DE7036" w:rsidRDefault="00DE7036" w:rsidP="00DE7036">
      <w:pPr>
        <w:ind w:left="709" w:hanging="709"/>
        <w:jc w:val="both"/>
        <w:rPr>
          <w:sz w:val="20"/>
          <w:szCs w:val="20"/>
        </w:rPr>
      </w:pPr>
      <w:proofErr w:type="spellStart"/>
      <w:r w:rsidRPr="00DE7036">
        <w:rPr>
          <w:rFonts w:ascii="Arial" w:hAnsi="Arial" w:cs="Arial"/>
          <w:color w:val="222222"/>
          <w:sz w:val="20"/>
          <w:szCs w:val="20"/>
          <w:shd w:val="clear" w:color="auto" w:fill="FFFFFF"/>
        </w:rPr>
        <w:t>Adipat</w:t>
      </w:r>
      <w:proofErr w:type="spellEnd"/>
      <w:r w:rsidRPr="00DE7036">
        <w:rPr>
          <w:rFonts w:ascii="Arial" w:hAnsi="Arial" w:cs="Arial"/>
          <w:color w:val="222222"/>
          <w:sz w:val="20"/>
          <w:szCs w:val="20"/>
          <w:shd w:val="clear" w:color="auto" w:fill="FFFFFF"/>
        </w:rPr>
        <w:t xml:space="preserve">, S., </w:t>
      </w:r>
      <w:proofErr w:type="spellStart"/>
      <w:r w:rsidRPr="00DE7036">
        <w:rPr>
          <w:rFonts w:ascii="Arial" w:hAnsi="Arial" w:cs="Arial"/>
          <w:color w:val="222222"/>
          <w:sz w:val="20"/>
          <w:szCs w:val="20"/>
          <w:shd w:val="clear" w:color="auto" w:fill="FFFFFF"/>
        </w:rPr>
        <w:t>Chotikapanich</w:t>
      </w:r>
      <w:proofErr w:type="spellEnd"/>
      <w:r w:rsidRPr="00DE7036">
        <w:rPr>
          <w:rFonts w:ascii="Arial" w:hAnsi="Arial" w:cs="Arial"/>
          <w:color w:val="222222"/>
          <w:sz w:val="20"/>
          <w:szCs w:val="20"/>
          <w:shd w:val="clear" w:color="auto" w:fill="FFFFFF"/>
        </w:rPr>
        <w:t xml:space="preserve">, R., Laksana, K., </w:t>
      </w:r>
      <w:proofErr w:type="spellStart"/>
      <w:r w:rsidRPr="00DE7036">
        <w:rPr>
          <w:rFonts w:ascii="Arial" w:hAnsi="Arial" w:cs="Arial"/>
          <w:color w:val="222222"/>
          <w:sz w:val="20"/>
          <w:szCs w:val="20"/>
          <w:shd w:val="clear" w:color="auto" w:fill="FFFFFF"/>
        </w:rPr>
        <w:t>Busayanon</w:t>
      </w:r>
      <w:proofErr w:type="spellEnd"/>
      <w:r w:rsidRPr="00DE7036">
        <w:rPr>
          <w:rFonts w:ascii="Arial" w:hAnsi="Arial" w:cs="Arial"/>
          <w:color w:val="222222"/>
          <w:sz w:val="20"/>
          <w:szCs w:val="20"/>
          <w:shd w:val="clear" w:color="auto" w:fill="FFFFFF"/>
        </w:rPr>
        <w:t xml:space="preserve">, K., </w:t>
      </w:r>
      <w:proofErr w:type="spellStart"/>
      <w:r w:rsidRPr="00DE7036">
        <w:rPr>
          <w:rFonts w:ascii="Arial" w:hAnsi="Arial" w:cs="Arial"/>
          <w:color w:val="222222"/>
          <w:sz w:val="20"/>
          <w:szCs w:val="20"/>
          <w:shd w:val="clear" w:color="auto" w:fill="FFFFFF"/>
        </w:rPr>
        <w:t>Piatanom</w:t>
      </w:r>
      <w:proofErr w:type="spellEnd"/>
      <w:r w:rsidRPr="00DE7036">
        <w:rPr>
          <w:rFonts w:ascii="Arial" w:hAnsi="Arial" w:cs="Arial"/>
          <w:color w:val="222222"/>
          <w:sz w:val="20"/>
          <w:szCs w:val="20"/>
          <w:shd w:val="clear" w:color="auto" w:fill="FFFFFF"/>
        </w:rPr>
        <w:t xml:space="preserve">, P., </w:t>
      </w:r>
      <w:proofErr w:type="spellStart"/>
      <w:r w:rsidRPr="00DE7036">
        <w:rPr>
          <w:rFonts w:ascii="Arial" w:hAnsi="Arial" w:cs="Arial"/>
          <w:color w:val="222222"/>
          <w:sz w:val="20"/>
          <w:szCs w:val="20"/>
          <w:shd w:val="clear" w:color="auto" w:fill="FFFFFF"/>
        </w:rPr>
        <w:t>Ausawasowan</w:t>
      </w:r>
      <w:proofErr w:type="spellEnd"/>
      <w:r w:rsidRPr="00DE7036">
        <w:rPr>
          <w:rFonts w:ascii="Arial" w:hAnsi="Arial" w:cs="Arial"/>
          <w:color w:val="222222"/>
          <w:sz w:val="20"/>
          <w:szCs w:val="20"/>
          <w:shd w:val="clear" w:color="auto" w:fill="FFFFFF"/>
        </w:rPr>
        <w:t xml:space="preserve">, A., &amp; </w:t>
      </w:r>
      <w:proofErr w:type="spellStart"/>
      <w:r w:rsidRPr="00DE7036">
        <w:rPr>
          <w:rFonts w:ascii="Arial" w:hAnsi="Arial" w:cs="Arial"/>
          <w:color w:val="222222"/>
          <w:sz w:val="20"/>
          <w:szCs w:val="20"/>
          <w:shd w:val="clear" w:color="auto" w:fill="FFFFFF"/>
        </w:rPr>
        <w:t>Elbasouni</w:t>
      </w:r>
      <w:proofErr w:type="spellEnd"/>
      <w:r w:rsidRPr="00DE7036">
        <w:rPr>
          <w:rFonts w:ascii="Arial" w:hAnsi="Arial" w:cs="Arial"/>
          <w:color w:val="222222"/>
          <w:sz w:val="20"/>
          <w:szCs w:val="20"/>
          <w:shd w:val="clear" w:color="auto" w:fill="FFFFFF"/>
        </w:rPr>
        <w:t xml:space="preserve">, I. (2023). Technological pedagogical content knowledge for professional teacher development. </w:t>
      </w:r>
      <w:r w:rsidRPr="00DE7036">
        <w:rPr>
          <w:rFonts w:ascii="Arial" w:hAnsi="Arial" w:cs="Arial"/>
          <w:i/>
          <w:iCs/>
          <w:color w:val="222222"/>
          <w:sz w:val="20"/>
          <w:szCs w:val="20"/>
          <w:shd w:val="clear" w:color="auto" w:fill="FFFFFF"/>
        </w:rPr>
        <w:t>Academic Journal of Interdisciplinary Studies</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12</w:t>
      </w:r>
      <w:r w:rsidRPr="00DE7036">
        <w:rPr>
          <w:rFonts w:ascii="Arial" w:hAnsi="Arial" w:cs="Arial"/>
          <w:color w:val="222222"/>
          <w:sz w:val="20"/>
          <w:szCs w:val="20"/>
          <w:shd w:val="clear" w:color="auto" w:fill="FFFFFF"/>
        </w:rPr>
        <w:t xml:space="preserve">(1), 173-182. </w:t>
      </w:r>
      <w:hyperlink r:id="rId15" w:history="1">
        <w:r w:rsidRPr="00DE7036">
          <w:rPr>
            <w:rFonts w:ascii="Arial" w:hAnsi="Arial" w:cs="Arial"/>
            <w:color w:val="1155CC"/>
            <w:sz w:val="20"/>
            <w:szCs w:val="20"/>
            <w:u w:val="single"/>
            <w:shd w:val="clear" w:color="auto" w:fill="FFFFFF"/>
          </w:rPr>
          <w:t>https://econpapers.repec.org/article/bjzajisjr/2348.htm</w:t>
        </w:r>
      </w:hyperlink>
    </w:p>
    <w:p w14:paraId="6DC1D847"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Asad, M. M., Aftab, K., Sherwani, F., </w:t>
      </w:r>
      <w:proofErr w:type="spellStart"/>
      <w:r w:rsidRPr="00DE7036">
        <w:rPr>
          <w:rFonts w:ascii="Arial" w:hAnsi="Arial" w:cs="Arial"/>
          <w:color w:val="222222"/>
          <w:sz w:val="20"/>
          <w:szCs w:val="20"/>
          <w:shd w:val="clear" w:color="auto" w:fill="FFFFFF"/>
        </w:rPr>
        <w:t>Churi</w:t>
      </w:r>
      <w:proofErr w:type="spellEnd"/>
      <w:r w:rsidRPr="00DE7036">
        <w:rPr>
          <w:rFonts w:ascii="Arial" w:hAnsi="Arial" w:cs="Arial"/>
          <w:color w:val="222222"/>
          <w:sz w:val="20"/>
          <w:szCs w:val="20"/>
          <w:shd w:val="clear" w:color="auto" w:fill="FFFFFF"/>
        </w:rPr>
        <w:t xml:space="preserve">, P., Moreno-Guerrero, A. J., &amp; </w:t>
      </w:r>
      <w:proofErr w:type="spellStart"/>
      <w:r w:rsidRPr="00DE7036">
        <w:rPr>
          <w:rFonts w:ascii="Arial" w:hAnsi="Arial" w:cs="Arial"/>
          <w:color w:val="222222"/>
          <w:sz w:val="20"/>
          <w:szCs w:val="20"/>
          <w:shd w:val="clear" w:color="auto" w:fill="FFFFFF"/>
        </w:rPr>
        <w:t>Pourshahian</w:t>
      </w:r>
      <w:proofErr w:type="spellEnd"/>
      <w:r w:rsidRPr="00DE7036">
        <w:rPr>
          <w:rFonts w:ascii="Arial" w:hAnsi="Arial" w:cs="Arial"/>
          <w:color w:val="222222"/>
          <w:sz w:val="20"/>
          <w:szCs w:val="20"/>
          <w:shd w:val="clear" w:color="auto" w:fill="FFFFFF"/>
        </w:rPr>
        <w:t>, B. (2021). Techno</w:t>
      </w:r>
      <w:r w:rsidRPr="00DE7036">
        <w:rPr>
          <w:rFonts w:ascii="Cambria Math" w:hAnsi="Cambria Math" w:cs="Cambria Math"/>
          <w:color w:val="222222"/>
          <w:sz w:val="20"/>
          <w:szCs w:val="20"/>
          <w:shd w:val="clear" w:color="auto" w:fill="FFFFFF"/>
        </w:rPr>
        <w:t>‐</w:t>
      </w:r>
      <w:r w:rsidRPr="00DE7036">
        <w:rPr>
          <w:rFonts w:ascii="Arial" w:hAnsi="Arial" w:cs="Arial"/>
          <w:color w:val="222222"/>
          <w:sz w:val="20"/>
          <w:szCs w:val="20"/>
          <w:shd w:val="clear" w:color="auto" w:fill="FFFFFF"/>
        </w:rPr>
        <w:t xml:space="preserve">Pedagogical Skills for 21st Century Digital Classrooms: An Extensive Literature Review. </w:t>
      </w:r>
      <w:r w:rsidRPr="00DE7036">
        <w:rPr>
          <w:rFonts w:ascii="Arial" w:hAnsi="Arial" w:cs="Arial"/>
          <w:i/>
          <w:iCs/>
          <w:color w:val="222222"/>
          <w:sz w:val="20"/>
          <w:szCs w:val="20"/>
          <w:shd w:val="clear" w:color="auto" w:fill="FFFFFF"/>
        </w:rPr>
        <w:t>Education Research International</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2021</w:t>
      </w:r>
      <w:r w:rsidRPr="00DE7036">
        <w:rPr>
          <w:rFonts w:ascii="Arial" w:hAnsi="Arial" w:cs="Arial"/>
          <w:color w:val="222222"/>
          <w:sz w:val="20"/>
          <w:szCs w:val="20"/>
          <w:shd w:val="clear" w:color="auto" w:fill="FFFFFF"/>
        </w:rPr>
        <w:t xml:space="preserve">(1), 8160084. </w:t>
      </w:r>
      <w:hyperlink r:id="rId16" w:history="1">
        <w:r w:rsidRPr="00DE7036">
          <w:rPr>
            <w:rFonts w:ascii="Arial" w:hAnsi="Arial" w:cs="Arial"/>
            <w:color w:val="1155CC"/>
            <w:sz w:val="20"/>
            <w:szCs w:val="20"/>
            <w:u w:val="single"/>
            <w:shd w:val="clear" w:color="auto" w:fill="FFFFFF"/>
          </w:rPr>
          <w:t>https://onlinelibrary.wiley.com/doi/full/10.1155/2021/8160084</w:t>
        </w:r>
      </w:hyperlink>
    </w:p>
    <w:p w14:paraId="409308A8" w14:textId="77777777" w:rsidR="00DE7036" w:rsidRPr="00DE7036" w:rsidRDefault="00DE7036" w:rsidP="00DE7036">
      <w:pPr>
        <w:ind w:left="709" w:hanging="709"/>
        <w:jc w:val="both"/>
        <w:rPr>
          <w:sz w:val="20"/>
          <w:szCs w:val="20"/>
        </w:rPr>
      </w:pPr>
      <w:proofErr w:type="spellStart"/>
      <w:r w:rsidRPr="00DE7036">
        <w:rPr>
          <w:rFonts w:ascii="Arial" w:hAnsi="Arial" w:cs="Arial"/>
          <w:color w:val="222222"/>
          <w:sz w:val="20"/>
          <w:szCs w:val="20"/>
          <w:shd w:val="clear" w:color="auto" w:fill="FFFFFF"/>
        </w:rPr>
        <w:t>Bulawat</w:t>
      </w:r>
      <w:proofErr w:type="spellEnd"/>
      <w:r w:rsidRPr="00DE7036">
        <w:rPr>
          <w:rFonts w:ascii="Arial" w:hAnsi="Arial" w:cs="Arial"/>
          <w:color w:val="222222"/>
          <w:sz w:val="20"/>
          <w:szCs w:val="20"/>
          <w:shd w:val="clear" w:color="auto" w:fill="FFFFFF"/>
        </w:rPr>
        <w:t xml:space="preserve">, A. (2020). Teachers’ Turnover Among Public Schools: Basis for Teachers’ Retention Programs. </w:t>
      </w:r>
      <w:r w:rsidRPr="00DE7036">
        <w:rPr>
          <w:rFonts w:ascii="Arial" w:hAnsi="Arial" w:cs="Arial"/>
          <w:i/>
          <w:iCs/>
          <w:color w:val="222222"/>
          <w:sz w:val="20"/>
          <w:szCs w:val="20"/>
          <w:shd w:val="clear" w:color="auto" w:fill="FFFFFF"/>
        </w:rPr>
        <w:t>International Journal of Scientific Research and Engineering Development</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3</w:t>
      </w:r>
      <w:r w:rsidRPr="00DE7036">
        <w:rPr>
          <w:rFonts w:ascii="Arial" w:hAnsi="Arial" w:cs="Arial"/>
          <w:color w:val="222222"/>
          <w:sz w:val="20"/>
          <w:szCs w:val="20"/>
          <w:shd w:val="clear" w:color="auto" w:fill="FFFFFF"/>
        </w:rPr>
        <w:t xml:space="preserve">(2). </w:t>
      </w:r>
      <w:hyperlink r:id="rId17" w:history="1">
        <w:r w:rsidRPr="00DE7036">
          <w:rPr>
            <w:rFonts w:ascii="Arial" w:hAnsi="Arial" w:cs="Arial"/>
            <w:color w:val="1155CC"/>
            <w:sz w:val="20"/>
            <w:szCs w:val="20"/>
            <w:u w:val="single"/>
            <w:shd w:val="clear" w:color="auto" w:fill="FFFFFF"/>
          </w:rPr>
          <w:t>https://papers.ssrn.com/sol3/papers.cfm?abstract_id=3744193</w:t>
        </w:r>
      </w:hyperlink>
    </w:p>
    <w:p w14:paraId="63BFDCBC"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Casely-Hayford, J., Björklund, C., Bergström, G., Lindqvist, P., &amp; Kwak, L. (2022). What makes teachers stay? A cross-sectional exploration of the individual and contextual factors associated with teacher retention in Sweden. </w:t>
      </w:r>
      <w:r w:rsidRPr="00DE7036">
        <w:rPr>
          <w:rFonts w:ascii="Arial" w:hAnsi="Arial" w:cs="Arial"/>
          <w:i/>
          <w:iCs/>
          <w:color w:val="222222"/>
          <w:sz w:val="20"/>
          <w:szCs w:val="20"/>
          <w:shd w:val="clear" w:color="auto" w:fill="FFFFFF"/>
        </w:rPr>
        <w:t>Teaching and Teacher Education</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113</w:t>
      </w:r>
      <w:r w:rsidRPr="00DE7036">
        <w:rPr>
          <w:rFonts w:ascii="Arial" w:hAnsi="Arial" w:cs="Arial"/>
          <w:color w:val="222222"/>
          <w:sz w:val="20"/>
          <w:szCs w:val="20"/>
          <w:shd w:val="clear" w:color="auto" w:fill="FFFFFF"/>
        </w:rPr>
        <w:t xml:space="preserve">, 103664. </w:t>
      </w:r>
      <w:hyperlink r:id="rId18" w:history="1">
        <w:r w:rsidRPr="00DE7036">
          <w:rPr>
            <w:rFonts w:ascii="Arial" w:hAnsi="Arial" w:cs="Arial"/>
            <w:color w:val="1155CC"/>
            <w:sz w:val="20"/>
            <w:szCs w:val="20"/>
            <w:u w:val="single"/>
            <w:shd w:val="clear" w:color="auto" w:fill="FFFFFF"/>
          </w:rPr>
          <w:t>https://www.sciencedirect.com/science/article/pii/S0742051X2200035X</w:t>
        </w:r>
      </w:hyperlink>
    </w:p>
    <w:p w14:paraId="528411FB"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Colomer, J., Serra, T., </w:t>
      </w:r>
      <w:proofErr w:type="spellStart"/>
      <w:r w:rsidRPr="00DE7036">
        <w:rPr>
          <w:rFonts w:ascii="Arial" w:hAnsi="Arial" w:cs="Arial"/>
          <w:color w:val="222222"/>
          <w:sz w:val="20"/>
          <w:szCs w:val="20"/>
          <w:shd w:val="clear" w:color="auto" w:fill="FFFFFF"/>
        </w:rPr>
        <w:t>Cañabate</w:t>
      </w:r>
      <w:proofErr w:type="spellEnd"/>
      <w:r w:rsidRPr="00DE7036">
        <w:rPr>
          <w:rFonts w:ascii="Arial" w:hAnsi="Arial" w:cs="Arial"/>
          <w:color w:val="222222"/>
          <w:sz w:val="20"/>
          <w:szCs w:val="20"/>
          <w:shd w:val="clear" w:color="auto" w:fill="FFFFFF"/>
        </w:rPr>
        <w:t xml:space="preserve">, D., &amp; </w:t>
      </w:r>
      <w:proofErr w:type="spellStart"/>
      <w:r w:rsidRPr="00DE7036">
        <w:rPr>
          <w:rFonts w:ascii="Arial" w:hAnsi="Arial" w:cs="Arial"/>
          <w:color w:val="222222"/>
          <w:sz w:val="20"/>
          <w:szCs w:val="20"/>
          <w:shd w:val="clear" w:color="auto" w:fill="FFFFFF"/>
        </w:rPr>
        <w:t>Bubnys</w:t>
      </w:r>
      <w:proofErr w:type="spellEnd"/>
      <w:r w:rsidRPr="00DE7036">
        <w:rPr>
          <w:rFonts w:ascii="Arial" w:hAnsi="Arial" w:cs="Arial"/>
          <w:color w:val="222222"/>
          <w:sz w:val="20"/>
          <w:szCs w:val="20"/>
          <w:shd w:val="clear" w:color="auto" w:fill="FFFFFF"/>
        </w:rPr>
        <w:t xml:space="preserve">, R. (2020). Reflective learning in higher education: Active methodologies for transformative practices. </w:t>
      </w:r>
      <w:r w:rsidRPr="00DE7036">
        <w:rPr>
          <w:rFonts w:ascii="Arial" w:hAnsi="Arial" w:cs="Arial"/>
          <w:i/>
          <w:iCs/>
          <w:color w:val="222222"/>
          <w:sz w:val="20"/>
          <w:szCs w:val="20"/>
          <w:shd w:val="clear" w:color="auto" w:fill="FFFFFF"/>
        </w:rPr>
        <w:t>Sustainability</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12</w:t>
      </w:r>
      <w:r w:rsidRPr="00DE7036">
        <w:rPr>
          <w:rFonts w:ascii="Arial" w:hAnsi="Arial" w:cs="Arial"/>
          <w:color w:val="222222"/>
          <w:sz w:val="20"/>
          <w:szCs w:val="20"/>
          <w:shd w:val="clear" w:color="auto" w:fill="FFFFFF"/>
        </w:rPr>
        <w:t xml:space="preserve">(9), 3827. </w:t>
      </w:r>
      <w:hyperlink r:id="rId19" w:history="1">
        <w:r w:rsidRPr="00DE7036">
          <w:rPr>
            <w:rFonts w:ascii="Arial" w:hAnsi="Arial" w:cs="Arial"/>
            <w:color w:val="1155CC"/>
            <w:sz w:val="20"/>
            <w:szCs w:val="20"/>
            <w:u w:val="single"/>
            <w:shd w:val="clear" w:color="auto" w:fill="FFFFFF"/>
          </w:rPr>
          <w:t>https://www.mdpi.com/2071-1050/12/9/3827</w:t>
        </w:r>
      </w:hyperlink>
    </w:p>
    <w:p w14:paraId="2FB2A36D"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Fabella, F. E. T., </w:t>
      </w:r>
      <w:proofErr w:type="spellStart"/>
      <w:r w:rsidRPr="00DE7036">
        <w:rPr>
          <w:rFonts w:ascii="Arial" w:hAnsi="Arial" w:cs="Arial"/>
          <w:color w:val="222222"/>
          <w:sz w:val="20"/>
          <w:szCs w:val="20"/>
          <w:shd w:val="clear" w:color="auto" w:fill="FFFFFF"/>
        </w:rPr>
        <w:t>Agascon</w:t>
      </w:r>
      <w:proofErr w:type="spellEnd"/>
      <w:r w:rsidRPr="00DE7036">
        <w:rPr>
          <w:rFonts w:ascii="Arial" w:hAnsi="Arial" w:cs="Arial"/>
          <w:color w:val="222222"/>
          <w:sz w:val="20"/>
          <w:szCs w:val="20"/>
          <w:shd w:val="clear" w:color="auto" w:fill="FFFFFF"/>
        </w:rPr>
        <w:t xml:space="preserve">, N. V., &amp; Litao, D. M. (2023). Teacher Burnout and Aggression among Selected Public School Teachers in the Philippines. </w:t>
      </w:r>
      <w:r w:rsidRPr="00DE7036">
        <w:rPr>
          <w:rFonts w:ascii="Arial" w:hAnsi="Arial" w:cs="Arial"/>
          <w:i/>
          <w:iCs/>
          <w:color w:val="222222"/>
          <w:sz w:val="20"/>
          <w:szCs w:val="20"/>
          <w:shd w:val="clear" w:color="auto" w:fill="FFFFFF"/>
        </w:rPr>
        <w:t>Cognizance Journal</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3</w:t>
      </w:r>
      <w:r w:rsidRPr="00DE7036">
        <w:rPr>
          <w:rFonts w:ascii="Arial" w:hAnsi="Arial" w:cs="Arial"/>
          <w:color w:val="222222"/>
          <w:sz w:val="20"/>
          <w:szCs w:val="20"/>
          <w:shd w:val="clear" w:color="auto" w:fill="FFFFFF"/>
        </w:rPr>
        <w:t xml:space="preserve">(7), 446-456. </w:t>
      </w:r>
      <w:hyperlink r:id="rId20" w:history="1">
        <w:r w:rsidRPr="00DE7036">
          <w:rPr>
            <w:rFonts w:ascii="Arial" w:hAnsi="Arial" w:cs="Arial"/>
            <w:color w:val="1155CC"/>
            <w:sz w:val="20"/>
            <w:szCs w:val="20"/>
            <w:u w:val="single"/>
            <w:shd w:val="clear" w:color="auto" w:fill="FFFFFF"/>
          </w:rPr>
          <w:t>https://cognizancejournal.com/vol3issue7/V3I744.pdf</w:t>
        </w:r>
      </w:hyperlink>
    </w:p>
    <w:p w14:paraId="73344CE2"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Farrell, T. S. (2020). Professional development through reflective practice for English-medium instruction (EMI) teachers. </w:t>
      </w:r>
      <w:r w:rsidRPr="00DE7036">
        <w:rPr>
          <w:rFonts w:ascii="Arial" w:hAnsi="Arial" w:cs="Arial"/>
          <w:i/>
          <w:iCs/>
          <w:color w:val="222222"/>
          <w:sz w:val="20"/>
          <w:szCs w:val="20"/>
          <w:shd w:val="clear" w:color="auto" w:fill="FFFFFF"/>
        </w:rPr>
        <w:t>International Journal of Bilingual Education and Bilingualism</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23</w:t>
      </w:r>
      <w:r w:rsidRPr="00DE7036">
        <w:rPr>
          <w:rFonts w:ascii="Arial" w:hAnsi="Arial" w:cs="Arial"/>
          <w:color w:val="222222"/>
          <w:sz w:val="20"/>
          <w:szCs w:val="20"/>
          <w:shd w:val="clear" w:color="auto" w:fill="FFFFFF"/>
        </w:rPr>
        <w:t xml:space="preserve">(3), 277-286. </w:t>
      </w:r>
      <w:hyperlink r:id="rId21" w:history="1">
        <w:r w:rsidRPr="00DE7036">
          <w:rPr>
            <w:rFonts w:ascii="Arial" w:hAnsi="Arial" w:cs="Arial"/>
            <w:color w:val="1155CC"/>
            <w:sz w:val="20"/>
            <w:szCs w:val="20"/>
            <w:u w:val="single"/>
            <w:shd w:val="clear" w:color="auto" w:fill="FFFFFF"/>
          </w:rPr>
          <w:t>https://www.tandfonline.com/doi/abs/10.1080/13670050.2019.1612840</w:t>
        </w:r>
      </w:hyperlink>
    </w:p>
    <w:p w14:paraId="38767476"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Gross, T. L. (2020). </w:t>
      </w:r>
      <w:r w:rsidRPr="00DE7036">
        <w:rPr>
          <w:rFonts w:ascii="Arial" w:hAnsi="Arial" w:cs="Arial"/>
          <w:i/>
          <w:iCs/>
          <w:color w:val="222222"/>
          <w:sz w:val="20"/>
          <w:szCs w:val="20"/>
          <w:shd w:val="clear" w:color="auto" w:fill="FFFFFF"/>
        </w:rPr>
        <w:t>Building the Best: A Quantitative Evaluation of a State-Level Teacher Retention Strategy Designed to Increase Self-Efficacy, Reflective Capacity, and Job Satisfaction Through Effective Professional Development</w:t>
      </w:r>
      <w:r w:rsidRPr="00DE7036">
        <w:rPr>
          <w:rFonts w:ascii="Arial" w:hAnsi="Arial" w:cs="Arial"/>
          <w:color w:val="222222"/>
          <w:sz w:val="20"/>
          <w:szCs w:val="20"/>
          <w:shd w:val="clear" w:color="auto" w:fill="FFFFFF"/>
        </w:rPr>
        <w:t xml:space="preserve"> (Doctoral dissertation, University of Missouri-Columbia). </w:t>
      </w:r>
      <w:hyperlink r:id="rId22" w:history="1">
        <w:r w:rsidRPr="00DE7036">
          <w:rPr>
            <w:rFonts w:ascii="Arial" w:hAnsi="Arial" w:cs="Arial"/>
            <w:color w:val="1155CC"/>
            <w:sz w:val="20"/>
            <w:szCs w:val="20"/>
            <w:u w:val="single"/>
            <w:shd w:val="clear" w:color="auto" w:fill="FFFFFF"/>
          </w:rPr>
          <w:t>https://www.proquest.com/openview/200c1b8d4be057f434e28a6eee79cc18/1?pq-origsite=gscholar&amp;cbl=18750&amp;diss=y</w:t>
        </w:r>
      </w:hyperlink>
    </w:p>
    <w:p w14:paraId="335E9E2C"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Hester, O. R., Bridges, S. A., &amp; Rollins, L. H. (2020). ‘Overworked and underappreciated’: special education teachers describe stress and attrition. </w:t>
      </w:r>
      <w:r w:rsidRPr="00DE7036">
        <w:rPr>
          <w:rFonts w:ascii="Arial" w:hAnsi="Arial" w:cs="Arial"/>
          <w:i/>
          <w:iCs/>
          <w:color w:val="222222"/>
          <w:sz w:val="20"/>
          <w:szCs w:val="20"/>
          <w:shd w:val="clear" w:color="auto" w:fill="FFFFFF"/>
        </w:rPr>
        <w:t>Teacher Development</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24</w:t>
      </w:r>
      <w:r w:rsidRPr="00DE7036">
        <w:rPr>
          <w:rFonts w:ascii="Arial" w:hAnsi="Arial" w:cs="Arial"/>
          <w:color w:val="222222"/>
          <w:sz w:val="20"/>
          <w:szCs w:val="20"/>
          <w:shd w:val="clear" w:color="auto" w:fill="FFFFFF"/>
        </w:rPr>
        <w:t xml:space="preserve">(3), 348-365. </w:t>
      </w:r>
      <w:hyperlink r:id="rId23" w:history="1">
        <w:r w:rsidRPr="00DE7036">
          <w:rPr>
            <w:rFonts w:ascii="Arial" w:hAnsi="Arial" w:cs="Arial"/>
            <w:color w:val="1155CC"/>
            <w:sz w:val="20"/>
            <w:szCs w:val="20"/>
            <w:u w:val="single"/>
            <w:shd w:val="clear" w:color="auto" w:fill="FFFFFF"/>
          </w:rPr>
          <w:t>https://www.tandfonline.com/doi/abs/10.1080/13664530.2020.1767189</w:t>
        </w:r>
      </w:hyperlink>
    </w:p>
    <w:p w14:paraId="4FE6C684"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Jacob, F. I. L. G. O. N. A., John, S. A. K. I. Y. O., &amp; </w:t>
      </w:r>
      <w:proofErr w:type="spellStart"/>
      <w:r w:rsidRPr="00DE7036">
        <w:rPr>
          <w:rFonts w:ascii="Arial" w:hAnsi="Arial" w:cs="Arial"/>
          <w:color w:val="222222"/>
          <w:sz w:val="20"/>
          <w:szCs w:val="20"/>
          <w:shd w:val="clear" w:color="auto" w:fill="FFFFFF"/>
        </w:rPr>
        <w:t>Gwany</w:t>
      </w:r>
      <w:proofErr w:type="spellEnd"/>
      <w:r w:rsidRPr="00DE7036">
        <w:rPr>
          <w:rFonts w:ascii="Arial" w:hAnsi="Arial" w:cs="Arial"/>
          <w:color w:val="222222"/>
          <w:sz w:val="20"/>
          <w:szCs w:val="20"/>
          <w:shd w:val="clear" w:color="auto" w:fill="FFFFFF"/>
        </w:rPr>
        <w:t xml:space="preserve">, D. M. (2020). Teachers’ pedagogical content knowledge and students’ academic achievement: A theoretical </w:t>
      </w:r>
      <w:r w:rsidRPr="00DE7036">
        <w:rPr>
          <w:rFonts w:ascii="Arial" w:hAnsi="Arial" w:cs="Arial"/>
          <w:color w:val="222222"/>
          <w:sz w:val="20"/>
          <w:szCs w:val="20"/>
          <w:shd w:val="clear" w:color="auto" w:fill="FFFFFF"/>
        </w:rPr>
        <w:lastRenderedPageBreak/>
        <w:t xml:space="preserve">overview. </w:t>
      </w:r>
      <w:r w:rsidRPr="00DE7036">
        <w:rPr>
          <w:rFonts w:ascii="Arial" w:hAnsi="Arial" w:cs="Arial"/>
          <w:i/>
          <w:iCs/>
          <w:color w:val="222222"/>
          <w:sz w:val="20"/>
          <w:szCs w:val="20"/>
          <w:shd w:val="clear" w:color="auto" w:fill="FFFFFF"/>
        </w:rPr>
        <w:t>Journal of Global Research in Education and Social Science</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14</w:t>
      </w:r>
      <w:r w:rsidRPr="00DE7036">
        <w:rPr>
          <w:rFonts w:ascii="Arial" w:hAnsi="Arial" w:cs="Arial"/>
          <w:color w:val="222222"/>
          <w:sz w:val="20"/>
          <w:szCs w:val="20"/>
          <w:shd w:val="clear" w:color="auto" w:fill="FFFFFF"/>
        </w:rPr>
        <w:t xml:space="preserve">(2), 14-44. </w:t>
      </w:r>
      <w:hyperlink r:id="rId24" w:history="1">
        <w:r w:rsidRPr="00DE7036">
          <w:rPr>
            <w:rFonts w:ascii="Arial" w:hAnsi="Arial" w:cs="Arial"/>
            <w:color w:val="1155CC"/>
            <w:sz w:val="20"/>
            <w:szCs w:val="20"/>
            <w:u w:val="single"/>
            <w:shd w:val="clear" w:color="auto" w:fill="FFFFFF"/>
          </w:rPr>
          <w:t>https://ikprress.org/index.php/JOGRESS/article/view/5405</w:t>
        </w:r>
      </w:hyperlink>
    </w:p>
    <w:p w14:paraId="635A8932"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Liesa-</w:t>
      </w:r>
      <w:proofErr w:type="spellStart"/>
      <w:r w:rsidRPr="00DE7036">
        <w:rPr>
          <w:rFonts w:ascii="Arial" w:hAnsi="Arial" w:cs="Arial"/>
          <w:color w:val="222222"/>
          <w:sz w:val="20"/>
          <w:szCs w:val="20"/>
          <w:shd w:val="clear" w:color="auto" w:fill="FFFFFF"/>
        </w:rPr>
        <w:t>Orús</w:t>
      </w:r>
      <w:proofErr w:type="spellEnd"/>
      <w:r w:rsidRPr="00DE7036">
        <w:rPr>
          <w:rFonts w:ascii="Arial" w:hAnsi="Arial" w:cs="Arial"/>
          <w:color w:val="222222"/>
          <w:sz w:val="20"/>
          <w:szCs w:val="20"/>
          <w:shd w:val="clear" w:color="auto" w:fill="FFFFFF"/>
        </w:rPr>
        <w:t xml:space="preserve">, M., Latorre-Cosculluela, C., Vázquez-Toledo, S., &amp; Sierra-Sánchez, V. (2020). The technological challenge facing higher education professors: Perceptions of ICT tools for developing 21st century skills. </w:t>
      </w:r>
      <w:r w:rsidRPr="00DE7036">
        <w:rPr>
          <w:rFonts w:ascii="Arial" w:hAnsi="Arial" w:cs="Arial"/>
          <w:i/>
          <w:iCs/>
          <w:color w:val="222222"/>
          <w:sz w:val="20"/>
          <w:szCs w:val="20"/>
          <w:shd w:val="clear" w:color="auto" w:fill="FFFFFF"/>
        </w:rPr>
        <w:t>Sustainability</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12</w:t>
      </w:r>
      <w:r w:rsidRPr="00DE7036">
        <w:rPr>
          <w:rFonts w:ascii="Arial" w:hAnsi="Arial" w:cs="Arial"/>
          <w:color w:val="222222"/>
          <w:sz w:val="20"/>
          <w:szCs w:val="20"/>
          <w:shd w:val="clear" w:color="auto" w:fill="FFFFFF"/>
        </w:rPr>
        <w:t xml:space="preserve">(13), 5339. </w:t>
      </w:r>
      <w:hyperlink r:id="rId25" w:history="1">
        <w:r w:rsidRPr="00DE7036">
          <w:rPr>
            <w:rFonts w:ascii="Arial" w:hAnsi="Arial" w:cs="Arial"/>
            <w:color w:val="1155CC"/>
            <w:sz w:val="20"/>
            <w:szCs w:val="20"/>
            <w:u w:val="single"/>
            <w:shd w:val="clear" w:color="auto" w:fill="FFFFFF"/>
          </w:rPr>
          <w:t>https://www.mdpi.com/2071-1050/12/13/5339</w:t>
        </w:r>
      </w:hyperlink>
    </w:p>
    <w:p w14:paraId="234E3BCD"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Maready, B., Cheng, Q., &amp; Bunch, D. (2021). Exploring mentoring practices contributing to new teacher retention: An analysis of the beginning teacher longitudinal study. </w:t>
      </w:r>
      <w:r w:rsidRPr="00DE7036">
        <w:rPr>
          <w:rFonts w:ascii="Arial" w:hAnsi="Arial" w:cs="Arial"/>
          <w:i/>
          <w:iCs/>
          <w:color w:val="222222"/>
          <w:sz w:val="20"/>
          <w:szCs w:val="20"/>
          <w:shd w:val="clear" w:color="auto" w:fill="FFFFFF"/>
        </w:rPr>
        <w:t>International Journal of Evidence Based Coaching and Mentoring</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19</w:t>
      </w:r>
      <w:r w:rsidRPr="00DE7036">
        <w:rPr>
          <w:rFonts w:ascii="Arial" w:hAnsi="Arial" w:cs="Arial"/>
          <w:color w:val="222222"/>
          <w:sz w:val="20"/>
          <w:szCs w:val="20"/>
          <w:shd w:val="clear" w:color="auto" w:fill="FFFFFF"/>
        </w:rPr>
        <w:t xml:space="preserve">(2), 88-99. </w:t>
      </w:r>
      <w:hyperlink r:id="rId26" w:history="1">
        <w:r w:rsidRPr="00DE7036">
          <w:rPr>
            <w:rFonts w:ascii="Arial" w:hAnsi="Arial" w:cs="Arial"/>
            <w:color w:val="1155CC"/>
            <w:sz w:val="20"/>
            <w:szCs w:val="20"/>
            <w:u w:val="single"/>
            <w:shd w:val="clear" w:color="auto" w:fill="FFFFFF"/>
          </w:rPr>
          <w:t>https://radar.brookes.ac.uk/radar/items/e98bbf15-b504-4b31-8d2f-502146eb1934/1/</w:t>
        </w:r>
      </w:hyperlink>
    </w:p>
    <w:p w14:paraId="0B58EBE3"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McGarr, O. (2021). The use of virtual simulations in teacher education to develop pre-service teachers’ </w:t>
      </w:r>
      <w:proofErr w:type="spellStart"/>
      <w:r w:rsidRPr="00DE7036">
        <w:rPr>
          <w:rFonts w:ascii="Arial" w:hAnsi="Arial" w:cs="Arial"/>
          <w:color w:val="222222"/>
          <w:sz w:val="20"/>
          <w:szCs w:val="20"/>
          <w:shd w:val="clear" w:color="auto" w:fill="FFFFFF"/>
        </w:rPr>
        <w:t>behaviour</w:t>
      </w:r>
      <w:proofErr w:type="spellEnd"/>
      <w:r w:rsidRPr="00DE7036">
        <w:rPr>
          <w:rFonts w:ascii="Arial" w:hAnsi="Arial" w:cs="Arial"/>
          <w:color w:val="222222"/>
          <w:sz w:val="20"/>
          <w:szCs w:val="20"/>
          <w:shd w:val="clear" w:color="auto" w:fill="FFFFFF"/>
        </w:rPr>
        <w:t xml:space="preserve"> and classroom management skills: implications for reflective practice. </w:t>
      </w:r>
      <w:r w:rsidRPr="00DE7036">
        <w:rPr>
          <w:rFonts w:ascii="Arial" w:hAnsi="Arial" w:cs="Arial"/>
          <w:i/>
          <w:iCs/>
          <w:color w:val="222222"/>
          <w:sz w:val="20"/>
          <w:szCs w:val="20"/>
          <w:shd w:val="clear" w:color="auto" w:fill="FFFFFF"/>
        </w:rPr>
        <w:t>Journal of Education for Teaching</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47</w:t>
      </w:r>
      <w:r w:rsidRPr="00DE7036">
        <w:rPr>
          <w:rFonts w:ascii="Arial" w:hAnsi="Arial" w:cs="Arial"/>
          <w:color w:val="222222"/>
          <w:sz w:val="20"/>
          <w:szCs w:val="20"/>
          <w:shd w:val="clear" w:color="auto" w:fill="FFFFFF"/>
        </w:rPr>
        <w:t xml:space="preserve">(2), 274-286. </w:t>
      </w:r>
      <w:hyperlink r:id="rId27" w:history="1">
        <w:r w:rsidRPr="00DE7036">
          <w:rPr>
            <w:rFonts w:ascii="Arial" w:hAnsi="Arial" w:cs="Arial"/>
            <w:color w:val="1155CC"/>
            <w:sz w:val="20"/>
            <w:szCs w:val="20"/>
            <w:u w:val="single"/>
            <w:shd w:val="clear" w:color="auto" w:fill="FFFFFF"/>
          </w:rPr>
          <w:t>https://www.tandfonline.com/doi/abs/10.1080/02607476.2020.1733398</w:t>
        </w:r>
      </w:hyperlink>
      <w:r w:rsidRPr="00DE7036">
        <w:rPr>
          <w:rFonts w:ascii="Arial" w:hAnsi="Arial" w:cs="Arial"/>
          <w:color w:val="222222"/>
          <w:sz w:val="20"/>
          <w:szCs w:val="20"/>
          <w:shd w:val="clear" w:color="auto" w:fill="FFFFFF"/>
        </w:rPr>
        <w:t> </w:t>
      </w:r>
    </w:p>
    <w:p w14:paraId="6D5E10B8"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Meletiou-Mavrotheris, M., &amp; </w:t>
      </w:r>
      <w:proofErr w:type="spellStart"/>
      <w:r w:rsidRPr="00DE7036">
        <w:rPr>
          <w:rFonts w:ascii="Arial" w:hAnsi="Arial" w:cs="Arial"/>
          <w:color w:val="222222"/>
          <w:sz w:val="20"/>
          <w:szCs w:val="20"/>
          <w:shd w:val="clear" w:color="auto" w:fill="FFFFFF"/>
        </w:rPr>
        <w:t>Paparistodemou</w:t>
      </w:r>
      <w:proofErr w:type="spellEnd"/>
      <w:r w:rsidRPr="00DE7036">
        <w:rPr>
          <w:rFonts w:ascii="Arial" w:hAnsi="Arial" w:cs="Arial"/>
          <w:color w:val="222222"/>
          <w:sz w:val="20"/>
          <w:szCs w:val="20"/>
          <w:shd w:val="clear" w:color="auto" w:fill="FFFFFF"/>
        </w:rPr>
        <w:t xml:space="preserve">, E. (2024). Sustaining teacher professional learning in STEM: Lessons learned from an 18-year-long journey into TPACK-guided professional development. </w:t>
      </w:r>
      <w:r w:rsidRPr="00DE7036">
        <w:rPr>
          <w:rFonts w:ascii="Arial" w:hAnsi="Arial" w:cs="Arial"/>
          <w:i/>
          <w:iCs/>
          <w:color w:val="222222"/>
          <w:sz w:val="20"/>
          <w:szCs w:val="20"/>
          <w:shd w:val="clear" w:color="auto" w:fill="FFFFFF"/>
        </w:rPr>
        <w:t>Education Sciences</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14</w:t>
      </w:r>
      <w:r w:rsidRPr="00DE7036">
        <w:rPr>
          <w:rFonts w:ascii="Arial" w:hAnsi="Arial" w:cs="Arial"/>
          <w:color w:val="222222"/>
          <w:sz w:val="20"/>
          <w:szCs w:val="20"/>
          <w:shd w:val="clear" w:color="auto" w:fill="FFFFFF"/>
        </w:rPr>
        <w:t>(4), 402.</w:t>
      </w:r>
      <w:hyperlink r:id="rId28" w:history="1">
        <w:r w:rsidRPr="00DE7036">
          <w:rPr>
            <w:rFonts w:ascii="Arial" w:hAnsi="Arial" w:cs="Arial"/>
            <w:color w:val="1155CC"/>
            <w:sz w:val="20"/>
            <w:szCs w:val="20"/>
            <w:u w:val="single"/>
            <w:shd w:val="clear" w:color="auto" w:fill="FFFFFF"/>
          </w:rPr>
          <w:t>https://www.mdpi.com/2227-7102/14/4/402</w:t>
        </w:r>
      </w:hyperlink>
    </w:p>
    <w:p w14:paraId="4CB457F5"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Miller, J. M., Youngs, P., Perrone, F., &amp; Grogan, E. (2020). Using measures of fit to predict beginning teacher retention. </w:t>
      </w:r>
      <w:r w:rsidRPr="00DE7036">
        <w:rPr>
          <w:rFonts w:ascii="Arial" w:hAnsi="Arial" w:cs="Arial"/>
          <w:i/>
          <w:iCs/>
          <w:color w:val="222222"/>
          <w:sz w:val="20"/>
          <w:szCs w:val="20"/>
          <w:shd w:val="clear" w:color="auto" w:fill="FFFFFF"/>
        </w:rPr>
        <w:t>The Elementary School Journal</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120</w:t>
      </w:r>
      <w:r w:rsidRPr="00DE7036">
        <w:rPr>
          <w:rFonts w:ascii="Arial" w:hAnsi="Arial" w:cs="Arial"/>
          <w:color w:val="222222"/>
          <w:sz w:val="20"/>
          <w:szCs w:val="20"/>
          <w:shd w:val="clear" w:color="auto" w:fill="FFFFFF"/>
        </w:rPr>
        <w:t xml:space="preserve">(3), 399-421. </w:t>
      </w:r>
      <w:hyperlink r:id="rId29" w:history="1">
        <w:r w:rsidRPr="00DE7036">
          <w:rPr>
            <w:rFonts w:ascii="Arial" w:hAnsi="Arial" w:cs="Arial"/>
            <w:color w:val="1155CC"/>
            <w:sz w:val="20"/>
            <w:szCs w:val="20"/>
            <w:u w:val="single"/>
            <w:shd w:val="clear" w:color="auto" w:fill="FFFFFF"/>
          </w:rPr>
          <w:t>https://www.journals.uchicago.edu/doi/abs/10.1086/707094</w:t>
        </w:r>
      </w:hyperlink>
    </w:p>
    <w:p w14:paraId="3D9F283F"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Nartey, P. (2023). </w:t>
      </w:r>
      <w:r w:rsidRPr="00DE7036">
        <w:rPr>
          <w:rFonts w:ascii="Arial" w:hAnsi="Arial" w:cs="Arial"/>
          <w:i/>
          <w:iCs/>
          <w:color w:val="222222"/>
          <w:sz w:val="20"/>
          <w:szCs w:val="20"/>
          <w:shd w:val="clear" w:color="auto" w:fill="FFFFFF"/>
        </w:rPr>
        <w:t>Technological, pedagogical and content knowledge (</w:t>
      </w:r>
      <w:proofErr w:type="spellStart"/>
      <w:r w:rsidRPr="00DE7036">
        <w:rPr>
          <w:rFonts w:ascii="Arial" w:hAnsi="Arial" w:cs="Arial"/>
          <w:i/>
          <w:iCs/>
          <w:color w:val="222222"/>
          <w:sz w:val="20"/>
          <w:szCs w:val="20"/>
          <w:shd w:val="clear" w:color="auto" w:fill="FFFFFF"/>
        </w:rPr>
        <w:t>tpack</w:t>
      </w:r>
      <w:proofErr w:type="spellEnd"/>
      <w:r w:rsidRPr="00DE7036">
        <w:rPr>
          <w:rFonts w:ascii="Arial" w:hAnsi="Arial" w:cs="Arial"/>
          <w:i/>
          <w:iCs/>
          <w:color w:val="222222"/>
          <w:sz w:val="20"/>
          <w:szCs w:val="20"/>
          <w:shd w:val="clear" w:color="auto" w:fill="FFFFFF"/>
        </w:rPr>
        <w:t xml:space="preserve">) as predictors of turnover intention among Tutors in the colleges of education, </w:t>
      </w:r>
      <w:proofErr w:type="spellStart"/>
      <w:r w:rsidRPr="00DE7036">
        <w:rPr>
          <w:rFonts w:ascii="Arial" w:hAnsi="Arial" w:cs="Arial"/>
          <w:i/>
          <w:iCs/>
          <w:color w:val="222222"/>
          <w:sz w:val="20"/>
          <w:szCs w:val="20"/>
          <w:shd w:val="clear" w:color="auto" w:fill="FFFFFF"/>
        </w:rPr>
        <w:t>ghana</w:t>
      </w:r>
      <w:proofErr w:type="spellEnd"/>
      <w:r w:rsidRPr="00DE7036">
        <w:rPr>
          <w:rFonts w:ascii="Arial" w:hAnsi="Arial" w:cs="Arial"/>
          <w:color w:val="222222"/>
          <w:sz w:val="20"/>
          <w:szCs w:val="20"/>
          <w:shd w:val="clear" w:color="auto" w:fill="FFFFFF"/>
        </w:rPr>
        <w:t xml:space="preserve"> (Doctoral dissertation, University of Cape Coast). </w:t>
      </w:r>
      <w:hyperlink r:id="rId30" w:history="1">
        <w:r w:rsidRPr="00DE7036">
          <w:rPr>
            <w:rFonts w:ascii="Arial" w:hAnsi="Arial" w:cs="Arial"/>
            <w:color w:val="1155CC"/>
            <w:sz w:val="20"/>
            <w:szCs w:val="20"/>
            <w:u w:val="single"/>
            <w:shd w:val="clear" w:color="auto" w:fill="FFFFFF"/>
          </w:rPr>
          <w:t>https://ir.ucc.edu.gh/xmlui/handle/123456789/11782</w:t>
        </w:r>
      </w:hyperlink>
    </w:p>
    <w:p w14:paraId="1DD7D55A"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Neumann, M. M., &amp; </w:t>
      </w:r>
      <w:proofErr w:type="spellStart"/>
      <w:r w:rsidRPr="00DE7036">
        <w:rPr>
          <w:rFonts w:ascii="Arial" w:hAnsi="Arial" w:cs="Arial"/>
          <w:color w:val="222222"/>
          <w:sz w:val="20"/>
          <w:szCs w:val="20"/>
          <w:shd w:val="clear" w:color="auto" w:fill="FFFFFF"/>
        </w:rPr>
        <w:t>Tillott</w:t>
      </w:r>
      <w:proofErr w:type="spellEnd"/>
      <w:r w:rsidRPr="00DE7036">
        <w:rPr>
          <w:rFonts w:ascii="Arial" w:hAnsi="Arial" w:cs="Arial"/>
          <w:color w:val="222222"/>
          <w:sz w:val="20"/>
          <w:szCs w:val="20"/>
          <w:shd w:val="clear" w:color="auto" w:fill="FFFFFF"/>
        </w:rPr>
        <w:t xml:space="preserve">, S. (2022). Why should teachers cultivate resilience through </w:t>
      </w:r>
      <w:proofErr w:type="gramStart"/>
      <w:r w:rsidRPr="00DE7036">
        <w:rPr>
          <w:rFonts w:ascii="Arial" w:hAnsi="Arial" w:cs="Arial"/>
          <w:color w:val="222222"/>
          <w:sz w:val="20"/>
          <w:szCs w:val="20"/>
          <w:shd w:val="clear" w:color="auto" w:fill="FFFFFF"/>
        </w:rPr>
        <w:t>mindfulness?.</w:t>
      </w:r>
      <w:proofErr w:type="gramEnd"/>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Journal of Psychologists and Counsellors in schools</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32</w:t>
      </w:r>
      <w:r w:rsidRPr="00DE7036">
        <w:rPr>
          <w:rFonts w:ascii="Arial" w:hAnsi="Arial" w:cs="Arial"/>
          <w:color w:val="222222"/>
          <w:sz w:val="20"/>
          <w:szCs w:val="20"/>
          <w:shd w:val="clear" w:color="auto" w:fill="FFFFFF"/>
        </w:rPr>
        <w:t xml:space="preserve">(1), 3-14. </w:t>
      </w:r>
      <w:hyperlink r:id="rId31" w:history="1">
        <w:r w:rsidRPr="00DE7036">
          <w:rPr>
            <w:rFonts w:ascii="Arial" w:hAnsi="Arial" w:cs="Arial"/>
            <w:color w:val="1155CC"/>
            <w:sz w:val="20"/>
            <w:szCs w:val="20"/>
            <w:u w:val="single"/>
            <w:shd w:val="clear" w:color="auto" w:fill="FFFFFF"/>
          </w:rPr>
          <w:t>https://journals.sagepub.com/doi/abs/10.1017/jgc.2021.23</w:t>
        </w:r>
      </w:hyperlink>
    </w:p>
    <w:p w14:paraId="7C2096B6"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Nkambule, T. (2022). Exploring working conditions in selected rural schools: teachers’ experiences. </w:t>
      </w:r>
      <w:r w:rsidRPr="00DE7036">
        <w:rPr>
          <w:rFonts w:ascii="Arial" w:hAnsi="Arial" w:cs="Arial"/>
          <w:i/>
          <w:iCs/>
          <w:color w:val="222222"/>
          <w:sz w:val="20"/>
          <w:szCs w:val="20"/>
          <w:shd w:val="clear" w:color="auto" w:fill="FFFFFF"/>
        </w:rPr>
        <w:t>South African Journal of Education</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42</w:t>
      </w:r>
      <w:r w:rsidRPr="00DE7036">
        <w:rPr>
          <w:rFonts w:ascii="Arial" w:hAnsi="Arial" w:cs="Arial"/>
          <w:color w:val="222222"/>
          <w:sz w:val="20"/>
          <w:szCs w:val="20"/>
          <w:shd w:val="clear" w:color="auto" w:fill="FFFFFF"/>
        </w:rPr>
        <w:t xml:space="preserve">(1). </w:t>
      </w:r>
      <w:hyperlink r:id="rId32" w:history="1">
        <w:r w:rsidRPr="00DE7036">
          <w:rPr>
            <w:rFonts w:ascii="Arial" w:hAnsi="Arial" w:cs="Arial"/>
            <w:color w:val="1155CC"/>
            <w:sz w:val="20"/>
            <w:szCs w:val="20"/>
            <w:u w:val="single"/>
            <w:shd w:val="clear" w:color="auto" w:fill="FFFFFF"/>
          </w:rPr>
          <w:t>https://www.ajol.info/index.php/saje/article/view/229366</w:t>
        </w:r>
      </w:hyperlink>
    </w:p>
    <w:p w14:paraId="0942CD17" w14:textId="77777777" w:rsidR="00DE7036" w:rsidRPr="00DE7036" w:rsidRDefault="00DE7036" w:rsidP="00DE7036">
      <w:pPr>
        <w:ind w:left="709" w:hanging="709"/>
        <w:jc w:val="both"/>
        <w:rPr>
          <w:sz w:val="20"/>
          <w:szCs w:val="20"/>
        </w:rPr>
      </w:pPr>
      <w:proofErr w:type="spellStart"/>
      <w:r w:rsidRPr="00DE7036">
        <w:rPr>
          <w:rFonts w:ascii="Arial" w:hAnsi="Arial" w:cs="Arial"/>
          <w:color w:val="000000"/>
          <w:sz w:val="20"/>
          <w:szCs w:val="20"/>
        </w:rPr>
        <w:t>Pregoner</w:t>
      </w:r>
      <w:proofErr w:type="spellEnd"/>
      <w:r w:rsidRPr="00DE7036">
        <w:rPr>
          <w:rFonts w:ascii="Arial" w:hAnsi="Arial" w:cs="Arial"/>
          <w:color w:val="000000"/>
          <w:sz w:val="20"/>
          <w:szCs w:val="20"/>
        </w:rPr>
        <w:t xml:space="preserve">, J. D. (2024). Research approaches in education: A comparison of quantitative, qualitative and mixed methods. </w:t>
      </w:r>
      <w:r w:rsidRPr="00DE7036">
        <w:rPr>
          <w:rFonts w:ascii="Arial" w:hAnsi="Arial" w:cs="Arial"/>
          <w:i/>
          <w:iCs/>
          <w:color w:val="000000"/>
          <w:sz w:val="20"/>
          <w:szCs w:val="20"/>
        </w:rPr>
        <w:t>IMCC Journal of Science</w:t>
      </w:r>
      <w:r w:rsidRPr="00DE7036">
        <w:rPr>
          <w:rFonts w:ascii="Arial" w:hAnsi="Arial" w:cs="Arial"/>
          <w:color w:val="000000"/>
          <w:sz w:val="20"/>
          <w:szCs w:val="20"/>
        </w:rPr>
        <w:t xml:space="preserve">, </w:t>
      </w:r>
      <w:r w:rsidRPr="00DE7036">
        <w:rPr>
          <w:rFonts w:ascii="Arial" w:hAnsi="Arial" w:cs="Arial"/>
          <w:i/>
          <w:iCs/>
          <w:color w:val="000000"/>
          <w:sz w:val="20"/>
          <w:szCs w:val="20"/>
        </w:rPr>
        <w:t>4</w:t>
      </w:r>
      <w:r w:rsidRPr="00DE7036">
        <w:rPr>
          <w:rFonts w:ascii="Arial" w:hAnsi="Arial" w:cs="Arial"/>
          <w:color w:val="000000"/>
          <w:sz w:val="20"/>
          <w:szCs w:val="20"/>
        </w:rPr>
        <w:t xml:space="preserve">(2), 31-36. </w:t>
      </w:r>
      <w:hyperlink r:id="rId33" w:history="1">
        <w:r w:rsidRPr="00DE7036">
          <w:rPr>
            <w:rFonts w:ascii="Arial" w:hAnsi="Arial" w:cs="Arial"/>
            <w:color w:val="000000"/>
            <w:sz w:val="20"/>
            <w:szCs w:val="20"/>
            <w:u w:val="single"/>
          </w:rPr>
          <w:t>https://hal.science/hal-04655066</w:t>
        </w:r>
      </w:hyperlink>
      <w:r w:rsidRPr="00DE7036">
        <w:rPr>
          <w:rFonts w:ascii="Arial" w:hAnsi="Arial" w:cs="Arial"/>
          <w:color w:val="000000"/>
          <w:sz w:val="20"/>
          <w:szCs w:val="20"/>
        </w:rPr>
        <w:t>/</w:t>
      </w:r>
    </w:p>
    <w:p w14:paraId="62C2A054" w14:textId="77777777" w:rsidR="00DE7036" w:rsidRPr="00DE7036" w:rsidRDefault="00DE7036" w:rsidP="00DE7036">
      <w:pPr>
        <w:ind w:left="709" w:hanging="709"/>
        <w:jc w:val="both"/>
        <w:rPr>
          <w:sz w:val="20"/>
          <w:szCs w:val="20"/>
        </w:rPr>
      </w:pPr>
      <w:proofErr w:type="spellStart"/>
      <w:r w:rsidRPr="00DE7036">
        <w:rPr>
          <w:rFonts w:ascii="Arial" w:hAnsi="Arial" w:cs="Arial"/>
          <w:color w:val="000000"/>
          <w:sz w:val="20"/>
          <w:szCs w:val="20"/>
        </w:rPr>
        <w:t>Pregoner</w:t>
      </w:r>
      <w:proofErr w:type="spellEnd"/>
      <w:r w:rsidRPr="00DE7036">
        <w:rPr>
          <w:rFonts w:ascii="Arial" w:hAnsi="Arial" w:cs="Arial"/>
          <w:color w:val="000000"/>
          <w:sz w:val="20"/>
          <w:szCs w:val="20"/>
        </w:rPr>
        <w:t xml:space="preserve">, J. D., </w:t>
      </w:r>
      <w:proofErr w:type="spellStart"/>
      <w:r w:rsidRPr="00DE7036">
        <w:rPr>
          <w:rFonts w:ascii="Arial" w:hAnsi="Arial" w:cs="Arial"/>
          <w:color w:val="000000"/>
          <w:sz w:val="20"/>
          <w:szCs w:val="20"/>
        </w:rPr>
        <w:t>Leopardas</w:t>
      </w:r>
      <w:proofErr w:type="spellEnd"/>
      <w:r w:rsidRPr="00DE7036">
        <w:rPr>
          <w:rFonts w:ascii="Arial" w:hAnsi="Arial" w:cs="Arial"/>
          <w:color w:val="000000"/>
          <w:sz w:val="20"/>
          <w:szCs w:val="20"/>
        </w:rPr>
        <w:t xml:space="preserve">, R., Ganancial, I. J., </w:t>
      </w:r>
      <w:proofErr w:type="spellStart"/>
      <w:r w:rsidRPr="00DE7036">
        <w:rPr>
          <w:rFonts w:ascii="Arial" w:hAnsi="Arial" w:cs="Arial"/>
          <w:color w:val="000000"/>
          <w:sz w:val="20"/>
          <w:szCs w:val="20"/>
        </w:rPr>
        <w:t>Baguhin</w:t>
      </w:r>
      <w:proofErr w:type="spellEnd"/>
      <w:r w:rsidRPr="00DE7036">
        <w:rPr>
          <w:rFonts w:ascii="Arial" w:hAnsi="Arial" w:cs="Arial"/>
          <w:color w:val="000000"/>
          <w:sz w:val="20"/>
          <w:szCs w:val="20"/>
        </w:rPr>
        <w:t xml:space="preserve">, M., &amp; Sedo, F. (2025). Ethical Issues in Conducting Research Using Human Participants in the Post-COVID Era. </w:t>
      </w:r>
      <w:r w:rsidRPr="00DE7036">
        <w:rPr>
          <w:rFonts w:ascii="Arial" w:hAnsi="Arial" w:cs="Arial"/>
          <w:i/>
          <w:iCs/>
          <w:color w:val="000000"/>
          <w:sz w:val="20"/>
          <w:szCs w:val="20"/>
        </w:rPr>
        <w:t>IMCC Journal of Science</w:t>
      </w:r>
      <w:r w:rsidRPr="00DE7036">
        <w:rPr>
          <w:rFonts w:ascii="Arial" w:hAnsi="Arial" w:cs="Arial"/>
          <w:color w:val="000000"/>
          <w:sz w:val="20"/>
          <w:szCs w:val="20"/>
        </w:rPr>
        <w:t xml:space="preserve">, </w:t>
      </w:r>
      <w:r w:rsidRPr="00DE7036">
        <w:rPr>
          <w:rFonts w:ascii="Arial" w:hAnsi="Arial" w:cs="Arial"/>
          <w:i/>
          <w:iCs/>
          <w:color w:val="000000"/>
          <w:sz w:val="20"/>
          <w:szCs w:val="20"/>
        </w:rPr>
        <w:t>5</w:t>
      </w:r>
      <w:r w:rsidRPr="00DE7036">
        <w:rPr>
          <w:rFonts w:ascii="Arial" w:hAnsi="Arial" w:cs="Arial"/>
          <w:color w:val="000000"/>
          <w:sz w:val="20"/>
          <w:szCs w:val="20"/>
        </w:rPr>
        <w:t xml:space="preserve">(1), 1-9. </w:t>
      </w:r>
      <w:hyperlink r:id="rId34" w:history="1">
        <w:r w:rsidRPr="00DE7036">
          <w:rPr>
            <w:rFonts w:ascii="Arial" w:hAnsi="Arial" w:cs="Arial"/>
            <w:color w:val="000000"/>
            <w:sz w:val="20"/>
            <w:szCs w:val="20"/>
            <w:u w:val="single"/>
          </w:rPr>
          <w:t>https://hal.science/hal-05073466</w:t>
        </w:r>
      </w:hyperlink>
      <w:r w:rsidRPr="00DE7036">
        <w:rPr>
          <w:rFonts w:ascii="Arial" w:hAnsi="Arial" w:cs="Arial"/>
          <w:color w:val="000000"/>
          <w:sz w:val="20"/>
          <w:szCs w:val="20"/>
        </w:rPr>
        <w:t>/</w:t>
      </w:r>
    </w:p>
    <w:p w14:paraId="5F8DA076"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See, B. H., Morris, R., </w:t>
      </w:r>
      <w:proofErr w:type="spellStart"/>
      <w:r w:rsidRPr="00DE7036">
        <w:rPr>
          <w:rFonts w:ascii="Arial" w:hAnsi="Arial" w:cs="Arial"/>
          <w:color w:val="222222"/>
          <w:sz w:val="20"/>
          <w:szCs w:val="20"/>
          <w:shd w:val="clear" w:color="auto" w:fill="FFFFFF"/>
        </w:rPr>
        <w:t>Gorard</w:t>
      </w:r>
      <w:proofErr w:type="spellEnd"/>
      <w:r w:rsidRPr="00DE7036">
        <w:rPr>
          <w:rFonts w:ascii="Arial" w:hAnsi="Arial" w:cs="Arial"/>
          <w:color w:val="222222"/>
          <w:sz w:val="20"/>
          <w:szCs w:val="20"/>
          <w:shd w:val="clear" w:color="auto" w:fill="FFFFFF"/>
        </w:rPr>
        <w:t xml:space="preserve">, S., </w:t>
      </w:r>
      <w:proofErr w:type="spellStart"/>
      <w:r w:rsidRPr="00DE7036">
        <w:rPr>
          <w:rFonts w:ascii="Arial" w:hAnsi="Arial" w:cs="Arial"/>
          <w:color w:val="222222"/>
          <w:sz w:val="20"/>
          <w:szCs w:val="20"/>
          <w:shd w:val="clear" w:color="auto" w:fill="FFFFFF"/>
        </w:rPr>
        <w:t>Kokotsaki</w:t>
      </w:r>
      <w:proofErr w:type="spellEnd"/>
      <w:r w:rsidRPr="00DE7036">
        <w:rPr>
          <w:rFonts w:ascii="Arial" w:hAnsi="Arial" w:cs="Arial"/>
          <w:color w:val="222222"/>
          <w:sz w:val="20"/>
          <w:szCs w:val="20"/>
          <w:shd w:val="clear" w:color="auto" w:fill="FFFFFF"/>
        </w:rPr>
        <w:t xml:space="preserve">, D., &amp; Abdi, S. (2020). Teacher recruitment and retention: A critical review of international evidence of most promising interventions. </w:t>
      </w:r>
      <w:r w:rsidRPr="00DE7036">
        <w:rPr>
          <w:rFonts w:ascii="Arial" w:hAnsi="Arial" w:cs="Arial"/>
          <w:i/>
          <w:iCs/>
          <w:color w:val="222222"/>
          <w:sz w:val="20"/>
          <w:szCs w:val="20"/>
          <w:shd w:val="clear" w:color="auto" w:fill="FFFFFF"/>
        </w:rPr>
        <w:t>Education Sciences</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10</w:t>
      </w:r>
      <w:r w:rsidRPr="00DE7036">
        <w:rPr>
          <w:rFonts w:ascii="Arial" w:hAnsi="Arial" w:cs="Arial"/>
          <w:color w:val="222222"/>
          <w:sz w:val="20"/>
          <w:szCs w:val="20"/>
          <w:shd w:val="clear" w:color="auto" w:fill="FFFFFF"/>
        </w:rPr>
        <w:t xml:space="preserve">(10), 262. </w:t>
      </w:r>
      <w:hyperlink r:id="rId35" w:history="1">
        <w:r w:rsidRPr="00DE7036">
          <w:rPr>
            <w:rFonts w:ascii="Arial" w:hAnsi="Arial" w:cs="Arial"/>
            <w:color w:val="1155CC"/>
            <w:sz w:val="20"/>
            <w:szCs w:val="20"/>
            <w:u w:val="single"/>
            <w:shd w:val="clear" w:color="auto" w:fill="FFFFFF"/>
          </w:rPr>
          <w:t>https://www.mdpi.com/2227-7102/10/10/262</w:t>
        </w:r>
      </w:hyperlink>
    </w:p>
    <w:p w14:paraId="5751C8ED"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Tompkins, A. (2023). Breaking the cycle of teacher attrition: Suggested policies and practice for retention. </w:t>
      </w:r>
      <w:r w:rsidRPr="00DE7036">
        <w:rPr>
          <w:rFonts w:ascii="Arial" w:hAnsi="Arial" w:cs="Arial"/>
          <w:i/>
          <w:iCs/>
          <w:color w:val="222222"/>
          <w:sz w:val="20"/>
          <w:szCs w:val="20"/>
          <w:shd w:val="clear" w:color="auto" w:fill="FFFFFF"/>
        </w:rPr>
        <w:t>Journal of School Administration Research and Development</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8</w:t>
      </w:r>
      <w:r w:rsidRPr="00DE7036">
        <w:rPr>
          <w:rFonts w:ascii="Arial" w:hAnsi="Arial" w:cs="Arial"/>
          <w:color w:val="222222"/>
          <w:sz w:val="20"/>
          <w:szCs w:val="20"/>
          <w:shd w:val="clear" w:color="auto" w:fill="FFFFFF"/>
        </w:rPr>
        <w:t xml:space="preserve">(1), 24-35. </w:t>
      </w:r>
      <w:hyperlink r:id="rId36" w:history="1">
        <w:r w:rsidRPr="00DE7036">
          <w:rPr>
            <w:rFonts w:ascii="Arial" w:hAnsi="Arial" w:cs="Arial"/>
            <w:color w:val="1155CC"/>
            <w:sz w:val="20"/>
            <w:szCs w:val="20"/>
            <w:u w:val="single"/>
            <w:shd w:val="clear" w:color="auto" w:fill="FFFFFF"/>
          </w:rPr>
          <w:t>https://ojed.org/JSARD/article/view/3960</w:t>
        </w:r>
      </w:hyperlink>
    </w:p>
    <w:p w14:paraId="779601D0"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Worth, J., &amp; Faulkner-Ellis, H. (2021). Teacher </w:t>
      </w:r>
      <w:proofErr w:type="spellStart"/>
      <w:r w:rsidRPr="00DE7036">
        <w:rPr>
          <w:rFonts w:ascii="Arial" w:hAnsi="Arial" w:cs="Arial"/>
          <w:color w:val="222222"/>
          <w:sz w:val="20"/>
          <w:szCs w:val="20"/>
          <w:shd w:val="clear" w:color="auto" w:fill="FFFFFF"/>
        </w:rPr>
        <w:t>Labour</w:t>
      </w:r>
      <w:proofErr w:type="spellEnd"/>
      <w:r w:rsidRPr="00DE7036">
        <w:rPr>
          <w:rFonts w:ascii="Arial" w:hAnsi="Arial" w:cs="Arial"/>
          <w:color w:val="222222"/>
          <w:sz w:val="20"/>
          <w:szCs w:val="20"/>
          <w:shd w:val="clear" w:color="auto" w:fill="FFFFFF"/>
        </w:rPr>
        <w:t xml:space="preserve"> Market in England: Annual Report 2021. </w:t>
      </w:r>
      <w:r w:rsidRPr="00DE7036">
        <w:rPr>
          <w:rFonts w:ascii="Arial" w:hAnsi="Arial" w:cs="Arial"/>
          <w:i/>
          <w:iCs/>
          <w:color w:val="222222"/>
          <w:sz w:val="20"/>
          <w:szCs w:val="20"/>
          <w:shd w:val="clear" w:color="auto" w:fill="FFFFFF"/>
        </w:rPr>
        <w:t>National Foundation for Educational Research</w:t>
      </w:r>
      <w:r w:rsidRPr="00DE7036">
        <w:rPr>
          <w:rFonts w:ascii="Arial" w:hAnsi="Arial" w:cs="Arial"/>
          <w:color w:val="222222"/>
          <w:sz w:val="20"/>
          <w:szCs w:val="20"/>
          <w:shd w:val="clear" w:color="auto" w:fill="FFFFFF"/>
        </w:rPr>
        <w:t xml:space="preserve">. </w:t>
      </w:r>
      <w:hyperlink r:id="rId37" w:history="1">
        <w:r w:rsidRPr="00DE7036">
          <w:rPr>
            <w:rFonts w:ascii="Arial" w:hAnsi="Arial" w:cs="Arial"/>
            <w:color w:val="1155CC"/>
            <w:sz w:val="20"/>
            <w:szCs w:val="20"/>
            <w:u w:val="single"/>
            <w:shd w:val="clear" w:color="auto" w:fill="FFFFFF"/>
          </w:rPr>
          <w:t>https://eric.ed.gov/?id=ED615303</w:t>
        </w:r>
      </w:hyperlink>
    </w:p>
    <w:p w14:paraId="50D080F9"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Wu, W. C. V., Manabe, K., Marek, M. W., &amp; Shu, Y. (2023). Enhancing 21st-century competencies via virtual reality digital content creation. </w:t>
      </w:r>
      <w:r w:rsidRPr="00DE7036">
        <w:rPr>
          <w:rFonts w:ascii="Arial" w:hAnsi="Arial" w:cs="Arial"/>
          <w:i/>
          <w:iCs/>
          <w:color w:val="222222"/>
          <w:sz w:val="20"/>
          <w:szCs w:val="20"/>
          <w:shd w:val="clear" w:color="auto" w:fill="FFFFFF"/>
        </w:rPr>
        <w:t>Journal of Research on Technology in Education</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55</w:t>
      </w:r>
      <w:r w:rsidRPr="00DE7036">
        <w:rPr>
          <w:rFonts w:ascii="Arial" w:hAnsi="Arial" w:cs="Arial"/>
          <w:color w:val="222222"/>
          <w:sz w:val="20"/>
          <w:szCs w:val="20"/>
          <w:shd w:val="clear" w:color="auto" w:fill="FFFFFF"/>
        </w:rPr>
        <w:t xml:space="preserve">(3), 388-410. </w:t>
      </w:r>
      <w:hyperlink r:id="rId38" w:history="1">
        <w:r w:rsidRPr="00DE7036">
          <w:rPr>
            <w:rFonts w:ascii="Arial" w:hAnsi="Arial" w:cs="Arial"/>
            <w:color w:val="1155CC"/>
            <w:sz w:val="20"/>
            <w:szCs w:val="20"/>
            <w:u w:val="single"/>
            <w:shd w:val="clear" w:color="auto" w:fill="FFFFFF"/>
          </w:rPr>
          <w:t>https://www.tandfonline.com/doi/abs/10.1080/15391523.2021.1962455</w:t>
        </w:r>
      </w:hyperlink>
    </w:p>
    <w:p w14:paraId="69F0A666" w14:textId="77777777" w:rsidR="00DE7036" w:rsidRPr="0076337A" w:rsidRDefault="00DE7036" w:rsidP="00DE7036">
      <w:pPr>
        <w:ind w:left="709" w:hanging="709"/>
        <w:jc w:val="both"/>
        <w:rPr>
          <w:rFonts w:ascii="Arial" w:hAnsi="Arial" w:cs="Arial"/>
          <w:sz w:val="20"/>
          <w:szCs w:val="20"/>
        </w:rPr>
      </w:pPr>
      <w:r w:rsidRPr="0076337A">
        <w:rPr>
          <w:rFonts w:ascii="Arial" w:hAnsi="Arial" w:cs="Arial"/>
          <w:color w:val="222222"/>
          <w:sz w:val="20"/>
          <w:szCs w:val="20"/>
          <w:shd w:val="clear" w:color="auto" w:fill="FFFFFF"/>
        </w:rPr>
        <w:t xml:space="preserve">Yaacob, A., Mohd Asraf, R., Hussain, R. M. R., &amp; Ismail, S. N. (2021). Empowering Learners' Reflective Thinking through Collaborative Reflective Learning. </w:t>
      </w:r>
      <w:r w:rsidRPr="0076337A">
        <w:rPr>
          <w:rFonts w:ascii="Arial" w:hAnsi="Arial" w:cs="Arial"/>
          <w:i/>
          <w:iCs/>
          <w:color w:val="222222"/>
          <w:sz w:val="20"/>
          <w:szCs w:val="20"/>
          <w:shd w:val="clear" w:color="auto" w:fill="FFFFFF"/>
        </w:rPr>
        <w:t>International Journal of Instruction</w:t>
      </w:r>
      <w:r w:rsidRPr="0076337A">
        <w:rPr>
          <w:rFonts w:ascii="Arial" w:hAnsi="Arial" w:cs="Arial"/>
          <w:color w:val="222222"/>
          <w:sz w:val="20"/>
          <w:szCs w:val="20"/>
          <w:shd w:val="clear" w:color="auto" w:fill="FFFFFF"/>
        </w:rPr>
        <w:t xml:space="preserve">, </w:t>
      </w:r>
      <w:r w:rsidRPr="0076337A">
        <w:rPr>
          <w:rFonts w:ascii="Arial" w:hAnsi="Arial" w:cs="Arial"/>
          <w:i/>
          <w:iCs/>
          <w:color w:val="222222"/>
          <w:sz w:val="20"/>
          <w:szCs w:val="20"/>
          <w:shd w:val="clear" w:color="auto" w:fill="FFFFFF"/>
        </w:rPr>
        <w:t>14</w:t>
      </w:r>
      <w:r w:rsidRPr="0076337A">
        <w:rPr>
          <w:rFonts w:ascii="Arial" w:hAnsi="Arial" w:cs="Arial"/>
          <w:color w:val="222222"/>
          <w:sz w:val="20"/>
          <w:szCs w:val="20"/>
          <w:shd w:val="clear" w:color="auto" w:fill="FFFFFF"/>
        </w:rPr>
        <w:t>(1), 709-726.</w:t>
      </w:r>
      <w:hyperlink r:id="rId39" w:history="1">
        <w:r w:rsidRPr="0076337A">
          <w:rPr>
            <w:rFonts w:ascii="Arial" w:hAnsi="Arial" w:cs="Arial"/>
            <w:color w:val="1155CC"/>
            <w:sz w:val="20"/>
            <w:szCs w:val="20"/>
            <w:u w:val="single"/>
            <w:shd w:val="clear" w:color="auto" w:fill="FFFFFF"/>
          </w:rPr>
          <w:t>https://eric.ed.gov/?Id=EJ1282379</w:t>
        </w:r>
      </w:hyperlink>
    </w:p>
    <w:sectPr w:rsidR="00DE7036" w:rsidRPr="0076337A" w:rsidSect="00E11DE2">
      <w:headerReference w:type="even" r:id="rId40"/>
      <w:headerReference w:type="default" r:id="rId41"/>
      <w:footerReference w:type="default" r:id="rId42"/>
      <w:headerReference w:type="first" r:id="rId43"/>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C6304" w14:textId="77777777" w:rsidR="00A87133" w:rsidRDefault="00A87133">
      <w:r>
        <w:separator/>
      </w:r>
    </w:p>
  </w:endnote>
  <w:endnote w:type="continuationSeparator" w:id="0">
    <w:p w14:paraId="5913ADD5" w14:textId="77777777" w:rsidR="00A87133" w:rsidRDefault="00A8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42CE" w14:textId="77777777" w:rsidR="00E11DE2" w:rsidRDefault="00E11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A8D5" w14:textId="77777777" w:rsidR="00E11DE2" w:rsidRDefault="00E11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4DF97E3F" w:rsidR="00717F2E" w:rsidRPr="00E11DE2" w:rsidRDefault="00717F2E" w:rsidP="00E11D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07AC4" w14:textId="77777777" w:rsidR="00A87133" w:rsidRDefault="00A87133">
      <w:r>
        <w:separator/>
      </w:r>
    </w:p>
  </w:footnote>
  <w:footnote w:type="continuationSeparator" w:id="0">
    <w:p w14:paraId="0068B065" w14:textId="77777777" w:rsidR="00A87133" w:rsidRDefault="00A87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0D5A" w14:textId="0605DF88" w:rsidR="00E11DE2" w:rsidRDefault="00E11DE2">
    <w:pPr>
      <w:pStyle w:val="Header"/>
    </w:pPr>
    <w:r>
      <w:rPr>
        <w:noProof/>
      </w:rPr>
      <w:pict w14:anchorId="2ABBE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1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6E3D" w14:textId="5A79FE09" w:rsidR="00E11DE2" w:rsidRDefault="00E11DE2">
    <w:pPr>
      <w:pStyle w:val="Header"/>
    </w:pPr>
    <w:r>
      <w:rPr>
        <w:noProof/>
      </w:rPr>
      <w:pict w14:anchorId="2F794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1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2A235325" w:rsidR="00717F2E" w:rsidRDefault="00E11DE2">
    <w:pPr>
      <w:ind w:left="2160"/>
      <w:jc w:val="center"/>
      <w:rPr>
        <w:rFonts w:eastAsia="Calibri"/>
        <w:i/>
        <w:sz w:val="18"/>
        <w:szCs w:val="22"/>
      </w:rPr>
    </w:pPr>
    <w:r>
      <w:rPr>
        <w:noProof/>
      </w:rPr>
      <w:pict w14:anchorId="1E547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1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4225" w14:textId="165FEB42" w:rsidR="00E11DE2" w:rsidRDefault="00E11DE2">
    <w:pPr>
      <w:pStyle w:val="Header"/>
    </w:pPr>
    <w:r>
      <w:rPr>
        <w:noProof/>
      </w:rPr>
      <w:pict w14:anchorId="15707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1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BD62" w14:textId="36D96B63" w:rsidR="00E11DE2" w:rsidRDefault="00E11DE2">
    <w:pPr>
      <w:pStyle w:val="Header"/>
    </w:pPr>
    <w:r>
      <w:rPr>
        <w:noProof/>
      </w:rPr>
      <w:pict w14:anchorId="221FB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1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1F2F" w14:textId="7A2E07E8" w:rsidR="00E11DE2" w:rsidRDefault="00E11DE2">
    <w:pPr>
      <w:pStyle w:val="Header"/>
    </w:pPr>
    <w:r>
      <w:rPr>
        <w:noProof/>
      </w:rPr>
      <w:pict w14:anchorId="7DECA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1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43E30F0"/>
    <w:multiLevelType w:val="multilevel"/>
    <w:tmpl w:val="22D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06121866">
    <w:abstractNumId w:val="4"/>
  </w:num>
  <w:num w:numId="2" w16cid:durableId="2139252255">
    <w:abstractNumId w:val="3"/>
  </w:num>
  <w:num w:numId="3" w16cid:durableId="1468353992">
    <w:abstractNumId w:val="0"/>
  </w:num>
  <w:num w:numId="4" w16cid:durableId="4565353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176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462"/>
    <w:rsid w:val="00014095"/>
    <w:rsid w:val="00015C44"/>
    <w:rsid w:val="00017E5D"/>
    <w:rsid w:val="00021967"/>
    <w:rsid w:val="00021FDF"/>
    <w:rsid w:val="00023C1A"/>
    <w:rsid w:val="00024B4F"/>
    <w:rsid w:val="000254BB"/>
    <w:rsid w:val="00025BD1"/>
    <w:rsid w:val="000260E3"/>
    <w:rsid w:val="00030174"/>
    <w:rsid w:val="00037406"/>
    <w:rsid w:val="00037475"/>
    <w:rsid w:val="00043453"/>
    <w:rsid w:val="0004445B"/>
    <w:rsid w:val="0004512C"/>
    <w:rsid w:val="0004579C"/>
    <w:rsid w:val="00045CD6"/>
    <w:rsid w:val="00046AE8"/>
    <w:rsid w:val="000500E5"/>
    <w:rsid w:val="00052575"/>
    <w:rsid w:val="00052710"/>
    <w:rsid w:val="000531C9"/>
    <w:rsid w:val="00053CE0"/>
    <w:rsid w:val="00054B24"/>
    <w:rsid w:val="00054B91"/>
    <w:rsid w:val="0005727A"/>
    <w:rsid w:val="00057C65"/>
    <w:rsid w:val="000603D4"/>
    <w:rsid w:val="00061339"/>
    <w:rsid w:val="000647E2"/>
    <w:rsid w:val="00065135"/>
    <w:rsid w:val="00065B83"/>
    <w:rsid w:val="0006706E"/>
    <w:rsid w:val="0006786A"/>
    <w:rsid w:val="00067A0F"/>
    <w:rsid w:val="00067B98"/>
    <w:rsid w:val="00073DA5"/>
    <w:rsid w:val="000743FE"/>
    <w:rsid w:val="000763D2"/>
    <w:rsid w:val="00076F23"/>
    <w:rsid w:val="00081ACB"/>
    <w:rsid w:val="000827FD"/>
    <w:rsid w:val="00084A16"/>
    <w:rsid w:val="00090DFA"/>
    <w:rsid w:val="0009184C"/>
    <w:rsid w:val="00095BAE"/>
    <w:rsid w:val="00095F34"/>
    <w:rsid w:val="00096483"/>
    <w:rsid w:val="00096CB5"/>
    <w:rsid w:val="000A2230"/>
    <w:rsid w:val="000A3474"/>
    <w:rsid w:val="000A3EDA"/>
    <w:rsid w:val="000A47FA"/>
    <w:rsid w:val="000A61FE"/>
    <w:rsid w:val="000A65D3"/>
    <w:rsid w:val="000A729A"/>
    <w:rsid w:val="000A77F6"/>
    <w:rsid w:val="000B03FC"/>
    <w:rsid w:val="000B1E33"/>
    <w:rsid w:val="000B6BC1"/>
    <w:rsid w:val="000C2E75"/>
    <w:rsid w:val="000C3F87"/>
    <w:rsid w:val="000C43E4"/>
    <w:rsid w:val="000C5AE7"/>
    <w:rsid w:val="000C6E8D"/>
    <w:rsid w:val="000C70E2"/>
    <w:rsid w:val="000C73EB"/>
    <w:rsid w:val="000D2384"/>
    <w:rsid w:val="000D23E6"/>
    <w:rsid w:val="000D31C5"/>
    <w:rsid w:val="000D61B2"/>
    <w:rsid w:val="000D6596"/>
    <w:rsid w:val="000D6816"/>
    <w:rsid w:val="000D689F"/>
    <w:rsid w:val="000D75B5"/>
    <w:rsid w:val="000D7A6E"/>
    <w:rsid w:val="000D7D15"/>
    <w:rsid w:val="000E14BC"/>
    <w:rsid w:val="000E2902"/>
    <w:rsid w:val="000E2A0D"/>
    <w:rsid w:val="000E3042"/>
    <w:rsid w:val="000E3FD1"/>
    <w:rsid w:val="000E4A79"/>
    <w:rsid w:val="000E6BB8"/>
    <w:rsid w:val="000E75FA"/>
    <w:rsid w:val="000E7B7B"/>
    <w:rsid w:val="000E7C38"/>
    <w:rsid w:val="000E7D62"/>
    <w:rsid w:val="000F64BC"/>
    <w:rsid w:val="000F668F"/>
    <w:rsid w:val="000F7123"/>
    <w:rsid w:val="00103357"/>
    <w:rsid w:val="00107572"/>
    <w:rsid w:val="00113238"/>
    <w:rsid w:val="001142F8"/>
    <w:rsid w:val="00115F49"/>
    <w:rsid w:val="00117553"/>
    <w:rsid w:val="00117986"/>
    <w:rsid w:val="00122285"/>
    <w:rsid w:val="00122E99"/>
    <w:rsid w:val="00123C9F"/>
    <w:rsid w:val="001242A5"/>
    <w:rsid w:val="00126190"/>
    <w:rsid w:val="00126507"/>
    <w:rsid w:val="00126BC5"/>
    <w:rsid w:val="00130F17"/>
    <w:rsid w:val="00131057"/>
    <w:rsid w:val="001320BF"/>
    <w:rsid w:val="001326C5"/>
    <w:rsid w:val="00141329"/>
    <w:rsid w:val="00143F8B"/>
    <w:rsid w:val="001462B8"/>
    <w:rsid w:val="00146358"/>
    <w:rsid w:val="00147E94"/>
    <w:rsid w:val="00147F5C"/>
    <w:rsid w:val="00151F8F"/>
    <w:rsid w:val="001542F7"/>
    <w:rsid w:val="001550F4"/>
    <w:rsid w:val="001568A2"/>
    <w:rsid w:val="00157F68"/>
    <w:rsid w:val="0016056F"/>
    <w:rsid w:val="00160FA3"/>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1F6"/>
    <w:rsid w:val="001858C3"/>
    <w:rsid w:val="00185B38"/>
    <w:rsid w:val="00185D8F"/>
    <w:rsid w:val="001871D1"/>
    <w:rsid w:val="00187916"/>
    <w:rsid w:val="00191062"/>
    <w:rsid w:val="00192B72"/>
    <w:rsid w:val="00192F07"/>
    <w:rsid w:val="0019304D"/>
    <w:rsid w:val="001A1291"/>
    <w:rsid w:val="001A18F4"/>
    <w:rsid w:val="001A23A3"/>
    <w:rsid w:val="001A29D8"/>
    <w:rsid w:val="001A2FB0"/>
    <w:rsid w:val="001A5CAA"/>
    <w:rsid w:val="001B0427"/>
    <w:rsid w:val="001B0E69"/>
    <w:rsid w:val="001B1159"/>
    <w:rsid w:val="001B1ACC"/>
    <w:rsid w:val="001B41D7"/>
    <w:rsid w:val="001B785F"/>
    <w:rsid w:val="001B7F30"/>
    <w:rsid w:val="001C12F6"/>
    <w:rsid w:val="001C204D"/>
    <w:rsid w:val="001C2FC3"/>
    <w:rsid w:val="001C4AD5"/>
    <w:rsid w:val="001C572B"/>
    <w:rsid w:val="001C71EE"/>
    <w:rsid w:val="001C73EE"/>
    <w:rsid w:val="001D0BDE"/>
    <w:rsid w:val="001D10E2"/>
    <w:rsid w:val="001D3A51"/>
    <w:rsid w:val="001D4380"/>
    <w:rsid w:val="001E10D2"/>
    <w:rsid w:val="001E25B4"/>
    <w:rsid w:val="001E28EE"/>
    <w:rsid w:val="001E44FE"/>
    <w:rsid w:val="001E5B29"/>
    <w:rsid w:val="001E6121"/>
    <w:rsid w:val="001E7EB7"/>
    <w:rsid w:val="001F0D34"/>
    <w:rsid w:val="001F7F3C"/>
    <w:rsid w:val="00200595"/>
    <w:rsid w:val="00200CF7"/>
    <w:rsid w:val="0020136A"/>
    <w:rsid w:val="002025A7"/>
    <w:rsid w:val="002039CD"/>
    <w:rsid w:val="00203AF9"/>
    <w:rsid w:val="00204835"/>
    <w:rsid w:val="00204F90"/>
    <w:rsid w:val="002074B8"/>
    <w:rsid w:val="00210C28"/>
    <w:rsid w:val="00216E59"/>
    <w:rsid w:val="002170C0"/>
    <w:rsid w:val="00224DE5"/>
    <w:rsid w:val="0022705B"/>
    <w:rsid w:val="002274C1"/>
    <w:rsid w:val="002309B8"/>
    <w:rsid w:val="00231920"/>
    <w:rsid w:val="0023195C"/>
    <w:rsid w:val="002322BD"/>
    <w:rsid w:val="00237589"/>
    <w:rsid w:val="00240CE3"/>
    <w:rsid w:val="00241741"/>
    <w:rsid w:val="0024282C"/>
    <w:rsid w:val="00245CB7"/>
    <w:rsid w:val="002460DC"/>
    <w:rsid w:val="00246DC7"/>
    <w:rsid w:val="00250985"/>
    <w:rsid w:val="0025105D"/>
    <w:rsid w:val="00251936"/>
    <w:rsid w:val="00251946"/>
    <w:rsid w:val="00254400"/>
    <w:rsid w:val="002556F6"/>
    <w:rsid w:val="00256882"/>
    <w:rsid w:val="002622D4"/>
    <w:rsid w:val="00264A59"/>
    <w:rsid w:val="00266E67"/>
    <w:rsid w:val="00271F07"/>
    <w:rsid w:val="002755D7"/>
    <w:rsid w:val="002814B3"/>
    <w:rsid w:val="00283105"/>
    <w:rsid w:val="00284C4C"/>
    <w:rsid w:val="0028598A"/>
    <w:rsid w:val="00293C16"/>
    <w:rsid w:val="00293C4C"/>
    <w:rsid w:val="00296529"/>
    <w:rsid w:val="0029657B"/>
    <w:rsid w:val="00296ED2"/>
    <w:rsid w:val="0029706D"/>
    <w:rsid w:val="002A20A0"/>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6722"/>
    <w:rsid w:val="002D7B25"/>
    <w:rsid w:val="002E0D56"/>
    <w:rsid w:val="002E3D6C"/>
    <w:rsid w:val="002E4205"/>
    <w:rsid w:val="002E68B9"/>
    <w:rsid w:val="002F2031"/>
    <w:rsid w:val="002F2D06"/>
    <w:rsid w:val="002F42EB"/>
    <w:rsid w:val="002F5C4B"/>
    <w:rsid w:val="002F5E64"/>
    <w:rsid w:val="0030202C"/>
    <w:rsid w:val="00303A6C"/>
    <w:rsid w:val="00303E14"/>
    <w:rsid w:val="00304049"/>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3A5"/>
    <w:rsid w:val="00344502"/>
    <w:rsid w:val="003455D7"/>
    <w:rsid w:val="00346014"/>
    <w:rsid w:val="0034653D"/>
    <w:rsid w:val="003466A1"/>
    <w:rsid w:val="003512C2"/>
    <w:rsid w:val="00351B03"/>
    <w:rsid w:val="00351E2F"/>
    <w:rsid w:val="00351F41"/>
    <w:rsid w:val="003541EC"/>
    <w:rsid w:val="00356ACE"/>
    <w:rsid w:val="00362B79"/>
    <w:rsid w:val="00362D97"/>
    <w:rsid w:val="00363B3A"/>
    <w:rsid w:val="00363CA7"/>
    <w:rsid w:val="00366AA2"/>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16A"/>
    <w:rsid w:val="003B2756"/>
    <w:rsid w:val="003B2A9F"/>
    <w:rsid w:val="003B6DFE"/>
    <w:rsid w:val="003B73F0"/>
    <w:rsid w:val="003C2056"/>
    <w:rsid w:val="003C4335"/>
    <w:rsid w:val="003C44A6"/>
    <w:rsid w:val="003C4C86"/>
    <w:rsid w:val="003C6258"/>
    <w:rsid w:val="003D171B"/>
    <w:rsid w:val="003D2D0A"/>
    <w:rsid w:val="003D3677"/>
    <w:rsid w:val="003D4C18"/>
    <w:rsid w:val="003D6BA6"/>
    <w:rsid w:val="003D6D18"/>
    <w:rsid w:val="003D7548"/>
    <w:rsid w:val="003D7E45"/>
    <w:rsid w:val="003E0A9D"/>
    <w:rsid w:val="003E2904"/>
    <w:rsid w:val="003E3399"/>
    <w:rsid w:val="003E37A2"/>
    <w:rsid w:val="003E49AD"/>
    <w:rsid w:val="003E525D"/>
    <w:rsid w:val="003E671C"/>
    <w:rsid w:val="003E7C0F"/>
    <w:rsid w:val="003F10CF"/>
    <w:rsid w:val="003F2281"/>
    <w:rsid w:val="003F3B63"/>
    <w:rsid w:val="003F51E6"/>
    <w:rsid w:val="003F760A"/>
    <w:rsid w:val="00401927"/>
    <w:rsid w:val="004040B3"/>
    <w:rsid w:val="00404135"/>
    <w:rsid w:val="0041027F"/>
    <w:rsid w:val="00410AB7"/>
    <w:rsid w:val="00412475"/>
    <w:rsid w:val="0041280F"/>
    <w:rsid w:val="004138D3"/>
    <w:rsid w:val="00415D76"/>
    <w:rsid w:val="00416DDE"/>
    <w:rsid w:val="00420BB1"/>
    <w:rsid w:val="00422C7D"/>
    <w:rsid w:val="00423789"/>
    <w:rsid w:val="00432C42"/>
    <w:rsid w:val="00432DD0"/>
    <w:rsid w:val="00434182"/>
    <w:rsid w:val="004346E5"/>
    <w:rsid w:val="00437079"/>
    <w:rsid w:val="0044039D"/>
    <w:rsid w:val="004408A9"/>
    <w:rsid w:val="00440F43"/>
    <w:rsid w:val="0044134F"/>
    <w:rsid w:val="00441B6F"/>
    <w:rsid w:val="00446221"/>
    <w:rsid w:val="00450E62"/>
    <w:rsid w:val="004539DB"/>
    <w:rsid w:val="00453EB4"/>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77570"/>
    <w:rsid w:val="00483372"/>
    <w:rsid w:val="0048547F"/>
    <w:rsid w:val="00485766"/>
    <w:rsid w:val="00490B0B"/>
    <w:rsid w:val="00491EFD"/>
    <w:rsid w:val="00495915"/>
    <w:rsid w:val="004A78DF"/>
    <w:rsid w:val="004B1A50"/>
    <w:rsid w:val="004B1AFD"/>
    <w:rsid w:val="004B3158"/>
    <w:rsid w:val="004B3F72"/>
    <w:rsid w:val="004B4F00"/>
    <w:rsid w:val="004B72AD"/>
    <w:rsid w:val="004C0CFF"/>
    <w:rsid w:val="004C0FB0"/>
    <w:rsid w:val="004C23DD"/>
    <w:rsid w:val="004C482A"/>
    <w:rsid w:val="004C6530"/>
    <w:rsid w:val="004D07E8"/>
    <w:rsid w:val="004D0827"/>
    <w:rsid w:val="004D0C87"/>
    <w:rsid w:val="004D305E"/>
    <w:rsid w:val="004D4277"/>
    <w:rsid w:val="004D4879"/>
    <w:rsid w:val="004D4F05"/>
    <w:rsid w:val="004E1DA9"/>
    <w:rsid w:val="004E21A0"/>
    <w:rsid w:val="004E5345"/>
    <w:rsid w:val="004E5924"/>
    <w:rsid w:val="004E6386"/>
    <w:rsid w:val="004F0467"/>
    <w:rsid w:val="004F3865"/>
    <w:rsid w:val="004F45E4"/>
    <w:rsid w:val="004F7E11"/>
    <w:rsid w:val="00500D35"/>
    <w:rsid w:val="00502516"/>
    <w:rsid w:val="00502B94"/>
    <w:rsid w:val="00502C0C"/>
    <w:rsid w:val="00502D46"/>
    <w:rsid w:val="00503ADC"/>
    <w:rsid w:val="00504CAB"/>
    <w:rsid w:val="00505231"/>
    <w:rsid w:val="00505F06"/>
    <w:rsid w:val="00506828"/>
    <w:rsid w:val="005075E3"/>
    <w:rsid w:val="0050761B"/>
    <w:rsid w:val="00507A73"/>
    <w:rsid w:val="00510433"/>
    <w:rsid w:val="00515908"/>
    <w:rsid w:val="0051664C"/>
    <w:rsid w:val="00523F46"/>
    <w:rsid w:val="00524ED0"/>
    <w:rsid w:val="00525B9D"/>
    <w:rsid w:val="00527235"/>
    <w:rsid w:val="0053056E"/>
    <w:rsid w:val="0053144C"/>
    <w:rsid w:val="00533886"/>
    <w:rsid w:val="0053558A"/>
    <w:rsid w:val="00535C8B"/>
    <w:rsid w:val="00535CBD"/>
    <w:rsid w:val="00536E27"/>
    <w:rsid w:val="005374EC"/>
    <w:rsid w:val="005404AD"/>
    <w:rsid w:val="00541DA0"/>
    <w:rsid w:val="00542525"/>
    <w:rsid w:val="005428F9"/>
    <w:rsid w:val="005435C6"/>
    <w:rsid w:val="00550463"/>
    <w:rsid w:val="005521C3"/>
    <w:rsid w:val="00553354"/>
    <w:rsid w:val="0055379E"/>
    <w:rsid w:val="00554C2B"/>
    <w:rsid w:val="00554EEE"/>
    <w:rsid w:val="00554FDA"/>
    <w:rsid w:val="00555852"/>
    <w:rsid w:val="00555A79"/>
    <w:rsid w:val="0055611F"/>
    <w:rsid w:val="00557ED8"/>
    <w:rsid w:val="005602BC"/>
    <w:rsid w:val="00560590"/>
    <w:rsid w:val="00560CCA"/>
    <w:rsid w:val="00561EAE"/>
    <w:rsid w:val="0056218A"/>
    <w:rsid w:val="00567306"/>
    <w:rsid w:val="00570131"/>
    <w:rsid w:val="005704B3"/>
    <w:rsid w:val="0057110B"/>
    <w:rsid w:val="00572250"/>
    <w:rsid w:val="0057230F"/>
    <w:rsid w:val="00573D3E"/>
    <w:rsid w:val="00574C91"/>
    <w:rsid w:val="00575E98"/>
    <w:rsid w:val="005811D6"/>
    <w:rsid w:val="00582069"/>
    <w:rsid w:val="00585E1D"/>
    <w:rsid w:val="00587F26"/>
    <w:rsid w:val="00590BF3"/>
    <w:rsid w:val="00591549"/>
    <w:rsid w:val="005923EA"/>
    <w:rsid w:val="00597CBC"/>
    <w:rsid w:val="005A463E"/>
    <w:rsid w:val="005A4C3F"/>
    <w:rsid w:val="005A6405"/>
    <w:rsid w:val="005A6625"/>
    <w:rsid w:val="005B0E96"/>
    <w:rsid w:val="005B222E"/>
    <w:rsid w:val="005B2E0E"/>
    <w:rsid w:val="005B3F31"/>
    <w:rsid w:val="005B5EA4"/>
    <w:rsid w:val="005C004F"/>
    <w:rsid w:val="005C2662"/>
    <w:rsid w:val="005C2AB0"/>
    <w:rsid w:val="005C3039"/>
    <w:rsid w:val="005C540B"/>
    <w:rsid w:val="005C6F1A"/>
    <w:rsid w:val="005C784C"/>
    <w:rsid w:val="005D17F6"/>
    <w:rsid w:val="005D1CBB"/>
    <w:rsid w:val="005D28C5"/>
    <w:rsid w:val="005D2C58"/>
    <w:rsid w:val="005D4AE9"/>
    <w:rsid w:val="005D5985"/>
    <w:rsid w:val="005D5C0A"/>
    <w:rsid w:val="005D5F0B"/>
    <w:rsid w:val="005D71AE"/>
    <w:rsid w:val="005E2A7F"/>
    <w:rsid w:val="005E34E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5EC"/>
    <w:rsid w:val="00617FDD"/>
    <w:rsid w:val="00620108"/>
    <w:rsid w:val="006203C5"/>
    <w:rsid w:val="00621CBF"/>
    <w:rsid w:val="00622252"/>
    <w:rsid w:val="0062246A"/>
    <w:rsid w:val="00624014"/>
    <w:rsid w:val="00626FF8"/>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2742"/>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25B"/>
    <w:rsid w:val="00681775"/>
    <w:rsid w:val="00681E63"/>
    <w:rsid w:val="00682376"/>
    <w:rsid w:val="00683035"/>
    <w:rsid w:val="00686953"/>
    <w:rsid w:val="00686A69"/>
    <w:rsid w:val="00687935"/>
    <w:rsid w:val="00687DEA"/>
    <w:rsid w:val="00687E67"/>
    <w:rsid w:val="00687FCD"/>
    <w:rsid w:val="006908C7"/>
    <w:rsid w:val="00692B46"/>
    <w:rsid w:val="00695AB8"/>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3F9D"/>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07278"/>
    <w:rsid w:val="007101DE"/>
    <w:rsid w:val="007147B7"/>
    <w:rsid w:val="00717BE1"/>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77E"/>
    <w:rsid w:val="00754C9A"/>
    <w:rsid w:val="00754DDF"/>
    <w:rsid w:val="0075599A"/>
    <w:rsid w:val="00756316"/>
    <w:rsid w:val="00756864"/>
    <w:rsid w:val="0075735E"/>
    <w:rsid w:val="00757F7F"/>
    <w:rsid w:val="00761D52"/>
    <w:rsid w:val="0076337A"/>
    <w:rsid w:val="00766500"/>
    <w:rsid w:val="00766599"/>
    <w:rsid w:val="0076770C"/>
    <w:rsid w:val="007701E3"/>
    <w:rsid w:val="00771EA9"/>
    <w:rsid w:val="00775725"/>
    <w:rsid w:val="00776F82"/>
    <w:rsid w:val="0077749E"/>
    <w:rsid w:val="00777894"/>
    <w:rsid w:val="00777EFB"/>
    <w:rsid w:val="00781D5E"/>
    <w:rsid w:val="00781F66"/>
    <w:rsid w:val="00790ADA"/>
    <w:rsid w:val="00791230"/>
    <w:rsid w:val="0079158F"/>
    <w:rsid w:val="007969E9"/>
    <w:rsid w:val="007A0633"/>
    <w:rsid w:val="007A2E32"/>
    <w:rsid w:val="007A351A"/>
    <w:rsid w:val="007B0C10"/>
    <w:rsid w:val="007B541F"/>
    <w:rsid w:val="007C102A"/>
    <w:rsid w:val="007C3792"/>
    <w:rsid w:val="007C4C8B"/>
    <w:rsid w:val="007C4E84"/>
    <w:rsid w:val="007C6F64"/>
    <w:rsid w:val="007C7ACE"/>
    <w:rsid w:val="007D0606"/>
    <w:rsid w:val="007D2288"/>
    <w:rsid w:val="007D2B80"/>
    <w:rsid w:val="007D30D2"/>
    <w:rsid w:val="007D325B"/>
    <w:rsid w:val="007D3FB5"/>
    <w:rsid w:val="007D42A0"/>
    <w:rsid w:val="007D4CAA"/>
    <w:rsid w:val="007D7251"/>
    <w:rsid w:val="007D7C3E"/>
    <w:rsid w:val="007E088F"/>
    <w:rsid w:val="007E565A"/>
    <w:rsid w:val="007E7A7F"/>
    <w:rsid w:val="007E7D13"/>
    <w:rsid w:val="007F02B2"/>
    <w:rsid w:val="007F209D"/>
    <w:rsid w:val="007F2720"/>
    <w:rsid w:val="007F43D3"/>
    <w:rsid w:val="007F6C64"/>
    <w:rsid w:val="007F6D8D"/>
    <w:rsid w:val="007F750C"/>
    <w:rsid w:val="007F7B32"/>
    <w:rsid w:val="007F7FDC"/>
    <w:rsid w:val="00804067"/>
    <w:rsid w:val="00804BC2"/>
    <w:rsid w:val="0080567F"/>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0600"/>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5578"/>
    <w:rsid w:val="0088785F"/>
    <w:rsid w:val="008927A1"/>
    <w:rsid w:val="00892A7B"/>
    <w:rsid w:val="008945A3"/>
    <w:rsid w:val="00894A4A"/>
    <w:rsid w:val="00895953"/>
    <w:rsid w:val="00896129"/>
    <w:rsid w:val="00896524"/>
    <w:rsid w:val="00897A9D"/>
    <w:rsid w:val="00897FB9"/>
    <w:rsid w:val="008A09AF"/>
    <w:rsid w:val="008A36E1"/>
    <w:rsid w:val="008A7E29"/>
    <w:rsid w:val="008B459E"/>
    <w:rsid w:val="008B64AB"/>
    <w:rsid w:val="008B6AE3"/>
    <w:rsid w:val="008C0731"/>
    <w:rsid w:val="008C2330"/>
    <w:rsid w:val="008C3CF9"/>
    <w:rsid w:val="008C65DE"/>
    <w:rsid w:val="008D1544"/>
    <w:rsid w:val="008D4CC6"/>
    <w:rsid w:val="008D5531"/>
    <w:rsid w:val="008D6E31"/>
    <w:rsid w:val="008E122F"/>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16994"/>
    <w:rsid w:val="009205F6"/>
    <w:rsid w:val="00922FF1"/>
    <w:rsid w:val="0092466B"/>
    <w:rsid w:val="00924904"/>
    <w:rsid w:val="00925012"/>
    <w:rsid w:val="00926B4B"/>
    <w:rsid w:val="009276F6"/>
    <w:rsid w:val="0092777F"/>
    <w:rsid w:val="00927834"/>
    <w:rsid w:val="009316B6"/>
    <w:rsid w:val="00932889"/>
    <w:rsid w:val="00934E13"/>
    <w:rsid w:val="00940320"/>
    <w:rsid w:val="00943756"/>
    <w:rsid w:val="00943A20"/>
    <w:rsid w:val="009500A6"/>
    <w:rsid w:val="00951100"/>
    <w:rsid w:val="00952916"/>
    <w:rsid w:val="00957C18"/>
    <w:rsid w:val="00957C4C"/>
    <w:rsid w:val="00960222"/>
    <w:rsid w:val="00962B44"/>
    <w:rsid w:val="00962C41"/>
    <w:rsid w:val="009648BB"/>
    <w:rsid w:val="00964E99"/>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4EA7"/>
    <w:rsid w:val="0098668C"/>
    <w:rsid w:val="009877FB"/>
    <w:rsid w:val="009913C6"/>
    <w:rsid w:val="00991ABC"/>
    <w:rsid w:val="00994FC5"/>
    <w:rsid w:val="009950D9"/>
    <w:rsid w:val="00995521"/>
    <w:rsid w:val="009A1589"/>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0A1D"/>
    <w:rsid w:val="00A03B96"/>
    <w:rsid w:val="00A03BA8"/>
    <w:rsid w:val="00A04439"/>
    <w:rsid w:val="00A04985"/>
    <w:rsid w:val="00A05387"/>
    <w:rsid w:val="00A05B19"/>
    <w:rsid w:val="00A1134E"/>
    <w:rsid w:val="00A12A42"/>
    <w:rsid w:val="00A12E1C"/>
    <w:rsid w:val="00A15155"/>
    <w:rsid w:val="00A21D6E"/>
    <w:rsid w:val="00A24E7E"/>
    <w:rsid w:val="00A254E5"/>
    <w:rsid w:val="00A258C3"/>
    <w:rsid w:val="00A313D4"/>
    <w:rsid w:val="00A32872"/>
    <w:rsid w:val="00A34302"/>
    <w:rsid w:val="00A347C0"/>
    <w:rsid w:val="00A40F15"/>
    <w:rsid w:val="00A44B85"/>
    <w:rsid w:val="00A46357"/>
    <w:rsid w:val="00A477D3"/>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87133"/>
    <w:rsid w:val="00A9069D"/>
    <w:rsid w:val="00A9100D"/>
    <w:rsid w:val="00A93DE6"/>
    <w:rsid w:val="00A94063"/>
    <w:rsid w:val="00A97CA7"/>
    <w:rsid w:val="00AA021D"/>
    <w:rsid w:val="00AA046F"/>
    <w:rsid w:val="00AA1319"/>
    <w:rsid w:val="00AA2464"/>
    <w:rsid w:val="00AA39D0"/>
    <w:rsid w:val="00AA4226"/>
    <w:rsid w:val="00AA5542"/>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2799"/>
    <w:rsid w:val="00AC5747"/>
    <w:rsid w:val="00AC6BB8"/>
    <w:rsid w:val="00AC6E42"/>
    <w:rsid w:val="00AD3432"/>
    <w:rsid w:val="00AD3833"/>
    <w:rsid w:val="00AD41CE"/>
    <w:rsid w:val="00AD47EC"/>
    <w:rsid w:val="00AD6E79"/>
    <w:rsid w:val="00AD766B"/>
    <w:rsid w:val="00AD7C27"/>
    <w:rsid w:val="00AE008F"/>
    <w:rsid w:val="00AE2CF7"/>
    <w:rsid w:val="00AE3293"/>
    <w:rsid w:val="00AE3FEB"/>
    <w:rsid w:val="00AE3FFB"/>
    <w:rsid w:val="00AE4F46"/>
    <w:rsid w:val="00AE6C13"/>
    <w:rsid w:val="00AF0598"/>
    <w:rsid w:val="00AF0868"/>
    <w:rsid w:val="00AF2CBB"/>
    <w:rsid w:val="00AF52FA"/>
    <w:rsid w:val="00AF7082"/>
    <w:rsid w:val="00B01FCD"/>
    <w:rsid w:val="00B02104"/>
    <w:rsid w:val="00B06F9D"/>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3B36"/>
    <w:rsid w:val="00B549CE"/>
    <w:rsid w:val="00B55B85"/>
    <w:rsid w:val="00B55D37"/>
    <w:rsid w:val="00B55FCC"/>
    <w:rsid w:val="00B60155"/>
    <w:rsid w:val="00B62947"/>
    <w:rsid w:val="00B64177"/>
    <w:rsid w:val="00B66A3B"/>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B7A71"/>
    <w:rsid w:val="00BC2A3C"/>
    <w:rsid w:val="00BC53A0"/>
    <w:rsid w:val="00BC78EB"/>
    <w:rsid w:val="00BD07D8"/>
    <w:rsid w:val="00BD504C"/>
    <w:rsid w:val="00BD7404"/>
    <w:rsid w:val="00BD7576"/>
    <w:rsid w:val="00BD76E4"/>
    <w:rsid w:val="00BD7CD9"/>
    <w:rsid w:val="00BE0A38"/>
    <w:rsid w:val="00BE0E4E"/>
    <w:rsid w:val="00BE10E0"/>
    <w:rsid w:val="00BE1295"/>
    <w:rsid w:val="00BE230B"/>
    <w:rsid w:val="00BE62AD"/>
    <w:rsid w:val="00BF121F"/>
    <w:rsid w:val="00BF1D4D"/>
    <w:rsid w:val="00BF1F80"/>
    <w:rsid w:val="00BF242C"/>
    <w:rsid w:val="00BF2939"/>
    <w:rsid w:val="00BF7728"/>
    <w:rsid w:val="00C01D17"/>
    <w:rsid w:val="00C03ED9"/>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1955"/>
    <w:rsid w:val="00C63EF9"/>
    <w:rsid w:val="00C65D13"/>
    <w:rsid w:val="00C705A4"/>
    <w:rsid w:val="00C70F1B"/>
    <w:rsid w:val="00C71A47"/>
    <w:rsid w:val="00C728A3"/>
    <w:rsid w:val="00C72DF1"/>
    <w:rsid w:val="00C73A36"/>
    <w:rsid w:val="00C73E17"/>
    <w:rsid w:val="00C741DB"/>
    <w:rsid w:val="00C7464C"/>
    <w:rsid w:val="00C74EA0"/>
    <w:rsid w:val="00C75625"/>
    <w:rsid w:val="00C77B93"/>
    <w:rsid w:val="00C8034F"/>
    <w:rsid w:val="00C8198B"/>
    <w:rsid w:val="00C81A14"/>
    <w:rsid w:val="00C838DC"/>
    <w:rsid w:val="00C85588"/>
    <w:rsid w:val="00C85987"/>
    <w:rsid w:val="00C868A2"/>
    <w:rsid w:val="00C90676"/>
    <w:rsid w:val="00C944B7"/>
    <w:rsid w:val="00C94706"/>
    <w:rsid w:val="00C958E5"/>
    <w:rsid w:val="00C972A1"/>
    <w:rsid w:val="00CA1A21"/>
    <w:rsid w:val="00CA30FF"/>
    <w:rsid w:val="00CA5187"/>
    <w:rsid w:val="00CA519B"/>
    <w:rsid w:val="00CA677C"/>
    <w:rsid w:val="00CA7890"/>
    <w:rsid w:val="00CA7F2F"/>
    <w:rsid w:val="00CB059F"/>
    <w:rsid w:val="00CB11B3"/>
    <w:rsid w:val="00CB2155"/>
    <w:rsid w:val="00CB37FD"/>
    <w:rsid w:val="00CB6F3A"/>
    <w:rsid w:val="00CB7AC1"/>
    <w:rsid w:val="00CC4B05"/>
    <w:rsid w:val="00CC5ECD"/>
    <w:rsid w:val="00CC701F"/>
    <w:rsid w:val="00CC7073"/>
    <w:rsid w:val="00CD0E3C"/>
    <w:rsid w:val="00CD1124"/>
    <w:rsid w:val="00CD387D"/>
    <w:rsid w:val="00CD4D57"/>
    <w:rsid w:val="00CD6339"/>
    <w:rsid w:val="00CD6755"/>
    <w:rsid w:val="00CD6856"/>
    <w:rsid w:val="00CD6F56"/>
    <w:rsid w:val="00CE0089"/>
    <w:rsid w:val="00CE3176"/>
    <w:rsid w:val="00CE5E13"/>
    <w:rsid w:val="00CE793C"/>
    <w:rsid w:val="00CF1243"/>
    <w:rsid w:val="00CF2E29"/>
    <w:rsid w:val="00D00568"/>
    <w:rsid w:val="00D00F3E"/>
    <w:rsid w:val="00D01782"/>
    <w:rsid w:val="00D0289A"/>
    <w:rsid w:val="00D03BEB"/>
    <w:rsid w:val="00D04A8F"/>
    <w:rsid w:val="00D065CB"/>
    <w:rsid w:val="00D10E7E"/>
    <w:rsid w:val="00D13BF4"/>
    <w:rsid w:val="00D16A04"/>
    <w:rsid w:val="00D17273"/>
    <w:rsid w:val="00D173F1"/>
    <w:rsid w:val="00D21E8D"/>
    <w:rsid w:val="00D227D5"/>
    <w:rsid w:val="00D23445"/>
    <w:rsid w:val="00D23722"/>
    <w:rsid w:val="00D23799"/>
    <w:rsid w:val="00D23B1F"/>
    <w:rsid w:val="00D24440"/>
    <w:rsid w:val="00D30AC4"/>
    <w:rsid w:val="00D311B1"/>
    <w:rsid w:val="00D31407"/>
    <w:rsid w:val="00D32F12"/>
    <w:rsid w:val="00D341E9"/>
    <w:rsid w:val="00D41A18"/>
    <w:rsid w:val="00D42848"/>
    <w:rsid w:val="00D429C7"/>
    <w:rsid w:val="00D42F2F"/>
    <w:rsid w:val="00D430F1"/>
    <w:rsid w:val="00D453B9"/>
    <w:rsid w:val="00D461DC"/>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987"/>
    <w:rsid w:val="00D64B9B"/>
    <w:rsid w:val="00D66561"/>
    <w:rsid w:val="00D668D6"/>
    <w:rsid w:val="00D67D5C"/>
    <w:rsid w:val="00D717BB"/>
    <w:rsid w:val="00D71E66"/>
    <w:rsid w:val="00D72CC0"/>
    <w:rsid w:val="00D745F6"/>
    <w:rsid w:val="00D74FE6"/>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670"/>
    <w:rsid w:val="00DA3A1E"/>
    <w:rsid w:val="00DA3D24"/>
    <w:rsid w:val="00DA509E"/>
    <w:rsid w:val="00DA6816"/>
    <w:rsid w:val="00DA7635"/>
    <w:rsid w:val="00DB03BF"/>
    <w:rsid w:val="00DB0B12"/>
    <w:rsid w:val="00DB0B8E"/>
    <w:rsid w:val="00DB27EE"/>
    <w:rsid w:val="00DB46B2"/>
    <w:rsid w:val="00DB4775"/>
    <w:rsid w:val="00DC09E0"/>
    <w:rsid w:val="00DC0BFC"/>
    <w:rsid w:val="00DC2754"/>
    <w:rsid w:val="00DC2A65"/>
    <w:rsid w:val="00DC2C0A"/>
    <w:rsid w:val="00DD0B2B"/>
    <w:rsid w:val="00DD1370"/>
    <w:rsid w:val="00DD1EA9"/>
    <w:rsid w:val="00DD5EA2"/>
    <w:rsid w:val="00DD6431"/>
    <w:rsid w:val="00DD68C1"/>
    <w:rsid w:val="00DD733B"/>
    <w:rsid w:val="00DD7E9A"/>
    <w:rsid w:val="00DD7FF1"/>
    <w:rsid w:val="00DE15F0"/>
    <w:rsid w:val="00DE32FA"/>
    <w:rsid w:val="00DE3EAB"/>
    <w:rsid w:val="00DE5663"/>
    <w:rsid w:val="00DE69BC"/>
    <w:rsid w:val="00DE7036"/>
    <w:rsid w:val="00DE7644"/>
    <w:rsid w:val="00DE78AA"/>
    <w:rsid w:val="00DF4C95"/>
    <w:rsid w:val="00DF6E1B"/>
    <w:rsid w:val="00DF7EDB"/>
    <w:rsid w:val="00E009EA"/>
    <w:rsid w:val="00E026F4"/>
    <w:rsid w:val="00E053D0"/>
    <w:rsid w:val="00E05D72"/>
    <w:rsid w:val="00E100D0"/>
    <w:rsid w:val="00E103CF"/>
    <w:rsid w:val="00E112E6"/>
    <w:rsid w:val="00E1142D"/>
    <w:rsid w:val="00E11DE2"/>
    <w:rsid w:val="00E12CED"/>
    <w:rsid w:val="00E1322F"/>
    <w:rsid w:val="00E146D8"/>
    <w:rsid w:val="00E15994"/>
    <w:rsid w:val="00E16D4E"/>
    <w:rsid w:val="00E2159C"/>
    <w:rsid w:val="00E22B41"/>
    <w:rsid w:val="00E2395E"/>
    <w:rsid w:val="00E2437E"/>
    <w:rsid w:val="00E25EC4"/>
    <w:rsid w:val="00E263A0"/>
    <w:rsid w:val="00E30085"/>
    <w:rsid w:val="00E3041D"/>
    <w:rsid w:val="00E3114E"/>
    <w:rsid w:val="00E31319"/>
    <w:rsid w:val="00E31A70"/>
    <w:rsid w:val="00E31B40"/>
    <w:rsid w:val="00E335C2"/>
    <w:rsid w:val="00E33747"/>
    <w:rsid w:val="00E3444C"/>
    <w:rsid w:val="00E34EA8"/>
    <w:rsid w:val="00E35B02"/>
    <w:rsid w:val="00E368BE"/>
    <w:rsid w:val="00E37919"/>
    <w:rsid w:val="00E4130A"/>
    <w:rsid w:val="00E41EEF"/>
    <w:rsid w:val="00E43BA2"/>
    <w:rsid w:val="00E479C2"/>
    <w:rsid w:val="00E50424"/>
    <w:rsid w:val="00E508C3"/>
    <w:rsid w:val="00E55050"/>
    <w:rsid w:val="00E557DA"/>
    <w:rsid w:val="00E61952"/>
    <w:rsid w:val="00E62F53"/>
    <w:rsid w:val="00E64B1B"/>
    <w:rsid w:val="00E66496"/>
    <w:rsid w:val="00E66A3C"/>
    <w:rsid w:val="00E66B35"/>
    <w:rsid w:val="00E66E10"/>
    <w:rsid w:val="00E70CB4"/>
    <w:rsid w:val="00E71A6B"/>
    <w:rsid w:val="00E744D3"/>
    <w:rsid w:val="00E75068"/>
    <w:rsid w:val="00E75538"/>
    <w:rsid w:val="00E769F6"/>
    <w:rsid w:val="00E80D52"/>
    <w:rsid w:val="00E81953"/>
    <w:rsid w:val="00E8217A"/>
    <w:rsid w:val="00E82357"/>
    <w:rsid w:val="00E824CE"/>
    <w:rsid w:val="00E8407C"/>
    <w:rsid w:val="00E84F3C"/>
    <w:rsid w:val="00E855E0"/>
    <w:rsid w:val="00E94E5E"/>
    <w:rsid w:val="00E9718F"/>
    <w:rsid w:val="00EA012C"/>
    <w:rsid w:val="00EA4419"/>
    <w:rsid w:val="00EA461E"/>
    <w:rsid w:val="00EA70C1"/>
    <w:rsid w:val="00EB1CD4"/>
    <w:rsid w:val="00EB1D47"/>
    <w:rsid w:val="00EB2E0E"/>
    <w:rsid w:val="00EB7104"/>
    <w:rsid w:val="00EB7AEC"/>
    <w:rsid w:val="00EC0D56"/>
    <w:rsid w:val="00EC3636"/>
    <w:rsid w:val="00EC7AAE"/>
    <w:rsid w:val="00ED0288"/>
    <w:rsid w:val="00ED2411"/>
    <w:rsid w:val="00ED4718"/>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89E"/>
    <w:rsid w:val="00F02CEA"/>
    <w:rsid w:val="00F03243"/>
    <w:rsid w:val="00F04F13"/>
    <w:rsid w:val="00F05FAA"/>
    <w:rsid w:val="00F06F59"/>
    <w:rsid w:val="00F071D7"/>
    <w:rsid w:val="00F07371"/>
    <w:rsid w:val="00F11DDA"/>
    <w:rsid w:val="00F12135"/>
    <w:rsid w:val="00F159E4"/>
    <w:rsid w:val="00F16D53"/>
    <w:rsid w:val="00F174B8"/>
    <w:rsid w:val="00F17988"/>
    <w:rsid w:val="00F20BD8"/>
    <w:rsid w:val="00F2100D"/>
    <w:rsid w:val="00F21FC5"/>
    <w:rsid w:val="00F22051"/>
    <w:rsid w:val="00F23507"/>
    <w:rsid w:val="00F23A67"/>
    <w:rsid w:val="00F266FB"/>
    <w:rsid w:val="00F26DEB"/>
    <w:rsid w:val="00F2706C"/>
    <w:rsid w:val="00F303EB"/>
    <w:rsid w:val="00F30D27"/>
    <w:rsid w:val="00F36ABC"/>
    <w:rsid w:val="00F40FB0"/>
    <w:rsid w:val="00F41F1C"/>
    <w:rsid w:val="00F42FC6"/>
    <w:rsid w:val="00F4685B"/>
    <w:rsid w:val="00F469F0"/>
    <w:rsid w:val="00F50D17"/>
    <w:rsid w:val="00F51246"/>
    <w:rsid w:val="00F53273"/>
    <w:rsid w:val="00F53CF3"/>
    <w:rsid w:val="00F548F2"/>
    <w:rsid w:val="00F5572F"/>
    <w:rsid w:val="00F576D3"/>
    <w:rsid w:val="00F57E77"/>
    <w:rsid w:val="00F57FA7"/>
    <w:rsid w:val="00F600DB"/>
    <w:rsid w:val="00F60286"/>
    <w:rsid w:val="00F606EA"/>
    <w:rsid w:val="00F63AD9"/>
    <w:rsid w:val="00F63EA4"/>
    <w:rsid w:val="00F64AEE"/>
    <w:rsid w:val="00F665DE"/>
    <w:rsid w:val="00F70217"/>
    <w:rsid w:val="00F70245"/>
    <w:rsid w:val="00F7028B"/>
    <w:rsid w:val="00F70399"/>
    <w:rsid w:val="00F70BCD"/>
    <w:rsid w:val="00F71EB8"/>
    <w:rsid w:val="00F74F93"/>
    <w:rsid w:val="00F755E4"/>
    <w:rsid w:val="00F759B7"/>
    <w:rsid w:val="00F77D02"/>
    <w:rsid w:val="00F80106"/>
    <w:rsid w:val="00F828E1"/>
    <w:rsid w:val="00F8739E"/>
    <w:rsid w:val="00F927B2"/>
    <w:rsid w:val="00F947E3"/>
    <w:rsid w:val="00F96071"/>
    <w:rsid w:val="00FA07CE"/>
    <w:rsid w:val="00FA0D6E"/>
    <w:rsid w:val="00FA2543"/>
    <w:rsid w:val="00FA5D23"/>
    <w:rsid w:val="00FB3A86"/>
    <w:rsid w:val="00FB469D"/>
    <w:rsid w:val="00FB6C0F"/>
    <w:rsid w:val="00FB7F6C"/>
    <w:rsid w:val="00FC4F69"/>
    <w:rsid w:val="00FD227E"/>
    <w:rsid w:val="00FD270D"/>
    <w:rsid w:val="00FD2B99"/>
    <w:rsid w:val="00FD36C8"/>
    <w:rsid w:val="00FD5070"/>
    <w:rsid w:val="00FE179D"/>
    <w:rsid w:val="00FE32B3"/>
    <w:rsid w:val="00FE44DE"/>
    <w:rsid w:val="00FE46CD"/>
    <w:rsid w:val="00FE663C"/>
    <w:rsid w:val="00FF06DB"/>
    <w:rsid w:val="00FF23CD"/>
    <w:rsid w:val="00FF30BA"/>
    <w:rsid w:val="00FF3F05"/>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036"/>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695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94065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429736105">
      <w:bodyDiv w:val="1"/>
      <w:marLeft w:val="0"/>
      <w:marRight w:val="0"/>
      <w:marTop w:val="0"/>
      <w:marBottom w:val="0"/>
      <w:divBdr>
        <w:top w:val="none" w:sz="0" w:space="0" w:color="auto"/>
        <w:left w:val="none" w:sz="0" w:space="0" w:color="auto"/>
        <w:bottom w:val="none" w:sz="0" w:space="0" w:color="auto"/>
        <w:right w:val="none" w:sz="0" w:space="0" w:color="auto"/>
      </w:divBdr>
    </w:div>
    <w:div w:id="201615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ciencedirect.com/science/article/pii/S0742051X2200035X" TargetMode="External"/><Relationship Id="rId26" Type="http://schemas.openxmlformats.org/officeDocument/2006/relationships/hyperlink" Target="https://radar.brookes.ac.uk/radar/items/e98bbf15-b504-4b31-8d2f-502146eb1934/1/" TargetMode="External"/><Relationship Id="rId39" Type="http://schemas.openxmlformats.org/officeDocument/2006/relationships/hyperlink" Target="https://eric.ed.gov/?Id=EJ1282379" TargetMode="External"/><Relationship Id="rId3" Type="http://schemas.openxmlformats.org/officeDocument/2006/relationships/styles" Target="styles.xml"/><Relationship Id="rId21" Type="http://schemas.openxmlformats.org/officeDocument/2006/relationships/hyperlink" Target="https://www.tandfonline.com/doi/abs/10.1080/13670050.2019.1612840" TargetMode="External"/><Relationship Id="rId34" Type="http://schemas.openxmlformats.org/officeDocument/2006/relationships/hyperlink" Target="https://hal.science/hal-05073466/"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apers.ssrn.com/sol3/papers.cfm?abstract_id=3744193" TargetMode="External"/><Relationship Id="rId25" Type="http://schemas.openxmlformats.org/officeDocument/2006/relationships/hyperlink" Target="https://www.mdpi.com/2071-1050/12/13/5339" TargetMode="External"/><Relationship Id="rId33" Type="http://schemas.openxmlformats.org/officeDocument/2006/relationships/hyperlink" Target="https://hal.science/hal-04655066/" TargetMode="External"/><Relationship Id="rId38" Type="http://schemas.openxmlformats.org/officeDocument/2006/relationships/hyperlink" Target="https://www.tandfonline.com/doi/abs/10.1080/15391523.2021.1962455" TargetMode="External"/><Relationship Id="rId2" Type="http://schemas.openxmlformats.org/officeDocument/2006/relationships/numbering" Target="numbering.xml"/><Relationship Id="rId16" Type="http://schemas.openxmlformats.org/officeDocument/2006/relationships/hyperlink" Target="https://onlinelibrary.wiley.com/doi/full/10.1155/2021/8160084" TargetMode="External"/><Relationship Id="rId20" Type="http://schemas.openxmlformats.org/officeDocument/2006/relationships/hyperlink" Target="https://cognizancejournal.com/vol3issue7/V3I744.pdf" TargetMode="External"/><Relationship Id="rId29" Type="http://schemas.openxmlformats.org/officeDocument/2006/relationships/hyperlink" Target="https://www.journals.uchicago.edu/doi/abs/10.1086/707094"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kprress.org/index.php/JOGRESS/article/view/5405" TargetMode="External"/><Relationship Id="rId32" Type="http://schemas.openxmlformats.org/officeDocument/2006/relationships/hyperlink" Target="https://www.ajol.info/index.php/saje/article/view/229366" TargetMode="External"/><Relationship Id="rId37" Type="http://schemas.openxmlformats.org/officeDocument/2006/relationships/hyperlink" Target="https://eric.ed.gov/?id=ED615303"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onpapers.repec.org/article/bjzajisjr/2348.htm" TargetMode="External"/><Relationship Id="rId23" Type="http://schemas.openxmlformats.org/officeDocument/2006/relationships/hyperlink" Target="https://www.tandfonline.com/doi/abs/10.1080/13664530.2020.1767189" TargetMode="External"/><Relationship Id="rId28" Type="http://schemas.openxmlformats.org/officeDocument/2006/relationships/hyperlink" Target="https://www.mdpi.com/2227-7102/14/4/402" TargetMode="External"/><Relationship Id="rId36" Type="http://schemas.openxmlformats.org/officeDocument/2006/relationships/hyperlink" Target="https://ojed.org/JSARD/article/view/3960" TargetMode="External"/><Relationship Id="rId10" Type="http://schemas.openxmlformats.org/officeDocument/2006/relationships/footer" Target="footer1.xml"/><Relationship Id="rId19" Type="http://schemas.openxmlformats.org/officeDocument/2006/relationships/hyperlink" Target="https://www.mdpi.com/2071-1050/12/9/3827" TargetMode="External"/><Relationship Id="rId31" Type="http://schemas.openxmlformats.org/officeDocument/2006/relationships/hyperlink" Target="https://journals.sagepub.com/doi/abs/10.1017/jgc.2021.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www.proquest.com/openview/200c1b8d4be057f434e28a6eee79cc18/1?pq-origsite=gscholar&amp;cbl=18750&amp;diss=y" TargetMode="External"/><Relationship Id="rId27" Type="http://schemas.openxmlformats.org/officeDocument/2006/relationships/hyperlink" Target="https://www.tandfonline.com/doi/abs/10.1080/02607476.2020.1733398" TargetMode="External"/><Relationship Id="rId30" Type="http://schemas.openxmlformats.org/officeDocument/2006/relationships/hyperlink" Target="https://ir.ucc.edu.gh/xmlui/handle/123456789/11782" TargetMode="External"/><Relationship Id="rId35" Type="http://schemas.openxmlformats.org/officeDocument/2006/relationships/hyperlink" Target="https://www.mdpi.com/2227-7102/10/10/262" TargetMode="External"/><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14</Pages>
  <Words>6370</Words>
  <Characters>36315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7</cp:revision>
  <cp:lastPrinted>2024-10-20T02:52:00Z</cp:lastPrinted>
  <dcterms:created xsi:type="dcterms:W3CDTF">2025-06-15T09:33:00Z</dcterms:created>
  <dcterms:modified xsi:type="dcterms:W3CDTF">2025-06-16T10:21:00Z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