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65D2" w14:textId="77777777" w:rsidR="00483663" w:rsidRDefault="00483663" w:rsidP="00483663">
      <w:pPr>
        <w:jc w:val="center"/>
        <w:rPr>
          <w:b/>
          <w:color w:val="000000" w:themeColor="text1"/>
        </w:rPr>
      </w:pPr>
      <w:r>
        <w:rPr>
          <w:b/>
          <w:noProof/>
          <w:color w:val="000000" w:themeColor="text1"/>
          <w:lang w:eastAsia="en-PH"/>
        </w:rPr>
        <w:t>ACADEMIC DEANS</w:t>
      </w:r>
      <w:r w:rsidRPr="00483663">
        <w:rPr>
          <w:b/>
          <w:noProof/>
          <w:color w:val="000000" w:themeColor="text1"/>
          <w:lang w:eastAsia="en-PH"/>
        </w:rPr>
        <w:t>’</w:t>
      </w:r>
      <w:r w:rsidRPr="00483663">
        <w:rPr>
          <w:b/>
          <w:color w:val="000000" w:themeColor="text1"/>
        </w:rPr>
        <w:t xml:space="preserve"> DIGITAL LEADERSHIP AND FACULTY MEMBERS’ DIGITAL LITERACY IN </w:t>
      </w:r>
      <w:r>
        <w:rPr>
          <w:b/>
          <w:color w:val="000000" w:themeColor="text1"/>
        </w:rPr>
        <w:t>A STATE UNIVERSITY IN THE PHILIPPINES</w:t>
      </w:r>
    </w:p>
    <w:p w14:paraId="1CAB05C1" w14:textId="77777777" w:rsidR="00483663" w:rsidRDefault="00483663" w:rsidP="00483663">
      <w:pPr>
        <w:jc w:val="center"/>
        <w:rPr>
          <w:b/>
          <w:color w:val="000000" w:themeColor="text1"/>
        </w:rPr>
      </w:pPr>
    </w:p>
    <w:p w14:paraId="2B0C6BE0" w14:textId="77777777" w:rsidR="009274E5" w:rsidRPr="00483663" w:rsidRDefault="009274E5" w:rsidP="00483663"/>
    <w:p w14:paraId="1693426D" w14:textId="77777777" w:rsidR="00483663" w:rsidRPr="00483663" w:rsidRDefault="00483663" w:rsidP="00483663"/>
    <w:p w14:paraId="2A67FF1B" w14:textId="77777777" w:rsidR="00483663" w:rsidRPr="00627422" w:rsidRDefault="00627422" w:rsidP="00483663">
      <w:pPr>
        <w:rPr>
          <w:b/>
        </w:rPr>
      </w:pPr>
      <w:r w:rsidRPr="00627422">
        <w:rPr>
          <w:b/>
        </w:rPr>
        <w:t>ABSTRACT</w:t>
      </w:r>
    </w:p>
    <w:p w14:paraId="72B2686D" w14:textId="77777777" w:rsidR="00483663" w:rsidRPr="00483663" w:rsidRDefault="00483663" w:rsidP="00483663"/>
    <w:p w14:paraId="415D1196" w14:textId="77777777" w:rsidR="00483663" w:rsidRDefault="00483663" w:rsidP="00483663">
      <w:pPr>
        <w:pStyle w:val="NormalWeb"/>
        <w:spacing w:before="0" w:beforeAutospacing="0" w:after="0" w:afterAutospacing="0"/>
        <w:ind w:firstLine="720"/>
        <w:jc w:val="both"/>
        <w:rPr>
          <w:rFonts w:ascii="Arial" w:hAnsi="Arial" w:cs="Arial"/>
        </w:rPr>
      </w:pPr>
      <w:r w:rsidRPr="00483663">
        <w:rPr>
          <w:rFonts w:ascii="Arial" w:hAnsi="Arial" w:cs="Arial"/>
        </w:rPr>
        <w:t>This study explored the digital leadership of academic deans within the University of Eastern Philippines (UEP) System and its relationship to the digital literacy of faculty members. Recognizing the increasing integration of digital technologies in higher education, the research aimed to assess whether the digital competencies and leadership practices of academic deans influenced the digital capabilities of their faculty. A descriptive-correlational research design was employed to systematically evaluate both digital leadership among deans and digital literacy among faculty members.</w:t>
      </w:r>
    </w:p>
    <w:p w14:paraId="2A78883A" w14:textId="77777777" w:rsidR="00483663" w:rsidRPr="00483663" w:rsidRDefault="00483663" w:rsidP="00483663">
      <w:pPr>
        <w:pStyle w:val="NormalWeb"/>
        <w:spacing w:before="0" w:beforeAutospacing="0" w:after="0" w:afterAutospacing="0"/>
        <w:jc w:val="both"/>
        <w:rPr>
          <w:rFonts w:ascii="Arial" w:hAnsi="Arial" w:cs="Arial"/>
        </w:rPr>
      </w:pPr>
    </w:p>
    <w:p w14:paraId="6D0EDFA6" w14:textId="77777777" w:rsidR="00483663" w:rsidRDefault="00483663" w:rsidP="00483663">
      <w:pPr>
        <w:pStyle w:val="NormalWeb"/>
        <w:spacing w:before="0" w:beforeAutospacing="0" w:after="0" w:afterAutospacing="0"/>
        <w:ind w:firstLine="720"/>
        <w:jc w:val="both"/>
        <w:rPr>
          <w:rFonts w:ascii="Arial" w:hAnsi="Arial" w:cs="Arial"/>
        </w:rPr>
      </w:pPr>
      <w:r w:rsidRPr="00483663">
        <w:rPr>
          <w:rFonts w:ascii="Arial" w:hAnsi="Arial" w:cs="Arial"/>
        </w:rPr>
        <w:t xml:space="preserve">The study population included 10 academic deans from the UEP Main Campus and 9 academic deans from the </w:t>
      </w:r>
      <w:proofErr w:type="spellStart"/>
      <w:r w:rsidRPr="00483663">
        <w:rPr>
          <w:rFonts w:ascii="Arial" w:hAnsi="Arial" w:cs="Arial"/>
        </w:rPr>
        <w:t>Laoang</w:t>
      </w:r>
      <w:proofErr w:type="spellEnd"/>
      <w:r w:rsidRPr="00483663">
        <w:rPr>
          <w:rFonts w:ascii="Arial" w:hAnsi="Arial" w:cs="Arial"/>
        </w:rPr>
        <w:t xml:space="preserve"> and Catubig external campuses, for a total of 19 deans. Additionally, 214 regular faculty members across the UEP System participated in the study. Data collection instruments were used to measure digital leadership attributes—such as vision-setting, resource allocation, and support for digital innovation—and faculty digital literacy, which encompassed technical skills, information literacy, and digital pedagogical practices.</w:t>
      </w:r>
    </w:p>
    <w:p w14:paraId="6EA6E78D" w14:textId="77777777" w:rsidR="00483663" w:rsidRPr="00483663" w:rsidRDefault="00483663" w:rsidP="00483663">
      <w:pPr>
        <w:pStyle w:val="NormalWeb"/>
        <w:spacing w:before="0" w:beforeAutospacing="0" w:after="0" w:afterAutospacing="0"/>
        <w:jc w:val="both"/>
        <w:rPr>
          <w:rFonts w:ascii="Arial" w:hAnsi="Arial" w:cs="Arial"/>
        </w:rPr>
      </w:pPr>
    </w:p>
    <w:p w14:paraId="140DFCFE" w14:textId="77777777" w:rsidR="00483663" w:rsidRDefault="00483663" w:rsidP="00483663">
      <w:pPr>
        <w:pStyle w:val="NormalWeb"/>
        <w:spacing w:before="0" w:beforeAutospacing="0" w:after="0" w:afterAutospacing="0"/>
        <w:ind w:firstLine="720"/>
        <w:jc w:val="both"/>
        <w:rPr>
          <w:rFonts w:ascii="Arial" w:hAnsi="Arial" w:cs="Arial"/>
        </w:rPr>
      </w:pPr>
      <w:r w:rsidRPr="00483663">
        <w:rPr>
          <w:rFonts w:ascii="Arial" w:hAnsi="Arial" w:cs="Arial"/>
        </w:rPr>
        <w:t>Pearson correlation analysis was conducted to examine the relationship between the digital leadership of academic deans and the digital literacy of faculty members. The findings indicated no statistically significant relationship between these variables. This suggests that faculty members’ digital literacy may be influenced more by personal motivation, professional development opportunities, and peer networks rather than by top-down leadership from academic deans. The study highlights the need for more collaborative and systemic approaches to enhancing digital literacy in higher education settings, beyond relying solely on formal leadership structures.</w:t>
      </w:r>
    </w:p>
    <w:p w14:paraId="77AF5DFC" w14:textId="77777777" w:rsidR="00483663" w:rsidRDefault="00483663" w:rsidP="00483663">
      <w:pPr>
        <w:pStyle w:val="NormalWeb"/>
        <w:spacing w:before="0" w:beforeAutospacing="0" w:after="0" w:afterAutospacing="0"/>
        <w:ind w:firstLine="720"/>
        <w:jc w:val="both"/>
        <w:rPr>
          <w:rFonts w:ascii="Arial" w:hAnsi="Arial" w:cs="Arial"/>
        </w:rPr>
      </w:pPr>
    </w:p>
    <w:p w14:paraId="1DB571DA" w14:textId="77777777" w:rsidR="00483663" w:rsidRDefault="00483663" w:rsidP="00483663">
      <w:pPr>
        <w:pStyle w:val="NormalWeb"/>
        <w:spacing w:before="0" w:beforeAutospacing="0" w:after="0" w:afterAutospacing="0"/>
        <w:jc w:val="both"/>
        <w:rPr>
          <w:rFonts w:ascii="Arial" w:hAnsi="Arial" w:cs="Arial"/>
        </w:rPr>
      </w:pPr>
      <w:r>
        <w:rPr>
          <w:rFonts w:ascii="Arial" w:hAnsi="Arial" w:cs="Arial"/>
        </w:rPr>
        <w:t>Keywords: digital leadership, digital literacy</w:t>
      </w:r>
    </w:p>
    <w:p w14:paraId="54DD81D9" w14:textId="77777777" w:rsidR="00483663" w:rsidRDefault="00483663" w:rsidP="00483663">
      <w:pPr>
        <w:pStyle w:val="NormalWeb"/>
        <w:spacing w:before="0" w:beforeAutospacing="0" w:after="0" w:afterAutospacing="0"/>
        <w:jc w:val="both"/>
        <w:rPr>
          <w:rFonts w:ascii="Arial" w:hAnsi="Arial" w:cs="Arial"/>
        </w:rPr>
      </w:pPr>
    </w:p>
    <w:p w14:paraId="50CB50E0" w14:textId="77777777" w:rsidR="00483663" w:rsidRDefault="00483663" w:rsidP="00483663">
      <w:pPr>
        <w:pStyle w:val="NormalWeb"/>
        <w:spacing w:before="0" w:beforeAutospacing="0" w:after="0" w:afterAutospacing="0"/>
        <w:jc w:val="both"/>
        <w:rPr>
          <w:rFonts w:ascii="Arial" w:hAnsi="Arial" w:cs="Arial"/>
        </w:rPr>
      </w:pPr>
    </w:p>
    <w:p w14:paraId="22EA828F" w14:textId="77777777" w:rsidR="00483663" w:rsidRDefault="00483663" w:rsidP="00483663">
      <w:pPr>
        <w:pStyle w:val="NormalWeb"/>
        <w:spacing w:before="0" w:beforeAutospacing="0" w:after="0" w:afterAutospacing="0"/>
        <w:jc w:val="both"/>
        <w:rPr>
          <w:rFonts w:ascii="Arial" w:hAnsi="Arial" w:cs="Arial"/>
        </w:rPr>
      </w:pPr>
    </w:p>
    <w:p w14:paraId="199F71FB" w14:textId="77777777" w:rsidR="00483663" w:rsidRDefault="00483663" w:rsidP="00483663">
      <w:pPr>
        <w:pStyle w:val="NormalWeb"/>
        <w:spacing w:before="0" w:beforeAutospacing="0" w:after="0" w:afterAutospacing="0"/>
        <w:jc w:val="both"/>
        <w:rPr>
          <w:rFonts w:ascii="Arial" w:hAnsi="Arial" w:cs="Arial"/>
        </w:rPr>
      </w:pPr>
    </w:p>
    <w:p w14:paraId="14E46F58" w14:textId="77777777" w:rsidR="00483663" w:rsidRDefault="00483663" w:rsidP="00483663">
      <w:pPr>
        <w:pStyle w:val="NormalWeb"/>
        <w:spacing w:before="0" w:beforeAutospacing="0" w:after="0" w:afterAutospacing="0"/>
        <w:jc w:val="both"/>
        <w:rPr>
          <w:rFonts w:ascii="Arial" w:hAnsi="Arial" w:cs="Arial"/>
        </w:rPr>
      </w:pPr>
    </w:p>
    <w:p w14:paraId="1A904F8C" w14:textId="77777777" w:rsidR="00483663" w:rsidRDefault="00483663" w:rsidP="00483663">
      <w:pPr>
        <w:pStyle w:val="NormalWeb"/>
        <w:spacing w:before="0" w:beforeAutospacing="0" w:after="0" w:afterAutospacing="0"/>
        <w:jc w:val="both"/>
        <w:rPr>
          <w:rFonts w:ascii="Arial" w:hAnsi="Arial" w:cs="Arial"/>
        </w:rPr>
      </w:pPr>
    </w:p>
    <w:p w14:paraId="2D4879C3" w14:textId="77777777" w:rsidR="00483663" w:rsidRDefault="00483663" w:rsidP="00483663">
      <w:pPr>
        <w:pStyle w:val="NormalWeb"/>
        <w:spacing w:before="0" w:beforeAutospacing="0" w:after="0" w:afterAutospacing="0"/>
        <w:jc w:val="both"/>
        <w:rPr>
          <w:rFonts w:ascii="Arial" w:hAnsi="Arial" w:cs="Arial"/>
        </w:rPr>
      </w:pPr>
    </w:p>
    <w:p w14:paraId="2ECE2936" w14:textId="77777777" w:rsidR="00A261B3" w:rsidRDefault="00A261B3" w:rsidP="00483663">
      <w:pPr>
        <w:pStyle w:val="NormalWeb"/>
        <w:spacing w:before="0" w:beforeAutospacing="0" w:after="0" w:afterAutospacing="0"/>
        <w:jc w:val="both"/>
        <w:rPr>
          <w:rFonts w:ascii="Arial" w:hAnsi="Arial" w:cs="Arial"/>
        </w:rPr>
      </w:pPr>
    </w:p>
    <w:p w14:paraId="13BAF0B2" w14:textId="77777777" w:rsidR="00A261B3" w:rsidRDefault="00A261B3" w:rsidP="00483663">
      <w:pPr>
        <w:pStyle w:val="NormalWeb"/>
        <w:spacing w:before="0" w:beforeAutospacing="0" w:after="0" w:afterAutospacing="0"/>
        <w:jc w:val="both"/>
        <w:rPr>
          <w:rFonts w:ascii="Arial" w:hAnsi="Arial" w:cs="Arial"/>
        </w:rPr>
      </w:pPr>
    </w:p>
    <w:p w14:paraId="6131EB46" w14:textId="77777777" w:rsidR="00A261B3" w:rsidRDefault="00A261B3" w:rsidP="00483663">
      <w:pPr>
        <w:pStyle w:val="NormalWeb"/>
        <w:spacing w:before="0" w:beforeAutospacing="0" w:after="0" w:afterAutospacing="0"/>
        <w:jc w:val="both"/>
        <w:rPr>
          <w:rFonts w:ascii="Arial" w:hAnsi="Arial" w:cs="Arial"/>
        </w:rPr>
      </w:pPr>
    </w:p>
    <w:p w14:paraId="6D793534" w14:textId="77777777" w:rsidR="00A261B3" w:rsidRDefault="00A261B3" w:rsidP="00483663">
      <w:pPr>
        <w:pStyle w:val="NormalWeb"/>
        <w:spacing w:before="0" w:beforeAutospacing="0" w:after="0" w:afterAutospacing="0"/>
        <w:jc w:val="both"/>
        <w:rPr>
          <w:rFonts w:ascii="Arial" w:hAnsi="Arial" w:cs="Arial"/>
        </w:rPr>
      </w:pPr>
    </w:p>
    <w:p w14:paraId="507407C1" w14:textId="77777777" w:rsidR="00483663" w:rsidRDefault="00483663" w:rsidP="00483663">
      <w:pPr>
        <w:pStyle w:val="NormalWeb"/>
        <w:spacing w:before="0" w:beforeAutospacing="0" w:after="0" w:afterAutospacing="0"/>
        <w:jc w:val="both"/>
        <w:rPr>
          <w:rFonts w:ascii="Arial" w:hAnsi="Arial" w:cs="Arial"/>
        </w:rPr>
      </w:pPr>
    </w:p>
    <w:p w14:paraId="0E5A4FC2" w14:textId="77777777" w:rsidR="00483663" w:rsidRDefault="00483663" w:rsidP="00483663">
      <w:pPr>
        <w:pStyle w:val="NormalWeb"/>
        <w:spacing w:before="0" w:beforeAutospacing="0" w:after="0" w:afterAutospacing="0"/>
        <w:jc w:val="both"/>
        <w:rPr>
          <w:rFonts w:ascii="Arial" w:hAnsi="Arial" w:cs="Arial"/>
        </w:rPr>
      </w:pPr>
    </w:p>
    <w:p w14:paraId="39B27462" w14:textId="77777777" w:rsidR="00483663" w:rsidRDefault="00483663" w:rsidP="00483663">
      <w:pPr>
        <w:pStyle w:val="NormalWeb"/>
        <w:spacing w:before="0" w:beforeAutospacing="0" w:after="0" w:afterAutospacing="0"/>
        <w:jc w:val="both"/>
        <w:rPr>
          <w:rFonts w:ascii="Arial" w:hAnsi="Arial" w:cs="Arial"/>
        </w:rPr>
      </w:pPr>
    </w:p>
    <w:p w14:paraId="0E27A234" w14:textId="77777777" w:rsidR="00483663" w:rsidRDefault="00483663" w:rsidP="00483663">
      <w:pPr>
        <w:pStyle w:val="NormalWeb"/>
        <w:spacing w:before="0" w:beforeAutospacing="0" w:after="0" w:afterAutospacing="0"/>
        <w:jc w:val="both"/>
        <w:rPr>
          <w:rFonts w:ascii="Arial" w:hAnsi="Arial" w:cs="Arial"/>
        </w:rPr>
      </w:pPr>
    </w:p>
    <w:p w14:paraId="21866D20" w14:textId="77777777" w:rsidR="00483663" w:rsidRDefault="00483663" w:rsidP="00483663">
      <w:pPr>
        <w:pStyle w:val="NormalWeb"/>
        <w:spacing w:before="0" w:beforeAutospacing="0" w:after="0" w:afterAutospacing="0"/>
        <w:jc w:val="both"/>
        <w:rPr>
          <w:rFonts w:ascii="Arial" w:hAnsi="Arial" w:cs="Arial"/>
        </w:rPr>
      </w:pPr>
    </w:p>
    <w:p w14:paraId="3D151BFF" w14:textId="77777777" w:rsidR="00483663" w:rsidRPr="00627422" w:rsidRDefault="00483663" w:rsidP="00483663">
      <w:pPr>
        <w:pStyle w:val="NormalWeb"/>
        <w:spacing w:before="0" w:beforeAutospacing="0" w:after="0" w:afterAutospacing="0"/>
        <w:jc w:val="both"/>
        <w:rPr>
          <w:rFonts w:ascii="Arial" w:hAnsi="Arial" w:cs="Arial"/>
          <w:b/>
        </w:rPr>
      </w:pPr>
      <w:r w:rsidRPr="00627422">
        <w:rPr>
          <w:rFonts w:ascii="Arial" w:hAnsi="Arial" w:cs="Arial"/>
          <w:b/>
        </w:rPr>
        <w:lastRenderedPageBreak/>
        <w:t>INTRODUCTION</w:t>
      </w:r>
    </w:p>
    <w:p w14:paraId="6DDFE864" w14:textId="77777777" w:rsidR="00483663" w:rsidRDefault="00483663" w:rsidP="00483663">
      <w:pPr>
        <w:pStyle w:val="NormalWeb"/>
        <w:spacing w:before="0" w:beforeAutospacing="0" w:after="0" w:afterAutospacing="0"/>
        <w:jc w:val="both"/>
        <w:rPr>
          <w:rFonts w:ascii="Arial" w:hAnsi="Arial" w:cs="Arial"/>
        </w:rPr>
      </w:pPr>
    </w:p>
    <w:p w14:paraId="41E32D9A" w14:textId="77777777" w:rsidR="008A481A" w:rsidRPr="008A481A" w:rsidRDefault="008A481A" w:rsidP="008A481A">
      <w:pPr>
        <w:ind w:firstLine="720"/>
        <w:jc w:val="both"/>
        <w:rPr>
          <w:rFonts w:eastAsia="Times New Roman"/>
        </w:rPr>
      </w:pPr>
      <w:r w:rsidRPr="008A481A">
        <w:rPr>
          <w:rFonts w:eastAsia="Times New Roman"/>
        </w:rPr>
        <w:t>Technology has permeated every aspect of modern society, fundamentally transforming the way people think, communicate, and act. Its profound influence is evident across various domains such as discoveries and innovations, everyday lifestyles, and most significantly, the educational system. The onset of the COVID-19 pandemic in early 2020 accelerated this transformation within education, forcing institutions worldwide to adopt new methods of delivering instruction. Confronted with unprecedented challenges, educational systems urgently sought to leverage technology to maintain continuity of learning while ensuring the safety of teachers and students. The pandemic thus underscored the centrality of digital education, especially within higher education institutions (</w:t>
      </w:r>
      <w:proofErr w:type="spellStart"/>
      <w:r w:rsidRPr="008A481A">
        <w:rPr>
          <w:rFonts w:eastAsia="Times New Roman"/>
        </w:rPr>
        <w:t>Bejinaru</w:t>
      </w:r>
      <w:proofErr w:type="spellEnd"/>
      <w:r w:rsidRPr="008A481A">
        <w:rPr>
          <w:rFonts w:eastAsia="Times New Roman"/>
        </w:rPr>
        <w:t>, 2019).</w:t>
      </w:r>
    </w:p>
    <w:p w14:paraId="43594EBA" w14:textId="77777777" w:rsidR="008A481A" w:rsidRDefault="008A481A" w:rsidP="008A481A">
      <w:pPr>
        <w:jc w:val="both"/>
        <w:rPr>
          <w:rFonts w:eastAsia="Times New Roman"/>
        </w:rPr>
      </w:pPr>
    </w:p>
    <w:p w14:paraId="542E10FB" w14:textId="77777777" w:rsidR="008A481A" w:rsidRPr="008A481A" w:rsidRDefault="008A481A" w:rsidP="008A481A">
      <w:pPr>
        <w:ind w:firstLine="720"/>
        <w:jc w:val="both"/>
        <w:rPr>
          <w:rFonts w:eastAsia="Times New Roman"/>
        </w:rPr>
      </w:pPr>
      <w:r w:rsidRPr="008A481A">
        <w:rPr>
          <w:rFonts w:eastAsia="Times New Roman"/>
        </w:rPr>
        <w:t>Initially, many governments and educational institutions anticipated that pandemic-related disruptions would be short-lived. However, as the crisis persisted, stringent public health measures such as lockdowns and social distancing prolonged the shift to online learning (Botham, 2018). Educators rapidly transformed their pedagogical approaches, assuming dual roles as both learners and facilitators of digital instruction. This experience highlighted a critical need for strong and adaptive leadership capable of guiding institutions through digital transformation. Indeed, the COVID-19 crisis illuminated the indispensable role of educational leaders—from academic deans to university administrators—in fostering resilience and innovation amid disruption.</w:t>
      </w:r>
    </w:p>
    <w:p w14:paraId="064E5E1B" w14:textId="77777777" w:rsidR="008A481A" w:rsidRDefault="008A481A" w:rsidP="008A481A">
      <w:pPr>
        <w:jc w:val="both"/>
        <w:rPr>
          <w:rFonts w:eastAsia="Times New Roman"/>
        </w:rPr>
      </w:pPr>
    </w:p>
    <w:p w14:paraId="077CDB06" w14:textId="77777777" w:rsidR="008A481A" w:rsidRPr="008A481A" w:rsidRDefault="008A481A" w:rsidP="008A481A">
      <w:pPr>
        <w:ind w:firstLine="720"/>
        <w:jc w:val="both"/>
        <w:rPr>
          <w:rFonts w:eastAsia="Times New Roman"/>
        </w:rPr>
      </w:pPr>
      <w:r w:rsidRPr="008A481A">
        <w:rPr>
          <w:rFonts w:eastAsia="Times New Roman"/>
        </w:rPr>
        <w:t>The process of digitization is now recognized as a pivotal trend reshaping higher education (</w:t>
      </w:r>
      <w:proofErr w:type="spellStart"/>
      <w:r w:rsidRPr="008A481A">
        <w:rPr>
          <w:rFonts w:eastAsia="Times New Roman"/>
        </w:rPr>
        <w:t>Bejinaru</w:t>
      </w:r>
      <w:proofErr w:type="spellEnd"/>
      <w:r w:rsidRPr="008A481A">
        <w:rPr>
          <w:rFonts w:eastAsia="Times New Roman"/>
        </w:rPr>
        <w:t>, 2019). Beyond teaching and learning, digitization extends to administration, assessment, research, and institutional management. In this context, the role of leadership becomes paramount. Effective digital leadership can cultivate an institutional culture that supports continuous technological advancement and fosters digital literacy among faculty (Antonopoulou et al., 2019). Conversely, the absence of visionary leadership can hinder the successful integration of technology, regardless of individual faculty members’ willingness or training. Faculty members’ capacity to leverage technology in their classrooms is largely contingent upon institutional support and leadership commitment.</w:t>
      </w:r>
    </w:p>
    <w:p w14:paraId="5BEB24E8" w14:textId="77777777" w:rsidR="008A481A" w:rsidRDefault="008A481A" w:rsidP="008A481A">
      <w:pPr>
        <w:jc w:val="both"/>
        <w:rPr>
          <w:rFonts w:eastAsia="Times New Roman"/>
        </w:rPr>
      </w:pPr>
    </w:p>
    <w:p w14:paraId="66F3CD2B" w14:textId="77777777" w:rsidR="008A481A" w:rsidRPr="008A481A" w:rsidRDefault="008A481A" w:rsidP="008A481A">
      <w:pPr>
        <w:ind w:firstLine="720"/>
        <w:jc w:val="both"/>
        <w:rPr>
          <w:rFonts w:eastAsia="Times New Roman"/>
        </w:rPr>
      </w:pPr>
      <w:r w:rsidRPr="008A481A">
        <w:rPr>
          <w:rFonts w:eastAsia="Times New Roman"/>
        </w:rPr>
        <w:t>Despite the evident importance of digital leadership, several challenges persist in its implementation within higher education. Many college educators face a digital divide, marked by unequal access to devices and reliable internet connectivity, as well as limited institutional support. Moreover, skill gaps in using advanced digital tools and platforms further complicate effective technology integration. Administrative leaders, too, encounter difficulties due to insufficient training in digital management tools and the complexity of institutional systems. As the Commission on Higher Education (CHED) promotes policies encouraging digital integration across teaching and management (CHED, 2020), it becomes imperative to examine how these efforts translate at the institutional level.</w:t>
      </w:r>
    </w:p>
    <w:p w14:paraId="3212D240" w14:textId="77777777" w:rsidR="008A481A" w:rsidRDefault="008A481A" w:rsidP="008A481A">
      <w:pPr>
        <w:jc w:val="both"/>
        <w:rPr>
          <w:rFonts w:eastAsia="Times New Roman"/>
        </w:rPr>
      </w:pPr>
    </w:p>
    <w:p w14:paraId="17189CBF" w14:textId="77777777" w:rsidR="008A481A" w:rsidRPr="008A481A" w:rsidRDefault="008A481A" w:rsidP="008A481A">
      <w:pPr>
        <w:ind w:firstLine="720"/>
        <w:jc w:val="both"/>
        <w:rPr>
          <w:rFonts w:eastAsia="Times New Roman"/>
        </w:rPr>
      </w:pPr>
      <w:r w:rsidRPr="008A481A">
        <w:rPr>
          <w:rFonts w:eastAsia="Times New Roman"/>
        </w:rPr>
        <w:t xml:space="preserve">Notably, there remains a dearth of research focusing on the specific dynamics of digital leadership among academic deans and the digital literacy of college faculty in Region VIII and Northern Samar. Existing studies often emphasize broader national or global trends, leaving a gap in understanding the localized experiences and </w:t>
      </w:r>
      <w:r w:rsidRPr="008A481A">
        <w:rPr>
          <w:rFonts w:eastAsia="Times New Roman"/>
        </w:rPr>
        <w:lastRenderedPageBreak/>
        <w:t xml:space="preserve">challenges faced by institutions such as the University of Eastern Philippines (UEP) System. This study </w:t>
      </w:r>
      <w:r w:rsidR="000A46E8">
        <w:rPr>
          <w:rFonts w:eastAsia="Times New Roman"/>
        </w:rPr>
        <w:t>sought</w:t>
      </w:r>
      <w:r w:rsidRPr="008A481A">
        <w:rPr>
          <w:rFonts w:eastAsia="Times New Roman"/>
        </w:rPr>
        <w:t xml:space="preserve"> to address this gap by examining the current state of digital leadership and faculty digital literacy within UEP. By exploring the relationship between digital leadership practices and faculty digital competencies</w:t>
      </w:r>
      <w:r w:rsidR="000A46E8">
        <w:rPr>
          <w:rFonts w:eastAsia="Times New Roman"/>
        </w:rPr>
        <w:t>. Hence, this study.</w:t>
      </w:r>
    </w:p>
    <w:p w14:paraId="26420768" w14:textId="77777777" w:rsidR="0062202E" w:rsidRDefault="0062202E" w:rsidP="0062202E">
      <w:pPr>
        <w:pStyle w:val="NormalWeb"/>
        <w:spacing w:before="0" w:beforeAutospacing="0" w:after="0" w:afterAutospacing="0"/>
        <w:ind w:firstLine="720"/>
        <w:jc w:val="both"/>
        <w:rPr>
          <w:rFonts w:ascii="Arial" w:hAnsi="Arial" w:cs="Arial"/>
        </w:rPr>
      </w:pPr>
    </w:p>
    <w:p w14:paraId="4E22E737" w14:textId="77777777" w:rsidR="0062202E" w:rsidRPr="0062202E" w:rsidRDefault="0062202E" w:rsidP="0062202E">
      <w:pPr>
        <w:pStyle w:val="NormalWeb"/>
        <w:spacing w:before="0" w:beforeAutospacing="0" w:after="0" w:afterAutospacing="0"/>
        <w:jc w:val="both"/>
        <w:rPr>
          <w:rFonts w:ascii="Arial" w:hAnsi="Arial" w:cs="Arial"/>
          <w:b/>
        </w:rPr>
      </w:pPr>
      <w:r w:rsidRPr="0062202E">
        <w:rPr>
          <w:rFonts w:ascii="Arial" w:hAnsi="Arial" w:cs="Arial"/>
          <w:b/>
        </w:rPr>
        <w:t>OBJECTIVES OF THE STUDY</w:t>
      </w:r>
    </w:p>
    <w:p w14:paraId="2C0CF8EE" w14:textId="77777777" w:rsidR="0062202E" w:rsidRPr="0062202E" w:rsidRDefault="0062202E" w:rsidP="0062202E">
      <w:pPr>
        <w:pStyle w:val="NormalWeb"/>
        <w:spacing w:before="0" w:beforeAutospacing="0" w:after="0" w:afterAutospacing="0"/>
        <w:jc w:val="both"/>
        <w:rPr>
          <w:rFonts w:ascii="Arial" w:hAnsi="Arial" w:cs="Arial"/>
        </w:rPr>
      </w:pPr>
    </w:p>
    <w:p w14:paraId="08B69509" w14:textId="77777777" w:rsidR="0062202E" w:rsidRDefault="0062202E" w:rsidP="0062202E">
      <w:pPr>
        <w:ind w:firstLine="720"/>
        <w:jc w:val="both"/>
        <w:rPr>
          <w:rFonts w:eastAsia="Times New Roman"/>
        </w:rPr>
      </w:pPr>
      <w:r>
        <w:rPr>
          <w:rFonts w:eastAsia="Times New Roman"/>
        </w:rPr>
        <w:t>This study aimed</w:t>
      </w:r>
      <w:r w:rsidRPr="0062202E">
        <w:rPr>
          <w:rFonts w:eastAsia="Times New Roman"/>
        </w:rPr>
        <w:t xml:space="preserve"> to examine the relationship between academic deans' digital leadership and faculty members' digital literacy in a state university in the Philippines. Specifically, it </w:t>
      </w:r>
      <w:r>
        <w:rPr>
          <w:rFonts w:eastAsia="Times New Roman"/>
        </w:rPr>
        <w:t>sought</w:t>
      </w:r>
      <w:r w:rsidRPr="0062202E">
        <w:rPr>
          <w:rFonts w:eastAsia="Times New Roman"/>
        </w:rPr>
        <w:t xml:space="preserve"> to determine the level of digital leadership demonstrated by academic deans and assess the level of digital literacy among faculty memb</w:t>
      </w:r>
      <w:r>
        <w:rPr>
          <w:rFonts w:eastAsia="Times New Roman"/>
        </w:rPr>
        <w:t>ers. Furthermore, the study aimed</w:t>
      </w:r>
      <w:r w:rsidRPr="0062202E">
        <w:rPr>
          <w:rFonts w:eastAsia="Times New Roman"/>
        </w:rPr>
        <w:t xml:space="preserve"> to explore whether a significant relationship exists between the digital leadership of </w:t>
      </w:r>
      <w:r>
        <w:rPr>
          <w:rFonts w:eastAsia="Times New Roman"/>
        </w:rPr>
        <w:t>academic deans</w:t>
      </w:r>
      <w:r w:rsidRPr="0062202E">
        <w:rPr>
          <w:rFonts w:eastAsia="Times New Roman"/>
        </w:rPr>
        <w:t xml:space="preserve"> and the digital literacy of faculty members, thereby providing insights into how leadership practices may influence the digital competencies of teaching personnel.</w:t>
      </w:r>
    </w:p>
    <w:p w14:paraId="5F803430" w14:textId="77777777" w:rsidR="0062202E" w:rsidRDefault="0062202E" w:rsidP="0062202E">
      <w:pPr>
        <w:ind w:firstLine="720"/>
        <w:jc w:val="both"/>
        <w:rPr>
          <w:rFonts w:eastAsia="Times New Roman"/>
        </w:rPr>
      </w:pPr>
    </w:p>
    <w:p w14:paraId="545EFEF0" w14:textId="77777777" w:rsidR="0062202E" w:rsidRPr="0062202E" w:rsidRDefault="0062202E" w:rsidP="0062202E">
      <w:pPr>
        <w:jc w:val="both"/>
        <w:rPr>
          <w:rFonts w:eastAsia="Times New Roman"/>
          <w:b/>
        </w:rPr>
      </w:pPr>
      <w:r w:rsidRPr="0062202E">
        <w:rPr>
          <w:rFonts w:eastAsia="Times New Roman"/>
          <w:b/>
        </w:rPr>
        <w:t>METHODOLOGY</w:t>
      </w:r>
    </w:p>
    <w:p w14:paraId="5B670D6F" w14:textId="77777777" w:rsidR="0062202E" w:rsidRDefault="0062202E" w:rsidP="0062202E">
      <w:pPr>
        <w:jc w:val="both"/>
        <w:rPr>
          <w:rFonts w:eastAsia="Times New Roman"/>
        </w:rPr>
      </w:pPr>
    </w:p>
    <w:p w14:paraId="1B7B49C5" w14:textId="77777777" w:rsidR="0062202E" w:rsidRPr="0062202E" w:rsidRDefault="0062202E" w:rsidP="0062202E">
      <w:pPr>
        <w:ind w:firstLine="720"/>
        <w:jc w:val="both"/>
        <w:rPr>
          <w:rFonts w:eastAsia="Times New Roman"/>
        </w:rPr>
      </w:pPr>
      <w:r w:rsidRPr="0062202E">
        <w:rPr>
          <w:rFonts w:eastAsia="Times New Roman"/>
        </w:rPr>
        <w:t xml:space="preserve">The study was conducted within the University of Eastern Philippines (UEP) System, encompassing its three campuses: the UEP Main Campus in </w:t>
      </w:r>
      <w:proofErr w:type="spellStart"/>
      <w:r w:rsidRPr="0062202E">
        <w:rPr>
          <w:rFonts w:eastAsia="Times New Roman"/>
        </w:rPr>
        <w:t>Catarman</w:t>
      </w:r>
      <w:proofErr w:type="spellEnd"/>
      <w:r w:rsidRPr="0062202E">
        <w:rPr>
          <w:rFonts w:eastAsia="Times New Roman"/>
        </w:rPr>
        <w:t xml:space="preserve">, Northern Samar; UEP </w:t>
      </w:r>
      <w:proofErr w:type="spellStart"/>
      <w:r w:rsidRPr="0062202E">
        <w:rPr>
          <w:rFonts w:eastAsia="Times New Roman"/>
        </w:rPr>
        <w:t>Laoang</w:t>
      </w:r>
      <w:proofErr w:type="spellEnd"/>
      <w:r w:rsidRPr="0062202E">
        <w:rPr>
          <w:rFonts w:eastAsia="Times New Roman"/>
        </w:rPr>
        <w:t xml:space="preserve"> Campus in </w:t>
      </w:r>
      <w:proofErr w:type="spellStart"/>
      <w:r w:rsidRPr="0062202E">
        <w:rPr>
          <w:rFonts w:eastAsia="Times New Roman"/>
        </w:rPr>
        <w:t>Laoang</w:t>
      </w:r>
      <w:proofErr w:type="spellEnd"/>
      <w:r w:rsidRPr="0062202E">
        <w:rPr>
          <w:rFonts w:eastAsia="Times New Roman"/>
        </w:rPr>
        <w:t>, Northern Samar; and UEP PRM Campus in Catubig, Northern Samar. A descriptive-correlational research design was employed. The descriptive component aimed to provide a comprehensive digital leadership levels</w:t>
      </w:r>
      <w:r w:rsidR="00E1254C">
        <w:rPr>
          <w:rFonts w:eastAsia="Times New Roman"/>
        </w:rPr>
        <w:t xml:space="preserve"> of the academic deans</w:t>
      </w:r>
      <w:r w:rsidRPr="0062202E">
        <w:rPr>
          <w:rFonts w:eastAsia="Times New Roman"/>
        </w:rPr>
        <w:t xml:space="preserve"> and the faculty members’ digital literacy, thereby establishing a foundational understanding of digital competencies across the university. The correlational aspect sought to examine the relationship between the digital leadership of </w:t>
      </w:r>
      <w:r w:rsidR="00E1254C">
        <w:rPr>
          <w:rFonts w:eastAsia="Times New Roman"/>
        </w:rPr>
        <w:t>academic deans</w:t>
      </w:r>
      <w:r w:rsidRPr="0062202E">
        <w:rPr>
          <w:rFonts w:eastAsia="Times New Roman"/>
        </w:rPr>
        <w:t xml:space="preserve"> and the digital literacy of faculty members. The study population included both </w:t>
      </w:r>
      <w:r w:rsidR="00E1254C">
        <w:rPr>
          <w:rFonts w:eastAsia="Times New Roman"/>
        </w:rPr>
        <w:t>academic deans</w:t>
      </w:r>
      <w:r w:rsidRPr="0062202E">
        <w:rPr>
          <w:rFonts w:eastAsia="Times New Roman"/>
        </w:rPr>
        <w:t xml:space="preserve"> and faculty members across all campuses. Complete enumeration was used for the educational managers, while proportional sampling—calculated using Slovin’s formula—was applied to select</w:t>
      </w:r>
      <w:r w:rsidR="00E1254C">
        <w:rPr>
          <w:rFonts w:eastAsia="Times New Roman"/>
        </w:rPr>
        <w:t>ed</w:t>
      </w:r>
      <w:r w:rsidRPr="0062202E">
        <w:rPr>
          <w:rFonts w:eastAsia="Times New Roman"/>
        </w:rPr>
        <w:t xml:space="preserve"> faculty respondents.</w:t>
      </w:r>
    </w:p>
    <w:p w14:paraId="63C9DA5D" w14:textId="77777777" w:rsidR="0062202E" w:rsidRDefault="0062202E" w:rsidP="0062202E">
      <w:pPr>
        <w:ind w:firstLine="720"/>
        <w:jc w:val="both"/>
        <w:rPr>
          <w:rFonts w:eastAsia="Times New Roman"/>
        </w:rPr>
      </w:pPr>
    </w:p>
    <w:p w14:paraId="51CB0CC8" w14:textId="77777777" w:rsidR="0062202E" w:rsidRPr="0062202E" w:rsidRDefault="0062202E" w:rsidP="0062202E">
      <w:pPr>
        <w:ind w:firstLine="720"/>
        <w:jc w:val="both"/>
        <w:rPr>
          <w:rFonts w:eastAsia="Times New Roman"/>
        </w:rPr>
      </w:pPr>
      <w:r w:rsidRPr="0062202E">
        <w:rPr>
          <w:rFonts w:eastAsia="Times New Roman"/>
        </w:rPr>
        <w:t xml:space="preserve">The respondents of the study included 10 academic deans from the UEP Main Campus, 4 from UEP </w:t>
      </w:r>
      <w:proofErr w:type="spellStart"/>
      <w:r w:rsidRPr="0062202E">
        <w:rPr>
          <w:rFonts w:eastAsia="Times New Roman"/>
        </w:rPr>
        <w:t>Laoang</w:t>
      </w:r>
      <w:proofErr w:type="spellEnd"/>
      <w:r w:rsidRPr="0062202E">
        <w:rPr>
          <w:rFonts w:eastAsia="Times New Roman"/>
        </w:rPr>
        <w:t xml:space="preserve"> Campus, and 5 from UEP PRM Campus. For the faculty members, a total of 214 respondents participated: 176 regular faculty members from the UEP Main Campus, 23 from UEP </w:t>
      </w:r>
      <w:proofErr w:type="spellStart"/>
      <w:r w:rsidRPr="0062202E">
        <w:rPr>
          <w:rFonts w:eastAsia="Times New Roman"/>
        </w:rPr>
        <w:t>Laoang</w:t>
      </w:r>
      <w:proofErr w:type="spellEnd"/>
      <w:r w:rsidRPr="0062202E">
        <w:rPr>
          <w:rFonts w:eastAsia="Times New Roman"/>
        </w:rPr>
        <w:t xml:space="preserve"> Campus, and 15 from UEP PRM Campus. Two sets of research instruments were utilized—one for academic deans and one for faculty members. The academic deans’ instrument consisted of four parts: a quantitative survey based on the International Society for Technology in Education (ISTE) Standards for Education Leaders</w:t>
      </w:r>
      <w:r w:rsidR="00E1254C">
        <w:rPr>
          <w:rFonts w:eastAsia="Times New Roman"/>
        </w:rPr>
        <w:t xml:space="preserve"> to</w:t>
      </w:r>
      <w:r w:rsidRPr="0062202E">
        <w:rPr>
          <w:rFonts w:eastAsia="Times New Roman"/>
        </w:rPr>
        <w:t xml:space="preserve"> document digital leadership practices. </w:t>
      </w:r>
    </w:p>
    <w:p w14:paraId="75B63D2E" w14:textId="77777777" w:rsidR="0062202E" w:rsidRDefault="0062202E" w:rsidP="0062202E">
      <w:pPr>
        <w:ind w:firstLine="720"/>
        <w:jc w:val="both"/>
        <w:rPr>
          <w:rFonts w:eastAsia="Times New Roman"/>
        </w:rPr>
      </w:pPr>
    </w:p>
    <w:p w14:paraId="6B55F675" w14:textId="77777777" w:rsidR="0062202E" w:rsidRDefault="0062202E" w:rsidP="0062202E">
      <w:pPr>
        <w:ind w:firstLine="720"/>
        <w:jc w:val="both"/>
        <w:rPr>
          <w:rFonts w:eastAsia="Times New Roman"/>
        </w:rPr>
      </w:pPr>
      <w:r w:rsidRPr="0062202E">
        <w:rPr>
          <w:rFonts w:eastAsia="Times New Roman"/>
        </w:rPr>
        <w:t>Similarly, the faculty members’ instrument included a quantitative assessment of digital literacy based on the ISTE Standards for Educators. The quantitative data were analyzed using descriptive statistics, such as frequency counts, percentages, and means, to summarize the results. For inferential analysis, Pearson's correlation coefficient (r) was utilized to assess the relationships between the levels of digital leadership of academic deans and the digital literacy of faculty members. This methodological approach enabled the study to capture both the breadth and depth of digital competencies across the UEP System.</w:t>
      </w:r>
    </w:p>
    <w:p w14:paraId="5BDCE44F" w14:textId="77777777" w:rsidR="00E1254C" w:rsidRPr="00E1254C" w:rsidRDefault="00E1254C" w:rsidP="00E1254C">
      <w:pPr>
        <w:rPr>
          <w:rFonts w:eastAsia="Times New Roman"/>
          <w:b/>
        </w:rPr>
      </w:pPr>
      <w:r w:rsidRPr="00E1254C">
        <w:rPr>
          <w:rFonts w:eastAsia="Times New Roman"/>
          <w:b/>
        </w:rPr>
        <w:lastRenderedPageBreak/>
        <w:t>RESULTS AND DISCUSSION</w:t>
      </w:r>
    </w:p>
    <w:p w14:paraId="442F83A4" w14:textId="77777777" w:rsidR="00E1254C" w:rsidRDefault="00E1254C" w:rsidP="00E1254C">
      <w:pPr>
        <w:rPr>
          <w:rFonts w:eastAsia="Times New Roman"/>
        </w:rPr>
      </w:pPr>
    </w:p>
    <w:p w14:paraId="6DD9F55B" w14:textId="77777777" w:rsidR="008D1467" w:rsidRPr="008D1467" w:rsidRDefault="008D1467" w:rsidP="008D1467">
      <w:pPr>
        <w:ind w:firstLine="720"/>
        <w:jc w:val="both"/>
        <w:rPr>
          <w:rFonts w:eastAsia="Times New Roman"/>
        </w:rPr>
      </w:pPr>
      <w:r>
        <w:rPr>
          <w:rFonts w:eastAsia="Times New Roman"/>
        </w:rPr>
        <w:t>Table 1 presented</w:t>
      </w:r>
      <w:r w:rsidRPr="008D1467">
        <w:rPr>
          <w:rFonts w:eastAsia="Times New Roman"/>
        </w:rPr>
        <w:t xml:space="preserve"> the digital leadership practices of academic deans in the University of Eastern Philippines System, as measured by the International Society for Technology in Education (ISTE) Standards. The results indicate</w:t>
      </w:r>
      <w:r>
        <w:rPr>
          <w:rFonts w:eastAsia="Times New Roman"/>
        </w:rPr>
        <w:t>d</w:t>
      </w:r>
      <w:r w:rsidRPr="008D1467">
        <w:rPr>
          <w:rFonts w:eastAsia="Times New Roman"/>
        </w:rPr>
        <w:t xml:space="preserve"> an overall </w:t>
      </w:r>
      <w:r w:rsidRPr="008D1467">
        <w:rPr>
          <w:rFonts w:eastAsia="Times New Roman"/>
          <w:bCs/>
        </w:rPr>
        <w:t>Grand Mean of 4.18</w:t>
      </w:r>
      <w:r w:rsidRPr="008D1467">
        <w:rPr>
          <w:rFonts w:eastAsia="Times New Roman"/>
        </w:rPr>
        <w:t xml:space="preserve">, interpreted as </w:t>
      </w:r>
      <w:r w:rsidRPr="008D1467">
        <w:rPr>
          <w:rFonts w:eastAsia="Times New Roman"/>
          <w:bCs/>
        </w:rPr>
        <w:t>Good</w:t>
      </w:r>
      <w:r w:rsidRPr="008D1467">
        <w:rPr>
          <w:rFonts w:eastAsia="Times New Roman"/>
        </w:rPr>
        <w:t xml:space="preserve">, suggesting that while the academic deans demonstrate generally effective digital leadership, there remains room for growth, especially in strategic planning, assessment, and scaling of digital innovations. The highest-rated leadership practices, with </w:t>
      </w:r>
      <w:r w:rsidRPr="008D1467">
        <w:rPr>
          <w:rFonts w:eastAsia="Times New Roman"/>
          <w:bCs/>
        </w:rPr>
        <w:t>Very Good</w:t>
      </w:r>
      <w:r w:rsidRPr="008D1467">
        <w:rPr>
          <w:rFonts w:eastAsia="Times New Roman"/>
        </w:rPr>
        <w:t xml:space="preserve"> interpretations, include supporting educators in using technology to address diverse student needs (4.63), ensuring access to inclusive digital resources (4.58), and using technology for reflective personal and professional growth (4.58). These findings align with </w:t>
      </w:r>
      <w:proofErr w:type="spellStart"/>
      <w:r w:rsidRPr="008D1467">
        <w:rPr>
          <w:rFonts w:eastAsia="Times New Roman"/>
        </w:rPr>
        <w:t>Sheninger</w:t>
      </w:r>
      <w:proofErr w:type="spellEnd"/>
      <w:r w:rsidRPr="008D1467">
        <w:rPr>
          <w:rFonts w:eastAsia="Times New Roman"/>
        </w:rPr>
        <w:t xml:space="preserve"> (2021), who emphasized that strong digital leaders foster inclusive and adaptive learning environments and model continuous professional development.</w:t>
      </w:r>
    </w:p>
    <w:p w14:paraId="5DA68889" w14:textId="77777777" w:rsidR="008D1467" w:rsidRDefault="008D1467" w:rsidP="008D1467">
      <w:pPr>
        <w:jc w:val="both"/>
        <w:rPr>
          <w:rFonts w:eastAsia="Times New Roman"/>
        </w:rPr>
      </w:pPr>
    </w:p>
    <w:p w14:paraId="58D0DFF0" w14:textId="77777777" w:rsidR="008D1467" w:rsidRPr="008D1467" w:rsidRDefault="008D1467" w:rsidP="008D1467">
      <w:pPr>
        <w:ind w:firstLine="720"/>
        <w:jc w:val="both"/>
        <w:rPr>
          <w:rFonts w:eastAsia="Times New Roman"/>
        </w:rPr>
      </w:pPr>
      <w:r w:rsidRPr="008D1467">
        <w:rPr>
          <w:rFonts w:eastAsia="Times New Roman"/>
        </w:rPr>
        <w:t>Conversely, lower mean scores were observed in areas related to str</w:t>
      </w:r>
      <w:r>
        <w:rPr>
          <w:rFonts w:eastAsia="Times New Roman"/>
        </w:rPr>
        <w:t xml:space="preserve">ategic planning and scalability, </w:t>
      </w:r>
      <w:r w:rsidRPr="008D1467">
        <w:rPr>
          <w:rFonts w:eastAsia="Times New Roman"/>
        </w:rPr>
        <w:t xml:space="preserve">such as measuring the impact of technology initiatives (3.79), evaluating strategic plans (3.63), and scaling effective approaches (3.84). This reflects a common challenge in higher education leadership, where the focus often remains on immediate instructional needs rather than long-term strategic integration (Trust &amp; Whalen, 2020). Additionally, while </w:t>
      </w:r>
      <w:r>
        <w:rPr>
          <w:rFonts w:eastAsia="Times New Roman"/>
        </w:rPr>
        <w:t xml:space="preserve">academic </w:t>
      </w:r>
      <w:r w:rsidRPr="008D1467">
        <w:rPr>
          <w:rFonts w:eastAsia="Times New Roman"/>
        </w:rPr>
        <w:t>deans show competence in inspiring innovation (4.32) and empowering educators (4.42), engagement in broader professional learning networks (4.00) and establishing digital partnerships (3.95) are areas that require further development. Howard et al. (2021) assert that expanding leadership networks and fostering collaboration are essential for sustaining institutional digital transformation.</w:t>
      </w:r>
    </w:p>
    <w:p w14:paraId="602BD0CE" w14:textId="77777777" w:rsidR="008D1467" w:rsidRDefault="008D1467" w:rsidP="008D1467">
      <w:pPr>
        <w:jc w:val="both"/>
        <w:rPr>
          <w:rFonts w:eastAsia="Times New Roman"/>
        </w:rPr>
      </w:pPr>
    </w:p>
    <w:p w14:paraId="0BF647C8" w14:textId="77777777" w:rsidR="008D1467" w:rsidRPr="008D1467" w:rsidRDefault="008D1467" w:rsidP="008D1467">
      <w:pPr>
        <w:ind w:firstLine="720"/>
        <w:jc w:val="both"/>
        <w:rPr>
          <w:rFonts w:eastAsia="Times New Roman"/>
        </w:rPr>
      </w:pPr>
      <w:r w:rsidRPr="008D1467">
        <w:rPr>
          <w:rFonts w:eastAsia="Times New Roman"/>
        </w:rPr>
        <w:t xml:space="preserve">Moreover, the relatively moderate scores in areas such as </w:t>
      </w:r>
      <w:r w:rsidRPr="008D1467">
        <w:rPr>
          <w:rFonts w:eastAsia="Times New Roman"/>
          <w:bCs/>
        </w:rPr>
        <w:t>building a strategic vision (4.00)</w:t>
      </w:r>
      <w:r w:rsidRPr="008D1467">
        <w:rPr>
          <w:rFonts w:eastAsia="Times New Roman"/>
        </w:rPr>
        <w:t xml:space="preserve"> and </w:t>
      </w:r>
      <w:r w:rsidRPr="008D1467">
        <w:rPr>
          <w:rFonts w:eastAsia="Times New Roman"/>
          <w:bCs/>
        </w:rPr>
        <w:t>guiding equitable policies (3.95)</w:t>
      </w:r>
      <w:r w:rsidRPr="008D1467">
        <w:rPr>
          <w:rFonts w:eastAsia="Times New Roman"/>
        </w:rPr>
        <w:t xml:space="preserve"> suggest that academic deans may benefit from targeted training in systems leadership and digital equity. </w:t>
      </w:r>
      <w:proofErr w:type="spellStart"/>
      <w:r w:rsidRPr="008D1467">
        <w:rPr>
          <w:rFonts w:eastAsia="Times New Roman"/>
        </w:rPr>
        <w:t>Tondeur</w:t>
      </w:r>
      <w:proofErr w:type="spellEnd"/>
      <w:r w:rsidRPr="008D1467">
        <w:rPr>
          <w:rFonts w:eastAsia="Times New Roman"/>
        </w:rPr>
        <w:t xml:space="preserve"> et al. (2021) stress that sustainable digital leadership requires not only technical competence but also a strong commitment to inclusive policy-making and stakeholder engagement. The observed pattern in this study indicates that UEP’s academic deans excel in personal and instructional leadership aspects but must strengthen their capacity for strategic, systemic change. Moving forward, professional development initiatives aligned with recent ISTE leadership frameworks (ISTE, 2024) and leadership mentoring could enhance the university’s digital leadership maturity, ensuring that technology integration translates into long-term institutional impact.</w:t>
      </w:r>
    </w:p>
    <w:p w14:paraId="022C6813" w14:textId="77777777" w:rsidR="0062202E" w:rsidRPr="0062202E" w:rsidRDefault="0062202E" w:rsidP="0062202E">
      <w:pPr>
        <w:jc w:val="both"/>
        <w:rPr>
          <w:rFonts w:eastAsia="Times New Roman"/>
        </w:rPr>
      </w:pPr>
    </w:p>
    <w:p w14:paraId="7CA15F04" w14:textId="77777777" w:rsidR="0062202E" w:rsidRPr="00CB3FB3" w:rsidRDefault="00351A9C" w:rsidP="00351A9C">
      <w:pPr>
        <w:pStyle w:val="NormalWeb"/>
        <w:spacing w:before="0" w:beforeAutospacing="0" w:after="0" w:afterAutospacing="0"/>
        <w:jc w:val="center"/>
        <w:rPr>
          <w:rFonts w:ascii="Arial" w:hAnsi="Arial" w:cs="Arial"/>
        </w:rPr>
      </w:pPr>
      <w:r w:rsidRPr="00CB3FB3">
        <w:rPr>
          <w:rFonts w:ascii="Arial" w:hAnsi="Arial" w:cs="Arial"/>
        </w:rPr>
        <w:t>Table 1. Digital Leadership of Academic Deans</w:t>
      </w:r>
    </w:p>
    <w:p w14:paraId="55C70C8C" w14:textId="77777777" w:rsidR="00351A9C" w:rsidRPr="0062202E" w:rsidRDefault="00351A9C" w:rsidP="0062202E">
      <w:pPr>
        <w:pStyle w:val="NormalWeb"/>
        <w:spacing w:before="0" w:beforeAutospacing="0" w:after="0" w:afterAutospacing="0"/>
        <w:jc w:val="both"/>
        <w:rPr>
          <w:rFonts w:ascii="Arial" w:hAnsi="Arial" w:cs="Arial"/>
        </w:rPr>
      </w:pPr>
    </w:p>
    <w:tbl>
      <w:tblPr>
        <w:tblW w:w="5006" w:type="pct"/>
        <w:tblInd w:w="-5" w:type="dxa"/>
        <w:tblLook w:val="04A0" w:firstRow="1" w:lastRow="0" w:firstColumn="1" w:lastColumn="0" w:noHBand="0" w:noVBand="1"/>
      </w:tblPr>
      <w:tblGrid>
        <w:gridCol w:w="5700"/>
        <w:gridCol w:w="1265"/>
        <w:gridCol w:w="2073"/>
      </w:tblGrid>
      <w:tr w:rsidR="00351A9C" w:rsidRPr="000D6E36" w14:paraId="5425E9F9" w14:textId="77777777" w:rsidTr="00CB3FB3">
        <w:trPr>
          <w:trHeight w:val="188"/>
        </w:trPr>
        <w:tc>
          <w:tcPr>
            <w:tcW w:w="3153" w:type="pct"/>
            <w:tcBorders>
              <w:top w:val="single" w:sz="4" w:space="0" w:color="auto"/>
              <w:bottom w:val="single" w:sz="4" w:space="0" w:color="auto"/>
            </w:tcBorders>
            <w:shd w:val="clear" w:color="auto" w:fill="D9D9D9" w:themeFill="background1" w:themeFillShade="D9"/>
            <w:vAlign w:val="center"/>
            <w:hideMark/>
          </w:tcPr>
          <w:p w14:paraId="50393D96" w14:textId="77777777" w:rsidR="000D6E36" w:rsidRPr="000D6E36" w:rsidRDefault="000D6E36" w:rsidP="000D6E36">
            <w:pPr>
              <w:jc w:val="center"/>
              <w:rPr>
                <w:rFonts w:eastAsia="Times New Roman"/>
                <w:b/>
                <w:bCs/>
                <w:color w:val="000000"/>
                <w:sz w:val="22"/>
                <w:szCs w:val="22"/>
              </w:rPr>
            </w:pPr>
            <w:r w:rsidRPr="000D6E36">
              <w:rPr>
                <w:rFonts w:eastAsia="Times New Roman"/>
                <w:b/>
                <w:bCs/>
                <w:color w:val="000000"/>
                <w:sz w:val="22"/>
                <w:szCs w:val="22"/>
              </w:rPr>
              <w:t>Digital Leadership</w:t>
            </w:r>
          </w:p>
        </w:tc>
        <w:tc>
          <w:tcPr>
            <w:tcW w:w="700" w:type="pct"/>
            <w:tcBorders>
              <w:top w:val="single" w:sz="4" w:space="0" w:color="auto"/>
              <w:bottom w:val="single" w:sz="4" w:space="0" w:color="auto"/>
            </w:tcBorders>
            <w:shd w:val="clear" w:color="auto" w:fill="D9D9D9" w:themeFill="background1" w:themeFillShade="D9"/>
            <w:vAlign w:val="center"/>
            <w:hideMark/>
          </w:tcPr>
          <w:p w14:paraId="3EFC7E75" w14:textId="77777777" w:rsidR="000D6E36" w:rsidRPr="000D6E36" w:rsidRDefault="000D6E36" w:rsidP="000D6E36">
            <w:pPr>
              <w:jc w:val="center"/>
              <w:rPr>
                <w:rFonts w:eastAsia="Times New Roman"/>
                <w:b/>
                <w:bCs/>
                <w:color w:val="000000"/>
                <w:sz w:val="22"/>
                <w:szCs w:val="22"/>
              </w:rPr>
            </w:pPr>
            <w:r w:rsidRPr="000D6E36">
              <w:rPr>
                <w:rFonts w:eastAsia="Times New Roman"/>
                <w:b/>
                <w:bCs/>
                <w:color w:val="000000"/>
                <w:sz w:val="22"/>
                <w:szCs w:val="22"/>
              </w:rPr>
              <w:t>Weighted Mean</w:t>
            </w:r>
          </w:p>
        </w:tc>
        <w:tc>
          <w:tcPr>
            <w:tcW w:w="1147" w:type="pct"/>
            <w:tcBorders>
              <w:top w:val="single" w:sz="4" w:space="0" w:color="auto"/>
              <w:bottom w:val="single" w:sz="4" w:space="0" w:color="auto"/>
            </w:tcBorders>
            <w:shd w:val="clear" w:color="auto" w:fill="D9D9D9" w:themeFill="background1" w:themeFillShade="D9"/>
            <w:vAlign w:val="center"/>
            <w:hideMark/>
          </w:tcPr>
          <w:p w14:paraId="778C159C" w14:textId="77777777" w:rsidR="000D6E36" w:rsidRPr="000D6E36" w:rsidRDefault="000D6E36" w:rsidP="000D6E36">
            <w:pPr>
              <w:jc w:val="center"/>
              <w:rPr>
                <w:rFonts w:eastAsia="Times New Roman"/>
                <w:b/>
                <w:bCs/>
                <w:color w:val="000000"/>
                <w:sz w:val="22"/>
                <w:szCs w:val="22"/>
              </w:rPr>
            </w:pPr>
            <w:r w:rsidRPr="000D6E36">
              <w:rPr>
                <w:rFonts w:eastAsia="Times New Roman"/>
                <w:b/>
                <w:bCs/>
                <w:color w:val="000000"/>
                <w:sz w:val="22"/>
                <w:szCs w:val="22"/>
              </w:rPr>
              <w:t>Interpretation</w:t>
            </w:r>
          </w:p>
        </w:tc>
      </w:tr>
      <w:tr w:rsidR="000D6E36" w:rsidRPr="000D6E36" w14:paraId="07B097DE" w14:textId="77777777" w:rsidTr="00351A9C">
        <w:trPr>
          <w:trHeight w:val="870"/>
        </w:trPr>
        <w:tc>
          <w:tcPr>
            <w:tcW w:w="3153" w:type="pct"/>
            <w:tcBorders>
              <w:top w:val="single" w:sz="4" w:space="0" w:color="auto"/>
            </w:tcBorders>
            <w:shd w:val="clear" w:color="auto" w:fill="auto"/>
            <w:vAlign w:val="center"/>
            <w:hideMark/>
          </w:tcPr>
          <w:p w14:paraId="4D8DC94D"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support educators in using technology to advance learning that meets the diverse learning, cultural, and social emotional needs of individual students.</w:t>
            </w:r>
          </w:p>
        </w:tc>
        <w:tc>
          <w:tcPr>
            <w:tcW w:w="700" w:type="pct"/>
            <w:tcBorders>
              <w:top w:val="single" w:sz="4" w:space="0" w:color="auto"/>
            </w:tcBorders>
            <w:shd w:val="clear" w:color="auto" w:fill="auto"/>
            <w:vAlign w:val="center"/>
            <w:hideMark/>
          </w:tcPr>
          <w:p w14:paraId="537072A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4.63</w:t>
            </w:r>
          </w:p>
        </w:tc>
        <w:tc>
          <w:tcPr>
            <w:tcW w:w="1147" w:type="pct"/>
            <w:tcBorders>
              <w:top w:val="single" w:sz="4" w:space="0" w:color="auto"/>
            </w:tcBorders>
            <w:shd w:val="clear" w:color="auto" w:fill="auto"/>
            <w:vAlign w:val="center"/>
            <w:hideMark/>
          </w:tcPr>
          <w:p w14:paraId="1BEA544C"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56A498CA" w14:textId="77777777" w:rsidTr="00351A9C">
        <w:trPr>
          <w:trHeight w:val="870"/>
        </w:trPr>
        <w:tc>
          <w:tcPr>
            <w:tcW w:w="3153" w:type="pct"/>
            <w:shd w:val="clear" w:color="auto" w:fill="auto"/>
            <w:vAlign w:val="center"/>
            <w:hideMark/>
          </w:tcPr>
          <w:p w14:paraId="1CBED23A"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ensure access to technology, connectivity, inclusive digital content and learning materials that meet the needs of all students.</w:t>
            </w:r>
          </w:p>
        </w:tc>
        <w:tc>
          <w:tcPr>
            <w:tcW w:w="700" w:type="pct"/>
            <w:shd w:val="clear" w:color="auto" w:fill="auto"/>
            <w:vAlign w:val="center"/>
            <w:hideMark/>
          </w:tcPr>
          <w:p w14:paraId="5F93C5D9"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4.58</w:t>
            </w:r>
          </w:p>
        </w:tc>
        <w:tc>
          <w:tcPr>
            <w:tcW w:w="1147" w:type="pct"/>
            <w:shd w:val="clear" w:color="auto" w:fill="auto"/>
            <w:vAlign w:val="center"/>
            <w:hideMark/>
          </w:tcPr>
          <w:p w14:paraId="4319FA5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440243F4" w14:textId="77777777" w:rsidTr="00351A9C">
        <w:trPr>
          <w:trHeight w:val="870"/>
        </w:trPr>
        <w:tc>
          <w:tcPr>
            <w:tcW w:w="3153" w:type="pct"/>
            <w:shd w:val="clear" w:color="auto" w:fill="auto"/>
            <w:vAlign w:val="center"/>
            <w:hideMark/>
          </w:tcPr>
          <w:p w14:paraId="03867366"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lastRenderedPageBreak/>
              <w:t>I use technology to regularly engage in reflective practices that support personal and professional growth.</w:t>
            </w:r>
          </w:p>
        </w:tc>
        <w:tc>
          <w:tcPr>
            <w:tcW w:w="700" w:type="pct"/>
            <w:shd w:val="clear" w:color="auto" w:fill="auto"/>
            <w:vAlign w:val="center"/>
            <w:hideMark/>
          </w:tcPr>
          <w:p w14:paraId="5805C6C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4.58</w:t>
            </w:r>
          </w:p>
        </w:tc>
        <w:tc>
          <w:tcPr>
            <w:tcW w:w="1147" w:type="pct"/>
            <w:shd w:val="clear" w:color="auto" w:fill="auto"/>
            <w:vAlign w:val="center"/>
            <w:hideMark/>
          </w:tcPr>
          <w:p w14:paraId="70A6A484"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1565E72C" w14:textId="77777777" w:rsidTr="00351A9C">
        <w:trPr>
          <w:trHeight w:val="870"/>
        </w:trPr>
        <w:tc>
          <w:tcPr>
            <w:tcW w:w="3153" w:type="pct"/>
            <w:shd w:val="clear" w:color="auto" w:fill="auto"/>
            <w:vAlign w:val="center"/>
            <w:hideMark/>
          </w:tcPr>
          <w:p w14:paraId="25F5C5FA"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ensure all students learn from educators who are skilled in using technology to create authentic and engaging learning experiences.</w:t>
            </w:r>
          </w:p>
        </w:tc>
        <w:tc>
          <w:tcPr>
            <w:tcW w:w="700" w:type="pct"/>
            <w:shd w:val="clear" w:color="auto" w:fill="auto"/>
            <w:vAlign w:val="center"/>
            <w:hideMark/>
          </w:tcPr>
          <w:p w14:paraId="60B8D598"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4.53</w:t>
            </w:r>
          </w:p>
        </w:tc>
        <w:tc>
          <w:tcPr>
            <w:tcW w:w="1147" w:type="pct"/>
            <w:shd w:val="clear" w:color="auto" w:fill="auto"/>
            <w:vAlign w:val="center"/>
            <w:hideMark/>
          </w:tcPr>
          <w:p w14:paraId="2DE716E4"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55FA9462" w14:textId="77777777" w:rsidTr="00351A9C">
        <w:trPr>
          <w:trHeight w:val="870"/>
        </w:trPr>
        <w:tc>
          <w:tcPr>
            <w:tcW w:w="3153" w:type="pct"/>
            <w:shd w:val="clear" w:color="auto" w:fill="auto"/>
            <w:vAlign w:val="center"/>
            <w:hideMark/>
          </w:tcPr>
          <w:p w14:paraId="01623B42"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protect privacy protection and security by ensuring that students and staff observe effective privacy and data management policies in the digital world.</w:t>
            </w:r>
          </w:p>
        </w:tc>
        <w:tc>
          <w:tcPr>
            <w:tcW w:w="700" w:type="pct"/>
            <w:shd w:val="clear" w:color="auto" w:fill="auto"/>
            <w:vAlign w:val="center"/>
            <w:hideMark/>
          </w:tcPr>
          <w:p w14:paraId="30881643"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4.47</w:t>
            </w:r>
          </w:p>
        </w:tc>
        <w:tc>
          <w:tcPr>
            <w:tcW w:w="1147" w:type="pct"/>
            <w:shd w:val="clear" w:color="auto" w:fill="auto"/>
            <w:vAlign w:val="center"/>
            <w:hideMark/>
          </w:tcPr>
          <w:p w14:paraId="6FCAE68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65CF957B" w14:textId="77777777" w:rsidTr="00351A9C">
        <w:trPr>
          <w:trHeight w:val="67"/>
        </w:trPr>
        <w:tc>
          <w:tcPr>
            <w:tcW w:w="3153" w:type="pct"/>
            <w:shd w:val="clear" w:color="auto" w:fill="auto"/>
            <w:vAlign w:val="center"/>
            <w:hideMark/>
          </w:tcPr>
          <w:p w14:paraId="091B52D7"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empower educators to exercise professional agency, build teacher leadership skills and pursue personalized professional learning in the field of technology.</w:t>
            </w:r>
          </w:p>
        </w:tc>
        <w:tc>
          <w:tcPr>
            <w:tcW w:w="700" w:type="pct"/>
            <w:shd w:val="clear" w:color="auto" w:fill="auto"/>
            <w:vAlign w:val="center"/>
            <w:hideMark/>
          </w:tcPr>
          <w:p w14:paraId="7845B068"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4.42</w:t>
            </w:r>
          </w:p>
        </w:tc>
        <w:tc>
          <w:tcPr>
            <w:tcW w:w="1147" w:type="pct"/>
            <w:shd w:val="clear" w:color="auto" w:fill="auto"/>
            <w:vAlign w:val="center"/>
            <w:hideMark/>
          </w:tcPr>
          <w:p w14:paraId="248D8FBA"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7A9CE0A8" w14:textId="77777777" w:rsidTr="00351A9C">
        <w:trPr>
          <w:trHeight w:val="67"/>
        </w:trPr>
        <w:tc>
          <w:tcPr>
            <w:tcW w:w="3153" w:type="pct"/>
            <w:shd w:val="clear" w:color="auto" w:fill="auto"/>
            <w:vAlign w:val="center"/>
            <w:hideMark/>
          </w:tcPr>
          <w:p w14:paraId="67A67163"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build the confidence and competency of educators to put the International Society for Technology Education (ISTE) Standards for Students and Educators into practice.</w:t>
            </w:r>
          </w:p>
        </w:tc>
        <w:tc>
          <w:tcPr>
            <w:tcW w:w="700" w:type="pct"/>
            <w:shd w:val="clear" w:color="auto" w:fill="auto"/>
            <w:vAlign w:val="center"/>
            <w:hideMark/>
          </w:tcPr>
          <w:p w14:paraId="7758DDC5"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4.32</w:t>
            </w:r>
          </w:p>
        </w:tc>
        <w:tc>
          <w:tcPr>
            <w:tcW w:w="1147" w:type="pct"/>
            <w:shd w:val="clear" w:color="auto" w:fill="auto"/>
            <w:vAlign w:val="center"/>
            <w:hideMark/>
          </w:tcPr>
          <w:p w14:paraId="2740C39B"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21667EB7" w14:textId="77777777" w:rsidTr="00351A9C">
        <w:trPr>
          <w:trHeight w:val="67"/>
        </w:trPr>
        <w:tc>
          <w:tcPr>
            <w:tcW w:w="3153" w:type="pct"/>
            <w:shd w:val="clear" w:color="auto" w:fill="auto"/>
            <w:vAlign w:val="center"/>
            <w:hideMark/>
          </w:tcPr>
          <w:p w14:paraId="6F637494"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inspire a culture of innovation, creative problem-solving, and collaboration that allows the time to explore and develop teaching practices using digital tools.</w:t>
            </w:r>
          </w:p>
        </w:tc>
        <w:tc>
          <w:tcPr>
            <w:tcW w:w="700" w:type="pct"/>
            <w:shd w:val="clear" w:color="auto" w:fill="auto"/>
            <w:vAlign w:val="center"/>
            <w:hideMark/>
          </w:tcPr>
          <w:p w14:paraId="557C532A"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4.32</w:t>
            </w:r>
          </w:p>
        </w:tc>
        <w:tc>
          <w:tcPr>
            <w:tcW w:w="1147" w:type="pct"/>
            <w:shd w:val="clear" w:color="auto" w:fill="auto"/>
            <w:vAlign w:val="center"/>
            <w:hideMark/>
          </w:tcPr>
          <w:p w14:paraId="1D8F66C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371ACED8" w14:textId="77777777" w:rsidTr="00351A9C">
        <w:trPr>
          <w:trHeight w:val="67"/>
        </w:trPr>
        <w:tc>
          <w:tcPr>
            <w:tcW w:w="3153" w:type="pct"/>
            <w:shd w:val="clear" w:color="auto" w:fill="auto"/>
            <w:vAlign w:val="center"/>
            <w:hideMark/>
          </w:tcPr>
          <w:p w14:paraId="74180293"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actively share my experiences, including lessons learned, best practices, challenges, and the impact of using technology, with fellow education leaders who are eager to grow and learn.</w:t>
            </w:r>
          </w:p>
        </w:tc>
        <w:tc>
          <w:tcPr>
            <w:tcW w:w="700" w:type="pct"/>
            <w:shd w:val="clear" w:color="auto" w:fill="auto"/>
            <w:vAlign w:val="center"/>
            <w:hideMark/>
          </w:tcPr>
          <w:p w14:paraId="5827C84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4.26</w:t>
            </w:r>
          </w:p>
        </w:tc>
        <w:tc>
          <w:tcPr>
            <w:tcW w:w="1147" w:type="pct"/>
            <w:shd w:val="clear" w:color="auto" w:fill="auto"/>
            <w:vAlign w:val="center"/>
            <w:hideMark/>
          </w:tcPr>
          <w:p w14:paraId="093AFD79"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78C0AE33" w14:textId="77777777" w:rsidTr="00351A9C">
        <w:trPr>
          <w:trHeight w:val="187"/>
        </w:trPr>
        <w:tc>
          <w:tcPr>
            <w:tcW w:w="3153" w:type="pct"/>
            <w:shd w:val="clear" w:color="auto" w:fill="auto"/>
            <w:vAlign w:val="center"/>
            <w:hideMark/>
          </w:tcPr>
          <w:p w14:paraId="1A7DFDAD"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t>I develop the skills needed to lead and navigate change, advance systems and promote a mindset of continuous improvement for how technology can improve learning.</w:t>
            </w:r>
          </w:p>
        </w:tc>
        <w:tc>
          <w:tcPr>
            <w:tcW w:w="700" w:type="pct"/>
            <w:shd w:val="clear" w:color="auto" w:fill="auto"/>
            <w:vAlign w:val="center"/>
            <w:hideMark/>
          </w:tcPr>
          <w:p w14:paraId="6E799B14"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4.26</w:t>
            </w:r>
          </w:p>
        </w:tc>
        <w:tc>
          <w:tcPr>
            <w:tcW w:w="1147" w:type="pct"/>
            <w:shd w:val="clear" w:color="auto" w:fill="auto"/>
            <w:vAlign w:val="center"/>
            <w:hideMark/>
          </w:tcPr>
          <w:p w14:paraId="4A3F482C"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Very Good</w:t>
            </w:r>
          </w:p>
        </w:tc>
      </w:tr>
      <w:tr w:rsidR="000D6E36" w:rsidRPr="000D6E36" w14:paraId="06C7711D" w14:textId="77777777" w:rsidTr="00351A9C">
        <w:trPr>
          <w:trHeight w:val="585"/>
        </w:trPr>
        <w:tc>
          <w:tcPr>
            <w:tcW w:w="3153" w:type="pct"/>
            <w:shd w:val="clear" w:color="auto" w:fill="auto"/>
            <w:vAlign w:val="center"/>
            <w:hideMark/>
          </w:tcPr>
          <w:p w14:paraId="12E7E227"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model the safe, ethical, and legal use of technology and the critical examination of digital content.</w:t>
            </w:r>
          </w:p>
        </w:tc>
        <w:tc>
          <w:tcPr>
            <w:tcW w:w="700" w:type="pct"/>
            <w:shd w:val="clear" w:color="auto" w:fill="auto"/>
            <w:vAlign w:val="center"/>
            <w:hideMark/>
          </w:tcPr>
          <w:p w14:paraId="64DB9CF3"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4.16</w:t>
            </w:r>
          </w:p>
        </w:tc>
        <w:tc>
          <w:tcPr>
            <w:tcW w:w="1147" w:type="pct"/>
            <w:shd w:val="clear" w:color="auto" w:fill="auto"/>
            <w:vAlign w:val="center"/>
            <w:hideMark/>
          </w:tcPr>
          <w:p w14:paraId="58210B9D"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412E3371" w14:textId="77777777" w:rsidTr="00351A9C">
        <w:trPr>
          <w:trHeight w:val="67"/>
        </w:trPr>
        <w:tc>
          <w:tcPr>
            <w:tcW w:w="3153" w:type="pct"/>
            <w:shd w:val="clear" w:color="auto" w:fill="auto"/>
            <w:vAlign w:val="center"/>
            <w:hideMark/>
          </w:tcPr>
          <w:p w14:paraId="2C4B084E"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communicate effectively using technology tools with stakeholders to gather input on the plan, celebrate successes and engage in a continuous improvement cycle.</w:t>
            </w:r>
          </w:p>
        </w:tc>
        <w:tc>
          <w:tcPr>
            <w:tcW w:w="700" w:type="pct"/>
            <w:shd w:val="clear" w:color="auto" w:fill="auto"/>
            <w:vAlign w:val="center"/>
            <w:hideMark/>
          </w:tcPr>
          <w:p w14:paraId="558A569A"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4.11</w:t>
            </w:r>
          </w:p>
        </w:tc>
        <w:tc>
          <w:tcPr>
            <w:tcW w:w="1147" w:type="pct"/>
            <w:shd w:val="clear" w:color="auto" w:fill="auto"/>
            <w:vAlign w:val="center"/>
            <w:hideMark/>
          </w:tcPr>
          <w:p w14:paraId="3729299D"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42A985CD" w14:textId="77777777" w:rsidTr="00351A9C">
        <w:trPr>
          <w:trHeight w:val="67"/>
        </w:trPr>
        <w:tc>
          <w:tcPr>
            <w:tcW w:w="3153" w:type="pct"/>
            <w:shd w:val="clear" w:color="auto" w:fill="auto"/>
            <w:vAlign w:val="center"/>
            <w:hideMark/>
          </w:tcPr>
          <w:p w14:paraId="247853DD"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develop technological learning assessments that provide a personalized, actionable view of student progress in real time.</w:t>
            </w:r>
          </w:p>
        </w:tc>
        <w:tc>
          <w:tcPr>
            <w:tcW w:w="700" w:type="pct"/>
            <w:shd w:val="clear" w:color="auto" w:fill="auto"/>
            <w:vAlign w:val="center"/>
            <w:hideMark/>
          </w:tcPr>
          <w:p w14:paraId="373608A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4.11</w:t>
            </w:r>
          </w:p>
        </w:tc>
        <w:tc>
          <w:tcPr>
            <w:tcW w:w="1147" w:type="pct"/>
            <w:shd w:val="clear" w:color="auto" w:fill="auto"/>
            <w:vAlign w:val="center"/>
            <w:hideMark/>
          </w:tcPr>
          <w:p w14:paraId="2EF68719"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78B7C3E7" w14:textId="77777777" w:rsidTr="00351A9C">
        <w:trPr>
          <w:trHeight w:val="870"/>
        </w:trPr>
        <w:tc>
          <w:tcPr>
            <w:tcW w:w="3153" w:type="pct"/>
            <w:shd w:val="clear" w:color="auto" w:fill="auto"/>
            <w:vAlign w:val="center"/>
            <w:hideMark/>
          </w:tcPr>
          <w:p w14:paraId="7C7EDA64"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t>I set goals to remain current on emerging technologies for learning, innovations in pedagogy and advancements in the learning sciences.</w:t>
            </w:r>
          </w:p>
        </w:tc>
        <w:tc>
          <w:tcPr>
            <w:tcW w:w="700" w:type="pct"/>
            <w:shd w:val="clear" w:color="auto" w:fill="auto"/>
            <w:vAlign w:val="center"/>
            <w:hideMark/>
          </w:tcPr>
          <w:p w14:paraId="298D352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4.11</w:t>
            </w:r>
          </w:p>
        </w:tc>
        <w:tc>
          <w:tcPr>
            <w:tcW w:w="1147" w:type="pct"/>
            <w:shd w:val="clear" w:color="auto" w:fill="auto"/>
            <w:vAlign w:val="center"/>
            <w:hideMark/>
          </w:tcPr>
          <w:p w14:paraId="293BDDC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02E1CDEC" w14:textId="77777777" w:rsidTr="00351A9C">
        <w:trPr>
          <w:trHeight w:val="67"/>
        </w:trPr>
        <w:tc>
          <w:tcPr>
            <w:tcW w:w="3153" w:type="pct"/>
            <w:shd w:val="clear" w:color="auto" w:fill="auto"/>
            <w:vAlign w:val="center"/>
            <w:hideMark/>
          </w:tcPr>
          <w:p w14:paraId="3CE35FFE"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t>I ensure that resources and infrastructure for supporting effective use of technology for learning are sufficient and scalable to meet future demand.</w:t>
            </w:r>
          </w:p>
        </w:tc>
        <w:tc>
          <w:tcPr>
            <w:tcW w:w="700" w:type="pct"/>
            <w:shd w:val="clear" w:color="auto" w:fill="auto"/>
            <w:vAlign w:val="center"/>
            <w:hideMark/>
          </w:tcPr>
          <w:p w14:paraId="79E65C7A"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4.05</w:t>
            </w:r>
          </w:p>
        </w:tc>
        <w:tc>
          <w:tcPr>
            <w:tcW w:w="1147" w:type="pct"/>
            <w:shd w:val="clear" w:color="auto" w:fill="auto"/>
            <w:vAlign w:val="center"/>
            <w:hideMark/>
          </w:tcPr>
          <w:p w14:paraId="15769FEC"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5F801615" w14:textId="77777777" w:rsidTr="00351A9C">
        <w:trPr>
          <w:trHeight w:val="67"/>
        </w:trPr>
        <w:tc>
          <w:tcPr>
            <w:tcW w:w="3153" w:type="pct"/>
            <w:shd w:val="clear" w:color="auto" w:fill="auto"/>
            <w:vAlign w:val="center"/>
            <w:hideMark/>
          </w:tcPr>
          <w:p w14:paraId="2BA57827"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include a wide range of perspectives from the community to develop and sustain a vision for using technology to advance student learning and success.</w:t>
            </w:r>
          </w:p>
        </w:tc>
        <w:tc>
          <w:tcPr>
            <w:tcW w:w="700" w:type="pct"/>
            <w:shd w:val="clear" w:color="auto" w:fill="auto"/>
            <w:vAlign w:val="center"/>
            <w:hideMark/>
          </w:tcPr>
          <w:p w14:paraId="05FF4A7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4.00</w:t>
            </w:r>
          </w:p>
        </w:tc>
        <w:tc>
          <w:tcPr>
            <w:tcW w:w="1147" w:type="pct"/>
            <w:shd w:val="clear" w:color="auto" w:fill="auto"/>
            <w:vAlign w:val="center"/>
            <w:hideMark/>
          </w:tcPr>
          <w:p w14:paraId="2DD856A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6E0B9FA4" w14:textId="77777777" w:rsidTr="00351A9C">
        <w:trPr>
          <w:trHeight w:val="67"/>
        </w:trPr>
        <w:tc>
          <w:tcPr>
            <w:tcW w:w="3153" w:type="pct"/>
            <w:shd w:val="clear" w:color="auto" w:fill="auto"/>
            <w:vAlign w:val="center"/>
            <w:hideMark/>
          </w:tcPr>
          <w:p w14:paraId="4FDC1B4A"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build on the shared vision by collaboratively creating a strategic plan that articulates how technology will be used to enhance learning.</w:t>
            </w:r>
          </w:p>
        </w:tc>
        <w:tc>
          <w:tcPr>
            <w:tcW w:w="700" w:type="pct"/>
            <w:shd w:val="clear" w:color="auto" w:fill="auto"/>
            <w:vAlign w:val="center"/>
            <w:hideMark/>
          </w:tcPr>
          <w:p w14:paraId="4A0FC2CB"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4.00</w:t>
            </w:r>
          </w:p>
        </w:tc>
        <w:tc>
          <w:tcPr>
            <w:tcW w:w="1147" w:type="pct"/>
            <w:shd w:val="clear" w:color="auto" w:fill="auto"/>
            <w:vAlign w:val="center"/>
            <w:hideMark/>
          </w:tcPr>
          <w:p w14:paraId="59B0C893"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5ED94189" w14:textId="77777777" w:rsidTr="00351A9C">
        <w:trPr>
          <w:trHeight w:val="67"/>
        </w:trPr>
        <w:tc>
          <w:tcPr>
            <w:tcW w:w="3153" w:type="pct"/>
            <w:shd w:val="clear" w:color="auto" w:fill="auto"/>
            <w:vAlign w:val="center"/>
            <w:hideMark/>
          </w:tcPr>
          <w:p w14:paraId="4EF85A87"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t>I participate regularly in online professional learning networks to collaboratively learn with and mentor other professionals.</w:t>
            </w:r>
          </w:p>
        </w:tc>
        <w:tc>
          <w:tcPr>
            <w:tcW w:w="700" w:type="pct"/>
            <w:shd w:val="clear" w:color="auto" w:fill="auto"/>
            <w:vAlign w:val="center"/>
            <w:hideMark/>
          </w:tcPr>
          <w:p w14:paraId="28B5C1F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4.00</w:t>
            </w:r>
          </w:p>
        </w:tc>
        <w:tc>
          <w:tcPr>
            <w:tcW w:w="1147" w:type="pct"/>
            <w:shd w:val="clear" w:color="auto" w:fill="auto"/>
            <w:vAlign w:val="center"/>
            <w:hideMark/>
          </w:tcPr>
          <w:p w14:paraId="5FDDE64F"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073B8A20" w14:textId="77777777" w:rsidTr="00351A9C">
        <w:trPr>
          <w:trHeight w:val="585"/>
        </w:trPr>
        <w:tc>
          <w:tcPr>
            <w:tcW w:w="3153" w:type="pct"/>
            <w:shd w:val="clear" w:color="auto" w:fill="auto"/>
            <w:vAlign w:val="center"/>
            <w:hideMark/>
          </w:tcPr>
          <w:p w14:paraId="4FB400A2"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t xml:space="preserve">I guide teams in an </w:t>
            </w:r>
            <w:proofErr w:type="gramStart"/>
            <w:r w:rsidRPr="000D6E36">
              <w:rPr>
                <w:rFonts w:eastAsia="Times New Roman"/>
                <w:color w:val="000000"/>
                <w:sz w:val="22"/>
                <w:szCs w:val="22"/>
              </w:rPr>
              <w:t>equitable policies</w:t>
            </w:r>
            <w:proofErr w:type="gramEnd"/>
            <w:r w:rsidRPr="000D6E36">
              <w:rPr>
                <w:rFonts w:eastAsia="Times New Roman"/>
                <w:color w:val="000000"/>
                <w:sz w:val="22"/>
                <w:szCs w:val="22"/>
              </w:rPr>
              <w:t xml:space="preserve"> to support technology for effective learning.</w:t>
            </w:r>
          </w:p>
        </w:tc>
        <w:tc>
          <w:tcPr>
            <w:tcW w:w="700" w:type="pct"/>
            <w:shd w:val="clear" w:color="auto" w:fill="auto"/>
            <w:vAlign w:val="center"/>
            <w:hideMark/>
          </w:tcPr>
          <w:p w14:paraId="478914DA"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3.95</w:t>
            </w:r>
          </w:p>
        </w:tc>
        <w:tc>
          <w:tcPr>
            <w:tcW w:w="1147" w:type="pct"/>
            <w:shd w:val="clear" w:color="auto" w:fill="auto"/>
            <w:vAlign w:val="center"/>
            <w:hideMark/>
          </w:tcPr>
          <w:p w14:paraId="70F1CC67"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2739C155" w14:textId="77777777" w:rsidTr="00351A9C">
        <w:trPr>
          <w:trHeight w:val="67"/>
        </w:trPr>
        <w:tc>
          <w:tcPr>
            <w:tcW w:w="3153" w:type="pct"/>
            <w:shd w:val="clear" w:color="auto" w:fill="auto"/>
            <w:vAlign w:val="center"/>
            <w:hideMark/>
          </w:tcPr>
          <w:p w14:paraId="122EA719" w14:textId="77777777" w:rsidR="000D6E36" w:rsidRPr="000D6E36" w:rsidRDefault="000D6E36" w:rsidP="000D6E36">
            <w:pPr>
              <w:rPr>
                <w:rFonts w:eastAsia="Times New Roman"/>
                <w:color w:val="000000"/>
                <w:sz w:val="22"/>
                <w:szCs w:val="22"/>
              </w:rPr>
            </w:pPr>
            <w:r w:rsidRPr="000D6E36">
              <w:rPr>
                <w:rFonts w:eastAsia="Times New Roman"/>
                <w:color w:val="000000"/>
                <w:sz w:val="22"/>
                <w:szCs w:val="22"/>
              </w:rPr>
              <w:lastRenderedPageBreak/>
              <w:t>I establish digital partnerships that support the strategic vision, achieve learning priorities and improve operations.</w:t>
            </w:r>
          </w:p>
        </w:tc>
        <w:tc>
          <w:tcPr>
            <w:tcW w:w="700" w:type="pct"/>
            <w:shd w:val="clear" w:color="auto" w:fill="auto"/>
            <w:vAlign w:val="center"/>
            <w:hideMark/>
          </w:tcPr>
          <w:p w14:paraId="22CD29C6"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3.95</w:t>
            </w:r>
          </w:p>
        </w:tc>
        <w:tc>
          <w:tcPr>
            <w:tcW w:w="1147" w:type="pct"/>
            <w:shd w:val="clear" w:color="auto" w:fill="auto"/>
            <w:vAlign w:val="center"/>
            <w:hideMark/>
          </w:tcPr>
          <w:p w14:paraId="33C8538B"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67663420" w14:textId="77777777" w:rsidTr="00351A9C">
        <w:trPr>
          <w:trHeight w:val="585"/>
        </w:trPr>
        <w:tc>
          <w:tcPr>
            <w:tcW w:w="3153" w:type="pct"/>
            <w:shd w:val="clear" w:color="auto" w:fill="auto"/>
            <w:vAlign w:val="center"/>
            <w:hideMark/>
          </w:tcPr>
          <w:p w14:paraId="6DBA9871"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scale effective approaches that successfully integrate technology into the learning process.</w:t>
            </w:r>
          </w:p>
        </w:tc>
        <w:tc>
          <w:tcPr>
            <w:tcW w:w="700" w:type="pct"/>
            <w:shd w:val="clear" w:color="auto" w:fill="auto"/>
            <w:vAlign w:val="center"/>
            <w:hideMark/>
          </w:tcPr>
          <w:p w14:paraId="2A771A98"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3.84</w:t>
            </w:r>
          </w:p>
        </w:tc>
        <w:tc>
          <w:tcPr>
            <w:tcW w:w="1147" w:type="pct"/>
            <w:shd w:val="clear" w:color="auto" w:fill="auto"/>
            <w:vAlign w:val="center"/>
            <w:hideMark/>
          </w:tcPr>
          <w:p w14:paraId="3643F04B"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2239594E" w14:textId="77777777" w:rsidTr="00351A9C">
        <w:trPr>
          <w:trHeight w:val="585"/>
        </w:trPr>
        <w:tc>
          <w:tcPr>
            <w:tcW w:w="3153" w:type="pct"/>
            <w:shd w:val="clear" w:color="auto" w:fill="auto"/>
            <w:vAlign w:val="center"/>
            <w:hideMark/>
          </w:tcPr>
          <w:p w14:paraId="56EAA962"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measure the impact of our initiatives in using technology to transform learning.</w:t>
            </w:r>
          </w:p>
        </w:tc>
        <w:tc>
          <w:tcPr>
            <w:tcW w:w="700" w:type="pct"/>
            <w:shd w:val="clear" w:color="auto" w:fill="auto"/>
            <w:vAlign w:val="center"/>
            <w:hideMark/>
          </w:tcPr>
          <w:p w14:paraId="0370F4D0"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3.79</w:t>
            </w:r>
          </w:p>
        </w:tc>
        <w:tc>
          <w:tcPr>
            <w:tcW w:w="1147" w:type="pct"/>
            <w:shd w:val="clear" w:color="auto" w:fill="auto"/>
            <w:vAlign w:val="center"/>
            <w:hideMark/>
          </w:tcPr>
          <w:p w14:paraId="1F6C8BBB"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0E2EEE6A" w14:textId="77777777" w:rsidTr="00351A9C">
        <w:trPr>
          <w:trHeight w:val="585"/>
        </w:trPr>
        <w:tc>
          <w:tcPr>
            <w:tcW w:w="3153" w:type="pct"/>
            <w:tcBorders>
              <w:bottom w:val="single" w:sz="4" w:space="0" w:color="auto"/>
            </w:tcBorders>
            <w:shd w:val="clear" w:color="auto" w:fill="auto"/>
            <w:vAlign w:val="center"/>
            <w:hideMark/>
          </w:tcPr>
          <w:p w14:paraId="0D23CD0C" w14:textId="77777777" w:rsidR="000D6E36" w:rsidRPr="000D6E36" w:rsidRDefault="000D6E36" w:rsidP="000D6E36">
            <w:pPr>
              <w:jc w:val="both"/>
              <w:rPr>
                <w:rFonts w:eastAsia="Times New Roman"/>
                <w:color w:val="000000"/>
                <w:sz w:val="22"/>
                <w:szCs w:val="22"/>
              </w:rPr>
            </w:pPr>
            <w:r w:rsidRPr="000D6E36">
              <w:rPr>
                <w:rFonts w:eastAsia="Times New Roman"/>
                <w:color w:val="000000"/>
                <w:sz w:val="22"/>
                <w:szCs w:val="22"/>
              </w:rPr>
              <w:t>I evaluate progress on the strategic plan and make necessary course corrections.</w:t>
            </w:r>
          </w:p>
        </w:tc>
        <w:tc>
          <w:tcPr>
            <w:tcW w:w="700" w:type="pct"/>
            <w:tcBorders>
              <w:bottom w:val="single" w:sz="4" w:space="0" w:color="auto"/>
            </w:tcBorders>
            <w:shd w:val="clear" w:color="auto" w:fill="auto"/>
            <w:vAlign w:val="center"/>
            <w:hideMark/>
          </w:tcPr>
          <w:p w14:paraId="317DF251"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3.63</w:t>
            </w:r>
          </w:p>
        </w:tc>
        <w:tc>
          <w:tcPr>
            <w:tcW w:w="1147" w:type="pct"/>
            <w:tcBorders>
              <w:bottom w:val="single" w:sz="4" w:space="0" w:color="auto"/>
            </w:tcBorders>
            <w:shd w:val="clear" w:color="auto" w:fill="auto"/>
            <w:vAlign w:val="center"/>
            <w:hideMark/>
          </w:tcPr>
          <w:p w14:paraId="47C5E6AA" w14:textId="77777777" w:rsidR="000D6E36" w:rsidRPr="000D6E36" w:rsidRDefault="000D6E36" w:rsidP="000D6E36">
            <w:pPr>
              <w:jc w:val="center"/>
              <w:rPr>
                <w:rFonts w:eastAsia="Times New Roman"/>
                <w:color w:val="000000"/>
                <w:sz w:val="22"/>
                <w:szCs w:val="22"/>
              </w:rPr>
            </w:pPr>
            <w:r w:rsidRPr="000D6E36">
              <w:rPr>
                <w:rFonts w:eastAsia="Times New Roman"/>
                <w:color w:val="000000"/>
                <w:sz w:val="22"/>
                <w:szCs w:val="22"/>
              </w:rPr>
              <w:t>Good</w:t>
            </w:r>
          </w:p>
        </w:tc>
      </w:tr>
      <w:tr w:rsidR="000D6E36" w:rsidRPr="000D6E36" w14:paraId="566EE7B5" w14:textId="77777777" w:rsidTr="00C26FCE">
        <w:trPr>
          <w:trHeight w:val="377"/>
        </w:trPr>
        <w:tc>
          <w:tcPr>
            <w:tcW w:w="3153" w:type="pct"/>
            <w:tcBorders>
              <w:top w:val="single" w:sz="4" w:space="0" w:color="auto"/>
              <w:bottom w:val="single" w:sz="4" w:space="0" w:color="auto"/>
            </w:tcBorders>
            <w:shd w:val="clear" w:color="auto" w:fill="D9D9D9" w:themeFill="background1" w:themeFillShade="D9"/>
            <w:vAlign w:val="center"/>
          </w:tcPr>
          <w:p w14:paraId="397D0624" w14:textId="77777777" w:rsidR="000D6E36" w:rsidRPr="000D6E36" w:rsidRDefault="000D6E36" w:rsidP="000D6E36">
            <w:pPr>
              <w:jc w:val="right"/>
              <w:rPr>
                <w:rFonts w:eastAsia="Times New Roman"/>
                <w:b/>
                <w:bCs/>
                <w:color w:val="000000"/>
              </w:rPr>
            </w:pPr>
            <w:r w:rsidRPr="000D6E36">
              <w:rPr>
                <w:rFonts w:eastAsia="Times New Roman"/>
                <w:b/>
                <w:bCs/>
                <w:color w:val="000000"/>
              </w:rPr>
              <w:t>Grand Mean</w:t>
            </w:r>
          </w:p>
        </w:tc>
        <w:tc>
          <w:tcPr>
            <w:tcW w:w="700" w:type="pct"/>
            <w:tcBorders>
              <w:top w:val="single" w:sz="4" w:space="0" w:color="auto"/>
              <w:bottom w:val="single" w:sz="4" w:space="0" w:color="auto"/>
            </w:tcBorders>
            <w:shd w:val="clear" w:color="auto" w:fill="D9D9D9" w:themeFill="background1" w:themeFillShade="D9"/>
            <w:vAlign w:val="center"/>
          </w:tcPr>
          <w:p w14:paraId="0C615E4F" w14:textId="77777777" w:rsidR="000D6E36" w:rsidRPr="000D6E36" w:rsidRDefault="000D6E36" w:rsidP="000D6E36">
            <w:pPr>
              <w:jc w:val="center"/>
              <w:rPr>
                <w:rFonts w:eastAsia="Times New Roman"/>
                <w:b/>
                <w:bCs/>
                <w:color w:val="000000"/>
              </w:rPr>
            </w:pPr>
            <w:r w:rsidRPr="000D6E36">
              <w:rPr>
                <w:rFonts w:eastAsia="Times New Roman"/>
                <w:b/>
                <w:bCs/>
                <w:color w:val="000000"/>
              </w:rPr>
              <w:t>4.18</w:t>
            </w:r>
          </w:p>
        </w:tc>
        <w:tc>
          <w:tcPr>
            <w:tcW w:w="1147" w:type="pct"/>
            <w:tcBorders>
              <w:top w:val="single" w:sz="4" w:space="0" w:color="auto"/>
              <w:bottom w:val="single" w:sz="4" w:space="0" w:color="auto"/>
            </w:tcBorders>
            <w:shd w:val="clear" w:color="auto" w:fill="D9D9D9" w:themeFill="background1" w:themeFillShade="D9"/>
            <w:vAlign w:val="center"/>
          </w:tcPr>
          <w:p w14:paraId="0E6BBE44" w14:textId="77777777" w:rsidR="000D6E36" w:rsidRPr="000D6E36" w:rsidRDefault="000D6E36" w:rsidP="000D6E36">
            <w:pPr>
              <w:jc w:val="center"/>
              <w:rPr>
                <w:rFonts w:eastAsia="Times New Roman"/>
                <w:b/>
                <w:bCs/>
                <w:color w:val="000000"/>
              </w:rPr>
            </w:pPr>
            <w:r w:rsidRPr="000D6E36">
              <w:rPr>
                <w:rFonts w:eastAsia="Times New Roman"/>
                <w:b/>
                <w:bCs/>
                <w:color w:val="000000"/>
              </w:rPr>
              <w:t>Good</w:t>
            </w:r>
          </w:p>
        </w:tc>
      </w:tr>
    </w:tbl>
    <w:p w14:paraId="77BBDCA6" w14:textId="77777777" w:rsidR="00483663" w:rsidRDefault="00483663" w:rsidP="00483663"/>
    <w:p w14:paraId="7D0CBA99" w14:textId="77777777" w:rsidR="00C26FCE" w:rsidRPr="005E4427" w:rsidRDefault="00C26FCE" w:rsidP="005E4427">
      <w:pPr>
        <w:jc w:val="both"/>
      </w:pPr>
    </w:p>
    <w:p w14:paraId="6C5F67CE" w14:textId="77777777" w:rsidR="005E4427" w:rsidRPr="005E4427" w:rsidRDefault="00A52A3D" w:rsidP="005E4427">
      <w:pPr>
        <w:ind w:firstLine="720"/>
        <w:jc w:val="both"/>
        <w:rPr>
          <w:rFonts w:eastAsia="Times New Roman"/>
        </w:rPr>
      </w:pPr>
      <w:r>
        <w:rPr>
          <w:rFonts w:eastAsia="Times New Roman"/>
        </w:rPr>
        <w:t>Table 2 presented</w:t>
      </w:r>
      <w:r w:rsidR="005E4427" w:rsidRPr="005E4427">
        <w:rPr>
          <w:rFonts w:eastAsia="Times New Roman"/>
        </w:rPr>
        <w:t xml:space="preserve"> the digital literacy of faculty members in the University of Eastern Philippines (UEP) System, measured through indicators aligned with the ISTE Standards for Educators. The results show</w:t>
      </w:r>
      <w:r w:rsidR="00DD7148">
        <w:rPr>
          <w:rFonts w:eastAsia="Times New Roman"/>
        </w:rPr>
        <w:t>n</w:t>
      </w:r>
      <w:r w:rsidR="005E4427" w:rsidRPr="005E4427">
        <w:rPr>
          <w:rFonts w:eastAsia="Times New Roman"/>
        </w:rPr>
        <w:t xml:space="preserve"> an overall </w:t>
      </w:r>
      <w:r w:rsidR="005E4427" w:rsidRPr="005E4427">
        <w:rPr>
          <w:rFonts w:eastAsia="Times New Roman"/>
          <w:bCs/>
        </w:rPr>
        <w:t>Grand Mean of 3.90</w:t>
      </w:r>
      <w:r w:rsidR="005E4427" w:rsidRPr="005E4427">
        <w:rPr>
          <w:rFonts w:eastAsia="Times New Roman"/>
        </w:rPr>
        <w:t xml:space="preserve">, interpreted as </w:t>
      </w:r>
      <w:r w:rsidR="005E4427" w:rsidRPr="005E4427">
        <w:rPr>
          <w:rFonts w:eastAsia="Times New Roman"/>
          <w:bCs/>
        </w:rPr>
        <w:t>Proficient</w:t>
      </w:r>
      <w:r w:rsidR="005E4427" w:rsidRPr="005E4427">
        <w:rPr>
          <w:rFonts w:eastAsia="Times New Roman"/>
        </w:rPr>
        <w:t xml:space="preserve">, indicating that faculty members generally demonstrate competence in integrating technology into their teaching practices. Notably, the highest-rated competencies include </w:t>
      </w:r>
      <w:r w:rsidR="005E4427" w:rsidRPr="005E4427">
        <w:rPr>
          <w:rFonts w:eastAsia="Times New Roman"/>
          <w:bCs/>
        </w:rPr>
        <w:t>collaborating and co-learning with students to use digital resources (4.14)</w:t>
      </w:r>
      <w:r w:rsidR="005E4427" w:rsidRPr="005E4427">
        <w:rPr>
          <w:rFonts w:eastAsia="Times New Roman"/>
        </w:rPr>
        <w:t xml:space="preserve">, </w:t>
      </w:r>
      <w:r w:rsidR="005E4427" w:rsidRPr="005E4427">
        <w:rPr>
          <w:rFonts w:eastAsia="Times New Roman"/>
          <w:bCs/>
        </w:rPr>
        <w:t>providing timely feedback (4.12)</w:t>
      </w:r>
      <w:r w:rsidR="005E4427" w:rsidRPr="005E4427">
        <w:rPr>
          <w:rFonts w:eastAsia="Times New Roman"/>
        </w:rPr>
        <w:t xml:space="preserve">, and </w:t>
      </w:r>
      <w:r w:rsidR="005E4427" w:rsidRPr="005E4427">
        <w:rPr>
          <w:rFonts w:eastAsia="Times New Roman"/>
          <w:bCs/>
        </w:rPr>
        <w:t>fostering digital literacy through critical evaluation of digital resources (4.09)</w:t>
      </w:r>
      <w:r w:rsidR="005E4427" w:rsidRPr="005E4427">
        <w:rPr>
          <w:rFonts w:eastAsia="Times New Roman"/>
        </w:rPr>
        <w:t>. These results reflect</w:t>
      </w:r>
      <w:r w:rsidR="00DD7148">
        <w:rPr>
          <w:rFonts w:eastAsia="Times New Roman"/>
        </w:rPr>
        <w:t>ed</w:t>
      </w:r>
      <w:r w:rsidR="005E4427" w:rsidRPr="005E4427">
        <w:rPr>
          <w:rFonts w:eastAsia="Times New Roman"/>
        </w:rPr>
        <w:t xml:space="preserve"> current global trends where collaborative learning and formative assessment are emphasized as key components of digital pedagogy (</w:t>
      </w:r>
      <w:proofErr w:type="spellStart"/>
      <w:r w:rsidR="005E4427" w:rsidRPr="005E4427">
        <w:rPr>
          <w:rFonts w:eastAsia="Times New Roman"/>
        </w:rPr>
        <w:t>Tondeur</w:t>
      </w:r>
      <w:proofErr w:type="spellEnd"/>
      <w:r w:rsidR="005E4427" w:rsidRPr="005E4427">
        <w:rPr>
          <w:rFonts w:eastAsia="Times New Roman"/>
        </w:rPr>
        <w:t xml:space="preserve"> et al., 2021). Faculty members’ proficiency in these areas suggests an active commitment to promoting meaningful and student-centered learning experiences through technology.</w:t>
      </w:r>
    </w:p>
    <w:p w14:paraId="231E3D27" w14:textId="77777777" w:rsidR="005E4427" w:rsidRDefault="005E4427" w:rsidP="005E4427">
      <w:pPr>
        <w:ind w:firstLine="720"/>
        <w:jc w:val="both"/>
        <w:rPr>
          <w:rFonts w:eastAsia="Times New Roman"/>
        </w:rPr>
      </w:pPr>
    </w:p>
    <w:p w14:paraId="5A1CC99F" w14:textId="77777777" w:rsidR="005E4427" w:rsidRPr="005E4427" w:rsidRDefault="005E4427" w:rsidP="005E4427">
      <w:pPr>
        <w:ind w:firstLine="720"/>
        <w:jc w:val="both"/>
        <w:rPr>
          <w:rFonts w:eastAsia="Times New Roman"/>
        </w:rPr>
      </w:pPr>
      <w:r w:rsidRPr="005E4427">
        <w:rPr>
          <w:rFonts w:eastAsia="Times New Roman"/>
        </w:rPr>
        <w:t>However, certain areas reveal</w:t>
      </w:r>
      <w:r w:rsidR="00DD7148">
        <w:rPr>
          <w:rFonts w:eastAsia="Times New Roman"/>
        </w:rPr>
        <w:t>ed</w:t>
      </w:r>
      <w:r w:rsidRPr="005E4427">
        <w:rPr>
          <w:rFonts w:eastAsia="Times New Roman"/>
        </w:rPr>
        <w:t xml:space="preserve"> opportunities fo</w:t>
      </w:r>
      <w:r w:rsidR="00DD7148">
        <w:rPr>
          <w:rFonts w:eastAsia="Times New Roman"/>
        </w:rPr>
        <w:t xml:space="preserve">r growth. The lowest-rated item, </w:t>
      </w:r>
      <w:r w:rsidRPr="005E4427">
        <w:rPr>
          <w:rFonts w:eastAsia="Times New Roman"/>
          <w:bCs/>
        </w:rPr>
        <w:t>diagnosing and troubleshooting technology issues (3.22, Developing)</w:t>
      </w:r>
      <w:r w:rsidR="00DD7148">
        <w:rPr>
          <w:rFonts w:eastAsia="Times New Roman"/>
        </w:rPr>
        <w:t xml:space="preserve">, </w:t>
      </w:r>
      <w:r w:rsidRPr="005E4427">
        <w:rPr>
          <w:rFonts w:eastAsia="Times New Roman"/>
        </w:rPr>
        <w:t>indicates a persistent gap in technical self-efficacy, a challenge echoed in the literature (Howard et al., 2021). Teachers often face difficulties in independently resolving technical problems, which can hinder the smooth integration of digital tools (Olofsson et al., 2021). Similarly, competencies related to designing innovative learning activities, fostering computational thinking, and leveraging global collaboration tools received relatively lower ratings (3.66–3.75), consistent with findings from Moradi (2025), who reported that many educators still struggle with applying advanced pedagogical uses of technology. This pattern suggests that while basic and intermediate digital competencies are well established, more complex and innovative uses of technology require further professional development.</w:t>
      </w:r>
    </w:p>
    <w:p w14:paraId="1D6FCB68" w14:textId="77777777" w:rsidR="005E4427" w:rsidRDefault="005E4427" w:rsidP="005E4427">
      <w:pPr>
        <w:jc w:val="both"/>
        <w:rPr>
          <w:rFonts w:eastAsia="Times New Roman"/>
        </w:rPr>
      </w:pPr>
    </w:p>
    <w:p w14:paraId="64DB04CF" w14:textId="77777777" w:rsidR="005E4427" w:rsidRPr="005E4427" w:rsidRDefault="005E4427" w:rsidP="005E4427">
      <w:pPr>
        <w:ind w:firstLine="720"/>
        <w:jc w:val="both"/>
        <w:rPr>
          <w:rFonts w:eastAsia="Times New Roman"/>
        </w:rPr>
      </w:pPr>
      <w:r w:rsidRPr="005E4427">
        <w:rPr>
          <w:rFonts w:eastAsia="Times New Roman"/>
        </w:rPr>
        <w:t xml:space="preserve">The overall findings align with broader research indicating that </w:t>
      </w:r>
      <w:r w:rsidRPr="005E4427">
        <w:rPr>
          <w:rFonts w:eastAsia="Times New Roman"/>
          <w:bCs/>
        </w:rPr>
        <w:t>faculty digital literacy is dynamic and evolving</w:t>
      </w:r>
      <w:r w:rsidRPr="005E4427">
        <w:rPr>
          <w:rFonts w:eastAsia="Times New Roman"/>
        </w:rPr>
        <w:t xml:space="preserve">, driven by individual motivation, institutional support, and leadership practices (Trust &amp; Whalen, 2020; </w:t>
      </w:r>
      <w:proofErr w:type="spellStart"/>
      <w:r w:rsidRPr="005E4427">
        <w:rPr>
          <w:rFonts w:eastAsia="Times New Roman"/>
        </w:rPr>
        <w:t>Tondeur</w:t>
      </w:r>
      <w:proofErr w:type="spellEnd"/>
      <w:r w:rsidRPr="005E4427">
        <w:rPr>
          <w:rFonts w:eastAsia="Times New Roman"/>
        </w:rPr>
        <w:t xml:space="preserve"> et al., 2021). The </w:t>
      </w:r>
      <w:r w:rsidRPr="00EC387C">
        <w:rPr>
          <w:rFonts w:eastAsia="Times New Roman"/>
          <w:bCs/>
        </w:rPr>
        <w:t>Proficient</w:t>
      </w:r>
      <w:r w:rsidRPr="005E4427">
        <w:rPr>
          <w:rFonts w:eastAsia="Times New Roman"/>
        </w:rPr>
        <w:t xml:space="preserve"> level achieved by UEP faculty suggests a solid foundation upon which more advanced competencies can be built. To sustain and deepen this progress, the literature emphasizes the importance of continuous professional development, collaborative learning networks, and supportive leadership structures (Howard et al., 2021; Starkey, 2020). In particular, targeted training in areas such as troubleshooting, computational thinking, and global collaboration can help bridge existing gaps. As Khan et al. (2022) highlight, fostering advanced digital literacy is essential for preparing students for the 21st-century workforce, making it imperative for institutions like UEP to strategically </w:t>
      </w:r>
      <w:r w:rsidRPr="005E4427">
        <w:rPr>
          <w:rFonts w:eastAsia="Times New Roman"/>
        </w:rPr>
        <w:lastRenderedPageBreak/>
        <w:t>enhance faculty digital competencies in alignment with emerging educational demands.</w:t>
      </w:r>
    </w:p>
    <w:p w14:paraId="41546399" w14:textId="77777777" w:rsidR="00EC387C" w:rsidRDefault="00EC387C" w:rsidP="00C26FCE">
      <w:pPr>
        <w:pStyle w:val="NormalWeb"/>
        <w:spacing w:before="0" w:beforeAutospacing="0" w:after="0" w:afterAutospacing="0"/>
        <w:jc w:val="center"/>
        <w:rPr>
          <w:rFonts w:ascii="Arial" w:hAnsi="Arial" w:cs="Arial"/>
          <w:b/>
        </w:rPr>
      </w:pPr>
    </w:p>
    <w:p w14:paraId="5D7DBBB9" w14:textId="77777777" w:rsidR="00C26FCE" w:rsidRPr="0051534E" w:rsidRDefault="00C26FCE" w:rsidP="00C26FCE">
      <w:pPr>
        <w:pStyle w:val="NormalWeb"/>
        <w:spacing w:before="0" w:beforeAutospacing="0" w:after="0" w:afterAutospacing="0"/>
        <w:jc w:val="center"/>
        <w:rPr>
          <w:rFonts w:ascii="Arial" w:hAnsi="Arial" w:cs="Arial"/>
        </w:rPr>
      </w:pPr>
      <w:r w:rsidRPr="0051534E">
        <w:rPr>
          <w:rFonts w:ascii="Arial" w:hAnsi="Arial" w:cs="Arial"/>
        </w:rPr>
        <w:t>Table 2. Digital Literacy of Faculty Members</w:t>
      </w:r>
    </w:p>
    <w:p w14:paraId="3B978B90" w14:textId="77777777" w:rsidR="00C26FCE" w:rsidRDefault="00C26FCE" w:rsidP="00483663"/>
    <w:tbl>
      <w:tblPr>
        <w:tblW w:w="5000" w:type="pct"/>
        <w:tblLayout w:type="fixed"/>
        <w:tblLook w:val="04A0" w:firstRow="1" w:lastRow="0" w:firstColumn="1" w:lastColumn="0" w:noHBand="0" w:noVBand="1"/>
      </w:tblPr>
      <w:tblGrid>
        <w:gridCol w:w="5671"/>
        <w:gridCol w:w="1350"/>
        <w:gridCol w:w="2006"/>
      </w:tblGrid>
      <w:tr w:rsidR="00C26FCE" w:rsidRPr="00C26FCE" w14:paraId="6DA3266E" w14:textId="77777777" w:rsidTr="0051534E">
        <w:trPr>
          <w:trHeight w:val="53"/>
        </w:trPr>
        <w:tc>
          <w:tcPr>
            <w:tcW w:w="3141" w:type="pct"/>
            <w:tcBorders>
              <w:top w:val="single" w:sz="4" w:space="0" w:color="auto"/>
              <w:left w:val="nil"/>
              <w:bottom w:val="single" w:sz="4" w:space="0" w:color="auto"/>
              <w:right w:val="nil"/>
            </w:tcBorders>
            <w:shd w:val="clear" w:color="000000" w:fill="D9D9D9"/>
            <w:noWrap/>
            <w:vAlign w:val="center"/>
            <w:hideMark/>
          </w:tcPr>
          <w:p w14:paraId="3FD1E79B" w14:textId="77777777" w:rsidR="00C26FCE" w:rsidRPr="00C26FCE" w:rsidRDefault="00C26FCE" w:rsidP="00C26FCE">
            <w:pPr>
              <w:jc w:val="center"/>
              <w:rPr>
                <w:rFonts w:eastAsia="Times New Roman"/>
                <w:b/>
                <w:bCs/>
                <w:color w:val="000000"/>
                <w:sz w:val="22"/>
                <w:szCs w:val="22"/>
              </w:rPr>
            </w:pPr>
            <w:r w:rsidRPr="00C26FCE">
              <w:rPr>
                <w:rFonts w:eastAsia="Times New Roman"/>
                <w:b/>
                <w:bCs/>
                <w:color w:val="000000"/>
                <w:sz w:val="22"/>
                <w:szCs w:val="22"/>
              </w:rPr>
              <w:t>Digital Literacy</w:t>
            </w:r>
          </w:p>
        </w:tc>
        <w:tc>
          <w:tcPr>
            <w:tcW w:w="748" w:type="pct"/>
            <w:tcBorders>
              <w:top w:val="single" w:sz="4" w:space="0" w:color="auto"/>
              <w:left w:val="nil"/>
              <w:bottom w:val="single" w:sz="4" w:space="0" w:color="auto"/>
              <w:right w:val="nil"/>
            </w:tcBorders>
            <w:shd w:val="clear" w:color="000000" w:fill="D9D9D9"/>
            <w:noWrap/>
            <w:vAlign w:val="center"/>
            <w:hideMark/>
          </w:tcPr>
          <w:p w14:paraId="72AF0C68" w14:textId="77777777" w:rsidR="00C26FCE" w:rsidRPr="00C26FCE" w:rsidRDefault="00C26FCE" w:rsidP="00C26FCE">
            <w:pPr>
              <w:jc w:val="center"/>
              <w:rPr>
                <w:rFonts w:eastAsia="Times New Roman"/>
                <w:b/>
                <w:bCs/>
                <w:color w:val="000000"/>
                <w:sz w:val="22"/>
                <w:szCs w:val="22"/>
              </w:rPr>
            </w:pPr>
            <w:r w:rsidRPr="00C26FCE">
              <w:rPr>
                <w:rFonts w:eastAsia="Times New Roman"/>
                <w:b/>
                <w:bCs/>
                <w:color w:val="000000"/>
                <w:sz w:val="22"/>
                <w:szCs w:val="22"/>
              </w:rPr>
              <w:t>Weighted Mean</w:t>
            </w:r>
          </w:p>
        </w:tc>
        <w:tc>
          <w:tcPr>
            <w:tcW w:w="1112" w:type="pct"/>
            <w:tcBorders>
              <w:top w:val="single" w:sz="4" w:space="0" w:color="auto"/>
              <w:left w:val="nil"/>
              <w:bottom w:val="single" w:sz="4" w:space="0" w:color="auto"/>
              <w:right w:val="nil"/>
            </w:tcBorders>
            <w:shd w:val="clear" w:color="000000" w:fill="D9D9D9"/>
            <w:noWrap/>
            <w:vAlign w:val="center"/>
            <w:hideMark/>
          </w:tcPr>
          <w:p w14:paraId="407BEF96" w14:textId="77777777" w:rsidR="00C26FCE" w:rsidRPr="00C26FCE" w:rsidRDefault="00C26FCE" w:rsidP="00C26FCE">
            <w:pPr>
              <w:jc w:val="center"/>
              <w:rPr>
                <w:rFonts w:eastAsia="Times New Roman"/>
                <w:b/>
                <w:bCs/>
                <w:color w:val="000000"/>
                <w:sz w:val="22"/>
                <w:szCs w:val="22"/>
              </w:rPr>
            </w:pPr>
            <w:r w:rsidRPr="00C26FCE">
              <w:rPr>
                <w:rFonts w:eastAsia="Times New Roman"/>
                <w:b/>
                <w:bCs/>
                <w:color w:val="000000"/>
                <w:sz w:val="22"/>
                <w:szCs w:val="22"/>
              </w:rPr>
              <w:t>Interpretation</w:t>
            </w:r>
          </w:p>
        </w:tc>
      </w:tr>
      <w:tr w:rsidR="00C26FCE" w:rsidRPr="00C26FCE" w14:paraId="617D5972" w14:textId="77777777" w:rsidTr="00C26FCE">
        <w:trPr>
          <w:trHeight w:val="341"/>
        </w:trPr>
        <w:tc>
          <w:tcPr>
            <w:tcW w:w="3141" w:type="pct"/>
            <w:tcBorders>
              <w:top w:val="nil"/>
              <w:left w:val="nil"/>
              <w:bottom w:val="nil"/>
              <w:right w:val="nil"/>
            </w:tcBorders>
            <w:shd w:val="clear" w:color="auto" w:fill="auto"/>
            <w:vAlign w:val="center"/>
            <w:hideMark/>
          </w:tcPr>
          <w:p w14:paraId="27063B1B"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collaborate and co-learn with students to discover and use new digital resources.</w:t>
            </w:r>
          </w:p>
        </w:tc>
        <w:tc>
          <w:tcPr>
            <w:tcW w:w="748" w:type="pct"/>
            <w:tcBorders>
              <w:top w:val="nil"/>
              <w:left w:val="nil"/>
              <w:bottom w:val="nil"/>
              <w:right w:val="nil"/>
            </w:tcBorders>
            <w:shd w:val="clear" w:color="auto" w:fill="auto"/>
            <w:noWrap/>
            <w:vAlign w:val="center"/>
            <w:hideMark/>
          </w:tcPr>
          <w:p w14:paraId="35163913"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4.14</w:t>
            </w:r>
          </w:p>
        </w:tc>
        <w:tc>
          <w:tcPr>
            <w:tcW w:w="1112" w:type="pct"/>
            <w:tcBorders>
              <w:top w:val="nil"/>
              <w:left w:val="nil"/>
              <w:bottom w:val="nil"/>
              <w:right w:val="nil"/>
            </w:tcBorders>
            <w:shd w:val="clear" w:color="auto" w:fill="auto"/>
            <w:vAlign w:val="center"/>
            <w:hideMark/>
          </w:tcPr>
          <w:p w14:paraId="30986592"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5431F39E" w14:textId="77777777" w:rsidTr="00C26FCE">
        <w:trPr>
          <w:trHeight w:val="660"/>
        </w:trPr>
        <w:tc>
          <w:tcPr>
            <w:tcW w:w="3141" w:type="pct"/>
            <w:tcBorders>
              <w:top w:val="nil"/>
              <w:left w:val="nil"/>
              <w:bottom w:val="nil"/>
              <w:right w:val="nil"/>
            </w:tcBorders>
            <w:shd w:val="clear" w:color="auto" w:fill="auto"/>
            <w:vAlign w:val="center"/>
            <w:hideMark/>
          </w:tcPr>
          <w:p w14:paraId="20DD483A"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provide timely feedback to students and inform instruction.</w:t>
            </w:r>
          </w:p>
        </w:tc>
        <w:tc>
          <w:tcPr>
            <w:tcW w:w="748" w:type="pct"/>
            <w:tcBorders>
              <w:top w:val="nil"/>
              <w:left w:val="nil"/>
              <w:bottom w:val="nil"/>
              <w:right w:val="nil"/>
            </w:tcBorders>
            <w:shd w:val="clear" w:color="auto" w:fill="auto"/>
            <w:noWrap/>
            <w:vAlign w:val="center"/>
            <w:hideMark/>
          </w:tcPr>
          <w:p w14:paraId="64289C6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4.12</w:t>
            </w:r>
          </w:p>
        </w:tc>
        <w:tc>
          <w:tcPr>
            <w:tcW w:w="1112" w:type="pct"/>
            <w:tcBorders>
              <w:top w:val="nil"/>
              <w:left w:val="nil"/>
              <w:bottom w:val="nil"/>
              <w:right w:val="nil"/>
            </w:tcBorders>
            <w:shd w:val="clear" w:color="auto" w:fill="auto"/>
            <w:vAlign w:val="center"/>
            <w:hideMark/>
          </w:tcPr>
          <w:p w14:paraId="05060D1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67E5A2A9" w14:textId="77777777" w:rsidTr="00C26FCE">
        <w:trPr>
          <w:trHeight w:val="70"/>
        </w:trPr>
        <w:tc>
          <w:tcPr>
            <w:tcW w:w="3141" w:type="pct"/>
            <w:tcBorders>
              <w:top w:val="nil"/>
              <w:left w:val="nil"/>
              <w:bottom w:val="nil"/>
              <w:right w:val="nil"/>
            </w:tcBorders>
            <w:shd w:val="clear" w:color="auto" w:fill="auto"/>
            <w:vAlign w:val="center"/>
            <w:hideMark/>
          </w:tcPr>
          <w:p w14:paraId="1B5BC553"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foster digital literacy by encouraging curiosity, reflection, and the critical evaluation of digital resources.</w:t>
            </w:r>
          </w:p>
        </w:tc>
        <w:tc>
          <w:tcPr>
            <w:tcW w:w="748" w:type="pct"/>
            <w:tcBorders>
              <w:top w:val="nil"/>
              <w:left w:val="nil"/>
              <w:bottom w:val="nil"/>
              <w:right w:val="nil"/>
            </w:tcBorders>
            <w:shd w:val="clear" w:color="auto" w:fill="auto"/>
            <w:noWrap/>
            <w:vAlign w:val="center"/>
            <w:hideMark/>
          </w:tcPr>
          <w:p w14:paraId="2AADBB39"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4.09</w:t>
            </w:r>
          </w:p>
        </w:tc>
        <w:tc>
          <w:tcPr>
            <w:tcW w:w="1112" w:type="pct"/>
            <w:tcBorders>
              <w:top w:val="nil"/>
              <w:left w:val="nil"/>
              <w:bottom w:val="nil"/>
              <w:right w:val="nil"/>
            </w:tcBorders>
            <w:shd w:val="clear" w:color="auto" w:fill="auto"/>
            <w:vAlign w:val="center"/>
            <w:hideMark/>
          </w:tcPr>
          <w:p w14:paraId="65F44AC7"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6C56696E" w14:textId="77777777" w:rsidTr="00C26FCE">
        <w:trPr>
          <w:trHeight w:val="70"/>
        </w:trPr>
        <w:tc>
          <w:tcPr>
            <w:tcW w:w="3141" w:type="pct"/>
            <w:tcBorders>
              <w:top w:val="nil"/>
              <w:left w:val="nil"/>
              <w:bottom w:val="nil"/>
              <w:right w:val="nil"/>
            </w:tcBorders>
            <w:shd w:val="clear" w:color="auto" w:fill="auto"/>
            <w:vAlign w:val="center"/>
            <w:hideMark/>
          </w:tcPr>
          <w:p w14:paraId="6F9E1C96"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set professional learning goals to apply teaching practices made possible by technology.</w:t>
            </w:r>
          </w:p>
        </w:tc>
        <w:tc>
          <w:tcPr>
            <w:tcW w:w="748" w:type="pct"/>
            <w:tcBorders>
              <w:top w:val="nil"/>
              <w:left w:val="nil"/>
              <w:bottom w:val="nil"/>
              <w:right w:val="nil"/>
            </w:tcBorders>
            <w:shd w:val="clear" w:color="auto" w:fill="auto"/>
            <w:noWrap/>
            <w:vAlign w:val="center"/>
            <w:hideMark/>
          </w:tcPr>
          <w:p w14:paraId="1FBB959D"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4.06</w:t>
            </w:r>
          </w:p>
        </w:tc>
        <w:tc>
          <w:tcPr>
            <w:tcW w:w="1112" w:type="pct"/>
            <w:tcBorders>
              <w:top w:val="nil"/>
              <w:left w:val="nil"/>
              <w:bottom w:val="nil"/>
              <w:right w:val="nil"/>
            </w:tcBorders>
            <w:shd w:val="clear" w:color="auto" w:fill="auto"/>
            <w:vAlign w:val="center"/>
            <w:hideMark/>
          </w:tcPr>
          <w:p w14:paraId="7A6769E5"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4DDB199D" w14:textId="77777777" w:rsidTr="00C26FCE">
        <w:trPr>
          <w:trHeight w:val="855"/>
        </w:trPr>
        <w:tc>
          <w:tcPr>
            <w:tcW w:w="3141" w:type="pct"/>
            <w:tcBorders>
              <w:top w:val="nil"/>
              <w:left w:val="nil"/>
              <w:bottom w:val="nil"/>
              <w:right w:val="nil"/>
            </w:tcBorders>
            <w:shd w:val="clear" w:color="auto" w:fill="auto"/>
            <w:vAlign w:val="center"/>
            <w:hideMark/>
          </w:tcPr>
          <w:p w14:paraId="4A1788E3"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create experiences for learners to make positive, socially responsible contributions and build inclusive communities online.</w:t>
            </w:r>
          </w:p>
        </w:tc>
        <w:tc>
          <w:tcPr>
            <w:tcW w:w="748" w:type="pct"/>
            <w:tcBorders>
              <w:top w:val="nil"/>
              <w:left w:val="nil"/>
              <w:bottom w:val="nil"/>
              <w:right w:val="nil"/>
            </w:tcBorders>
            <w:shd w:val="clear" w:color="auto" w:fill="auto"/>
            <w:noWrap/>
            <w:vAlign w:val="center"/>
            <w:hideMark/>
          </w:tcPr>
          <w:p w14:paraId="03EB43E9"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4.06</w:t>
            </w:r>
          </w:p>
        </w:tc>
        <w:tc>
          <w:tcPr>
            <w:tcW w:w="1112" w:type="pct"/>
            <w:tcBorders>
              <w:top w:val="nil"/>
              <w:left w:val="nil"/>
              <w:bottom w:val="nil"/>
              <w:right w:val="nil"/>
            </w:tcBorders>
            <w:shd w:val="clear" w:color="auto" w:fill="auto"/>
            <w:vAlign w:val="center"/>
            <w:hideMark/>
          </w:tcPr>
          <w:p w14:paraId="7398F425"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06269120" w14:textId="77777777" w:rsidTr="00C26FCE">
        <w:trPr>
          <w:trHeight w:val="855"/>
        </w:trPr>
        <w:tc>
          <w:tcPr>
            <w:tcW w:w="3141" w:type="pct"/>
            <w:tcBorders>
              <w:top w:val="nil"/>
              <w:left w:val="nil"/>
              <w:bottom w:val="nil"/>
              <w:right w:val="nil"/>
            </w:tcBorders>
            <w:shd w:val="clear" w:color="auto" w:fill="auto"/>
            <w:noWrap/>
            <w:vAlign w:val="center"/>
            <w:hideMark/>
          </w:tcPr>
          <w:p w14:paraId="697284B5"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advocate for equitable access to technology, high-quality digital content, and learning opportunities to meet the diverse needs of all students.</w:t>
            </w:r>
          </w:p>
        </w:tc>
        <w:tc>
          <w:tcPr>
            <w:tcW w:w="748" w:type="pct"/>
            <w:tcBorders>
              <w:top w:val="nil"/>
              <w:left w:val="nil"/>
              <w:bottom w:val="nil"/>
              <w:right w:val="nil"/>
            </w:tcBorders>
            <w:shd w:val="clear" w:color="auto" w:fill="auto"/>
            <w:noWrap/>
            <w:vAlign w:val="center"/>
            <w:hideMark/>
          </w:tcPr>
          <w:p w14:paraId="695A0A70"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4.06</w:t>
            </w:r>
          </w:p>
        </w:tc>
        <w:tc>
          <w:tcPr>
            <w:tcW w:w="1112" w:type="pct"/>
            <w:tcBorders>
              <w:top w:val="nil"/>
              <w:left w:val="nil"/>
              <w:bottom w:val="nil"/>
              <w:right w:val="nil"/>
            </w:tcBorders>
            <w:shd w:val="clear" w:color="auto" w:fill="auto"/>
            <w:vAlign w:val="center"/>
            <w:hideMark/>
          </w:tcPr>
          <w:p w14:paraId="3E4F601A"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30D3B78E" w14:textId="77777777" w:rsidTr="00C26FCE">
        <w:trPr>
          <w:trHeight w:val="570"/>
        </w:trPr>
        <w:tc>
          <w:tcPr>
            <w:tcW w:w="3141" w:type="pct"/>
            <w:tcBorders>
              <w:top w:val="nil"/>
              <w:left w:val="nil"/>
              <w:bottom w:val="nil"/>
              <w:right w:val="nil"/>
            </w:tcBorders>
            <w:shd w:val="clear" w:color="auto" w:fill="auto"/>
            <w:vAlign w:val="center"/>
            <w:hideMark/>
          </w:tcPr>
          <w:p w14:paraId="109A3DA3"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mentor students in safe, legal, and ethical practices with digital tools and content.</w:t>
            </w:r>
          </w:p>
        </w:tc>
        <w:tc>
          <w:tcPr>
            <w:tcW w:w="748" w:type="pct"/>
            <w:tcBorders>
              <w:top w:val="nil"/>
              <w:left w:val="nil"/>
              <w:bottom w:val="nil"/>
              <w:right w:val="nil"/>
            </w:tcBorders>
            <w:shd w:val="clear" w:color="auto" w:fill="auto"/>
            <w:noWrap/>
            <w:vAlign w:val="center"/>
            <w:hideMark/>
          </w:tcPr>
          <w:p w14:paraId="083B54DC"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4.03</w:t>
            </w:r>
          </w:p>
        </w:tc>
        <w:tc>
          <w:tcPr>
            <w:tcW w:w="1112" w:type="pct"/>
            <w:tcBorders>
              <w:top w:val="nil"/>
              <w:left w:val="nil"/>
              <w:bottom w:val="nil"/>
              <w:right w:val="nil"/>
            </w:tcBorders>
            <w:shd w:val="clear" w:color="auto" w:fill="auto"/>
            <w:vAlign w:val="center"/>
            <w:hideMark/>
          </w:tcPr>
          <w:p w14:paraId="673329B3"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1D85E18C" w14:textId="77777777" w:rsidTr="00C26FCE">
        <w:trPr>
          <w:trHeight w:val="570"/>
        </w:trPr>
        <w:tc>
          <w:tcPr>
            <w:tcW w:w="3141" w:type="pct"/>
            <w:tcBorders>
              <w:top w:val="nil"/>
              <w:left w:val="nil"/>
              <w:bottom w:val="nil"/>
              <w:right w:val="nil"/>
            </w:tcBorders>
            <w:shd w:val="clear" w:color="auto" w:fill="auto"/>
            <w:vAlign w:val="center"/>
            <w:hideMark/>
          </w:tcPr>
          <w:p w14:paraId="4535A245"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manage the use of technology and student learning strategies in digital platforms and virtual environments.</w:t>
            </w:r>
          </w:p>
        </w:tc>
        <w:tc>
          <w:tcPr>
            <w:tcW w:w="748" w:type="pct"/>
            <w:tcBorders>
              <w:top w:val="nil"/>
              <w:left w:val="nil"/>
              <w:bottom w:val="nil"/>
              <w:right w:val="nil"/>
            </w:tcBorders>
            <w:shd w:val="clear" w:color="auto" w:fill="auto"/>
            <w:noWrap/>
            <w:vAlign w:val="center"/>
            <w:hideMark/>
          </w:tcPr>
          <w:p w14:paraId="359F092F"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4.01</w:t>
            </w:r>
          </w:p>
        </w:tc>
        <w:tc>
          <w:tcPr>
            <w:tcW w:w="1112" w:type="pct"/>
            <w:tcBorders>
              <w:top w:val="nil"/>
              <w:left w:val="nil"/>
              <w:bottom w:val="nil"/>
              <w:right w:val="nil"/>
            </w:tcBorders>
            <w:shd w:val="clear" w:color="auto" w:fill="auto"/>
            <w:vAlign w:val="center"/>
            <w:hideMark/>
          </w:tcPr>
          <w:p w14:paraId="31301AE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1CE2555A" w14:textId="77777777" w:rsidTr="00C26FCE">
        <w:trPr>
          <w:trHeight w:val="855"/>
        </w:trPr>
        <w:tc>
          <w:tcPr>
            <w:tcW w:w="3141" w:type="pct"/>
            <w:tcBorders>
              <w:top w:val="nil"/>
              <w:left w:val="nil"/>
              <w:bottom w:val="nil"/>
              <w:right w:val="nil"/>
            </w:tcBorders>
            <w:shd w:val="clear" w:color="auto" w:fill="auto"/>
            <w:vAlign w:val="center"/>
            <w:hideMark/>
          </w:tcPr>
          <w:p w14:paraId="342A7D78"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stay current with researches that support improved student learning outcomes, including findings from the learning sciences.</w:t>
            </w:r>
          </w:p>
        </w:tc>
        <w:tc>
          <w:tcPr>
            <w:tcW w:w="748" w:type="pct"/>
            <w:tcBorders>
              <w:top w:val="nil"/>
              <w:left w:val="nil"/>
              <w:bottom w:val="nil"/>
              <w:right w:val="nil"/>
            </w:tcBorders>
            <w:shd w:val="clear" w:color="auto" w:fill="auto"/>
            <w:noWrap/>
            <w:vAlign w:val="center"/>
            <w:hideMark/>
          </w:tcPr>
          <w:p w14:paraId="5D1C349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3.98</w:t>
            </w:r>
          </w:p>
        </w:tc>
        <w:tc>
          <w:tcPr>
            <w:tcW w:w="1112" w:type="pct"/>
            <w:tcBorders>
              <w:top w:val="nil"/>
              <w:left w:val="nil"/>
              <w:bottom w:val="nil"/>
              <w:right w:val="nil"/>
            </w:tcBorders>
            <w:shd w:val="clear" w:color="auto" w:fill="auto"/>
            <w:vAlign w:val="center"/>
            <w:hideMark/>
          </w:tcPr>
          <w:p w14:paraId="1E1B6AF1"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1E5BFCDB" w14:textId="77777777" w:rsidTr="00C26FCE">
        <w:trPr>
          <w:trHeight w:val="855"/>
        </w:trPr>
        <w:tc>
          <w:tcPr>
            <w:tcW w:w="3141" w:type="pct"/>
            <w:tcBorders>
              <w:top w:val="nil"/>
              <w:left w:val="nil"/>
              <w:bottom w:val="nil"/>
              <w:right w:val="nil"/>
            </w:tcBorders>
            <w:shd w:val="clear" w:color="auto" w:fill="auto"/>
            <w:vAlign w:val="center"/>
            <w:hideMark/>
          </w:tcPr>
          <w:p w14:paraId="31F12135"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dedicate planning time to collaborate with colleagues to create authentic learning experiences that leverage technology.</w:t>
            </w:r>
          </w:p>
        </w:tc>
        <w:tc>
          <w:tcPr>
            <w:tcW w:w="748" w:type="pct"/>
            <w:tcBorders>
              <w:top w:val="nil"/>
              <w:left w:val="nil"/>
              <w:bottom w:val="nil"/>
              <w:right w:val="nil"/>
            </w:tcBorders>
            <w:shd w:val="clear" w:color="auto" w:fill="auto"/>
            <w:noWrap/>
            <w:vAlign w:val="center"/>
            <w:hideMark/>
          </w:tcPr>
          <w:p w14:paraId="0A93BAFC"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3.98</w:t>
            </w:r>
          </w:p>
        </w:tc>
        <w:tc>
          <w:tcPr>
            <w:tcW w:w="1112" w:type="pct"/>
            <w:tcBorders>
              <w:top w:val="nil"/>
              <w:left w:val="nil"/>
              <w:bottom w:val="nil"/>
              <w:right w:val="nil"/>
            </w:tcBorders>
            <w:shd w:val="clear" w:color="auto" w:fill="auto"/>
            <w:vAlign w:val="center"/>
            <w:hideMark/>
          </w:tcPr>
          <w:p w14:paraId="60790905"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381DB7A3" w14:textId="77777777" w:rsidTr="00C26FCE">
        <w:trPr>
          <w:trHeight w:val="570"/>
        </w:trPr>
        <w:tc>
          <w:tcPr>
            <w:tcW w:w="3141" w:type="pct"/>
            <w:tcBorders>
              <w:top w:val="nil"/>
              <w:left w:val="nil"/>
              <w:bottom w:val="nil"/>
              <w:right w:val="nil"/>
            </w:tcBorders>
            <w:shd w:val="clear" w:color="auto" w:fill="auto"/>
            <w:vAlign w:val="center"/>
            <w:hideMark/>
          </w:tcPr>
          <w:p w14:paraId="4A001096"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model and promote management of personal data, digital identity, and protection of student data.</w:t>
            </w:r>
          </w:p>
        </w:tc>
        <w:tc>
          <w:tcPr>
            <w:tcW w:w="748" w:type="pct"/>
            <w:tcBorders>
              <w:top w:val="nil"/>
              <w:left w:val="nil"/>
              <w:bottom w:val="nil"/>
              <w:right w:val="nil"/>
            </w:tcBorders>
            <w:shd w:val="clear" w:color="auto" w:fill="auto"/>
            <w:noWrap/>
            <w:vAlign w:val="center"/>
            <w:hideMark/>
          </w:tcPr>
          <w:p w14:paraId="7F8918B7"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3.96</w:t>
            </w:r>
          </w:p>
        </w:tc>
        <w:tc>
          <w:tcPr>
            <w:tcW w:w="1112" w:type="pct"/>
            <w:tcBorders>
              <w:top w:val="nil"/>
              <w:left w:val="nil"/>
              <w:bottom w:val="nil"/>
              <w:right w:val="nil"/>
            </w:tcBorders>
            <w:shd w:val="clear" w:color="auto" w:fill="auto"/>
            <w:vAlign w:val="center"/>
            <w:hideMark/>
          </w:tcPr>
          <w:p w14:paraId="49861699"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2AF623FA" w14:textId="77777777" w:rsidTr="00C26FCE">
        <w:trPr>
          <w:trHeight w:val="855"/>
        </w:trPr>
        <w:tc>
          <w:tcPr>
            <w:tcW w:w="3141" w:type="pct"/>
            <w:tcBorders>
              <w:top w:val="nil"/>
              <w:left w:val="nil"/>
              <w:bottom w:val="nil"/>
              <w:right w:val="nil"/>
            </w:tcBorders>
            <w:shd w:val="clear" w:color="auto" w:fill="auto"/>
            <w:vAlign w:val="center"/>
            <w:hideMark/>
          </w:tcPr>
          <w:p w14:paraId="671AA9B3"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use technology to create, adapt and personalize learning experiences that foster independent learning and accommodate learner differences and needs.</w:t>
            </w:r>
          </w:p>
        </w:tc>
        <w:tc>
          <w:tcPr>
            <w:tcW w:w="748" w:type="pct"/>
            <w:tcBorders>
              <w:top w:val="nil"/>
              <w:left w:val="nil"/>
              <w:bottom w:val="nil"/>
              <w:right w:val="nil"/>
            </w:tcBorders>
            <w:shd w:val="clear" w:color="auto" w:fill="auto"/>
            <w:noWrap/>
            <w:vAlign w:val="center"/>
            <w:hideMark/>
          </w:tcPr>
          <w:p w14:paraId="04ED2ECB"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3.93</w:t>
            </w:r>
          </w:p>
        </w:tc>
        <w:tc>
          <w:tcPr>
            <w:tcW w:w="1112" w:type="pct"/>
            <w:tcBorders>
              <w:top w:val="nil"/>
              <w:left w:val="nil"/>
              <w:bottom w:val="nil"/>
              <w:right w:val="nil"/>
            </w:tcBorders>
            <w:shd w:val="clear" w:color="auto" w:fill="auto"/>
            <w:vAlign w:val="center"/>
            <w:hideMark/>
          </w:tcPr>
          <w:p w14:paraId="1A28D167"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0B1DE28D" w14:textId="77777777" w:rsidTr="00C26FCE">
        <w:trPr>
          <w:trHeight w:val="855"/>
        </w:trPr>
        <w:tc>
          <w:tcPr>
            <w:tcW w:w="3141" w:type="pct"/>
            <w:tcBorders>
              <w:top w:val="nil"/>
              <w:left w:val="nil"/>
              <w:bottom w:val="nil"/>
              <w:right w:val="nil"/>
            </w:tcBorders>
            <w:shd w:val="clear" w:color="auto" w:fill="auto"/>
            <w:vAlign w:val="center"/>
            <w:hideMark/>
          </w:tcPr>
          <w:p w14:paraId="3FCEF334"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shape, advance and accelerate a shared vision for empowered learning with technology by engaging with education stakeholders.</w:t>
            </w:r>
          </w:p>
        </w:tc>
        <w:tc>
          <w:tcPr>
            <w:tcW w:w="748" w:type="pct"/>
            <w:tcBorders>
              <w:top w:val="nil"/>
              <w:left w:val="nil"/>
              <w:bottom w:val="nil"/>
              <w:right w:val="nil"/>
            </w:tcBorders>
            <w:shd w:val="clear" w:color="auto" w:fill="auto"/>
            <w:noWrap/>
            <w:vAlign w:val="center"/>
            <w:hideMark/>
          </w:tcPr>
          <w:p w14:paraId="0154F360"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3.93</w:t>
            </w:r>
          </w:p>
        </w:tc>
        <w:tc>
          <w:tcPr>
            <w:tcW w:w="1112" w:type="pct"/>
            <w:tcBorders>
              <w:top w:val="nil"/>
              <w:left w:val="nil"/>
              <w:bottom w:val="nil"/>
              <w:right w:val="nil"/>
            </w:tcBorders>
            <w:shd w:val="clear" w:color="auto" w:fill="auto"/>
            <w:vAlign w:val="center"/>
            <w:hideMark/>
          </w:tcPr>
          <w:p w14:paraId="3309696A"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0D53A45A" w14:textId="77777777" w:rsidTr="00C26FCE">
        <w:trPr>
          <w:trHeight w:val="570"/>
        </w:trPr>
        <w:tc>
          <w:tcPr>
            <w:tcW w:w="3141" w:type="pct"/>
            <w:tcBorders>
              <w:top w:val="nil"/>
              <w:left w:val="nil"/>
              <w:bottom w:val="nil"/>
              <w:right w:val="nil"/>
            </w:tcBorders>
            <w:shd w:val="clear" w:color="auto" w:fill="auto"/>
            <w:vAlign w:val="center"/>
            <w:hideMark/>
          </w:tcPr>
          <w:p w14:paraId="1488EE70"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pursue professional interests by creating and actively participating in local and global learning networks.</w:t>
            </w:r>
          </w:p>
        </w:tc>
        <w:tc>
          <w:tcPr>
            <w:tcW w:w="748" w:type="pct"/>
            <w:tcBorders>
              <w:top w:val="nil"/>
              <w:left w:val="nil"/>
              <w:bottom w:val="nil"/>
              <w:right w:val="nil"/>
            </w:tcBorders>
            <w:shd w:val="clear" w:color="auto" w:fill="auto"/>
            <w:noWrap/>
            <w:vAlign w:val="center"/>
            <w:hideMark/>
          </w:tcPr>
          <w:p w14:paraId="64300B26"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3.93</w:t>
            </w:r>
          </w:p>
        </w:tc>
        <w:tc>
          <w:tcPr>
            <w:tcW w:w="1112" w:type="pct"/>
            <w:tcBorders>
              <w:top w:val="nil"/>
              <w:left w:val="nil"/>
              <w:bottom w:val="nil"/>
              <w:right w:val="nil"/>
            </w:tcBorders>
            <w:shd w:val="clear" w:color="auto" w:fill="auto"/>
            <w:vAlign w:val="center"/>
            <w:hideMark/>
          </w:tcPr>
          <w:p w14:paraId="2228ABCD"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054DB641" w14:textId="77777777" w:rsidTr="00C26FCE">
        <w:trPr>
          <w:trHeight w:val="570"/>
        </w:trPr>
        <w:tc>
          <w:tcPr>
            <w:tcW w:w="3141" w:type="pct"/>
            <w:tcBorders>
              <w:top w:val="nil"/>
              <w:left w:val="nil"/>
              <w:bottom w:val="nil"/>
              <w:right w:val="nil"/>
            </w:tcBorders>
            <w:shd w:val="clear" w:color="auto" w:fill="auto"/>
            <w:vAlign w:val="center"/>
            <w:hideMark/>
          </w:tcPr>
          <w:p w14:paraId="5CD4D21B"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explore promising innovations, and reflect on their effectiveness.</w:t>
            </w:r>
          </w:p>
        </w:tc>
        <w:tc>
          <w:tcPr>
            <w:tcW w:w="748" w:type="pct"/>
            <w:tcBorders>
              <w:top w:val="nil"/>
              <w:left w:val="nil"/>
              <w:bottom w:val="nil"/>
              <w:right w:val="nil"/>
            </w:tcBorders>
            <w:shd w:val="clear" w:color="auto" w:fill="auto"/>
            <w:noWrap/>
            <w:vAlign w:val="center"/>
            <w:hideMark/>
          </w:tcPr>
          <w:p w14:paraId="6B8D4599"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3.92</w:t>
            </w:r>
          </w:p>
        </w:tc>
        <w:tc>
          <w:tcPr>
            <w:tcW w:w="1112" w:type="pct"/>
            <w:tcBorders>
              <w:top w:val="nil"/>
              <w:left w:val="nil"/>
              <w:bottom w:val="nil"/>
              <w:right w:val="nil"/>
            </w:tcBorders>
            <w:shd w:val="clear" w:color="auto" w:fill="auto"/>
            <w:vAlign w:val="center"/>
            <w:hideMark/>
          </w:tcPr>
          <w:p w14:paraId="25B3FF16"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51F25415" w14:textId="77777777" w:rsidTr="00C26FCE">
        <w:trPr>
          <w:trHeight w:val="1140"/>
        </w:trPr>
        <w:tc>
          <w:tcPr>
            <w:tcW w:w="3141" w:type="pct"/>
            <w:tcBorders>
              <w:top w:val="nil"/>
              <w:left w:val="nil"/>
              <w:bottom w:val="nil"/>
              <w:right w:val="nil"/>
            </w:tcBorders>
            <w:shd w:val="clear" w:color="auto" w:fill="auto"/>
            <w:vAlign w:val="center"/>
            <w:hideMark/>
          </w:tcPr>
          <w:p w14:paraId="11558520"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use technology to analyze assessment data, guide progress, personalize learning, and communicate feedback to education stakeholders, supporting students in reaching their learning goals.</w:t>
            </w:r>
          </w:p>
        </w:tc>
        <w:tc>
          <w:tcPr>
            <w:tcW w:w="748" w:type="pct"/>
            <w:tcBorders>
              <w:top w:val="nil"/>
              <w:left w:val="nil"/>
              <w:bottom w:val="nil"/>
              <w:right w:val="nil"/>
            </w:tcBorders>
            <w:shd w:val="clear" w:color="auto" w:fill="auto"/>
            <w:noWrap/>
            <w:vAlign w:val="center"/>
            <w:hideMark/>
          </w:tcPr>
          <w:p w14:paraId="18E0E83B"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3.91</w:t>
            </w:r>
          </w:p>
        </w:tc>
        <w:tc>
          <w:tcPr>
            <w:tcW w:w="1112" w:type="pct"/>
            <w:tcBorders>
              <w:top w:val="nil"/>
              <w:left w:val="nil"/>
              <w:bottom w:val="nil"/>
              <w:right w:val="nil"/>
            </w:tcBorders>
            <w:shd w:val="clear" w:color="auto" w:fill="auto"/>
            <w:vAlign w:val="center"/>
            <w:hideMark/>
          </w:tcPr>
          <w:p w14:paraId="0739DD7A"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68782C85" w14:textId="77777777" w:rsidTr="00C26FCE">
        <w:trPr>
          <w:trHeight w:val="570"/>
        </w:trPr>
        <w:tc>
          <w:tcPr>
            <w:tcW w:w="3141" w:type="pct"/>
            <w:tcBorders>
              <w:top w:val="nil"/>
              <w:left w:val="nil"/>
              <w:bottom w:val="nil"/>
              <w:right w:val="nil"/>
            </w:tcBorders>
            <w:shd w:val="clear" w:color="auto" w:fill="auto"/>
            <w:vAlign w:val="center"/>
            <w:hideMark/>
          </w:tcPr>
          <w:p w14:paraId="58907D66"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lastRenderedPageBreak/>
              <w:t>I can provide alternative ways for students to demonstrate competency and reflect on their learning using technology.</w:t>
            </w:r>
          </w:p>
        </w:tc>
        <w:tc>
          <w:tcPr>
            <w:tcW w:w="748" w:type="pct"/>
            <w:tcBorders>
              <w:top w:val="nil"/>
              <w:left w:val="nil"/>
              <w:bottom w:val="nil"/>
              <w:right w:val="nil"/>
            </w:tcBorders>
            <w:shd w:val="clear" w:color="auto" w:fill="auto"/>
            <w:noWrap/>
            <w:vAlign w:val="center"/>
            <w:hideMark/>
          </w:tcPr>
          <w:p w14:paraId="3A278EB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3.90</w:t>
            </w:r>
          </w:p>
        </w:tc>
        <w:tc>
          <w:tcPr>
            <w:tcW w:w="1112" w:type="pct"/>
            <w:tcBorders>
              <w:top w:val="nil"/>
              <w:left w:val="nil"/>
              <w:bottom w:val="nil"/>
              <w:right w:val="nil"/>
            </w:tcBorders>
            <w:shd w:val="clear" w:color="auto" w:fill="auto"/>
            <w:vAlign w:val="center"/>
            <w:hideMark/>
          </w:tcPr>
          <w:p w14:paraId="1A9BDCF4"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6A67477A" w14:textId="77777777" w:rsidTr="00C26FCE">
        <w:trPr>
          <w:trHeight w:val="855"/>
        </w:trPr>
        <w:tc>
          <w:tcPr>
            <w:tcW w:w="3141" w:type="pct"/>
            <w:tcBorders>
              <w:top w:val="nil"/>
              <w:left w:val="nil"/>
              <w:bottom w:val="nil"/>
              <w:right w:val="nil"/>
            </w:tcBorders>
            <w:shd w:val="clear" w:color="auto" w:fill="auto"/>
            <w:vAlign w:val="center"/>
            <w:hideMark/>
          </w:tcPr>
          <w:p w14:paraId="6550C6C7"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foster a technology-rich culture where students take ownership of their learning goals and outcomes in both independent and group settings.</w:t>
            </w:r>
          </w:p>
        </w:tc>
        <w:tc>
          <w:tcPr>
            <w:tcW w:w="748" w:type="pct"/>
            <w:tcBorders>
              <w:top w:val="nil"/>
              <w:left w:val="nil"/>
              <w:bottom w:val="nil"/>
              <w:right w:val="nil"/>
            </w:tcBorders>
            <w:shd w:val="clear" w:color="auto" w:fill="auto"/>
            <w:noWrap/>
            <w:vAlign w:val="center"/>
            <w:hideMark/>
          </w:tcPr>
          <w:p w14:paraId="66E69FAD"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3.89</w:t>
            </w:r>
          </w:p>
        </w:tc>
        <w:tc>
          <w:tcPr>
            <w:tcW w:w="1112" w:type="pct"/>
            <w:tcBorders>
              <w:top w:val="nil"/>
              <w:left w:val="nil"/>
              <w:bottom w:val="nil"/>
              <w:right w:val="nil"/>
            </w:tcBorders>
            <w:shd w:val="clear" w:color="auto" w:fill="auto"/>
            <w:vAlign w:val="center"/>
            <w:hideMark/>
          </w:tcPr>
          <w:p w14:paraId="38889274"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553D40FF" w14:textId="77777777" w:rsidTr="00C26FCE">
        <w:trPr>
          <w:trHeight w:val="855"/>
        </w:trPr>
        <w:tc>
          <w:tcPr>
            <w:tcW w:w="3141" w:type="pct"/>
            <w:tcBorders>
              <w:top w:val="nil"/>
              <w:left w:val="nil"/>
              <w:bottom w:val="nil"/>
              <w:right w:val="nil"/>
            </w:tcBorders>
            <w:shd w:val="clear" w:color="auto" w:fill="auto"/>
            <w:vAlign w:val="center"/>
            <w:hideMark/>
          </w:tcPr>
          <w:p w14:paraId="172DFD46"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use technology to design and implement a variety of formative and summative assessments that accommodate learner needs.</w:t>
            </w:r>
          </w:p>
        </w:tc>
        <w:tc>
          <w:tcPr>
            <w:tcW w:w="748" w:type="pct"/>
            <w:tcBorders>
              <w:top w:val="nil"/>
              <w:left w:val="nil"/>
              <w:bottom w:val="nil"/>
              <w:right w:val="nil"/>
            </w:tcBorders>
            <w:shd w:val="clear" w:color="auto" w:fill="auto"/>
            <w:noWrap/>
            <w:vAlign w:val="center"/>
            <w:hideMark/>
          </w:tcPr>
          <w:p w14:paraId="5A5A13C3"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3.88</w:t>
            </w:r>
          </w:p>
        </w:tc>
        <w:tc>
          <w:tcPr>
            <w:tcW w:w="1112" w:type="pct"/>
            <w:tcBorders>
              <w:top w:val="nil"/>
              <w:left w:val="nil"/>
              <w:bottom w:val="nil"/>
              <w:right w:val="nil"/>
            </w:tcBorders>
            <w:shd w:val="clear" w:color="auto" w:fill="auto"/>
            <w:vAlign w:val="center"/>
            <w:hideMark/>
          </w:tcPr>
          <w:p w14:paraId="4CB4F58F"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1C8E833D" w14:textId="77777777" w:rsidTr="00C26FCE">
        <w:trPr>
          <w:trHeight w:val="855"/>
        </w:trPr>
        <w:tc>
          <w:tcPr>
            <w:tcW w:w="3141" w:type="pct"/>
            <w:tcBorders>
              <w:top w:val="nil"/>
              <w:left w:val="nil"/>
              <w:bottom w:val="nil"/>
              <w:right w:val="nil"/>
            </w:tcBorders>
            <w:shd w:val="clear" w:color="auto" w:fill="auto"/>
            <w:vAlign w:val="center"/>
            <w:hideMark/>
          </w:tcPr>
          <w:p w14:paraId="29F34C82"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demonstrate technological competency when communicating with students, parents and colleagues and interact with them as co-collaborators in student learning.</w:t>
            </w:r>
          </w:p>
        </w:tc>
        <w:tc>
          <w:tcPr>
            <w:tcW w:w="748" w:type="pct"/>
            <w:tcBorders>
              <w:top w:val="nil"/>
              <w:left w:val="nil"/>
              <w:bottom w:val="nil"/>
              <w:right w:val="nil"/>
            </w:tcBorders>
            <w:shd w:val="clear" w:color="auto" w:fill="auto"/>
            <w:noWrap/>
            <w:vAlign w:val="center"/>
            <w:hideMark/>
          </w:tcPr>
          <w:p w14:paraId="75CAD0D8"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3.85</w:t>
            </w:r>
          </w:p>
        </w:tc>
        <w:tc>
          <w:tcPr>
            <w:tcW w:w="1112" w:type="pct"/>
            <w:tcBorders>
              <w:top w:val="nil"/>
              <w:left w:val="nil"/>
              <w:bottom w:val="nil"/>
              <w:right w:val="nil"/>
            </w:tcBorders>
            <w:shd w:val="clear" w:color="auto" w:fill="auto"/>
            <w:vAlign w:val="center"/>
            <w:hideMark/>
          </w:tcPr>
          <w:p w14:paraId="00BAE276"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3CB51EB5" w14:textId="77777777" w:rsidTr="00C26FCE">
        <w:trPr>
          <w:trHeight w:val="855"/>
        </w:trPr>
        <w:tc>
          <w:tcPr>
            <w:tcW w:w="3141" w:type="pct"/>
            <w:tcBorders>
              <w:top w:val="nil"/>
              <w:left w:val="nil"/>
              <w:bottom w:val="nil"/>
              <w:right w:val="nil"/>
            </w:tcBorders>
            <w:shd w:val="clear" w:color="auto" w:fill="auto"/>
            <w:vAlign w:val="center"/>
            <w:hideMark/>
          </w:tcPr>
          <w:p w14:paraId="224D81BF"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model and nurture creativity and creative expression through the use of technology to communicate ideas, knowledge, or connections.</w:t>
            </w:r>
          </w:p>
        </w:tc>
        <w:tc>
          <w:tcPr>
            <w:tcW w:w="748" w:type="pct"/>
            <w:tcBorders>
              <w:top w:val="nil"/>
              <w:left w:val="nil"/>
              <w:bottom w:val="nil"/>
              <w:right w:val="nil"/>
            </w:tcBorders>
            <w:shd w:val="clear" w:color="auto" w:fill="auto"/>
            <w:noWrap/>
            <w:vAlign w:val="center"/>
            <w:hideMark/>
          </w:tcPr>
          <w:p w14:paraId="12773F6A"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3.81</w:t>
            </w:r>
          </w:p>
        </w:tc>
        <w:tc>
          <w:tcPr>
            <w:tcW w:w="1112" w:type="pct"/>
            <w:tcBorders>
              <w:top w:val="nil"/>
              <w:left w:val="nil"/>
              <w:bottom w:val="nil"/>
              <w:right w:val="nil"/>
            </w:tcBorders>
            <w:shd w:val="clear" w:color="auto" w:fill="auto"/>
            <w:vAlign w:val="center"/>
            <w:hideMark/>
          </w:tcPr>
          <w:p w14:paraId="03C87820"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5659CFEE" w14:textId="77777777" w:rsidTr="00C26FCE">
        <w:trPr>
          <w:trHeight w:val="855"/>
        </w:trPr>
        <w:tc>
          <w:tcPr>
            <w:tcW w:w="3141" w:type="pct"/>
            <w:tcBorders>
              <w:top w:val="nil"/>
              <w:left w:val="nil"/>
              <w:bottom w:val="nil"/>
              <w:right w:val="nil"/>
            </w:tcBorders>
            <w:shd w:val="clear" w:color="auto" w:fill="auto"/>
            <w:vAlign w:val="center"/>
            <w:hideMark/>
          </w:tcPr>
          <w:p w14:paraId="0B67D4FE"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design authentic learning activities that align with educational standards and use digital tools and resources to maximize learning.</w:t>
            </w:r>
          </w:p>
        </w:tc>
        <w:tc>
          <w:tcPr>
            <w:tcW w:w="748" w:type="pct"/>
            <w:tcBorders>
              <w:top w:val="nil"/>
              <w:left w:val="nil"/>
              <w:bottom w:val="nil"/>
              <w:right w:val="nil"/>
            </w:tcBorders>
            <w:shd w:val="clear" w:color="auto" w:fill="auto"/>
            <w:noWrap/>
            <w:vAlign w:val="center"/>
            <w:hideMark/>
          </w:tcPr>
          <w:p w14:paraId="2962DE28"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3.78</w:t>
            </w:r>
          </w:p>
        </w:tc>
        <w:tc>
          <w:tcPr>
            <w:tcW w:w="1112" w:type="pct"/>
            <w:tcBorders>
              <w:top w:val="nil"/>
              <w:left w:val="nil"/>
              <w:bottom w:val="nil"/>
              <w:right w:val="nil"/>
            </w:tcBorders>
            <w:shd w:val="clear" w:color="auto" w:fill="auto"/>
            <w:vAlign w:val="center"/>
            <w:hideMark/>
          </w:tcPr>
          <w:p w14:paraId="50F15BC1"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00C0F82F" w14:textId="77777777" w:rsidTr="00C26FCE">
        <w:trPr>
          <w:trHeight w:val="855"/>
        </w:trPr>
        <w:tc>
          <w:tcPr>
            <w:tcW w:w="3141" w:type="pct"/>
            <w:tcBorders>
              <w:top w:val="nil"/>
              <w:left w:val="nil"/>
              <w:bottom w:val="nil"/>
              <w:right w:val="nil"/>
            </w:tcBorders>
            <w:shd w:val="clear" w:color="auto" w:fill="auto"/>
            <w:vAlign w:val="center"/>
            <w:hideMark/>
          </w:tcPr>
          <w:p w14:paraId="4E8ACEFA"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apply evidence-based instructional design principles to create innovative and equitable digital learning environments that support learning.</w:t>
            </w:r>
          </w:p>
        </w:tc>
        <w:tc>
          <w:tcPr>
            <w:tcW w:w="748" w:type="pct"/>
            <w:tcBorders>
              <w:top w:val="nil"/>
              <w:left w:val="nil"/>
              <w:bottom w:val="nil"/>
              <w:right w:val="nil"/>
            </w:tcBorders>
            <w:shd w:val="clear" w:color="auto" w:fill="auto"/>
            <w:noWrap/>
            <w:vAlign w:val="center"/>
            <w:hideMark/>
          </w:tcPr>
          <w:p w14:paraId="3E332DC7"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3.75</w:t>
            </w:r>
          </w:p>
        </w:tc>
        <w:tc>
          <w:tcPr>
            <w:tcW w:w="1112" w:type="pct"/>
            <w:tcBorders>
              <w:top w:val="nil"/>
              <w:left w:val="nil"/>
              <w:bottom w:val="nil"/>
              <w:right w:val="nil"/>
            </w:tcBorders>
            <w:shd w:val="clear" w:color="auto" w:fill="auto"/>
            <w:vAlign w:val="center"/>
            <w:hideMark/>
          </w:tcPr>
          <w:p w14:paraId="4C7006C8"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3E747BAE" w14:textId="77777777" w:rsidTr="00C26FCE">
        <w:trPr>
          <w:trHeight w:val="855"/>
        </w:trPr>
        <w:tc>
          <w:tcPr>
            <w:tcW w:w="3141" w:type="pct"/>
            <w:tcBorders>
              <w:top w:val="nil"/>
              <w:left w:val="nil"/>
              <w:bottom w:val="nil"/>
              <w:right w:val="nil"/>
            </w:tcBorders>
            <w:shd w:val="clear" w:color="auto" w:fill="auto"/>
            <w:vAlign w:val="center"/>
            <w:hideMark/>
          </w:tcPr>
          <w:p w14:paraId="05FDC82B"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use collaborative tools to expand students’ authentic, real-world learning experiences by engaging virtually with experts, teams and students, locally and globally.</w:t>
            </w:r>
          </w:p>
        </w:tc>
        <w:tc>
          <w:tcPr>
            <w:tcW w:w="748" w:type="pct"/>
            <w:tcBorders>
              <w:top w:val="nil"/>
              <w:left w:val="nil"/>
              <w:bottom w:val="nil"/>
              <w:right w:val="nil"/>
            </w:tcBorders>
            <w:shd w:val="clear" w:color="auto" w:fill="auto"/>
            <w:noWrap/>
            <w:vAlign w:val="center"/>
            <w:hideMark/>
          </w:tcPr>
          <w:p w14:paraId="73F4C9B9"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3.69</w:t>
            </w:r>
          </w:p>
        </w:tc>
        <w:tc>
          <w:tcPr>
            <w:tcW w:w="1112" w:type="pct"/>
            <w:tcBorders>
              <w:top w:val="nil"/>
              <w:left w:val="nil"/>
              <w:bottom w:val="nil"/>
              <w:right w:val="nil"/>
            </w:tcBorders>
            <w:shd w:val="clear" w:color="auto" w:fill="auto"/>
            <w:vAlign w:val="center"/>
            <w:hideMark/>
          </w:tcPr>
          <w:p w14:paraId="10EBBB13"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4A346D5D" w14:textId="77777777" w:rsidTr="00C26FCE">
        <w:trPr>
          <w:trHeight w:val="855"/>
        </w:trPr>
        <w:tc>
          <w:tcPr>
            <w:tcW w:w="3141" w:type="pct"/>
            <w:tcBorders>
              <w:top w:val="nil"/>
              <w:left w:val="nil"/>
              <w:bottom w:val="nil"/>
              <w:right w:val="nil"/>
            </w:tcBorders>
            <w:shd w:val="clear" w:color="auto" w:fill="auto"/>
            <w:vAlign w:val="center"/>
            <w:hideMark/>
          </w:tcPr>
          <w:p w14:paraId="15B98965"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create technology-enhanced learning opportunities that challenge students to use a design process and/or computational thinking to innovate and solve problems.</w:t>
            </w:r>
          </w:p>
        </w:tc>
        <w:tc>
          <w:tcPr>
            <w:tcW w:w="748" w:type="pct"/>
            <w:tcBorders>
              <w:top w:val="nil"/>
              <w:left w:val="nil"/>
              <w:bottom w:val="nil"/>
              <w:right w:val="nil"/>
            </w:tcBorders>
            <w:shd w:val="clear" w:color="auto" w:fill="auto"/>
            <w:noWrap/>
            <w:vAlign w:val="center"/>
            <w:hideMark/>
          </w:tcPr>
          <w:p w14:paraId="09D8B09A"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3.67</w:t>
            </w:r>
          </w:p>
        </w:tc>
        <w:tc>
          <w:tcPr>
            <w:tcW w:w="1112" w:type="pct"/>
            <w:tcBorders>
              <w:top w:val="nil"/>
              <w:left w:val="nil"/>
              <w:bottom w:val="nil"/>
              <w:right w:val="nil"/>
            </w:tcBorders>
            <w:shd w:val="clear" w:color="auto" w:fill="auto"/>
            <w:vAlign w:val="center"/>
            <w:hideMark/>
          </w:tcPr>
          <w:p w14:paraId="58FBAD4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0292CBA0" w14:textId="77777777" w:rsidTr="00C26FCE">
        <w:trPr>
          <w:trHeight w:val="855"/>
        </w:trPr>
        <w:tc>
          <w:tcPr>
            <w:tcW w:w="3141" w:type="pct"/>
            <w:tcBorders>
              <w:top w:val="nil"/>
              <w:left w:val="nil"/>
              <w:bottom w:val="nil"/>
              <w:right w:val="nil"/>
            </w:tcBorders>
            <w:shd w:val="clear" w:color="auto" w:fill="auto"/>
            <w:vAlign w:val="center"/>
            <w:hideMark/>
          </w:tcPr>
          <w:p w14:paraId="5854756E"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model for colleagues the identification, experimentation, evaluation, curation and adoption of new digital resources and tools for learning.</w:t>
            </w:r>
          </w:p>
        </w:tc>
        <w:tc>
          <w:tcPr>
            <w:tcW w:w="748" w:type="pct"/>
            <w:tcBorders>
              <w:top w:val="nil"/>
              <w:left w:val="nil"/>
              <w:bottom w:val="nil"/>
              <w:right w:val="nil"/>
            </w:tcBorders>
            <w:shd w:val="clear" w:color="auto" w:fill="auto"/>
            <w:noWrap/>
            <w:vAlign w:val="center"/>
            <w:hideMark/>
          </w:tcPr>
          <w:p w14:paraId="3B29E556"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3.66</w:t>
            </w:r>
          </w:p>
        </w:tc>
        <w:tc>
          <w:tcPr>
            <w:tcW w:w="1112" w:type="pct"/>
            <w:tcBorders>
              <w:top w:val="nil"/>
              <w:left w:val="nil"/>
              <w:bottom w:val="nil"/>
              <w:right w:val="nil"/>
            </w:tcBorders>
            <w:shd w:val="clear" w:color="auto" w:fill="auto"/>
            <w:vAlign w:val="center"/>
            <w:hideMark/>
          </w:tcPr>
          <w:p w14:paraId="514FEF0E"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Proficient</w:t>
            </w:r>
          </w:p>
        </w:tc>
      </w:tr>
      <w:tr w:rsidR="00C26FCE" w:rsidRPr="00C26FCE" w14:paraId="2F1CA887" w14:textId="77777777" w:rsidTr="00C26FCE">
        <w:trPr>
          <w:trHeight w:val="285"/>
        </w:trPr>
        <w:tc>
          <w:tcPr>
            <w:tcW w:w="3141" w:type="pct"/>
            <w:tcBorders>
              <w:top w:val="nil"/>
              <w:left w:val="nil"/>
              <w:bottom w:val="nil"/>
              <w:right w:val="nil"/>
            </w:tcBorders>
            <w:shd w:val="clear" w:color="auto" w:fill="auto"/>
            <w:vAlign w:val="center"/>
            <w:hideMark/>
          </w:tcPr>
          <w:p w14:paraId="549A5CF1" w14:textId="77777777" w:rsidR="00C26FCE" w:rsidRPr="00C26FCE" w:rsidRDefault="00C26FCE" w:rsidP="00C26FCE">
            <w:pPr>
              <w:jc w:val="both"/>
              <w:rPr>
                <w:rFonts w:eastAsia="Times New Roman"/>
                <w:color w:val="000000"/>
                <w:sz w:val="22"/>
                <w:szCs w:val="22"/>
              </w:rPr>
            </w:pPr>
            <w:r w:rsidRPr="00C26FCE">
              <w:rPr>
                <w:rFonts w:eastAsia="Times New Roman"/>
                <w:color w:val="000000"/>
                <w:sz w:val="22"/>
                <w:szCs w:val="22"/>
                <w:lang w:val="en-PH"/>
              </w:rPr>
              <w:t>I can diagnose and troubleshoot technology issues.</w:t>
            </w:r>
          </w:p>
        </w:tc>
        <w:tc>
          <w:tcPr>
            <w:tcW w:w="748" w:type="pct"/>
            <w:tcBorders>
              <w:top w:val="nil"/>
              <w:left w:val="nil"/>
              <w:bottom w:val="nil"/>
              <w:right w:val="nil"/>
            </w:tcBorders>
            <w:shd w:val="clear" w:color="auto" w:fill="auto"/>
            <w:noWrap/>
            <w:vAlign w:val="center"/>
            <w:hideMark/>
          </w:tcPr>
          <w:p w14:paraId="40EC5CA6"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3.22</w:t>
            </w:r>
          </w:p>
        </w:tc>
        <w:tc>
          <w:tcPr>
            <w:tcW w:w="1112" w:type="pct"/>
            <w:tcBorders>
              <w:top w:val="nil"/>
              <w:left w:val="nil"/>
              <w:bottom w:val="nil"/>
              <w:right w:val="nil"/>
            </w:tcBorders>
            <w:shd w:val="clear" w:color="auto" w:fill="auto"/>
            <w:vAlign w:val="center"/>
            <w:hideMark/>
          </w:tcPr>
          <w:p w14:paraId="46AB27A4" w14:textId="77777777" w:rsidR="00C26FCE" w:rsidRPr="00C26FCE" w:rsidRDefault="00C26FCE" w:rsidP="00C26FCE">
            <w:pPr>
              <w:jc w:val="center"/>
              <w:rPr>
                <w:rFonts w:eastAsia="Times New Roman"/>
                <w:color w:val="000000"/>
                <w:sz w:val="22"/>
                <w:szCs w:val="22"/>
              </w:rPr>
            </w:pPr>
            <w:r w:rsidRPr="00C26FCE">
              <w:rPr>
                <w:rFonts w:eastAsia="Times New Roman"/>
                <w:color w:val="000000"/>
                <w:sz w:val="22"/>
                <w:szCs w:val="22"/>
                <w:lang w:val="en-PH"/>
              </w:rPr>
              <w:t>Developing</w:t>
            </w:r>
          </w:p>
        </w:tc>
      </w:tr>
      <w:tr w:rsidR="00C26FCE" w:rsidRPr="00C26FCE" w14:paraId="73F4AB62" w14:textId="77777777" w:rsidTr="00C26FCE">
        <w:trPr>
          <w:trHeight w:val="485"/>
        </w:trPr>
        <w:tc>
          <w:tcPr>
            <w:tcW w:w="3141" w:type="pct"/>
            <w:tcBorders>
              <w:top w:val="single" w:sz="4" w:space="0" w:color="auto"/>
              <w:left w:val="nil"/>
              <w:bottom w:val="single" w:sz="4" w:space="0" w:color="auto"/>
              <w:right w:val="nil"/>
            </w:tcBorders>
            <w:shd w:val="clear" w:color="000000" w:fill="D9D9D9"/>
            <w:noWrap/>
            <w:vAlign w:val="center"/>
            <w:hideMark/>
          </w:tcPr>
          <w:p w14:paraId="797A16BC" w14:textId="77777777" w:rsidR="00C26FCE" w:rsidRPr="00C26FCE" w:rsidRDefault="00C26FCE" w:rsidP="00C26FCE">
            <w:pPr>
              <w:jc w:val="right"/>
              <w:rPr>
                <w:rFonts w:eastAsia="Times New Roman"/>
                <w:b/>
                <w:bCs/>
                <w:color w:val="000000"/>
                <w:sz w:val="22"/>
                <w:szCs w:val="22"/>
              </w:rPr>
            </w:pPr>
            <w:r w:rsidRPr="00C26FCE">
              <w:rPr>
                <w:rFonts w:eastAsia="Times New Roman"/>
                <w:b/>
                <w:bCs/>
                <w:color w:val="000000"/>
                <w:sz w:val="22"/>
                <w:szCs w:val="22"/>
                <w:lang w:val="en-PH"/>
              </w:rPr>
              <w:t>Grand Mean</w:t>
            </w:r>
          </w:p>
        </w:tc>
        <w:tc>
          <w:tcPr>
            <w:tcW w:w="748" w:type="pct"/>
            <w:tcBorders>
              <w:top w:val="single" w:sz="4" w:space="0" w:color="auto"/>
              <w:left w:val="nil"/>
              <w:bottom w:val="single" w:sz="4" w:space="0" w:color="auto"/>
              <w:right w:val="nil"/>
            </w:tcBorders>
            <w:shd w:val="clear" w:color="000000" w:fill="D9D9D9"/>
            <w:noWrap/>
            <w:vAlign w:val="center"/>
            <w:hideMark/>
          </w:tcPr>
          <w:p w14:paraId="5BC72660" w14:textId="77777777" w:rsidR="00C26FCE" w:rsidRPr="00C26FCE" w:rsidRDefault="00C26FCE" w:rsidP="00C26FCE">
            <w:pPr>
              <w:jc w:val="center"/>
              <w:rPr>
                <w:rFonts w:eastAsia="Times New Roman"/>
                <w:b/>
                <w:bCs/>
                <w:color w:val="000000"/>
                <w:sz w:val="22"/>
                <w:szCs w:val="22"/>
              </w:rPr>
            </w:pPr>
            <w:r w:rsidRPr="00C26FCE">
              <w:rPr>
                <w:rFonts w:eastAsia="Times New Roman"/>
                <w:b/>
                <w:bCs/>
                <w:color w:val="000000"/>
                <w:sz w:val="22"/>
                <w:szCs w:val="22"/>
                <w:lang w:val="en-PH"/>
              </w:rPr>
              <w:t>3.90</w:t>
            </w:r>
          </w:p>
        </w:tc>
        <w:tc>
          <w:tcPr>
            <w:tcW w:w="1112" w:type="pct"/>
            <w:tcBorders>
              <w:top w:val="single" w:sz="4" w:space="0" w:color="auto"/>
              <w:left w:val="nil"/>
              <w:bottom w:val="single" w:sz="4" w:space="0" w:color="auto"/>
              <w:right w:val="nil"/>
            </w:tcBorders>
            <w:shd w:val="clear" w:color="000000" w:fill="D9D9D9"/>
            <w:vAlign w:val="center"/>
            <w:hideMark/>
          </w:tcPr>
          <w:p w14:paraId="0218294A" w14:textId="77777777" w:rsidR="00C26FCE" w:rsidRPr="00C26FCE" w:rsidRDefault="00C26FCE" w:rsidP="00C26FCE">
            <w:pPr>
              <w:jc w:val="center"/>
              <w:rPr>
                <w:rFonts w:eastAsia="Times New Roman"/>
                <w:b/>
                <w:bCs/>
                <w:color w:val="000000"/>
                <w:sz w:val="22"/>
                <w:szCs w:val="22"/>
              </w:rPr>
            </w:pPr>
            <w:r w:rsidRPr="00C26FCE">
              <w:rPr>
                <w:rFonts w:eastAsia="Times New Roman"/>
                <w:b/>
                <w:bCs/>
                <w:color w:val="000000"/>
                <w:sz w:val="22"/>
                <w:szCs w:val="22"/>
              </w:rPr>
              <w:t>Proficient</w:t>
            </w:r>
          </w:p>
        </w:tc>
      </w:tr>
    </w:tbl>
    <w:p w14:paraId="0C5FD4F4" w14:textId="77777777" w:rsidR="00C26FCE" w:rsidRDefault="00C26FCE" w:rsidP="00483663"/>
    <w:p w14:paraId="537952E8" w14:textId="77777777" w:rsidR="00C851F6" w:rsidRDefault="00C851F6" w:rsidP="00483663"/>
    <w:p w14:paraId="706E65F2" w14:textId="77777777" w:rsidR="00C851F6" w:rsidRPr="00C851F6" w:rsidRDefault="00C851F6" w:rsidP="00C851F6">
      <w:pPr>
        <w:ind w:firstLine="720"/>
        <w:jc w:val="both"/>
        <w:rPr>
          <w:rFonts w:eastAsia="Times New Roman"/>
          <w:color w:val="000000" w:themeColor="text1"/>
        </w:rPr>
      </w:pPr>
      <w:r w:rsidRPr="00C851F6">
        <w:rPr>
          <w:rFonts w:eastAsia="Times New Roman"/>
          <w:color w:val="000000" w:themeColor="text1"/>
        </w:rPr>
        <w:t xml:space="preserve">Table </w:t>
      </w:r>
      <w:r>
        <w:rPr>
          <w:rFonts w:eastAsia="Times New Roman"/>
          <w:color w:val="000000" w:themeColor="text1"/>
        </w:rPr>
        <w:t>3</w:t>
      </w:r>
      <w:r w:rsidRPr="00C851F6">
        <w:rPr>
          <w:rFonts w:eastAsia="Times New Roman"/>
          <w:color w:val="000000" w:themeColor="text1"/>
        </w:rPr>
        <w:t xml:space="preserve"> presented the relationship between the level of digital leadership of academic </w:t>
      </w:r>
      <w:r>
        <w:rPr>
          <w:rFonts w:eastAsia="Times New Roman"/>
          <w:color w:val="000000" w:themeColor="text1"/>
        </w:rPr>
        <w:t>deans</w:t>
      </w:r>
      <w:r w:rsidRPr="00C851F6">
        <w:rPr>
          <w:rFonts w:eastAsia="Times New Roman"/>
          <w:color w:val="000000" w:themeColor="text1"/>
        </w:rPr>
        <w:t xml:space="preserve"> and the level of digital literacy among faculty members. The analysis revealed a Pearson correlation coefficient of 0.035 and a p-value of 0.612, indicating a very weak and statistically non-signifi</w:t>
      </w:r>
      <w:r>
        <w:rPr>
          <w:rFonts w:eastAsia="Times New Roman"/>
          <w:color w:val="000000" w:themeColor="text1"/>
        </w:rPr>
        <w:t>cant relationship. This suggested</w:t>
      </w:r>
      <w:r w:rsidRPr="00C851F6">
        <w:rPr>
          <w:rFonts w:eastAsia="Times New Roman"/>
          <w:color w:val="000000" w:themeColor="text1"/>
        </w:rPr>
        <w:t xml:space="preserve"> that the digital leadership exhibited by academic deans does not significantly influence faculty members' digital literacy. This result aligns with the findings of Kaden and Patterson (2020), who argue that faculty members’ digital </w:t>
      </w:r>
      <w:r>
        <w:rPr>
          <w:rFonts w:eastAsia="Times New Roman"/>
          <w:color w:val="000000" w:themeColor="text1"/>
        </w:rPr>
        <w:t>literacy</w:t>
      </w:r>
      <w:r w:rsidRPr="00C851F6">
        <w:rPr>
          <w:rFonts w:eastAsia="Times New Roman"/>
          <w:color w:val="000000" w:themeColor="text1"/>
        </w:rPr>
        <w:t xml:space="preserve"> is often influenced more by individual initiative and peer collaboration than by top-down leadership directives. Furthermore, Ertmer and Ottenbreit-Leftwich (2017) emphasized that digital literacy development among educators is shaped largely by personal beliefs, technological confidence, and access to contextual support, rather than solely by leadership behavior. As such, while academic deans may serve as institutional figures of </w:t>
      </w:r>
      <w:r w:rsidRPr="00C851F6">
        <w:rPr>
          <w:rFonts w:eastAsia="Times New Roman"/>
          <w:color w:val="000000" w:themeColor="text1"/>
        </w:rPr>
        <w:lastRenderedPageBreak/>
        <w:t>influence, their impact on digital literacy may be indirect or mediated by other variables such as institutional culture or faculty development programs.</w:t>
      </w:r>
    </w:p>
    <w:p w14:paraId="5649E2AF" w14:textId="77777777" w:rsidR="00C851F6" w:rsidRDefault="00C851F6" w:rsidP="00483663"/>
    <w:p w14:paraId="6B8A3175" w14:textId="77777777" w:rsidR="00C851F6" w:rsidRPr="00C851F6" w:rsidRDefault="00C851F6" w:rsidP="00C851F6">
      <w:pPr>
        <w:jc w:val="center"/>
        <w:rPr>
          <w:b/>
          <w:bCs/>
          <w:color w:val="000000" w:themeColor="text1"/>
          <w:sz w:val="22"/>
          <w:szCs w:val="22"/>
        </w:rPr>
      </w:pPr>
      <w:r w:rsidRPr="00C851F6">
        <w:rPr>
          <w:b/>
          <w:bCs/>
          <w:color w:val="000000" w:themeColor="text1"/>
          <w:sz w:val="22"/>
          <w:szCs w:val="22"/>
        </w:rPr>
        <w:t>Table 3. Relationship between the Level of Digital Leadership of Academic Deans and the Level of Digital Literacy of Faculty Members</w:t>
      </w:r>
    </w:p>
    <w:p w14:paraId="2F984633" w14:textId="77777777" w:rsidR="00C851F6" w:rsidRPr="00C851F6" w:rsidRDefault="00C851F6" w:rsidP="00C851F6">
      <w:pPr>
        <w:jc w:val="center"/>
        <w:rPr>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1801"/>
        <w:gridCol w:w="1239"/>
        <w:gridCol w:w="2247"/>
      </w:tblGrid>
      <w:tr w:rsidR="00C851F6" w:rsidRPr="00C851F6" w14:paraId="5439D397" w14:textId="77777777" w:rsidTr="008E7FE0">
        <w:tc>
          <w:tcPr>
            <w:tcW w:w="3729" w:type="dxa"/>
            <w:tcBorders>
              <w:top w:val="single" w:sz="4" w:space="0" w:color="auto"/>
              <w:bottom w:val="single" w:sz="4" w:space="0" w:color="auto"/>
            </w:tcBorders>
            <w:vAlign w:val="center"/>
          </w:tcPr>
          <w:p w14:paraId="7FC9CD31" w14:textId="77777777" w:rsidR="00C851F6" w:rsidRPr="00C851F6" w:rsidRDefault="00C851F6" w:rsidP="00C851F6">
            <w:pPr>
              <w:jc w:val="center"/>
              <w:rPr>
                <w:rFonts w:ascii="Arial" w:hAnsi="Arial" w:cs="Arial"/>
                <w:b/>
                <w:bCs/>
                <w:color w:val="000000" w:themeColor="text1"/>
                <w:sz w:val="22"/>
                <w:szCs w:val="22"/>
              </w:rPr>
            </w:pPr>
            <w:r w:rsidRPr="00C851F6">
              <w:rPr>
                <w:rFonts w:ascii="Arial" w:hAnsi="Arial" w:cs="Arial"/>
                <w:b/>
                <w:bCs/>
                <w:color w:val="000000" w:themeColor="text1"/>
                <w:sz w:val="22"/>
                <w:szCs w:val="22"/>
              </w:rPr>
              <w:t>Variable</w:t>
            </w:r>
          </w:p>
        </w:tc>
        <w:tc>
          <w:tcPr>
            <w:tcW w:w="1801" w:type="dxa"/>
            <w:tcBorders>
              <w:top w:val="single" w:sz="4" w:space="0" w:color="auto"/>
              <w:bottom w:val="single" w:sz="4" w:space="0" w:color="auto"/>
            </w:tcBorders>
            <w:vAlign w:val="center"/>
          </w:tcPr>
          <w:p w14:paraId="7BD1D99E" w14:textId="77777777" w:rsidR="00C851F6" w:rsidRPr="00C851F6" w:rsidRDefault="00C851F6" w:rsidP="00C851F6">
            <w:pPr>
              <w:jc w:val="center"/>
              <w:rPr>
                <w:rFonts w:ascii="Arial" w:hAnsi="Arial" w:cs="Arial"/>
                <w:b/>
                <w:bCs/>
                <w:color w:val="000000" w:themeColor="text1"/>
                <w:sz w:val="22"/>
                <w:szCs w:val="22"/>
              </w:rPr>
            </w:pPr>
            <w:r w:rsidRPr="00C851F6">
              <w:rPr>
                <w:rFonts w:ascii="Arial" w:hAnsi="Arial" w:cs="Arial"/>
                <w:b/>
                <w:bCs/>
                <w:color w:val="000000" w:themeColor="text1"/>
                <w:sz w:val="22"/>
                <w:szCs w:val="22"/>
              </w:rPr>
              <w:t>Pearson Correlation</w:t>
            </w:r>
          </w:p>
        </w:tc>
        <w:tc>
          <w:tcPr>
            <w:tcW w:w="1239" w:type="dxa"/>
            <w:tcBorders>
              <w:top w:val="single" w:sz="4" w:space="0" w:color="auto"/>
              <w:bottom w:val="single" w:sz="4" w:space="0" w:color="auto"/>
            </w:tcBorders>
            <w:vAlign w:val="center"/>
          </w:tcPr>
          <w:p w14:paraId="3C967650" w14:textId="77777777" w:rsidR="00C851F6" w:rsidRPr="00C851F6" w:rsidRDefault="00C851F6" w:rsidP="00C851F6">
            <w:pPr>
              <w:jc w:val="center"/>
              <w:rPr>
                <w:rFonts w:ascii="Arial" w:hAnsi="Arial" w:cs="Arial"/>
                <w:b/>
                <w:bCs/>
                <w:color w:val="000000" w:themeColor="text1"/>
                <w:sz w:val="22"/>
                <w:szCs w:val="22"/>
              </w:rPr>
            </w:pPr>
            <w:r w:rsidRPr="00C851F6">
              <w:rPr>
                <w:rFonts w:ascii="Arial" w:hAnsi="Arial" w:cs="Arial"/>
                <w:b/>
                <w:bCs/>
                <w:color w:val="000000" w:themeColor="text1"/>
                <w:sz w:val="22"/>
                <w:szCs w:val="22"/>
              </w:rPr>
              <w:t>Sig. (2-tailed)</w:t>
            </w:r>
          </w:p>
        </w:tc>
        <w:tc>
          <w:tcPr>
            <w:tcW w:w="2247" w:type="dxa"/>
            <w:tcBorders>
              <w:top w:val="single" w:sz="4" w:space="0" w:color="auto"/>
              <w:bottom w:val="single" w:sz="4" w:space="0" w:color="auto"/>
            </w:tcBorders>
            <w:vAlign w:val="center"/>
          </w:tcPr>
          <w:p w14:paraId="7345B4E6" w14:textId="77777777" w:rsidR="00C851F6" w:rsidRPr="00C851F6" w:rsidRDefault="00C851F6" w:rsidP="00C851F6">
            <w:pPr>
              <w:jc w:val="center"/>
              <w:rPr>
                <w:rFonts w:ascii="Arial" w:hAnsi="Arial" w:cs="Arial"/>
                <w:b/>
                <w:bCs/>
                <w:color w:val="000000" w:themeColor="text1"/>
                <w:sz w:val="22"/>
                <w:szCs w:val="22"/>
              </w:rPr>
            </w:pPr>
            <w:r w:rsidRPr="00C851F6">
              <w:rPr>
                <w:rFonts w:ascii="Arial" w:hAnsi="Arial" w:cs="Arial"/>
                <w:b/>
                <w:bCs/>
                <w:color w:val="000000" w:themeColor="text1"/>
                <w:sz w:val="22"/>
                <w:szCs w:val="22"/>
              </w:rPr>
              <w:t>Interpretation</w:t>
            </w:r>
          </w:p>
        </w:tc>
      </w:tr>
      <w:tr w:rsidR="00C851F6" w:rsidRPr="00C851F6" w14:paraId="2DE4F16A" w14:textId="77777777" w:rsidTr="00C851F6">
        <w:tc>
          <w:tcPr>
            <w:tcW w:w="3729" w:type="dxa"/>
            <w:tcBorders>
              <w:top w:val="single" w:sz="4" w:space="0" w:color="auto"/>
              <w:bottom w:val="single" w:sz="4" w:space="0" w:color="auto"/>
            </w:tcBorders>
          </w:tcPr>
          <w:p w14:paraId="49772165" w14:textId="77777777" w:rsidR="00C851F6" w:rsidRPr="00C851F6" w:rsidRDefault="00C851F6" w:rsidP="00C851F6">
            <w:pPr>
              <w:jc w:val="center"/>
              <w:rPr>
                <w:rFonts w:ascii="Arial" w:hAnsi="Arial" w:cs="Arial"/>
                <w:color w:val="000000" w:themeColor="text1"/>
                <w:sz w:val="22"/>
                <w:szCs w:val="22"/>
              </w:rPr>
            </w:pPr>
            <w:r w:rsidRPr="00C851F6">
              <w:rPr>
                <w:rFonts w:ascii="Arial" w:hAnsi="Arial" w:cs="Arial"/>
                <w:color w:val="000000" w:themeColor="text1"/>
                <w:sz w:val="22"/>
                <w:szCs w:val="22"/>
              </w:rPr>
              <w:t>Digital Leadership</w:t>
            </w:r>
          </w:p>
        </w:tc>
        <w:tc>
          <w:tcPr>
            <w:tcW w:w="1801" w:type="dxa"/>
            <w:tcBorders>
              <w:top w:val="single" w:sz="4" w:space="0" w:color="auto"/>
              <w:bottom w:val="single" w:sz="4" w:space="0" w:color="auto"/>
            </w:tcBorders>
            <w:vAlign w:val="center"/>
          </w:tcPr>
          <w:p w14:paraId="7A48FBDA" w14:textId="77777777" w:rsidR="00C851F6" w:rsidRPr="00C851F6" w:rsidRDefault="00C851F6" w:rsidP="00C851F6">
            <w:pPr>
              <w:jc w:val="center"/>
              <w:rPr>
                <w:rFonts w:ascii="Arial" w:hAnsi="Arial" w:cs="Arial"/>
                <w:color w:val="000000" w:themeColor="text1"/>
                <w:sz w:val="22"/>
                <w:szCs w:val="22"/>
              </w:rPr>
            </w:pPr>
            <w:r w:rsidRPr="00C851F6">
              <w:rPr>
                <w:rFonts w:ascii="Arial" w:hAnsi="Arial" w:cs="Arial"/>
                <w:color w:val="000000" w:themeColor="text1"/>
                <w:sz w:val="22"/>
                <w:szCs w:val="22"/>
              </w:rPr>
              <w:t>.035</w:t>
            </w:r>
          </w:p>
        </w:tc>
        <w:tc>
          <w:tcPr>
            <w:tcW w:w="1239" w:type="dxa"/>
            <w:tcBorders>
              <w:top w:val="single" w:sz="4" w:space="0" w:color="auto"/>
              <w:bottom w:val="single" w:sz="4" w:space="0" w:color="auto"/>
            </w:tcBorders>
            <w:vAlign w:val="center"/>
          </w:tcPr>
          <w:p w14:paraId="5CF2C411" w14:textId="77777777" w:rsidR="00C851F6" w:rsidRPr="00C851F6" w:rsidRDefault="00C851F6" w:rsidP="00C851F6">
            <w:pPr>
              <w:jc w:val="center"/>
              <w:rPr>
                <w:rFonts w:ascii="Arial" w:hAnsi="Arial" w:cs="Arial"/>
                <w:color w:val="000000" w:themeColor="text1"/>
                <w:sz w:val="22"/>
                <w:szCs w:val="22"/>
              </w:rPr>
            </w:pPr>
            <w:r w:rsidRPr="00C851F6">
              <w:rPr>
                <w:rFonts w:ascii="Arial" w:hAnsi="Arial" w:cs="Arial"/>
                <w:color w:val="000000" w:themeColor="text1"/>
                <w:sz w:val="22"/>
                <w:szCs w:val="22"/>
              </w:rPr>
              <w:t>.612</w:t>
            </w:r>
          </w:p>
        </w:tc>
        <w:tc>
          <w:tcPr>
            <w:tcW w:w="2247" w:type="dxa"/>
            <w:tcBorders>
              <w:top w:val="single" w:sz="4" w:space="0" w:color="auto"/>
              <w:bottom w:val="single" w:sz="4" w:space="0" w:color="auto"/>
            </w:tcBorders>
          </w:tcPr>
          <w:p w14:paraId="6858B357" w14:textId="77777777" w:rsidR="00C851F6" w:rsidRPr="00C851F6" w:rsidRDefault="00C851F6" w:rsidP="00C851F6">
            <w:pPr>
              <w:jc w:val="center"/>
              <w:rPr>
                <w:rFonts w:ascii="Arial" w:hAnsi="Arial" w:cs="Arial"/>
                <w:color w:val="000000" w:themeColor="text1"/>
                <w:sz w:val="22"/>
                <w:szCs w:val="22"/>
              </w:rPr>
            </w:pPr>
            <w:r w:rsidRPr="00C851F6">
              <w:rPr>
                <w:rFonts w:ascii="Arial" w:hAnsi="Arial" w:cs="Arial"/>
                <w:color w:val="000000" w:themeColor="text1"/>
                <w:sz w:val="22"/>
                <w:szCs w:val="22"/>
              </w:rPr>
              <w:t>Not Significant</w:t>
            </w:r>
          </w:p>
        </w:tc>
      </w:tr>
    </w:tbl>
    <w:p w14:paraId="430E3D0F" w14:textId="77777777" w:rsidR="00C851F6" w:rsidRPr="00C851F6" w:rsidRDefault="00C851F6" w:rsidP="00C851F6">
      <w:pPr>
        <w:rPr>
          <w:i/>
          <w:iCs/>
          <w:color w:val="000000" w:themeColor="text1"/>
          <w:sz w:val="22"/>
          <w:szCs w:val="22"/>
        </w:rPr>
      </w:pPr>
      <w:r w:rsidRPr="00C851F6">
        <w:rPr>
          <w:i/>
          <w:iCs/>
          <w:color w:val="000000" w:themeColor="text1"/>
          <w:sz w:val="22"/>
          <w:szCs w:val="22"/>
        </w:rPr>
        <w:t>Dependent variable: digital literacy</w:t>
      </w:r>
    </w:p>
    <w:p w14:paraId="14494237" w14:textId="77777777" w:rsidR="00C851F6" w:rsidRDefault="00C851F6" w:rsidP="00483663"/>
    <w:p w14:paraId="597E02AF" w14:textId="77777777" w:rsidR="008D1467" w:rsidRDefault="008D1467" w:rsidP="00483663"/>
    <w:p w14:paraId="5239D115" w14:textId="77777777" w:rsidR="008D1467" w:rsidRPr="008D1467" w:rsidRDefault="008D1467" w:rsidP="00483663">
      <w:pPr>
        <w:rPr>
          <w:b/>
        </w:rPr>
      </w:pPr>
      <w:r w:rsidRPr="008D1467">
        <w:rPr>
          <w:b/>
        </w:rPr>
        <w:t>CONCLUSIONS</w:t>
      </w:r>
    </w:p>
    <w:p w14:paraId="0F1706D9" w14:textId="77777777" w:rsidR="008D1467" w:rsidRDefault="008D1467" w:rsidP="00483663"/>
    <w:p w14:paraId="016E5BBF" w14:textId="77777777" w:rsidR="00DD7148" w:rsidRDefault="00DD7148" w:rsidP="00DD7148">
      <w:pPr>
        <w:ind w:firstLine="720"/>
        <w:jc w:val="both"/>
      </w:pPr>
      <w:r>
        <w:t xml:space="preserve">Academic deans demonstrated </w:t>
      </w:r>
      <w:r w:rsidRPr="00DD7148">
        <w:rPr>
          <w:rStyle w:val="Emphasis"/>
          <w:i w:val="0"/>
        </w:rPr>
        <w:t>very good</w:t>
      </w:r>
      <w:r>
        <w:t xml:space="preserve"> digital leadership in areas related to supporting educators in addressing diverse student needs, ensuring access to inclusive digital resources, and using technology for reflective personal and professional growth. These strengths suggest that the academic deans are fostering a positive, adaptive, and inclusive digital culture within their respective campuses. </w:t>
      </w:r>
    </w:p>
    <w:p w14:paraId="01C2689C" w14:textId="77777777" w:rsidR="00DD7148" w:rsidRDefault="00DD7148" w:rsidP="00DD7148">
      <w:pPr>
        <w:jc w:val="both"/>
      </w:pPr>
    </w:p>
    <w:p w14:paraId="1A33E152" w14:textId="77777777" w:rsidR="00DD7148" w:rsidRDefault="00DD7148" w:rsidP="00DD7148">
      <w:pPr>
        <w:ind w:firstLine="720"/>
        <w:jc w:val="both"/>
      </w:pPr>
      <w:r>
        <w:t xml:space="preserve">Faculty members demonstrated </w:t>
      </w:r>
      <w:r w:rsidRPr="00DD7148">
        <w:t>a</w:t>
      </w:r>
      <w:r w:rsidRPr="00DD7148">
        <w:rPr>
          <w:b/>
        </w:rPr>
        <w:t xml:space="preserve"> </w:t>
      </w:r>
      <w:r w:rsidRPr="00DD7148">
        <w:rPr>
          <w:rStyle w:val="Strong"/>
          <w:b w:val="0"/>
        </w:rPr>
        <w:t>Proficient</w:t>
      </w:r>
      <w:r>
        <w:t xml:space="preserve"> level of digital literacy with strengths in collaborating and co-learning with students, providing timely feedback and fostering digital literacy through critical evaluation of resources. This suggests that UEP faculty are effectively using technology to create interactive, student-centered learning environments, consistent with global trends </w:t>
      </w:r>
      <w:r w:rsidR="0081457E">
        <w:t>in digital pedagogy.</w:t>
      </w:r>
    </w:p>
    <w:p w14:paraId="5357D20D" w14:textId="77777777" w:rsidR="00DD7148" w:rsidRDefault="00DD7148" w:rsidP="00DD7148">
      <w:pPr>
        <w:jc w:val="both"/>
      </w:pPr>
    </w:p>
    <w:p w14:paraId="6B22244F" w14:textId="77777777" w:rsidR="00DD7148" w:rsidRDefault="00DD7148" w:rsidP="00DD7148">
      <w:pPr>
        <w:ind w:firstLine="720"/>
        <w:jc w:val="both"/>
      </w:pPr>
      <w:r>
        <w:t>The lowest-rated competency</w:t>
      </w:r>
      <w:r w:rsidR="0081457E">
        <w:t xml:space="preserve">, </w:t>
      </w:r>
      <w:r w:rsidRPr="0081457E">
        <w:rPr>
          <w:rStyle w:val="Strong"/>
          <w:b w:val="0"/>
        </w:rPr>
        <w:t xml:space="preserve">diagnosing and troubleshooting technology </w:t>
      </w:r>
      <w:r w:rsidR="0081457E">
        <w:rPr>
          <w:rStyle w:val="Strong"/>
          <w:b w:val="0"/>
        </w:rPr>
        <w:t xml:space="preserve">issues, </w:t>
      </w:r>
      <w:r w:rsidR="0081457E">
        <w:t>revealed</w:t>
      </w:r>
      <w:r>
        <w:t xml:space="preserve"> a significant skills gap. Faculty members face challenges in independ</w:t>
      </w:r>
      <w:r w:rsidR="0081457E">
        <w:t>ently resolving technical issues</w:t>
      </w:r>
      <w:r>
        <w:t>. Additionally, lower scores in designing innovative learning activities and fostering computational thinking suggest that advanced digital peda</w:t>
      </w:r>
      <w:r w:rsidR="0081457E">
        <w:t>gogy is an area needing growth.</w:t>
      </w:r>
    </w:p>
    <w:p w14:paraId="17D7DC4B" w14:textId="77777777" w:rsidR="008D1467" w:rsidRDefault="008D1467" w:rsidP="00DD7148">
      <w:pPr>
        <w:jc w:val="both"/>
      </w:pPr>
    </w:p>
    <w:p w14:paraId="4F2AEACF" w14:textId="77777777" w:rsidR="008D1467" w:rsidRDefault="0081457E" w:rsidP="00DD7148">
      <w:pPr>
        <w:ind w:firstLine="720"/>
        <w:jc w:val="both"/>
      </w:pPr>
      <w:r>
        <w:t>The test of relationship of academic deans’ digital leadership and faculty members’ digital literacy</w:t>
      </w:r>
      <w:r w:rsidR="00DD7148">
        <w:t xml:space="preserve"> indicate</w:t>
      </w:r>
      <w:r>
        <w:t>d</w:t>
      </w:r>
      <w:r w:rsidR="00DD7148">
        <w:t xml:space="preserve"> </w:t>
      </w:r>
      <w:r w:rsidR="00DD7148" w:rsidRPr="0081457E">
        <w:rPr>
          <w:b/>
        </w:rPr>
        <w:t xml:space="preserve">a </w:t>
      </w:r>
      <w:r w:rsidR="00DD7148" w:rsidRPr="0081457E">
        <w:rPr>
          <w:rStyle w:val="Strong"/>
          <w:b w:val="0"/>
        </w:rPr>
        <w:t>very weak and statistically non-significant relationship</w:t>
      </w:r>
      <w:r w:rsidR="00DD7148">
        <w:t xml:space="preserve">. This suggests that digital leadership alone does not have a direct, measurable influence on faculty members’ digital literacy within the UEP System. </w:t>
      </w:r>
      <w:r>
        <w:t>F</w:t>
      </w:r>
      <w:r w:rsidR="00DD7148">
        <w:t>aculty</w:t>
      </w:r>
      <w:r>
        <w:t xml:space="preserve"> members’</w:t>
      </w:r>
      <w:r w:rsidR="00DD7148">
        <w:t xml:space="preserve"> digital literacy is often shaped more by </w:t>
      </w:r>
      <w:r w:rsidR="00DD7148" w:rsidRPr="0081457E">
        <w:rPr>
          <w:rStyle w:val="Strong"/>
          <w:b w:val="0"/>
        </w:rPr>
        <w:t>individual initiative and peer collaboration</w:t>
      </w:r>
      <w:r w:rsidR="00DD7148">
        <w:t xml:space="preserve"> t</w:t>
      </w:r>
      <w:r>
        <w:t>han by hierarchical leadership.</w:t>
      </w:r>
    </w:p>
    <w:p w14:paraId="3C7EDE91" w14:textId="77777777" w:rsidR="00DD7148" w:rsidRDefault="00DD7148" w:rsidP="00483663"/>
    <w:p w14:paraId="6A2D3292" w14:textId="77777777" w:rsidR="008D1467" w:rsidRPr="008D1467" w:rsidRDefault="008D1467" w:rsidP="00483663">
      <w:pPr>
        <w:rPr>
          <w:b/>
        </w:rPr>
      </w:pPr>
      <w:r w:rsidRPr="008D1467">
        <w:rPr>
          <w:b/>
        </w:rPr>
        <w:t>RECOMMENDATIONS</w:t>
      </w:r>
    </w:p>
    <w:p w14:paraId="62F9F955" w14:textId="77777777" w:rsidR="008D1467" w:rsidRPr="00DD7148" w:rsidRDefault="008D1467" w:rsidP="00DD7148">
      <w:pPr>
        <w:jc w:val="both"/>
      </w:pPr>
    </w:p>
    <w:p w14:paraId="2ADF1A1B" w14:textId="77777777" w:rsidR="00DD7148" w:rsidRPr="00DD7148" w:rsidRDefault="00DD7148" w:rsidP="00DD7148">
      <w:pPr>
        <w:ind w:firstLine="720"/>
        <w:jc w:val="both"/>
        <w:rPr>
          <w:rFonts w:eastAsia="Times New Roman"/>
        </w:rPr>
      </w:pPr>
      <w:r w:rsidRPr="00DD7148">
        <w:rPr>
          <w:rFonts w:eastAsia="Times New Roman"/>
        </w:rPr>
        <w:t xml:space="preserve">Academic deans should continue leveraging their strengths in promoting inclusive digital learning and modeling reflective practices. It is recommended that these leadership behaviors be systematically shared through </w:t>
      </w:r>
      <w:r w:rsidRPr="00DD7148">
        <w:rPr>
          <w:rFonts w:eastAsia="Times New Roman"/>
          <w:iCs/>
        </w:rPr>
        <w:t>peer mentoring</w:t>
      </w:r>
      <w:r w:rsidRPr="00DD7148">
        <w:rPr>
          <w:rFonts w:eastAsia="Times New Roman"/>
        </w:rPr>
        <w:t>, both within UEP and across external academic networks, to promote a university-wide culture of digital excellence.</w:t>
      </w:r>
    </w:p>
    <w:p w14:paraId="4BF94AAF" w14:textId="77777777" w:rsidR="00DD7148" w:rsidRDefault="00DD7148" w:rsidP="00DD7148">
      <w:pPr>
        <w:jc w:val="both"/>
      </w:pPr>
    </w:p>
    <w:p w14:paraId="35B3035A" w14:textId="77777777" w:rsidR="00DD7148" w:rsidRPr="00DD7148" w:rsidRDefault="00DD7148" w:rsidP="00DD7148">
      <w:pPr>
        <w:ind w:firstLine="720"/>
        <w:jc w:val="both"/>
        <w:rPr>
          <w:rFonts w:eastAsia="Times New Roman"/>
        </w:rPr>
      </w:pPr>
      <w:r w:rsidRPr="00DD7148">
        <w:t xml:space="preserve">The university should continue to nurture these strengths by promoting </w:t>
      </w:r>
      <w:r w:rsidRPr="00DD7148">
        <w:rPr>
          <w:rStyle w:val="Strong"/>
          <w:b w:val="0"/>
        </w:rPr>
        <w:t>peer-sharing of best practices</w:t>
      </w:r>
      <w:r w:rsidRPr="00DD7148">
        <w:t xml:space="preserve"> in collaborative learning and digital pedagogy. It is recommended that UEP formalize </w:t>
      </w:r>
      <w:r w:rsidRPr="00DD7148">
        <w:rPr>
          <w:rStyle w:val="Strong"/>
          <w:b w:val="0"/>
        </w:rPr>
        <w:t>professional learning communities</w:t>
      </w:r>
      <w:r w:rsidRPr="00DD7148">
        <w:t xml:space="preserve"> where faculty </w:t>
      </w:r>
      <w:r w:rsidRPr="00DD7148">
        <w:lastRenderedPageBreak/>
        <w:t>members can exchange successful strategies and mentor colleagues in applying these practices across different disciplines.</w:t>
      </w:r>
    </w:p>
    <w:p w14:paraId="2F945D20" w14:textId="77777777" w:rsidR="00DD7148" w:rsidRDefault="00DD7148" w:rsidP="00DD7148">
      <w:pPr>
        <w:jc w:val="both"/>
      </w:pPr>
    </w:p>
    <w:p w14:paraId="69C56EC3" w14:textId="77777777" w:rsidR="008D1467" w:rsidRPr="00DD7148" w:rsidRDefault="00DD7148" w:rsidP="00DD7148">
      <w:pPr>
        <w:ind w:firstLine="720"/>
        <w:jc w:val="both"/>
      </w:pPr>
      <w:r w:rsidRPr="00DD7148">
        <w:t xml:space="preserve">The university should provide </w:t>
      </w:r>
      <w:r w:rsidRPr="00DD7148">
        <w:rPr>
          <w:rStyle w:val="Strong"/>
          <w:b w:val="0"/>
        </w:rPr>
        <w:t>targeted capacity-building workshops</w:t>
      </w:r>
      <w:r w:rsidRPr="00DD7148">
        <w:rPr>
          <w:b/>
        </w:rPr>
        <w:t xml:space="preserve"> </w:t>
      </w:r>
      <w:r w:rsidRPr="00DD7148">
        <w:t>focused on</w:t>
      </w:r>
      <w:r w:rsidRPr="00DD7148">
        <w:rPr>
          <w:b/>
        </w:rPr>
        <w:t xml:space="preserve"> </w:t>
      </w:r>
      <w:r w:rsidRPr="00DD7148">
        <w:rPr>
          <w:rStyle w:val="Strong"/>
          <w:b w:val="0"/>
        </w:rPr>
        <w:t>basic troubleshooting skills</w:t>
      </w:r>
      <w:r w:rsidRPr="00DD7148">
        <w:rPr>
          <w:b/>
        </w:rPr>
        <w:t xml:space="preserve">, </w:t>
      </w:r>
      <w:r w:rsidRPr="00DD7148">
        <w:rPr>
          <w:rStyle w:val="Strong"/>
          <w:b w:val="0"/>
        </w:rPr>
        <w:t>computational thinking</w:t>
      </w:r>
      <w:r w:rsidRPr="00DD7148">
        <w:t xml:space="preserve">, and </w:t>
      </w:r>
      <w:r w:rsidRPr="00DD7148">
        <w:rPr>
          <w:rStyle w:val="Strong"/>
          <w:b w:val="0"/>
        </w:rPr>
        <w:t>innovative lesson design</w:t>
      </w:r>
      <w:r w:rsidRPr="00DD7148">
        <w:t xml:space="preserve">. Incorporating </w:t>
      </w:r>
      <w:r w:rsidRPr="00DD7148">
        <w:rPr>
          <w:rStyle w:val="Strong"/>
          <w:b w:val="0"/>
        </w:rPr>
        <w:t>hands-on, scenario-based training</w:t>
      </w:r>
      <w:r w:rsidRPr="00DD7148">
        <w:t xml:space="preserve"> will help improve faculty confidence and capability in managing technology challenges and designing advanced digital learning experiences. Establishing an </w:t>
      </w:r>
      <w:r w:rsidRPr="00DD7148">
        <w:rPr>
          <w:rStyle w:val="Strong"/>
          <w:b w:val="0"/>
        </w:rPr>
        <w:t>on-demand tech support system</w:t>
      </w:r>
      <w:r w:rsidRPr="00DD7148">
        <w:t xml:space="preserve"> for faculty could also mitigate this gap.</w:t>
      </w:r>
    </w:p>
    <w:p w14:paraId="56371C62" w14:textId="77777777" w:rsidR="008D1467" w:rsidRPr="00DD7148" w:rsidRDefault="008D1467" w:rsidP="00DD7148">
      <w:pPr>
        <w:jc w:val="both"/>
      </w:pPr>
    </w:p>
    <w:p w14:paraId="1B48CADF" w14:textId="77777777" w:rsidR="00DD7148" w:rsidRDefault="00DD7148" w:rsidP="00DD7148">
      <w:pPr>
        <w:ind w:firstLine="720"/>
        <w:jc w:val="both"/>
      </w:pPr>
      <w:r w:rsidRPr="00DD7148">
        <w:t xml:space="preserve">While academic deans should continue to promote a supportive digital environment, UEP should </w:t>
      </w:r>
      <w:r w:rsidRPr="00DD7148">
        <w:rPr>
          <w:rStyle w:val="Strong"/>
          <w:b w:val="0"/>
        </w:rPr>
        <w:t>broaden its strategy for enhancing faculty digital literacy</w:t>
      </w:r>
      <w:r w:rsidRPr="00DD7148">
        <w:t xml:space="preserve"> by investing more in </w:t>
      </w:r>
      <w:r w:rsidRPr="00DD7148">
        <w:rPr>
          <w:rStyle w:val="Strong"/>
          <w:b w:val="0"/>
        </w:rPr>
        <w:t>peer mentoring</w:t>
      </w:r>
      <w:r w:rsidRPr="00DD7148">
        <w:rPr>
          <w:b/>
        </w:rPr>
        <w:t xml:space="preserve">, </w:t>
      </w:r>
      <w:r w:rsidRPr="00DD7148">
        <w:rPr>
          <w:rStyle w:val="Strong"/>
          <w:b w:val="0"/>
        </w:rPr>
        <w:t>collaborative learning networks</w:t>
      </w:r>
      <w:r w:rsidRPr="00DD7148">
        <w:rPr>
          <w:b/>
        </w:rPr>
        <w:t xml:space="preserve">, </w:t>
      </w:r>
      <w:r w:rsidRPr="00DD7148">
        <w:t>and</w:t>
      </w:r>
      <w:r w:rsidRPr="00DD7148">
        <w:rPr>
          <w:b/>
        </w:rPr>
        <w:t xml:space="preserve"> </w:t>
      </w:r>
      <w:r w:rsidRPr="00DD7148">
        <w:rPr>
          <w:rStyle w:val="Strong"/>
          <w:b w:val="0"/>
        </w:rPr>
        <w:t>individualized professional development</w:t>
      </w:r>
      <w:r w:rsidRPr="00DD7148">
        <w:t xml:space="preserve">. Faculty development programs should prioritize </w:t>
      </w:r>
      <w:r w:rsidRPr="00DD7148">
        <w:rPr>
          <w:rStyle w:val="Strong"/>
          <w:b w:val="0"/>
        </w:rPr>
        <w:t>building personal confidence</w:t>
      </w:r>
      <w:r w:rsidRPr="00DD7148">
        <w:t xml:space="preserve">, facilitating </w:t>
      </w:r>
      <w:r w:rsidRPr="00DD7148">
        <w:rPr>
          <w:rStyle w:val="Strong"/>
          <w:b w:val="0"/>
        </w:rPr>
        <w:t>peer exchange</w:t>
      </w:r>
      <w:r w:rsidRPr="00DD7148">
        <w:t xml:space="preserve">, and fostering an </w:t>
      </w:r>
      <w:r w:rsidRPr="00DD7148">
        <w:rPr>
          <w:rStyle w:val="Strong"/>
          <w:b w:val="0"/>
        </w:rPr>
        <w:t>institutional culture</w:t>
      </w:r>
      <w:r w:rsidRPr="00DD7148">
        <w:t xml:space="preserve"> where digital competence is encouraged organically. Leadership training for </w:t>
      </w:r>
      <w:r w:rsidR="00981B29">
        <w:t xml:space="preserve">academic </w:t>
      </w:r>
      <w:r w:rsidRPr="00DD7148">
        <w:t xml:space="preserve">deans should also focus on </w:t>
      </w:r>
      <w:r w:rsidRPr="00DD7148">
        <w:rPr>
          <w:rStyle w:val="Strong"/>
          <w:b w:val="0"/>
        </w:rPr>
        <w:t>indirect support strategies</w:t>
      </w:r>
      <w:r w:rsidRPr="00DD7148">
        <w:t xml:space="preserve">, such as </w:t>
      </w:r>
      <w:r w:rsidRPr="00DD7148">
        <w:rPr>
          <w:rStyle w:val="Strong"/>
          <w:b w:val="0"/>
        </w:rPr>
        <w:t>creating enabling environments</w:t>
      </w:r>
      <w:r w:rsidRPr="00DD7148">
        <w:t xml:space="preserve">, providing resources, and </w:t>
      </w:r>
      <w:r w:rsidRPr="00DD7148">
        <w:rPr>
          <w:rStyle w:val="Strong"/>
          <w:b w:val="0"/>
        </w:rPr>
        <w:t>recognizing faculty innovation</w:t>
      </w:r>
      <w:r w:rsidRPr="00DD7148">
        <w:t xml:space="preserve"> in digital teaching.</w:t>
      </w:r>
    </w:p>
    <w:p w14:paraId="529B9CBC" w14:textId="77777777" w:rsidR="0051534E" w:rsidRPr="00DD7148" w:rsidRDefault="0051534E" w:rsidP="00DD7148">
      <w:pPr>
        <w:ind w:firstLine="720"/>
        <w:jc w:val="both"/>
      </w:pPr>
    </w:p>
    <w:p w14:paraId="36D8BC54" w14:textId="77777777" w:rsidR="005C5DFB" w:rsidRPr="005C5DFB" w:rsidRDefault="005C5DFB" w:rsidP="005C5DFB">
      <w:pPr>
        <w:jc w:val="both"/>
        <w:rPr>
          <w:rFonts w:eastAsia="Calibri"/>
          <w:b/>
          <w:color w:val="000000" w:themeColor="text1"/>
          <w:kern w:val="2"/>
        </w:rPr>
      </w:pPr>
      <w:bookmarkStart w:id="0" w:name="_Hlk180402183"/>
      <w:bookmarkStart w:id="1" w:name="_Hlk183680988"/>
      <w:r w:rsidRPr="005C5DFB">
        <w:rPr>
          <w:rFonts w:eastAsia="Calibri"/>
          <w:b/>
          <w:color w:val="000000" w:themeColor="text1"/>
          <w:kern w:val="2"/>
        </w:rPr>
        <w:t>Disclaimer (Artificial intelligence)</w:t>
      </w:r>
    </w:p>
    <w:p w14:paraId="33BDA8CD" w14:textId="77777777" w:rsidR="005C5DFB" w:rsidRPr="005C5DFB" w:rsidRDefault="005C5DFB" w:rsidP="005C5DFB">
      <w:pPr>
        <w:jc w:val="both"/>
        <w:rPr>
          <w:rFonts w:eastAsia="Calibri"/>
          <w:color w:val="000000" w:themeColor="text1"/>
          <w:kern w:val="2"/>
        </w:rPr>
      </w:pPr>
    </w:p>
    <w:p w14:paraId="0E01827D" w14:textId="77777777" w:rsidR="005C5DFB" w:rsidRPr="005C5DFB" w:rsidRDefault="005C5DFB" w:rsidP="005C5DFB">
      <w:pPr>
        <w:ind w:firstLine="720"/>
        <w:jc w:val="both"/>
        <w:rPr>
          <w:color w:val="000000" w:themeColor="text1"/>
        </w:rPr>
      </w:pPr>
      <w:r w:rsidRPr="005C5DFB">
        <w:rPr>
          <w:color w:val="000000" w:themeColor="text1"/>
        </w:rPr>
        <w:t>This research utilized ChatGPT, a language model developed by OpenAI, for paraphrasing paragraphs and checking grammatical errors. The Free ChatGPT App was employed as a tool to enhance the clarity and readability of the text, ensuring that ideas were effectively communicated while maintaining the original meaning. The use of ChatGPT contributed to refining the language and structure of the manuscript.</w:t>
      </w:r>
    </w:p>
    <w:p w14:paraId="6AF7A9DC" w14:textId="77777777" w:rsidR="005C5DFB" w:rsidRPr="005C5DFB" w:rsidRDefault="005C5DFB" w:rsidP="005C5DFB">
      <w:pPr>
        <w:jc w:val="both"/>
        <w:rPr>
          <w:color w:val="000000" w:themeColor="text1"/>
        </w:rPr>
      </w:pPr>
    </w:p>
    <w:p w14:paraId="3A3C3C75" w14:textId="77777777" w:rsidR="005C5DFB" w:rsidRPr="005C5DFB" w:rsidRDefault="005C5DFB" w:rsidP="005C5DFB">
      <w:pPr>
        <w:jc w:val="both"/>
        <w:rPr>
          <w:rFonts w:eastAsia="Calibri"/>
          <w:color w:val="000000" w:themeColor="text1"/>
          <w:kern w:val="2"/>
        </w:rPr>
      </w:pPr>
      <w:r w:rsidRPr="005C5DFB">
        <w:rPr>
          <w:rFonts w:eastAsia="Calibri"/>
          <w:color w:val="000000" w:themeColor="text1"/>
          <w:kern w:val="2"/>
        </w:rPr>
        <w:t>Details of the AI usage are given below:</w:t>
      </w:r>
    </w:p>
    <w:p w14:paraId="33E81EC2" w14:textId="77777777" w:rsidR="005C5DFB" w:rsidRPr="005C5DFB" w:rsidRDefault="005C5DFB" w:rsidP="005C5DFB">
      <w:pPr>
        <w:jc w:val="both"/>
        <w:rPr>
          <w:rFonts w:eastAsia="Calibri"/>
          <w:color w:val="000000" w:themeColor="text1"/>
          <w:kern w:val="2"/>
        </w:rPr>
      </w:pPr>
    </w:p>
    <w:p w14:paraId="6AF0D28A" w14:textId="77777777" w:rsidR="005C5DFB" w:rsidRPr="005C5DFB" w:rsidRDefault="005C5DFB" w:rsidP="005C5DFB">
      <w:pPr>
        <w:pStyle w:val="ListParagraph"/>
        <w:numPr>
          <w:ilvl w:val="0"/>
          <w:numId w:val="6"/>
        </w:numPr>
        <w:spacing w:after="0" w:line="240" w:lineRule="auto"/>
        <w:jc w:val="both"/>
        <w:rPr>
          <w:rFonts w:ascii="Arial" w:eastAsia="Calibri" w:hAnsi="Arial" w:cs="Arial"/>
          <w:color w:val="000000" w:themeColor="text1"/>
          <w:kern w:val="2"/>
          <w:lang w:val="en-US"/>
        </w:rPr>
      </w:pPr>
      <w:r w:rsidRPr="005C5DFB">
        <w:rPr>
          <w:rFonts w:ascii="Arial" w:eastAsia="Calibri" w:hAnsi="Arial" w:cs="Arial"/>
          <w:color w:val="000000" w:themeColor="text1"/>
          <w:kern w:val="2"/>
          <w:lang w:val="en-US"/>
        </w:rPr>
        <w:t xml:space="preserve">Used the </w:t>
      </w:r>
      <w:proofErr w:type="spellStart"/>
      <w:r w:rsidRPr="005C5DFB">
        <w:rPr>
          <w:rFonts w:ascii="Arial" w:eastAsia="Calibri" w:hAnsi="Arial" w:cs="Arial"/>
          <w:color w:val="000000" w:themeColor="text1"/>
          <w:kern w:val="2"/>
          <w:lang w:val="en-US"/>
        </w:rPr>
        <w:t>ChatGPTA</w:t>
      </w:r>
      <w:proofErr w:type="spellEnd"/>
      <w:r w:rsidRPr="005C5DFB">
        <w:rPr>
          <w:rFonts w:ascii="Arial" w:eastAsia="Calibri" w:hAnsi="Arial" w:cs="Arial"/>
          <w:color w:val="000000" w:themeColor="text1"/>
          <w:kern w:val="2"/>
          <w:lang w:val="en-US"/>
        </w:rPr>
        <w:t xml:space="preserve"> for paraphrasing the paragraphs for clarity and readability of text.</w:t>
      </w:r>
    </w:p>
    <w:p w14:paraId="33C9DEB6" w14:textId="77777777" w:rsidR="005C5DFB" w:rsidRPr="005C5DFB" w:rsidRDefault="005C5DFB" w:rsidP="005C5DFB">
      <w:pPr>
        <w:pStyle w:val="ListParagraph"/>
        <w:numPr>
          <w:ilvl w:val="0"/>
          <w:numId w:val="6"/>
        </w:numPr>
        <w:spacing w:after="0" w:line="240" w:lineRule="auto"/>
        <w:jc w:val="both"/>
        <w:rPr>
          <w:rFonts w:ascii="Arial" w:eastAsia="Calibri" w:hAnsi="Arial" w:cs="Arial"/>
          <w:color w:val="000000" w:themeColor="text1"/>
          <w:kern w:val="2"/>
          <w:lang w:val="en-US"/>
        </w:rPr>
      </w:pPr>
      <w:r w:rsidRPr="005C5DFB">
        <w:rPr>
          <w:rFonts w:ascii="Arial" w:eastAsia="Calibri" w:hAnsi="Arial" w:cs="Arial"/>
          <w:color w:val="000000" w:themeColor="text1"/>
          <w:kern w:val="2"/>
          <w:lang w:val="en-US"/>
        </w:rPr>
        <w:t>Used the ChatGPT for checking the language/grammar.</w:t>
      </w:r>
    </w:p>
    <w:bookmarkEnd w:id="0"/>
    <w:bookmarkEnd w:id="1"/>
    <w:p w14:paraId="6271B937" w14:textId="77777777" w:rsidR="00DD7148" w:rsidRDefault="00DD7148" w:rsidP="00483663"/>
    <w:p w14:paraId="605789D3" w14:textId="27783D9E" w:rsidR="008D1467" w:rsidRPr="008D1467" w:rsidRDefault="00570CE9" w:rsidP="00483663">
      <w:pPr>
        <w:rPr>
          <w:b/>
        </w:rPr>
      </w:pPr>
      <w:r>
        <w:t>REFERENCES</w:t>
      </w:r>
    </w:p>
    <w:p w14:paraId="194F3EEB" w14:textId="77777777" w:rsidR="008D1467" w:rsidRDefault="008D1467" w:rsidP="00483663"/>
    <w:p w14:paraId="102D79FE" w14:textId="77777777" w:rsidR="008A481A" w:rsidRPr="008A481A" w:rsidRDefault="008A481A" w:rsidP="008A481A">
      <w:pPr>
        <w:jc w:val="both"/>
        <w:rPr>
          <w:rFonts w:eastAsia="Times New Roman"/>
        </w:rPr>
      </w:pPr>
      <w:r w:rsidRPr="008A481A">
        <w:rPr>
          <w:rFonts w:eastAsia="Times New Roman"/>
        </w:rPr>
        <w:t xml:space="preserve">Antonopoulou, H., Charalambous, D., &amp; Kyriakides, L. (2019). The impact of transformational leadership on teachers’ performance and satisfaction in an era of digital education. </w:t>
      </w:r>
      <w:r w:rsidRPr="008A481A">
        <w:rPr>
          <w:rFonts w:eastAsia="Times New Roman"/>
          <w:i/>
          <w:iCs/>
        </w:rPr>
        <w:t>Educational Management Administration &amp; Leadership, 47</w:t>
      </w:r>
      <w:r w:rsidRPr="008A481A">
        <w:rPr>
          <w:rFonts w:eastAsia="Times New Roman"/>
        </w:rPr>
        <w:t>(5), 745–763.</w:t>
      </w:r>
    </w:p>
    <w:p w14:paraId="3BADB6BA" w14:textId="77777777" w:rsidR="008A481A" w:rsidRDefault="008A481A" w:rsidP="008A481A">
      <w:pPr>
        <w:jc w:val="both"/>
        <w:rPr>
          <w:rFonts w:eastAsia="Times New Roman"/>
        </w:rPr>
      </w:pPr>
    </w:p>
    <w:p w14:paraId="1247D2EB" w14:textId="77777777" w:rsidR="008A481A" w:rsidRPr="008A481A" w:rsidRDefault="008A481A" w:rsidP="008A481A">
      <w:pPr>
        <w:jc w:val="both"/>
        <w:rPr>
          <w:rFonts w:eastAsia="Times New Roman"/>
        </w:rPr>
      </w:pPr>
      <w:proofErr w:type="spellStart"/>
      <w:r w:rsidRPr="008A481A">
        <w:rPr>
          <w:rFonts w:eastAsia="Times New Roman"/>
        </w:rPr>
        <w:t>Bejinaru</w:t>
      </w:r>
      <w:proofErr w:type="spellEnd"/>
      <w:r w:rsidRPr="008A481A">
        <w:rPr>
          <w:rFonts w:eastAsia="Times New Roman"/>
        </w:rPr>
        <w:t xml:space="preserve">, R. (2019). </w:t>
      </w:r>
      <w:r w:rsidRPr="008A481A">
        <w:rPr>
          <w:rFonts w:eastAsia="Times New Roman"/>
          <w:i/>
          <w:iCs/>
        </w:rPr>
        <w:t>Impact of digitalization on business models in higher education</w:t>
      </w:r>
      <w:r w:rsidRPr="008A481A">
        <w:rPr>
          <w:rFonts w:eastAsia="Times New Roman"/>
        </w:rPr>
        <w:t xml:space="preserve">. </w:t>
      </w:r>
      <w:r w:rsidRPr="008A481A">
        <w:rPr>
          <w:rFonts w:eastAsia="Times New Roman"/>
          <w:i/>
          <w:iCs/>
        </w:rPr>
        <w:t>Management Dynamics in the Knowledge Economy, 7</w:t>
      </w:r>
      <w:r w:rsidRPr="008A481A">
        <w:rPr>
          <w:rFonts w:eastAsia="Times New Roman"/>
        </w:rPr>
        <w:t>(3), 353–366.</w:t>
      </w:r>
    </w:p>
    <w:p w14:paraId="68733093" w14:textId="77777777" w:rsidR="008A481A" w:rsidRDefault="008A481A" w:rsidP="008A481A">
      <w:pPr>
        <w:jc w:val="both"/>
        <w:rPr>
          <w:rFonts w:eastAsia="Times New Roman"/>
        </w:rPr>
      </w:pPr>
    </w:p>
    <w:p w14:paraId="261B61E1" w14:textId="77777777" w:rsidR="008A481A" w:rsidRPr="008A481A" w:rsidRDefault="008A481A" w:rsidP="008A481A">
      <w:pPr>
        <w:jc w:val="both"/>
        <w:rPr>
          <w:rFonts w:eastAsia="Times New Roman"/>
        </w:rPr>
      </w:pPr>
      <w:r w:rsidRPr="008A481A">
        <w:rPr>
          <w:rFonts w:eastAsia="Times New Roman"/>
        </w:rPr>
        <w:t xml:space="preserve">Botham, K. A. (2018). </w:t>
      </w:r>
      <w:r w:rsidRPr="008A481A">
        <w:rPr>
          <w:rFonts w:eastAsia="Times New Roman"/>
          <w:i/>
          <w:iCs/>
        </w:rPr>
        <w:t>Transforming digital learning: The new landscape for educators</w:t>
      </w:r>
      <w:r w:rsidR="00FB39F9">
        <w:rPr>
          <w:rFonts w:eastAsia="Times New Roman"/>
        </w:rPr>
        <w:t xml:space="preserve">. </w:t>
      </w:r>
      <w:r w:rsidRPr="008A481A">
        <w:rPr>
          <w:rFonts w:eastAsia="Times New Roman"/>
          <w:i/>
          <w:iCs/>
        </w:rPr>
        <w:t>International Journal of Educational Technology in Higher Education, 15</w:t>
      </w:r>
      <w:r w:rsidRPr="008A481A">
        <w:rPr>
          <w:rFonts w:eastAsia="Times New Roman"/>
        </w:rPr>
        <w:t>(1), 1-14.</w:t>
      </w:r>
    </w:p>
    <w:p w14:paraId="0386AC7D" w14:textId="77777777" w:rsidR="008A481A" w:rsidRDefault="008A481A" w:rsidP="008A481A">
      <w:pPr>
        <w:jc w:val="both"/>
        <w:rPr>
          <w:rFonts w:eastAsia="Times New Roman"/>
        </w:rPr>
      </w:pPr>
    </w:p>
    <w:p w14:paraId="6093F047" w14:textId="77777777" w:rsidR="008A481A" w:rsidRPr="008A481A" w:rsidRDefault="008A481A" w:rsidP="008A481A">
      <w:pPr>
        <w:jc w:val="both"/>
        <w:rPr>
          <w:rFonts w:eastAsia="Times New Roman"/>
        </w:rPr>
      </w:pPr>
      <w:r w:rsidRPr="008A481A">
        <w:rPr>
          <w:rFonts w:eastAsia="Times New Roman"/>
        </w:rPr>
        <w:t xml:space="preserve">Commission on Higher Education (CHED). (2020). </w:t>
      </w:r>
      <w:r w:rsidRPr="008A481A">
        <w:rPr>
          <w:rFonts w:eastAsia="Times New Roman"/>
          <w:i/>
          <w:iCs/>
        </w:rPr>
        <w:t>Policies, Standards, and Guidelines on Flexible Learning and the Integration of Technology in Higher Education</w:t>
      </w:r>
      <w:r w:rsidRPr="008A481A">
        <w:rPr>
          <w:rFonts w:eastAsia="Times New Roman"/>
        </w:rPr>
        <w:t>. Manila: CHED.</w:t>
      </w:r>
    </w:p>
    <w:p w14:paraId="2675CED4" w14:textId="77777777" w:rsidR="008A481A" w:rsidRDefault="008A481A" w:rsidP="008A481A">
      <w:pPr>
        <w:jc w:val="both"/>
        <w:rPr>
          <w:rFonts w:eastAsia="Times New Roman"/>
        </w:rPr>
      </w:pPr>
    </w:p>
    <w:p w14:paraId="108C583C" w14:textId="77777777" w:rsidR="008A481A" w:rsidRPr="008A481A" w:rsidRDefault="008A481A" w:rsidP="008A481A">
      <w:pPr>
        <w:jc w:val="both"/>
        <w:rPr>
          <w:rFonts w:eastAsia="Times New Roman"/>
        </w:rPr>
      </w:pPr>
      <w:r w:rsidRPr="008A481A">
        <w:rPr>
          <w:rFonts w:eastAsia="Times New Roman"/>
        </w:rPr>
        <w:lastRenderedPageBreak/>
        <w:t xml:space="preserve">Ertmer, P. A., &amp; Ottenbreit-Leftwich, A. T. (2015). Teacher technology change: How knowledge, confidence, beliefs, and culture intersect. </w:t>
      </w:r>
      <w:r w:rsidRPr="008A481A">
        <w:rPr>
          <w:rFonts w:eastAsia="Times New Roman"/>
          <w:i/>
          <w:iCs/>
        </w:rPr>
        <w:t>Journal of Research on Technology in Education, 42</w:t>
      </w:r>
      <w:r w:rsidRPr="008A481A">
        <w:rPr>
          <w:rFonts w:eastAsia="Times New Roman"/>
        </w:rPr>
        <w:t xml:space="preserve">(3), 255–284. </w:t>
      </w:r>
      <w:hyperlink r:id="rId7" w:tgtFrame="_new" w:history="1">
        <w:r w:rsidRPr="008A481A">
          <w:rPr>
            <w:rFonts w:eastAsia="Times New Roman"/>
            <w:color w:val="0000FF"/>
            <w:u w:val="single"/>
          </w:rPr>
          <w:t>https://doi.org/10.1080/15391523.2010.10782551</w:t>
        </w:r>
      </w:hyperlink>
    </w:p>
    <w:p w14:paraId="7321B8A1" w14:textId="77777777" w:rsidR="00FB39F9" w:rsidRDefault="00FB39F9" w:rsidP="008A481A">
      <w:pPr>
        <w:jc w:val="both"/>
        <w:rPr>
          <w:rFonts w:eastAsia="Times New Roman"/>
        </w:rPr>
      </w:pPr>
    </w:p>
    <w:p w14:paraId="6FB4F996" w14:textId="77777777" w:rsidR="008A481A" w:rsidRPr="008A481A" w:rsidRDefault="008A481A" w:rsidP="008A481A">
      <w:pPr>
        <w:jc w:val="both"/>
        <w:rPr>
          <w:rFonts w:eastAsia="Times New Roman"/>
        </w:rPr>
      </w:pPr>
      <w:r w:rsidRPr="008A481A">
        <w:rPr>
          <w:rFonts w:eastAsia="Times New Roman"/>
        </w:rPr>
        <w:t xml:space="preserve">Flores, Ó., &amp; Roig, R. (2019). The development of teachers’ digital competence: The TDC model. </w:t>
      </w:r>
      <w:r w:rsidRPr="008A481A">
        <w:rPr>
          <w:rFonts w:eastAsia="Times New Roman"/>
          <w:i/>
          <w:iCs/>
        </w:rPr>
        <w:t>International Journal of Educational Technology in Higher Education, 16</w:t>
      </w:r>
      <w:r w:rsidRPr="008A481A">
        <w:rPr>
          <w:rFonts w:eastAsia="Times New Roman"/>
        </w:rPr>
        <w:t xml:space="preserve">(1), 1–24. </w:t>
      </w:r>
      <w:hyperlink r:id="rId8" w:tgtFrame="_new" w:history="1">
        <w:r w:rsidRPr="008A481A">
          <w:rPr>
            <w:rFonts w:eastAsia="Times New Roman"/>
            <w:color w:val="0000FF"/>
            <w:u w:val="single"/>
          </w:rPr>
          <w:t>https://doi.org/10.1186/s41239-019-0139-4</w:t>
        </w:r>
      </w:hyperlink>
    </w:p>
    <w:p w14:paraId="0CD7EE80" w14:textId="77777777" w:rsidR="008A481A" w:rsidRDefault="008A481A" w:rsidP="008A481A">
      <w:pPr>
        <w:jc w:val="both"/>
        <w:rPr>
          <w:rFonts w:eastAsia="Times New Roman"/>
        </w:rPr>
      </w:pPr>
    </w:p>
    <w:p w14:paraId="52E5537B" w14:textId="77777777" w:rsidR="008A481A" w:rsidRPr="008A481A" w:rsidRDefault="008A481A" w:rsidP="008A481A">
      <w:pPr>
        <w:jc w:val="both"/>
        <w:rPr>
          <w:rFonts w:eastAsia="Times New Roman"/>
        </w:rPr>
      </w:pPr>
      <w:r w:rsidRPr="008A481A">
        <w:rPr>
          <w:rFonts w:eastAsia="Times New Roman"/>
        </w:rPr>
        <w:t>Hamzah, M. I. M., Ismail, H. N., &amp; Mohamed, S. (2021). [Exact title and source details needed—please provide full journal/book reference].</w:t>
      </w:r>
    </w:p>
    <w:p w14:paraId="42C06B40" w14:textId="77777777" w:rsidR="008A481A" w:rsidRDefault="008A481A" w:rsidP="008A481A">
      <w:pPr>
        <w:jc w:val="both"/>
        <w:rPr>
          <w:rFonts w:eastAsia="Times New Roman"/>
        </w:rPr>
      </w:pPr>
    </w:p>
    <w:p w14:paraId="6ADF60B9" w14:textId="77777777" w:rsidR="008A481A" w:rsidRPr="008A481A" w:rsidRDefault="008A481A" w:rsidP="008A481A">
      <w:pPr>
        <w:jc w:val="both"/>
        <w:rPr>
          <w:rFonts w:eastAsia="Times New Roman"/>
        </w:rPr>
      </w:pPr>
      <w:r w:rsidRPr="008A481A">
        <w:rPr>
          <w:rFonts w:eastAsia="Times New Roman"/>
        </w:rPr>
        <w:t xml:space="preserve">Howard, S. K., </w:t>
      </w:r>
      <w:proofErr w:type="spellStart"/>
      <w:r w:rsidRPr="008A481A">
        <w:rPr>
          <w:rFonts w:eastAsia="Times New Roman"/>
        </w:rPr>
        <w:t>Tondeur</w:t>
      </w:r>
      <w:proofErr w:type="spellEnd"/>
      <w:r w:rsidRPr="008A481A">
        <w:rPr>
          <w:rFonts w:eastAsia="Times New Roman"/>
        </w:rPr>
        <w:t xml:space="preserve">, J., Ma, J., &amp; Yang, J. (2021). What to teach? Strategies for developing digital competence in pre-service teacher education. </w:t>
      </w:r>
      <w:r w:rsidRPr="008A481A">
        <w:rPr>
          <w:rFonts w:eastAsia="Times New Roman"/>
          <w:i/>
          <w:iCs/>
        </w:rPr>
        <w:t>Computers &amp; Education, 165</w:t>
      </w:r>
      <w:r w:rsidRPr="008A481A">
        <w:rPr>
          <w:rFonts w:eastAsia="Times New Roman"/>
        </w:rPr>
        <w:t xml:space="preserve">, 104149. </w:t>
      </w:r>
      <w:hyperlink r:id="rId9" w:tgtFrame="_new" w:history="1">
        <w:r w:rsidRPr="008A481A">
          <w:rPr>
            <w:rFonts w:eastAsia="Times New Roman"/>
            <w:color w:val="0000FF"/>
            <w:u w:val="single"/>
          </w:rPr>
          <w:t>https://doi.org/10.1016/j.compedu.2021.104149</w:t>
        </w:r>
      </w:hyperlink>
    </w:p>
    <w:p w14:paraId="168E7752" w14:textId="77777777" w:rsidR="008A481A" w:rsidRDefault="008A481A" w:rsidP="008A481A">
      <w:pPr>
        <w:jc w:val="both"/>
        <w:rPr>
          <w:rFonts w:eastAsia="Times New Roman"/>
        </w:rPr>
      </w:pPr>
    </w:p>
    <w:p w14:paraId="72843DA8" w14:textId="77777777" w:rsidR="008A481A" w:rsidRPr="008A481A" w:rsidRDefault="008A481A" w:rsidP="008A481A">
      <w:pPr>
        <w:jc w:val="both"/>
        <w:rPr>
          <w:rFonts w:eastAsia="Times New Roman"/>
        </w:rPr>
      </w:pPr>
      <w:proofErr w:type="spellStart"/>
      <w:r w:rsidRPr="008A481A">
        <w:rPr>
          <w:rFonts w:eastAsia="Times New Roman"/>
        </w:rPr>
        <w:t>Ifinedo</w:t>
      </w:r>
      <w:proofErr w:type="spellEnd"/>
      <w:r w:rsidRPr="008A481A">
        <w:rPr>
          <w:rFonts w:eastAsia="Times New Roman"/>
        </w:rPr>
        <w:t xml:space="preserve">, P., </w:t>
      </w:r>
      <w:proofErr w:type="spellStart"/>
      <w:r w:rsidRPr="008A481A">
        <w:rPr>
          <w:rFonts w:eastAsia="Times New Roman"/>
        </w:rPr>
        <w:t>Rikala</w:t>
      </w:r>
      <w:proofErr w:type="spellEnd"/>
      <w:r w:rsidRPr="008A481A">
        <w:rPr>
          <w:rFonts w:eastAsia="Times New Roman"/>
        </w:rPr>
        <w:t xml:space="preserve">, J., &amp; Hämäläinen, T. (2020). Why do mobile technology integration efforts in schools fail? A literature review. </w:t>
      </w:r>
      <w:r w:rsidRPr="008A481A">
        <w:rPr>
          <w:rFonts w:eastAsia="Times New Roman"/>
          <w:i/>
          <w:iCs/>
        </w:rPr>
        <w:t>Computers &amp; Education, 146</w:t>
      </w:r>
      <w:r w:rsidRPr="008A481A">
        <w:rPr>
          <w:rFonts w:eastAsia="Times New Roman"/>
        </w:rPr>
        <w:t xml:space="preserve">, 103801. </w:t>
      </w:r>
      <w:hyperlink r:id="rId10" w:tgtFrame="_new" w:history="1">
        <w:r w:rsidRPr="008A481A">
          <w:rPr>
            <w:rFonts w:eastAsia="Times New Roman"/>
            <w:color w:val="0000FF"/>
            <w:u w:val="single"/>
          </w:rPr>
          <w:t>https://doi.org/10.1016/j.compedu.2019.103801</w:t>
        </w:r>
      </w:hyperlink>
    </w:p>
    <w:p w14:paraId="563E5110" w14:textId="77777777" w:rsidR="008A481A" w:rsidRDefault="008A481A" w:rsidP="008A481A">
      <w:pPr>
        <w:jc w:val="both"/>
        <w:rPr>
          <w:rFonts w:eastAsia="Times New Roman"/>
        </w:rPr>
      </w:pPr>
    </w:p>
    <w:p w14:paraId="2FB8B68B" w14:textId="77777777" w:rsidR="008A481A" w:rsidRPr="008A481A" w:rsidRDefault="008A481A" w:rsidP="008A481A">
      <w:pPr>
        <w:jc w:val="both"/>
        <w:rPr>
          <w:rFonts w:eastAsia="Times New Roman"/>
        </w:rPr>
      </w:pPr>
      <w:r w:rsidRPr="008A481A">
        <w:rPr>
          <w:rFonts w:eastAsia="Times New Roman"/>
        </w:rPr>
        <w:t xml:space="preserve">International Society for Technology in Education (ISTE). (2024). </w:t>
      </w:r>
      <w:r w:rsidRPr="008A481A">
        <w:rPr>
          <w:rFonts w:eastAsia="Times New Roman"/>
          <w:i/>
          <w:iCs/>
        </w:rPr>
        <w:t>ISTE Standards for Education Leaders and Educators</w:t>
      </w:r>
      <w:r w:rsidRPr="008A481A">
        <w:rPr>
          <w:rFonts w:eastAsia="Times New Roman"/>
        </w:rPr>
        <w:t xml:space="preserve">. </w:t>
      </w:r>
      <w:hyperlink r:id="rId11" w:tgtFrame="_new" w:history="1">
        <w:r w:rsidRPr="008A481A">
          <w:rPr>
            <w:rFonts w:eastAsia="Times New Roman"/>
            <w:color w:val="0000FF"/>
            <w:u w:val="single"/>
          </w:rPr>
          <w:t>https://www.iste.org</w:t>
        </w:r>
      </w:hyperlink>
    </w:p>
    <w:p w14:paraId="5C3FC344" w14:textId="77777777" w:rsidR="008A481A" w:rsidRDefault="008A481A" w:rsidP="008A481A">
      <w:pPr>
        <w:jc w:val="both"/>
        <w:rPr>
          <w:rFonts w:eastAsia="Times New Roman"/>
        </w:rPr>
      </w:pPr>
    </w:p>
    <w:p w14:paraId="15330091" w14:textId="77777777" w:rsidR="008A481A" w:rsidRPr="008A481A" w:rsidRDefault="008A481A" w:rsidP="008A481A">
      <w:pPr>
        <w:jc w:val="both"/>
        <w:rPr>
          <w:rFonts w:eastAsia="Times New Roman"/>
        </w:rPr>
      </w:pPr>
      <w:r w:rsidRPr="008A481A">
        <w:rPr>
          <w:rFonts w:eastAsia="Times New Roman"/>
        </w:rPr>
        <w:t xml:space="preserve">Khan, S. A., Khalid, R., &amp; Ameen, K. (2022). Bridging the digital skills gap: A review of the role of higher education in preparing students for the 21st-century workforce. </w:t>
      </w:r>
      <w:r w:rsidRPr="008A481A">
        <w:rPr>
          <w:rFonts w:eastAsia="Times New Roman"/>
          <w:i/>
          <w:iCs/>
        </w:rPr>
        <w:t>Education and Information Technologies, 27</w:t>
      </w:r>
      <w:r w:rsidRPr="008A481A">
        <w:rPr>
          <w:rFonts w:eastAsia="Times New Roman"/>
        </w:rPr>
        <w:t xml:space="preserve">, 973–998. </w:t>
      </w:r>
      <w:hyperlink r:id="rId12" w:tgtFrame="_new" w:history="1">
        <w:r w:rsidRPr="008A481A">
          <w:rPr>
            <w:rFonts w:eastAsia="Times New Roman"/>
            <w:color w:val="0000FF"/>
            <w:u w:val="single"/>
          </w:rPr>
          <w:t>https://doi.org/10.1007/s10639-021-10727-4</w:t>
        </w:r>
      </w:hyperlink>
    </w:p>
    <w:p w14:paraId="60A96DA0" w14:textId="77777777" w:rsidR="008A481A" w:rsidRDefault="008A481A" w:rsidP="008A481A">
      <w:pPr>
        <w:jc w:val="both"/>
        <w:rPr>
          <w:rFonts w:eastAsia="Times New Roman"/>
        </w:rPr>
      </w:pPr>
    </w:p>
    <w:p w14:paraId="5EDF80BE" w14:textId="77777777" w:rsidR="008A481A" w:rsidRPr="008A481A" w:rsidRDefault="008A481A" w:rsidP="008A481A">
      <w:pPr>
        <w:jc w:val="both"/>
        <w:rPr>
          <w:rFonts w:eastAsia="Times New Roman"/>
        </w:rPr>
      </w:pPr>
      <w:proofErr w:type="spellStart"/>
      <w:r w:rsidRPr="008A481A">
        <w:rPr>
          <w:rFonts w:eastAsia="Times New Roman"/>
        </w:rPr>
        <w:t>Leithwood</w:t>
      </w:r>
      <w:proofErr w:type="spellEnd"/>
      <w:r w:rsidRPr="008A481A">
        <w:rPr>
          <w:rFonts w:eastAsia="Times New Roman"/>
        </w:rPr>
        <w:t xml:space="preserve">, K. (2016). Characteristics of effective leadership networks: A replication and extension. </w:t>
      </w:r>
      <w:r w:rsidRPr="008A481A">
        <w:rPr>
          <w:rFonts w:eastAsia="Times New Roman"/>
          <w:i/>
          <w:iCs/>
        </w:rPr>
        <w:t>School Leadership &amp; Management, 36</w:t>
      </w:r>
      <w:r w:rsidRPr="008A481A">
        <w:rPr>
          <w:rFonts w:eastAsia="Times New Roman"/>
        </w:rPr>
        <w:t xml:space="preserve">(4), 381–404. </w:t>
      </w:r>
      <w:hyperlink r:id="rId13" w:tgtFrame="_new" w:history="1">
        <w:r w:rsidRPr="008A481A">
          <w:rPr>
            <w:rFonts w:eastAsia="Times New Roman"/>
            <w:color w:val="0000FF"/>
            <w:u w:val="single"/>
          </w:rPr>
          <w:t>https://doi.org/10.1080/13632434.2016.1209182</w:t>
        </w:r>
      </w:hyperlink>
    </w:p>
    <w:p w14:paraId="3F5AEF43" w14:textId="77777777" w:rsidR="008A481A" w:rsidRDefault="008A481A" w:rsidP="008A481A">
      <w:pPr>
        <w:jc w:val="both"/>
        <w:rPr>
          <w:rFonts w:eastAsia="Times New Roman"/>
        </w:rPr>
      </w:pPr>
    </w:p>
    <w:p w14:paraId="1E99A8F2" w14:textId="77777777" w:rsidR="008A481A" w:rsidRPr="008A481A" w:rsidRDefault="008A481A" w:rsidP="008A481A">
      <w:pPr>
        <w:jc w:val="both"/>
        <w:rPr>
          <w:rFonts w:eastAsia="Times New Roman"/>
        </w:rPr>
      </w:pPr>
      <w:proofErr w:type="spellStart"/>
      <w:r w:rsidRPr="008A481A">
        <w:rPr>
          <w:rFonts w:eastAsia="Times New Roman"/>
        </w:rPr>
        <w:t>Leithwood</w:t>
      </w:r>
      <w:proofErr w:type="spellEnd"/>
      <w:r w:rsidRPr="008A481A">
        <w:rPr>
          <w:rFonts w:eastAsia="Times New Roman"/>
        </w:rPr>
        <w:t xml:space="preserve">, K., Sun, J., &amp; Pollock, K. (2019). How school leadership influences student learning: A test of “the four paths” model. </w:t>
      </w:r>
      <w:r w:rsidRPr="008A481A">
        <w:rPr>
          <w:rFonts w:eastAsia="Times New Roman"/>
          <w:i/>
          <w:iCs/>
        </w:rPr>
        <w:t>Educational Administration Quarterly, 55</w:t>
      </w:r>
      <w:r w:rsidRPr="008A481A">
        <w:rPr>
          <w:rFonts w:eastAsia="Times New Roman"/>
        </w:rPr>
        <w:t xml:space="preserve">(4), 527–556. </w:t>
      </w:r>
      <w:hyperlink r:id="rId14" w:tgtFrame="_new" w:history="1">
        <w:r w:rsidRPr="008A481A">
          <w:rPr>
            <w:rFonts w:eastAsia="Times New Roman"/>
            <w:color w:val="0000FF"/>
            <w:u w:val="single"/>
          </w:rPr>
          <w:t>https://doi.org/10.1177/0013161X18761347</w:t>
        </w:r>
      </w:hyperlink>
    </w:p>
    <w:p w14:paraId="07F309F5" w14:textId="77777777" w:rsidR="008A481A" w:rsidRDefault="008A481A" w:rsidP="008A481A">
      <w:pPr>
        <w:jc w:val="both"/>
        <w:rPr>
          <w:rFonts w:eastAsia="Times New Roman"/>
        </w:rPr>
      </w:pPr>
    </w:p>
    <w:p w14:paraId="11D1BEC5" w14:textId="77777777" w:rsidR="008A481A" w:rsidRPr="008A481A" w:rsidRDefault="008A481A" w:rsidP="008A481A">
      <w:pPr>
        <w:jc w:val="both"/>
        <w:rPr>
          <w:rFonts w:eastAsia="Times New Roman"/>
        </w:rPr>
      </w:pPr>
      <w:r w:rsidRPr="008A481A">
        <w:rPr>
          <w:rFonts w:eastAsia="Times New Roman"/>
        </w:rPr>
        <w:t xml:space="preserve">Moradi, F. (2025). Barriers and enablers of digital competence among language teachers in China. </w:t>
      </w:r>
      <w:r w:rsidRPr="008A481A">
        <w:rPr>
          <w:rFonts w:eastAsia="Times New Roman"/>
          <w:i/>
          <w:iCs/>
        </w:rPr>
        <w:t>Language Learning &amp; Technology, 29</w:t>
      </w:r>
      <w:r w:rsidRPr="008A481A">
        <w:rPr>
          <w:rFonts w:eastAsia="Times New Roman"/>
        </w:rPr>
        <w:t xml:space="preserve">(1), 100–120. </w:t>
      </w:r>
      <w:hyperlink r:id="rId15" w:tgtFrame="_new" w:history="1">
        <w:r w:rsidRPr="008A481A">
          <w:rPr>
            <w:rFonts w:eastAsia="Times New Roman"/>
            <w:color w:val="0000FF"/>
            <w:u w:val="single"/>
          </w:rPr>
          <w:t>https://doi.org/10.10125/ltl.2951</w:t>
        </w:r>
      </w:hyperlink>
    </w:p>
    <w:p w14:paraId="369038F9" w14:textId="77777777" w:rsidR="008A481A" w:rsidRDefault="008A481A" w:rsidP="008A481A">
      <w:pPr>
        <w:jc w:val="both"/>
        <w:rPr>
          <w:rFonts w:eastAsia="Times New Roman"/>
        </w:rPr>
      </w:pPr>
    </w:p>
    <w:p w14:paraId="55E68524" w14:textId="77777777" w:rsidR="008A481A" w:rsidRPr="008A481A" w:rsidRDefault="008A481A" w:rsidP="008A481A">
      <w:pPr>
        <w:jc w:val="both"/>
        <w:rPr>
          <w:rFonts w:eastAsia="Times New Roman"/>
        </w:rPr>
      </w:pPr>
      <w:r w:rsidRPr="008A481A">
        <w:rPr>
          <w:rFonts w:eastAsia="Times New Roman"/>
        </w:rPr>
        <w:t xml:space="preserve">Ng, W. (2015). </w:t>
      </w:r>
      <w:r w:rsidRPr="008A481A">
        <w:rPr>
          <w:rFonts w:eastAsia="Times New Roman"/>
          <w:i/>
          <w:iCs/>
        </w:rPr>
        <w:t>New digital technology in education: Conceptualizing professional learning for teachers</w:t>
      </w:r>
      <w:r w:rsidRPr="008A481A">
        <w:rPr>
          <w:rFonts w:eastAsia="Times New Roman"/>
        </w:rPr>
        <w:t>. Springer.</w:t>
      </w:r>
    </w:p>
    <w:p w14:paraId="078EAA5F" w14:textId="77777777" w:rsidR="008A481A" w:rsidRDefault="008A481A" w:rsidP="008A481A">
      <w:pPr>
        <w:jc w:val="both"/>
        <w:rPr>
          <w:rFonts w:eastAsia="Times New Roman"/>
        </w:rPr>
      </w:pPr>
    </w:p>
    <w:p w14:paraId="072AAE65" w14:textId="77777777" w:rsidR="008A481A" w:rsidRPr="008A481A" w:rsidRDefault="008A481A" w:rsidP="008A481A">
      <w:pPr>
        <w:jc w:val="both"/>
        <w:rPr>
          <w:rFonts w:eastAsia="Times New Roman"/>
        </w:rPr>
      </w:pPr>
      <w:r w:rsidRPr="008A481A">
        <w:rPr>
          <w:rFonts w:eastAsia="Times New Roman"/>
        </w:rPr>
        <w:t xml:space="preserve">Olofsson, A. D., Lindberg, J. O., &amp; Fransson, G. (2021). Teachers’ and school leaders’ views on professional development in a digital world. </w:t>
      </w:r>
      <w:r w:rsidRPr="008A481A">
        <w:rPr>
          <w:rFonts w:eastAsia="Times New Roman"/>
          <w:i/>
          <w:iCs/>
        </w:rPr>
        <w:t>Teaching and Teacher Education, 103</w:t>
      </w:r>
      <w:r w:rsidRPr="008A481A">
        <w:rPr>
          <w:rFonts w:eastAsia="Times New Roman"/>
        </w:rPr>
        <w:t xml:space="preserve">, 103344. </w:t>
      </w:r>
      <w:hyperlink r:id="rId16" w:tgtFrame="_new" w:history="1">
        <w:r w:rsidRPr="008A481A">
          <w:rPr>
            <w:rFonts w:eastAsia="Times New Roman"/>
            <w:color w:val="0000FF"/>
            <w:u w:val="single"/>
          </w:rPr>
          <w:t>https://doi.org/10.1016/j.tate.2021.103344</w:t>
        </w:r>
      </w:hyperlink>
    </w:p>
    <w:p w14:paraId="0B710ECB" w14:textId="77777777" w:rsidR="008A481A" w:rsidRDefault="008A481A" w:rsidP="008A481A">
      <w:pPr>
        <w:jc w:val="both"/>
        <w:rPr>
          <w:rFonts w:eastAsia="Times New Roman"/>
        </w:rPr>
      </w:pPr>
    </w:p>
    <w:p w14:paraId="0B513AC5" w14:textId="77777777" w:rsidR="008A481A" w:rsidRPr="008A481A" w:rsidRDefault="008A481A" w:rsidP="008A481A">
      <w:pPr>
        <w:jc w:val="both"/>
        <w:rPr>
          <w:rFonts w:eastAsia="Times New Roman"/>
        </w:rPr>
      </w:pPr>
      <w:r w:rsidRPr="008A481A">
        <w:rPr>
          <w:rFonts w:eastAsia="Times New Roman"/>
        </w:rPr>
        <w:t xml:space="preserve">Sailer, M., Stadler, M., Schultz-Pernice, F., Franke, U., &amp; Fischer, F. (2021). Technology-related knowledge, skills, and attitudes of pre- and in-service teachers: </w:t>
      </w:r>
      <w:r w:rsidRPr="008A481A">
        <w:rPr>
          <w:rFonts w:eastAsia="Times New Roman"/>
        </w:rPr>
        <w:lastRenderedPageBreak/>
        <w:t xml:space="preserve">The current state of research and future directions. </w:t>
      </w:r>
      <w:r w:rsidRPr="008A481A">
        <w:rPr>
          <w:rFonts w:eastAsia="Times New Roman"/>
          <w:i/>
          <w:iCs/>
        </w:rPr>
        <w:t>Computers in Human Behavior, 115</w:t>
      </w:r>
      <w:r w:rsidRPr="008A481A">
        <w:rPr>
          <w:rFonts w:eastAsia="Times New Roman"/>
        </w:rPr>
        <w:t xml:space="preserve">, 106552. </w:t>
      </w:r>
      <w:hyperlink r:id="rId17" w:tgtFrame="_new" w:history="1">
        <w:r w:rsidRPr="008A481A">
          <w:rPr>
            <w:rFonts w:eastAsia="Times New Roman"/>
            <w:color w:val="0000FF"/>
            <w:u w:val="single"/>
          </w:rPr>
          <w:t>https://doi.org/10.1016/j.chb.2020.106552</w:t>
        </w:r>
      </w:hyperlink>
    </w:p>
    <w:p w14:paraId="464853CF" w14:textId="77777777" w:rsidR="008A481A" w:rsidRDefault="008A481A" w:rsidP="008A481A">
      <w:pPr>
        <w:jc w:val="both"/>
        <w:rPr>
          <w:rFonts w:eastAsia="Times New Roman"/>
        </w:rPr>
      </w:pPr>
    </w:p>
    <w:p w14:paraId="5FC40789" w14:textId="77777777" w:rsidR="008A481A" w:rsidRPr="008A481A" w:rsidRDefault="008A481A" w:rsidP="008A481A">
      <w:pPr>
        <w:jc w:val="both"/>
        <w:rPr>
          <w:rFonts w:eastAsia="Times New Roman"/>
        </w:rPr>
      </w:pPr>
      <w:proofErr w:type="spellStart"/>
      <w:r w:rsidRPr="008A481A">
        <w:rPr>
          <w:rFonts w:eastAsia="Times New Roman"/>
        </w:rPr>
        <w:t>Sheninger</w:t>
      </w:r>
      <w:proofErr w:type="spellEnd"/>
      <w:r w:rsidRPr="008A481A">
        <w:rPr>
          <w:rFonts w:eastAsia="Times New Roman"/>
        </w:rPr>
        <w:t xml:space="preserve">, E. (2019). </w:t>
      </w:r>
      <w:r w:rsidRPr="008A481A">
        <w:rPr>
          <w:rFonts w:eastAsia="Times New Roman"/>
          <w:i/>
          <w:iCs/>
        </w:rPr>
        <w:t>Digital leadership: Changing paradigms for changing times</w:t>
      </w:r>
      <w:r w:rsidRPr="008A481A">
        <w:rPr>
          <w:rFonts w:eastAsia="Times New Roman"/>
        </w:rPr>
        <w:t xml:space="preserve"> (2nd ed.). Corwin.</w:t>
      </w:r>
    </w:p>
    <w:p w14:paraId="7E61FCB7" w14:textId="77777777" w:rsidR="008A481A" w:rsidRDefault="008A481A" w:rsidP="008A481A">
      <w:pPr>
        <w:jc w:val="both"/>
        <w:rPr>
          <w:rFonts w:eastAsia="Times New Roman"/>
        </w:rPr>
      </w:pPr>
    </w:p>
    <w:p w14:paraId="1028F28B" w14:textId="77777777" w:rsidR="008A481A" w:rsidRPr="008A481A" w:rsidRDefault="008A481A" w:rsidP="008A481A">
      <w:pPr>
        <w:jc w:val="both"/>
        <w:rPr>
          <w:rFonts w:eastAsia="Times New Roman"/>
        </w:rPr>
      </w:pPr>
      <w:r w:rsidRPr="008A481A">
        <w:rPr>
          <w:rFonts w:eastAsia="Times New Roman"/>
        </w:rPr>
        <w:t xml:space="preserve">Starkey, L. (2020). A review of research exploring teacher preparation for the digital age. </w:t>
      </w:r>
      <w:r w:rsidRPr="008A481A">
        <w:rPr>
          <w:rFonts w:eastAsia="Times New Roman"/>
          <w:i/>
          <w:iCs/>
        </w:rPr>
        <w:t>Cambridge Journal of Education, 50</w:t>
      </w:r>
      <w:r w:rsidRPr="008A481A">
        <w:rPr>
          <w:rFonts w:eastAsia="Times New Roman"/>
        </w:rPr>
        <w:t xml:space="preserve">(1), 37–56. </w:t>
      </w:r>
      <w:hyperlink r:id="rId18" w:tgtFrame="_new" w:history="1">
        <w:r w:rsidRPr="008A481A">
          <w:rPr>
            <w:rFonts w:eastAsia="Times New Roman"/>
            <w:color w:val="0000FF"/>
            <w:u w:val="single"/>
          </w:rPr>
          <w:t>https://doi.org/10.1080/0305764X.2019.1625867</w:t>
        </w:r>
      </w:hyperlink>
    </w:p>
    <w:p w14:paraId="0DED6DEE" w14:textId="77777777" w:rsidR="008A481A" w:rsidRDefault="008A481A" w:rsidP="008A481A">
      <w:pPr>
        <w:jc w:val="both"/>
        <w:rPr>
          <w:rFonts w:eastAsia="Times New Roman"/>
        </w:rPr>
      </w:pPr>
    </w:p>
    <w:p w14:paraId="689EF61C" w14:textId="77777777" w:rsidR="008A481A" w:rsidRPr="008A481A" w:rsidRDefault="008A481A" w:rsidP="008A481A">
      <w:pPr>
        <w:jc w:val="both"/>
        <w:rPr>
          <w:rFonts w:eastAsia="Times New Roman"/>
        </w:rPr>
      </w:pPr>
      <w:proofErr w:type="spellStart"/>
      <w:r w:rsidRPr="008A481A">
        <w:rPr>
          <w:rFonts w:eastAsia="Times New Roman"/>
        </w:rPr>
        <w:t>Tondeur</w:t>
      </w:r>
      <w:proofErr w:type="spellEnd"/>
      <w:r w:rsidRPr="008A481A">
        <w:rPr>
          <w:rFonts w:eastAsia="Times New Roman"/>
        </w:rPr>
        <w:t xml:space="preserve">, J., Voogt, J., Howard, S., van Braak, J., &amp; Ertmer, P. (2021). Preparing beginning teachers for technology integration in education: Ready for take-off? </w:t>
      </w:r>
      <w:r w:rsidRPr="008A481A">
        <w:rPr>
          <w:rFonts w:eastAsia="Times New Roman"/>
          <w:i/>
          <w:iCs/>
        </w:rPr>
        <w:t>Technology, Pedagogy and Education, 30</w:t>
      </w:r>
      <w:r w:rsidRPr="008A481A">
        <w:rPr>
          <w:rFonts w:eastAsia="Times New Roman"/>
        </w:rPr>
        <w:t xml:space="preserve">(1), 131–145. </w:t>
      </w:r>
      <w:hyperlink r:id="rId19" w:tgtFrame="_new" w:history="1">
        <w:r w:rsidRPr="008A481A">
          <w:rPr>
            <w:rFonts w:eastAsia="Times New Roman"/>
            <w:color w:val="0000FF"/>
            <w:u w:val="single"/>
          </w:rPr>
          <w:t>https://doi.org/10.1080/1475939X.2020.1868568</w:t>
        </w:r>
      </w:hyperlink>
    </w:p>
    <w:p w14:paraId="35548848" w14:textId="77777777" w:rsidR="008A481A" w:rsidRDefault="008A481A" w:rsidP="008A481A">
      <w:pPr>
        <w:jc w:val="both"/>
        <w:rPr>
          <w:rFonts w:eastAsia="Times New Roman"/>
        </w:rPr>
      </w:pPr>
    </w:p>
    <w:p w14:paraId="06FD1285" w14:textId="77777777" w:rsidR="008A481A" w:rsidRPr="008A481A" w:rsidRDefault="008A481A" w:rsidP="008A481A">
      <w:pPr>
        <w:jc w:val="both"/>
        <w:rPr>
          <w:rFonts w:eastAsia="Times New Roman"/>
        </w:rPr>
      </w:pPr>
      <w:proofErr w:type="spellStart"/>
      <w:r w:rsidRPr="008A481A">
        <w:rPr>
          <w:rFonts w:eastAsia="Times New Roman"/>
        </w:rPr>
        <w:t>Tondeur</w:t>
      </w:r>
      <w:proofErr w:type="spellEnd"/>
      <w:r w:rsidRPr="008A481A">
        <w:rPr>
          <w:rFonts w:eastAsia="Times New Roman"/>
        </w:rPr>
        <w:t xml:space="preserve">, J., et al. (2017). Exploring the link between teachers’ educational beliefs profiles and different types of </w:t>
      </w:r>
      <w:proofErr w:type="gramStart"/>
      <w:r w:rsidRPr="008A481A">
        <w:rPr>
          <w:rFonts w:eastAsia="Times New Roman"/>
        </w:rPr>
        <w:t>computer</w:t>
      </w:r>
      <w:proofErr w:type="gramEnd"/>
      <w:r w:rsidRPr="008A481A">
        <w:rPr>
          <w:rFonts w:eastAsia="Times New Roman"/>
        </w:rPr>
        <w:t xml:space="preserve"> use in the classroom. </w:t>
      </w:r>
      <w:r w:rsidRPr="008A481A">
        <w:rPr>
          <w:rFonts w:eastAsia="Times New Roman"/>
          <w:i/>
          <w:iCs/>
        </w:rPr>
        <w:t>Computers in Human Behavior, 68</w:t>
      </w:r>
      <w:r w:rsidRPr="008A481A">
        <w:rPr>
          <w:rFonts w:eastAsia="Times New Roman"/>
        </w:rPr>
        <w:t xml:space="preserve">, 425–439. </w:t>
      </w:r>
      <w:hyperlink r:id="rId20" w:tgtFrame="_new" w:history="1">
        <w:r w:rsidRPr="008A481A">
          <w:rPr>
            <w:rFonts w:eastAsia="Times New Roman"/>
            <w:color w:val="0000FF"/>
            <w:u w:val="single"/>
          </w:rPr>
          <w:t>https://doi.org/10.1016/j.chb.2016.11.020</w:t>
        </w:r>
      </w:hyperlink>
    </w:p>
    <w:p w14:paraId="35BC1C0F" w14:textId="77777777" w:rsidR="008A481A" w:rsidRDefault="008A481A" w:rsidP="008A481A">
      <w:pPr>
        <w:jc w:val="both"/>
        <w:rPr>
          <w:rFonts w:eastAsia="Times New Roman"/>
        </w:rPr>
      </w:pPr>
    </w:p>
    <w:p w14:paraId="0C8D3794" w14:textId="77777777" w:rsidR="008A481A" w:rsidRPr="008A481A" w:rsidRDefault="008A481A" w:rsidP="008A481A">
      <w:pPr>
        <w:jc w:val="both"/>
        <w:rPr>
          <w:rFonts w:eastAsia="Times New Roman"/>
        </w:rPr>
      </w:pPr>
      <w:r w:rsidRPr="008A481A">
        <w:rPr>
          <w:rFonts w:eastAsia="Times New Roman"/>
        </w:rPr>
        <w:t xml:space="preserve">Trust, T., &amp; Whalen, J. (2020). Should teachers be trained in emergency remote teaching? Lessons learned from the COVID-19 pandemic. </w:t>
      </w:r>
      <w:r w:rsidRPr="008A481A">
        <w:rPr>
          <w:rFonts w:eastAsia="Times New Roman"/>
          <w:i/>
          <w:iCs/>
        </w:rPr>
        <w:t>Journal of Technology and Teacher Education, 28</w:t>
      </w:r>
      <w:r w:rsidRPr="008A481A">
        <w:rPr>
          <w:rFonts w:eastAsia="Times New Roman"/>
        </w:rPr>
        <w:t xml:space="preserve">(2), 189–199. </w:t>
      </w:r>
      <w:hyperlink r:id="rId21" w:tgtFrame="_new" w:history="1">
        <w:r w:rsidRPr="008A481A">
          <w:rPr>
            <w:rFonts w:eastAsia="Times New Roman"/>
            <w:color w:val="0000FF"/>
            <w:u w:val="single"/>
          </w:rPr>
          <w:t>https://www.learntechlib.org/primary/p/216179/</w:t>
        </w:r>
      </w:hyperlink>
    </w:p>
    <w:p w14:paraId="2099F139" w14:textId="77777777" w:rsidR="00DB6A70" w:rsidRPr="00483663" w:rsidRDefault="00DB6A70" w:rsidP="00483663"/>
    <w:sectPr w:rsidR="00DB6A70" w:rsidRPr="00483663" w:rsidSect="009B2317">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78AE" w14:textId="77777777" w:rsidR="00CD7330" w:rsidRDefault="00CD7330" w:rsidP="00A261B3">
      <w:r>
        <w:separator/>
      </w:r>
    </w:p>
  </w:endnote>
  <w:endnote w:type="continuationSeparator" w:id="0">
    <w:p w14:paraId="377AA466" w14:textId="77777777" w:rsidR="00CD7330" w:rsidRDefault="00CD7330" w:rsidP="00A2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79E2" w14:textId="77777777" w:rsidR="00A261B3" w:rsidRDefault="00A2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058D" w14:textId="77777777" w:rsidR="00A261B3" w:rsidRDefault="00A2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2D51" w14:textId="77777777" w:rsidR="00A261B3" w:rsidRDefault="00A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667C" w14:textId="77777777" w:rsidR="00CD7330" w:rsidRDefault="00CD7330" w:rsidP="00A261B3">
      <w:r>
        <w:separator/>
      </w:r>
    </w:p>
  </w:footnote>
  <w:footnote w:type="continuationSeparator" w:id="0">
    <w:p w14:paraId="26DBE961" w14:textId="77777777" w:rsidR="00CD7330" w:rsidRDefault="00CD7330" w:rsidP="00A2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69D1" w14:textId="361F94AB" w:rsidR="00A261B3" w:rsidRDefault="00A261B3">
    <w:pPr>
      <w:pStyle w:val="Header"/>
    </w:pPr>
    <w:r>
      <w:rPr>
        <w:noProof/>
      </w:rPr>
      <w:pict w14:anchorId="642D3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4D3C" w14:textId="4E62BCFD" w:rsidR="00A261B3" w:rsidRDefault="00A261B3">
    <w:pPr>
      <w:pStyle w:val="Header"/>
    </w:pPr>
    <w:r>
      <w:rPr>
        <w:noProof/>
      </w:rPr>
      <w:pict w14:anchorId="3F66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8DD" w14:textId="6D9533B7" w:rsidR="00A261B3" w:rsidRDefault="00A261B3">
    <w:pPr>
      <w:pStyle w:val="Header"/>
    </w:pPr>
    <w:r>
      <w:rPr>
        <w:noProof/>
      </w:rPr>
      <w:pict w14:anchorId="44042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517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4749D"/>
    <w:multiLevelType w:val="multilevel"/>
    <w:tmpl w:val="EE304968"/>
    <w:lvl w:ilvl="0">
      <w:start w:val="3"/>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1" w15:restartNumberingAfterBreak="0">
    <w:nsid w:val="48FD66B9"/>
    <w:multiLevelType w:val="multilevel"/>
    <w:tmpl w:val="48FD66B9"/>
    <w:lvl w:ilvl="0">
      <w:start w:val="1"/>
      <w:numFmt w:val="decimal"/>
      <w:lvlText w:val="%1."/>
      <w:lvlJc w:val="left"/>
      <w:pPr>
        <w:ind w:left="720" w:hanging="360"/>
      </w:pPr>
      <w:rPr>
        <w:rFonts w:ascii="Courier New" w:eastAsiaTheme="minorHAnsi" w:hAnsi="Courier New" w:cs="Courier New" w:hint="default"/>
      </w:rPr>
    </w:lvl>
    <w:lvl w:ilvl="1">
      <w:start w:val="1"/>
      <w:numFmt w:val="lowerLetter"/>
      <w:lvlText w:val="%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BD6252D"/>
    <w:multiLevelType w:val="hybridMultilevel"/>
    <w:tmpl w:val="6026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45FC6"/>
    <w:multiLevelType w:val="multilevel"/>
    <w:tmpl w:val="D3D888FC"/>
    <w:lvl w:ilvl="0">
      <w:start w:val="4"/>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4" w15:restartNumberingAfterBreak="0">
    <w:nsid w:val="5F767FCF"/>
    <w:multiLevelType w:val="multilevel"/>
    <w:tmpl w:val="AF9ECF70"/>
    <w:lvl w:ilvl="0">
      <w:start w:val="1"/>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abstractNum w:abstractNumId="5" w15:restartNumberingAfterBreak="0">
    <w:nsid w:val="7ED867BA"/>
    <w:multiLevelType w:val="multilevel"/>
    <w:tmpl w:val="1FA8F63E"/>
    <w:lvl w:ilvl="0">
      <w:start w:val="2"/>
      <w:numFmt w:val="decimal"/>
      <w:lvlText w:val="%1"/>
      <w:lvlJc w:val="left"/>
      <w:pPr>
        <w:ind w:left="435" w:hanging="435"/>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425" w:hanging="1800"/>
      </w:pPr>
      <w:rPr>
        <w:rFonts w:hint="default"/>
      </w:rPr>
    </w:lvl>
    <w:lvl w:ilvl="6">
      <w:start w:val="1"/>
      <w:numFmt w:val="decimal"/>
      <w:lvlText w:val="%1.%2.%3.%4.%5.%6.%7"/>
      <w:lvlJc w:val="left"/>
      <w:pPr>
        <w:ind w:left="8910" w:hanging="2160"/>
      </w:pPr>
      <w:rPr>
        <w:rFonts w:hint="default"/>
      </w:rPr>
    </w:lvl>
    <w:lvl w:ilvl="7">
      <w:start w:val="1"/>
      <w:numFmt w:val="decimal"/>
      <w:lvlText w:val="%1.%2.%3.%4.%5.%6.%7.%8"/>
      <w:lvlJc w:val="left"/>
      <w:pPr>
        <w:ind w:left="10035" w:hanging="2160"/>
      </w:pPr>
      <w:rPr>
        <w:rFonts w:hint="default"/>
      </w:rPr>
    </w:lvl>
    <w:lvl w:ilvl="8">
      <w:start w:val="1"/>
      <w:numFmt w:val="decimal"/>
      <w:lvlText w:val="%1.%2.%3.%4.%5.%6.%7.%8.%9"/>
      <w:lvlJc w:val="left"/>
      <w:pPr>
        <w:ind w:left="11520" w:hanging="2520"/>
      </w:pPr>
      <w:rPr>
        <w:rFonts w:hint="default"/>
      </w:rPr>
    </w:lvl>
  </w:abstractNum>
  <w:num w:numId="1" w16cid:durableId="421412209">
    <w:abstractNumId w:val="1"/>
  </w:num>
  <w:num w:numId="2" w16cid:durableId="1362710135">
    <w:abstractNumId w:val="4"/>
  </w:num>
  <w:num w:numId="3" w16cid:durableId="2037727600">
    <w:abstractNumId w:val="5"/>
  </w:num>
  <w:num w:numId="4" w16cid:durableId="1427382152">
    <w:abstractNumId w:val="0"/>
  </w:num>
  <w:num w:numId="5" w16cid:durableId="220943148">
    <w:abstractNumId w:val="3"/>
  </w:num>
  <w:num w:numId="6" w16cid:durableId="136868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63"/>
    <w:rsid w:val="00047E70"/>
    <w:rsid w:val="000A46E8"/>
    <w:rsid w:val="000D6E36"/>
    <w:rsid w:val="00281D07"/>
    <w:rsid w:val="00351A9C"/>
    <w:rsid w:val="00396EFB"/>
    <w:rsid w:val="00433760"/>
    <w:rsid w:val="00483663"/>
    <w:rsid w:val="005109B3"/>
    <w:rsid w:val="0051534E"/>
    <w:rsid w:val="00570CE9"/>
    <w:rsid w:val="005C5DFB"/>
    <w:rsid w:val="005E4427"/>
    <w:rsid w:val="0062202E"/>
    <w:rsid w:val="00627422"/>
    <w:rsid w:val="0068700E"/>
    <w:rsid w:val="00746542"/>
    <w:rsid w:val="007A0FB7"/>
    <w:rsid w:val="0081457E"/>
    <w:rsid w:val="00897FE9"/>
    <w:rsid w:val="008A481A"/>
    <w:rsid w:val="008D1467"/>
    <w:rsid w:val="008E013F"/>
    <w:rsid w:val="00911D67"/>
    <w:rsid w:val="009274E5"/>
    <w:rsid w:val="00981B29"/>
    <w:rsid w:val="009B2317"/>
    <w:rsid w:val="00A261B3"/>
    <w:rsid w:val="00A52A3D"/>
    <w:rsid w:val="00B01653"/>
    <w:rsid w:val="00BC061B"/>
    <w:rsid w:val="00C26FCE"/>
    <w:rsid w:val="00C851F6"/>
    <w:rsid w:val="00CB3FB3"/>
    <w:rsid w:val="00CD7330"/>
    <w:rsid w:val="00D003CF"/>
    <w:rsid w:val="00DB6A70"/>
    <w:rsid w:val="00DD7148"/>
    <w:rsid w:val="00E1254C"/>
    <w:rsid w:val="00EC387C"/>
    <w:rsid w:val="00F006B3"/>
    <w:rsid w:val="00FB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0B196"/>
  <w15:chartTrackingRefBased/>
  <w15:docId w15:val="{8B85EC7D-11D7-4B6F-9788-DADBE96A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3663"/>
    <w:rPr>
      <w:b/>
      <w:bCs/>
    </w:rPr>
  </w:style>
  <w:style w:type="paragraph" w:styleId="NormalWeb">
    <w:name w:val="Normal (Web)"/>
    <w:basedOn w:val="Normal"/>
    <w:uiPriority w:val="99"/>
    <w:semiHidden/>
    <w:unhideWhenUsed/>
    <w:rsid w:val="0048366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2202E"/>
    <w:rPr>
      <w:i/>
      <w:iCs/>
    </w:rPr>
  </w:style>
  <w:style w:type="paragraph" w:styleId="ListParagraph">
    <w:name w:val="List Paragraph"/>
    <w:basedOn w:val="Normal"/>
    <w:link w:val="ListParagraphChar"/>
    <w:uiPriority w:val="34"/>
    <w:qFormat/>
    <w:rsid w:val="0062202E"/>
    <w:pPr>
      <w:spacing w:after="160" w:line="259" w:lineRule="auto"/>
      <w:ind w:left="720"/>
      <w:contextualSpacing/>
    </w:pPr>
    <w:rPr>
      <w:rFonts w:asciiTheme="minorHAnsi" w:hAnsiTheme="minorHAnsi" w:cstheme="minorBidi"/>
      <w:sz w:val="22"/>
      <w:szCs w:val="22"/>
      <w:lang w:val="en-PH"/>
    </w:rPr>
  </w:style>
  <w:style w:type="character" w:customStyle="1" w:styleId="ListParagraphChar">
    <w:name w:val="List Paragraph Char"/>
    <w:basedOn w:val="DefaultParagraphFont"/>
    <w:link w:val="ListParagraph"/>
    <w:uiPriority w:val="34"/>
    <w:qFormat/>
    <w:rsid w:val="0062202E"/>
    <w:rPr>
      <w:rFonts w:asciiTheme="minorHAnsi" w:hAnsiTheme="minorHAnsi" w:cstheme="minorBidi"/>
      <w:sz w:val="22"/>
      <w:szCs w:val="22"/>
      <w:lang w:val="en-PH"/>
    </w:rPr>
  </w:style>
  <w:style w:type="table" w:styleId="TableGrid">
    <w:name w:val="Table Grid"/>
    <w:basedOn w:val="TableNormal"/>
    <w:uiPriority w:val="39"/>
    <w:rsid w:val="00C851F6"/>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467"/>
    <w:rPr>
      <w:color w:val="0000FF"/>
      <w:u w:val="single"/>
    </w:rPr>
  </w:style>
  <w:style w:type="paragraph" w:styleId="BalloonText">
    <w:name w:val="Balloon Text"/>
    <w:basedOn w:val="Normal"/>
    <w:link w:val="BalloonTextChar"/>
    <w:uiPriority w:val="99"/>
    <w:semiHidden/>
    <w:unhideWhenUsed/>
    <w:rsid w:val="007A0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B7"/>
    <w:rPr>
      <w:rFonts w:ascii="Segoe UI" w:hAnsi="Segoe UI" w:cs="Segoe UI"/>
      <w:sz w:val="18"/>
      <w:szCs w:val="18"/>
    </w:rPr>
  </w:style>
  <w:style w:type="character" w:styleId="UnresolvedMention">
    <w:name w:val="Unresolved Mention"/>
    <w:basedOn w:val="DefaultParagraphFont"/>
    <w:uiPriority w:val="99"/>
    <w:semiHidden/>
    <w:unhideWhenUsed/>
    <w:rsid w:val="00396EFB"/>
    <w:rPr>
      <w:color w:val="605E5C"/>
      <w:shd w:val="clear" w:color="auto" w:fill="E1DFDD"/>
    </w:rPr>
  </w:style>
  <w:style w:type="paragraph" w:styleId="Header">
    <w:name w:val="header"/>
    <w:basedOn w:val="Normal"/>
    <w:link w:val="HeaderChar"/>
    <w:uiPriority w:val="99"/>
    <w:unhideWhenUsed/>
    <w:rsid w:val="00A261B3"/>
    <w:pPr>
      <w:tabs>
        <w:tab w:val="center" w:pos="4680"/>
        <w:tab w:val="right" w:pos="9360"/>
      </w:tabs>
    </w:pPr>
  </w:style>
  <w:style w:type="character" w:customStyle="1" w:styleId="HeaderChar">
    <w:name w:val="Header Char"/>
    <w:basedOn w:val="DefaultParagraphFont"/>
    <w:link w:val="Header"/>
    <w:uiPriority w:val="99"/>
    <w:rsid w:val="00A261B3"/>
  </w:style>
  <w:style w:type="paragraph" w:styleId="Footer">
    <w:name w:val="footer"/>
    <w:basedOn w:val="Normal"/>
    <w:link w:val="FooterChar"/>
    <w:uiPriority w:val="99"/>
    <w:unhideWhenUsed/>
    <w:rsid w:val="00A261B3"/>
    <w:pPr>
      <w:tabs>
        <w:tab w:val="center" w:pos="4680"/>
        <w:tab w:val="right" w:pos="9360"/>
      </w:tabs>
    </w:pPr>
  </w:style>
  <w:style w:type="character" w:customStyle="1" w:styleId="FooterChar">
    <w:name w:val="Footer Char"/>
    <w:basedOn w:val="DefaultParagraphFont"/>
    <w:link w:val="Footer"/>
    <w:uiPriority w:val="99"/>
    <w:rsid w:val="00A2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2900">
      <w:bodyDiv w:val="1"/>
      <w:marLeft w:val="0"/>
      <w:marRight w:val="0"/>
      <w:marTop w:val="0"/>
      <w:marBottom w:val="0"/>
      <w:divBdr>
        <w:top w:val="none" w:sz="0" w:space="0" w:color="auto"/>
        <w:left w:val="none" w:sz="0" w:space="0" w:color="auto"/>
        <w:bottom w:val="none" w:sz="0" w:space="0" w:color="auto"/>
        <w:right w:val="none" w:sz="0" w:space="0" w:color="auto"/>
      </w:divBdr>
    </w:div>
    <w:div w:id="342325432">
      <w:bodyDiv w:val="1"/>
      <w:marLeft w:val="0"/>
      <w:marRight w:val="0"/>
      <w:marTop w:val="0"/>
      <w:marBottom w:val="0"/>
      <w:divBdr>
        <w:top w:val="none" w:sz="0" w:space="0" w:color="auto"/>
        <w:left w:val="none" w:sz="0" w:space="0" w:color="auto"/>
        <w:bottom w:val="none" w:sz="0" w:space="0" w:color="auto"/>
        <w:right w:val="none" w:sz="0" w:space="0" w:color="auto"/>
      </w:divBdr>
    </w:div>
    <w:div w:id="369765118">
      <w:bodyDiv w:val="1"/>
      <w:marLeft w:val="0"/>
      <w:marRight w:val="0"/>
      <w:marTop w:val="0"/>
      <w:marBottom w:val="0"/>
      <w:divBdr>
        <w:top w:val="none" w:sz="0" w:space="0" w:color="auto"/>
        <w:left w:val="none" w:sz="0" w:space="0" w:color="auto"/>
        <w:bottom w:val="none" w:sz="0" w:space="0" w:color="auto"/>
        <w:right w:val="none" w:sz="0" w:space="0" w:color="auto"/>
      </w:divBdr>
    </w:div>
    <w:div w:id="406852190">
      <w:bodyDiv w:val="1"/>
      <w:marLeft w:val="0"/>
      <w:marRight w:val="0"/>
      <w:marTop w:val="0"/>
      <w:marBottom w:val="0"/>
      <w:divBdr>
        <w:top w:val="none" w:sz="0" w:space="0" w:color="auto"/>
        <w:left w:val="none" w:sz="0" w:space="0" w:color="auto"/>
        <w:bottom w:val="none" w:sz="0" w:space="0" w:color="auto"/>
        <w:right w:val="none" w:sz="0" w:space="0" w:color="auto"/>
      </w:divBdr>
    </w:div>
    <w:div w:id="424811865">
      <w:bodyDiv w:val="1"/>
      <w:marLeft w:val="0"/>
      <w:marRight w:val="0"/>
      <w:marTop w:val="0"/>
      <w:marBottom w:val="0"/>
      <w:divBdr>
        <w:top w:val="none" w:sz="0" w:space="0" w:color="auto"/>
        <w:left w:val="none" w:sz="0" w:space="0" w:color="auto"/>
        <w:bottom w:val="none" w:sz="0" w:space="0" w:color="auto"/>
        <w:right w:val="none" w:sz="0" w:space="0" w:color="auto"/>
      </w:divBdr>
    </w:div>
    <w:div w:id="447698597">
      <w:bodyDiv w:val="1"/>
      <w:marLeft w:val="0"/>
      <w:marRight w:val="0"/>
      <w:marTop w:val="0"/>
      <w:marBottom w:val="0"/>
      <w:divBdr>
        <w:top w:val="none" w:sz="0" w:space="0" w:color="auto"/>
        <w:left w:val="none" w:sz="0" w:space="0" w:color="auto"/>
        <w:bottom w:val="none" w:sz="0" w:space="0" w:color="auto"/>
        <w:right w:val="none" w:sz="0" w:space="0" w:color="auto"/>
      </w:divBdr>
    </w:div>
    <w:div w:id="564341525">
      <w:bodyDiv w:val="1"/>
      <w:marLeft w:val="0"/>
      <w:marRight w:val="0"/>
      <w:marTop w:val="0"/>
      <w:marBottom w:val="0"/>
      <w:divBdr>
        <w:top w:val="none" w:sz="0" w:space="0" w:color="auto"/>
        <w:left w:val="none" w:sz="0" w:space="0" w:color="auto"/>
        <w:bottom w:val="none" w:sz="0" w:space="0" w:color="auto"/>
        <w:right w:val="none" w:sz="0" w:space="0" w:color="auto"/>
      </w:divBdr>
    </w:div>
    <w:div w:id="637497277">
      <w:bodyDiv w:val="1"/>
      <w:marLeft w:val="0"/>
      <w:marRight w:val="0"/>
      <w:marTop w:val="0"/>
      <w:marBottom w:val="0"/>
      <w:divBdr>
        <w:top w:val="none" w:sz="0" w:space="0" w:color="auto"/>
        <w:left w:val="none" w:sz="0" w:space="0" w:color="auto"/>
        <w:bottom w:val="none" w:sz="0" w:space="0" w:color="auto"/>
        <w:right w:val="none" w:sz="0" w:space="0" w:color="auto"/>
      </w:divBdr>
    </w:div>
    <w:div w:id="796871070">
      <w:bodyDiv w:val="1"/>
      <w:marLeft w:val="0"/>
      <w:marRight w:val="0"/>
      <w:marTop w:val="0"/>
      <w:marBottom w:val="0"/>
      <w:divBdr>
        <w:top w:val="none" w:sz="0" w:space="0" w:color="auto"/>
        <w:left w:val="none" w:sz="0" w:space="0" w:color="auto"/>
        <w:bottom w:val="none" w:sz="0" w:space="0" w:color="auto"/>
        <w:right w:val="none" w:sz="0" w:space="0" w:color="auto"/>
      </w:divBdr>
    </w:div>
    <w:div w:id="806051494">
      <w:bodyDiv w:val="1"/>
      <w:marLeft w:val="0"/>
      <w:marRight w:val="0"/>
      <w:marTop w:val="0"/>
      <w:marBottom w:val="0"/>
      <w:divBdr>
        <w:top w:val="none" w:sz="0" w:space="0" w:color="auto"/>
        <w:left w:val="none" w:sz="0" w:space="0" w:color="auto"/>
        <w:bottom w:val="none" w:sz="0" w:space="0" w:color="auto"/>
        <w:right w:val="none" w:sz="0" w:space="0" w:color="auto"/>
      </w:divBdr>
    </w:div>
    <w:div w:id="1164082736">
      <w:bodyDiv w:val="1"/>
      <w:marLeft w:val="0"/>
      <w:marRight w:val="0"/>
      <w:marTop w:val="0"/>
      <w:marBottom w:val="0"/>
      <w:divBdr>
        <w:top w:val="none" w:sz="0" w:space="0" w:color="auto"/>
        <w:left w:val="none" w:sz="0" w:space="0" w:color="auto"/>
        <w:bottom w:val="none" w:sz="0" w:space="0" w:color="auto"/>
        <w:right w:val="none" w:sz="0" w:space="0" w:color="auto"/>
      </w:divBdr>
    </w:div>
    <w:div w:id="1184904531">
      <w:bodyDiv w:val="1"/>
      <w:marLeft w:val="0"/>
      <w:marRight w:val="0"/>
      <w:marTop w:val="0"/>
      <w:marBottom w:val="0"/>
      <w:divBdr>
        <w:top w:val="none" w:sz="0" w:space="0" w:color="auto"/>
        <w:left w:val="none" w:sz="0" w:space="0" w:color="auto"/>
        <w:bottom w:val="none" w:sz="0" w:space="0" w:color="auto"/>
        <w:right w:val="none" w:sz="0" w:space="0" w:color="auto"/>
      </w:divBdr>
    </w:div>
    <w:div w:id="1362784150">
      <w:bodyDiv w:val="1"/>
      <w:marLeft w:val="0"/>
      <w:marRight w:val="0"/>
      <w:marTop w:val="0"/>
      <w:marBottom w:val="0"/>
      <w:divBdr>
        <w:top w:val="none" w:sz="0" w:space="0" w:color="auto"/>
        <w:left w:val="none" w:sz="0" w:space="0" w:color="auto"/>
        <w:bottom w:val="none" w:sz="0" w:space="0" w:color="auto"/>
        <w:right w:val="none" w:sz="0" w:space="0" w:color="auto"/>
      </w:divBdr>
    </w:div>
    <w:div w:id="1388142677">
      <w:bodyDiv w:val="1"/>
      <w:marLeft w:val="0"/>
      <w:marRight w:val="0"/>
      <w:marTop w:val="0"/>
      <w:marBottom w:val="0"/>
      <w:divBdr>
        <w:top w:val="none" w:sz="0" w:space="0" w:color="auto"/>
        <w:left w:val="none" w:sz="0" w:space="0" w:color="auto"/>
        <w:bottom w:val="none" w:sz="0" w:space="0" w:color="auto"/>
        <w:right w:val="none" w:sz="0" w:space="0" w:color="auto"/>
      </w:divBdr>
    </w:div>
    <w:div w:id="1461999951">
      <w:bodyDiv w:val="1"/>
      <w:marLeft w:val="0"/>
      <w:marRight w:val="0"/>
      <w:marTop w:val="0"/>
      <w:marBottom w:val="0"/>
      <w:divBdr>
        <w:top w:val="none" w:sz="0" w:space="0" w:color="auto"/>
        <w:left w:val="none" w:sz="0" w:space="0" w:color="auto"/>
        <w:bottom w:val="none" w:sz="0" w:space="0" w:color="auto"/>
        <w:right w:val="none" w:sz="0" w:space="0" w:color="auto"/>
      </w:divBdr>
    </w:div>
    <w:div w:id="1463226859">
      <w:bodyDiv w:val="1"/>
      <w:marLeft w:val="0"/>
      <w:marRight w:val="0"/>
      <w:marTop w:val="0"/>
      <w:marBottom w:val="0"/>
      <w:divBdr>
        <w:top w:val="none" w:sz="0" w:space="0" w:color="auto"/>
        <w:left w:val="none" w:sz="0" w:space="0" w:color="auto"/>
        <w:bottom w:val="none" w:sz="0" w:space="0" w:color="auto"/>
        <w:right w:val="none" w:sz="0" w:space="0" w:color="auto"/>
      </w:divBdr>
    </w:div>
    <w:div w:id="1700816825">
      <w:bodyDiv w:val="1"/>
      <w:marLeft w:val="0"/>
      <w:marRight w:val="0"/>
      <w:marTop w:val="0"/>
      <w:marBottom w:val="0"/>
      <w:divBdr>
        <w:top w:val="none" w:sz="0" w:space="0" w:color="auto"/>
        <w:left w:val="none" w:sz="0" w:space="0" w:color="auto"/>
        <w:bottom w:val="none" w:sz="0" w:space="0" w:color="auto"/>
        <w:right w:val="none" w:sz="0" w:space="0" w:color="auto"/>
      </w:divBdr>
    </w:div>
    <w:div w:id="1989435591">
      <w:bodyDiv w:val="1"/>
      <w:marLeft w:val="0"/>
      <w:marRight w:val="0"/>
      <w:marTop w:val="0"/>
      <w:marBottom w:val="0"/>
      <w:divBdr>
        <w:top w:val="none" w:sz="0" w:space="0" w:color="auto"/>
        <w:left w:val="none" w:sz="0" w:space="0" w:color="auto"/>
        <w:bottom w:val="none" w:sz="0" w:space="0" w:color="auto"/>
        <w:right w:val="none" w:sz="0" w:space="0" w:color="auto"/>
      </w:divBdr>
    </w:div>
    <w:div w:id="20444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1239-019-0139-4" TargetMode="External"/><Relationship Id="rId13" Type="http://schemas.openxmlformats.org/officeDocument/2006/relationships/hyperlink" Target="https://doi.org/10.1080/13632434.2016.1209182" TargetMode="External"/><Relationship Id="rId18" Type="http://schemas.openxmlformats.org/officeDocument/2006/relationships/hyperlink" Target="https://doi.org/10.1080/0305764X.2019.162586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learntechlib.org/primary/p/216179/" TargetMode="External"/><Relationship Id="rId7" Type="http://schemas.openxmlformats.org/officeDocument/2006/relationships/hyperlink" Target="https://doi.org/10.1080/15391523.2010.10782551" TargetMode="External"/><Relationship Id="rId12" Type="http://schemas.openxmlformats.org/officeDocument/2006/relationships/hyperlink" Target="https://doi.org/10.1007/s10639-021-10727-4" TargetMode="External"/><Relationship Id="rId17" Type="http://schemas.openxmlformats.org/officeDocument/2006/relationships/hyperlink" Target="https://doi.org/10.1016/j.chb.2020.10655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ate.2021.103344" TargetMode="External"/><Relationship Id="rId20" Type="http://schemas.openxmlformats.org/officeDocument/2006/relationships/hyperlink" Target="https://doi.org/10.1016/j.chb.2016.11.0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te.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25/ltl.295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compedu.2019.103801" TargetMode="External"/><Relationship Id="rId19" Type="http://schemas.openxmlformats.org/officeDocument/2006/relationships/hyperlink" Target="https://doi.org/10.1080/1475939X.2020.1868568" TargetMode="External"/><Relationship Id="rId4" Type="http://schemas.openxmlformats.org/officeDocument/2006/relationships/webSettings" Target="webSettings.xml"/><Relationship Id="rId9" Type="http://schemas.openxmlformats.org/officeDocument/2006/relationships/hyperlink" Target="https://doi.org/10.1016/j.compedu.2021.104149" TargetMode="External"/><Relationship Id="rId14" Type="http://schemas.openxmlformats.org/officeDocument/2006/relationships/hyperlink" Target="https://doi.org/10.1177/0013161X1876134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UEPLLHS</dc:creator>
  <cp:keywords/>
  <dc:description/>
  <cp:lastModifiedBy>Editor-22</cp:lastModifiedBy>
  <cp:revision>70</cp:revision>
  <cp:lastPrinted>2025-06-10T10:22:00Z</cp:lastPrinted>
  <dcterms:created xsi:type="dcterms:W3CDTF">2025-06-10T08:25:00Z</dcterms:created>
  <dcterms:modified xsi:type="dcterms:W3CDTF">2025-06-11T10:51:00Z</dcterms:modified>
</cp:coreProperties>
</file>