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BC8B" w14:textId="4B0AA412" w:rsidR="00B1574B" w:rsidRPr="003C3BDE" w:rsidRDefault="009F3242" w:rsidP="003C3BDE">
      <w:pPr>
        <w:jc w:val="center"/>
        <w:rPr>
          <w:b/>
          <w:lang w:val="en-PH"/>
        </w:rPr>
      </w:pPr>
      <w:bookmarkStart w:id="0" w:name="_GoBack"/>
      <w:bookmarkEnd w:id="0"/>
      <w:r w:rsidRPr="003C3BDE">
        <w:rPr>
          <w:b/>
          <w:sz w:val="28"/>
          <w:lang w:val="en-PH"/>
        </w:rPr>
        <w:t>The Impact of Teachers’ Pedagogical Content Knowledge and Students’ Self-Concept on Mathematics Interest</w:t>
      </w:r>
    </w:p>
    <w:p w14:paraId="6E2CABC5" w14:textId="35831E5F" w:rsidR="0071186D" w:rsidRDefault="0071186D" w:rsidP="00352318"/>
    <w:p w14:paraId="0230EB32" w14:textId="77777777" w:rsidR="003C3BDE" w:rsidRDefault="003C3BDE" w:rsidP="00352318"/>
    <w:p w14:paraId="44380E23" w14:textId="77777777" w:rsidR="003C3BDE" w:rsidRDefault="003C3BDE" w:rsidP="00352318">
      <w:pPr>
        <w:rPr>
          <w:b/>
          <w:lang w:val="en-PH" w:eastAsia="en-PH"/>
        </w:rPr>
      </w:pPr>
      <w:bookmarkStart w:id="1" w:name="_Hlk168987698"/>
    </w:p>
    <w:p w14:paraId="10A76D23" w14:textId="779903EA" w:rsidR="00B1574B" w:rsidRPr="00B1574B" w:rsidRDefault="0071186D" w:rsidP="00352318">
      <w:pPr>
        <w:rPr>
          <w:lang w:val="en-PH" w:eastAsia="en-PH"/>
        </w:rPr>
      </w:pPr>
      <w:r>
        <w:rPr>
          <w:b/>
          <w:lang w:val="en-PH" w:eastAsia="en-PH"/>
        </w:rPr>
        <w:t xml:space="preserve">[ABSTRACT] </w:t>
      </w:r>
      <w:r w:rsidR="00AD691C" w:rsidRPr="00AD691C">
        <w:rPr>
          <w:lang w:val="en-PH" w:eastAsia="en-PH"/>
        </w:rPr>
        <w:t>Mathematics classrooms have the potential to cultivate analytical thinking and problem-solving skills, yet many Filipino learners continue to shy away from the subject due to low confidence and a lack of sustained interest. This study investigated how teachers’ pedagogical content knowledge (PCK)—the integration of deep subject mastery with effective, student-centered teaching strategies—and students’ math self-concept influence their interest in mathematics.</w:t>
      </w:r>
      <w:r w:rsidR="00AD691C">
        <w:rPr>
          <w:lang w:val="en-PH" w:eastAsia="en-PH"/>
        </w:rPr>
        <w:t xml:space="preserve"> </w:t>
      </w:r>
      <w:r w:rsidR="00AD691C" w:rsidRPr="00AD691C">
        <w:rPr>
          <w:lang w:val="en-PH" w:eastAsia="en-PH"/>
        </w:rPr>
        <w:t>Using a descriptive-correlational design, the study involved 372 Grade 7 to 10 students selected through stratified random sampling from the Division of Mati City. Participants answered rigorously validated 5-point Likert scale questionnaires assessing three domains of math self-concept (competence, affection, and peer comparison), five dimensions of math interest (teacher qualities, instructional strategies, math anxiety, classroom attitudes, and classroom environment), and four components of perceived teacher PCK (subject matter knowledge, instructional objectives and concepts, and knowledge of student understanding).</w:t>
      </w:r>
      <w:r w:rsidR="00AD691C">
        <w:rPr>
          <w:lang w:val="en-PH" w:eastAsia="en-PH"/>
        </w:rPr>
        <w:t xml:space="preserve"> </w:t>
      </w:r>
      <w:r w:rsidR="00AD691C" w:rsidRPr="00AD691C">
        <w:rPr>
          <w:lang w:val="en-PH" w:eastAsia="en-PH"/>
        </w:rPr>
        <w:t>Findings showed that students had a moderate overall math self-concept (M = 3.10), with the highest ratings in positive feelings (affection) (M = 3.35) and the lowest in comparison with peers (M = 2.69). Their interest in mathematics was rated high (M = 3.79), especially in terms of teacher qualities (M = 4.29) and teaching strategies (M = 4.25). Perceived teacher PCK was rated very high overall (M = 4.37). Correlational analyses revealed significant relationships between students’ self-concept and their interest in mathematics, as well as between teacher PCK and both self-concept and interest. Further analysis confirmed that both students’ math self-concept and teachers’ PCK significantly impact students’ interest in mathematics.</w:t>
      </w:r>
      <w:r w:rsidR="00AD691C">
        <w:rPr>
          <w:lang w:val="en-PH" w:eastAsia="en-PH"/>
        </w:rPr>
        <w:t xml:space="preserve"> </w:t>
      </w:r>
      <w:r w:rsidR="00AD691C" w:rsidRPr="00AD691C">
        <w:rPr>
          <w:lang w:val="en-PH" w:eastAsia="en-PH"/>
        </w:rPr>
        <w:t>These findings underscore that while student confidence matters, it is the quality of mathematics instruction—delivered by knowledgeable, responsive teachers—that most effectively sustains student interest. The study recommends that school systems invest in professional development programs that enhance teachers’ content expertise and equip them with student-centered practices that reduce anxiety, encourage participation, and foster classroom environments where competence and curiosity thrive.</w:t>
      </w:r>
    </w:p>
    <w:p w14:paraId="02129203" w14:textId="43C4008E" w:rsidR="00B1574B" w:rsidRPr="00B1574B" w:rsidRDefault="00B1574B" w:rsidP="00352318">
      <w:pPr>
        <w:rPr>
          <w:lang w:val="en-PH" w:eastAsia="en-PH"/>
        </w:rPr>
      </w:pPr>
      <w:r w:rsidRPr="00B1574B">
        <w:rPr>
          <w:lang w:val="en-PH" w:eastAsia="en-PH"/>
        </w:rPr>
        <w:t xml:space="preserve"> </w:t>
      </w:r>
    </w:p>
    <w:p w14:paraId="31305AB6" w14:textId="0160A4FE" w:rsidR="0071186D" w:rsidRPr="00BA729C" w:rsidRDefault="0071186D" w:rsidP="00352318">
      <w:r w:rsidRPr="00BA729C">
        <w:rPr>
          <w:b/>
        </w:rPr>
        <w:t xml:space="preserve">Keywords: </w:t>
      </w:r>
      <w:r w:rsidR="00B1574B" w:rsidRPr="003C3BDE">
        <w:rPr>
          <w:i/>
          <w:lang w:val="en-PH"/>
        </w:rPr>
        <w:t>math self-concept, pedagogical content knowledge, math interest, junior-high students</w:t>
      </w:r>
      <w:r w:rsidR="00AD691C" w:rsidRPr="003C3BDE">
        <w:rPr>
          <w:i/>
          <w:lang w:val="en-PH"/>
        </w:rPr>
        <w:t>, regression analysis</w:t>
      </w:r>
    </w:p>
    <w:p w14:paraId="2714B988" w14:textId="77777777" w:rsidR="0071186D" w:rsidRPr="00BA729C" w:rsidRDefault="0071186D" w:rsidP="00352318"/>
    <w:p w14:paraId="70E85D49" w14:textId="77777777" w:rsidR="00B1574B" w:rsidRDefault="00B1574B" w:rsidP="00352318"/>
    <w:p w14:paraId="611E5FD6" w14:textId="4E4DEADF" w:rsidR="0071186D" w:rsidRPr="003C3BDE" w:rsidRDefault="0071186D" w:rsidP="00352318">
      <w:pPr>
        <w:rPr>
          <w:b/>
        </w:rPr>
      </w:pPr>
      <w:r w:rsidRPr="003C3BDE">
        <w:rPr>
          <w:b/>
        </w:rPr>
        <w:t>INTRODUCTION</w:t>
      </w:r>
    </w:p>
    <w:bookmarkEnd w:id="1"/>
    <w:p w14:paraId="654F6EE1" w14:textId="77777777" w:rsidR="0071186D" w:rsidRPr="00DC6E39" w:rsidRDefault="0071186D" w:rsidP="00352318">
      <w:pPr>
        <w:rPr>
          <w:lang w:val="en-PH"/>
        </w:rPr>
      </w:pPr>
    </w:p>
    <w:p w14:paraId="04A85D04" w14:textId="77777777" w:rsidR="00B1574B" w:rsidRPr="00B1574B" w:rsidRDefault="0071186D" w:rsidP="00352318">
      <w:pPr>
        <w:rPr>
          <w:lang w:val="en-PH"/>
        </w:rPr>
      </w:pPr>
      <w:r w:rsidRPr="002C7381">
        <w:rPr>
          <w:b/>
          <w:bCs/>
        </w:rPr>
        <w:tab/>
      </w:r>
      <w:bookmarkStart w:id="2" w:name="_Hlk168945693"/>
      <w:bookmarkStart w:id="3" w:name="_Hlk168987819"/>
      <w:r w:rsidR="00B1574B" w:rsidRPr="00B1574B">
        <w:rPr>
          <w:lang w:val="en-PH"/>
        </w:rPr>
        <w:t xml:space="preserve">Mathematics occupies a vital role in contemporary education as it forms the foundation for critical thinking, problem-solving, and informed decision-making. Yet, despite its importance, many students struggled with mathematics—not solely due to intellectual challenges, but often because of emotional and psychological factors such as their self-perceptions and interest in the subject (Salleh et al., 2023). A student's "math self-concept," or their belief in their mathematical abilities, greatly influenced their motivation, attitude, and overall engagement in mathematics (Arens et al., 2011). Equally important is the teachers' mastery of pedagogical content knowledge, which involves both their understanding of mathematics and their skill in teaching it effectively, directly shaping students' experiences and attitudes towards math (Shimizu &amp; Yamamoto, 2024). The dynamic relationship between these student and teacher factors is gaining attention globally, </w:t>
      </w:r>
      <w:r w:rsidR="00B1574B" w:rsidRPr="00B1574B">
        <w:rPr>
          <w:lang w:val="en-PH"/>
        </w:rPr>
        <w:lastRenderedPageBreak/>
        <w:t>as enhancing students' math interest and achievement remains a priority in education (Ahmed et al., 2021; Chiu &amp; Klassen, 2020).</w:t>
      </w:r>
    </w:p>
    <w:p w14:paraId="4A051A0D" w14:textId="75395CC8" w:rsidR="00B1574B" w:rsidRPr="00B1574B" w:rsidRDefault="00B1574B" w:rsidP="00352318">
      <w:pPr>
        <w:rPr>
          <w:lang w:val="en-PH"/>
        </w:rPr>
      </w:pPr>
      <w:r>
        <w:rPr>
          <w:lang w:val="en-PH"/>
        </w:rPr>
        <w:tab/>
      </w:r>
      <w:r w:rsidRPr="00B1574B">
        <w:rPr>
          <w:lang w:val="en-PH"/>
        </w:rPr>
        <w:t>Research around the world consistently highlights the strong connection between students' math self-concept and their academic outcomes. (Ahmed et al. 2021) demonstrated that students with a positive view of their mathematical capabilities tend to be intrinsically motivated, participating more deeply in math activities. (Chiu and Klassen 2020) similarly found that effective teaching, especially through strong pedagogical content knowledge, significantly enhances student engagement by creating supportive learning environments. These insights underline that students' beliefs about themselves, their interest levels, and teacher effectiveness are interconnected factors, collectively influencing mathematics subjects.</w:t>
      </w:r>
    </w:p>
    <w:p w14:paraId="40C53605" w14:textId="21F53D5F" w:rsidR="00B1574B" w:rsidRPr="00B1574B" w:rsidRDefault="009F3242" w:rsidP="00352318">
      <w:pPr>
        <w:rPr>
          <w:lang w:val="en-PH"/>
        </w:rPr>
      </w:pPr>
      <w:r w:rsidRPr="009F3242">
        <w:rPr>
          <w:lang w:val="en-PH"/>
        </w:rPr>
        <w:t xml:space="preserve">Junior High School represents a crucial transition period for students, moving from concrete math concepts learned in elementary school to more abstract mathematical thinking. This stage significantly shapes their future academic pathways, particularly through factors such as math anxiety, self-confidence, and genuine interest in the subject (Zakariya, 2022; Alicia &amp; Karine, 2023). Addressing these psychological and emotional aspects early helps students build solid foundational skills, critical for their ongoing academic success. Supporting this, </w:t>
      </w:r>
      <w:proofErr w:type="spellStart"/>
      <w:r w:rsidRPr="009F3242">
        <w:rPr>
          <w:lang w:val="en-PH"/>
        </w:rPr>
        <w:t>Kunhertanti</w:t>
      </w:r>
      <w:proofErr w:type="spellEnd"/>
      <w:r w:rsidRPr="009F3242">
        <w:rPr>
          <w:lang w:val="en-PH"/>
        </w:rPr>
        <w:t xml:space="preserve"> and </w:t>
      </w:r>
      <w:proofErr w:type="spellStart"/>
      <w:r w:rsidRPr="009F3242">
        <w:rPr>
          <w:lang w:val="en-PH"/>
        </w:rPr>
        <w:t>Heri</w:t>
      </w:r>
      <w:proofErr w:type="spellEnd"/>
      <w:r w:rsidRPr="009F3242">
        <w:rPr>
          <w:lang w:val="en-PH"/>
        </w:rPr>
        <w:t xml:space="preserve"> (2018) showed a clear relationship between junior high school students' confidence in mathematics and their conceptual understanding. Similarly, Salimaco (202</w:t>
      </w:r>
      <w:r>
        <w:rPr>
          <w:lang w:val="en-PH"/>
        </w:rPr>
        <w:t>0</w:t>
      </w:r>
      <w:r w:rsidRPr="009F3242">
        <w:rPr>
          <w:lang w:val="en-PH"/>
        </w:rPr>
        <w:t>) found that mathematics anxiety and study habits significantly influence the achievement of high school students, emphasizing the importance of fostering a positive learning environment to improve both confidence and performance in mathematics.</w:t>
      </w:r>
    </w:p>
    <w:p w14:paraId="079C8791" w14:textId="1FF8A4C0" w:rsidR="00B1574B" w:rsidRDefault="00B1574B" w:rsidP="00352318">
      <w:pPr>
        <w:rPr>
          <w:lang w:val="en-PH"/>
        </w:rPr>
      </w:pPr>
      <w:r>
        <w:rPr>
          <w:lang w:val="en-PH"/>
        </w:rPr>
        <w:tab/>
      </w:r>
      <w:r w:rsidR="009F3242" w:rsidRPr="009F3242">
        <w:rPr>
          <w:lang w:val="en-PH"/>
        </w:rPr>
        <w:t>In the context of Philippine education, students often struggle with low math self-concept, impacting their overall academic success. Bautista et al. (2022) noted that Filipino students' academic performance frequently suffers due to limited confidence in mathematics, a situation worsened by inadequate teacher preparation, particularly regarding pedagogical content knowledge (DepEd, 2021). In Mati City, teachers commonly observed that students display minimal interest and low confidence in math, often linked to gaps in teacher training and a lack of targeted emotional and psychological support strategies. This is further echoed by Salimaco (202</w:t>
      </w:r>
      <w:r w:rsidR="009F3242">
        <w:rPr>
          <w:lang w:val="en-PH"/>
        </w:rPr>
        <w:t>3</w:t>
      </w:r>
      <w:r w:rsidR="009F3242" w:rsidRPr="009F3242">
        <w:rPr>
          <w:lang w:val="en-PH"/>
        </w:rPr>
        <w:t>), who emphasized how the abrupt shift to virtual learning during the pandemic highlighted challenges in teaching mathematics effectively, stressing the importance of addressing both pedagogical and psychological needs. Understanding how these factors interact is essential for developing effective interventions and enhancing educational outcomes locally.</w:t>
      </w:r>
      <w:r>
        <w:rPr>
          <w:lang w:val="en-PH"/>
        </w:rPr>
        <w:t xml:space="preserve"> </w:t>
      </w:r>
    </w:p>
    <w:p w14:paraId="31F7D467" w14:textId="1B096932" w:rsidR="00B1574B" w:rsidRPr="00B1574B" w:rsidRDefault="00B1574B" w:rsidP="00352318">
      <w:pPr>
        <w:rPr>
          <w:lang w:val="en-PH"/>
        </w:rPr>
      </w:pPr>
      <w:r>
        <w:rPr>
          <w:lang w:val="en-PH"/>
        </w:rPr>
        <w:tab/>
      </w:r>
      <w:r w:rsidRPr="00B1574B">
        <w:rPr>
          <w:lang w:val="en-PH"/>
        </w:rPr>
        <w:t>Despite recognizing these issues, Mati City has limited empirical studies exploring the interplay between students' math self-concept, their interest, and teachers' pedagogical knowledge. Local educators have anecdotally indicated that students generally exhibit low confidence and limited interest in mathematics; however, formal research addressing these observations is scarce (Bautista et al., 2022; DepEd, 2021). Although international studies separately address self-concept and teacher effectiveness, research that explores how these factors interacted within the Philippine context, particularly in Mati City, remains limited (Ahmed et al., 2021; Chiu &amp; Klassen, 2020). Therefore, this study aimed to address this knowledge gap, providing valuable insights into how student self-concept, math interest, and teaching quality collectively shape mathematics education, informing practical strategies for improvement.</w:t>
      </w:r>
    </w:p>
    <w:p w14:paraId="1CF9CC93" w14:textId="10D37486" w:rsidR="0071186D" w:rsidRPr="003C3BDE" w:rsidRDefault="0071186D" w:rsidP="00352318">
      <w:pPr>
        <w:rPr>
          <w:b/>
        </w:rPr>
      </w:pPr>
      <w:r w:rsidRPr="003C3BDE">
        <w:rPr>
          <w:b/>
        </w:rPr>
        <w:t>RESEARCH OBJECTIVES</w:t>
      </w:r>
      <w:bookmarkEnd w:id="2"/>
    </w:p>
    <w:bookmarkEnd w:id="3"/>
    <w:p w14:paraId="3629E591" w14:textId="77777777" w:rsidR="0071186D" w:rsidRPr="002C7381" w:rsidRDefault="0071186D" w:rsidP="00352318"/>
    <w:p w14:paraId="1FE5E080" w14:textId="7FBF7F77" w:rsidR="0071186D" w:rsidRDefault="0071186D" w:rsidP="00352318">
      <w:pPr>
        <w:rPr>
          <w:lang w:val="en-PH"/>
        </w:rPr>
      </w:pPr>
      <w:r>
        <w:tab/>
      </w:r>
      <w:bookmarkStart w:id="4" w:name="_Hlk168945809"/>
      <w:r w:rsidRPr="0071186D">
        <w:rPr>
          <w:lang w:val="en-PH"/>
        </w:rPr>
        <w:t>The objective of this study is to examine the factors influencing students’ interest in mathematics and their relationship with teachers’ pedagogical content knowledge and students’ math self-concept. Specifically, the study aimed to:</w:t>
      </w:r>
    </w:p>
    <w:p w14:paraId="7089EFA0" w14:textId="77777777" w:rsidR="00B53290" w:rsidRPr="0071186D" w:rsidRDefault="00B53290" w:rsidP="00352318">
      <w:pPr>
        <w:rPr>
          <w:lang w:val="en-PH"/>
        </w:rPr>
      </w:pPr>
    </w:p>
    <w:p w14:paraId="50E23F94" w14:textId="61F69278" w:rsidR="0071186D" w:rsidRPr="00352318" w:rsidRDefault="0071186D" w:rsidP="00352318">
      <w:pPr>
        <w:pStyle w:val="ListParagraph"/>
        <w:numPr>
          <w:ilvl w:val="0"/>
          <w:numId w:val="8"/>
        </w:numPr>
        <w:rPr>
          <w:lang w:val="en-PH"/>
        </w:rPr>
      </w:pPr>
      <w:r w:rsidRPr="00352318">
        <w:rPr>
          <w:lang w:val="en-PH"/>
        </w:rPr>
        <w:t>determine the level of Students’ Math Self-Concept in terms of:</w:t>
      </w:r>
    </w:p>
    <w:p w14:paraId="12ADE9A2" w14:textId="77777777" w:rsidR="0071186D" w:rsidRPr="00352318" w:rsidRDefault="0071186D" w:rsidP="00352318">
      <w:pPr>
        <w:pStyle w:val="ListParagraph"/>
        <w:numPr>
          <w:ilvl w:val="0"/>
          <w:numId w:val="9"/>
        </w:numPr>
        <w:rPr>
          <w:lang w:val="en-PH"/>
        </w:rPr>
      </w:pPr>
      <w:r w:rsidRPr="00352318">
        <w:rPr>
          <w:lang w:val="en-PH"/>
        </w:rPr>
        <w:t>Competence</w:t>
      </w:r>
    </w:p>
    <w:p w14:paraId="34E8AFAA" w14:textId="77777777" w:rsidR="0071186D" w:rsidRPr="00352318" w:rsidRDefault="0071186D" w:rsidP="00352318">
      <w:pPr>
        <w:pStyle w:val="ListParagraph"/>
        <w:numPr>
          <w:ilvl w:val="0"/>
          <w:numId w:val="9"/>
        </w:numPr>
        <w:rPr>
          <w:lang w:val="en-PH"/>
        </w:rPr>
      </w:pPr>
      <w:r w:rsidRPr="00352318">
        <w:rPr>
          <w:lang w:val="en-PH"/>
        </w:rPr>
        <w:t>Affection</w:t>
      </w:r>
    </w:p>
    <w:p w14:paraId="5DA7CEFE" w14:textId="77777777" w:rsidR="0071186D" w:rsidRPr="00352318" w:rsidRDefault="0071186D" w:rsidP="00352318">
      <w:pPr>
        <w:pStyle w:val="ListParagraph"/>
        <w:numPr>
          <w:ilvl w:val="0"/>
          <w:numId w:val="9"/>
        </w:numPr>
        <w:rPr>
          <w:lang w:val="en-PH"/>
        </w:rPr>
      </w:pPr>
      <w:r w:rsidRPr="00352318">
        <w:rPr>
          <w:lang w:val="en-PH"/>
        </w:rPr>
        <w:t>Comparison</w:t>
      </w:r>
    </w:p>
    <w:p w14:paraId="4072D237" w14:textId="77777777" w:rsidR="00AD691C" w:rsidRPr="00352318" w:rsidRDefault="00AD691C" w:rsidP="00352318">
      <w:pPr>
        <w:pStyle w:val="ListParagraph"/>
        <w:numPr>
          <w:ilvl w:val="0"/>
          <w:numId w:val="8"/>
        </w:numPr>
        <w:rPr>
          <w:lang w:val="en-PH"/>
        </w:rPr>
      </w:pPr>
      <w:r w:rsidRPr="00352318">
        <w:rPr>
          <w:lang w:val="en-PH"/>
        </w:rPr>
        <w:t>evaluate the Level of Pedagogical Content Knowledge of Teachers in terms of:</w:t>
      </w:r>
    </w:p>
    <w:p w14:paraId="0FF76532" w14:textId="77777777" w:rsidR="00AD691C" w:rsidRPr="00352318" w:rsidRDefault="00AD691C" w:rsidP="00352318">
      <w:pPr>
        <w:pStyle w:val="ListParagraph"/>
        <w:numPr>
          <w:ilvl w:val="1"/>
          <w:numId w:val="8"/>
        </w:numPr>
        <w:rPr>
          <w:lang w:val="en-PH"/>
        </w:rPr>
      </w:pPr>
      <w:r w:rsidRPr="00352318">
        <w:rPr>
          <w:lang w:val="en-PH"/>
        </w:rPr>
        <w:t>Subject Matter Knowledge</w:t>
      </w:r>
    </w:p>
    <w:p w14:paraId="2BE9683C" w14:textId="3B38C590" w:rsidR="00AD691C" w:rsidRPr="00352318" w:rsidRDefault="00AD691C" w:rsidP="00352318">
      <w:pPr>
        <w:pStyle w:val="ListParagraph"/>
        <w:numPr>
          <w:ilvl w:val="1"/>
          <w:numId w:val="8"/>
        </w:numPr>
        <w:rPr>
          <w:lang w:val="en-PH"/>
        </w:rPr>
      </w:pPr>
      <w:r w:rsidRPr="00352318">
        <w:rPr>
          <w:lang w:val="en-PH"/>
        </w:rPr>
        <w:t xml:space="preserve">Instructional Objectives and Concepts </w:t>
      </w:r>
    </w:p>
    <w:p w14:paraId="20F1E125" w14:textId="0855E7A0" w:rsidR="00AD691C" w:rsidRPr="00352318" w:rsidRDefault="00AD691C" w:rsidP="00352318">
      <w:pPr>
        <w:pStyle w:val="ListParagraph"/>
        <w:numPr>
          <w:ilvl w:val="1"/>
          <w:numId w:val="8"/>
        </w:numPr>
        <w:rPr>
          <w:lang w:val="en-PH"/>
        </w:rPr>
      </w:pPr>
      <w:r w:rsidRPr="00352318">
        <w:rPr>
          <w:lang w:val="en-PH"/>
        </w:rPr>
        <w:t>Knowledge of Students’ Understanding</w:t>
      </w:r>
    </w:p>
    <w:p w14:paraId="09BCD5FF" w14:textId="132745F4" w:rsidR="0071186D" w:rsidRPr="00352318" w:rsidRDefault="00AD691C" w:rsidP="00352318">
      <w:pPr>
        <w:pStyle w:val="ListParagraph"/>
        <w:numPr>
          <w:ilvl w:val="0"/>
          <w:numId w:val="8"/>
        </w:numPr>
        <w:rPr>
          <w:lang w:val="en-PH"/>
        </w:rPr>
      </w:pPr>
      <w:r w:rsidRPr="00352318">
        <w:rPr>
          <w:lang w:val="en-PH"/>
        </w:rPr>
        <w:t>a</w:t>
      </w:r>
      <w:r w:rsidR="0071186D" w:rsidRPr="00352318">
        <w:rPr>
          <w:lang w:val="en-PH"/>
        </w:rPr>
        <w:t>ssess the level of Students’ Interest in Mathematics in terms of:</w:t>
      </w:r>
    </w:p>
    <w:p w14:paraId="2C6A4472" w14:textId="77777777" w:rsidR="0071186D" w:rsidRPr="00352318" w:rsidRDefault="0071186D" w:rsidP="00352318">
      <w:pPr>
        <w:pStyle w:val="ListParagraph"/>
        <w:numPr>
          <w:ilvl w:val="1"/>
          <w:numId w:val="8"/>
        </w:numPr>
        <w:rPr>
          <w:lang w:val="en-PH"/>
        </w:rPr>
      </w:pPr>
      <w:r w:rsidRPr="00352318">
        <w:rPr>
          <w:lang w:val="en-PH"/>
        </w:rPr>
        <w:t>Teachers’ Qualities</w:t>
      </w:r>
    </w:p>
    <w:p w14:paraId="03D094B9" w14:textId="77777777" w:rsidR="0071186D" w:rsidRPr="00352318" w:rsidRDefault="0071186D" w:rsidP="00352318">
      <w:pPr>
        <w:pStyle w:val="ListParagraph"/>
        <w:numPr>
          <w:ilvl w:val="1"/>
          <w:numId w:val="8"/>
        </w:numPr>
        <w:rPr>
          <w:lang w:val="en-PH"/>
        </w:rPr>
      </w:pPr>
      <w:r w:rsidRPr="00352318">
        <w:rPr>
          <w:lang w:val="en-PH"/>
        </w:rPr>
        <w:t>Teaching Strategies</w:t>
      </w:r>
    </w:p>
    <w:p w14:paraId="1AE61E71" w14:textId="77777777" w:rsidR="0071186D" w:rsidRPr="00352318" w:rsidRDefault="0071186D" w:rsidP="00352318">
      <w:pPr>
        <w:pStyle w:val="ListParagraph"/>
        <w:numPr>
          <w:ilvl w:val="1"/>
          <w:numId w:val="8"/>
        </w:numPr>
        <w:rPr>
          <w:lang w:val="en-PH"/>
        </w:rPr>
      </w:pPr>
      <w:r w:rsidRPr="00352318">
        <w:rPr>
          <w:lang w:val="en-PH"/>
        </w:rPr>
        <w:t>Math Anxiety</w:t>
      </w:r>
    </w:p>
    <w:p w14:paraId="3D5DD09A" w14:textId="77777777" w:rsidR="0071186D" w:rsidRPr="00352318" w:rsidRDefault="0071186D" w:rsidP="00352318">
      <w:pPr>
        <w:pStyle w:val="ListParagraph"/>
        <w:numPr>
          <w:ilvl w:val="1"/>
          <w:numId w:val="8"/>
        </w:numPr>
        <w:rPr>
          <w:lang w:val="en-PH"/>
        </w:rPr>
      </w:pPr>
      <w:r w:rsidRPr="00352318">
        <w:rPr>
          <w:lang w:val="en-PH"/>
        </w:rPr>
        <w:t xml:space="preserve"> Students’ Attitude in Math Class</w:t>
      </w:r>
    </w:p>
    <w:p w14:paraId="03896C9D" w14:textId="4330ACB1" w:rsidR="0071186D" w:rsidRPr="00352318" w:rsidRDefault="0071186D" w:rsidP="00352318">
      <w:pPr>
        <w:pStyle w:val="ListParagraph"/>
        <w:numPr>
          <w:ilvl w:val="1"/>
          <w:numId w:val="8"/>
        </w:numPr>
        <w:rPr>
          <w:lang w:val="en-PH"/>
        </w:rPr>
      </w:pPr>
      <w:r w:rsidRPr="00352318">
        <w:rPr>
          <w:lang w:val="en-PH"/>
        </w:rPr>
        <w:t xml:space="preserve"> Math Classroom Condition</w:t>
      </w:r>
    </w:p>
    <w:p w14:paraId="3E0F36AE" w14:textId="38C3E7D5" w:rsidR="00AD691C" w:rsidRDefault="00AD691C" w:rsidP="00575524">
      <w:pPr>
        <w:pStyle w:val="ListParagraph"/>
        <w:numPr>
          <w:ilvl w:val="0"/>
          <w:numId w:val="8"/>
        </w:numPr>
        <w:ind w:left="720" w:hanging="359"/>
      </w:pPr>
      <w:r>
        <w:t>determine the relationships between Teachers’ Pedagogical Content Knowledge and Students’ Math Self-Concept towards the Students’ Math Interest.</w:t>
      </w:r>
    </w:p>
    <w:p w14:paraId="4EA1B145" w14:textId="67ACCD7C" w:rsidR="00AD691C" w:rsidRDefault="00AD691C" w:rsidP="00575524">
      <w:pPr>
        <w:pStyle w:val="ListParagraph"/>
        <w:numPr>
          <w:ilvl w:val="0"/>
          <w:numId w:val="8"/>
        </w:numPr>
        <w:ind w:left="720" w:hanging="359"/>
      </w:pPr>
      <w:r>
        <w:t>ascertain the impact of Teachers’ Pedagogical Content Knowledge and Students’ Math Self-Concept towards the Students’ Math Interest.</w:t>
      </w:r>
    </w:p>
    <w:p w14:paraId="6B5401BC" w14:textId="77777777" w:rsidR="00AD691C" w:rsidRPr="00AD691C" w:rsidRDefault="00AD691C" w:rsidP="00352318">
      <w:pPr>
        <w:pStyle w:val="ListParagraph"/>
      </w:pPr>
    </w:p>
    <w:p w14:paraId="4FF37D0F" w14:textId="77777777" w:rsidR="00E94A44" w:rsidRDefault="00E94A44" w:rsidP="00352318"/>
    <w:p w14:paraId="67F6B079" w14:textId="2AA67C18" w:rsidR="0071186D" w:rsidRPr="003C3BDE" w:rsidRDefault="0071186D" w:rsidP="00352318">
      <w:pPr>
        <w:rPr>
          <w:b/>
        </w:rPr>
      </w:pPr>
      <w:r w:rsidRPr="003C3BDE">
        <w:rPr>
          <w:b/>
        </w:rPr>
        <w:t>MATERIALS AND METHODS</w:t>
      </w:r>
    </w:p>
    <w:p w14:paraId="7DDD0305" w14:textId="4B118835" w:rsidR="0071186D" w:rsidRDefault="0071186D" w:rsidP="00352318"/>
    <w:p w14:paraId="22C9DAB1" w14:textId="77777777" w:rsidR="0071186D" w:rsidRPr="006C24BC" w:rsidRDefault="0071186D" w:rsidP="00352318">
      <w:pPr>
        <w:rPr>
          <w:b/>
          <w:i/>
        </w:rPr>
      </w:pPr>
      <w:bookmarkStart w:id="5" w:name="_Hlk168945920"/>
      <w:bookmarkEnd w:id="4"/>
      <w:r w:rsidRPr="006C24BC">
        <w:rPr>
          <w:b/>
          <w:i/>
        </w:rPr>
        <w:t>Research Design</w:t>
      </w:r>
    </w:p>
    <w:bookmarkEnd w:id="5"/>
    <w:p w14:paraId="4C615C8E" w14:textId="0AF8C4D4" w:rsidR="0071186D" w:rsidRPr="0071186D" w:rsidRDefault="0071186D" w:rsidP="00352318">
      <w:pPr>
        <w:rPr>
          <w:lang w:val="en-PH" w:eastAsia="en-PH"/>
        </w:rPr>
      </w:pPr>
      <w:r w:rsidRPr="002C7381">
        <w:rPr>
          <w:b/>
          <w:bCs/>
          <w:lang w:val="en-PH"/>
        </w:rPr>
        <w:tab/>
      </w:r>
      <w:r w:rsidRPr="0071186D">
        <w:rPr>
          <w:lang w:val="en-PH" w:eastAsia="en-PH"/>
        </w:rPr>
        <w:t>This study employed a quantitative research design to explore how teachers’ pedagogical content knowledge mediates the relationship between students’ math self-concept and their interest in mathematics. To rigorously assess these connections, validated survey instruments were used to gather data on all three constructs, ensuring that both reliability and construct validity were upheld (Creswell &amp; Creswell, 2018).</w:t>
      </w:r>
      <w:r>
        <w:rPr>
          <w:lang w:val="en-PH" w:eastAsia="en-PH"/>
        </w:rPr>
        <w:t xml:space="preserve"> </w:t>
      </w:r>
      <w:r w:rsidRPr="0071186D">
        <w:rPr>
          <w:lang w:val="en-PH" w:eastAsia="en-PH"/>
        </w:rPr>
        <w:t>Descriptive statistics, specifically the computation of means, provided an overview of students’ levels of math self-concept, interest in mathematics, and teachers’ pedagogical content knowledge (Manikandan, 2011). Correlation analysis, utilizing the Pearson correlation coefficient, was then conducted to examine the relationships among these variables (Cohen et al., 2014).</w:t>
      </w:r>
      <w:r>
        <w:rPr>
          <w:lang w:val="en-PH" w:eastAsia="en-PH"/>
        </w:rPr>
        <w:t xml:space="preserve"> </w:t>
      </w:r>
      <w:r w:rsidRPr="0071186D">
        <w:rPr>
          <w:lang w:val="en-PH" w:eastAsia="en-PH"/>
        </w:rPr>
        <w:t>To further unravel the complex interplay between these factors, the study applied path analysis, an advanced extension of multiple regression within the structural equation modeling (SEM) framework to test direct and indirect effects, particularly focusing on the mediating role of teachers’ pedagogical content knowledge (Hayes, 2013; MacKinnon, 2008). All statistical analyses were carried out with the guidance of a licensed statistician to ensure methodological rigor and accuracy.</w:t>
      </w:r>
      <w:r>
        <w:rPr>
          <w:lang w:val="en-PH" w:eastAsia="en-PH"/>
        </w:rPr>
        <w:t xml:space="preserve"> </w:t>
      </w:r>
      <w:r w:rsidRPr="0071186D">
        <w:rPr>
          <w:lang w:val="en-PH" w:eastAsia="en-PH"/>
        </w:rPr>
        <w:t>By integrating these analytical approaches, the research design provided a robust and comprehensive examination of how student attitudes and teacher expertise collectively shape student interest in mathematics, offering valuable insights for educators and policymakers alike.</w:t>
      </w:r>
    </w:p>
    <w:p w14:paraId="4B425571" w14:textId="4E289298" w:rsidR="0071186D" w:rsidRPr="002C7381" w:rsidRDefault="0071186D" w:rsidP="00352318">
      <w:pPr>
        <w:rPr>
          <w:lang w:val="en-PH"/>
        </w:rPr>
      </w:pPr>
    </w:p>
    <w:p w14:paraId="4AD4B0A2" w14:textId="76D02849" w:rsidR="0071186D" w:rsidRPr="006C24BC" w:rsidRDefault="0071186D" w:rsidP="00352318">
      <w:pPr>
        <w:rPr>
          <w:b/>
          <w:i/>
        </w:rPr>
      </w:pPr>
      <w:bookmarkStart w:id="6" w:name="_Hlk168945993"/>
      <w:r w:rsidRPr="006C24BC">
        <w:rPr>
          <w:b/>
          <w:i/>
        </w:rPr>
        <w:t xml:space="preserve">Research </w:t>
      </w:r>
      <w:r w:rsidR="00E94A44" w:rsidRPr="006C24BC">
        <w:rPr>
          <w:b/>
          <w:i/>
        </w:rPr>
        <w:t xml:space="preserve">Locale and </w:t>
      </w:r>
      <w:r w:rsidR="00AD691C" w:rsidRPr="006C24BC">
        <w:rPr>
          <w:b/>
          <w:i/>
        </w:rPr>
        <w:t>Sampl</w:t>
      </w:r>
      <w:r w:rsidR="00E94A44" w:rsidRPr="006C24BC">
        <w:rPr>
          <w:b/>
          <w:i/>
        </w:rPr>
        <w:t>ing</w:t>
      </w:r>
    </w:p>
    <w:bookmarkEnd w:id="6"/>
    <w:p w14:paraId="4829D3E3" w14:textId="66DAEC83" w:rsidR="0071186D" w:rsidRDefault="0071186D" w:rsidP="00352318">
      <w:pPr>
        <w:rPr>
          <w:lang w:val="en-PH"/>
        </w:rPr>
      </w:pPr>
      <w:r w:rsidRPr="002C7381">
        <w:rPr>
          <w:b/>
          <w:bCs/>
        </w:rPr>
        <w:tab/>
      </w:r>
      <w:bookmarkStart w:id="7" w:name="_Hlk168946060"/>
      <w:r w:rsidR="00AD691C">
        <w:rPr>
          <w:lang w:val="en-PH"/>
        </w:rPr>
        <w:t>The respondents of this study</w:t>
      </w:r>
      <w:r w:rsidRPr="0071186D">
        <w:rPr>
          <w:lang w:val="en-PH"/>
        </w:rPr>
        <w:t xml:space="preserve"> were junior high school students from the Mati City Division. To ensure the sample size was appropriate and representative, the </w:t>
      </w:r>
      <w:proofErr w:type="spellStart"/>
      <w:r w:rsidRPr="0071186D">
        <w:rPr>
          <w:lang w:val="en-PH"/>
        </w:rPr>
        <w:t>Raosoft</w:t>
      </w:r>
      <w:proofErr w:type="spellEnd"/>
      <w:r w:rsidRPr="0071186D">
        <w:rPr>
          <w:lang w:val="en-PH"/>
        </w:rPr>
        <w:t xml:space="preserve"> Online Sample Size Calculator was used. Considering the total population of Junior High School students in the City of Mati Division, along with a 95% confidence level, a 5% margin of error, and a presumed </w:t>
      </w:r>
      <w:r w:rsidRPr="0071186D">
        <w:rPr>
          <w:lang w:val="en-PH"/>
        </w:rPr>
        <w:lastRenderedPageBreak/>
        <w:t>response distribution of 50%, the recommended sample size came out to 372 students. This approach helped ensure that the findings would be both reliable and valid. Additionally, a stratified random sampling method was employed, making sure that each district within the division was proportionally represented in the final sample.</w:t>
      </w:r>
    </w:p>
    <w:p w14:paraId="77B04942" w14:textId="2D82A319" w:rsidR="00E94A44" w:rsidRDefault="00E94A44" w:rsidP="00352318">
      <w:pPr>
        <w:rPr>
          <w:lang w:val="en-PH"/>
        </w:rPr>
      </w:pPr>
    </w:p>
    <w:p w14:paraId="07B7BE3E" w14:textId="184D8D8B" w:rsidR="00E94A44" w:rsidRPr="006C24BC" w:rsidRDefault="00E94A44" w:rsidP="00352318">
      <w:pPr>
        <w:rPr>
          <w:b/>
          <w:i/>
          <w:lang w:val="en-PH"/>
        </w:rPr>
      </w:pPr>
      <w:r w:rsidRPr="006C24BC">
        <w:rPr>
          <w:b/>
          <w:i/>
          <w:lang w:val="en-PH"/>
        </w:rPr>
        <w:t>Research Instrument</w:t>
      </w:r>
    </w:p>
    <w:bookmarkEnd w:id="7"/>
    <w:p w14:paraId="1DC7923E" w14:textId="018F77E9" w:rsidR="00B1574B" w:rsidRPr="00B1574B" w:rsidRDefault="0071186D" w:rsidP="00352318">
      <w:pPr>
        <w:rPr>
          <w:lang w:val="en-PH" w:eastAsia="en-PH"/>
        </w:rPr>
      </w:pPr>
      <w:r w:rsidRPr="002C7381">
        <w:rPr>
          <w:b/>
          <w:bCs/>
          <w:lang w:val="en-PH"/>
        </w:rPr>
        <w:tab/>
      </w:r>
      <w:r w:rsidR="00B1574B" w:rsidRPr="00B1574B">
        <w:rPr>
          <w:lang w:val="en-PH" w:eastAsia="en-PH"/>
        </w:rPr>
        <w:t xml:space="preserve">The researcher adopted a survey questionnaire from different authors. The questionnaire on mathematics self-concept of the students is adopted from the study of Lee and Kung (2018). The questionnaire on teachers’ pedagogical content knowledge is based from the study of Jang, Guan, and Hsieh (2009). And, the questionnaire for mathematics interest took from the investigation of </w:t>
      </w:r>
      <w:proofErr w:type="spellStart"/>
      <w:r w:rsidR="00B1574B" w:rsidRPr="00B1574B">
        <w:rPr>
          <w:lang w:val="en-PH" w:eastAsia="en-PH"/>
        </w:rPr>
        <w:t>Balolong</w:t>
      </w:r>
      <w:proofErr w:type="spellEnd"/>
      <w:r w:rsidR="00B1574B" w:rsidRPr="00B1574B">
        <w:rPr>
          <w:lang w:val="en-PH" w:eastAsia="en-PH"/>
        </w:rPr>
        <w:t xml:space="preserve"> and </w:t>
      </w:r>
      <w:proofErr w:type="spellStart"/>
      <w:r w:rsidR="00B1574B" w:rsidRPr="00B1574B">
        <w:rPr>
          <w:lang w:val="en-PH" w:eastAsia="en-PH"/>
        </w:rPr>
        <w:t>Docejo</w:t>
      </w:r>
      <w:proofErr w:type="spellEnd"/>
      <w:r w:rsidR="00B1574B" w:rsidRPr="00B1574B">
        <w:rPr>
          <w:lang w:val="en-PH" w:eastAsia="en-PH"/>
        </w:rPr>
        <w:t xml:space="preserve"> (2019).</w:t>
      </w:r>
    </w:p>
    <w:p w14:paraId="7752442F" w14:textId="72495EC8" w:rsidR="0071186D" w:rsidRPr="002C7381" w:rsidRDefault="0071186D" w:rsidP="00352318">
      <w:pPr>
        <w:rPr>
          <w:lang w:val="en-PH"/>
        </w:rPr>
      </w:pPr>
    </w:p>
    <w:p w14:paraId="61812E27" w14:textId="20CCAED6" w:rsidR="0071186D" w:rsidRPr="006C24BC" w:rsidRDefault="0071186D" w:rsidP="00352318">
      <w:pPr>
        <w:rPr>
          <w:b/>
          <w:i/>
        </w:rPr>
      </w:pPr>
      <w:r w:rsidRPr="006C24BC">
        <w:rPr>
          <w:b/>
          <w:i/>
        </w:rPr>
        <w:t>Data Analysis</w:t>
      </w:r>
    </w:p>
    <w:p w14:paraId="090C75E5" w14:textId="5122796E" w:rsidR="00B1574B" w:rsidRPr="00B1574B" w:rsidRDefault="0071186D" w:rsidP="00352318">
      <w:pPr>
        <w:rPr>
          <w:lang w:val="en-PH"/>
        </w:rPr>
      </w:pPr>
      <w:r w:rsidRPr="002C7381">
        <w:rPr>
          <w:b/>
          <w:lang w:val="en-PH"/>
        </w:rPr>
        <w:tab/>
      </w:r>
      <w:r w:rsidR="00E94A44" w:rsidRPr="00E94A44">
        <w:rPr>
          <w:lang w:val="en-PH"/>
        </w:rPr>
        <w:t>Data analysis is the process of organizing data into meaningful and useful information to answer research questions (Mvumbi and Ngumbi, 2015). For objectives 1 to 3, mean and standard deviation were used to describe the levels of Students’ Math Self-Concept (competence, affection, comparison), Teachers’ Pedagogical Content Knowledge (subject matter knowledge, instructional objectives and concepts, knowledge of students’ understanding), and Students’ Interest in Mathematics (teachers’ qualities, teaching strategies, math anxiety, students’ attitude in math class, math classroom condition).</w:t>
      </w:r>
      <w:r w:rsidR="00E94A44">
        <w:rPr>
          <w:lang w:val="en-PH"/>
        </w:rPr>
        <w:t xml:space="preserve"> </w:t>
      </w:r>
      <w:r w:rsidR="00E94A44" w:rsidRPr="00E94A44">
        <w:rPr>
          <w:lang w:val="en-PH"/>
        </w:rPr>
        <w:t>For objective 4, Pearson’s r correlation was employed to determine the relationships between Teachers’ Pedagogical Content Knowledge, Students’ Math Self-Concept, and Students’ Math Interest.</w:t>
      </w:r>
      <w:r w:rsidR="00E94A44">
        <w:rPr>
          <w:lang w:val="en-PH"/>
        </w:rPr>
        <w:t xml:space="preserve"> </w:t>
      </w:r>
      <w:r w:rsidR="00E94A44" w:rsidRPr="00E94A44">
        <w:rPr>
          <w:lang w:val="en-PH"/>
        </w:rPr>
        <w:t>Finally, for objective 5, regression analysis was used to ascertain the impact of Teachers’ Pedagogical Content Knowledge and Students’ Math Self-Concept on Students’ Math Interest.</w:t>
      </w:r>
    </w:p>
    <w:p w14:paraId="33D479D7" w14:textId="3E139A59" w:rsidR="0071186D" w:rsidRPr="002C7381" w:rsidRDefault="0071186D" w:rsidP="00352318">
      <w:pPr>
        <w:rPr>
          <w:lang w:val="en-PH"/>
        </w:rPr>
      </w:pPr>
    </w:p>
    <w:p w14:paraId="0158226D" w14:textId="10FE53BF" w:rsidR="0071186D" w:rsidRPr="006C24BC" w:rsidRDefault="0071186D" w:rsidP="00352318">
      <w:pPr>
        <w:rPr>
          <w:b/>
          <w:i/>
        </w:rPr>
      </w:pPr>
      <w:r w:rsidRPr="006C24BC">
        <w:rPr>
          <w:b/>
          <w:i/>
        </w:rPr>
        <w:t>Ethical Considerations</w:t>
      </w:r>
    </w:p>
    <w:p w14:paraId="1BDC9E14" w14:textId="4B3777BA" w:rsidR="00B1574B" w:rsidRPr="00B1574B" w:rsidRDefault="0071186D" w:rsidP="00352318">
      <w:pPr>
        <w:rPr>
          <w:lang w:val="en-PH" w:eastAsia="en-PH"/>
        </w:rPr>
      </w:pPr>
      <w:r w:rsidRPr="002C7381">
        <w:rPr>
          <w:b/>
          <w:bCs/>
          <w:lang w:val="en-PH"/>
        </w:rPr>
        <w:tab/>
      </w:r>
      <w:bookmarkStart w:id="8" w:name="_Hlk168947185"/>
      <w:r w:rsidR="00E94A44" w:rsidRPr="00E94A44">
        <w:rPr>
          <w:lang w:val="en-PH" w:eastAsia="en-PH"/>
        </w:rPr>
        <w:t>The researcher diligently followed ethical guidelines based on the Belmont Report’s core principles of respect for persons, beneficence, and justice. Participants’ rights to autonomy and confidentiality were upheld, with additional protections for vulnerable groups such as minors and LGBTQ+ individuals. Informed consent and assent were obtained from both parents and students, clearly emphasizing that participation was voluntary and that participants could withdraw at any time without consequence. The study prioritized participants’ welfare by minimizing potential risks and ensuring anonymity, while also offering benefits like enhanced self-awareness and contributions to educational development.</w:t>
      </w:r>
      <w:r w:rsidR="00E94A44">
        <w:rPr>
          <w:lang w:val="en-PH" w:eastAsia="en-PH"/>
        </w:rPr>
        <w:t xml:space="preserve"> </w:t>
      </w:r>
      <w:r w:rsidR="00E94A44" w:rsidRPr="00E94A44">
        <w:rPr>
          <w:lang w:val="en-PH" w:eastAsia="en-PH"/>
        </w:rPr>
        <w:t>To promote fairness, random sampling was employed to give all junior high school students in Mati City an equal chance to participate. Data collection was conducted in secure, private settings, maintaining strict confidentiality in accordance with the Data Privacy Act of 2012. Access to data was restricted solely to the researcher, with secure storage and proper disposal scheduled after three years. The research was free from any conflicts of interest and conducted exclusively for academic purposes. Finally, findings were shared with relevant stakeholders—including schools, administrators, and policymakers—to aid evidence-based educational planning and to contribute to the wider academic community.</w:t>
      </w:r>
    </w:p>
    <w:p w14:paraId="41612006" w14:textId="79A91FDB" w:rsidR="0071186D" w:rsidRPr="006D0F1B" w:rsidRDefault="0071186D" w:rsidP="00352318">
      <w:pPr>
        <w:rPr>
          <w:lang w:val="en-PH" w:eastAsia="en-PH"/>
        </w:rPr>
      </w:pPr>
    </w:p>
    <w:p w14:paraId="6D722461" w14:textId="77777777" w:rsidR="00E236F0" w:rsidRDefault="00E236F0" w:rsidP="00352318"/>
    <w:p w14:paraId="39F5C2B0" w14:textId="283A443D" w:rsidR="0071186D" w:rsidRPr="00577AA2" w:rsidRDefault="0071186D" w:rsidP="00352318">
      <w:pPr>
        <w:rPr>
          <w:b/>
        </w:rPr>
      </w:pPr>
      <w:r w:rsidRPr="00577AA2">
        <w:rPr>
          <w:b/>
        </w:rPr>
        <w:t>RESULTS AND DISCUSSION</w:t>
      </w:r>
      <w:bookmarkEnd w:id="8"/>
    </w:p>
    <w:p w14:paraId="4A6BCAA3" w14:textId="2449A0BD" w:rsidR="00E94A44" w:rsidRDefault="00E94A44" w:rsidP="00352318"/>
    <w:p w14:paraId="37A83E1D" w14:textId="67E52CB0" w:rsidR="00E94A44" w:rsidRDefault="00E94A44" w:rsidP="00352318">
      <w:r>
        <w:t>Table 1. Level of Teachers’ Pedagogical Content Knowledge</w:t>
      </w:r>
    </w:p>
    <w:tbl>
      <w:tblPr>
        <w:tblW w:w="9203" w:type="dxa"/>
        <w:tblLook w:val="04A0" w:firstRow="1" w:lastRow="0" w:firstColumn="1" w:lastColumn="0" w:noHBand="0" w:noVBand="1"/>
      </w:tblPr>
      <w:tblGrid>
        <w:gridCol w:w="4050"/>
        <w:gridCol w:w="900"/>
        <w:gridCol w:w="1714"/>
        <w:gridCol w:w="2539"/>
      </w:tblGrid>
      <w:tr w:rsidR="00693F20" w:rsidRPr="00352318" w14:paraId="634DAEB4" w14:textId="77777777" w:rsidTr="00352318">
        <w:trPr>
          <w:trHeight w:val="152"/>
        </w:trPr>
        <w:tc>
          <w:tcPr>
            <w:tcW w:w="4050" w:type="dxa"/>
            <w:tcBorders>
              <w:top w:val="single" w:sz="4" w:space="0" w:color="auto"/>
              <w:left w:val="nil"/>
              <w:bottom w:val="single" w:sz="4" w:space="0" w:color="auto"/>
              <w:right w:val="nil"/>
            </w:tcBorders>
            <w:vAlign w:val="center"/>
            <w:hideMark/>
          </w:tcPr>
          <w:p w14:paraId="3F599535" w14:textId="77777777" w:rsidR="00693F20" w:rsidRPr="00352318" w:rsidRDefault="00693F20" w:rsidP="00352318">
            <w:r w:rsidRPr="00352318">
              <w:t> </w:t>
            </w:r>
          </w:p>
        </w:tc>
        <w:tc>
          <w:tcPr>
            <w:tcW w:w="900" w:type="dxa"/>
            <w:tcBorders>
              <w:top w:val="single" w:sz="4" w:space="0" w:color="auto"/>
              <w:left w:val="nil"/>
              <w:bottom w:val="single" w:sz="4" w:space="0" w:color="auto"/>
              <w:right w:val="nil"/>
            </w:tcBorders>
            <w:vAlign w:val="center"/>
            <w:hideMark/>
          </w:tcPr>
          <w:p w14:paraId="6ABDDCCE" w14:textId="77777777" w:rsidR="00693F20" w:rsidRPr="00352318" w:rsidRDefault="00693F20" w:rsidP="00352318">
            <w:r w:rsidRPr="00352318">
              <w:t>Mean</w:t>
            </w:r>
          </w:p>
        </w:tc>
        <w:tc>
          <w:tcPr>
            <w:tcW w:w="1714" w:type="dxa"/>
            <w:tcBorders>
              <w:top w:val="single" w:sz="4" w:space="0" w:color="auto"/>
              <w:left w:val="nil"/>
              <w:bottom w:val="single" w:sz="4" w:space="0" w:color="auto"/>
              <w:right w:val="nil"/>
            </w:tcBorders>
            <w:vAlign w:val="center"/>
            <w:hideMark/>
          </w:tcPr>
          <w:p w14:paraId="10CCC0C7" w14:textId="77777777" w:rsidR="00693F20" w:rsidRPr="00352318" w:rsidRDefault="00693F20" w:rsidP="00352318">
            <w:r w:rsidRPr="00352318">
              <w:t>Std. Deviation</w:t>
            </w:r>
          </w:p>
        </w:tc>
        <w:tc>
          <w:tcPr>
            <w:tcW w:w="2539" w:type="dxa"/>
            <w:tcBorders>
              <w:top w:val="single" w:sz="4" w:space="0" w:color="auto"/>
              <w:left w:val="nil"/>
              <w:bottom w:val="single" w:sz="4" w:space="0" w:color="auto"/>
              <w:right w:val="nil"/>
            </w:tcBorders>
            <w:noWrap/>
            <w:vAlign w:val="center"/>
            <w:hideMark/>
          </w:tcPr>
          <w:p w14:paraId="1A0C4206" w14:textId="77777777" w:rsidR="00693F20" w:rsidRPr="00352318" w:rsidRDefault="00693F20" w:rsidP="00352318">
            <w:r w:rsidRPr="00352318">
              <w:t>Descriptive Level</w:t>
            </w:r>
          </w:p>
        </w:tc>
      </w:tr>
      <w:tr w:rsidR="00693F20" w:rsidRPr="00352318" w14:paraId="610160C2" w14:textId="77777777" w:rsidTr="00352318">
        <w:trPr>
          <w:trHeight w:val="70"/>
        </w:trPr>
        <w:tc>
          <w:tcPr>
            <w:tcW w:w="4050" w:type="dxa"/>
            <w:vAlign w:val="center"/>
            <w:hideMark/>
          </w:tcPr>
          <w:p w14:paraId="36341704" w14:textId="77777777" w:rsidR="00693F20" w:rsidRPr="00352318" w:rsidRDefault="00693F20" w:rsidP="00352318">
            <w:r w:rsidRPr="00352318">
              <w:lastRenderedPageBreak/>
              <w:t>Competence Component</w:t>
            </w:r>
          </w:p>
        </w:tc>
        <w:tc>
          <w:tcPr>
            <w:tcW w:w="900" w:type="dxa"/>
            <w:vAlign w:val="center"/>
            <w:hideMark/>
          </w:tcPr>
          <w:p w14:paraId="0763D650" w14:textId="77777777" w:rsidR="00693F20" w:rsidRPr="00352318" w:rsidRDefault="00693F20" w:rsidP="00011C13">
            <w:pPr>
              <w:jc w:val="center"/>
            </w:pPr>
            <w:r w:rsidRPr="00352318">
              <w:t>3.27</w:t>
            </w:r>
          </w:p>
        </w:tc>
        <w:tc>
          <w:tcPr>
            <w:tcW w:w="1714" w:type="dxa"/>
            <w:vAlign w:val="center"/>
            <w:hideMark/>
          </w:tcPr>
          <w:p w14:paraId="1C217715" w14:textId="77777777" w:rsidR="00693F20" w:rsidRPr="00352318" w:rsidRDefault="00693F20" w:rsidP="00011C13">
            <w:pPr>
              <w:jc w:val="center"/>
            </w:pPr>
            <w:r w:rsidRPr="00352318">
              <w:t>0.818</w:t>
            </w:r>
          </w:p>
        </w:tc>
        <w:tc>
          <w:tcPr>
            <w:tcW w:w="2539" w:type="dxa"/>
            <w:noWrap/>
            <w:vAlign w:val="center"/>
            <w:hideMark/>
          </w:tcPr>
          <w:p w14:paraId="4AE22710" w14:textId="77777777" w:rsidR="00693F20" w:rsidRPr="00352318" w:rsidRDefault="00693F20" w:rsidP="00011C13">
            <w:pPr>
              <w:jc w:val="center"/>
            </w:pPr>
            <w:r w:rsidRPr="00352318">
              <w:t>Moderate</w:t>
            </w:r>
          </w:p>
        </w:tc>
      </w:tr>
      <w:tr w:rsidR="00693F20" w:rsidRPr="00352318" w14:paraId="45C5D5F6" w14:textId="77777777" w:rsidTr="00352318">
        <w:trPr>
          <w:trHeight w:val="80"/>
        </w:trPr>
        <w:tc>
          <w:tcPr>
            <w:tcW w:w="4050" w:type="dxa"/>
            <w:vAlign w:val="center"/>
            <w:hideMark/>
          </w:tcPr>
          <w:p w14:paraId="0CE9EB6A" w14:textId="77777777" w:rsidR="00693F20" w:rsidRPr="00352318" w:rsidRDefault="00693F20" w:rsidP="00352318">
            <w:r w:rsidRPr="00352318">
              <w:t>Affective Component</w:t>
            </w:r>
          </w:p>
        </w:tc>
        <w:tc>
          <w:tcPr>
            <w:tcW w:w="900" w:type="dxa"/>
            <w:vAlign w:val="center"/>
            <w:hideMark/>
          </w:tcPr>
          <w:p w14:paraId="04F8FB6E" w14:textId="77777777" w:rsidR="00693F20" w:rsidRPr="00352318" w:rsidRDefault="00693F20" w:rsidP="00011C13">
            <w:pPr>
              <w:jc w:val="center"/>
            </w:pPr>
            <w:r w:rsidRPr="00352318">
              <w:t>3.35</w:t>
            </w:r>
          </w:p>
        </w:tc>
        <w:tc>
          <w:tcPr>
            <w:tcW w:w="1714" w:type="dxa"/>
            <w:vAlign w:val="center"/>
            <w:hideMark/>
          </w:tcPr>
          <w:p w14:paraId="5ED26E18" w14:textId="77777777" w:rsidR="00693F20" w:rsidRPr="00352318" w:rsidRDefault="00693F20" w:rsidP="00011C13">
            <w:pPr>
              <w:jc w:val="center"/>
            </w:pPr>
            <w:r w:rsidRPr="00352318">
              <w:t>0.904</w:t>
            </w:r>
          </w:p>
        </w:tc>
        <w:tc>
          <w:tcPr>
            <w:tcW w:w="2539" w:type="dxa"/>
            <w:noWrap/>
            <w:vAlign w:val="center"/>
            <w:hideMark/>
          </w:tcPr>
          <w:p w14:paraId="49D68554" w14:textId="77777777" w:rsidR="00693F20" w:rsidRPr="00352318" w:rsidRDefault="00693F20" w:rsidP="00011C13">
            <w:pPr>
              <w:jc w:val="center"/>
            </w:pPr>
            <w:r w:rsidRPr="00352318">
              <w:t>Moderate</w:t>
            </w:r>
          </w:p>
        </w:tc>
      </w:tr>
      <w:tr w:rsidR="00693F20" w:rsidRPr="00352318" w14:paraId="7C22A985" w14:textId="77777777" w:rsidTr="00352318">
        <w:trPr>
          <w:trHeight w:val="80"/>
        </w:trPr>
        <w:tc>
          <w:tcPr>
            <w:tcW w:w="4050" w:type="dxa"/>
            <w:vAlign w:val="center"/>
            <w:hideMark/>
          </w:tcPr>
          <w:p w14:paraId="51AE0E2A" w14:textId="77777777" w:rsidR="00693F20" w:rsidRPr="00352318" w:rsidRDefault="00693F20" w:rsidP="00352318">
            <w:r w:rsidRPr="00352318">
              <w:t>Comparison Component</w:t>
            </w:r>
          </w:p>
        </w:tc>
        <w:tc>
          <w:tcPr>
            <w:tcW w:w="900" w:type="dxa"/>
            <w:vAlign w:val="center"/>
            <w:hideMark/>
          </w:tcPr>
          <w:p w14:paraId="1D624C42" w14:textId="77777777" w:rsidR="00693F20" w:rsidRPr="00352318" w:rsidRDefault="00693F20" w:rsidP="00011C13">
            <w:pPr>
              <w:jc w:val="center"/>
            </w:pPr>
            <w:r w:rsidRPr="00352318">
              <w:t>2.69</w:t>
            </w:r>
          </w:p>
        </w:tc>
        <w:tc>
          <w:tcPr>
            <w:tcW w:w="1714" w:type="dxa"/>
            <w:vAlign w:val="center"/>
            <w:hideMark/>
          </w:tcPr>
          <w:p w14:paraId="5F144223" w14:textId="77777777" w:rsidR="00693F20" w:rsidRPr="00352318" w:rsidRDefault="00693F20" w:rsidP="00011C13">
            <w:pPr>
              <w:jc w:val="center"/>
            </w:pPr>
            <w:r w:rsidRPr="00352318">
              <w:t>1.013</w:t>
            </w:r>
          </w:p>
        </w:tc>
        <w:tc>
          <w:tcPr>
            <w:tcW w:w="2539" w:type="dxa"/>
            <w:noWrap/>
            <w:vAlign w:val="center"/>
            <w:hideMark/>
          </w:tcPr>
          <w:p w14:paraId="273A2177" w14:textId="77777777" w:rsidR="00693F20" w:rsidRPr="00352318" w:rsidRDefault="00693F20" w:rsidP="00011C13">
            <w:pPr>
              <w:jc w:val="center"/>
            </w:pPr>
            <w:r w:rsidRPr="00352318">
              <w:t>Moderate</w:t>
            </w:r>
          </w:p>
        </w:tc>
      </w:tr>
      <w:tr w:rsidR="00693F20" w:rsidRPr="00352318" w14:paraId="287F5698" w14:textId="77777777" w:rsidTr="00352318">
        <w:trPr>
          <w:trHeight w:val="80"/>
        </w:trPr>
        <w:tc>
          <w:tcPr>
            <w:tcW w:w="4050" w:type="dxa"/>
            <w:tcBorders>
              <w:top w:val="nil"/>
              <w:left w:val="nil"/>
              <w:bottom w:val="single" w:sz="4" w:space="0" w:color="auto"/>
              <w:right w:val="nil"/>
            </w:tcBorders>
            <w:vAlign w:val="center"/>
            <w:hideMark/>
          </w:tcPr>
          <w:p w14:paraId="58CE449B" w14:textId="77777777" w:rsidR="00693F20" w:rsidRPr="00011C13" w:rsidRDefault="00693F20" w:rsidP="00011C13">
            <w:pPr>
              <w:jc w:val="right"/>
              <w:rPr>
                <w:b/>
                <w:i/>
              </w:rPr>
            </w:pPr>
            <w:r w:rsidRPr="00011C13">
              <w:rPr>
                <w:b/>
                <w:i/>
              </w:rPr>
              <w:t>Overall Math Self-Concept</w:t>
            </w:r>
          </w:p>
        </w:tc>
        <w:tc>
          <w:tcPr>
            <w:tcW w:w="900" w:type="dxa"/>
            <w:tcBorders>
              <w:top w:val="nil"/>
              <w:left w:val="nil"/>
              <w:bottom w:val="single" w:sz="4" w:space="0" w:color="auto"/>
              <w:right w:val="nil"/>
            </w:tcBorders>
            <w:vAlign w:val="center"/>
            <w:hideMark/>
          </w:tcPr>
          <w:p w14:paraId="7C2AE0B9" w14:textId="77777777" w:rsidR="00693F20" w:rsidRPr="00011C13" w:rsidRDefault="00693F20" w:rsidP="00011C13">
            <w:pPr>
              <w:jc w:val="center"/>
              <w:rPr>
                <w:b/>
              </w:rPr>
            </w:pPr>
            <w:r w:rsidRPr="00011C13">
              <w:rPr>
                <w:b/>
              </w:rPr>
              <w:t>3.10</w:t>
            </w:r>
          </w:p>
        </w:tc>
        <w:tc>
          <w:tcPr>
            <w:tcW w:w="1714" w:type="dxa"/>
            <w:tcBorders>
              <w:top w:val="nil"/>
              <w:left w:val="nil"/>
              <w:bottom w:val="single" w:sz="4" w:space="0" w:color="auto"/>
              <w:right w:val="nil"/>
            </w:tcBorders>
            <w:vAlign w:val="center"/>
            <w:hideMark/>
          </w:tcPr>
          <w:p w14:paraId="13FC0110" w14:textId="77777777" w:rsidR="00693F20" w:rsidRPr="00011C13" w:rsidRDefault="00693F20" w:rsidP="00011C13">
            <w:pPr>
              <w:jc w:val="center"/>
              <w:rPr>
                <w:b/>
              </w:rPr>
            </w:pPr>
            <w:r w:rsidRPr="00011C13">
              <w:rPr>
                <w:b/>
              </w:rPr>
              <w:t>0.815</w:t>
            </w:r>
          </w:p>
        </w:tc>
        <w:tc>
          <w:tcPr>
            <w:tcW w:w="2539" w:type="dxa"/>
            <w:tcBorders>
              <w:top w:val="nil"/>
              <w:left w:val="nil"/>
              <w:bottom w:val="single" w:sz="4" w:space="0" w:color="auto"/>
              <w:right w:val="nil"/>
            </w:tcBorders>
            <w:noWrap/>
            <w:vAlign w:val="center"/>
            <w:hideMark/>
          </w:tcPr>
          <w:p w14:paraId="45C16CFF" w14:textId="77777777" w:rsidR="00693F20" w:rsidRPr="00011C13" w:rsidRDefault="00693F20" w:rsidP="00011C13">
            <w:pPr>
              <w:jc w:val="center"/>
              <w:rPr>
                <w:b/>
              </w:rPr>
            </w:pPr>
            <w:r w:rsidRPr="00011C13">
              <w:rPr>
                <w:b/>
              </w:rPr>
              <w:t>Moderate</w:t>
            </w:r>
          </w:p>
        </w:tc>
      </w:tr>
    </w:tbl>
    <w:p w14:paraId="19720C26" w14:textId="77777777" w:rsidR="00352318" w:rsidRPr="00B1574B" w:rsidRDefault="00352318" w:rsidP="006C24BC">
      <w:pPr>
        <w:ind w:firstLine="720"/>
        <w:rPr>
          <w:lang w:val="en-PH"/>
        </w:rPr>
      </w:pPr>
      <w:r w:rsidRPr="00B1574B">
        <w:rPr>
          <w:lang w:val="en-PH"/>
        </w:rPr>
        <w:t xml:space="preserve">Shown on Table </w:t>
      </w:r>
      <w:r>
        <w:rPr>
          <w:lang w:val="en-PH"/>
        </w:rPr>
        <w:t>1</w:t>
      </w:r>
      <w:r w:rsidRPr="00B1574B">
        <w:rPr>
          <w:lang w:val="en-PH"/>
        </w:rPr>
        <w:t xml:space="preserve"> are the results for the level of Math self-concept among junior high school students. These results showed that students have a moderate overall Math Self-concept (M= 3.10, SD =0.815). The Affective Component (M = 3.35) was highest, indicating generally positive emotional engagement. The Competence Component (M = 3.27) reflected moderate perceived mathematical ability. The Comparison Component (M = 2.69) was lowest, showing weaker confidence compared-to peers. This suggests the need for support in helping students view themselves more positively relative to others.</w:t>
      </w:r>
    </w:p>
    <w:p w14:paraId="4748CD58" w14:textId="77777777" w:rsidR="00352318" w:rsidRPr="00B1574B" w:rsidRDefault="00352318" w:rsidP="00352318">
      <w:pPr>
        <w:rPr>
          <w:lang w:val="en-PH"/>
        </w:rPr>
      </w:pPr>
      <w:r w:rsidRPr="00B1574B">
        <w:rPr>
          <w:lang w:val="en-PH"/>
        </w:rPr>
        <w:t>The self-concept of students in mathematics is a critical component of their academic identity. The report found that students held a moderate level of self-concept, especially in the affective domain, meaning they generally felt positive emotions toward math. However, their ability to compare themselves favorably with peers was limited. Supporting this, (</w:t>
      </w:r>
      <w:proofErr w:type="spellStart"/>
      <w:r w:rsidRPr="00B1574B">
        <w:rPr>
          <w:lang w:val="en-PH"/>
        </w:rPr>
        <w:t>Anajao</w:t>
      </w:r>
      <w:proofErr w:type="spellEnd"/>
      <w:r w:rsidRPr="00B1574B">
        <w:rPr>
          <w:lang w:val="en-PH"/>
        </w:rPr>
        <w:t xml:space="preserve"> 2021) discovered that students with strong parental support exhibited higher confidence and resilience in math tasks. Moreover, (Jasmin and </w:t>
      </w:r>
      <w:proofErr w:type="spellStart"/>
      <w:r w:rsidRPr="00B1574B">
        <w:rPr>
          <w:lang w:val="en-PH"/>
        </w:rPr>
        <w:t>Ongcoy</w:t>
      </w:r>
      <w:proofErr w:type="spellEnd"/>
      <w:r w:rsidRPr="00B1574B">
        <w:rPr>
          <w:lang w:val="en-PH"/>
        </w:rPr>
        <w:t xml:space="preserve"> 2024) emphasized that students learning through blended environments during the pandemic responded positively to well-structured digital materials and teacher support, suggesting that a student's self-concept can be significantly influenced by adaptive teaching strategies and emotional encouragement.</w:t>
      </w:r>
    </w:p>
    <w:p w14:paraId="304AE7C5" w14:textId="44AA3460" w:rsidR="00693F20" w:rsidRDefault="00693F20" w:rsidP="00352318"/>
    <w:p w14:paraId="50A82F79" w14:textId="2AEF25F5" w:rsidR="00693F20" w:rsidRPr="00E94A44" w:rsidRDefault="00352318" w:rsidP="00352318">
      <w:r>
        <w:t>Table 2. Level of Teachers’ Pedagogical Knowledge</w:t>
      </w:r>
    </w:p>
    <w:tbl>
      <w:tblPr>
        <w:tblW w:w="4988" w:type="pct"/>
        <w:tblLook w:val="04A0" w:firstRow="1" w:lastRow="0" w:firstColumn="1" w:lastColumn="0" w:noHBand="0" w:noVBand="1"/>
      </w:tblPr>
      <w:tblGrid>
        <w:gridCol w:w="4949"/>
        <w:gridCol w:w="811"/>
        <w:gridCol w:w="1621"/>
        <w:gridCol w:w="1957"/>
      </w:tblGrid>
      <w:tr w:rsidR="00B1574B" w:rsidRPr="00E94A44" w14:paraId="3F34348F" w14:textId="77777777" w:rsidTr="00011C13">
        <w:trPr>
          <w:trHeight w:val="179"/>
        </w:trPr>
        <w:tc>
          <w:tcPr>
            <w:tcW w:w="2650" w:type="pct"/>
            <w:tcBorders>
              <w:top w:val="single" w:sz="4" w:space="0" w:color="auto"/>
              <w:left w:val="nil"/>
              <w:bottom w:val="single" w:sz="4" w:space="0" w:color="auto"/>
              <w:right w:val="nil"/>
            </w:tcBorders>
            <w:shd w:val="clear" w:color="auto" w:fill="auto"/>
            <w:vAlign w:val="center"/>
            <w:hideMark/>
          </w:tcPr>
          <w:p w14:paraId="09DEECE2" w14:textId="77777777" w:rsidR="00B1574B" w:rsidRPr="00E94A44" w:rsidRDefault="00B1574B" w:rsidP="00352318">
            <w:r w:rsidRPr="00E94A44">
              <w:t> </w:t>
            </w:r>
          </w:p>
        </w:tc>
        <w:tc>
          <w:tcPr>
            <w:tcW w:w="434" w:type="pct"/>
            <w:tcBorders>
              <w:top w:val="single" w:sz="4" w:space="0" w:color="auto"/>
              <w:left w:val="nil"/>
              <w:bottom w:val="single" w:sz="4" w:space="0" w:color="auto"/>
              <w:right w:val="nil"/>
            </w:tcBorders>
            <w:shd w:val="clear" w:color="auto" w:fill="auto"/>
            <w:vAlign w:val="center"/>
            <w:hideMark/>
          </w:tcPr>
          <w:p w14:paraId="48324F73" w14:textId="77777777" w:rsidR="00B1574B" w:rsidRPr="00E94A44" w:rsidRDefault="00B1574B" w:rsidP="00352318">
            <w:r w:rsidRPr="00E94A44">
              <w:t>Mean</w:t>
            </w:r>
          </w:p>
        </w:tc>
        <w:tc>
          <w:tcPr>
            <w:tcW w:w="868" w:type="pct"/>
            <w:tcBorders>
              <w:top w:val="single" w:sz="4" w:space="0" w:color="auto"/>
              <w:left w:val="nil"/>
              <w:bottom w:val="single" w:sz="4" w:space="0" w:color="auto"/>
              <w:right w:val="nil"/>
            </w:tcBorders>
            <w:shd w:val="clear" w:color="auto" w:fill="auto"/>
            <w:vAlign w:val="center"/>
            <w:hideMark/>
          </w:tcPr>
          <w:p w14:paraId="4D1ED534" w14:textId="77777777" w:rsidR="00B1574B" w:rsidRPr="00E94A44" w:rsidRDefault="00B1574B" w:rsidP="00352318">
            <w:r w:rsidRPr="00E94A44">
              <w:t>Std. Deviation</w:t>
            </w:r>
          </w:p>
        </w:tc>
        <w:tc>
          <w:tcPr>
            <w:tcW w:w="1048" w:type="pct"/>
            <w:tcBorders>
              <w:top w:val="single" w:sz="4" w:space="0" w:color="auto"/>
              <w:left w:val="nil"/>
              <w:bottom w:val="single" w:sz="4" w:space="0" w:color="auto"/>
              <w:right w:val="nil"/>
            </w:tcBorders>
            <w:shd w:val="clear" w:color="auto" w:fill="auto"/>
            <w:noWrap/>
            <w:vAlign w:val="center"/>
            <w:hideMark/>
          </w:tcPr>
          <w:p w14:paraId="32E61158" w14:textId="77777777" w:rsidR="00B1574B" w:rsidRPr="00E94A44" w:rsidRDefault="00B1574B" w:rsidP="00352318">
            <w:r w:rsidRPr="00E94A44">
              <w:t>Descriptive Level</w:t>
            </w:r>
          </w:p>
        </w:tc>
      </w:tr>
      <w:tr w:rsidR="00B1574B" w:rsidRPr="00E94A44" w14:paraId="0CA8DF74" w14:textId="77777777" w:rsidTr="00011C13">
        <w:trPr>
          <w:trHeight w:val="179"/>
        </w:trPr>
        <w:tc>
          <w:tcPr>
            <w:tcW w:w="2650" w:type="pct"/>
            <w:tcBorders>
              <w:top w:val="nil"/>
              <w:left w:val="nil"/>
              <w:bottom w:val="nil"/>
              <w:right w:val="nil"/>
            </w:tcBorders>
            <w:shd w:val="clear" w:color="auto" w:fill="auto"/>
            <w:vAlign w:val="center"/>
            <w:hideMark/>
          </w:tcPr>
          <w:p w14:paraId="50D138C0" w14:textId="77777777" w:rsidR="00B1574B" w:rsidRPr="00E94A44" w:rsidRDefault="00B1574B" w:rsidP="00352318">
            <w:r w:rsidRPr="00E94A44">
              <w:t>Subject Matter Knowledge</w:t>
            </w:r>
          </w:p>
        </w:tc>
        <w:tc>
          <w:tcPr>
            <w:tcW w:w="434" w:type="pct"/>
            <w:tcBorders>
              <w:top w:val="nil"/>
              <w:left w:val="nil"/>
              <w:bottom w:val="nil"/>
              <w:right w:val="nil"/>
            </w:tcBorders>
            <w:shd w:val="clear" w:color="auto" w:fill="auto"/>
            <w:vAlign w:val="center"/>
            <w:hideMark/>
          </w:tcPr>
          <w:p w14:paraId="057AFFAF" w14:textId="77777777" w:rsidR="00B1574B" w:rsidRPr="00E94A44" w:rsidRDefault="00B1574B" w:rsidP="00011C13">
            <w:pPr>
              <w:jc w:val="center"/>
            </w:pPr>
            <w:r w:rsidRPr="00E94A44">
              <w:t>4.45</w:t>
            </w:r>
          </w:p>
        </w:tc>
        <w:tc>
          <w:tcPr>
            <w:tcW w:w="868" w:type="pct"/>
            <w:tcBorders>
              <w:top w:val="nil"/>
              <w:left w:val="nil"/>
              <w:bottom w:val="nil"/>
              <w:right w:val="nil"/>
            </w:tcBorders>
            <w:shd w:val="clear" w:color="auto" w:fill="auto"/>
            <w:vAlign w:val="center"/>
            <w:hideMark/>
          </w:tcPr>
          <w:p w14:paraId="5AAF9F8F" w14:textId="77777777" w:rsidR="00B1574B" w:rsidRPr="00E94A44" w:rsidRDefault="00B1574B" w:rsidP="00011C13">
            <w:pPr>
              <w:jc w:val="center"/>
            </w:pPr>
            <w:r w:rsidRPr="00E94A44">
              <w:t>0.643</w:t>
            </w:r>
          </w:p>
        </w:tc>
        <w:tc>
          <w:tcPr>
            <w:tcW w:w="1048" w:type="pct"/>
            <w:tcBorders>
              <w:top w:val="nil"/>
              <w:left w:val="nil"/>
              <w:bottom w:val="nil"/>
              <w:right w:val="nil"/>
            </w:tcBorders>
            <w:shd w:val="clear" w:color="auto" w:fill="auto"/>
            <w:noWrap/>
            <w:vAlign w:val="center"/>
            <w:hideMark/>
          </w:tcPr>
          <w:p w14:paraId="1E8919A0" w14:textId="77777777" w:rsidR="00B1574B" w:rsidRPr="00E94A44" w:rsidRDefault="00B1574B" w:rsidP="00011C13">
            <w:pPr>
              <w:jc w:val="center"/>
            </w:pPr>
            <w:r w:rsidRPr="00E94A44">
              <w:t>Very High</w:t>
            </w:r>
          </w:p>
        </w:tc>
      </w:tr>
      <w:tr w:rsidR="00B1574B" w:rsidRPr="00E94A44" w14:paraId="44F7D48E" w14:textId="77777777" w:rsidTr="00011C13">
        <w:trPr>
          <w:trHeight w:val="289"/>
        </w:trPr>
        <w:tc>
          <w:tcPr>
            <w:tcW w:w="2650" w:type="pct"/>
            <w:tcBorders>
              <w:top w:val="nil"/>
              <w:left w:val="nil"/>
              <w:bottom w:val="nil"/>
              <w:right w:val="nil"/>
            </w:tcBorders>
            <w:shd w:val="clear" w:color="auto" w:fill="auto"/>
            <w:vAlign w:val="center"/>
            <w:hideMark/>
          </w:tcPr>
          <w:p w14:paraId="45910DD4" w14:textId="77777777" w:rsidR="00B1574B" w:rsidRPr="00E94A44" w:rsidRDefault="00B1574B" w:rsidP="00352318">
            <w:r w:rsidRPr="00E94A44">
              <w:t>Instructional Representation &amp; Strategies</w:t>
            </w:r>
          </w:p>
        </w:tc>
        <w:tc>
          <w:tcPr>
            <w:tcW w:w="434" w:type="pct"/>
            <w:tcBorders>
              <w:top w:val="nil"/>
              <w:left w:val="nil"/>
              <w:bottom w:val="nil"/>
              <w:right w:val="nil"/>
            </w:tcBorders>
            <w:shd w:val="clear" w:color="auto" w:fill="auto"/>
            <w:vAlign w:val="center"/>
            <w:hideMark/>
          </w:tcPr>
          <w:p w14:paraId="68CC49B1" w14:textId="77777777" w:rsidR="00B1574B" w:rsidRPr="00E94A44" w:rsidRDefault="00B1574B" w:rsidP="00011C13">
            <w:pPr>
              <w:jc w:val="center"/>
            </w:pPr>
            <w:r w:rsidRPr="00E94A44">
              <w:t>4.36</w:t>
            </w:r>
          </w:p>
        </w:tc>
        <w:tc>
          <w:tcPr>
            <w:tcW w:w="868" w:type="pct"/>
            <w:tcBorders>
              <w:top w:val="nil"/>
              <w:left w:val="nil"/>
              <w:bottom w:val="nil"/>
              <w:right w:val="nil"/>
            </w:tcBorders>
            <w:shd w:val="clear" w:color="auto" w:fill="auto"/>
            <w:vAlign w:val="center"/>
            <w:hideMark/>
          </w:tcPr>
          <w:p w14:paraId="0033F6AD" w14:textId="77777777" w:rsidR="00B1574B" w:rsidRPr="00E94A44" w:rsidRDefault="00B1574B" w:rsidP="00011C13">
            <w:pPr>
              <w:jc w:val="center"/>
            </w:pPr>
            <w:r w:rsidRPr="00E94A44">
              <w:t>0.622</w:t>
            </w:r>
          </w:p>
        </w:tc>
        <w:tc>
          <w:tcPr>
            <w:tcW w:w="1048" w:type="pct"/>
            <w:tcBorders>
              <w:top w:val="nil"/>
              <w:left w:val="nil"/>
              <w:bottom w:val="nil"/>
              <w:right w:val="nil"/>
            </w:tcBorders>
            <w:shd w:val="clear" w:color="auto" w:fill="auto"/>
            <w:noWrap/>
            <w:vAlign w:val="center"/>
            <w:hideMark/>
          </w:tcPr>
          <w:p w14:paraId="648B097C" w14:textId="77777777" w:rsidR="00B1574B" w:rsidRPr="00E94A44" w:rsidRDefault="00B1574B" w:rsidP="00011C13">
            <w:pPr>
              <w:jc w:val="center"/>
            </w:pPr>
            <w:r w:rsidRPr="00E94A44">
              <w:t>Very High</w:t>
            </w:r>
          </w:p>
        </w:tc>
      </w:tr>
      <w:tr w:rsidR="00B1574B" w:rsidRPr="00E94A44" w14:paraId="3B24161B" w14:textId="77777777" w:rsidTr="00011C13">
        <w:trPr>
          <w:trHeight w:val="289"/>
        </w:trPr>
        <w:tc>
          <w:tcPr>
            <w:tcW w:w="2650" w:type="pct"/>
            <w:tcBorders>
              <w:top w:val="nil"/>
              <w:left w:val="nil"/>
              <w:bottom w:val="nil"/>
              <w:right w:val="nil"/>
            </w:tcBorders>
            <w:shd w:val="clear" w:color="auto" w:fill="auto"/>
            <w:vAlign w:val="center"/>
            <w:hideMark/>
          </w:tcPr>
          <w:p w14:paraId="72A23322" w14:textId="77777777" w:rsidR="00B1574B" w:rsidRPr="00E94A44" w:rsidRDefault="00B1574B" w:rsidP="00352318">
            <w:r w:rsidRPr="00E94A44">
              <w:t>Instructional Objective and Context</w:t>
            </w:r>
          </w:p>
        </w:tc>
        <w:tc>
          <w:tcPr>
            <w:tcW w:w="434" w:type="pct"/>
            <w:tcBorders>
              <w:top w:val="nil"/>
              <w:left w:val="nil"/>
              <w:bottom w:val="nil"/>
              <w:right w:val="nil"/>
            </w:tcBorders>
            <w:shd w:val="clear" w:color="auto" w:fill="auto"/>
            <w:vAlign w:val="center"/>
            <w:hideMark/>
          </w:tcPr>
          <w:p w14:paraId="5390A09A" w14:textId="77777777" w:rsidR="00B1574B" w:rsidRPr="00E94A44" w:rsidRDefault="00B1574B" w:rsidP="00011C13">
            <w:pPr>
              <w:jc w:val="center"/>
            </w:pPr>
            <w:r w:rsidRPr="00E94A44">
              <w:t>4.35</w:t>
            </w:r>
          </w:p>
        </w:tc>
        <w:tc>
          <w:tcPr>
            <w:tcW w:w="868" w:type="pct"/>
            <w:tcBorders>
              <w:top w:val="nil"/>
              <w:left w:val="nil"/>
              <w:bottom w:val="nil"/>
              <w:right w:val="nil"/>
            </w:tcBorders>
            <w:shd w:val="clear" w:color="auto" w:fill="auto"/>
            <w:vAlign w:val="center"/>
            <w:hideMark/>
          </w:tcPr>
          <w:p w14:paraId="6E6E1A85" w14:textId="77777777" w:rsidR="00B1574B" w:rsidRPr="00E94A44" w:rsidRDefault="00B1574B" w:rsidP="00011C13">
            <w:pPr>
              <w:jc w:val="center"/>
            </w:pPr>
            <w:r w:rsidRPr="00E94A44">
              <w:t>0.625</w:t>
            </w:r>
          </w:p>
        </w:tc>
        <w:tc>
          <w:tcPr>
            <w:tcW w:w="1048" w:type="pct"/>
            <w:tcBorders>
              <w:top w:val="nil"/>
              <w:left w:val="nil"/>
              <w:bottom w:val="nil"/>
              <w:right w:val="nil"/>
            </w:tcBorders>
            <w:shd w:val="clear" w:color="auto" w:fill="auto"/>
            <w:noWrap/>
            <w:vAlign w:val="center"/>
            <w:hideMark/>
          </w:tcPr>
          <w:p w14:paraId="10FC53B6" w14:textId="77777777" w:rsidR="00B1574B" w:rsidRPr="00E94A44" w:rsidRDefault="00B1574B" w:rsidP="00011C13">
            <w:pPr>
              <w:jc w:val="center"/>
            </w:pPr>
            <w:r w:rsidRPr="00E94A44">
              <w:t>Very High</w:t>
            </w:r>
          </w:p>
        </w:tc>
      </w:tr>
      <w:tr w:rsidR="00B1574B" w:rsidRPr="00E94A44" w14:paraId="3B6A7495" w14:textId="77777777" w:rsidTr="00011C13">
        <w:trPr>
          <w:trHeight w:val="289"/>
        </w:trPr>
        <w:tc>
          <w:tcPr>
            <w:tcW w:w="2650" w:type="pct"/>
            <w:tcBorders>
              <w:top w:val="nil"/>
              <w:left w:val="nil"/>
              <w:bottom w:val="nil"/>
              <w:right w:val="nil"/>
            </w:tcBorders>
            <w:shd w:val="clear" w:color="auto" w:fill="auto"/>
            <w:vAlign w:val="center"/>
            <w:hideMark/>
          </w:tcPr>
          <w:p w14:paraId="7270CAFE" w14:textId="77777777" w:rsidR="00B1574B" w:rsidRPr="00E94A44" w:rsidRDefault="00B1574B" w:rsidP="00352318">
            <w:r w:rsidRPr="00E94A44">
              <w:t>Knowledge of Students Understanding</w:t>
            </w:r>
          </w:p>
        </w:tc>
        <w:tc>
          <w:tcPr>
            <w:tcW w:w="434" w:type="pct"/>
            <w:tcBorders>
              <w:top w:val="nil"/>
              <w:left w:val="nil"/>
              <w:bottom w:val="nil"/>
              <w:right w:val="nil"/>
            </w:tcBorders>
            <w:shd w:val="clear" w:color="auto" w:fill="auto"/>
            <w:vAlign w:val="center"/>
            <w:hideMark/>
          </w:tcPr>
          <w:p w14:paraId="6C287386" w14:textId="77777777" w:rsidR="00B1574B" w:rsidRPr="00E94A44" w:rsidRDefault="00B1574B" w:rsidP="00011C13">
            <w:pPr>
              <w:jc w:val="center"/>
            </w:pPr>
            <w:r w:rsidRPr="00E94A44">
              <w:t>4.34</w:t>
            </w:r>
          </w:p>
        </w:tc>
        <w:tc>
          <w:tcPr>
            <w:tcW w:w="868" w:type="pct"/>
            <w:tcBorders>
              <w:top w:val="nil"/>
              <w:left w:val="nil"/>
              <w:bottom w:val="nil"/>
              <w:right w:val="nil"/>
            </w:tcBorders>
            <w:shd w:val="clear" w:color="auto" w:fill="auto"/>
            <w:vAlign w:val="center"/>
            <w:hideMark/>
          </w:tcPr>
          <w:p w14:paraId="66E4C241" w14:textId="77777777" w:rsidR="00B1574B" w:rsidRPr="00E94A44" w:rsidRDefault="00B1574B" w:rsidP="00011C13">
            <w:pPr>
              <w:jc w:val="center"/>
            </w:pPr>
            <w:r w:rsidRPr="00E94A44">
              <w:t>0.659</w:t>
            </w:r>
          </w:p>
        </w:tc>
        <w:tc>
          <w:tcPr>
            <w:tcW w:w="1048" w:type="pct"/>
            <w:tcBorders>
              <w:top w:val="nil"/>
              <w:left w:val="nil"/>
              <w:bottom w:val="nil"/>
              <w:right w:val="nil"/>
            </w:tcBorders>
            <w:shd w:val="clear" w:color="auto" w:fill="auto"/>
            <w:noWrap/>
            <w:vAlign w:val="center"/>
            <w:hideMark/>
          </w:tcPr>
          <w:p w14:paraId="70FD2B13" w14:textId="77777777" w:rsidR="00B1574B" w:rsidRPr="00E94A44" w:rsidRDefault="00B1574B" w:rsidP="00011C13">
            <w:pPr>
              <w:jc w:val="center"/>
            </w:pPr>
            <w:r w:rsidRPr="00E94A44">
              <w:t>Very High</w:t>
            </w:r>
          </w:p>
        </w:tc>
      </w:tr>
      <w:tr w:rsidR="00B1574B" w:rsidRPr="00E94A44" w14:paraId="1E44650D" w14:textId="77777777" w:rsidTr="00011C13">
        <w:trPr>
          <w:trHeight w:val="387"/>
        </w:trPr>
        <w:tc>
          <w:tcPr>
            <w:tcW w:w="2650" w:type="pct"/>
            <w:tcBorders>
              <w:top w:val="nil"/>
              <w:left w:val="nil"/>
              <w:bottom w:val="single" w:sz="4" w:space="0" w:color="auto"/>
              <w:right w:val="nil"/>
            </w:tcBorders>
            <w:shd w:val="clear" w:color="auto" w:fill="auto"/>
            <w:vAlign w:val="center"/>
            <w:hideMark/>
          </w:tcPr>
          <w:p w14:paraId="7E075B8E" w14:textId="77777777" w:rsidR="00B1574B" w:rsidRPr="00011C13" w:rsidRDefault="00B1574B" w:rsidP="00011C13">
            <w:pPr>
              <w:jc w:val="right"/>
              <w:rPr>
                <w:b/>
                <w:i/>
              </w:rPr>
            </w:pPr>
            <w:r w:rsidRPr="00011C13">
              <w:rPr>
                <w:b/>
                <w:i/>
              </w:rPr>
              <w:t>Overall Pedagogical Content Knowledge</w:t>
            </w:r>
          </w:p>
        </w:tc>
        <w:tc>
          <w:tcPr>
            <w:tcW w:w="434" w:type="pct"/>
            <w:tcBorders>
              <w:top w:val="nil"/>
              <w:left w:val="nil"/>
              <w:bottom w:val="single" w:sz="4" w:space="0" w:color="auto"/>
              <w:right w:val="nil"/>
            </w:tcBorders>
            <w:shd w:val="clear" w:color="auto" w:fill="auto"/>
            <w:vAlign w:val="center"/>
            <w:hideMark/>
          </w:tcPr>
          <w:p w14:paraId="7B505835" w14:textId="77777777" w:rsidR="00B1574B" w:rsidRPr="00011C13" w:rsidRDefault="00B1574B" w:rsidP="00011C13">
            <w:pPr>
              <w:jc w:val="center"/>
              <w:rPr>
                <w:b/>
              </w:rPr>
            </w:pPr>
            <w:r w:rsidRPr="00011C13">
              <w:rPr>
                <w:b/>
              </w:rPr>
              <w:t>4.37</w:t>
            </w:r>
          </w:p>
        </w:tc>
        <w:tc>
          <w:tcPr>
            <w:tcW w:w="868" w:type="pct"/>
            <w:tcBorders>
              <w:top w:val="nil"/>
              <w:left w:val="nil"/>
              <w:bottom w:val="single" w:sz="4" w:space="0" w:color="auto"/>
              <w:right w:val="nil"/>
            </w:tcBorders>
            <w:shd w:val="clear" w:color="auto" w:fill="auto"/>
            <w:vAlign w:val="center"/>
            <w:hideMark/>
          </w:tcPr>
          <w:p w14:paraId="5454F2BF" w14:textId="77777777" w:rsidR="00B1574B" w:rsidRPr="00011C13" w:rsidRDefault="00B1574B" w:rsidP="00011C13">
            <w:pPr>
              <w:jc w:val="center"/>
              <w:rPr>
                <w:b/>
              </w:rPr>
            </w:pPr>
            <w:r w:rsidRPr="00011C13">
              <w:rPr>
                <w:b/>
              </w:rPr>
              <w:t>0.555</w:t>
            </w:r>
          </w:p>
        </w:tc>
        <w:tc>
          <w:tcPr>
            <w:tcW w:w="1048" w:type="pct"/>
            <w:tcBorders>
              <w:top w:val="nil"/>
              <w:left w:val="nil"/>
              <w:bottom w:val="single" w:sz="4" w:space="0" w:color="auto"/>
              <w:right w:val="nil"/>
            </w:tcBorders>
            <w:shd w:val="clear" w:color="auto" w:fill="auto"/>
            <w:noWrap/>
            <w:vAlign w:val="center"/>
            <w:hideMark/>
          </w:tcPr>
          <w:p w14:paraId="59F16F37" w14:textId="77777777" w:rsidR="00B1574B" w:rsidRPr="00011C13" w:rsidRDefault="00B1574B" w:rsidP="00011C13">
            <w:pPr>
              <w:jc w:val="center"/>
              <w:rPr>
                <w:b/>
              </w:rPr>
            </w:pPr>
            <w:r w:rsidRPr="00011C13">
              <w:rPr>
                <w:b/>
              </w:rPr>
              <w:t>Very High</w:t>
            </w:r>
          </w:p>
        </w:tc>
      </w:tr>
    </w:tbl>
    <w:p w14:paraId="68FB034B" w14:textId="06B2F69E" w:rsidR="00B1574B" w:rsidRDefault="00352318" w:rsidP="00352318">
      <w:pPr>
        <w:ind w:firstLine="720"/>
      </w:pPr>
      <w:r w:rsidRPr="00352318">
        <w:t>The findings in Table 2 indicate that the junior high school teachers possess a very high level of Pedagogical Content Knowledge (PCK), with an overall mean score of 4.37 (SD = 0.555). Among the four dimensions assessed, Subject Matter Knowledge emerged with the highest mean of 4.45 (SD = 0.643), reflecting teachers’ strong grasp of mathematical concepts. This was closely followed by Instructional Representation and Strategies (M = 4.36, SD = 0.622), Instructional Objective and Context (M = 4.35, SD = 0.625), and Knowledge of Students’ Understanding (M = 4.34, SD = 0.659). The consistently high ratings across all components suggest that teachers are not only well-versed in their subject matter but also effective in designing and delivering instruction that is responsive to students’ needs and learning contexts. These results underscore the strength of teachers’ content expertise and pedagogical approaches in fostering meaningful mathematics learning experiences.</w:t>
      </w:r>
    </w:p>
    <w:p w14:paraId="462B0350" w14:textId="77777777" w:rsidR="00352318" w:rsidRDefault="00352318" w:rsidP="00352318">
      <w:pPr>
        <w:ind w:firstLine="720"/>
      </w:pPr>
      <w:r>
        <w:t xml:space="preserve">This aligns with the study of </w:t>
      </w:r>
      <w:proofErr w:type="spellStart"/>
      <w:r>
        <w:t>Kumi</w:t>
      </w:r>
      <w:proofErr w:type="spellEnd"/>
      <w:r>
        <w:t xml:space="preserve"> and </w:t>
      </w:r>
      <w:proofErr w:type="spellStart"/>
      <w:r>
        <w:t>Wonu</w:t>
      </w:r>
      <w:proofErr w:type="spellEnd"/>
      <w:r>
        <w:t xml:space="preserve"> (2021), which found that students perceived their teachers as highly competent in content knowledge, reporting a similar mean rating of 4.71 in this domain. Subject Matter Knowledge is foundational to PCK, as it enables teachers to present content accurately and with depth, which is essential for fostering student understanding (Peters-George, 2021).</w:t>
      </w:r>
    </w:p>
    <w:p w14:paraId="3BDB2739" w14:textId="77777777" w:rsidR="00352318" w:rsidRDefault="00352318" w:rsidP="00352318">
      <w:pPr>
        <w:ind w:firstLine="720"/>
      </w:pPr>
      <w:r>
        <w:t xml:space="preserve">The high rating in Instructional Representation and Strategies (M = 4.36, SD = 0.622) suggests that teachers effectively utilize various teaching approaches to translate complex </w:t>
      </w:r>
      <w:r>
        <w:lastRenderedPageBreak/>
        <w:t xml:space="preserve">mathematical ideas into forms that are comprehensible to students. Martin and Jamieson-Proctor (2022) emphasized that problem-based learning approaches can enhance pre-service teachers’ ability to select and use effective instructional strategies. This is further supported by </w:t>
      </w:r>
      <w:proofErr w:type="spellStart"/>
      <w:r>
        <w:t>Bhagwonparsadh</w:t>
      </w:r>
      <w:proofErr w:type="spellEnd"/>
      <w:r>
        <w:t xml:space="preserve"> and Pule (2024), who found that teachers with strong PCK effectively employ varied strategies to address student misconceptions and promote deeper mathematical reasoning.</w:t>
      </w:r>
    </w:p>
    <w:p w14:paraId="042E2D6E" w14:textId="77777777" w:rsidR="00352318" w:rsidRDefault="00352318" w:rsidP="00352318">
      <w:pPr>
        <w:ind w:firstLine="720"/>
      </w:pPr>
      <w:r>
        <w:t>Moreover, the dimension of Instructional Objective and Context (M = 4.35, SD = 0.625) reflects the teachers’ ability to align lesson content with curricular goals and student backgrounds. This is consistent with findings from a meta-analysis by Frontiers in Education (2024), which revealed that PCK-focused interventions are most impactful when instructional planning is contextualized within the learners’ experiences and aligned with clearly defined objectives.</w:t>
      </w:r>
    </w:p>
    <w:p w14:paraId="3BE145B9" w14:textId="77777777" w:rsidR="00352318" w:rsidRDefault="00352318" w:rsidP="00352318">
      <w:pPr>
        <w:ind w:firstLine="720"/>
      </w:pPr>
      <w:r>
        <w:t>The teachers also demonstrated high proficiency in the domain of Knowledge of Students’ Understanding (M = 4.34, SD = 0.659), indicating a strong capacity to recognize and respond to student misconceptions and learning difficulties. This is critical for effective teaching, as emphasized by Shulman’s (1986) seminal work on PCK, and is reaffirmed by recent findings that suggest a strong link between this dimension and student academic outcomes (Frontiers in Education, 2024). Recognizing how students think and learn allows teachers to tailor instruction that builds on prior knowledge and promotes conceptual understanding.</w:t>
      </w:r>
    </w:p>
    <w:p w14:paraId="1AABC505" w14:textId="369A221B" w:rsidR="00352318" w:rsidRPr="00352318" w:rsidRDefault="00352318" w:rsidP="00352318">
      <w:pPr>
        <w:ind w:firstLine="720"/>
      </w:pPr>
      <w:r>
        <w:t>Thus, the consistently high ratings across all dimensions of PCK demonstrate that the teachers not only possess strong content expertise but are also adept at applying pedagogical strategies that support meaningful mathematics learning. These results support the growing body of literature underscoring the importance of integrated PCK in improving instructional quality and student achievement in mathematics education.</w:t>
      </w:r>
    </w:p>
    <w:p w14:paraId="662E2B85" w14:textId="77777777" w:rsidR="00011C13" w:rsidRDefault="00011C13" w:rsidP="00352318"/>
    <w:p w14:paraId="632157CA" w14:textId="1C6D82BF" w:rsidR="00FF4C23" w:rsidRDefault="00011C13" w:rsidP="00352318">
      <w:r>
        <w:t>Table 3. Level of Students’ Mathematics Interest</w:t>
      </w:r>
    </w:p>
    <w:tbl>
      <w:tblPr>
        <w:tblW w:w="4971" w:type="pct"/>
        <w:tblInd w:w="90" w:type="dxa"/>
        <w:tblLook w:val="04A0" w:firstRow="1" w:lastRow="0" w:firstColumn="1" w:lastColumn="0" w:noHBand="0" w:noVBand="1"/>
      </w:tblPr>
      <w:tblGrid>
        <w:gridCol w:w="4664"/>
        <w:gridCol w:w="929"/>
        <w:gridCol w:w="1697"/>
        <w:gridCol w:w="2016"/>
      </w:tblGrid>
      <w:tr w:rsidR="00FF4C23" w:rsidRPr="009E15E8" w14:paraId="412B913F" w14:textId="77777777" w:rsidTr="00011C13">
        <w:trPr>
          <w:trHeight w:val="226"/>
        </w:trPr>
        <w:tc>
          <w:tcPr>
            <w:tcW w:w="2505" w:type="pct"/>
            <w:tcBorders>
              <w:top w:val="single" w:sz="4" w:space="0" w:color="auto"/>
              <w:left w:val="nil"/>
              <w:bottom w:val="single" w:sz="4" w:space="0" w:color="auto"/>
              <w:right w:val="nil"/>
            </w:tcBorders>
            <w:shd w:val="clear" w:color="auto" w:fill="auto"/>
            <w:vAlign w:val="center"/>
            <w:hideMark/>
          </w:tcPr>
          <w:p w14:paraId="1131DDF7" w14:textId="77777777" w:rsidR="00FF4C23" w:rsidRPr="009E15E8" w:rsidRDefault="00FF4C23" w:rsidP="00352318">
            <w:r w:rsidRPr="009E15E8">
              <w:t> </w:t>
            </w:r>
          </w:p>
        </w:tc>
        <w:tc>
          <w:tcPr>
            <w:tcW w:w="499" w:type="pct"/>
            <w:tcBorders>
              <w:top w:val="single" w:sz="4" w:space="0" w:color="auto"/>
              <w:left w:val="nil"/>
              <w:bottom w:val="single" w:sz="4" w:space="0" w:color="auto"/>
              <w:right w:val="nil"/>
            </w:tcBorders>
            <w:shd w:val="clear" w:color="auto" w:fill="auto"/>
            <w:vAlign w:val="center"/>
            <w:hideMark/>
          </w:tcPr>
          <w:p w14:paraId="411D10B1" w14:textId="77777777" w:rsidR="00FF4C23" w:rsidRPr="009E15E8" w:rsidRDefault="00FF4C23" w:rsidP="00352318">
            <w:r w:rsidRPr="009E15E8">
              <w:t>Mean</w:t>
            </w:r>
          </w:p>
        </w:tc>
        <w:tc>
          <w:tcPr>
            <w:tcW w:w="912" w:type="pct"/>
            <w:tcBorders>
              <w:top w:val="single" w:sz="4" w:space="0" w:color="auto"/>
              <w:left w:val="nil"/>
              <w:bottom w:val="single" w:sz="4" w:space="0" w:color="auto"/>
              <w:right w:val="nil"/>
            </w:tcBorders>
            <w:shd w:val="clear" w:color="auto" w:fill="auto"/>
            <w:vAlign w:val="center"/>
            <w:hideMark/>
          </w:tcPr>
          <w:p w14:paraId="1316267A" w14:textId="77777777" w:rsidR="00FF4C23" w:rsidRPr="009E15E8" w:rsidRDefault="00FF4C23" w:rsidP="00352318">
            <w:r w:rsidRPr="009E15E8">
              <w:t>Std. Deviation</w:t>
            </w:r>
          </w:p>
        </w:tc>
        <w:tc>
          <w:tcPr>
            <w:tcW w:w="1083" w:type="pct"/>
            <w:tcBorders>
              <w:top w:val="single" w:sz="4" w:space="0" w:color="auto"/>
              <w:left w:val="nil"/>
              <w:bottom w:val="single" w:sz="4" w:space="0" w:color="auto"/>
              <w:right w:val="nil"/>
            </w:tcBorders>
            <w:shd w:val="clear" w:color="auto" w:fill="auto"/>
            <w:noWrap/>
            <w:vAlign w:val="center"/>
            <w:hideMark/>
          </w:tcPr>
          <w:p w14:paraId="53CED76F" w14:textId="77777777" w:rsidR="00FF4C23" w:rsidRPr="009E15E8" w:rsidRDefault="00FF4C23" w:rsidP="00352318">
            <w:r w:rsidRPr="009E15E8">
              <w:t>Descriptive Level</w:t>
            </w:r>
          </w:p>
        </w:tc>
      </w:tr>
      <w:tr w:rsidR="00FF4C23" w:rsidRPr="009E15E8" w14:paraId="46B71947" w14:textId="77777777" w:rsidTr="00011C13">
        <w:trPr>
          <w:trHeight w:val="226"/>
        </w:trPr>
        <w:tc>
          <w:tcPr>
            <w:tcW w:w="2505" w:type="pct"/>
            <w:tcBorders>
              <w:top w:val="nil"/>
              <w:left w:val="nil"/>
              <w:bottom w:val="nil"/>
              <w:right w:val="nil"/>
            </w:tcBorders>
            <w:shd w:val="clear" w:color="auto" w:fill="auto"/>
            <w:vAlign w:val="center"/>
            <w:hideMark/>
          </w:tcPr>
          <w:p w14:paraId="3F6FE226" w14:textId="77777777" w:rsidR="00FF4C23" w:rsidRPr="009E15E8" w:rsidRDefault="00FF4C23" w:rsidP="00352318">
            <w:r w:rsidRPr="009E15E8">
              <w:t>Qualities of the teacher</w:t>
            </w:r>
          </w:p>
        </w:tc>
        <w:tc>
          <w:tcPr>
            <w:tcW w:w="499" w:type="pct"/>
            <w:tcBorders>
              <w:top w:val="nil"/>
              <w:left w:val="nil"/>
              <w:bottom w:val="nil"/>
              <w:right w:val="nil"/>
            </w:tcBorders>
            <w:shd w:val="clear" w:color="auto" w:fill="auto"/>
            <w:vAlign w:val="center"/>
            <w:hideMark/>
          </w:tcPr>
          <w:p w14:paraId="4243917D" w14:textId="77777777" w:rsidR="00FF4C23" w:rsidRPr="009E15E8" w:rsidRDefault="00FF4C23" w:rsidP="00011C13">
            <w:pPr>
              <w:jc w:val="center"/>
            </w:pPr>
            <w:r w:rsidRPr="009E15E8">
              <w:t>4.29</w:t>
            </w:r>
          </w:p>
        </w:tc>
        <w:tc>
          <w:tcPr>
            <w:tcW w:w="912" w:type="pct"/>
            <w:tcBorders>
              <w:top w:val="nil"/>
              <w:left w:val="nil"/>
              <w:bottom w:val="nil"/>
              <w:right w:val="nil"/>
            </w:tcBorders>
            <w:shd w:val="clear" w:color="auto" w:fill="auto"/>
            <w:vAlign w:val="center"/>
            <w:hideMark/>
          </w:tcPr>
          <w:p w14:paraId="35313F67" w14:textId="77777777" w:rsidR="00FF4C23" w:rsidRPr="009E15E8" w:rsidRDefault="00FF4C23" w:rsidP="00011C13">
            <w:pPr>
              <w:jc w:val="center"/>
            </w:pPr>
            <w:r w:rsidRPr="009E15E8">
              <w:t>0.663</w:t>
            </w:r>
          </w:p>
        </w:tc>
        <w:tc>
          <w:tcPr>
            <w:tcW w:w="1083" w:type="pct"/>
            <w:tcBorders>
              <w:top w:val="nil"/>
              <w:left w:val="nil"/>
              <w:bottom w:val="nil"/>
              <w:right w:val="nil"/>
            </w:tcBorders>
            <w:shd w:val="clear" w:color="auto" w:fill="auto"/>
            <w:noWrap/>
            <w:vAlign w:val="center"/>
            <w:hideMark/>
          </w:tcPr>
          <w:p w14:paraId="3D5A27D6" w14:textId="77777777" w:rsidR="00FF4C23" w:rsidRPr="009E15E8" w:rsidRDefault="00FF4C23" w:rsidP="00011C13">
            <w:pPr>
              <w:jc w:val="center"/>
            </w:pPr>
            <w:r w:rsidRPr="009E15E8">
              <w:t>Very High</w:t>
            </w:r>
          </w:p>
        </w:tc>
      </w:tr>
      <w:tr w:rsidR="00FF4C23" w:rsidRPr="009E15E8" w14:paraId="145F1B79" w14:textId="77777777" w:rsidTr="00011C13">
        <w:trPr>
          <w:trHeight w:val="271"/>
        </w:trPr>
        <w:tc>
          <w:tcPr>
            <w:tcW w:w="2505" w:type="pct"/>
            <w:tcBorders>
              <w:top w:val="nil"/>
              <w:left w:val="nil"/>
              <w:bottom w:val="nil"/>
              <w:right w:val="nil"/>
            </w:tcBorders>
            <w:shd w:val="clear" w:color="auto" w:fill="auto"/>
            <w:vAlign w:val="center"/>
            <w:hideMark/>
          </w:tcPr>
          <w:p w14:paraId="79519F24" w14:textId="77777777" w:rsidR="00FF4C23" w:rsidRPr="009E15E8" w:rsidRDefault="00FF4C23" w:rsidP="00352318">
            <w:r w:rsidRPr="009E15E8">
              <w:t>Strategies Employed by the teacher</w:t>
            </w:r>
          </w:p>
        </w:tc>
        <w:tc>
          <w:tcPr>
            <w:tcW w:w="499" w:type="pct"/>
            <w:tcBorders>
              <w:top w:val="nil"/>
              <w:left w:val="nil"/>
              <w:bottom w:val="nil"/>
              <w:right w:val="nil"/>
            </w:tcBorders>
            <w:shd w:val="clear" w:color="auto" w:fill="auto"/>
            <w:vAlign w:val="center"/>
            <w:hideMark/>
          </w:tcPr>
          <w:p w14:paraId="4B532CED" w14:textId="77777777" w:rsidR="00FF4C23" w:rsidRPr="009E15E8" w:rsidRDefault="00FF4C23" w:rsidP="00011C13">
            <w:pPr>
              <w:jc w:val="center"/>
            </w:pPr>
            <w:r w:rsidRPr="009E15E8">
              <w:t>4.25</w:t>
            </w:r>
          </w:p>
        </w:tc>
        <w:tc>
          <w:tcPr>
            <w:tcW w:w="912" w:type="pct"/>
            <w:tcBorders>
              <w:top w:val="nil"/>
              <w:left w:val="nil"/>
              <w:bottom w:val="nil"/>
              <w:right w:val="nil"/>
            </w:tcBorders>
            <w:shd w:val="clear" w:color="auto" w:fill="auto"/>
            <w:vAlign w:val="center"/>
            <w:hideMark/>
          </w:tcPr>
          <w:p w14:paraId="50EF5BE2" w14:textId="77777777" w:rsidR="00FF4C23" w:rsidRPr="009E15E8" w:rsidRDefault="00FF4C23" w:rsidP="00011C13">
            <w:pPr>
              <w:jc w:val="center"/>
            </w:pPr>
            <w:r w:rsidRPr="009E15E8">
              <w:t>0.645</w:t>
            </w:r>
          </w:p>
        </w:tc>
        <w:tc>
          <w:tcPr>
            <w:tcW w:w="1083" w:type="pct"/>
            <w:tcBorders>
              <w:top w:val="nil"/>
              <w:left w:val="nil"/>
              <w:bottom w:val="nil"/>
              <w:right w:val="nil"/>
            </w:tcBorders>
            <w:shd w:val="clear" w:color="auto" w:fill="auto"/>
            <w:noWrap/>
            <w:vAlign w:val="center"/>
            <w:hideMark/>
          </w:tcPr>
          <w:p w14:paraId="09A4DA80" w14:textId="77777777" w:rsidR="00FF4C23" w:rsidRPr="009E15E8" w:rsidRDefault="00FF4C23" w:rsidP="00011C13">
            <w:pPr>
              <w:jc w:val="center"/>
            </w:pPr>
            <w:r w:rsidRPr="009E15E8">
              <w:t>Very High</w:t>
            </w:r>
          </w:p>
        </w:tc>
      </w:tr>
      <w:tr w:rsidR="00FF4C23" w:rsidRPr="009E15E8" w14:paraId="61EB2E2B" w14:textId="77777777" w:rsidTr="00011C13">
        <w:trPr>
          <w:trHeight w:val="226"/>
        </w:trPr>
        <w:tc>
          <w:tcPr>
            <w:tcW w:w="2505" w:type="pct"/>
            <w:tcBorders>
              <w:top w:val="nil"/>
              <w:left w:val="nil"/>
              <w:bottom w:val="nil"/>
              <w:right w:val="nil"/>
            </w:tcBorders>
            <w:shd w:val="clear" w:color="auto" w:fill="auto"/>
            <w:vAlign w:val="center"/>
            <w:hideMark/>
          </w:tcPr>
          <w:p w14:paraId="1FADA290" w14:textId="77777777" w:rsidR="00FF4C23" w:rsidRPr="009E15E8" w:rsidRDefault="00FF4C23" w:rsidP="00352318">
            <w:r w:rsidRPr="009E15E8">
              <w:t>Mathematics Anxiety</w:t>
            </w:r>
          </w:p>
        </w:tc>
        <w:tc>
          <w:tcPr>
            <w:tcW w:w="499" w:type="pct"/>
            <w:tcBorders>
              <w:top w:val="nil"/>
              <w:left w:val="nil"/>
              <w:bottom w:val="nil"/>
              <w:right w:val="nil"/>
            </w:tcBorders>
            <w:shd w:val="clear" w:color="auto" w:fill="auto"/>
            <w:vAlign w:val="center"/>
            <w:hideMark/>
          </w:tcPr>
          <w:p w14:paraId="63422B3A" w14:textId="77777777" w:rsidR="00FF4C23" w:rsidRPr="009E15E8" w:rsidRDefault="00FF4C23" w:rsidP="00011C13">
            <w:pPr>
              <w:jc w:val="center"/>
            </w:pPr>
            <w:r w:rsidRPr="009E15E8">
              <w:t>3.62</w:t>
            </w:r>
          </w:p>
        </w:tc>
        <w:tc>
          <w:tcPr>
            <w:tcW w:w="912" w:type="pct"/>
            <w:tcBorders>
              <w:top w:val="nil"/>
              <w:left w:val="nil"/>
              <w:bottom w:val="nil"/>
              <w:right w:val="nil"/>
            </w:tcBorders>
            <w:shd w:val="clear" w:color="auto" w:fill="auto"/>
            <w:vAlign w:val="center"/>
            <w:hideMark/>
          </w:tcPr>
          <w:p w14:paraId="7C8143C2" w14:textId="77777777" w:rsidR="00FF4C23" w:rsidRPr="009E15E8" w:rsidRDefault="00FF4C23" w:rsidP="00011C13">
            <w:pPr>
              <w:jc w:val="center"/>
            </w:pPr>
            <w:r w:rsidRPr="009E15E8">
              <w:t>0.706</w:t>
            </w:r>
          </w:p>
        </w:tc>
        <w:tc>
          <w:tcPr>
            <w:tcW w:w="1083" w:type="pct"/>
            <w:tcBorders>
              <w:top w:val="nil"/>
              <w:left w:val="nil"/>
              <w:bottom w:val="nil"/>
              <w:right w:val="nil"/>
            </w:tcBorders>
            <w:shd w:val="clear" w:color="auto" w:fill="auto"/>
            <w:noWrap/>
            <w:vAlign w:val="center"/>
            <w:hideMark/>
          </w:tcPr>
          <w:p w14:paraId="061154B4" w14:textId="77777777" w:rsidR="00FF4C23" w:rsidRPr="009E15E8" w:rsidRDefault="00FF4C23" w:rsidP="00011C13">
            <w:pPr>
              <w:jc w:val="center"/>
            </w:pPr>
            <w:r w:rsidRPr="009E15E8">
              <w:t>High</w:t>
            </w:r>
          </w:p>
        </w:tc>
      </w:tr>
      <w:tr w:rsidR="00FF4C23" w:rsidRPr="009E15E8" w14:paraId="227DD1E6" w14:textId="77777777" w:rsidTr="00011C13">
        <w:trPr>
          <w:trHeight w:val="291"/>
        </w:trPr>
        <w:tc>
          <w:tcPr>
            <w:tcW w:w="2505" w:type="pct"/>
            <w:tcBorders>
              <w:top w:val="nil"/>
              <w:left w:val="nil"/>
              <w:bottom w:val="nil"/>
              <w:right w:val="nil"/>
            </w:tcBorders>
            <w:shd w:val="clear" w:color="auto" w:fill="auto"/>
            <w:vAlign w:val="center"/>
            <w:hideMark/>
          </w:tcPr>
          <w:p w14:paraId="16570AFB" w14:textId="77777777" w:rsidR="00FF4C23" w:rsidRPr="009E15E8" w:rsidRDefault="00FF4C23" w:rsidP="00352318">
            <w:r w:rsidRPr="009E15E8">
              <w:t>Students' Attitude in Mathematics Class</w:t>
            </w:r>
          </w:p>
        </w:tc>
        <w:tc>
          <w:tcPr>
            <w:tcW w:w="499" w:type="pct"/>
            <w:tcBorders>
              <w:top w:val="nil"/>
              <w:left w:val="nil"/>
              <w:bottom w:val="nil"/>
              <w:right w:val="nil"/>
            </w:tcBorders>
            <w:shd w:val="clear" w:color="auto" w:fill="auto"/>
            <w:vAlign w:val="center"/>
            <w:hideMark/>
          </w:tcPr>
          <w:p w14:paraId="244CED1E" w14:textId="77777777" w:rsidR="00FF4C23" w:rsidRPr="009E15E8" w:rsidRDefault="00FF4C23" w:rsidP="00011C13">
            <w:pPr>
              <w:jc w:val="center"/>
            </w:pPr>
            <w:r w:rsidRPr="009E15E8">
              <w:t>3.18</w:t>
            </w:r>
          </w:p>
        </w:tc>
        <w:tc>
          <w:tcPr>
            <w:tcW w:w="912" w:type="pct"/>
            <w:tcBorders>
              <w:top w:val="nil"/>
              <w:left w:val="nil"/>
              <w:bottom w:val="nil"/>
              <w:right w:val="nil"/>
            </w:tcBorders>
            <w:shd w:val="clear" w:color="auto" w:fill="auto"/>
            <w:vAlign w:val="center"/>
            <w:hideMark/>
          </w:tcPr>
          <w:p w14:paraId="363158A3" w14:textId="77777777" w:rsidR="00FF4C23" w:rsidRPr="009E15E8" w:rsidRDefault="00FF4C23" w:rsidP="00011C13">
            <w:pPr>
              <w:jc w:val="center"/>
            </w:pPr>
            <w:r w:rsidRPr="009E15E8">
              <w:t>0.693</w:t>
            </w:r>
          </w:p>
        </w:tc>
        <w:tc>
          <w:tcPr>
            <w:tcW w:w="1083" w:type="pct"/>
            <w:tcBorders>
              <w:top w:val="nil"/>
              <w:left w:val="nil"/>
              <w:bottom w:val="nil"/>
              <w:right w:val="nil"/>
            </w:tcBorders>
            <w:shd w:val="clear" w:color="auto" w:fill="auto"/>
            <w:noWrap/>
            <w:vAlign w:val="center"/>
            <w:hideMark/>
          </w:tcPr>
          <w:p w14:paraId="1E223CA9" w14:textId="77777777" w:rsidR="00FF4C23" w:rsidRPr="009E15E8" w:rsidRDefault="00FF4C23" w:rsidP="00011C13">
            <w:pPr>
              <w:jc w:val="center"/>
            </w:pPr>
            <w:r w:rsidRPr="009E15E8">
              <w:t>Moderate</w:t>
            </w:r>
          </w:p>
        </w:tc>
      </w:tr>
      <w:tr w:rsidR="00FF4C23" w:rsidRPr="009E15E8" w14:paraId="78148BAB" w14:textId="77777777" w:rsidTr="00011C13">
        <w:trPr>
          <w:trHeight w:val="258"/>
        </w:trPr>
        <w:tc>
          <w:tcPr>
            <w:tcW w:w="2505" w:type="pct"/>
            <w:tcBorders>
              <w:top w:val="nil"/>
              <w:left w:val="nil"/>
              <w:bottom w:val="nil"/>
              <w:right w:val="nil"/>
            </w:tcBorders>
            <w:shd w:val="clear" w:color="auto" w:fill="auto"/>
            <w:vAlign w:val="center"/>
            <w:hideMark/>
          </w:tcPr>
          <w:p w14:paraId="4FEA285D" w14:textId="77777777" w:rsidR="00FF4C23" w:rsidRPr="009E15E8" w:rsidRDefault="00FF4C23" w:rsidP="00352318">
            <w:r w:rsidRPr="009E15E8">
              <w:t>Classroom Condition</w:t>
            </w:r>
          </w:p>
        </w:tc>
        <w:tc>
          <w:tcPr>
            <w:tcW w:w="499" w:type="pct"/>
            <w:tcBorders>
              <w:top w:val="nil"/>
              <w:left w:val="nil"/>
              <w:bottom w:val="nil"/>
              <w:right w:val="nil"/>
            </w:tcBorders>
            <w:shd w:val="clear" w:color="auto" w:fill="auto"/>
            <w:vAlign w:val="center"/>
            <w:hideMark/>
          </w:tcPr>
          <w:p w14:paraId="651B6062" w14:textId="77777777" w:rsidR="00FF4C23" w:rsidRPr="009E15E8" w:rsidRDefault="00FF4C23" w:rsidP="00011C13">
            <w:pPr>
              <w:jc w:val="center"/>
            </w:pPr>
            <w:r w:rsidRPr="009E15E8">
              <w:t>3.61</w:t>
            </w:r>
          </w:p>
        </w:tc>
        <w:tc>
          <w:tcPr>
            <w:tcW w:w="912" w:type="pct"/>
            <w:tcBorders>
              <w:top w:val="nil"/>
              <w:left w:val="nil"/>
              <w:bottom w:val="nil"/>
              <w:right w:val="nil"/>
            </w:tcBorders>
            <w:shd w:val="clear" w:color="auto" w:fill="auto"/>
            <w:vAlign w:val="center"/>
            <w:hideMark/>
          </w:tcPr>
          <w:p w14:paraId="664D7F51" w14:textId="77777777" w:rsidR="00FF4C23" w:rsidRPr="009E15E8" w:rsidRDefault="00FF4C23" w:rsidP="00011C13">
            <w:pPr>
              <w:jc w:val="center"/>
            </w:pPr>
            <w:r w:rsidRPr="009E15E8">
              <w:t>0.688</w:t>
            </w:r>
          </w:p>
        </w:tc>
        <w:tc>
          <w:tcPr>
            <w:tcW w:w="1083" w:type="pct"/>
            <w:tcBorders>
              <w:top w:val="nil"/>
              <w:left w:val="nil"/>
              <w:bottom w:val="nil"/>
              <w:right w:val="nil"/>
            </w:tcBorders>
            <w:shd w:val="clear" w:color="auto" w:fill="auto"/>
            <w:noWrap/>
            <w:vAlign w:val="center"/>
            <w:hideMark/>
          </w:tcPr>
          <w:p w14:paraId="461A3FF6" w14:textId="77777777" w:rsidR="00FF4C23" w:rsidRPr="009E15E8" w:rsidRDefault="00FF4C23" w:rsidP="00011C13">
            <w:pPr>
              <w:jc w:val="center"/>
            </w:pPr>
            <w:r w:rsidRPr="009E15E8">
              <w:t>High</w:t>
            </w:r>
          </w:p>
        </w:tc>
      </w:tr>
      <w:tr w:rsidR="00FF4C23" w:rsidRPr="009E15E8" w14:paraId="1134F03A" w14:textId="77777777" w:rsidTr="00011C13">
        <w:trPr>
          <w:trHeight w:val="389"/>
        </w:trPr>
        <w:tc>
          <w:tcPr>
            <w:tcW w:w="2505" w:type="pct"/>
            <w:tcBorders>
              <w:top w:val="nil"/>
              <w:left w:val="nil"/>
              <w:bottom w:val="single" w:sz="4" w:space="0" w:color="auto"/>
              <w:right w:val="nil"/>
            </w:tcBorders>
            <w:shd w:val="clear" w:color="auto" w:fill="auto"/>
            <w:vAlign w:val="center"/>
            <w:hideMark/>
          </w:tcPr>
          <w:p w14:paraId="473F0E04" w14:textId="77777777" w:rsidR="00FF4C23" w:rsidRPr="00011C13" w:rsidRDefault="00FF4C23" w:rsidP="00011C13">
            <w:pPr>
              <w:jc w:val="right"/>
              <w:rPr>
                <w:b/>
                <w:i/>
              </w:rPr>
            </w:pPr>
            <w:r w:rsidRPr="00011C13">
              <w:rPr>
                <w:b/>
                <w:i/>
              </w:rPr>
              <w:t>Overall Math Interest</w:t>
            </w:r>
          </w:p>
        </w:tc>
        <w:tc>
          <w:tcPr>
            <w:tcW w:w="499" w:type="pct"/>
            <w:tcBorders>
              <w:top w:val="nil"/>
              <w:left w:val="nil"/>
              <w:bottom w:val="single" w:sz="4" w:space="0" w:color="auto"/>
              <w:right w:val="nil"/>
            </w:tcBorders>
            <w:shd w:val="clear" w:color="auto" w:fill="auto"/>
            <w:vAlign w:val="center"/>
            <w:hideMark/>
          </w:tcPr>
          <w:p w14:paraId="590982B2" w14:textId="77777777" w:rsidR="00FF4C23" w:rsidRPr="00011C13" w:rsidRDefault="00FF4C23" w:rsidP="00011C13">
            <w:pPr>
              <w:jc w:val="center"/>
              <w:rPr>
                <w:b/>
              </w:rPr>
            </w:pPr>
            <w:r w:rsidRPr="00011C13">
              <w:rPr>
                <w:b/>
              </w:rPr>
              <w:t>3.79</w:t>
            </w:r>
          </w:p>
        </w:tc>
        <w:tc>
          <w:tcPr>
            <w:tcW w:w="912" w:type="pct"/>
            <w:tcBorders>
              <w:top w:val="nil"/>
              <w:left w:val="nil"/>
              <w:bottom w:val="single" w:sz="4" w:space="0" w:color="auto"/>
              <w:right w:val="nil"/>
            </w:tcBorders>
            <w:shd w:val="clear" w:color="auto" w:fill="auto"/>
            <w:vAlign w:val="center"/>
            <w:hideMark/>
          </w:tcPr>
          <w:p w14:paraId="5CE7DF4C" w14:textId="77777777" w:rsidR="00FF4C23" w:rsidRPr="00011C13" w:rsidRDefault="00FF4C23" w:rsidP="00011C13">
            <w:pPr>
              <w:jc w:val="center"/>
              <w:rPr>
                <w:b/>
              </w:rPr>
            </w:pPr>
            <w:r w:rsidRPr="00011C13">
              <w:rPr>
                <w:b/>
              </w:rPr>
              <w:t>0.46</w:t>
            </w:r>
          </w:p>
        </w:tc>
        <w:tc>
          <w:tcPr>
            <w:tcW w:w="1083" w:type="pct"/>
            <w:tcBorders>
              <w:top w:val="nil"/>
              <w:left w:val="nil"/>
              <w:bottom w:val="single" w:sz="4" w:space="0" w:color="auto"/>
              <w:right w:val="nil"/>
            </w:tcBorders>
            <w:shd w:val="clear" w:color="auto" w:fill="auto"/>
            <w:noWrap/>
            <w:vAlign w:val="center"/>
            <w:hideMark/>
          </w:tcPr>
          <w:p w14:paraId="466E5162" w14:textId="77777777" w:rsidR="00FF4C23" w:rsidRPr="00011C13" w:rsidRDefault="00FF4C23" w:rsidP="00011C13">
            <w:pPr>
              <w:jc w:val="center"/>
              <w:rPr>
                <w:b/>
              </w:rPr>
            </w:pPr>
            <w:r w:rsidRPr="00011C13">
              <w:rPr>
                <w:b/>
              </w:rPr>
              <w:t>High</w:t>
            </w:r>
          </w:p>
        </w:tc>
      </w:tr>
    </w:tbl>
    <w:p w14:paraId="12376030" w14:textId="77777777" w:rsidR="00FF4C23" w:rsidRPr="00FF4C23" w:rsidRDefault="00FF4C23" w:rsidP="00011C13">
      <w:pPr>
        <w:ind w:firstLine="720"/>
        <w:rPr>
          <w:lang w:val="en-PH"/>
        </w:rPr>
      </w:pPr>
      <w:r w:rsidRPr="00FF4C23">
        <w:rPr>
          <w:lang w:val="en-PH"/>
        </w:rPr>
        <w:t>Overall, table 4 showed that math interest was high (M = 3.79, SD = 0.460). Qualities of the Teacher (M = 4.29) and Strategies Employed (M = 4.25) were rated very high, showing their strong influence. Mathematics Anxiety (M = 3.62) and Classroom Condition (M = 3.61) were high, while Students Attitude (M =3.18) was only moderate. These results highlight the crucial role of the teacher and suggest the need for efforts to improve student attitudes and reduce anxiety.</w:t>
      </w:r>
    </w:p>
    <w:p w14:paraId="7171C61C" w14:textId="77777777" w:rsidR="00FF4C23" w:rsidRPr="00FF4C23" w:rsidRDefault="00FF4C23" w:rsidP="00352318">
      <w:pPr>
        <w:rPr>
          <w:lang w:val="en-PH"/>
        </w:rPr>
      </w:pPr>
      <w:r w:rsidRPr="00FF4C23">
        <w:rPr>
          <w:lang w:val="en-PH"/>
        </w:rPr>
        <w:t>Interest in mathematics is a crucial predictor of student engagement and long-term success. The report highlights that student expressed a high level of interest in math, primarily when teachers employed creative strategies and maintained positive classroom interactions. Reinforcing this, an Australian Council for Educational Research (ACER) (2024) study found that student success in mathematics is often tied to curiosity and perseverance. This means that students who are encouraged to ask questions, explore multiple solutions, and learn from mistakes tend to develop a lasting interest in the subject. Teachers play a pivotal role in this by designing lessons that connect math to real-world contexts.</w:t>
      </w:r>
    </w:p>
    <w:p w14:paraId="79ED5806" w14:textId="25EBD399" w:rsidR="0071186D" w:rsidRDefault="0071186D" w:rsidP="00352318"/>
    <w:p w14:paraId="776E7B4D" w14:textId="523A751E" w:rsidR="00FF4C23" w:rsidRDefault="00721BCF" w:rsidP="00352318">
      <w:r>
        <w:t>Table 4. Correlation between Measures</w:t>
      </w:r>
    </w:p>
    <w:tbl>
      <w:tblPr>
        <w:tblW w:w="9383" w:type="dxa"/>
        <w:tblLook w:val="04A0" w:firstRow="1" w:lastRow="0" w:firstColumn="1" w:lastColumn="0" w:noHBand="0" w:noVBand="1"/>
      </w:tblPr>
      <w:tblGrid>
        <w:gridCol w:w="4257"/>
        <w:gridCol w:w="2132"/>
        <w:gridCol w:w="2994"/>
      </w:tblGrid>
      <w:tr w:rsidR="00721BCF" w14:paraId="6EE7929F" w14:textId="77777777" w:rsidTr="00721BCF">
        <w:trPr>
          <w:trHeight w:val="497"/>
        </w:trPr>
        <w:tc>
          <w:tcPr>
            <w:tcW w:w="4257" w:type="dxa"/>
            <w:tcBorders>
              <w:top w:val="single" w:sz="4" w:space="0" w:color="auto"/>
              <w:left w:val="nil"/>
              <w:bottom w:val="single" w:sz="4" w:space="0" w:color="auto"/>
              <w:right w:val="nil"/>
            </w:tcBorders>
            <w:noWrap/>
            <w:vAlign w:val="bottom"/>
            <w:hideMark/>
          </w:tcPr>
          <w:p w14:paraId="565496ED" w14:textId="77777777" w:rsidR="00721BCF" w:rsidRDefault="00721BCF">
            <w:pPr>
              <w:rPr>
                <w:rFonts w:ascii="Calibri" w:eastAsia="Times New Roman" w:hAnsi="Calibri" w:cs="Calibri"/>
                <w:color w:val="000000"/>
                <w:sz w:val="22"/>
                <w:szCs w:val="22"/>
              </w:rPr>
            </w:pPr>
            <w:r>
              <w:rPr>
                <w:rFonts w:ascii="Calibri" w:eastAsia="Times New Roman" w:hAnsi="Calibri" w:cs="Calibri"/>
                <w:color w:val="000000"/>
              </w:rPr>
              <w:lastRenderedPageBreak/>
              <w:t> </w:t>
            </w:r>
          </w:p>
        </w:tc>
        <w:tc>
          <w:tcPr>
            <w:tcW w:w="2132" w:type="dxa"/>
            <w:tcBorders>
              <w:top w:val="single" w:sz="4" w:space="0" w:color="auto"/>
              <w:left w:val="nil"/>
              <w:bottom w:val="single" w:sz="4" w:space="0" w:color="auto"/>
              <w:right w:val="nil"/>
            </w:tcBorders>
            <w:noWrap/>
            <w:vAlign w:val="bottom"/>
            <w:hideMark/>
          </w:tcPr>
          <w:p w14:paraId="062EF724" w14:textId="77777777" w:rsidR="00721BCF" w:rsidRDefault="00721BCF">
            <w:pPr>
              <w:rPr>
                <w:rFonts w:ascii="Calibri" w:eastAsia="Times New Roman" w:hAnsi="Calibri" w:cs="Calibri"/>
                <w:color w:val="000000"/>
              </w:rPr>
            </w:pPr>
            <w:r>
              <w:rPr>
                <w:rFonts w:ascii="Calibri" w:eastAsia="Times New Roman" w:hAnsi="Calibri" w:cs="Calibri"/>
                <w:color w:val="000000"/>
              </w:rPr>
              <w:t> </w:t>
            </w:r>
          </w:p>
        </w:tc>
        <w:tc>
          <w:tcPr>
            <w:tcW w:w="2994" w:type="dxa"/>
            <w:tcBorders>
              <w:top w:val="single" w:sz="4" w:space="0" w:color="auto"/>
              <w:left w:val="nil"/>
              <w:bottom w:val="single" w:sz="4" w:space="0" w:color="auto"/>
              <w:right w:val="nil"/>
            </w:tcBorders>
            <w:vAlign w:val="center"/>
            <w:hideMark/>
          </w:tcPr>
          <w:p w14:paraId="52CBC8EA" w14:textId="77777777" w:rsidR="00721BCF" w:rsidRDefault="00721BCF">
            <w:pPr>
              <w:jc w:val="center"/>
              <w:rPr>
                <w:rFonts w:ascii="Arial" w:eastAsia="Times New Roman" w:hAnsi="Arial" w:cs="Arial"/>
                <w:b/>
                <w:color w:val="000000"/>
                <w:sz w:val="18"/>
                <w:szCs w:val="18"/>
              </w:rPr>
            </w:pPr>
            <w:r>
              <w:rPr>
                <w:rFonts w:ascii="Arial" w:eastAsia="Times New Roman" w:hAnsi="Arial" w:cs="Arial"/>
                <w:b/>
                <w:color w:val="000000"/>
                <w:sz w:val="18"/>
                <w:szCs w:val="18"/>
              </w:rPr>
              <w:t>Students’ Math Interest</w:t>
            </w:r>
          </w:p>
        </w:tc>
      </w:tr>
      <w:tr w:rsidR="00721BCF" w14:paraId="517C64A4" w14:textId="77777777" w:rsidTr="00721BCF">
        <w:trPr>
          <w:trHeight w:val="206"/>
        </w:trPr>
        <w:tc>
          <w:tcPr>
            <w:tcW w:w="4257" w:type="dxa"/>
            <w:vMerge w:val="restart"/>
            <w:vAlign w:val="center"/>
            <w:hideMark/>
          </w:tcPr>
          <w:p w14:paraId="44F0C0E4"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Teachers’ Pedagogical Content Knowledge</w:t>
            </w:r>
          </w:p>
        </w:tc>
        <w:tc>
          <w:tcPr>
            <w:tcW w:w="2132" w:type="dxa"/>
            <w:vAlign w:val="center"/>
            <w:hideMark/>
          </w:tcPr>
          <w:p w14:paraId="6324D0A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1665911B"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0.514</w:t>
            </w:r>
          </w:p>
        </w:tc>
      </w:tr>
      <w:tr w:rsidR="00721BCF" w14:paraId="180445CF" w14:textId="77777777" w:rsidTr="00721BCF">
        <w:trPr>
          <w:trHeight w:val="206"/>
        </w:trPr>
        <w:tc>
          <w:tcPr>
            <w:tcW w:w="0" w:type="auto"/>
            <w:vMerge/>
            <w:vAlign w:val="center"/>
            <w:hideMark/>
          </w:tcPr>
          <w:p w14:paraId="2C2DCB62" w14:textId="77777777" w:rsidR="00721BCF" w:rsidRDefault="00721BCF">
            <w:pPr>
              <w:rPr>
                <w:rFonts w:ascii="Arial" w:eastAsia="Times New Roman" w:hAnsi="Arial" w:cs="Arial"/>
                <w:color w:val="000000"/>
                <w:sz w:val="18"/>
                <w:szCs w:val="18"/>
              </w:rPr>
            </w:pPr>
          </w:p>
        </w:tc>
        <w:tc>
          <w:tcPr>
            <w:tcW w:w="2132" w:type="dxa"/>
            <w:vAlign w:val="center"/>
            <w:hideMark/>
          </w:tcPr>
          <w:p w14:paraId="73E04657"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vAlign w:val="center"/>
            <w:hideMark/>
          </w:tcPr>
          <w:p w14:paraId="7DF76C57"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&lt; .001</w:t>
            </w:r>
          </w:p>
        </w:tc>
      </w:tr>
      <w:tr w:rsidR="00721BCF" w14:paraId="0099A5B8" w14:textId="77777777" w:rsidTr="00721BCF">
        <w:trPr>
          <w:trHeight w:val="206"/>
        </w:trPr>
        <w:tc>
          <w:tcPr>
            <w:tcW w:w="4257" w:type="dxa"/>
            <w:vMerge w:val="restart"/>
            <w:tcBorders>
              <w:top w:val="nil"/>
              <w:left w:val="nil"/>
              <w:bottom w:val="single" w:sz="4" w:space="0" w:color="000000"/>
              <w:right w:val="nil"/>
            </w:tcBorders>
            <w:vAlign w:val="center"/>
            <w:hideMark/>
          </w:tcPr>
          <w:p w14:paraId="76F6E7F1" w14:textId="77777777" w:rsidR="00721BCF" w:rsidRDefault="00721BCF">
            <w:pPr>
              <w:rPr>
                <w:rFonts w:ascii="Arial" w:eastAsia="Times New Roman" w:hAnsi="Arial" w:cs="Arial"/>
                <w:color w:val="000000"/>
                <w:sz w:val="18"/>
                <w:szCs w:val="18"/>
              </w:rPr>
            </w:pPr>
            <w:r>
              <w:rPr>
                <w:rFonts w:ascii="Arial" w:eastAsia="Times New Roman" w:hAnsi="Arial" w:cs="Arial"/>
                <w:color w:val="000000"/>
                <w:sz w:val="18"/>
                <w:szCs w:val="18"/>
              </w:rPr>
              <w:t>Students’ Math Self-Concept</w:t>
            </w:r>
          </w:p>
        </w:tc>
        <w:tc>
          <w:tcPr>
            <w:tcW w:w="2132" w:type="dxa"/>
            <w:vAlign w:val="center"/>
            <w:hideMark/>
          </w:tcPr>
          <w:p w14:paraId="792D0F45"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Pearson's r</w:t>
            </w:r>
          </w:p>
        </w:tc>
        <w:tc>
          <w:tcPr>
            <w:tcW w:w="2994" w:type="dxa"/>
            <w:vAlign w:val="center"/>
            <w:hideMark/>
          </w:tcPr>
          <w:p w14:paraId="50AFBAAF" w14:textId="77DE8136"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E236F0">
              <w:rPr>
                <w:rFonts w:ascii="Arial" w:eastAsia="Times New Roman" w:hAnsi="Arial" w:cs="Arial"/>
                <w:color w:val="000000"/>
                <w:sz w:val="18"/>
                <w:szCs w:val="18"/>
              </w:rPr>
              <w:t>4</w:t>
            </w:r>
            <w:r>
              <w:rPr>
                <w:rFonts w:ascii="Arial" w:eastAsia="Times New Roman" w:hAnsi="Arial" w:cs="Arial"/>
                <w:color w:val="000000"/>
                <w:sz w:val="18"/>
                <w:szCs w:val="18"/>
              </w:rPr>
              <w:t>36</w:t>
            </w:r>
          </w:p>
        </w:tc>
      </w:tr>
      <w:tr w:rsidR="00721BCF" w14:paraId="5DCE99E6" w14:textId="77777777" w:rsidTr="00721BCF">
        <w:trPr>
          <w:trHeight w:val="206"/>
        </w:trPr>
        <w:tc>
          <w:tcPr>
            <w:tcW w:w="0" w:type="auto"/>
            <w:vMerge/>
            <w:tcBorders>
              <w:top w:val="nil"/>
              <w:left w:val="nil"/>
              <w:bottom w:val="single" w:sz="4" w:space="0" w:color="000000"/>
              <w:right w:val="nil"/>
            </w:tcBorders>
            <w:vAlign w:val="center"/>
            <w:hideMark/>
          </w:tcPr>
          <w:p w14:paraId="217724AA" w14:textId="77777777" w:rsidR="00721BCF" w:rsidRDefault="00721BCF">
            <w:pPr>
              <w:rPr>
                <w:rFonts w:ascii="Arial" w:eastAsia="Times New Roman" w:hAnsi="Arial" w:cs="Arial"/>
                <w:color w:val="000000"/>
                <w:sz w:val="18"/>
                <w:szCs w:val="18"/>
              </w:rPr>
            </w:pPr>
          </w:p>
        </w:tc>
        <w:tc>
          <w:tcPr>
            <w:tcW w:w="2132" w:type="dxa"/>
            <w:tcBorders>
              <w:top w:val="nil"/>
              <w:left w:val="nil"/>
              <w:bottom w:val="single" w:sz="4" w:space="0" w:color="auto"/>
              <w:right w:val="nil"/>
            </w:tcBorders>
            <w:vAlign w:val="center"/>
            <w:hideMark/>
          </w:tcPr>
          <w:p w14:paraId="72C656A9" w14:textId="77777777" w:rsidR="00721BCF" w:rsidRDefault="00721BCF" w:rsidP="00721BCF">
            <w:pPr>
              <w:ind w:left="315"/>
              <w:jc w:val="left"/>
              <w:rPr>
                <w:rFonts w:ascii="Arial" w:eastAsia="Times New Roman" w:hAnsi="Arial" w:cs="Arial"/>
                <w:color w:val="000000"/>
                <w:sz w:val="18"/>
                <w:szCs w:val="18"/>
              </w:rPr>
            </w:pPr>
            <w:r>
              <w:rPr>
                <w:rFonts w:ascii="Arial" w:eastAsia="Times New Roman" w:hAnsi="Arial" w:cs="Arial"/>
                <w:color w:val="000000"/>
                <w:sz w:val="18"/>
                <w:szCs w:val="18"/>
              </w:rPr>
              <w:t>p-value</w:t>
            </w:r>
          </w:p>
        </w:tc>
        <w:tc>
          <w:tcPr>
            <w:tcW w:w="2994" w:type="dxa"/>
            <w:tcBorders>
              <w:top w:val="nil"/>
              <w:left w:val="nil"/>
              <w:bottom w:val="single" w:sz="4" w:space="0" w:color="auto"/>
              <w:right w:val="nil"/>
            </w:tcBorders>
            <w:vAlign w:val="center"/>
            <w:hideMark/>
          </w:tcPr>
          <w:p w14:paraId="3DF792FC" w14:textId="77777777" w:rsidR="00721BCF" w:rsidRDefault="00721BCF">
            <w:pPr>
              <w:ind w:firstLineChars="100" w:firstLine="180"/>
              <w:jc w:val="center"/>
              <w:rPr>
                <w:rFonts w:ascii="Arial" w:eastAsia="Times New Roman" w:hAnsi="Arial" w:cs="Arial"/>
                <w:color w:val="000000"/>
                <w:sz w:val="18"/>
                <w:szCs w:val="18"/>
              </w:rPr>
            </w:pPr>
            <w:r>
              <w:rPr>
                <w:rFonts w:ascii="Arial" w:eastAsia="Times New Roman" w:hAnsi="Arial" w:cs="Arial"/>
                <w:color w:val="000000"/>
                <w:sz w:val="18"/>
                <w:szCs w:val="18"/>
              </w:rPr>
              <w:t>0.006</w:t>
            </w:r>
          </w:p>
        </w:tc>
      </w:tr>
    </w:tbl>
    <w:p w14:paraId="5C56B319" w14:textId="77777777" w:rsidR="00E236F0" w:rsidRDefault="00E236F0" w:rsidP="00E236F0">
      <w:pPr>
        <w:ind w:firstLine="720"/>
      </w:pPr>
      <w:r>
        <w:t>The data in Table 4 show two statistically significant positive correlations involving students' mathematics interest. First, there is a moderate positive correlation between teachers’ Pedagogical Content Knowledge (PCK) and students’ math interest (r = 0.514, p &lt; .001), indicating that as teachers demonstrate higher levels of PCK, students are more likely to develop interest in mathematics. Second, a moderate positive correlation is also observed between students’ math self-concept and their interest in mathematics (r = 0.436, p = .006). This suggests that students who have a more positive perception of their mathematical abilities also tend to show greater interest in the subject. Both relationships are statistically significant, implying meaningful associations between teacher and student variables in the learning process.</w:t>
      </w:r>
    </w:p>
    <w:p w14:paraId="7A146375" w14:textId="77777777" w:rsidR="00E236F0" w:rsidRDefault="00E236F0" w:rsidP="00E236F0">
      <w:pPr>
        <w:ind w:firstLine="720"/>
      </w:pPr>
      <w:r>
        <w:t>These findings are supported by recent literature. According to Liu and Wang (2022), when teachers demonstrate strong pedagogical content knowledge, they can present mathematical concepts in more engaging and accessible ways, which in turn fosters students’ interest. In parallel, Reyes et al. (2023) found that students with higher self-concept in math were significantly more likely to report enjoyment and motivation toward mathematics, suggesting that self-belief is a key affective driver of interest. Furthermore, a study by Ibrahim and Mohan (2021) showed that both teacher quality and students’ self-concept serve as significant predictors of student engagement, underscoring the complementary influence of instructional quality and internal learner factors.</w:t>
      </w:r>
    </w:p>
    <w:p w14:paraId="33ED3AC0" w14:textId="74C9E3C9" w:rsidR="00FF4C23" w:rsidRDefault="00E236F0" w:rsidP="00E236F0">
      <w:pPr>
        <w:ind w:firstLine="720"/>
      </w:pPr>
      <w:r>
        <w:t>The implications of these findings highlight the dual importance of enhancing teacher competencies and supporting student self-perceptions. First, professional development programs for mathematics teachers should focus on strengthening PCK to help stimulate students’ interest through more relevant, contextualized, and effective instruction. Second, classroom strategies should aim to nurture students' math self-concept through formative feedback, differentiated support, and activities that build confidence and competence. By addressing both instructional quality and student psychology, educational stakeholders can promote sustained interest and improved outcomes in mathematics learning.</w:t>
      </w:r>
    </w:p>
    <w:p w14:paraId="00347CE6" w14:textId="78A8462A" w:rsidR="00E236F0" w:rsidRDefault="00E236F0" w:rsidP="00E236F0"/>
    <w:p w14:paraId="6A98A574" w14:textId="237728CB" w:rsidR="00E236F0" w:rsidRDefault="00E236F0" w:rsidP="00E236F0">
      <w:r>
        <w:t xml:space="preserve">Table 5. </w:t>
      </w:r>
      <w:r w:rsidRPr="00E236F0">
        <w:t xml:space="preserve">Influence of </w:t>
      </w:r>
      <w:r>
        <w:t xml:space="preserve">Teachers’ </w:t>
      </w:r>
      <w:r w:rsidRPr="00E236F0">
        <w:t>Pedagogical Content Knowledge</w:t>
      </w:r>
      <w:r>
        <w:t xml:space="preserve"> and Students’ Math Self-Concept</w:t>
      </w:r>
      <w:r w:rsidRPr="00E236F0">
        <w:t xml:space="preserve"> towards </w:t>
      </w:r>
      <w:r>
        <w:t>Students’ Math Self Interest</w:t>
      </w:r>
    </w:p>
    <w:tbl>
      <w:tblPr>
        <w:tblW w:w="9370" w:type="dxa"/>
        <w:tblInd w:w="-10" w:type="dxa"/>
        <w:tblLayout w:type="fixed"/>
        <w:tblLook w:val="04A0" w:firstRow="1" w:lastRow="0" w:firstColumn="1" w:lastColumn="0" w:noHBand="0" w:noVBand="1"/>
      </w:tblPr>
      <w:tblGrid>
        <w:gridCol w:w="3250"/>
        <w:gridCol w:w="990"/>
        <w:gridCol w:w="1260"/>
        <w:gridCol w:w="985"/>
        <w:gridCol w:w="899"/>
        <w:gridCol w:w="1986"/>
      </w:tblGrid>
      <w:tr w:rsidR="00E236F0" w:rsidRPr="00577AA2" w14:paraId="1ADD77CC" w14:textId="77777777" w:rsidTr="00E236F0">
        <w:trPr>
          <w:trHeight w:val="298"/>
        </w:trPr>
        <w:tc>
          <w:tcPr>
            <w:tcW w:w="3250" w:type="dxa"/>
            <w:vMerge w:val="restart"/>
            <w:tcBorders>
              <w:top w:val="single" w:sz="4" w:space="0" w:color="auto"/>
              <w:left w:val="nil"/>
              <w:bottom w:val="single" w:sz="4" w:space="0" w:color="auto"/>
              <w:right w:val="nil"/>
            </w:tcBorders>
            <w:hideMark/>
          </w:tcPr>
          <w:p w14:paraId="06CF8C72"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Model</w:t>
            </w:r>
          </w:p>
        </w:tc>
        <w:tc>
          <w:tcPr>
            <w:tcW w:w="2250" w:type="dxa"/>
            <w:gridSpan w:val="2"/>
            <w:tcBorders>
              <w:top w:val="single" w:sz="4" w:space="0" w:color="auto"/>
              <w:left w:val="nil"/>
              <w:bottom w:val="single" w:sz="4" w:space="0" w:color="auto"/>
              <w:right w:val="nil"/>
            </w:tcBorders>
            <w:hideMark/>
          </w:tcPr>
          <w:p w14:paraId="67AE3440" w14:textId="38F97404"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Unstandardized Coefficients</w:t>
            </w:r>
          </w:p>
        </w:tc>
        <w:tc>
          <w:tcPr>
            <w:tcW w:w="985" w:type="dxa"/>
            <w:vMerge w:val="restart"/>
            <w:tcBorders>
              <w:top w:val="single" w:sz="4" w:space="0" w:color="auto"/>
              <w:left w:val="nil"/>
              <w:bottom w:val="single" w:sz="4" w:space="0" w:color="auto"/>
              <w:right w:val="nil"/>
            </w:tcBorders>
            <w:noWrap/>
            <w:vAlign w:val="center"/>
            <w:hideMark/>
          </w:tcPr>
          <w:p w14:paraId="21175910" w14:textId="77777777" w:rsidR="00E236F0" w:rsidRPr="00577AA2" w:rsidRDefault="00E236F0">
            <w:pPr>
              <w:spacing w:line="256" w:lineRule="auto"/>
              <w:jc w:val="center"/>
              <w:rPr>
                <w:rFonts w:eastAsia="Times New Roman"/>
                <w:b/>
                <w:bCs/>
                <w:i/>
                <w:iCs/>
                <w:sz w:val="22"/>
                <w:lang w:val="en-PH"/>
              </w:rPr>
            </w:pPr>
            <w:r w:rsidRPr="00577AA2">
              <w:rPr>
                <w:rFonts w:eastAsia="Times New Roman"/>
                <w:b/>
                <w:bCs/>
                <w:i/>
                <w:iCs/>
                <w:sz w:val="22"/>
                <w:lang w:val="en-PH"/>
              </w:rPr>
              <w:t>t</w:t>
            </w:r>
          </w:p>
        </w:tc>
        <w:tc>
          <w:tcPr>
            <w:tcW w:w="899" w:type="dxa"/>
            <w:vMerge w:val="restart"/>
            <w:tcBorders>
              <w:top w:val="single" w:sz="4" w:space="0" w:color="auto"/>
              <w:left w:val="nil"/>
              <w:bottom w:val="single" w:sz="4" w:space="0" w:color="auto"/>
              <w:right w:val="nil"/>
            </w:tcBorders>
            <w:noWrap/>
            <w:hideMark/>
          </w:tcPr>
          <w:p w14:paraId="17C07E2D"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p-value</w:t>
            </w:r>
          </w:p>
        </w:tc>
        <w:tc>
          <w:tcPr>
            <w:tcW w:w="1986" w:type="dxa"/>
            <w:vMerge w:val="restart"/>
            <w:tcBorders>
              <w:top w:val="single" w:sz="4" w:space="0" w:color="auto"/>
              <w:left w:val="nil"/>
              <w:bottom w:val="single" w:sz="4" w:space="0" w:color="auto"/>
              <w:right w:val="nil"/>
            </w:tcBorders>
            <w:hideMark/>
          </w:tcPr>
          <w:p w14:paraId="4EB54323"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Decision on H</w:t>
            </w:r>
            <w:r w:rsidRPr="00577AA2">
              <w:rPr>
                <w:rFonts w:eastAsia="Times New Roman"/>
                <w:b/>
                <w:bCs/>
                <w:sz w:val="22"/>
                <w:vertAlign w:val="subscript"/>
                <w:lang w:val="en-PH"/>
              </w:rPr>
              <w:t>o</w:t>
            </w:r>
          </w:p>
        </w:tc>
      </w:tr>
      <w:tr w:rsidR="00E236F0" w:rsidRPr="00577AA2" w14:paraId="1BB67A7E" w14:textId="77777777" w:rsidTr="00E236F0">
        <w:trPr>
          <w:trHeight w:val="62"/>
        </w:trPr>
        <w:tc>
          <w:tcPr>
            <w:tcW w:w="3250" w:type="dxa"/>
            <w:vMerge/>
            <w:tcBorders>
              <w:top w:val="single" w:sz="4" w:space="0" w:color="auto"/>
              <w:left w:val="nil"/>
              <w:bottom w:val="single" w:sz="4" w:space="0" w:color="auto"/>
              <w:right w:val="nil"/>
            </w:tcBorders>
            <w:vAlign w:val="center"/>
            <w:hideMark/>
          </w:tcPr>
          <w:p w14:paraId="3D499E08" w14:textId="77777777" w:rsidR="00E236F0" w:rsidRPr="00577AA2" w:rsidRDefault="00E236F0">
            <w:pPr>
              <w:spacing w:line="256" w:lineRule="auto"/>
              <w:jc w:val="left"/>
              <w:rPr>
                <w:rFonts w:eastAsia="Times New Roman"/>
                <w:b/>
                <w:bCs/>
                <w:sz w:val="22"/>
                <w:lang w:val="en-PH"/>
              </w:rPr>
            </w:pPr>
          </w:p>
        </w:tc>
        <w:tc>
          <w:tcPr>
            <w:tcW w:w="990" w:type="dxa"/>
            <w:tcBorders>
              <w:top w:val="single" w:sz="4" w:space="0" w:color="auto"/>
              <w:left w:val="nil"/>
              <w:bottom w:val="single" w:sz="4" w:space="0" w:color="auto"/>
              <w:right w:val="nil"/>
            </w:tcBorders>
            <w:noWrap/>
            <w:hideMark/>
          </w:tcPr>
          <w:p w14:paraId="4C407957" w14:textId="77777777"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B</w:t>
            </w:r>
          </w:p>
        </w:tc>
        <w:tc>
          <w:tcPr>
            <w:tcW w:w="1260" w:type="dxa"/>
            <w:tcBorders>
              <w:top w:val="single" w:sz="4" w:space="0" w:color="auto"/>
              <w:left w:val="nil"/>
              <w:bottom w:val="single" w:sz="4" w:space="0" w:color="auto"/>
              <w:right w:val="nil"/>
            </w:tcBorders>
            <w:noWrap/>
            <w:hideMark/>
          </w:tcPr>
          <w:p w14:paraId="08DB0E39" w14:textId="5C7B7F0E" w:rsidR="00E236F0" w:rsidRPr="00577AA2" w:rsidRDefault="00E236F0">
            <w:pPr>
              <w:spacing w:line="256" w:lineRule="auto"/>
              <w:jc w:val="center"/>
              <w:rPr>
                <w:rFonts w:eastAsia="Times New Roman"/>
                <w:b/>
                <w:bCs/>
                <w:sz w:val="22"/>
                <w:lang w:val="en-PH"/>
              </w:rPr>
            </w:pPr>
            <w:r w:rsidRPr="00577AA2">
              <w:rPr>
                <w:rFonts w:eastAsia="Times New Roman"/>
                <w:b/>
                <w:bCs/>
                <w:sz w:val="22"/>
                <w:lang w:val="en-PH"/>
              </w:rPr>
              <w:t>SE</w:t>
            </w:r>
          </w:p>
        </w:tc>
        <w:tc>
          <w:tcPr>
            <w:tcW w:w="985" w:type="dxa"/>
            <w:vMerge/>
            <w:tcBorders>
              <w:top w:val="single" w:sz="4" w:space="0" w:color="auto"/>
              <w:left w:val="nil"/>
              <w:bottom w:val="single" w:sz="4" w:space="0" w:color="auto"/>
              <w:right w:val="nil"/>
            </w:tcBorders>
            <w:vAlign w:val="center"/>
            <w:hideMark/>
          </w:tcPr>
          <w:p w14:paraId="56BD432C" w14:textId="77777777" w:rsidR="00E236F0" w:rsidRPr="00577AA2" w:rsidRDefault="00E236F0">
            <w:pPr>
              <w:spacing w:line="256" w:lineRule="auto"/>
              <w:jc w:val="left"/>
              <w:rPr>
                <w:rFonts w:eastAsia="Times New Roman"/>
                <w:b/>
                <w:bCs/>
                <w:i/>
                <w:iCs/>
                <w:sz w:val="22"/>
                <w:lang w:val="en-PH"/>
              </w:rPr>
            </w:pPr>
          </w:p>
        </w:tc>
        <w:tc>
          <w:tcPr>
            <w:tcW w:w="899" w:type="dxa"/>
            <w:vMerge/>
            <w:tcBorders>
              <w:top w:val="single" w:sz="4" w:space="0" w:color="auto"/>
              <w:left w:val="nil"/>
              <w:bottom w:val="single" w:sz="4" w:space="0" w:color="auto"/>
              <w:right w:val="nil"/>
            </w:tcBorders>
            <w:vAlign w:val="center"/>
            <w:hideMark/>
          </w:tcPr>
          <w:p w14:paraId="35C6DE1B" w14:textId="77777777" w:rsidR="00E236F0" w:rsidRPr="00577AA2" w:rsidRDefault="00E236F0">
            <w:pPr>
              <w:spacing w:line="256" w:lineRule="auto"/>
              <w:jc w:val="left"/>
              <w:rPr>
                <w:rFonts w:eastAsia="Times New Roman"/>
                <w:b/>
                <w:bCs/>
                <w:sz w:val="22"/>
                <w:lang w:val="en-PH"/>
              </w:rPr>
            </w:pPr>
          </w:p>
        </w:tc>
        <w:tc>
          <w:tcPr>
            <w:tcW w:w="1986" w:type="dxa"/>
            <w:vMerge/>
            <w:tcBorders>
              <w:top w:val="single" w:sz="4" w:space="0" w:color="auto"/>
              <w:left w:val="nil"/>
              <w:bottom w:val="single" w:sz="4" w:space="0" w:color="auto"/>
              <w:right w:val="nil"/>
            </w:tcBorders>
            <w:vAlign w:val="center"/>
            <w:hideMark/>
          </w:tcPr>
          <w:p w14:paraId="29437399" w14:textId="77777777" w:rsidR="00E236F0" w:rsidRPr="00577AA2" w:rsidRDefault="00E236F0">
            <w:pPr>
              <w:spacing w:line="256" w:lineRule="auto"/>
              <w:jc w:val="left"/>
              <w:rPr>
                <w:rFonts w:eastAsia="Times New Roman"/>
                <w:b/>
                <w:bCs/>
                <w:sz w:val="22"/>
                <w:lang w:val="en-PH"/>
              </w:rPr>
            </w:pPr>
          </w:p>
        </w:tc>
      </w:tr>
      <w:tr w:rsidR="00E758B8" w:rsidRPr="00577AA2" w14:paraId="54138906" w14:textId="77777777" w:rsidTr="00E758B8">
        <w:trPr>
          <w:trHeight w:val="143"/>
        </w:trPr>
        <w:tc>
          <w:tcPr>
            <w:tcW w:w="3250" w:type="dxa"/>
            <w:tcBorders>
              <w:top w:val="single" w:sz="4" w:space="0" w:color="auto"/>
              <w:left w:val="nil"/>
              <w:bottom w:val="nil"/>
              <w:right w:val="nil"/>
            </w:tcBorders>
            <w:noWrap/>
            <w:vAlign w:val="center"/>
            <w:hideMark/>
          </w:tcPr>
          <w:p w14:paraId="4285F94F" w14:textId="77777777" w:rsidR="00E758B8" w:rsidRPr="00577AA2" w:rsidRDefault="00E758B8" w:rsidP="00E758B8">
            <w:pPr>
              <w:spacing w:line="256" w:lineRule="auto"/>
              <w:jc w:val="left"/>
              <w:rPr>
                <w:rFonts w:eastAsia="Times New Roman"/>
                <w:sz w:val="22"/>
                <w:lang w:val="en-PH"/>
              </w:rPr>
            </w:pPr>
            <w:r w:rsidRPr="00577AA2">
              <w:rPr>
                <w:sz w:val="22"/>
                <w:lang w:val="en-PH"/>
              </w:rPr>
              <w:t>Constant</w:t>
            </w:r>
          </w:p>
        </w:tc>
        <w:tc>
          <w:tcPr>
            <w:tcW w:w="990" w:type="dxa"/>
            <w:tcBorders>
              <w:top w:val="single" w:sz="4" w:space="0" w:color="auto"/>
              <w:left w:val="nil"/>
              <w:bottom w:val="nil"/>
              <w:right w:val="nil"/>
            </w:tcBorders>
            <w:noWrap/>
            <w:vAlign w:val="center"/>
            <w:hideMark/>
          </w:tcPr>
          <w:p w14:paraId="28BA14C2" w14:textId="4ACB0421" w:rsidR="00E758B8" w:rsidRPr="00577AA2" w:rsidRDefault="00E758B8" w:rsidP="00E758B8">
            <w:pPr>
              <w:spacing w:line="256" w:lineRule="auto"/>
              <w:jc w:val="center"/>
              <w:rPr>
                <w:rFonts w:eastAsia="Times New Roman"/>
                <w:sz w:val="22"/>
                <w:lang w:val="en-PH"/>
              </w:rPr>
            </w:pPr>
            <w:r w:rsidRPr="00577AA2">
              <w:rPr>
                <w:color w:val="000000"/>
                <w:sz w:val="22"/>
                <w:szCs w:val="18"/>
              </w:rPr>
              <w:t>1.895</w:t>
            </w:r>
          </w:p>
        </w:tc>
        <w:tc>
          <w:tcPr>
            <w:tcW w:w="1260" w:type="dxa"/>
            <w:tcBorders>
              <w:top w:val="single" w:sz="4" w:space="0" w:color="auto"/>
              <w:left w:val="nil"/>
              <w:bottom w:val="nil"/>
              <w:right w:val="nil"/>
            </w:tcBorders>
            <w:noWrap/>
            <w:vAlign w:val="center"/>
            <w:hideMark/>
          </w:tcPr>
          <w:p w14:paraId="740C40B7" w14:textId="2B6781F7" w:rsidR="00E758B8" w:rsidRPr="00577AA2" w:rsidRDefault="00E758B8" w:rsidP="00E758B8">
            <w:pPr>
              <w:spacing w:line="256" w:lineRule="auto"/>
              <w:jc w:val="center"/>
              <w:rPr>
                <w:rFonts w:eastAsia="Times New Roman"/>
                <w:sz w:val="22"/>
                <w:lang w:val="en-PH"/>
              </w:rPr>
            </w:pPr>
            <w:r w:rsidRPr="00577AA2">
              <w:rPr>
                <w:color w:val="000000"/>
                <w:sz w:val="22"/>
                <w:szCs w:val="18"/>
              </w:rPr>
              <w:t>.161</w:t>
            </w:r>
          </w:p>
        </w:tc>
        <w:tc>
          <w:tcPr>
            <w:tcW w:w="985" w:type="dxa"/>
            <w:tcBorders>
              <w:top w:val="single" w:sz="4" w:space="0" w:color="auto"/>
              <w:left w:val="nil"/>
              <w:bottom w:val="nil"/>
              <w:right w:val="nil"/>
            </w:tcBorders>
            <w:noWrap/>
            <w:vAlign w:val="center"/>
            <w:hideMark/>
          </w:tcPr>
          <w:p w14:paraId="151B99E1" w14:textId="069AC924" w:rsidR="00E758B8" w:rsidRPr="00577AA2" w:rsidRDefault="00E758B8" w:rsidP="00E758B8">
            <w:pPr>
              <w:spacing w:line="256" w:lineRule="auto"/>
              <w:jc w:val="center"/>
              <w:rPr>
                <w:rFonts w:eastAsia="Times New Roman"/>
                <w:sz w:val="22"/>
                <w:lang w:val="en-PH"/>
              </w:rPr>
            </w:pPr>
            <w:r w:rsidRPr="00577AA2">
              <w:rPr>
                <w:color w:val="000000"/>
                <w:sz w:val="22"/>
                <w:szCs w:val="18"/>
              </w:rPr>
              <w:t>11.776</w:t>
            </w:r>
          </w:p>
        </w:tc>
        <w:tc>
          <w:tcPr>
            <w:tcW w:w="899" w:type="dxa"/>
            <w:tcBorders>
              <w:top w:val="single" w:sz="4" w:space="0" w:color="auto"/>
              <w:left w:val="nil"/>
              <w:bottom w:val="nil"/>
              <w:right w:val="nil"/>
            </w:tcBorders>
            <w:noWrap/>
            <w:vAlign w:val="center"/>
          </w:tcPr>
          <w:p w14:paraId="5EEB07B5" w14:textId="5D99146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tcBorders>
              <w:top w:val="single" w:sz="4" w:space="0" w:color="auto"/>
              <w:left w:val="nil"/>
              <w:bottom w:val="nil"/>
              <w:right w:val="nil"/>
            </w:tcBorders>
            <w:vAlign w:val="center"/>
          </w:tcPr>
          <w:p w14:paraId="2B0AB020" w14:textId="77777777"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Significant</w:t>
            </w:r>
          </w:p>
        </w:tc>
      </w:tr>
      <w:tr w:rsidR="00E758B8" w:rsidRPr="00577AA2" w14:paraId="679D09C5" w14:textId="77777777" w:rsidTr="00E758B8">
        <w:trPr>
          <w:trHeight w:val="378"/>
        </w:trPr>
        <w:tc>
          <w:tcPr>
            <w:tcW w:w="3250" w:type="dxa"/>
            <w:noWrap/>
            <w:vAlign w:val="center"/>
            <w:hideMark/>
          </w:tcPr>
          <w:p w14:paraId="0C7C9D60" w14:textId="589A9E62" w:rsidR="00E758B8" w:rsidRPr="00577AA2" w:rsidRDefault="00E758B8" w:rsidP="00E758B8">
            <w:pPr>
              <w:spacing w:line="256" w:lineRule="auto"/>
              <w:jc w:val="left"/>
              <w:rPr>
                <w:rFonts w:eastAsia="Times New Roman"/>
                <w:sz w:val="22"/>
                <w:lang w:val="en-PH"/>
              </w:rPr>
            </w:pPr>
            <w:r w:rsidRPr="00577AA2">
              <w:rPr>
                <w:sz w:val="22"/>
                <w:lang w:val="en-PH"/>
              </w:rPr>
              <w:t>Teachers’ Pedagogical Content Knowledge</w:t>
            </w:r>
          </w:p>
        </w:tc>
        <w:tc>
          <w:tcPr>
            <w:tcW w:w="990" w:type="dxa"/>
            <w:noWrap/>
            <w:vAlign w:val="center"/>
            <w:hideMark/>
          </w:tcPr>
          <w:p w14:paraId="23AE1876" w14:textId="636E9AB7" w:rsidR="00E758B8" w:rsidRPr="00577AA2" w:rsidRDefault="00E758B8" w:rsidP="00E758B8">
            <w:pPr>
              <w:spacing w:line="256" w:lineRule="auto"/>
              <w:jc w:val="center"/>
              <w:rPr>
                <w:rFonts w:eastAsia="Times New Roman"/>
                <w:sz w:val="22"/>
                <w:lang w:val="en-PH"/>
              </w:rPr>
            </w:pPr>
            <w:r w:rsidRPr="00577AA2">
              <w:rPr>
                <w:color w:val="000000"/>
                <w:sz w:val="22"/>
                <w:szCs w:val="18"/>
              </w:rPr>
              <w:t>.421</w:t>
            </w:r>
          </w:p>
        </w:tc>
        <w:tc>
          <w:tcPr>
            <w:tcW w:w="1260" w:type="dxa"/>
            <w:noWrap/>
            <w:vAlign w:val="center"/>
            <w:hideMark/>
          </w:tcPr>
          <w:p w14:paraId="6B888E98" w14:textId="170E40C5" w:rsidR="00E758B8" w:rsidRPr="00577AA2" w:rsidRDefault="00E758B8" w:rsidP="00E758B8">
            <w:pPr>
              <w:spacing w:line="256" w:lineRule="auto"/>
              <w:jc w:val="center"/>
              <w:rPr>
                <w:rFonts w:eastAsia="Times New Roman"/>
                <w:sz w:val="22"/>
                <w:lang w:val="en-PH"/>
              </w:rPr>
            </w:pPr>
            <w:r w:rsidRPr="00577AA2">
              <w:rPr>
                <w:color w:val="000000"/>
                <w:sz w:val="22"/>
                <w:szCs w:val="18"/>
              </w:rPr>
              <w:t>.036</w:t>
            </w:r>
          </w:p>
        </w:tc>
        <w:tc>
          <w:tcPr>
            <w:tcW w:w="985" w:type="dxa"/>
            <w:noWrap/>
            <w:vAlign w:val="center"/>
            <w:hideMark/>
          </w:tcPr>
          <w:p w14:paraId="70D355B3" w14:textId="0D5140D7" w:rsidR="00E758B8" w:rsidRPr="00577AA2" w:rsidRDefault="00E758B8" w:rsidP="00E758B8">
            <w:pPr>
              <w:spacing w:line="256" w:lineRule="auto"/>
              <w:jc w:val="center"/>
              <w:rPr>
                <w:rFonts w:eastAsia="Times New Roman"/>
                <w:sz w:val="22"/>
                <w:lang w:val="en-PH"/>
              </w:rPr>
            </w:pPr>
            <w:r w:rsidRPr="00577AA2">
              <w:rPr>
                <w:color w:val="000000"/>
                <w:sz w:val="22"/>
                <w:szCs w:val="18"/>
              </w:rPr>
              <w:t>11.722</w:t>
            </w:r>
          </w:p>
        </w:tc>
        <w:tc>
          <w:tcPr>
            <w:tcW w:w="899" w:type="dxa"/>
            <w:noWrap/>
            <w:vAlign w:val="center"/>
          </w:tcPr>
          <w:p w14:paraId="768BB739" w14:textId="13AF341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&lt;0.001</w:t>
            </w:r>
          </w:p>
        </w:tc>
        <w:tc>
          <w:tcPr>
            <w:tcW w:w="1986" w:type="dxa"/>
            <w:vAlign w:val="center"/>
            <w:hideMark/>
          </w:tcPr>
          <w:p w14:paraId="69010801" w14:textId="42F7976C"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758B8" w:rsidRPr="00577AA2" w14:paraId="00D7A657" w14:textId="77777777" w:rsidTr="00E758B8">
        <w:trPr>
          <w:trHeight w:val="217"/>
        </w:trPr>
        <w:tc>
          <w:tcPr>
            <w:tcW w:w="3250" w:type="dxa"/>
            <w:tcBorders>
              <w:top w:val="nil"/>
              <w:left w:val="nil"/>
              <w:bottom w:val="single" w:sz="4" w:space="0" w:color="auto"/>
              <w:right w:val="nil"/>
            </w:tcBorders>
            <w:noWrap/>
            <w:vAlign w:val="center"/>
            <w:hideMark/>
          </w:tcPr>
          <w:p w14:paraId="0E8CAAA1" w14:textId="76ACF5ED" w:rsidR="00E758B8" w:rsidRPr="00577AA2" w:rsidRDefault="00E758B8" w:rsidP="00E758B8">
            <w:pPr>
              <w:spacing w:line="256" w:lineRule="auto"/>
              <w:jc w:val="left"/>
              <w:rPr>
                <w:sz w:val="22"/>
                <w:lang w:val="en-PH"/>
              </w:rPr>
            </w:pPr>
            <w:r w:rsidRPr="00577AA2">
              <w:rPr>
                <w:sz w:val="22"/>
                <w:lang w:val="en-PH"/>
              </w:rPr>
              <w:t>Students’ Math Self-Concept</w:t>
            </w:r>
          </w:p>
        </w:tc>
        <w:tc>
          <w:tcPr>
            <w:tcW w:w="990" w:type="dxa"/>
            <w:tcBorders>
              <w:top w:val="nil"/>
              <w:left w:val="nil"/>
              <w:bottom w:val="single" w:sz="4" w:space="0" w:color="auto"/>
              <w:right w:val="nil"/>
            </w:tcBorders>
            <w:noWrap/>
            <w:vAlign w:val="center"/>
            <w:hideMark/>
          </w:tcPr>
          <w:p w14:paraId="457A90B8" w14:textId="2170E3FE" w:rsidR="00E758B8" w:rsidRPr="00577AA2" w:rsidRDefault="00E758B8" w:rsidP="00E758B8">
            <w:pPr>
              <w:spacing w:line="256" w:lineRule="auto"/>
              <w:jc w:val="center"/>
              <w:rPr>
                <w:rFonts w:eastAsia="Times New Roman"/>
                <w:sz w:val="22"/>
                <w:lang w:val="en-PH"/>
              </w:rPr>
            </w:pPr>
            <w:r w:rsidRPr="00577AA2">
              <w:rPr>
                <w:color w:val="000000"/>
                <w:sz w:val="22"/>
                <w:szCs w:val="18"/>
              </w:rPr>
              <w:t>.317</w:t>
            </w:r>
          </w:p>
        </w:tc>
        <w:tc>
          <w:tcPr>
            <w:tcW w:w="1260" w:type="dxa"/>
            <w:tcBorders>
              <w:top w:val="nil"/>
              <w:left w:val="nil"/>
              <w:bottom w:val="single" w:sz="4" w:space="0" w:color="auto"/>
              <w:right w:val="nil"/>
            </w:tcBorders>
            <w:noWrap/>
            <w:vAlign w:val="center"/>
            <w:hideMark/>
          </w:tcPr>
          <w:p w14:paraId="72D3B275" w14:textId="7CAB9F13" w:rsidR="00E758B8" w:rsidRPr="00577AA2" w:rsidRDefault="00E758B8" w:rsidP="00E758B8">
            <w:pPr>
              <w:spacing w:line="256" w:lineRule="auto"/>
              <w:jc w:val="center"/>
              <w:rPr>
                <w:rFonts w:eastAsia="Times New Roman"/>
                <w:sz w:val="22"/>
                <w:lang w:val="en-PH"/>
              </w:rPr>
            </w:pPr>
            <w:r w:rsidRPr="00577AA2">
              <w:rPr>
                <w:color w:val="000000"/>
                <w:sz w:val="22"/>
                <w:szCs w:val="18"/>
              </w:rPr>
              <w:t>.024</w:t>
            </w:r>
          </w:p>
        </w:tc>
        <w:tc>
          <w:tcPr>
            <w:tcW w:w="985" w:type="dxa"/>
            <w:tcBorders>
              <w:top w:val="nil"/>
              <w:left w:val="nil"/>
              <w:bottom w:val="single" w:sz="4" w:space="0" w:color="auto"/>
              <w:right w:val="nil"/>
            </w:tcBorders>
            <w:noWrap/>
            <w:vAlign w:val="center"/>
            <w:hideMark/>
          </w:tcPr>
          <w:p w14:paraId="3E72333B" w14:textId="55481179" w:rsidR="00E758B8" w:rsidRPr="00577AA2" w:rsidRDefault="00E758B8" w:rsidP="00E758B8">
            <w:pPr>
              <w:spacing w:line="256" w:lineRule="auto"/>
              <w:jc w:val="center"/>
              <w:rPr>
                <w:rFonts w:eastAsia="Times New Roman"/>
                <w:sz w:val="22"/>
                <w:lang w:val="en-PH"/>
              </w:rPr>
            </w:pPr>
            <w:r w:rsidRPr="00577AA2">
              <w:rPr>
                <w:color w:val="000000"/>
                <w:sz w:val="22"/>
                <w:szCs w:val="18"/>
              </w:rPr>
              <w:t>8.701</w:t>
            </w:r>
          </w:p>
        </w:tc>
        <w:tc>
          <w:tcPr>
            <w:tcW w:w="899" w:type="dxa"/>
            <w:tcBorders>
              <w:top w:val="nil"/>
              <w:left w:val="nil"/>
              <w:bottom w:val="single" w:sz="4" w:space="0" w:color="auto"/>
              <w:right w:val="nil"/>
            </w:tcBorders>
            <w:noWrap/>
            <w:vAlign w:val="center"/>
          </w:tcPr>
          <w:p w14:paraId="3E243AAC" w14:textId="2DB8ED35" w:rsidR="00E758B8" w:rsidRPr="00577AA2" w:rsidRDefault="00E758B8" w:rsidP="00E758B8">
            <w:pPr>
              <w:spacing w:line="256" w:lineRule="auto"/>
              <w:jc w:val="center"/>
              <w:rPr>
                <w:rFonts w:eastAsia="Times New Roman"/>
                <w:sz w:val="22"/>
                <w:lang w:val="en-PH"/>
              </w:rPr>
            </w:pPr>
            <w:r w:rsidRPr="00577AA2">
              <w:rPr>
                <w:rFonts w:eastAsia="Times New Roman"/>
                <w:sz w:val="22"/>
                <w:lang w:val="en-PH"/>
              </w:rPr>
              <w:t>0.048</w:t>
            </w:r>
          </w:p>
        </w:tc>
        <w:tc>
          <w:tcPr>
            <w:tcW w:w="1986" w:type="dxa"/>
            <w:tcBorders>
              <w:top w:val="nil"/>
              <w:left w:val="nil"/>
              <w:bottom w:val="single" w:sz="4" w:space="0" w:color="auto"/>
              <w:right w:val="nil"/>
            </w:tcBorders>
            <w:vAlign w:val="center"/>
            <w:hideMark/>
          </w:tcPr>
          <w:p w14:paraId="0EEBA2F7" w14:textId="77777777" w:rsidR="00E758B8" w:rsidRPr="00577AA2" w:rsidRDefault="00E758B8" w:rsidP="00E758B8">
            <w:pPr>
              <w:spacing w:line="256" w:lineRule="auto"/>
              <w:jc w:val="center"/>
              <w:rPr>
                <w:rFonts w:eastAsia="Times New Roman"/>
                <w:sz w:val="22"/>
                <w:lang w:val="en-PH"/>
              </w:rPr>
            </w:pPr>
            <w:r w:rsidRPr="00577AA2">
              <w:rPr>
                <w:sz w:val="22"/>
                <w:lang w:val="en-PH"/>
              </w:rPr>
              <w:t>Significant</w:t>
            </w:r>
          </w:p>
        </w:tc>
      </w:tr>
      <w:tr w:rsidR="00E236F0" w:rsidRPr="00577AA2" w14:paraId="7E6555A7" w14:textId="77777777" w:rsidTr="00E236F0">
        <w:trPr>
          <w:trHeight w:val="289"/>
        </w:trPr>
        <w:tc>
          <w:tcPr>
            <w:tcW w:w="9370" w:type="dxa"/>
            <w:gridSpan w:val="6"/>
            <w:tcBorders>
              <w:top w:val="single" w:sz="4" w:space="0" w:color="auto"/>
              <w:left w:val="nil"/>
              <w:bottom w:val="single" w:sz="4" w:space="0" w:color="auto"/>
              <w:right w:val="nil"/>
            </w:tcBorders>
            <w:noWrap/>
            <w:hideMark/>
          </w:tcPr>
          <w:p w14:paraId="6C150B74" w14:textId="1BEB9FE0" w:rsidR="00E236F0" w:rsidRPr="00577AA2" w:rsidRDefault="00E236F0">
            <w:pPr>
              <w:spacing w:line="256" w:lineRule="auto"/>
              <w:rPr>
                <w:rFonts w:eastAsia="Times New Roman"/>
                <w:sz w:val="22"/>
                <w:lang w:val="en-PH"/>
              </w:rPr>
            </w:pPr>
            <w:r w:rsidRPr="00577AA2">
              <w:rPr>
                <w:rFonts w:eastAsia="Times New Roman"/>
                <w:sz w:val="22"/>
                <w:lang w:val="en-PH"/>
              </w:rPr>
              <w:t xml:space="preserve">Model Summary: </w:t>
            </w:r>
            <w:r w:rsidRPr="00577AA2">
              <w:rPr>
                <w:sz w:val="22"/>
                <w:lang w:val="en-PH"/>
              </w:rPr>
              <w:t>R= 0.</w:t>
            </w:r>
            <w:r w:rsidR="00E758B8" w:rsidRPr="00577AA2">
              <w:rPr>
                <w:sz w:val="22"/>
                <w:lang w:val="en-PH"/>
              </w:rPr>
              <w:t>615</w:t>
            </w:r>
            <w:r w:rsidRPr="00577AA2">
              <w:rPr>
                <w:sz w:val="22"/>
                <w:lang w:val="en-PH"/>
              </w:rPr>
              <w:t>; R square = 0.</w:t>
            </w:r>
            <w:r w:rsidR="00E758B8" w:rsidRPr="00577AA2">
              <w:rPr>
                <w:sz w:val="22"/>
                <w:lang w:val="en-PH"/>
              </w:rPr>
              <w:t>378</w:t>
            </w:r>
            <w:r w:rsidRPr="00577AA2">
              <w:rPr>
                <w:sz w:val="22"/>
                <w:lang w:val="en-PH"/>
              </w:rPr>
              <w:t>; F-value =</w:t>
            </w:r>
            <w:r w:rsidR="00E758B8" w:rsidRPr="00577AA2">
              <w:rPr>
                <w:sz w:val="22"/>
                <w:lang w:val="en-PH"/>
              </w:rPr>
              <w:t>78.835</w:t>
            </w:r>
            <w:r w:rsidRPr="00577AA2">
              <w:rPr>
                <w:sz w:val="22"/>
                <w:lang w:val="en-PH"/>
              </w:rPr>
              <w:t>; p&lt;0.001</w:t>
            </w:r>
          </w:p>
        </w:tc>
      </w:tr>
    </w:tbl>
    <w:p w14:paraId="180EE514" w14:textId="77777777" w:rsidR="00E758B8" w:rsidRDefault="00E758B8" w:rsidP="00E758B8">
      <w:pPr>
        <w:ind w:firstLine="720"/>
      </w:pPr>
      <w:r>
        <w:t xml:space="preserve">Table 5 presents the results of a multiple linear regression analysis examining the influence of teachers’ Pedagogical Content Knowledge (PCK) and students’ math self-concept on students’ interest in mathematics. The model yielded a significant F-value of 78.835 (p &lt; .001), indicating that the overall regression model is statistically significant. The R value of 0.615 and R² of 0.378 suggest that approximately 37.8% of the variance in students’ math interest can be explained by the combined effect of teachers’ PCK and students’ math self-concept. Specifically, teachers’ PCK </w:t>
      </w:r>
      <w:r>
        <w:lastRenderedPageBreak/>
        <w:t>had a significant positive influence (B = 0.421, SE = 0.036, t = 11.722, p &lt; .001), as did students’ math self-concept (B = 0.317, SE = 0.024, t = 8.701, p = 0.048). These results imply that both variables contribute significantly to predicting students' interest in mathematics, with PCK having a slightly stronger effect.</w:t>
      </w:r>
    </w:p>
    <w:p w14:paraId="0319F58B" w14:textId="77777777" w:rsidR="00E758B8" w:rsidRDefault="00E758B8" w:rsidP="00E758B8">
      <w:pPr>
        <w:ind w:firstLine="720"/>
      </w:pPr>
      <w:r>
        <w:t>These findings are consistent with recent studies that emphasize the interconnected roles of teacher quality and student psychological factors in shaping academic engagement. Liu and Wang (2022) found that teachers with high PCK effectively create learning environments that sustain students’ curiosity and enjoyment in mathematics. Similarly, Reyes et al. (2023) established that students who possess a strong math self-concept are more inclined to demonstrate intrinsic motivation and sustained interest in learning the subject. Additionally, research by Ahmed and Bautista (2021) reinforces that both external (teacher instruction) and internal (self-beliefs) factors are pivotal in influencing student academic attitudes. These studies affirm that enhancing both teacher competence and student self-perception can result in increased student engagement.</w:t>
      </w:r>
    </w:p>
    <w:p w14:paraId="1F421749" w14:textId="3865A96A" w:rsidR="00E236F0" w:rsidRDefault="00E758B8" w:rsidP="00E758B8">
      <w:pPr>
        <w:ind w:firstLine="720"/>
      </w:pPr>
      <w:r>
        <w:t>This regression model suggests a dual approach to fostering mathematics interest among students. First, educational institutions should invest in continuous professional development focused on strengthening teachers’ PCK, as this has a measurable impact on students’ engagement. Second, schools must implement interventions that support the development of students’ math self-concept, such as confidence-building exercises, personalized feedback, and recognition of student efforts. A comprehensive strategy that addresses both pedagogical practices and learner self-perceptions is likely to produce more robust and sustainable improvements in students' attitudes toward mathematics.</w:t>
      </w:r>
    </w:p>
    <w:p w14:paraId="0934FC83" w14:textId="77777777" w:rsidR="00E236F0" w:rsidRDefault="00E236F0" w:rsidP="00F46459">
      <w:pPr>
        <w:ind w:firstLine="720"/>
      </w:pPr>
    </w:p>
    <w:p w14:paraId="620D9C86" w14:textId="6DE738CF" w:rsidR="0071186D" w:rsidRPr="00577AA2" w:rsidRDefault="0071186D" w:rsidP="00352318">
      <w:pPr>
        <w:rPr>
          <w:b/>
        </w:rPr>
      </w:pPr>
      <w:r w:rsidRPr="00577AA2">
        <w:rPr>
          <w:b/>
        </w:rPr>
        <w:t>CONCLUSION AND RECOMMENDATION</w:t>
      </w:r>
    </w:p>
    <w:p w14:paraId="3F3AA29D" w14:textId="77777777" w:rsidR="0071186D" w:rsidRPr="0096005B" w:rsidRDefault="0071186D" w:rsidP="00352318"/>
    <w:p w14:paraId="315385D8" w14:textId="77777777" w:rsidR="006C24BC" w:rsidRDefault="006C24BC" w:rsidP="006C24BC">
      <w:pPr>
        <w:ind w:firstLine="720"/>
      </w:pPr>
      <w:r>
        <w:t>This study concluded that both teachers’ pedagogical content knowledge (PCK) and students’ math self-concept significantly influence students' interest in mathematics. Students demonstrated moderate levels of self-concept, with the strongest aspect being positive emotional responses (affection) toward the subject and the weakest being their confidence when comparing themselves to peers. Meanwhile, their overall interest in mathematics was high, with the highest ratings attributed to teacher qualities and teaching strategies. Teachers were rated very high in all dimensions of PCK, indicating a strong grasp of content and the ability to use effective, student-centered instructional approaches. Correlational analysis confirmed that both teacher PCK and students’ self-concept have a meaningful impact on student interest in math, with teacher PCK showing a stronger relationship. These findings emphasize the dual importance of enhancing instructional quality and nurturing student confidence in order to sustain student engagement in mathematics.</w:t>
      </w:r>
    </w:p>
    <w:p w14:paraId="46A0E807" w14:textId="4E473CA2" w:rsidR="0071186D" w:rsidRDefault="006C24BC" w:rsidP="006C24BC">
      <w:pPr>
        <w:ind w:firstLine="720"/>
      </w:pPr>
      <w:r>
        <w:t>Based on the findings, the study recommends that educational stakeholders invest in continuous professional development for teachers, focusing on enhancing subject matter expertise and effective pedagogical strategies that respond to diverse learners’ needs. Training should include approaches that reduce math anxiety, promote classroom inclusivity, and foster a positive math culture. Schools should also implement programs that build students' confidence in their mathematical abilities through peer collaboration, mentoring, and personalized feedback. Furthermore, instructional practices should aim to improve students’ comparative self-perception by celebrating individual growth rather than emphasizing peer comparison. Future research may explore longitudinal effects of teacher PCK and self-concept development across grade levels, and evaluate intervention strategies aimed at improving both teacher effectiveness and student mindset in mathematics learning.</w:t>
      </w:r>
    </w:p>
    <w:p w14:paraId="25F23FEB" w14:textId="77777777" w:rsidR="0071186D" w:rsidRDefault="0071186D" w:rsidP="00352318"/>
    <w:p w14:paraId="77C35F5B" w14:textId="77777777" w:rsidR="00FF4C23" w:rsidRDefault="00FF4C23" w:rsidP="00352318"/>
    <w:p w14:paraId="598AD903" w14:textId="3E268B08" w:rsidR="0071186D" w:rsidRDefault="0071186D" w:rsidP="00352318">
      <w:pPr>
        <w:rPr>
          <w:b/>
        </w:rPr>
      </w:pPr>
      <w:r w:rsidRPr="006C24BC">
        <w:rPr>
          <w:b/>
        </w:rPr>
        <w:t>REFERENCES</w:t>
      </w:r>
    </w:p>
    <w:p w14:paraId="67B07DCE" w14:textId="77777777" w:rsidR="006C24BC" w:rsidRPr="006C24BC" w:rsidRDefault="006C24BC" w:rsidP="00352318">
      <w:pPr>
        <w:rPr>
          <w:rFonts w:eastAsia="Times New Roman"/>
          <w:b/>
          <w:lang w:val="en-PH" w:eastAsia="en-PH"/>
        </w:rPr>
      </w:pPr>
    </w:p>
    <w:p w14:paraId="7BC607EB" w14:textId="77777777" w:rsidR="00011C13" w:rsidRPr="00011C13" w:rsidRDefault="00011C13" w:rsidP="00011C13">
      <w:pPr>
        <w:ind w:left="900" w:hanging="900"/>
        <w:rPr>
          <w:sz w:val="22"/>
        </w:rPr>
      </w:pPr>
      <w:r w:rsidRPr="00011C13">
        <w:rPr>
          <w:sz w:val="22"/>
        </w:rPr>
        <w:t xml:space="preserve">Ahmed, A., Rashid, A., &amp; Rahman, A. (2021). Students’ math self-concept and interest: Structural relationships. </w:t>
      </w:r>
      <w:r w:rsidRPr="00011C13">
        <w:rPr>
          <w:i/>
          <w:sz w:val="22"/>
        </w:rPr>
        <w:t>Journal of Educational Research, 114</w:t>
      </w:r>
      <w:r w:rsidRPr="00011C13">
        <w:rPr>
          <w:sz w:val="22"/>
        </w:rPr>
        <w:t>(2), 123–137.</w:t>
      </w:r>
    </w:p>
    <w:p w14:paraId="772AC9FD" w14:textId="77777777" w:rsidR="00011C13" w:rsidRPr="00011C13" w:rsidRDefault="00011C13" w:rsidP="00011C13">
      <w:pPr>
        <w:ind w:left="900" w:hanging="900"/>
        <w:jc w:val="left"/>
        <w:rPr>
          <w:rFonts w:eastAsia="Times New Roman"/>
          <w:sz w:val="22"/>
        </w:rPr>
      </w:pPr>
      <w:proofErr w:type="spellStart"/>
      <w:r w:rsidRPr="00011C13">
        <w:rPr>
          <w:rFonts w:eastAsia="Times New Roman"/>
          <w:sz w:val="22"/>
        </w:rPr>
        <w:t>Bhagwonparsadh</w:t>
      </w:r>
      <w:proofErr w:type="spellEnd"/>
      <w:r w:rsidRPr="00011C13">
        <w:rPr>
          <w:rFonts w:eastAsia="Times New Roman"/>
          <w:sz w:val="22"/>
        </w:rPr>
        <w:t xml:space="preserve">, Y., &amp; Pule, K. G. (2024). The effects of educators’ mathematics pedagogical content knowledge on the mentoring of Grade 12 students using problem-based learning. </w:t>
      </w:r>
      <w:r w:rsidRPr="00011C13">
        <w:rPr>
          <w:rFonts w:eastAsia="Times New Roman"/>
          <w:i/>
          <w:iCs/>
          <w:sz w:val="22"/>
        </w:rPr>
        <w:t>Journal of Culture and Values in Education, 7</w:t>
      </w:r>
      <w:r w:rsidRPr="00011C13">
        <w:rPr>
          <w:rFonts w:eastAsia="Times New Roman"/>
          <w:sz w:val="22"/>
        </w:rPr>
        <w:t>(1), 99–117.</w:t>
      </w:r>
    </w:p>
    <w:p w14:paraId="3F93E66C" w14:textId="77777777" w:rsidR="00011C13" w:rsidRPr="00011C13" w:rsidRDefault="00011C13" w:rsidP="00011C13">
      <w:pPr>
        <w:ind w:left="900" w:hanging="900"/>
        <w:rPr>
          <w:sz w:val="22"/>
        </w:rPr>
      </w:pPr>
      <w:r w:rsidRPr="00011C13">
        <w:rPr>
          <w:sz w:val="22"/>
        </w:rPr>
        <w:t xml:space="preserve">Chen, S., Li, Q., &amp; Zhang, Y. (2022). Culturally responsive practices and math self-comparison. </w:t>
      </w:r>
      <w:r w:rsidRPr="00011C13">
        <w:rPr>
          <w:i/>
          <w:sz w:val="22"/>
        </w:rPr>
        <w:t>International Journal of Mathematics Education, 50</w:t>
      </w:r>
      <w:r w:rsidRPr="00011C13">
        <w:rPr>
          <w:sz w:val="22"/>
        </w:rPr>
        <w:t>(4), 301–320.</w:t>
      </w:r>
    </w:p>
    <w:p w14:paraId="27FB8C49" w14:textId="77777777" w:rsidR="00011C13" w:rsidRPr="00011C13" w:rsidRDefault="00011C13" w:rsidP="00011C13">
      <w:pPr>
        <w:ind w:left="900" w:hanging="900"/>
        <w:rPr>
          <w:sz w:val="22"/>
        </w:rPr>
      </w:pPr>
      <w:r w:rsidRPr="00011C13">
        <w:rPr>
          <w:sz w:val="22"/>
        </w:rPr>
        <w:t xml:space="preserve">Cho, Y., &amp; Her, P. (2018). Impact of scaffolded problem-solving on math competence beliefs. </w:t>
      </w:r>
      <w:r w:rsidRPr="00011C13">
        <w:rPr>
          <w:i/>
          <w:sz w:val="22"/>
        </w:rPr>
        <w:t>Educational Psychology Journal, 42</w:t>
      </w:r>
      <w:r w:rsidRPr="00011C13">
        <w:rPr>
          <w:sz w:val="22"/>
        </w:rPr>
        <w:t>(1), 78–95.</w:t>
      </w:r>
    </w:p>
    <w:p w14:paraId="78419832" w14:textId="77777777" w:rsidR="00011C13" w:rsidRPr="00011C13" w:rsidRDefault="00011C13" w:rsidP="00011C13">
      <w:pPr>
        <w:ind w:left="900" w:hanging="900"/>
        <w:rPr>
          <w:sz w:val="22"/>
        </w:rPr>
      </w:pPr>
      <w:r w:rsidRPr="00011C13">
        <w:rPr>
          <w:sz w:val="22"/>
        </w:rPr>
        <w:t>Floros, A., &amp; Thompson, R. (2021). Reflective journaling to enhance math affection</w:t>
      </w:r>
      <w:r w:rsidRPr="00011C13">
        <w:rPr>
          <w:i/>
          <w:sz w:val="22"/>
        </w:rPr>
        <w:t>. Journal of Secondary Education, 47</w:t>
      </w:r>
      <w:r w:rsidRPr="00011C13">
        <w:rPr>
          <w:sz w:val="22"/>
        </w:rPr>
        <w:t>(3), 215–229.</w:t>
      </w:r>
    </w:p>
    <w:p w14:paraId="0778A18A"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Frontiers in Education. (2024). A systematic review and meta-analysis of intervention studies on PCK development in mathematics and science teachers. </w:t>
      </w:r>
      <w:r w:rsidRPr="00011C13">
        <w:rPr>
          <w:rFonts w:eastAsia="Times New Roman"/>
          <w:i/>
          <w:iCs/>
          <w:sz w:val="22"/>
        </w:rPr>
        <w:t>Frontiers in Education, 9</w:t>
      </w:r>
      <w:r w:rsidRPr="00011C13">
        <w:rPr>
          <w:rFonts w:eastAsia="Times New Roman"/>
          <w:sz w:val="22"/>
        </w:rPr>
        <w:t>, Article 1435758. https://doi.org/10.3389/feduc.2024.1435758</w:t>
      </w:r>
    </w:p>
    <w:p w14:paraId="39D9E9D9" w14:textId="77777777" w:rsidR="00011C13" w:rsidRPr="00011C13" w:rsidRDefault="00011C13" w:rsidP="00011C13">
      <w:pPr>
        <w:ind w:left="900" w:hanging="900"/>
        <w:rPr>
          <w:sz w:val="22"/>
        </w:rPr>
      </w:pPr>
      <w:r w:rsidRPr="00011C13">
        <w:rPr>
          <w:sz w:val="22"/>
        </w:rPr>
        <w:t xml:space="preserve">Guo, X., &amp; Marsh, H. W. (2019). Peer comparison effects in middle school math self-concept. </w:t>
      </w:r>
      <w:r w:rsidRPr="00011C13">
        <w:rPr>
          <w:i/>
          <w:sz w:val="22"/>
        </w:rPr>
        <w:t>Learning and Instruction, 60</w:t>
      </w:r>
      <w:r w:rsidRPr="00011C13">
        <w:rPr>
          <w:sz w:val="22"/>
        </w:rPr>
        <w:t>, 45–54.</w:t>
      </w:r>
    </w:p>
    <w:p w14:paraId="77ED04F1" w14:textId="77777777" w:rsidR="00011C13" w:rsidRPr="00011C13" w:rsidRDefault="00011C13" w:rsidP="00011C13">
      <w:pPr>
        <w:ind w:left="900" w:hanging="900"/>
        <w:rPr>
          <w:sz w:val="22"/>
        </w:rPr>
      </w:pPr>
      <w:r w:rsidRPr="00011C13">
        <w:rPr>
          <w:sz w:val="22"/>
        </w:rPr>
        <w:t xml:space="preserve">Irvine, R. (2020). Formative assessment and student thinking in mathematics. </w:t>
      </w:r>
      <w:r w:rsidRPr="00011C13">
        <w:rPr>
          <w:i/>
          <w:sz w:val="22"/>
        </w:rPr>
        <w:t>Mathematics Teacher Education, 27</w:t>
      </w:r>
      <w:r w:rsidRPr="00011C13">
        <w:rPr>
          <w:sz w:val="22"/>
        </w:rPr>
        <w:t>(2), 99–115.</w:t>
      </w:r>
    </w:p>
    <w:p w14:paraId="5AE38CF5" w14:textId="77777777" w:rsidR="00011C13" w:rsidRPr="00011C13" w:rsidRDefault="00011C13" w:rsidP="00011C13">
      <w:pPr>
        <w:ind w:left="900" w:hanging="900"/>
        <w:rPr>
          <w:sz w:val="22"/>
        </w:rPr>
      </w:pPr>
      <w:r w:rsidRPr="00011C13">
        <w:rPr>
          <w:sz w:val="22"/>
        </w:rPr>
        <w:t xml:space="preserve">Kawasaki, T., &amp; Matsuo, K. (2024). Content mastery and interactive modeling in math instruction. </w:t>
      </w:r>
      <w:r w:rsidRPr="00011C13">
        <w:rPr>
          <w:i/>
          <w:sz w:val="22"/>
        </w:rPr>
        <w:t>Asian Journal of Teacher Education, 15</w:t>
      </w:r>
      <w:r w:rsidRPr="00011C13">
        <w:rPr>
          <w:sz w:val="22"/>
        </w:rPr>
        <w:t>(1), 12–28.</w:t>
      </w:r>
    </w:p>
    <w:p w14:paraId="66A37323"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Kumi, E. M., &amp; </w:t>
      </w:r>
      <w:proofErr w:type="spellStart"/>
      <w:r w:rsidRPr="00011C13">
        <w:rPr>
          <w:rFonts w:eastAsia="Times New Roman"/>
          <w:sz w:val="22"/>
        </w:rPr>
        <w:t>Wonu</w:t>
      </w:r>
      <w:proofErr w:type="spellEnd"/>
      <w:r w:rsidRPr="00011C13">
        <w:rPr>
          <w:rFonts w:eastAsia="Times New Roman"/>
          <w:sz w:val="22"/>
        </w:rPr>
        <w:t>, N. (2021). Senior high school student perception of mathematics teacher</w:t>
      </w:r>
      <w:r>
        <w:rPr>
          <w:rFonts w:eastAsia="Times New Roman"/>
          <w:sz w:val="22"/>
        </w:rPr>
        <w:t xml:space="preserve"> </w:t>
      </w:r>
      <w:r w:rsidRPr="00011C13">
        <w:rPr>
          <w:rFonts w:eastAsia="Times New Roman"/>
          <w:sz w:val="22"/>
        </w:rPr>
        <w:t xml:space="preserve">pedagogical content knowledge. </w:t>
      </w:r>
      <w:r w:rsidRPr="00011C13">
        <w:rPr>
          <w:rFonts w:eastAsia="Times New Roman"/>
          <w:i/>
          <w:iCs/>
          <w:sz w:val="22"/>
        </w:rPr>
        <w:t>FNAS Journal of Mathematics and Science Education, 3</w:t>
      </w:r>
      <w:r w:rsidRPr="00011C13">
        <w:rPr>
          <w:rFonts w:eastAsia="Times New Roman"/>
          <w:sz w:val="22"/>
        </w:rPr>
        <w:t>(1), 1–10.</w:t>
      </w:r>
    </w:p>
    <w:p w14:paraId="2784E147" w14:textId="77777777" w:rsidR="00011C13" w:rsidRPr="00011C13" w:rsidRDefault="00011C13" w:rsidP="00011C13">
      <w:pPr>
        <w:ind w:left="900" w:hanging="900"/>
        <w:rPr>
          <w:sz w:val="22"/>
        </w:rPr>
      </w:pPr>
      <w:r w:rsidRPr="00011C13">
        <w:rPr>
          <w:sz w:val="22"/>
        </w:rPr>
        <w:t xml:space="preserve">Lim, H., &amp; Lee, J. (2021). Digital tools to support concept visualization and interest. Journal of </w:t>
      </w:r>
      <w:r w:rsidRPr="00011C13">
        <w:rPr>
          <w:i/>
          <w:sz w:val="22"/>
        </w:rPr>
        <w:t>Educational Technology, 9</w:t>
      </w:r>
      <w:r w:rsidRPr="00011C13">
        <w:rPr>
          <w:sz w:val="22"/>
        </w:rPr>
        <w:t>(4), 150–165.</w:t>
      </w:r>
    </w:p>
    <w:p w14:paraId="2FC33949" w14:textId="77777777" w:rsidR="00011C13" w:rsidRPr="00011C13" w:rsidRDefault="00011C13" w:rsidP="00011C13">
      <w:pPr>
        <w:ind w:left="900" w:hanging="900"/>
        <w:rPr>
          <w:sz w:val="22"/>
        </w:rPr>
      </w:pPr>
      <w:proofErr w:type="spellStart"/>
      <w:r w:rsidRPr="00011C13">
        <w:rPr>
          <w:sz w:val="22"/>
        </w:rPr>
        <w:t>Malabayabas</w:t>
      </w:r>
      <w:proofErr w:type="spellEnd"/>
      <w:r w:rsidRPr="00011C13">
        <w:rPr>
          <w:sz w:val="22"/>
        </w:rPr>
        <w:t xml:space="preserve">, J., Cruz, M., &amp; Santos, P. (2022). Culturally responsive classrooms and math attitudes. </w:t>
      </w:r>
      <w:r w:rsidRPr="00011C13">
        <w:rPr>
          <w:i/>
          <w:sz w:val="22"/>
        </w:rPr>
        <w:t>Philippine Education Quarterly, 12</w:t>
      </w:r>
      <w:r w:rsidRPr="00011C13">
        <w:rPr>
          <w:sz w:val="22"/>
        </w:rPr>
        <w:t>(2), 67–85.</w:t>
      </w:r>
    </w:p>
    <w:p w14:paraId="6F796CD9"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Martin, D. A., &amp; Jamieson-Proctor, R. (2022). Pre-service teachers’ perceptions of problem-based learning for developing their mathematics teaching pedagogy. </w:t>
      </w:r>
      <w:r w:rsidRPr="00011C13">
        <w:rPr>
          <w:rFonts w:eastAsia="Times New Roman"/>
          <w:i/>
          <w:iCs/>
          <w:sz w:val="22"/>
        </w:rPr>
        <w:t>Interdisciplinary Journal of Problem-Based Learning, 16</w:t>
      </w:r>
      <w:r w:rsidRPr="00011C13">
        <w:rPr>
          <w:rFonts w:eastAsia="Times New Roman"/>
          <w:sz w:val="22"/>
        </w:rPr>
        <w:t>(2). https://doi.org/10.14434/ijpbl.v16i2.33610</w:t>
      </w:r>
    </w:p>
    <w:p w14:paraId="2051BE0A" w14:textId="77777777" w:rsidR="00011C13" w:rsidRPr="00011C13" w:rsidRDefault="00011C13" w:rsidP="00011C13">
      <w:pPr>
        <w:ind w:left="900" w:hanging="900"/>
        <w:rPr>
          <w:sz w:val="22"/>
        </w:rPr>
      </w:pPr>
      <w:r w:rsidRPr="00011C13">
        <w:rPr>
          <w:sz w:val="22"/>
        </w:rPr>
        <w:t xml:space="preserve">Mary, T., White, L., &amp; Gonzales, R. (2021). Teacher content knowledge and student engagement: </w:t>
      </w:r>
      <w:r w:rsidRPr="00011C13">
        <w:rPr>
          <w:i/>
          <w:sz w:val="22"/>
        </w:rPr>
        <w:t>A longitudinal study. Education Review, 29</w:t>
      </w:r>
      <w:r w:rsidRPr="00011C13">
        <w:rPr>
          <w:sz w:val="22"/>
        </w:rPr>
        <w:t>(5), 402–418.</w:t>
      </w:r>
    </w:p>
    <w:p w14:paraId="7AF44D30" w14:textId="77777777" w:rsidR="00011C13" w:rsidRPr="00011C13" w:rsidRDefault="00011C13" w:rsidP="00011C13">
      <w:pPr>
        <w:ind w:left="900" w:hanging="900"/>
        <w:rPr>
          <w:sz w:val="22"/>
        </w:rPr>
      </w:pPr>
      <w:r w:rsidRPr="00011C13">
        <w:rPr>
          <w:sz w:val="22"/>
        </w:rPr>
        <w:t xml:space="preserve">Michael, D. (2023). Multimodal instruction and math comprehension among struggling learners. </w:t>
      </w:r>
      <w:r w:rsidRPr="00011C13">
        <w:rPr>
          <w:i/>
          <w:sz w:val="22"/>
        </w:rPr>
        <w:t>Journal of Learning Disabilities, 56</w:t>
      </w:r>
      <w:r w:rsidRPr="00011C13">
        <w:rPr>
          <w:sz w:val="22"/>
        </w:rPr>
        <w:t>(1), 35–48.</w:t>
      </w:r>
    </w:p>
    <w:p w14:paraId="09421630" w14:textId="77777777" w:rsidR="00011C13" w:rsidRPr="00011C13" w:rsidRDefault="00011C13" w:rsidP="00011C13">
      <w:pPr>
        <w:ind w:left="900" w:hanging="900"/>
        <w:rPr>
          <w:sz w:val="22"/>
        </w:rPr>
      </w:pPr>
      <w:r w:rsidRPr="00011C13">
        <w:rPr>
          <w:sz w:val="22"/>
        </w:rPr>
        <w:t xml:space="preserve">Mohammed, S., Suleiman, I., &amp; Musa, L. (2024). Mindfulness interventions to reduce math anxiety. </w:t>
      </w:r>
      <w:r w:rsidRPr="00011C13">
        <w:rPr>
          <w:i/>
          <w:sz w:val="22"/>
        </w:rPr>
        <w:t>Psychology in the Schools, 61</w:t>
      </w:r>
      <w:r w:rsidRPr="00011C13">
        <w:rPr>
          <w:sz w:val="22"/>
        </w:rPr>
        <w:t>(1), 56–70.</w:t>
      </w:r>
    </w:p>
    <w:p w14:paraId="4759EAB5" w14:textId="77777777" w:rsidR="00011C13" w:rsidRPr="00011C13" w:rsidRDefault="00011C13" w:rsidP="00011C13">
      <w:pPr>
        <w:ind w:left="900" w:hanging="900"/>
        <w:rPr>
          <w:sz w:val="22"/>
        </w:rPr>
      </w:pPr>
      <w:proofErr w:type="spellStart"/>
      <w:r w:rsidRPr="00011C13">
        <w:rPr>
          <w:sz w:val="22"/>
        </w:rPr>
        <w:t>Pekrun</w:t>
      </w:r>
      <w:proofErr w:type="spellEnd"/>
      <w:r w:rsidRPr="00011C13">
        <w:rPr>
          <w:sz w:val="22"/>
        </w:rPr>
        <w:t xml:space="preserve">, R., Goetz, T., Frenzel, A. C., </w:t>
      </w:r>
      <w:proofErr w:type="spellStart"/>
      <w:r w:rsidRPr="00011C13">
        <w:rPr>
          <w:sz w:val="22"/>
        </w:rPr>
        <w:t>Barchfeld</w:t>
      </w:r>
      <w:proofErr w:type="spellEnd"/>
      <w:r w:rsidRPr="00011C13">
        <w:rPr>
          <w:sz w:val="22"/>
        </w:rPr>
        <w:t xml:space="preserve">, P., &amp; Perry, R. P. (2017). Emotion and achievement in mathematics: A longitudinal study. </w:t>
      </w:r>
      <w:r w:rsidRPr="00011C13">
        <w:rPr>
          <w:i/>
          <w:sz w:val="22"/>
        </w:rPr>
        <w:t>Journal of Educational Psychology, 109</w:t>
      </w:r>
      <w:r w:rsidRPr="00011C13">
        <w:rPr>
          <w:sz w:val="22"/>
        </w:rPr>
        <w:t>(5), 700–715.</w:t>
      </w:r>
    </w:p>
    <w:p w14:paraId="5F8DEF3A"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Peters-George, M. E. (2021). </w:t>
      </w:r>
      <w:r w:rsidRPr="00011C13">
        <w:rPr>
          <w:rFonts w:eastAsia="Times New Roman"/>
          <w:i/>
          <w:iCs/>
          <w:sz w:val="22"/>
        </w:rPr>
        <w:t>Mathematics teachers’ pedagogical content knowledge and its relation to student achievement</w:t>
      </w:r>
      <w:r w:rsidRPr="00011C13">
        <w:rPr>
          <w:rFonts w:eastAsia="Times New Roman"/>
          <w:sz w:val="22"/>
        </w:rPr>
        <w:t xml:space="preserve"> (Doctoral dissertation, Walden University). https://scholarworks.waldenu.edu/dissertations/11210/</w:t>
      </w:r>
    </w:p>
    <w:p w14:paraId="631F7D3A" w14:textId="77777777" w:rsidR="00011C13" w:rsidRPr="00011C13" w:rsidRDefault="00011C13" w:rsidP="00011C13">
      <w:pPr>
        <w:ind w:left="900" w:hanging="900"/>
        <w:rPr>
          <w:sz w:val="22"/>
        </w:rPr>
      </w:pPr>
      <w:r w:rsidRPr="00011C13">
        <w:rPr>
          <w:sz w:val="22"/>
        </w:rPr>
        <w:t xml:space="preserve">Pomerantz, E. M., Ng, F. F. Y., Cheung, C. S. S., &amp; Qu, Y. (2020). Parents’ role in math self-concept development across transitions. </w:t>
      </w:r>
      <w:r w:rsidRPr="00011C13">
        <w:rPr>
          <w:i/>
          <w:sz w:val="22"/>
        </w:rPr>
        <w:t>Journal of School Psychology, 80</w:t>
      </w:r>
      <w:r w:rsidRPr="00011C13">
        <w:rPr>
          <w:sz w:val="22"/>
        </w:rPr>
        <w:t>, 1–15.</w:t>
      </w:r>
    </w:p>
    <w:p w14:paraId="4A140F42" w14:textId="77777777" w:rsidR="00011C13" w:rsidRPr="00011C13" w:rsidRDefault="00011C13" w:rsidP="00011C13">
      <w:pPr>
        <w:ind w:left="900" w:hanging="900"/>
        <w:rPr>
          <w:sz w:val="22"/>
        </w:rPr>
      </w:pPr>
      <w:r w:rsidRPr="00011C13">
        <w:rPr>
          <w:sz w:val="22"/>
        </w:rPr>
        <w:t xml:space="preserve">Reschke, L., Davies, P., &amp; Mack, A. (2023). Classroom resources and sustained engagement. </w:t>
      </w:r>
      <w:r w:rsidRPr="00011C13">
        <w:rPr>
          <w:i/>
          <w:sz w:val="22"/>
        </w:rPr>
        <w:t>Journal of Classroom Interaction, 58</w:t>
      </w:r>
      <w:r w:rsidRPr="00011C13">
        <w:rPr>
          <w:sz w:val="22"/>
        </w:rPr>
        <w:t>(2), 112–126.</w:t>
      </w:r>
    </w:p>
    <w:p w14:paraId="7E9A341C" w14:textId="77777777" w:rsidR="00011C13" w:rsidRPr="00011C13" w:rsidRDefault="00011C13" w:rsidP="00011C13">
      <w:pPr>
        <w:ind w:left="900" w:hanging="900"/>
        <w:rPr>
          <w:sz w:val="22"/>
        </w:rPr>
      </w:pPr>
      <w:proofErr w:type="spellStart"/>
      <w:r w:rsidRPr="00011C13">
        <w:rPr>
          <w:sz w:val="22"/>
        </w:rPr>
        <w:t>Rosyita</w:t>
      </w:r>
      <w:proofErr w:type="spellEnd"/>
      <w:r w:rsidRPr="00011C13">
        <w:rPr>
          <w:sz w:val="22"/>
        </w:rPr>
        <w:t xml:space="preserve">, R., &amp; </w:t>
      </w:r>
      <w:proofErr w:type="spellStart"/>
      <w:r w:rsidRPr="00011C13">
        <w:rPr>
          <w:sz w:val="22"/>
        </w:rPr>
        <w:t>Supahar</w:t>
      </w:r>
      <w:proofErr w:type="spellEnd"/>
      <w:r w:rsidRPr="00011C13">
        <w:rPr>
          <w:sz w:val="22"/>
        </w:rPr>
        <w:t xml:space="preserve">, U. (2019). Diagnostic interviews as a tool to understand algebra misconceptions. </w:t>
      </w:r>
      <w:r w:rsidRPr="00011C13">
        <w:rPr>
          <w:i/>
          <w:sz w:val="22"/>
        </w:rPr>
        <w:t>Journal of Mathematical Education, 18</w:t>
      </w:r>
      <w:r w:rsidRPr="00011C13">
        <w:rPr>
          <w:sz w:val="22"/>
        </w:rPr>
        <w:t>(3), 89–102.</w:t>
      </w:r>
    </w:p>
    <w:p w14:paraId="7CCE0DE7" w14:textId="77777777" w:rsidR="00011C13" w:rsidRPr="00011C13" w:rsidRDefault="00011C13" w:rsidP="00011C13">
      <w:pPr>
        <w:ind w:left="900" w:hanging="900"/>
        <w:rPr>
          <w:sz w:val="22"/>
        </w:rPr>
      </w:pPr>
      <w:r w:rsidRPr="00011C13">
        <w:rPr>
          <w:sz w:val="22"/>
        </w:rPr>
        <w:lastRenderedPageBreak/>
        <w:t xml:space="preserve">Russo, M., &amp; Minas, I. (2021). Collaborative learning and conceptual growth in mathematics. </w:t>
      </w:r>
      <w:r w:rsidRPr="00011C13">
        <w:rPr>
          <w:i/>
          <w:sz w:val="22"/>
        </w:rPr>
        <w:t>International Journal of Science and Math Education, 19</w:t>
      </w:r>
      <w:r w:rsidRPr="00011C13">
        <w:rPr>
          <w:sz w:val="22"/>
        </w:rPr>
        <w:t>(7), 1209–1225.</w:t>
      </w:r>
    </w:p>
    <w:p w14:paraId="07F86150" w14:textId="77777777" w:rsidR="00011C13" w:rsidRPr="00011C13" w:rsidRDefault="00011C13" w:rsidP="00011C13">
      <w:pPr>
        <w:ind w:left="900" w:hanging="900"/>
      </w:pPr>
      <w:r w:rsidRPr="00011C13">
        <w:rPr>
          <w:sz w:val="22"/>
        </w:rPr>
        <w:t xml:space="preserve">Salimaco, R. A. (2020). Mathematics achievement of senior high school students: Impact of study habits and anxiety. </w:t>
      </w:r>
      <w:r w:rsidRPr="00011C13">
        <w:rPr>
          <w:i/>
          <w:sz w:val="22"/>
        </w:rPr>
        <w:t>International Journal of English and Education</w:t>
      </w:r>
      <w:r w:rsidRPr="00011C13">
        <w:rPr>
          <w:sz w:val="22"/>
        </w:rPr>
        <w:t xml:space="preserve">, </w:t>
      </w:r>
      <w:r w:rsidRPr="00011C13">
        <w:rPr>
          <w:i/>
          <w:sz w:val="22"/>
        </w:rPr>
        <w:t>9</w:t>
      </w:r>
      <w:r w:rsidRPr="00011C13">
        <w:rPr>
          <w:sz w:val="22"/>
        </w:rPr>
        <w:t xml:space="preserve">(3), 202–213. </w:t>
      </w:r>
      <w:hyperlink r:id="rId7" w:history="1">
        <w:r w:rsidRPr="00011C13">
          <w:rPr>
            <w:rStyle w:val="Hyperlink"/>
            <w:color w:val="auto"/>
            <w:sz w:val="22"/>
            <w:u w:val="none"/>
          </w:rPr>
          <w:t>https://www.researchgate.net/publication/343276344</w:t>
        </w:r>
      </w:hyperlink>
    </w:p>
    <w:p w14:paraId="5EBA006B" w14:textId="77777777" w:rsidR="00011C13" w:rsidRPr="00011C13" w:rsidRDefault="00011C13" w:rsidP="00011C13">
      <w:pPr>
        <w:pStyle w:val="NoSpacing"/>
        <w:ind w:left="900" w:hanging="900"/>
        <w:jc w:val="both"/>
        <w:rPr>
          <w:rStyle w:val="Hyperlink"/>
          <w:color w:val="auto"/>
          <w:u w:val="none"/>
        </w:rPr>
      </w:pPr>
      <w:r w:rsidRPr="00011C13">
        <w:rPr>
          <w:rFonts w:ascii="Times New Roman" w:hAnsi="Times New Roman" w:cs="Times New Roman"/>
        </w:rPr>
        <w:t xml:space="preserve">Salimaco, R. A. (2022). </w:t>
      </w:r>
      <w:r w:rsidRPr="00011C13">
        <w:rPr>
          <w:rFonts w:ascii="Times New Roman" w:hAnsi="Times New Roman" w:cs="Times New Roman"/>
          <w:iCs/>
        </w:rPr>
        <w:t>Teaching mathematics virtually in higher education amidst the pandemic: A phenomenological inquiry.</w:t>
      </w:r>
      <w:r w:rsidRPr="00011C13">
        <w:rPr>
          <w:rFonts w:ascii="Times New Roman" w:hAnsi="Times New Roman" w:cs="Times New Roman"/>
        </w:rPr>
        <w:t xml:space="preserve"> </w:t>
      </w:r>
      <w:r w:rsidRPr="00011C13">
        <w:rPr>
          <w:rFonts w:ascii="Times New Roman" w:hAnsi="Times New Roman" w:cs="Times New Roman"/>
          <w:i/>
          <w:iCs/>
        </w:rPr>
        <w:t>MIER Journal of Educational Studies, Trends &amp; Practices</w:t>
      </w:r>
      <w:r w:rsidRPr="00011C13">
        <w:rPr>
          <w:rFonts w:ascii="Times New Roman" w:hAnsi="Times New Roman" w:cs="Times New Roman"/>
        </w:rPr>
        <w:t xml:space="preserve">, </w:t>
      </w:r>
      <w:r w:rsidRPr="00011C13">
        <w:rPr>
          <w:rFonts w:ascii="Times New Roman" w:hAnsi="Times New Roman" w:cs="Times New Roman"/>
          <w:i/>
          <w:iCs/>
        </w:rPr>
        <w:t>12</w:t>
      </w:r>
      <w:r w:rsidRPr="00011C13">
        <w:rPr>
          <w:rFonts w:ascii="Times New Roman" w:hAnsi="Times New Roman" w:cs="Times New Roman"/>
        </w:rPr>
        <w:t xml:space="preserve">(2), 45–53. </w:t>
      </w:r>
      <w:hyperlink r:id="rId8" w:history="1">
        <w:r w:rsidRPr="00011C13">
          <w:rPr>
            <w:rStyle w:val="Hyperlink"/>
            <w:rFonts w:ascii="Times New Roman" w:hAnsi="Times New Roman" w:cs="Times New Roman"/>
            <w:color w:val="auto"/>
            <w:u w:val="none"/>
          </w:rPr>
          <w:t>https://www.mierjs.in/index.php/mjestp/article/view/2426</w:t>
        </w:r>
      </w:hyperlink>
    </w:p>
    <w:p w14:paraId="20AEF837" w14:textId="77777777" w:rsidR="00011C13" w:rsidRPr="00011C13" w:rsidRDefault="00011C13" w:rsidP="00011C13">
      <w:pPr>
        <w:ind w:left="900" w:hanging="900"/>
        <w:jc w:val="left"/>
        <w:rPr>
          <w:rFonts w:eastAsia="Times New Roman"/>
          <w:sz w:val="22"/>
        </w:rPr>
      </w:pPr>
      <w:r w:rsidRPr="00011C13">
        <w:rPr>
          <w:rFonts w:eastAsia="Times New Roman"/>
          <w:sz w:val="22"/>
        </w:rPr>
        <w:t xml:space="preserve">Shulman, L. S. (1986). Those who understand: Knowledge growth in teaching. </w:t>
      </w:r>
      <w:r w:rsidRPr="00011C13">
        <w:rPr>
          <w:rFonts w:eastAsia="Times New Roman"/>
          <w:i/>
          <w:iCs/>
          <w:sz w:val="22"/>
        </w:rPr>
        <w:t>Educational Researcher, 15</w:t>
      </w:r>
      <w:r w:rsidRPr="00011C13">
        <w:rPr>
          <w:rFonts w:eastAsia="Times New Roman"/>
          <w:sz w:val="22"/>
        </w:rPr>
        <w:t>(2), 4–14. https://doi.org/10.3102/0013189X015002004</w:t>
      </w:r>
    </w:p>
    <w:p w14:paraId="73752CAB" w14:textId="77777777" w:rsidR="00011C13" w:rsidRPr="00011C13" w:rsidRDefault="00011C13" w:rsidP="00011C13">
      <w:pPr>
        <w:ind w:left="900" w:hanging="900"/>
        <w:rPr>
          <w:sz w:val="22"/>
        </w:rPr>
      </w:pPr>
      <w:r w:rsidRPr="00011C13">
        <w:rPr>
          <w:sz w:val="22"/>
        </w:rPr>
        <w:t xml:space="preserve">Sweeney, M., &amp; Featherstone, S. (2016). Teacher enthusiasm and student interest in secondary math. </w:t>
      </w:r>
      <w:r w:rsidRPr="00011C13">
        <w:rPr>
          <w:i/>
          <w:sz w:val="22"/>
        </w:rPr>
        <w:t>Educational Studies, 42</w:t>
      </w:r>
      <w:r w:rsidRPr="00011C13">
        <w:rPr>
          <w:sz w:val="22"/>
        </w:rPr>
        <w:t>(2), 201–215.</w:t>
      </w:r>
    </w:p>
    <w:p w14:paraId="713FA264" w14:textId="77777777" w:rsidR="00011C13" w:rsidRPr="00011C13" w:rsidRDefault="00011C13" w:rsidP="00011C13">
      <w:pPr>
        <w:ind w:left="900" w:hanging="900"/>
        <w:rPr>
          <w:sz w:val="22"/>
        </w:rPr>
      </w:pPr>
      <w:r w:rsidRPr="00011C13">
        <w:rPr>
          <w:sz w:val="22"/>
        </w:rPr>
        <w:t xml:space="preserve">Vergara, H., Delgado, L., &amp; Fajardo, C. (2019). Linking lesson objectives to student motivation. </w:t>
      </w:r>
      <w:r w:rsidRPr="00011C13">
        <w:rPr>
          <w:i/>
          <w:sz w:val="22"/>
        </w:rPr>
        <w:t>Teaching and Teacher Education, 83</w:t>
      </w:r>
      <w:r w:rsidRPr="00011C13">
        <w:rPr>
          <w:sz w:val="22"/>
        </w:rPr>
        <w:t>, 15–27.</w:t>
      </w:r>
    </w:p>
    <w:p w14:paraId="3145C35A" w14:textId="77777777" w:rsidR="00011C13" w:rsidRPr="00011C13" w:rsidRDefault="00011C13" w:rsidP="00011C13">
      <w:pPr>
        <w:ind w:left="900" w:hanging="900"/>
        <w:rPr>
          <w:sz w:val="22"/>
        </w:rPr>
      </w:pPr>
      <w:r w:rsidRPr="00011C13">
        <w:rPr>
          <w:sz w:val="22"/>
        </w:rPr>
        <w:t xml:space="preserve">Wang, M.-T., &amp; Eccles, J. S. (2015). Developmental trajectories of math competence beliefs. </w:t>
      </w:r>
      <w:r w:rsidRPr="00011C13">
        <w:rPr>
          <w:i/>
          <w:sz w:val="22"/>
        </w:rPr>
        <w:t>Developmental Psychology, 51</w:t>
      </w:r>
      <w:r w:rsidRPr="00011C13">
        <w:rPr>
          <w:sz w:val="22"/>
        </w:rPr>
        <w:t>(1), 54–68.</w:t>
      </w:r>
    </w:p>
    <w:p w14:paraId="5C641242" w14:textId="77777777" w:rsidR="00011C13" w:rsidRPr="00011C13" w:rsidRDefault="00011C13" w:rsidP="00011C13">
      <w:pPr>
        <w:ind w:left="900" w:hanging="900"/>
        <w:rPr>
          <w:sz w:val="22"/>
        </w:rPr>
      </w:pPr>
      <w:proofErr w:type="spellStart"/>
      <w:r w:rsidRPr="00011C13">
        <w:rPr>
          <w:sz w:val="22"/>
        </w:rPr>
        <w:t>Yudvir</w:t>
      </w:r>
      <w:proofErr w:type="spellEnd"/>
      <w:r w:rsidRPr="00011C13">
        <w:rPr>
          <w:sz w:val="22"/>
        </w:rPr>
        <w:t xml:space="preserve">, C., Patel, S., &amp; Gomez, E. (2024). Real-life case discussions to sustain math interest. </w:t>
      </w:r>
      <w:r w:rsidRPr="00011C13">
        <w:rPr>
          <w:i/>
          <w:sz w:val="22"/>
        </w:rPr>
        <w:t>Journal of Mathematics Education, 50</w:t>
      </w:r>
      <w:r w:rsidRPr="00011C13">
        <w:rPr>
          <w:sz w:val="22"/>
        </w:rPr>
        <w:t>(1), 24–38.</w:t>
      </w:r>
    </w:p>
    <w:p w14:paraId="1809D802" w14:textId="77777777" w:rsidR="00E236F0" w:rsidRDefault="00011C13" w:rsidP="00E236F0">
      <w:pPr>
        <w:ind w:left="900" w:hanging="900"/>
        <w:rPr>
          <w:sz w:val="22"/>
        </w:rPr>
      </w:pPr>
      <w:r w:rsidRPr="00011C13">
        <w:rPr>
          <w:sz w:val="22"/>
        </w:rPr>
        <w:t xml:space="preserve">Yujin, K., Park, S., &amp; Kim, H. (2018). Problem-posing activities and student curiosity. </w:t>
      </w:r>
      <w:r w:rsidRPr="00011C13">
        <w:rPr>
          <w:i/>
          <w:sz w:val="22"/>
        </w:rPr>
        <w:t>International Journal of Instruction, 11</w:t>
      </w:r>
      <w:r w:rsidRPr="00011C13">
        <w:rPr>
          <w:sz w:val="22"/>
        </w:rPr>
        <w:t>(4), 117–134.</w:t>
      </w:r>
    </w:p>
    <w:p w14:paraId="368B9C17" w14:textId="77777777" w:rsidR="00E236F0" w:rsidRPr="00E236F0" w:rsidRDefault="00E236F0" w:rsidP="00E236F0">
      <w:pPr>
        <w:ind w:left="900" w:hanging="900"/>
        <w:rPr>
          <w:sz w:val="20"/>
        </w:rPr>
      </w:pPr>
      <w:r w:rsidRPr="00E236F0">
        <w:rPr>
          <w:rFonts w:eastAsia="Times New Roman"/>
          <w:sz w:val="22"/>
        </w:rPr>
        <w:t xml:space="preserve">Ibrahim, S. M., &amp; Mohan, G. R. (2021). Teacher quality, self-concept, and student engagement in mathematics. </w:t>
      </w:r>
      <w:r w:rsidRPr="00E236F0">
        <w:rPr>
          <w:rFonts w:eastAsia="Times New Roman"/>
          <w:i/>
          <w:iCs/>
          <w:sz w:val="22"/>
        </w:rPr>
        <w:t>Journal of Educational Research and Practice, 11</w:t>
      </w:r>
      <w:r w:rsidRPr="00E236F0">
        <w:rPr>
          <w:rFonts w:eastAsia="Times New Roman"/>
          <w:sz w:val="22"/>
        </w:rPr>
        <w:t>(2), 67–80. https://doi.org/10.5590/JERAP.2021.11.2.05</w:t>
      </w:r>
    </w:p>
    <w:p w14:paraId="102B38B6" w14:textId="77777777" w:rsidR="00E236F0" w:rsidRPr="00E236F0" w:rsidRDefault="00E236F0" w:rsidP="00E236F0">
      <w:pPr>
        <w:ind w:left="900" w:hanging="900"/>
        <w:rPr>
          <w:sz w:val="20"/>
        </w:rPr>
      </w:pPr>
      <w:r w:rsidRPr="00E236F0">
        <w:rPr>
          <w:rFonts w:eastAsia="Times New Roman"/>
          <w:sz w:val="22"/>
        </w:rPr>
        <w:t xml:space="preserve">Liu, Q., &amp; Wang, Y. (2022). The role of pedagogical content knowledge in fostering student interest in secondary mathematics. </w:t>
      </w:r>
      <w:r w:rsidRPr="00E236F0">
        <w:rPr>
          <w:rFonts w:eastAsia="Times New Roman"/>
          <w:i/>
          <w:iCs/>
          <w:sz w:val="22"/>
        </w:rPr>
        <w:t>International Journal of Science and Mathematics Education, 20</w:t>
      </w:r>
      <w:r w:rsidRPr="00E236F0">
        <w:rPr>
          <w:rFonts w:eastAsia="Times New Roman"/>
          <w:sz w:val="22"/>
        </w:rPr>
        <w:t>(4), 789–804. https://doi.org/10.1007/s10763-021-10234-7</w:t>
      </w:r>
    </w:p>
    <w:p w14:paraId="63916C80" w14:textId="77777777" w:rsidR="005E19F7" w:rsidRDefault="00E236F0" w:rsidP="005E19F7">
      <w:pPr>
        <w:ind w:left="900" w:hanging="900"/>
        <w:rPr>
          <w:sz w:val="20"/>
        </w:rPr>
      </w:pPr>
      <w:r w:rsidRPr="00E236F0">
        <w:rPr>
          <w:rFonts w:eastAsia="Times New Roman"/>
          <w:sz w:val="22"/>
        </w:rPr>
        <w:t xml:space="preserve">Reyes, M. A., Torres, J. M., &amp; Beltran, K. V. (2023). Math self-concept as a predictor of interest and motivation among junior high school learners. </w:t>
      </w:r>
      <w:r w:rsidRPr="00E236F0">
        <w:rPr>
          <w:rFonts w:eastAsia="Times New Roman"/>
          <w:i/>
          <w:iCs/>
          <w:sz w:val="22"/>
        </w:rPr>
        <w:t>Asia Pacific Journal of Educational Psychology, 5</w:t>
      </w:r>
      <w:r w:rsidRPr="00E236F0">
        <w:rPr>
          <w:rFonts w:eastAsia="Times New Roman"/>
          <w:sz w:val="22"/>
        </w:rPr>
        <w:t>(1), 23–35. https://doi.org/10.32412/APJEP.2023.5.1.23</w:t>
      </w:r>
    </w:p>
    <w:p w14:paraId="0FFC9287" w14:textId="416F3D5A" w:rsidR="005E19F7" w:rsidRPr="005E19F7" w:rsidRDefault="005E19F7" w:rsidP="005E19F7">
      <w:pPr>
        <w:ind w:left="900" w:hanging="900"/>
        <w:rPr>
          <w:sz w:val="20"/>
        </w:rPr>
      </w:pPr>
      <w:r w:rsidRPr="005E19F7">
        <w:rPr>
          <w:rFonts w:eastAsia="Times New Roman"/>
        </w:rPr>
        <w:t xml:space="preserve">Ahmed, S. N., &amp; Bautista, A. G. (2021). Linking student self-beliefs and teacher practices to learning engagement in mathematics. </w:t>
      </w:r>
      <w:r w:rsidRPr="005E19F7">
        <w:rPr>
          <w:rFonts w:eastAsia="Times New Roman"/>
          <w:i/>
          <w:iCs/>
        </w:rPr>
        <w:t>Journal of Educational Studies in Asia, 9</w:t>
      </w:r>
      <w:r w:rsidRPr="005E19F7">
        <w:rPr>
          <w:rFonts w:eastAsia="Times New Roman"/>
        </w:rPr>
        <w:t>(1), 44–59. https://doi.org/10.32989/jesa.2021.9.1.44</w:t>
      </w:r>
    </w:p>
    <w:p w14:paraId="4252738E" w14:textId="77777777" w:rsidR="00FA199C" w:rsidRDefault="00FA199C" w:rsidP="00352318"/>
    <w:sectPr w:rsidR="00FA199C" w:rsidSect="00AD69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1D75" w14:textId="77777777" w:rsidR="005832F1" w:rsidRDefault="005832F1" w:rsidP="003E3DD3">
      <w:r>
        <w:separator/>
      </w:r>
    </w:p>
  </w:endnote>
  <w:endnote w:type="continuationSeparator" w:id="0">
    <w:p w14:paraId="3F1BF5E8" w14:textId="77777777" w:rsidR="005832F1" w:rsidRDefault="005832F1" w:rsidP="003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DAF8" w14:textId="77777777" w:rsidR="003E3DD3" w:rsidRDefault="003E3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41B4" w14:textId="77777777" w:rsidR="003E3DD3" w:rsidRDefault="003E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0DF84" w14:textId="77777777" w:rsidR="003E3DD3" w:rsidRDefault="003E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9B1A2" w14:textId="77777777" w:rsidR="005832F1" w:rsidRDefault="005832F1" w:rsidP="003E3DD3">
      <w:r>
        <w:separator/>
      </w:r>
    </w:p>
  </w:footnote>
  <w:footnote w:type="continuationSeparator" w:id="0">
    <w:p w14:paraId="522E3659" w14:textId="77777777" w:rsidR="005832F1" w:rsidRDefault="005832F1" w:rsidP="003E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C344" w14:textId="7FFBD28F" w:rsidR="003E3DD3" w:rsidRDefault="003E3DD3">
    <w:pPr>
      <w:pStyle w:val="Header"/>
    </w:pPr>
    <w:r>
      <w:rPr>
        <w:noProof/>
      </w:rPr>
      <w:pict w14:anchorId="3FCEE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E4C7" w14:textId="4BC38AD2" w:rsidR="003E3DD3" w:rsidRDefault="003E3DD3">
    <w:pPr>
      <w:pStyle w:val="Header"/>
    </w:pPr>
    <w:r>
      <w:rPr>
        <w:noProof/>
      </w:rPr>
      <w:pict w14:anchorId="2861D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C809" w14:textId="76BABB30" w:rsidR="003E3DD3" w:rsidRDefault="003E3DD3">
    <w:pPr>
      <w:pStyle w:val="Header"/>
    </w:pPr>
    <w:r>
      <w:rPr>
        <w:noProof/>
      </w:rPr>
      <w:pict w14:anchorId="0214E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91D81F"/>
    <w:multiLevelType w:val="singleLevel"/>
    <w:tmpl w:val="F991D81F"/>
    <w:lvl w:ilvl="0">
      <w:start w:val="1"/>
      <w:numFmt w:val="lowerLetter"/>
      <w:lvlText w:val="%1."/>
      <w:lvlJc w:val="left"/>
      <w:pPr>
        <w:tabs>
          <w:tab w:val="left" w:pos="1265"/>
        </w:tabs>
        <w:ind w:left="1265" w:hanging="425"/>
      </w:pPr>
    </w:lvl>
  </w:abstractNum>
  <w:abstractNum w:abstractNumId="1" w15:restartNumberingAfterBreak="0">
    <w:nsid w:val="1747BA2F"/>
    <w:multiLevelType w:val="singleLevel"/>
    <w:tmpl w:val="1747BA2F"/>
    <w:lvl w:ilvl="0">
      <w:start w:val="1"/>
      <w:numFmt w:val="lowerLetter"/>
      <w:lvlText w:val="%1."/>
      <w:lvlJc w:val="left"/>
      <w:pPr>
        <w:tabs>
          <w:tab w:val="left" w:pos="1265"/>
        </w:tabs>
        <w:ind w:left="1265" w:hanging="425"/>
      </w:pPr>
      <w:rPr>
        <w:rFonts w:ascii="Bookman Old Style" w:hAnsi="Bookman Old Style" w:cs="Bookman Old Style" w:hint="default"/>
        <w:sz w:val="24"/>
        <w:szCs w:val="24"/>
      </w:rPr>
    </w:lvl>
  </w:abstractNum>
  <w:abstractNum w:abstractNumId="2" w15:restartNumberingAfterBreak="0">
    <w:nsid w:val="19645740"/>
    <w:multiLevelType w:val="singleLevel"/>
    <w:tmpl w:val="19645740"/>
    <w:lvl w:ilvl="0">
      <w:start w:val="1"/>
      <w:numFmt w:val="decimal"/>
      <w:lvlText w:val="%1."/>
      <w:lvlJc w:val="left"/>
      <w:pPr>
        <w:tabs>
          <w:tab w:val="left" w:pos="425"/>
        </w:tabs>
        <w:ind w:left="425" w:hanging="425"/>
      </w:pPr>
    </w:lvl>
  </w:abstractNum>
  <w:abstractNum w:abstractNumId="3" w15:restartNumberingAfterBreak="0">
    <w:nsid w:val="35C51AD5"/>
    <w:multiLevelType w:val="singleLevel"/>
    <w:tmpl w:val="35C51AD5"/>
    <w:lvl w:ilvl="0">
      <w:start w:val="1"/>
      <w:numFmt w:val="lowerLetter"/>
      <w:suff w:val="space"/>
      <w:lvlText w:val="%1."/>
      <w:lvlJc w:val="left"/>
      <w:pPr>
        <w:ind w:left="840" w:firstLine="0"/>
      </w:pPr>
    </w:lvl>
  </w:abstractNum>
  <w:abstractNum w:abstractNumId="4" w15:restartNumberingAfterBreak="0">
    <w:nsid w:val="45256D7A"/>
    <w:multiLevelType w:val="hybridMultilevel"/>
    <w:tmpl w:val="78B2B790"/>
    <w:lvl w:ilvl="0" w:tplc="EDCA0FC4">
      <w:start w:val="1"/>
      <w:numFmt w:val="lowerRoman"/>
      <w:lvlText w:val="%1)"/>
      <w:lvlJc w:val="left"/>
      <w:pPr>
        <w:ind w:left="1253" w:hanging="360"/>
      </w:pPr>
      <w:rPr>
        <w:rFonts w:ascii="Cambria" w:eastAsia="Cambria" w:hAnsi="Cambria" w:cs="Cambria" w:hint="default"/>
        <w:b w:val="0"/>
        <w:bCs w:val="0"/>
        <w:i w:val="0"/>
        <w:iCs w:val="0"/>
        <w:spacing w:val="0"/>
        <w:w w:val="78"/>
        <w:sz w:val="24"/>
        <w:szCs w:val="24"/>
        <w:lang w:val="en-US" w:eastAsia="en-US" w:bidi="ar-SA"/>
      </w:rPr>
    </w:lvl>
    <w:lvl w:ilvl="1" w:tplc="34090019" w:tentative="1">
      <w:start w:val="1"/>
      <w:numFmt w:val="lowerLetter"/>
      <w:lvlText w:val="%2."/>
      <w:lvlJc w:val="left"/>
      <w:pPr>
        <w:ind w:left="1973" w:hanging="360"/>
      </w:pPr>
    </w:lvl>
    <w:lvl w:ilvl="2" w:tplc="3409001B" w:tentative="1">
      <w:start w:val="1"/>
      <w:numFmt w:val="lowerRoman"/>
      <w:lvlText w:val="%3."/>
      <w:lvlJc w:val="right"/>
      <w:pPr>
        <w:ind w:left="2693" w:hanging="180"/>
      </w:pPr>
    </w:lvl>
    <w:lvl w:ilvl="3" w:tplc="3409000F" w:tentative="1">
      <w:start w:val="1"/>
      <w:numFmt w:val="decimal"/>
      <w:lvlText w:val="%4."/>
      <w:lvlJc w:val="left"/>
      <w:pPr>
        <w:ind w:left="3413" w:hanging="360"/>
      </w:pPr>
    </w:lvl>
    <w:lvl w:ilvl="4" w:tplc="34090019" w:tentative="1">
      <w:start w:val="1"/>
      <w:numFmt w:val="lowerLetter"/>
      <w:lvlText w:val="%5."/>
      <w:lvlJc w:val="left"/>
      <w:pPr>
        <w:ind w:left="4133" w:hanging="360"/>
      </w:pPr>
    </w:lvl>
    <w:lvl w:ilvl="5" w:tplc="3409001B" w:tentative="1">
      <w:start w:val="1"/>
      <w:numFmt w:val="lowerRoman"/>
      <w:lvlText w:val="%6."/>
      <w:lvlJc w:val="right"/>
      <w:pPr>
        <w:ind w:left="4853" w:hanging="180"/>
      </w:pPr>
    </w:lvl>
    <w:lvl w:ilvl="6" w:tplc="3409000F" w:tentative="1">
      <w:start w:val="1"/>
      <w:numFmt w:val="decimal"/>
      <w:lvlText w:val="%7."/>
      <w:lvlJc w:val="left"/>
      <w:pPr>
        <w:ind w:left="5573" w:hanging="360"/>
      </w:pPr>
    </w:lvl>
    <w:lvl w:ilvl="7" w:tplc="34090019" w:tentative="1">
      <w:start w:val="1"/>
      <w:numFmt w:val="lowerLetter"/>
      <w:lvlText w:val="%8."/>
      <w:lvlJc w:val="left"/>
      <w:pPr>
        <w:ind w:left="6293" w:hanging="360"/>
      </w:pPr>
    </w:lvl>
    <w:lvl w:ilvl="8" w:tplc="3409001B" w:tentative="1">
      <w:start w:val="1"/>
      <w:numFmt w:val="lowerRoman"/>
      <w:lvlText w:val="%9."/>
      <w:lvlJc w:val="right"/>
      <w:pPr>
        <w:ind w:left="7013" w:hanging="180"/>
      </w:pPr>
    </w:lvl>
  </w:abstractNum>
  <w:abstractNum w:abstractNumId="5" w15:restartNumberingAfterBreak="0">
    <w:nsid w:val="4AA60586"/>
    <w:multiLevelType w:val="singleLevel"/>
    <w:tmpl w:val="4AA60586"/>
    <w:lvl w:ilvl="0">
      <w:start w:val="1"/>
      <w:numFmt w:val="decimal"/>
      <w:lvlText w:val="%1."/>
      <w:lvlJc w:val="left"/>
      <w:pPr>
        <w:tabs>
          <w:tab w:val="left" w:pos="425"/>
        </w:tabs>
        <w:ind w:left="425" w:hanging="425"/>
      </w:pPr>
      <w:rPr>
        <w:rFonts w:hint="default"/>
      </w:rPr>
    </w:lvl>
  </w:abstractNum>
  <w:abstractNum w:abstractNumId="6" w15:restartNumberingAfterBreak="0">
    <w:nsid w:val="61AD6FC3"/>
    <w:multiLevelType w:val="multilevel"/>
    <w:tmpl w:val="61AD6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4A40A25"/>
    <w:multiLevelType w:val="multilevel"/>
    <w:tmpl w:val="C63C6A5A"/>
    <w:lvl w:ilvl="0">
      <w:start w:val="1"/>
      <w:numFmt w:val="decimal"/>
      <w:lvlText w:val="%1)"/>
      <w:lvlJc w:val="left"/>
      <w:pPr>
        <w:ind w:left="361" w:firstLine="0"/>
      </w:pPr>
      <w:rPr>
        <w:rFonts w:ascii="Bookman Old Style" w:hAnsi="Bookman Old Style" w:hint="default"/>
        <w:b w:val="0"/>
        <w:i w:val="0"/>
        <w:color w:val="000000"/>
        <w:sz w:val="24"/>
        <w:szCs w:val="24"/>
        <w:u w:color="000000"/>
      </w:rPr>
    </w:lvl>
    <w:lvl w:ilvl="1">
      <w:start w:val="1"/>
      <w:numFmt w:val="lowerRoman"/>
      <w:lvlText w:val="%2)"/>
      <w:lvlJc w:val="left"/>
      <w:pPr>
        <w:ind w:left="735" w:firstLine="0"/>
      </w:pPr>
      <w:rPr>
        <w:rFonts w:ascii="Bookman Old Style" w:hAnsi="Bookman Old Style" w:hint="default"/>
        <w:b w:val="0"/>
        <w:i w:val="0"/>
        <w:color w:val="000000"/>
        <w:sz w:val="24"/>
        <w:szCs w:val="24"/>
        <w:u w:color="000000"/>
      </w:rPr>
    </w:lvl>
    <w:lvl w:ilvl="2">
      <w:start w:val="1"/>
      <w:numFmt w:val="lowerRoman"/>
      <w:lvlText w:val="%3"/>
      <w:lvlJc w:val="left"/>
      <w:pPr>
        <w:ind w:left="1801" w:firstLine="0"/>
      </w:pPr>
      <w:rPr>
        <w:rFonts w:ascii="Bookman Old Style" w:hAnsi="Bookman Old Style" w:hint="default"/>
        <w:b w:val="0"/>
        <w:i w:val="0"/>
        <w:color w:val="000000"/>
        <w:sz w:val="24"/>
        <w:szCs w:val="24"/>
        <w:u w:color="000000"/>
      </w:rPr>
    </w:lvl>
    <w:lvl w:ilvl="3">
      <w:start w:val="1"/>
      <w:numFmt w:val="decimal"/>
      <w:lvlText w:val="%4"/>
      <w:lvlJc w:val="left"/>
      <w:pPr>
        <w:ind w:left="2521" w:firstLine="0"/>
      </w:pPr>
      <w:rPr>
        <w:rFonts w:ascii="Bookman Old Style" w:hAnsi="Bookman Old Style" w:hint="default"/>
        <w:b w:val="0"/>
        <w:i w:val="0"/>
        <w:color w:val="000000"/>
        <w:sz w:val="24"/>
        <w:szCs w:val="24"/>
        <w:u w:color="000000"/>
      </w:rPr>
    </w:lvl>
    <w:lvl w:ilvl="4">
      <w:start w:val="1"/>
      <w:numFmt w:val="lowerLetter"/>
      <w:lvlText w:val="%5"/>
      <w:lvlJc w:val="left"/>
      <w:pPr>
        <w:ind w:left="3241" w:firstLine="0"/>
      </w:pPr>
      <w:rPr>
        <w:rFonts w:ascii="Bookman Old Style" w:hAnsi="Bookman Old Style" w:hint="default"/>
        <w:b w:val="0"/>
        <w:i w:val="0"/>
        <w:color w:val="000000"/>
        <w:sz w:val="24"/>
        <w:szCs w:val="24"/>
        <w:u w:color="000000"/>
      </w:rPr>
    </w:lvl>
    <w:lvl w:ilvl="5">
      <w:start w:val="1"/>
      <w:numFmt w:val="lowerRoman"/>
      <w:lvlText w:val="%6"/>
      <w:lvlJc w:val="left"/>
      <w:pPr>
        <w:ind w:left="3961" w:firstLine="0"/>
      </w:pPr>
      <w:rPr>
        <w:rFonts w:ascii="Bookman Old Style" w:hAnsi="Bookman Old Style" w:hint="default"/>
        <w:b w:val="0"/>
        <w:i w:val="0"/>
        <w:color w:val="000000"/>
        <w:sz w:val="24"/>
        <w:szCs w:val="24"/>
        <w:u w:color="000000"/>
      </w:rPr>
    </w:lvl>
    <w:lvl w:ilvl="6">
      <w:start w:val="1"/>
      <w:numFmt w:val="decimal"/>
      <w:lvlText w:val="%7"/>
      <w:lvlJc w:val="left"/>
      <w:pPr>
        <w:ind w:left="4681" w:firstLine="0"/>
      </w:pPr>
      <w:rPr>
        <w:rFonts w:ascii="Bookman Old Style" w:hAnsi="Bookman Old Style" w:hint="default"/>
        <w:b w:val="0"/>
        <w:i w:val="0"/>
        <w:color w:val="000000"/>
        <w:sz w:val="24"/>
        <w:szCs w:val="24"/>
        <w:u w:color="000000"/>
      </w:rPr>
    </w:lvl>
    <w:lvl w:ilvl="7">
      <w:start w:val="1"/>
      <w:numFmt w:val="lowerLetter"/>
      <w:lvlText w:val="%8"/>
      <w:lvlJc w:val="left"/>
      <w:pPr>
        <w:ind w:left="5401" w:firstLine="0"/>
      </w:pPr>
      <w:rPr>
        <w:rFonts w:ascii="Bookman Old Style" w:hAnsi="Bookman Old Style" w:hint="default"/>
        <w:b w:val="0"/>
        <w:i w:val="0"/>
        <w:color w:val="000000"/>
        <w:sz w:val="24"/>
        <w:szCs w:val="24"/>
        <w:u w:color="000000"/>
      </w:rPr>
    </w:lvl>
    <w:lvl w:ilvl="8">
      <w:start w:val="1"/>
      <w:numFmt w:val="lowerRoman"/>
      <w:lvlText w:val="%9"/>
      <w:lvlJc w:val="left"/>
      <w:pPr>
        <w:ind w:left="6121" w:firstLine="0"/>
      </w:pPr>
      <w:rPr>
        <w:rFonts w:ascii="Bookman Old Style" w:hAnsi="Bookman Old Style" w:hint="default"/>
        <w:b w:val="0"/>
        <w:i w:val="0"/>
        <w:color w:val="000000"/>
        <w:sz w:val="24"/>
        <w:szCs w:val="24"/>
        <w:u w:color="000000"/>
      </w:rPr>
    </w:lvl>
  </w:abstractNum>
  <w:abstractNum w:abstractNumId="8" w15:restartNumberingAfterBreak="0">
    <w:nsid w:val="77BB4DAB"/>
    <w:multiLevelType w:val="singleLevel"/>
    <w:tmpl w:val="77BB4DAB"/>
    <w:lvl w:ilvl="0">
      <w:start w:val="1"/>
      <w:numFmt w:val="decimal"/>
      <w:suff w:val="space"/>
      <w:lvlText w:val="%1."/>
      <w:lvlJc w:val="left"/>
      <w:pPr>
        <w:ind w:left="0" w:firstLine="0"/>
      </w:pPr>
      <w:rPr>
        <w:b w:val="0"/>
        <w:bCs w:val="0"/>
      </w:rPr>
    </w:lvl>
  </w:abstractNum>
  <w:num w:numId="1">
    <w:abstractNumId w:val="8"/>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startOverride w:val="1"/>
    </w:lvlOverride>
  </w:num>
  <w:num w:numId="5">
    <w:abstractNumId w:val="2"/>
    <w:lvlOverride w:ilvl="0">
      <w:startOverride w:val="1"/>
    </w:lvlOverride>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6D"/>
    <w:rsid w:val="00011C13"/>
    <w:rsid w:val="00113C37"/>
    <w:rsid w:val="002E0AA5"/>
    <w:rsid w:val="00352318"/>
    <w:rsid w:val="003C3BDE"/>
    <w:rsid w:val="003E3DD3"/>
    <w:rsid w:val="00441CE1"/>
    <w:rsid w:val="004D7B4B"/>
    <w:rsid w:val="00575524"/>
    <w:rsid w:val="00577AA2"/>
    <w:rsid w:val="005832F1"/>
    <w:rsid w:val="005A3538"/>
    <w:rsid w:val="005C2EB9"/>
    <w:rsid w:val="005E19F7"/>
    <w:rsid w:val="005F45C2"/>
    <w:rsid w:val="00693F20"/>
    <w:rsid w:val="006C24BC"/>
    <w:rsid w:val="0071186D"/>
    <w:rsid w:val="00721BCF"/>
    <w:rsid w:val="007273B8"/>
    <w:rsid w:val="0087520C"/>
    <w:rsid w:val="008A0DB0"/>
    <w:rsid w:val="009F3242"/>
    <w:rsid w:val="00AD691C"/>
    <w:rsid w:val="00B1574B"/>
    <w:rsid w:val="00B53290"/>
    <w:rsid w:val="00D17771"/>
    <w:rsid w:val="00D7333F"/>
    <w:rsid w:val="00E236F0"/>
    <w:rsid w:val="00E259E3"/>
    <w:rsid w:val="00E369C8"/>
    <w:rsid w:val="00E758B8"/>
    <w:rsid w:val="00E94A44"/>
    <w:rsid w:val="00F46459"/>
    <w:rsid w:val="00FA199C"/>
    <w:rsid w:val="00FF4C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1E54D"/>
  <w15:chartTrackingRefBased/>
  <w15:docId w15:val="{F2424EF0-6642-4224-91C5-73039DF0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352318"/>
    <w:pPr>
      <w:spacing w:after="0" w:line="240" w:lineRule="auto"/>
      <w:jc w:val="both"/>
    </w:pPr>
    <w:rPr>
      <w:rFonts w:ascii="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11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8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8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8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8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8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8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8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8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8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8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86D"/>
    <w:rPr>
      <w:rFonts w:eastAsiaTheme="majorEastAsia" w:cstheme="majorBidi"/>
      <w:color w:val="272727" w:themeColor="text1" w:themeTint="D8"/>
    </w:rPr>
  </w:style>
  <w:style w:type="paragraph" w:styleId="Title">
    <w:name w:val="Title"/>
    <w:basedOn w:val="Normal"/>
    <w:next w:val="Normal"/>
    <w:link w:val="TitleChar"/>
    <w:uiPriority w:val="10"/>
    <w:qFormat/>
    <w:rsid w:val="007118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86D"/>
    <w:pPr>
      <w:spacing w:before="160"/>
      <w:jc w:val="center"/>
    </w:pPr>
    <w:rPr>
      <w:i/>
      <w:iCs/>
      <w:color w:val="404040" w:themeColor="text1" w:themeTint="BF"/>
    </w:rPr>
  </w:style>
  <w:style w:type="character" w:customStyle="1" w:styleId="QuoteChar">
    <w:name w:val="Quote Char"/>
    <w:basedOn w:val="DefaultParagraphFont"/>
    <w:link w:val="Quote"/>
    <w:uiPriority w:val="29"/>
    <w:rsid w:val="0071186D"/>
    <w:rPr>
      <w:i/>
      <w:iCs/>
      <w:color w:val="404040" w:themeColor="text1" w:themeTint="BF"/>
    </w:rPr>
  </w:style>
  <w:style w:type="paragraph" w:styleId="ListParagraph">
    <w:name w:val="List Paragraph"/>
    <w:basedOn w:val="Normal"/>
    <w:uiPriority w:val="34"/>
    <w:qFormat/>
    <w:rsid w:val="0071186D"/>
    <w:pPr>
      <w:ind w:left="720"/>
      <w:contextualSpacing/>
    </w:pPr>
  </w:style>
  <w:style w:type="character" w:styleId="IntenseEmphasis">
    <w:name w:val="Intense Emphasis"/>
    <w:basedOn w:val="DefaultParagraphFont"/>
    <w:uiPriority w:val="21"/>
    <w:qFormat/>
    <w:rsid w:val="0071186D"/>
    <w:rPr>
      <w:i/>
      <w:iCs/>
      <w:color w:val="2F5496" w:themeColor="accent1" w:themeShade="BF"/>
    </w:rPr>
  </w:style>
  <w:style w:type="paragraph" w:styleId="IntenseQuote">
    <w:name w:val="Intense Quote"/>
    <w:basedOn w:val="Normal"/>
    <w:next w:val="Normal"/>
    <w:link w:val="IntenseQuoteChar"/>
    <w:uiPriority w:val="30"/>
    <w:qFormat/>
    <w:rsid w:val="00711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86D"/>
    <w:rPr>
      <w:i/>
      <w:iCs/>
      <w:color w:val="2F5496" w:themeColor="accent1" w:themeShade="BF"/>
    </w:rPr>
  </w:style>
  <w:style w:type="character" w:styleId="IntenseReference">
    <w:name w:val="Intense Reference"/>
    <w:basedOn w:val="DefaultParagraphFont"/>
    <w:uiPriority w:val="32"/>
    <w:qFormat/>
    <w:rsid w:val="0071186D"/>
    <w:rPr>
      <w:b/>
      <w:bCs/>
      <w:smallCaps/>
      <w:color w:val="2F5496" w:themeColor="accent1" w:themeShade="BF"/>
      <w:spacing w:val="5"/>
    </w:rPr>
  </w:style>
  <w:style w:type="table" w:styleId="TableGrid">
    <w:name w:val="Table Grid"/>
    <w:basedOn w:val="TableNormal"/>
    <w:autoRedefine/>
    <w:qFormat/>
    <w:rsid w:val="0071186D"/>
    <w:pPr>
      <w:widowControl w:val="0"/>
      <w:spacing w:after="0" w:line="240" w:lineRule="auto"/>
      <w:jc w:val="both"/>
    </w:pPr>
    <w:rPr>
      <w:rFonts w:ascii="Times New Roman" w:eastAsia="SimSun" w:hAnsi="Times New Roman" w:cs="Times New Roman"/>
      <w:kern w:val="0"/>
      <w:sz w:val="20"/>
      <w:szCs w:val="20"/>
      <w:lang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sid w:val="0071186D"/>
    <w:rPr>
      <w:color w:val="0000FF"/>
      <w:u w:val="single"/>
    </w:rPr>
  </w:style>
  <w:style w:type="paragraph" w:styleId="NormalWeb">
    <w:name w:val="Normal (Web)"/>
    <w:autoRedefine/>
    <w:uiPriority w:val="99"/>
    <w:qFormat/>
    <w:rsid w:val="0071186D"/>
    <w:pPr>
      <w:spacing w:beforeAutospacing="1" w:after="0" w:afterAutospacing="1" w:line="240" w:lineRule="auto"/>
      <w:ind w:left="480" w:hanging="480"/>
    </w:pPr>
    <w:rPr>
      <w:rFonts w:ascii="Times New Roman" w:eastAsia="SimSun" w:hAnsi="Times New Roman" w:cs="Times New Roman"/>
      <w:color w:val="222222"/>
      <w:kern w:val="0"/>
      <w:sz w:val="24"/>
      <w:szCs w:val="24"/>
      <w:shd w:val="clear" w:color="auto" w:fill="FFFFFF"/>
      <w:lang w:val="en-US" w:eastAsia="zh-CN"/>
      <w14:ligatures w14:val="none"/>
    </w:rPr>
  </w:style>
  <w:style w:type="character" w:styleId="UnresolvedMention">
    <w:name w:val="Unresolved Mention"/>
    <w:basedOn w:val="DefaultParagraphFont"/>
    <w:uiPriority w:val="99"/>
    <w:semiHidden/>
    <w:unhideWhenUsed/>
    <w:rsid w:val="00113C37"/>
    <w:rPr>
      <w:color w:val="605E5C"/>
      <w:shd w:val="clear" w:color="auto" w:fill="E1DFDD"/>
    </w:rPr>
  </w:style>
  <w:style w:type="paragraph" w:styleId="NoSpacing">
    <w:name w:val="No Spacing"/>
    <w:uiPriority w:val="1"/>
    <w:qFormat/>
    <w:rsid w:val="007273B8"/>
    <w:pPr>
      <w:spacing w:after="0" w:line="240" w:lineRule="auto"/>
    </w:pPr>
    <w:rPr>
      <w:kern w:val="0"/>
      <w14:ligatures w14:val="none"/>
    </w:rPr>
  </w:style>
  <w:style w:type="character" w:styleId="Emphasis">
    <w:name w:val="Emphasis"/>
    <w:basedOn w:val="DefaultParagraphFont"/>
    <w:uiPriority w:val="20"/>
    <w:qFormat/>
    <w:rsid w:val="00011C13"/>
    <w:rPr>
      <w:i/>
      <w:iCs/>
    </w:rPr>
  </w:style>
  <w:style w:type="paragraph" w:styleId="Header">
    <w:name w:val="header"/>
    <w:basedOn w:val="Normal"/>
    <w:link w:val="HeaderChar"/>
    <w:uiPriority w:val="99"/>
    <w:unhideWhenUsed/>
    <w:rsid w:val="003E3DD3"/>
    <w:pPr>
      <w:tabs>
        <w:tab w:val="center" w:pos="4680"/>
        <w:tab w:val="right" w:pos="9360"/>
      </w:tabs>
    </w:pPr>
  </w:style>
  <w:style w:type="character" w:customStyle="1" w:styleId="HeaderChar">
    <w:name w:val="Header Char"/>
    <w:basedOn w:val="DefaultParagraphFont"/>
    <w:link w:val="Header"/>
    <w:uiPriority w:val="99"/>
    <w:rsid w:val="003E3DD3"/>
    <w:rPr>
      <w:rFonts w:ascii="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3E3DD3"/>
    <w:pPr>
      <w:tabs>
        <w:tab w:val="center" w:pos="4680"/>
        <w:tab w:val="right" w:pos="9360"/>
      </w:tabs>
    </w:pPr>
  </w:style>
  <w:style w:type="character" w:customStyle="1" w:styleId="FooterChar">
    <w:name w:val="Footer Char"/>
    <w:basedOn w:val="DefaultParagraphFont"/>
    <w:link w:val="Footer"/>
    <w:uiPriority w:val="99"/>
    <w:rsid w:val="003E3DD3"/>
    <w:rPr>
      <w:rFonts w:ascii="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74610">
      <w:bodyDiv w:val="1"/>
      <w:marLeft w:val="0"/>
      <w:marRight w:val="0"/>
      <w:marTop w:val="0"/>
      <w:marBottom w:val="0"/>
      <w:divBdr>
        <w:top w:val="none" w:sz="0" w:space="0" w:color="auto"/>
        <w:left w:val="none" w:sz="0" w:space="0" w:color="auto"/>
        <w:bottom w:val="none" w:sz="0" w:space="0" w:color="auto"/>
        <w:right w:val="none" w:sz="0" w:space="0" w:color="auto"/>
      </w:divBdr>
    </w:div>
    <w:div w:id="583537567">
      <w:bodyDiv w:val="1"/>
      <w:marLeft w:val="0"/>
      <w:marRight w:val="0"/>
      <w:marTop w:val="0"/>
      <w:marBottom w:val="0"/>
      <w:divBdr>
        <w:top w:val="none" w:sz="0" w:space="0" w:color="auto"/>
        <w:left w:val="none" w:sz="0" w:space="0" w:color="auto"/>
        <w:bottom w:val="none" w:sz="0" w:space="0" w:color="auto"/>
        <w:right w:val="none" w:sz="0" w:space="0" w:color="auto"/>
      </w:divBdr>
    </w:div>
    <w:div w:id="1069378309">
      <w:bodyDiv w:val="1"/>
      <w:marLeft w:val="0"/>
      <w:marRight w:val="0"/>
      <w:marTop w:val="0"/>
      <w:marBottom w:val="0"/>
      <w:divBdr>
        <w:top w:val="none" w:sz="0" w:space="0" w:color="auto"/>
        <w:left w:val="none" w:sz="0" w:space="0" w:color="auto"/>
        <w:bottom w:val="none" w:sz="0" w:space="0" w:color="auto"/>
        <w:right w:val="none" w:sz="0" w:space="0" w:color="auto"/>
      </w:divBdr>
    </w:div>
    <w:div w:id="1266813042">
      <w:bodyDiv w:val="1"/>
      <w:marLeft w:val="0"/>
      <w:marRight w:val="0"/>
      <w:marTop w:val="0"/>
      <w:marBottom w:val="0"/>
      <w:divBdr>
        <w:top w:val="none" w:sz="0" w:space="0" w:color="auto"/>
        <w:left w:val="none" w:sz="0" w:space="0" w:color="auto"/>
        <w:bottom w:val="none" w:sz="0" w:space="0" w:color="auto"/>
        <w:right w:val="none" w:sz="0" w:space="0" w:color="auto"/>
      </w:divBdr>
    </w:div>
    <w:div w:id="1275136855">
      <w:bodyDiv w:val="1"/>
      <w:marLeft w:val="0"/>
      <w:marRight w:val="0"/>
      <w:marTop w:val="0"/>
      <w:marBottom w:val="0"/>
      <w:divBdr>
        <w:top w:val="none" w:sz="0" w:space="0" w:color="auto"/>
        <w:left w:val="none" w:sz="0" w:space="0" w:color="auto"/>
        <w:bottom w:val="none" w:sz="0" w:space="0" w:color="auto"/>
        <w:right w:val="none" w:sz="0" w:space="0" w:color="auto"/>
      </w:divBdr>
    </w:div>
    <w:div w:id="1294216495">
      <w:bodyDiv w:val="1"/>
      <w:marLeft w:val="0"/>
      <w:marRight w:val="0"/>
      <w:marTop w:val="0"/>
      <w:marBottom w:val="0"/>
      <w:divBdr>
        <w:top w:val="none" w:sz="0" w:space="0" w:color="auto"/>
        <w:left w:val="none" w:sz="0" w:space="0" w:color="auto"/>
        <w:bottom w:val="none" w:sz="0" w:space="0" w:color="auto"/>
        <w:right w:val="none" w:sz="0" w:space="0" w:color="auto"/>
      </w:divBdr>
    </w:div>
    <w:div w:id="1340616197">
      <w:bodyDiv w:val="1"/>
      <w:marLeft w:val="0"/>
      <w:marRight w:val="0"/>
      <w:marTop w:val="0"/>
      <w:marBottom w:val="0"/>
      <w:divBdr>
        <w:top w:val="none" w:sz="0" w:space="0" w:color="auto"/>
        <w:left w:val="none" w:sz="0" w:space="0" w:color="auto"/>
        <w:bottom w:val="none" w:sz="0" w:space="0" w:color="auto"/>
        <w:right w:val="none" w:sz="0" w:space="0" w:color="auto"/>
      </w:divBdr>
    </w:div>
    <w:div w:id="1785612711">
      <w:bodyDiv w:val="1"/>
      <w:marLeft w:val="0"/>
      <w:marRight w:val="0"/>
      <w:marTop w:val="0"/>
      <w:marBottom w:val="0"/>
      <w:divBdr>
        <w:top w:val="none" w:sz="0" w:space="0" w:color="auto"/>
        <w:left w:val="none" w:sz="0" w:space="0" w:color="auto"/>
        <w:bottom w:val="none" w:sz="0" w:space="0" w:color="auto"/>
        <w:right w:val="none" w:sz="0" w:space="0" w:color="auto"/>
      </w:divBdr>
    </w:div>
    <w:div w:id="19029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rjs.in/index.php/mjestp/article/view/24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34327634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SILVOSA</dc:creator>
  <cp:keywords/>
  <dc:description/>
  <cp:lastModifiedBy>SDI 1084</cp:lastModifiedBy>
  <cp:revision>8</cp:revision>
  <dcterms:created xsi:type="dcterms:W3CDTF">2025-06-09T03:09:00Z</dcterms:created>
  <dcterms:modified xsi:type="dcterms:W3CDTF">2025-06-10T09:33:00Z</dcterms:modified>
</cp:coreProperties>
</file>