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D643" w14:textId="77777777" w:rsidR="00754C9A" w:rsidRDefault="00754C9A" w:rsidP="00441B6F">
      <w:pPr>
        <w:pStyle w:val="Title"/>
        <w:spacing w:after="0"/>
        <w:jc w:val="both"/>
        <w:rPr>
          <w:rFonts w:ascii="Arial" w:hAnsi="Arial" w:cs="Arial"/>
        </w:rPr>
      </w:pPr>
    </w:p>
    <w:p w14:paraId="6947BA9A" w14:textId="77777777" w:rsidR="00AE1851" w:rsidRPr="00AE1851" w:rsidRDefault="00AE1851" w:rsidP="00AE1851">
      <w:pPr>
        <w:pStyle w:val="Author"/>
        <w:spacing w:line="240" w:lineRule="auto"/>
        <w:rPr>
          <w:rFonts w:ascii="Arial" w:hAnsi="Arial" w:cs="Arial"/>
          <w:bCs/>
          <w:iCs/>
          <w:kern w:val="28"/>
          <w:sz w:val="36"/>
        </w:rPr>
      </w:pPr>
      <w:r w:rsidRPr="00AE1851">
        <w:rPr>
          <w:rFonts w:ascii="Arial" w:hAnsi="Arial" w:cs="Arial"/>
          <w:bCs/>
          <w:iCs/>
          <w:kern w:val="28"/>
          <w:sz w:val="36"/>
        </w:rPr>
        <w:t>THE INFLUENCE OF LIFESTYLE AND FINANCIAL LITERACY ON THE CONSUMPTIVE BEHAVIOR OF ECONOMICS FACULTY STUDENTS AT GORONTALO STATE UNIVERSITY</w:t>
      </w:r>
    </w:p>
    <w:p w14:paraId="7FCEA638" w14:textId="77777777" w:rsidR="00A258C3" w:rsidRPr="00790ADA" w:rsidRDefault="00A258C3" w:rsidP="00441B6F">
      <w:pPr>
        <w:pStyle w:val="Author"/>
        <w:spacing w:line="240" w:lineRule="auto"/>
        <w:jc w:val="both"/>
        <w:rPr>
          <w:rFonts w:ascii="Arial" w:hAnsi="Arial" w:cs="Arial"/>
          <w:sz w:val="36"/>
        </w:rPr>
      </w:pPr>
    </w:p>
    <w:p w14:paraId="5136414B" w14:textId="77777777" w:rsidR="002C57D2" w:rsidRPr="00FB3A86" w:rsidRDefault="002C57D2" w:rsidP="00441B6F">
      <w:pPr>
        <w:pStyle w:val="Affiliation"/>
        <w:spacing w:after="0" w:line="240" w:lineRule="auto"/>
        <w:jc w:val="both"/>
        <w:rPr>
          <w:rFonts w:ascii="Arial" w:hAnsi="Arial" w:cs="Arial"/>
        </w:rPr>
      </w:pPr>
    </w:p>
    <w:p w14:paraId="2973B97B" w14:textId="77777777" w:rsidR="00B01FCD" w:rsidRPr="00FB3A86" w:rsidRDefault="00000000" w:rsidP="00441B6F">
      <w:pPr>
        <w:pStyle w:val="Copyright"/>
        <w:spacing w:after="0" w:line="240" w:lineRule="auto"/>
        <w:jc w:val="both"/>
        <w:rPr>
          <w:rFonts w:ascii="Arial" w:hAnsi="Arial" w:cs="Arial"/>
        </w:rPr>
        <w:sectPr w:rsidR="00B01FCD" w:rsidRPr="00FB3A86" w:rsidSect="0072484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D64F8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79F785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AE1851">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DB97EA0" w14:textId="77777777" w:rsidTr="001E44FE">
        <w:tc>
          <w:tcPr>
            <w:tcW w:w="9576" w:type="dxa"/>
            <w:shd w:val="clear" w:color="auto" w:fill="F2F2F2"/>
          </w:tcPr>
          <w:p w14:paraId="1BD8F847" w14:textId="77777777" w:rsidR="00505F06" w:rsidRPr="00BA1B01" w:rsidRDefault="00AE1851" w:rsidP="00AE1851">
            <w:pPr>
              <w:pStyle w:val="Body"/>
              <w:rPr>
                <w:rFonts w:ascii="Arial" w:eastAsia="Calibri" w:hAnsi="Arial" w:cs="Arial"/>
                <w:szCs w:val="22"/>
              </w:rPr>
            </w:pPr>
            <w:r w:rsidRPr="00AE1851">
              <w:rPr>
                <w:rFonts w:ascii="Arial" w:eastAsia="Calibri" w:hAnsi="Arial" w:cs="Arial"/>
                <w:szCs w:val="22"/>
              </w:rPr>
              <w:t xml:space="preserve">The purpose of this study was to analyze the effect of lifestyle and financial literacy on consumptive behavior in students of the Faculty of Economics, Gorontalo State University. This study uses a quantitative method using data collection techniques using a questionnaire with a sample of 133 students from the class of 2021 and 2022. The data analysis technique used in this study used multiple linear regression dummy analysis with the help of the SPSS program. The results showed that simultaneously the Lifestyle and Financial Literacy Variables had a significant effect on Consumptive Behavior with a significance value of 0.000. Partial test results show that Lifestyle and Financial Literacy variables have a positive effect on Consumptive Behavior. The Adjusted R Square coefficient of determination is 0.931 or 93.1%, which means that the two independent variables can explain the dependent variable while the remaining 6.9% is explained by other factors outside the model. The results of the analysis per major show that Management majors have the highest influence on consumptive behavior compared to other majors, while </w:t>
            </w:r>
            <w:proofErr w:type="gramStart"/>
            <w:r w:rsidRPr="00AE1851">
              <w:rPr>
                <w:rFonts w:ascii="Arial" w:eastAsia="Calibri" w:hAnsi="Arial" w:cs="Arial"/>
                <w:szCs w:val="22"/>
              </w:rPr>
              <w:t>Accounting</w:t>
            </w:r>
            <w:proofErr w:type="gramEnd"/>
            <w:r w:rsidRPr="00AE1851">
              <w:rPr>
                <w:rFonts w:ascii="Arial" w:eastAsia="Calibri" w:hAnsi="Arial" w:cs="Arial"/>
                <w:szCs w:val="22"/>
              </w:rPr>
              <w:t xml:space="preserve"> majors show a negative and significant influence, which indicates that accounting students tend to be more frugal. These findings indicate that a consumptive lifestyle and financial understanding that is not accompanied by self-control can increase the tendency of students to overconsume.</w:t>
            </w:r>
          </w:p>
        </w:tc>
      </w:tr>
    </w:tbl>
    <w:p w14:paraId="003BC13B" w14:textId="77777777" w:rsidR="00636EB2" w:rsidRDefault="00636EB2" w:rsidP="00441B6F">
      <w:pPr>
        <w:pStyle w:val="Body"/>
        <w:spacing w:after="0"/>
        <w:rPr>
          <w:rFonts w:ascii="Arial" w:hAnsi="Arial" w:cs="Arial"/>
          <w:i/>
        </w:rPr>
      </w:pPr>
    </w:p>
    <w:p w14:paraId="0F70A6B7" w14:textId="77777777" w:rsidR="00AE1851" w:rsidRDefault="00A24E7E" w:rsidP="00441B6F">
      <w:pPr>
        <w:pStyle w:val="Body"/>
        <w:spacing w:after="0"/>
        <w:rPr>
          <w:rFonts w:ascii="Arial" w:hAnsi="Arial" w:cs="Arial"/>
          <w:i/>
        </w:rPr>
      </w:pPr>
      <w:r>
        <w:rPr>
          <w:rFonts w:ascii="Arial" w:hAnsi="Arial" w:cs="Arial"/>
          <w:i/>
        </w:rPr>
        <w:t>Keywords: [</w:t>
      </w:r>
      <w:r w:rsidR="00AE1851" w:rsidRPr="00AE1851">
        <w:rPr>
          <w:rFonts w:ascii="Arial" w:hAnsi="Arial" w:cs="Arial"/>
          <w:i/>
        </w:rPr>
        <w:t xml:space="preserve">Lifestyle, Financial Literacy, Consumptive </w:t>
      </w:r>
      <w:proofErr w:type="gramStart"/>
      <w:r w:rsidR="00AE1851" w:rsidRPr="00AE1851">
        <w:rPr>
          <w:rFonts w:ascii="Arial" w:hAnsi="Arial" w:cs="Arial"/>
          <w:i/>
        </w:rPr>
        <w:t>Behavior</w:t>
      </w:r>
      <w:r w:rsidR="00AE1851">
        <w:rPr>
          <w:rFonts w:ascii="Arial" w:hAnsi="Arial" w:cs="Arial"/>
          <w:i/>
        </w:rPr>
        <w:t xml:space="preserve"> </w:t>
      </w:r>
      <w:r>
        <w:rPr>
          <w:rFonts w:ascii="Arial" w:hAnsi="Arial" w:cs="Arial"/>
          <w:i/>
        </w:rPr>
        <w:t>}</w:t>
      </w:r>
      <w:proofErr w:type="gramEnd"/>
      <w:r w:rsidR="0066510A">
        <w:rPr>
          <w:rFonts w:ascii="Arial" w:hAnsi="Arial" w:cs="Arial"/>
          <w:i/>
        </w:rPr>
        <w:t xml:space="preserve"> </w:t>
      </w:r>
    </w:p>
    <w:p w14:paraId="6FB86962" w14:textId="77777777" w:rsidR="00AE1851" w:rsidRDefault="00AE1851" w:rsidP="00441B6F">
      <w:pPr>
        <w:pStyle w:val="Body"/>
        <w:spacing w:after="0"/>
        <w:rPr>
          <w:rFonts w:ascii="Arial" w:hAnsi="Arial" w:cs="Arial"/>
          <w:i/>
        </w:rPr>
      </w:pPr>
    </w:p>
    <w:p w14:paraId="1AEB0290" w14:textId="77777777" w:rsidR="0024282C" w:rsidRDefault="0024282C" w:rsidP="00441B6F">
      <w:pPr>
        <w:pStyle w:val="Body"/>
        <w:spacing w:after="0"/>
        <w:rPr>
          <w:rFonts w:ascii="Arial" w:hAnsi="Arial" w:cs="Arial"/>
          <w:i/>
          <w:sz w:val="18"/>
        </w:rPr>
      </w:pPr>
    </w:p>
    <w:p w14:paraId="44CE2095" w14:textId="77777777" w:rsidR="00505F06" w:rsidRPr="00A24E7E" w:rsidRDefault="00505F06" w:rsidP="00441B6F">
      <w:pPr>
        <w:pStyle w:val="Body"/>
        <w:spacing w:after="0"/>
        <w:rPr>
          <w:rFonts w:ascii="Arial" w:hAnsi="Arial" w:cs="Arial"/>
          <w:i/>
        </w:rPr>
      </w:pPr>
    </w:p>
    <w:p w14:paraId="32C4DEE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AE1851">
        <w:rPr>
          <w:rFonts w:ascii="Arial" w:hAnsi="Arial" w:cs="Arial"/>
        </w:rPr>
        <w:t xml:space="preserve"> </w:t>
      </w:r>
    </w:p>
    <w:p w14:paraId="45A8178A" w14:textId="77777777" w:rsidR="00790ADA" w:rsidRPr="00FB3A86" w:rsidRDefault="00790ADA" w:rsidP="00441B6F">
      <w:pPr>
        <w:pStyle w:val="AbstHead"/>
        <w:spacing w:after="0"/>
        <w:jc w:val="both"/>
        <w:rPr>
          <w:rFonts w:ascii="Arial" w:hAnsi="Arial" w:cs="Arial"/>
        </w:rPr>
      </w:pPr>
    </w:p>
    <w:p w14:paraId="5C9BD7E2" w14:textId="77777777" w:rsidR="00AE1851" w:rsidRPr="00AE1851" w:rsidRDefault="006B57D0" w:rsidP="00AE1851">
      <w:pPr>
        <w:pStyle w:val="Body"/>
        <w:rPr>
          <w:rFonts w:ascii="Arial" w:eastAsia="Calibri" w:hAnsi="Arial" w:cs="Arial"/>
          <w:szCs w:val="22"/>
        </w:rPr>
      </w:pPr>
      <w:r>
        <w:rPr>
          <w:rFonts w:ascii="Arial" w:hAnsi="Arial" w:cs="Arial"/>
        </w:rPr>
        <w:t>[</w:t>
      </w:r>
      <w:r w:rsidR="00AE1851" w:rsidRPr="00AE1851">
        <w:rPr>
          <w:rFonts w:ascii="Arial" w:eastAsia="Calibri" w:hAnsi="Arial" w:cs="Arial"/>
          <w:szCs w:val="22"/>
        </w:rPr>
        <w:t>Every individual has diverse needs in life and seeks to fulfill them in different ways. Some fulfill their needs in a balanced way, while others tend to overdo it. This can encourage someone to be consumptive. According to (</w:t>
      </w:r>
      <w:proofErr w:type="spellStart"/>
      <w:r w:rsidR="00AE1851" w:rsidRPr="00AE1851">
        <w:rPr>
          <w:rFonts w:ascii="Arial" w:eastAsia="Calibri" w:hAnsi="Arial" w:cs="Arial"/>
          <w:szCs w:val="22"/>
        </w:rPr>
        <w:t>Pramesti</w:t>
      </w:r>
      <w:proofErr w:type="spellEnd"/>
      <w:r w:rsidR="00AE1851" w:rsidRPr="00AE1851">
        <w:rPr>
          <w:rFonts w:ascii="Arial" w:eastAsia="Calibri" w:hAnsi="Arial" w:cs="Arial"/>
          <w:szCs w:val="22"/>
        </w:rPr>
        <w:t xml:space="preserve"> et al., 2023: 35) Consumptive behavior can be interpreted as an act of excessive consumption and less consideration of aspects of rationality, where a person often buys goods or services based on emotional desires rather than actual needs. These purchases often occur impulsively, which has the potential to cause financial waste and inefficiency in managing personal budgets. Technological advances, especially in the field of communication and financial transactions, facilitate quick and easy access to various products, thus strengthening the individual's urge to shop without considering the priority of actual needs.  Consumptive behavior is also influenced by psychological and social factors. According to Schiffman and Kanuk (2021), psychological factors such as motivation, perception, and attitude influence how individuals make consumption decisions. Meanwhile, the social environment, including peers and social media, plays a big role in shaping one's consumptive habits (Kotler &amp; Keller, 2022). Students are one of the groups that are prone to consumptive behavior. According to Tasya </w:t>
      </w:r>
      <w:proofErr w:type="spellStart"/>
      <w:r w:rsidR="00AE1851" w:rsidRPr="00AE1851">
        <w:rPr>
          <w:rFonts w:ascii="Arial" w:eastAsia="Calibri" w:hAnsi="Arial" w:cs="Arial"/>
          <w:szCs w:val="22"/>
        </w:rPr>
        <w:t>Alifia</w:t>
      </w:r>
      <w:proofErr w:type="spellEnd"/>
      <w:r w:rsidR="00AE1851" w:rsidRPr="00AE1851">
        <w:rPr>
          <w:rFonts w:ascii="Arial" w:eastAsia="Calibri" w:hAnsi="Arial" w:cs="Arial"/>
          <w:szCs w:val="22"/>
        </w:rPr>
        <w:t xml:space="preserve"> </w:t>
      </w:r>
      <w:proofErr w:type="spellStart"/>
      <w:r w:rsidR="00AE1851" w:rsidRPr="00AE1851">
        <w:rPr>
          <w:rFonts w:ascii="Arial" w:eastAsia="Calibri" w:hAnsi="Arial" w:cs="Arial"/>
          <w:szCs w:val="22"/>
        </w:rPr>
        <w:t>Izzani</w:t>
      </w:r>
      <w:proofErr w:type="spellEnd"/>
      <w:r w:rsidR="00AE1851" w:rsidRPr="00AE1851">
        <w:rPr>
          <w:rFonts w:ascii="Arial" w:eastAsia="Calibri" w:hAnsi="Arial" w:cs="Arial"/>
          <w:szCs w:val="22"/>
        </w:rPr>
        <w:t xml:space="preserve"> et al., (2024: 260) Adolescence, which lasts in the age range of 13 to 21 years, is an important transitional phase in life, in which individuals begin to form self-identity. In this period, adolescents experience significant developments in their attitudes and behavior, often with the search for an ideal self-image.</w:t>
      </w:r>
    </w:p>
    <w:p w14:paraId="61B5CF44" w14:textId="77777777" w:rsidR="00AE1851" w:rsidRDefault="00AE1851" w:rsidP="00AE1851">
      <w:pPr>
        <w:pStyle w:val="Body"/>
        <w:spacing w:after="0"/>
        <w:rPr>
          <w:rFonts w:ascii="Arial" w:eastAsia="Calibri" w:hAnsi="Arial" w:cs="Arial"/>
          <w:szCs w:val="22"/>
        </w:rPr>
      </w:pPr>
      <w:r w:rsidRPr="00AE1851">
        <w:rPr>
          <w:rFonts w:ascii="Arial" w:eastAsia="Calibri" w:hAnsi="Arial" w:cs="Arial"/>
          <w:szCs w:val="22"/>
        </w:rPr>
        <w:lastRenderedPageBreak/>
        <w:t>Consumptive behavior is further facilitated by technological developments, especially with the rise of online shopping platforms and social media that promote consumptive lifestyles. Students are often driven to buy trending items to improve their social status or follow the lifestyle of their peers. In addition to social influences, advertising also plays a big role in creating consumptive urges. Massive promotions, attractive visuals, and limited offers or massive discounts can encourage students to buy goods even though they are not really needed. When advertisements are persuasive, the emotional appeal can obscure rational considerations.</w:t>
      </w:r>
    </w:p>
    <w:p w14:paraId="16DD5F90" w14:textId="77777777" w:rsidR="00AE1851" w:rsidRPr="00AE1851" w:rsidRDefault="00AE1851" w:rsidP="00AE1851">
      <w:pPr>
        <w:pStyle w:val="Body"/>
        <w:spacing w:after="0"/>
        <w:rPr>
          <w:rFonts w:ascii="Arial" w:eastAsia="Calibri" w:hAnsi="Arial" w:cs="Arial"/>
          <w:szCs w:val="22"/>
        </w:rPr>
      </w:pPr>
    </w:p>
    <w:p w14:paraId="45A7D474" w14:textId="77777777" w:rsidR="00AE1851" w:rsidRDefault="00AE1851" w:rsidP="00AE1851">
      <w:pPr>
        <w:pStyle w:val="Body"/>
        <w:spacing w:after="0"/>
        <w:rPr>
          <w:rFonts w:ascii="Arial" w:eastAsia="Calibri" w:hAnsi="Arial" w:cs="Arial"/>
          <w:szCs w:val="22"/>
        </w:rPr>
      </w:pPr>
      <w:r w:rsidRPr="00AE1851">
        <w:rPr>
          <w:rFonts w:ascii="Arial" w:eastAsia="Calibri" w:hAnsi="Arial" w:cs="Arial"/>
          <w:szCs w:val="22"/>
        </w:rPr>
        <w:t xml:space="preserve">This phenomenon is further exacerbated by the easy access to payment methods such as </w:t>
      </w:r>
      <w:proofErr w:type="spellStart"/>
      <w:r w:rsidRPr="00AE1851">
        <w:rPr>
          <w:rFonts w:ascii="Arial" w:eastAsia="Calibri" w:hAnsi="Arial" w:cs="Arial"/>
          <w:szCs w:val="22"/>
        </w:rPr>
        <w:t>paylater</w:t>
      </w:r>
      <w:proofErr w:type="spellEnd"/>
      <w:r w:rsidRPr="00AE1851">
        <w:rPr>
          <w:rFonts w:ascii="Arial" w:eastAsia="Calibri" w:hAnsi="Arial" w:cs="Arial"/>
          <w:szCs w:val="22"/>
        </w:rPr>
        <w:t xml:space="preserve"> and credit cards, which makes it easier for students to shop without considering their financial condition. The phenomenon that is widely seen today is that students, as late adolescents, tend to adopt a consumptive lifestyle that always follows the latest trends. Instead of focusing on fulfilling basic needs, many students are more interested in buying items to support their appearance and social status in the social circle. In the campus environment, students are also often influenced by friendship groups. Often the decision to buy a product is made due to group pressure or to maintain prestige in front of their friends. They are afraid of being considered out of touch, outdated, or less capable if they do not follow the flow of consumption that occurs in their social group.</w:t>
      </w:r>
    </w:p>
    <w:p w14:paraId="528E485F" w14:textId="77777777" w:rsidR="00AE1851" w:rsidRPr="00AE1851" w:rsidRDefault="00AE1851" w:rsidP="00AE1851">
      <w:pPr>
        <w:pStyle w:val="Body"/>
        <w:spacing w:after="0"/>
        <w:rPr>
          <w:rFonts w:ascii="Arial" w:eastAsia="Calibri" w:hAnsi="Arial" w:cs="Arial"/>
          <w:szCs w:val="22"/>
        </w:rPr>
      </w:pPr>
    </w:p>
    <w:p w14:paraId="377B435F" w14:textId="77777777" w:rsidR="00AE1851" w:rsidRDefault="00AE1851" w:rsidP="00AE1851">
      <w:pPr>
        <w:pStyle w:val="Body"/>
        <w:spacing w:after="0"/>
        <w:rPr>
          <w:rFonts w:ascii="Arial" w:eastAsia="Calibri" w:hAnsi="Arial" w:cs="Arial"/>
          <w:szCs w:val="22"/>
        </w:rPr>
      </w:pPr>
      <w:r w:rsidRPr="00AE1851">
        <w:rPr>
          <w:rFonts w:ascii="Arial" w:eastAsia="Calibri" w:hAnsi="Arial" w:cs="Arial"/>
          <w:szCs w:val="22"/>
        </w:rPr>
        <w:t>These lifestyle changes are often not driven by essential needs, but rather by the desire to feel accepted and valued by peers. In this phase, the influence of the peer environment becomes more dominant than the influence of parents, making friends the main role model in determining lifestyle choices (</w:t>
      </w:r>
      <w:proofErr w:type="spellStart"/>
      <w:r w:rsidRPr="00AE1851">
        <w:rPr>
          <w:rFonts w:ascii="Arial" w:eastAsia="Calibri" w:hAnsi="Arial" w:cs="Arial"/>
          <w:szCs w:val="22"/>
        </w:rPr>
        <w:t>Ardiva</w:t>
      </w:r>
      <w:proofErr w:type="spellEnd"/>
      <w:r w:rsidRPr="00AE1851">
        <w:rPr>
          <w:rFonts w:ascii="Arial" w:eastAsia="Calibri" w:hAnsi="Arial" w:cs="Arial"/>
          <w:szCs w:val="22"/>
        </w:rPr>
        <w:t xml:space="preserve"> Zakia, Asri Ayu </w:t>
      </w:r>
      <w:proofErr w:type="spellStart"/>
      <w:r w:rsidRPr="00AE1851">
        <w:rPr>
          <w:rFonts w:ascii="Arial" w:eastAsia="Calibri" w:hAnsi="Arial" w:cs="Arial"/>
          <w:szCs w:val="22"/>
        </w:rPr>
        <w:t>Adisti</w:t>
      </w:r>
      <w:proofErr w:type="spellEnd"/>
      <w:r w:rsidRPr="00AE1851">
        <w:rPr>
          <w:rFonts w:ascii="Arial" w:eastAsia="Calibri" w:hAnsi="Arial" w:cs="Arial"/>
          <w:szCs w:val="22"/>
        </w:rPr>
        <w:t>, 2022: 4). According to several previous studies conducted by (</w:t>
      </w:r>
      <w:proofErr w:type="spellStart"/>
      <w:r w:rsidRPr="00AE1851">
        <w:rPr>
          <w:rFonts w:ascii="Arial" w:eastAsia="Calibri" w:hAnsi="Arial" w:cs="Arial"/>
          <w:szCs w:val="22"/>
        </w:rPr>
        <w:t>Hartiningsih</w:t>
      </w:r>
      <w:proofErr w:type="spellEnd"/>
      <w:r w:rsidRPr="00AE1851">
        <w:rPr>
          <w:rFonts w:ascii="Arial" w:eastAsia="Calibri" w:hAnsi="Arial" w:cs="Arial"/>
          <w:szCs w:val="22"/>
        </w:rPr>
        <w:t xml:space="preserve"> et al., 2021), the factors that influence consumptive behavior include financial literacy and lifestyle. Financial literacy is a crucial skill that underlies an individual's ability to manage finances effectively. By understanding basic concepts such as budgeting, saving, and investing, a person can make wiser decisions regarding their financial management. According to </w:t>
      </w:r>
      <w:proofErr w:type="spellStart"/>
      <w:r w:rsidRPr="00AE1851">
        <w:rPr>
          <w:rFonts w:ascii="Arial" w:eastAsia="Calibri" w:hAnsi="Arial" w:cs="Arial"/>
          <w:szCs w:val="22"/>
        </w:rPr>
        <w:t>Fathihani</w:t>
      </w:r>
      <w:proofErr w:type="spellEnd"/>
      <w:r w:rsidRPr="00AE1851">
        <w:rPr>
          <w:rFonts w:ascii="Arial" w:eastAsia="Calibri" w:hAnsi="Arial" w:cs="Arial"/>
          <w:szCs w:val="22"/>
        </w:rPr>
        <w:t xml:space="preserve"> et al., (2023: 16) Financial literacy is the ability of individuals to understand and use financial information needed in personal financial management. This includes an understanding of financial products, budget planning, and risk management, all of which support individuals in making wise and responsible financial decisions.</w:t>
      </w:r>
    </w:p>
    <w:p w14:paraId="0ED46BB5" w14:textId="77777777" w:rsidR="00AE1851" w:rsidRPr="00AE1851" w:rsidRDefault="00AE1851" w:rsidP="00AE1851">
      <w:pPr>
        <w:pStyle w:val="Body"/>
        <w:spacing w:after="0"/>
        <w:rPr>
          <w:rFonts w:ascii="Arial" w:eastAsia="Calibri" w:hAnsi="Arial" w:cs="Arial"/>
          <w:szCs w:val="22"/>
        </w:rPr>
      </w:pPr>
    </w:p>
    <w:p w14:paraId="0634AA37" w14:textId="77777777" w:rsidR="00AE1851" w:rsidRDefault="00AE1851" w:rsidP="00AE1851">
      <w:pPr>
        <w:pStyle w:val="Body"/>
        <w:spacing w:after="0"/>
        <w:rPr>
          <w:rFonts w:ascii="Arial" w:eastAsia="Calibri" w:hAnsi="Arial" w:cs="Arial"/>
          <w:szCs w:val="22"/>
        </w:rPr>
      </w:pPr>
      <w:r w:rsidRPr="00AE1851">
        <w:rPr>
          <w:rFonts w:ascii="Arial" w:eastAsia="Calibri" w:hAnsi="Arial" w:cs="Arial"/>
          <w:szCs w:val="22"/>
        </w:rPr>
        <w:t xml:space="preserve">According to </w:t>
      </w:r>
      <w:proofErr w:type="spellStart"/>
      <w:r w:rsidRPr="00AE1851">
        <w:rPr>
          <w:rFonts w:ascii="Arial" w:eastAsia="Calibri" w:hAnsi="Arial" w:cs="Arial"/>
          <w:szCs w:val="22"/>
        </w:rPr>
        <w:t>Susetyo</w:t>
      </w:r>
      <w:proofErr w:type="spellEnd"/>
      <w:r w:rsidRPr="00AE1851">
        <w:rPr>
          <w:rFonts w:ascii="Arial" w:eastAsia="Calibri" w:hAnsi="Arial" w:cs="Arial"/>
          <w:szCs w:val="22"/>
        </w:rPr>
        <w:t xml:space="preserve"> &amp; Firmansyah (2023: 262) Financial Literacy helps Indonesians understand various financial services institutions, and equips them with skills in choosing financial products and services. In addition, people will also be more aware of the features, benefits, and risks associated with these products and services. Financial literacy can be obtained through formal education, as taught in schools, as well as through informal education, as taught in schools, as well as through informal education, which is obtained from the family environment. Thus, the family environment plays an important role in shaping a person's financial knowledge and attitudes from an early age, because the family plays a major role in shaping individual mindset and behavior.</w:t>
      </w:r>
    </w:p>
    <w:p w14:paraId="2D72C0F2" w14:textId="77777777" w:rsidR="00AE1851" w:rsidRPr="00AE1851" w:rsidRDefault="00AE1851" w:rsidP="00AE1851">
      <w:pPr>
        <w:pStyle w:val="Body"/>
        <w:spacing w:after="0"/>
        <w:rPr>
          <w:rFonts w:ascii="Arial" w:eastAsia="Calibri" w:hAnsi="Arial" w:cs="Arial"/>
          <w:szCs w:val="22"/>
        </w:rPr>
      </w:pPr>
    </w:p>
    <w:p w14:paraId="2660C9E6" w14:textId="77777777" w:rsidR="00AE1851" w:rsidRDefault="00AE1851" w:rsidP="00AE1851">
      <w:pPr>
        <w:pStyle w:val="Body"/>
        <w:spacing w:after="0"/>
        <w:rPr>
          <w:rFonts w:ascii="Arial" w:eastAsia="Calibri" w:hAnsi="Arial" w:cs="Arial"/>
          <w:szCs w:val="22"/>
        </w:rPr>
      </w:pPr>
      <w:r w:rsidRPr="00AE1851">
        <w:rPr>
          <w:rFonts w:ascii="Arial" w:eastAsia="Calibri" w:hAnsi="Arial" w:cs="Arial"/>
          <w:szCs w:val="22"/>
        </w:rPr>
        <w:t>Based on Initial Observations that researchers get, there are several problems where some Gorontalo State University students buy goods based on desire rather than buying goods according to their needs, which is indicated by students often shopping online by 59.50%, and there are still a few students who still do not understand financial literacy so that students do not make personal financial records with a percentage of 57.10% who choose not to record their personal finances.</w:t>
      </w:r>
    </w:p>
    <w:p w14:paraId="6A2E490E" w14:textId="77777777" w:rsidR="00AE1851" w:rsidRPr="00AE1851" w:rsidRDefault="00AE1851" w:rsidP="00AE1851">
      <w:pPr>
        <w:pStyle w:val="Body"/>
        <w:spacing w:after="0"/>
        <w:rPr>
          <w:rFonts w:ascii="Arial" w:eastAsia="Calibri" w:hAnsi="Arial" w:cs="Arial"/>
          <w:szCs w:val="22"/>
        </w:rPr>
      </w:pPr>
    </w:p>
    <w:p w14:paraId="0CB58963" w14:textId="77777777" w:rsidR="00AE1851" w:rsidRDefault="00AE1851" w:rsidP="00AE1851">
      <w:pPr>
        <w:pStyle w:val="Body"/>
        <w:spacing w:after="0"/>
        <w:rPr>
          <w:rFonts w:ascii="Arial" w:eastAsia="Calibri" w:hAnsi="Arial" w:cs="Arial"/>
          <w:szCs w:val="22"/>
        </w:rPr>
      </w:pPr>
      <w:r w:rsidRPr="00AE1851">
        <w:rPr>
          <w:rFonts w:ascii="Arial" w:eastAsia="Calibri" w:hAnsi="Arial" w:cs="Arial"/>
          <w:szCs w:val="22"/>
        </w:rPr>
        <w:t>Based on the survey results, it can be seen that the majority of students have high online shopping habits, with an average of over 57%. In addition, around 55% of students do not record their personal finances, which shows a lack of awareness of the importance of financial literacy in managing personal finances. In addition, the phenomenon of consumptive behavior among students can also be attributed to the increasingly intensive use of social media. Many students are encouraged to buy products based on influencer recommendations, digital advertisements, and trends that develop on social media.</w:t>
      </w:r>
    </w:p>
    <w:p w14:paraId="2B6452A3" w14:textId="77777777" w:rsidR="00AE1851" w:rsidRPr="00AE1851" w:rsidRDefault="00AE1851" w:rsidP="00AE1851">
      <w:pPr>
        <w:pStyle w:val="Body"/>
        <w:spacing w:after="0"/>
        <w:rPr>
          <w:rFonts w:ascii="Arial" w:eastAsia="Calibri" w:hAnsi="Arial" w:cs="Arial"/>
          <w:szCs w:val="22"/>
        </w:rPr>
      </w:pPr>
    </w:p>
    <w:p w14:paraId="42C30F7B" w14:textId="77777777" w:rsidR="00B01FCD" w:rsidRPr="00AE1851" w:rsidRDefault="00AE1851" w:rsidP="00441B6F">
      <w:pPr>
        <w:pStyle w:val="Body"/>
        <w:spacing w:after="0"/>
        <w:rPr>
          <w:rFonts w:ascii="Arial" w:eastAsia="Calibri" w:hAnsi="Arial" w:cs="Arial"/>
          <w:szCs w:val="22"/>
        </w:rPr>
      </w:pPr>
      <w:r w:rsidRPr="00AE1851">
        <w:rPr>
          <w:rFonts w:ascii="Arial" w:eastAsia="Calibri" w:hAnsi="Arial" w:cs="Arial"/>
          <w:szCs w:val="22"/>
        </w:rPr>
        <w:t>The purpose of this study was to analyze the effect of lifestyle on the consumptive behavior of students of the Faculty of Economics, Gorontalo State University and from this study can also analyze the effect of financial literacy on the consumptive behavior of students of the Faculty of Economics, Gorontalo State University.</w:t>
      </w:r>
      <w:r w:rsidR="006B57D0">
        <w:rPr>
          <w:rFonts w:ascii="Arial" w:hAnsi="Arial" w:cs="Arial"/>
        </w:rPr>
        <w:t>]</w:t>
      </w:r>
    </w:p>
    <w:p w14:paraId="5035BA79" w14:textId="77777777" w:rsidR="00790ADA" w:rsidRPr="00FB3A86" w:rsidRDefault="00790ADA" w:rsidP="00441B6F">
      <w:pPr>
        <w:pStyle w:val="Body"/>
        <w:spacing w:after="0"/>
        <w:rPr>
          <w:rFonts w:ascii="Arial" w:hAnsi="Arial" w:cs="Arial"/>
        </w:rPr>
      </w:pPr>
    </w:p>
    <w:p w14:paraId="383F972A"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A96EC9D" w14:textId="77777777" w:rsidR="00790ADA" w:rsidRPr="00FB3A86" w:rsidRDefault="00790ADA" w:rsidP="00441B6F">
      <w:pPr>
        <w:pStyle w:val="AbstHead"/>
        <w:spacing w:after="0"/>
        <w:jc w:val="both"/>
        <w:rPr>
          <w:rFonts w:ascii="Arial" w:hAnsi="Arial" w:cs="Arial"/>
        </w:rPr>
      </w:pPr>
    </w:p>
    <w:p w14:paraId="0B003262" w14:textId="77777777" w:rsidR="00AE1851" w:rsidRPr="00AE1851" w:rsidRDefault="006B57D0" w:rsidP="00AE1851">
      <w:pPr>
        <w:pStyle w:val="Body"/>
        <w:rPr>
          <w:rFonts w:ascii="Arial" w:hAnsi="Arial" w:cs="Arial"/>
        </w:rPr>
      </w:pPr>
      <w:r>
        <w:rPr>
          <w:rFonts w:ascii="Arial" w:hAnsi="Arial" w:cs="Arial"/>
        </w:rPr>
        <w:t>[</w:t>
      </w:r>
      <w:r w:rsidR="00AE1851" w:rsidRPr="00AE1851">
        <w:rPr>
          <w:rFonts w:ascii="Arial" w:hAnsi="Arial" w:cs="Arial"/>
        </w:rPr>
        <w:t xml:space="preserve">This research was conducted from January to April 2025. This research was conducted at the Faculty of Economics, </w:t>
      </w:r>
      <w:proofErr w:type="spellStart"/>
      <w:r w:rsidR="00AE1851" w:rsidRPr="00AE1851">
        <w:rPr>
          <w:rFonts w:ascii="Arial" w:hAnsi="Arial" w:cs="Arial"/>
        </w:rPr>
        <w:t>Gorontal</w:t>
      </w:r>
      <w:proofErr w:type="spellEnd"/>
      <w:r w:rsidR="00AE1851" w:rsidRPr="00AE1851">
        <w:rPr>
          <w:rFonts w:ascii="Arial" w:hAnsi="Arial" w:cs="Arial"/>
        </w:rPr>
        <w:t xml:space="preserve"> State University, </w:t>
      </w:r>
      <w:r w:rsidR="00AE1851">
        <w:rPr>
          <w:rFonts w:ascii="Arial" w:hAnsi="Arial" w:cs="Arial"/>
        </w:rPr>
        <w:t>street</w:t>
      </w:r>
      <w:r w:rsidR="00AE1851" w:rsidRPr="00AE1851">
        <w:rPr>
          <w:rFonts w:ascii="Arial" w:hAnsi="Arial" w:cs="Arial"/>
        </w:rPr>
        <w:t xml:space="preserve"> </w:t>
      </w:r>
      <w:proofErr w:type="spellStart"/>
      <w:r w:rsidR="00AE1851" w:rsidRPr="00AE1851">
        <w:rPr>
          <w:rFonts w:ascii="Arial" w:hAnsi="Arial" w:cs="Arial"/>
        </w:rPr>
        <w:t>Jendral</w:t>
      </w:r>
      <w:proofErr w:type="spellEnd"/>
      <w:r w:rsidR="00AE1851" w:rsidRPr="00AE1851">
        <w:rPr>
          <w:rFonts w:ascii="Arial" w:hAnsi="Arial" w:cs="Arial"/>
        </w:rPr>
        <w:t xml:space="preserve"> Sudirman No. 6 Gorontalo City. The research subjects were students of the Faculty of Economics, Gorontalo State University, class of 2021-2022. This study uses a quantitative approach with multiple linear regression method of Dummy analysis where to analyze the causal relationship between independent variables: Financial Literacy (X</w:t>
      </w:r>
      <w:r w:rsidR="00AE1851" w:rsidRPr="00AE1851">
        <w:rPr>
          <w:rFonts w:ascii="Cambria Math" w:hAnsi="Cambria Math" w:cs="Cambria Math"/>
        </w:rPr>
        <w:t>₁</w:t>
      </w:r>
      <w:r w:rsidR="00AE1851" w:rsidRPr="00AE1851">
        <w:rPr>
          <w:rFonts w:ascii="Arial" w:hAnsi="Arial" w:cs="Arial"/>
        </w:rPr>
        <w:t>), Lifestyle (X</w:t>
      </w:r>
      <w:r w:rsidR="00AE1851" w:rsidRPr="00AE1851">
        <w:rPr>
          <w:rFonts w:ascii="Cambria Math" w:hAnsi="Cambria Math" w:cs="Cambria Math"/>
        </w:rPr>
        <w:t>₂</w:t>
      </w:r>
      <w:r w:rsidR="00AE1851" w:rsidRPr="00AE1851">
        <w:rPr>
          <w:rFonts w:ascii="Arial" w:hAnsi="Arial" w:cs="Arial"/>
        </w:rPr>
        <w:t xml:space="preserve">) on Student Consumptive Behavior (Y). The population of this study included 133 students of the Faculty of Economics, Gorontalo State University class of 2021-2022, with sampling </w:t>
      </w:r>
      <w:r w:rsidR="00AE1851" w:rsidRPr="00AE1851">
        <w:rPr>
          <w:rFonts w:ascii="Arial" w:hAnsi="Arial" w:cs="Arial"/>
        </w:rPr>
        <w:lastRenderedPageBreak/>
        <w:t>Proportional Random Sampling. To test the validity of the instrument using the Pearson product moment correlation method, which is used to determine the level of validity of the instrument to be studied. To test the instrument can be used against a computer against the SPSS (</w:t>
      </w:r>
      <w:proofErr w:type="spellStart"/>
      <w:r w:rsidR="00AE1851" w:rsidRPr="00AE1851">
        <w:rPr>
          <w:rFonts w:ascii="Arial" w:hAnsi="Arial" w:cs="Arial"/>
        </w:rPr>
        <w:t>Stastistical</w:t>
      </w:r>
      <w:proofErr w:type="spellEnd"/>
      <w:r w:rsidR="00AE1851" w:rsidRPr="00AE1851">
        <w:rPr>
          <w:rFonts w:ascii="Arial" w:hAnsi="Arial" w:cs="Arial"/>
        </w:rPr>
        <w:t xml:space="preserve"> Product and Service Solution) application. An instrument is said to be valid if in the calculation it is known that r count &gt; r table against the value of the error rate a = 5%, otherwise if the value of r count &lt; r table then the instrument is said to be invalid.</w:t>
      </w:r>
    </w:p>
    <w:p w14:paraId="21998A15" w14:textId="77777777" w:rsidR="00AE1851" w:rsidRDefault="00AE1851" w:rsidP="00AE1851">
      <w:pPr>
        <w:pStyle w:val="Body"/>
        <w:spacing w:after="0"/>
        <w:rPr>
          <w:rFonts w:ascii="Arial" w:hAnsi="Arial" w:cs="Arial"/>
        </w:rPr>
      </w:pPr>
      <w:r w:rsidRPr="00AE1851">
        <w:rPr>
          <w:rFonts w:ascii="Arial" w:hAnsi="Arial" w:cs="Arial"/>
        </w:rPr>
        <w:t xml:space="preserve">The reliability test was tested using the Cronbach's Alpha </w:t>
      </w:r>
      <w:proofErr w:type="gramStart"/>
      <w:r w:rsidRPr="00AE1851">
        <w:rPr>
          <w:rFonts w:ascii="Arial" w:hAnsi="Arial" w:cs="Arial"/>
        </w:rPr>
        <w:t xml:space="preserve">coefficient </w:t>
      </w:r>
      <w:r>
        <w:rPr>
          <w:rFonts w:ascii="Arial" w:hAnsi="Arial" w:cs="Arial"/>
        </w:rPr>
        <w:t>:</w:t>
      </w:r>
      <w:proofErr w:type="gramEnd"/>
    </w:p>
    <w:p w14:paraId="1A530F1D" w14:textId="77777777" w:rsidR="00AE1851" w:rsidRDefault="00520D89" w:rsidP="00AE1851">
      <w:pPr>
        <w:jc w:val="both"/>
      </w:pPr>
      <m:oMath>
        <m:r>
          <m:rPr>
            <m:sty m:val="p"/>
          </m:rPr>
          <w:rPr>
            <w:rFonts w:ascii="Cambria Math" w:hAnsi="Cambria Math" w:cs="Helvetica"/>
            <w:sz w:val="22"/>
          </w:rPr>
          <m:t xml:space="preserve">ri= </m:t>
        </m:r>
        <m:d>
          <m:dPr>
            <m:ctrlPr>
              <w:rPr>
                <w:rFonts w:ascii="Cambria Math" w:hAnsi="Cambria Math" w:cs="Helvetica"/>
                <w:sz w:val="22"/>
              </w:rPr>
            </m:ctrlPr>
          </m:dPr>
          <m:e>
            <m:f>
              <m:fPr>
                <m:ctrlPr>
                  <w:rPr>
                    <w:rFonts w:ascii="Cambria Math" w:hAnsi="Cambria Math" w:cs="Helvetica"/>
                    <w:i/>
                    <w:sz w:val="22"/>
                  </w:rPr>
                </m:ctrlPr>
              </m:fPr>
              <m:num>
                <m:r>
                  <w:rPr>
                    <w:rFonts w:ascii="Cambria Math" w:hAnsi="Cambria Math" w:cs="Helvetica"/>
                    <w:sz w:val="22"/>
                  </w:rPr>
                  <m:t>k</m:t>
                </m:r>
              </m:num>
              <m:den>
                <m:r>
                  <w:rPr>
                    <w:rFonts w:ascii="Cambria Math" w:hAnsi="Cambria Math" w:cs="Helvetica"/>
                    <w:sz w:val="22"/>
                  </w:rPr>
                  <m:t>k-1</m:t>
                </m:r>
              </m:den>
            </m:f>
          </m:e>
        </m:d>
        <m:d>
          <m:dPr>
            <m:ctrlPr>
              <w:rPr>
                <w:rFonts w:ascii="Cambria Math" w:hAnsi="Cambria Math" w:cs="Helvetica"/>
                <w:i/>
                <w:sz w:val="22"/>
              </w:rPr>
            </m:ctrlPr>
          </m:dPr>
          <m:e>
            <m:r>
              <w:rPr>
                <w:rFonts w:ascii="Cambria Math" w:hAnsi="Cambria Math" w:cs="Helvetica"/>
                <w:sz w:val="22"/>
              </w:rPr>
              <m:t xml:space="preserve">1- </m:t>
            </m:r>
            <m:f>
              <m:fPr>
                <m:ctrlPr>
                  <w:rPr>
                    <w:rFonts w:ascii="Cambria Math" w:hAnsi="Cambria Math" w:cs="Helvetica"/>
                    <w:i/>
                    <w:sz w:val="22"/>
                  </w:rPr>
                </m:ctrlPr>
              </m:fPr>
              <m:num>
                <m:r>
                  <w:rPr>
                    <w:rFonts w:ascii="Cambria Math" w:hAnsi="Cambria Math" w:cs="Helvetica"/>
                    <w:sz w:val="22"/>
                  </w:rPr>
                  <m:t>∑σ</m:t>
                </m:r>
                <m:sSup>
                  <m:sSupPr>
                    <m:ctrlPr>
                      <w:rPr>
                        <w:rFonts w:ascii="Cambria Math" w:hAnsi="Cambria Math" w:cs="Helvetica"/>
                        <w:i/>
                        <w:sz w:val="22"/>
                      </w:rPr>
                    </m:ctrlPr>
                  </m:sSupPr>
                  <m:e>
                    <m:r>
                      <w:rPr>
                        <w:rFonts w:ascii="Cambria Math" w:hAnsi="Cambria Math" w:cs="Helvetica"/>
                        <w:sz w:val="22"/>
                      </w:rPr>
                      <m:t>b</m:t>
                    </m:r>
                  </m:e>
                  <m:sup>
                    <m:r>
                      <w:rPr>
                        <w:rFonts w:ascii="Cambria Math" w:hAnsi="Cambria Math" w:cs="Helvetica"/>
                        <w:sz w:val="22"/>
                      </w:rPr>
                      <m:t>2</m:t>
                    </m:r>
                  </m:sup>
                </m:sSup>
              </m:num>
              <m:den>
                <m:r>
                  <w:rPr>
                    <w:rFonts w:ascii="Cambria Math" w:hAnsi="Cambria Math" w:cs="Helvetica"/>
                    <w:sz w:val="22"/>
                  </w:rPr>
                  <m:t>σ</m:t>
                </m:r>
                <m:sSup>
                  <m:sSupPr>
                    <m:ctrlPr>
                      <w:rPr>
                        <w:rFonts w:ascii="Cambria Math" w:hAnsi="Cambria Math" w:cs="Helvetica"/>
                        <w:i/>
                        <w:sz w:val="22"/>
                      </w:rPr>
                    </m:ctrlPr>
                  </m:sSupPr>
                  <m:e>
                    <m:r>
                      <w:rPr>
                        <w:rFonts w:ascii="Cambria Math" w:hAnsi="Cambria Math" w:cs="Helvetica"/>
                        <w:sz w:val="22"/>
                      </w:rPr>
                      <m:t>b</m:t>
                    </m:r>
                  </m:e>
                  <m:sup>
                    <m:r>
                      <w:rPr>
                        <w:rFonts w:ascii="Cambria Math" w:hAnsi="Cambria Math" w:cs="Helvetica"/>
                        <w:sz w:val="22"/>
                      </w:rPr>
                      <m:t>2</m:t>
                    </m:r>
                  </m:sup>
                </m:sSup>
              </m:den>
            </m:f>
          </m:e>
        </m:d>
      </m:oMath>
      <w:r w:rsidRPr="00520D89">
        <w:rPr>
          <w:rFonts w:cs="Helvetica"/>
        </w:rPr>
        <w:t xml:space="preserve"> </w:t>
      </w:r>
      <w:r w:rsidR="00AE1851">
        <w:t>(</w:t>
      </w:r>
      <w:proofErr w:type="spellStart"/>
      <w:r w:rsidR="00AE1851">
        <w:t>Arikunto</w:t>
      </w:r>
      <w:proofErr w:type="spellEnd"/>
      <w:r w:rsidR="00AE1851">
        <w:t xml:space="preserve">, 2013: 239). In hypothesis testing, two approaches are used </w:t>
      </w:r>
    </w:p>
    <w:p w14:paraId="7F7789F2" w14:textId="77777777" w:rsidR="00AE1851" w:rsidRDefault="00AE1851" w:rsidP="00AE1851">
      <w:pPr>
        <w:jc w:val="both"/>
      </w:pPr>
    </w:p>
    <w:p w14:paraId="27F414E2" w14:textId="77777777" w:rsidR="00AE1851" w:rsidRDefault="00AE1851" w:rsidP="00AE1851">
      <w:pPr>
        <w:jc w:val="both"/>
      </w:pPr>
      <w:r>
        <w:t xml:space="preserve">simultaneous F test and partial t test. To Test Simultaneous F To measure the simultaneous F test using the formula: </w:t>
      </w:r>
    </w:p>
    <w:p w14:paraId="59D1E144" w14:textId="77777777" w:rsidR="00AE1851" w:rsidRPr="00AE1851" w:rsidRDefault="00AE1851" w:rsidP="00AE1851">
      <w:pPr>
        <w:jc w:val="both"/>
      </w:pPr>
      <w:r w:rsidRPr="00AE1851">
        <w:t>H</w:t>
      </w:r>
      <w:proofErr w:type="gramStart"/>
      <w:r w:rsidRPr="00AE1851">
        <w:rPr>
          <w:rFonts w:ascii="Cambria Math" w:hAnsi="Cambria Math" w:cs="Cambria Math"/>
        </w:rPr>
        <w:t>₀</w:t>
      </w:r>
      <w:r w:rsidRPr="00AE1851">
        <w:t xml:space="preserve"> :</w:t>
      </w:r>
      <w:proofErr w:type="gramEnd"/>
      <w:r w:rsidRPr="00AE1851">
        <w:t xml:space="preserve"> </w:t>
      </w:r>
      <w:r w:rsidRPr="00AE1851">
        <w:rPr>
          <w:rFonts w:cs="Helvetica"/>
        </w:rPr>
        <w:t>β</w:t>
      </w:r>
      <w:proofErr w:type="gramStart"/>
      <w:r w:rsidRPr="00AE1851">
        <w:t>o,</w:t>
      </w:r>
      <w:r w:rsidRPr="00AE1851">
        <w:rPr>
          <w:rFonts w:cs="Helvetica"/>
        </w:rPr>
        <w:t>β</w:t>
      </w:r>
      <w:r w:rsidRPr="00AE1851">
        <w:rPr>
          <w:rFonts w:ascii="Cambria Math" w:hAnsi="Cambria Math" w:cs="Cambria Math"/>
        </w:rPr>
        <w:t>₁</w:t>
      </w:r>
      <w:r w:rsidRPr="00AE1851">
        <w:t>,</w:t>
      </w:r>
      <w:r w:rsidRPr="00AE1851">
        <w:rPr>
          <w:rFonts w:cs="Helvetica"/>
        </w:rPr>
        <w:t>β</w:t>
      </w:r>
      <w:r w:rsidRPr="00AE1851">
        <w:rPr>
          <w:rFonts w:ascii="Cambria Math" w:hAnsi="Cambria Math" w:cs="Cambria Math"/>
        </w:rPr>
        <w:t>₂</w:t>
      </w:r>
      <w:r w:rsidRPr="00AE1851">
        <w:t>,</w:t>
      </w:r>
      <w:r w:rsidRPr="00AE1851">
        <w:rPr>
          <w:rFonts w:cs="Helvetica"/>
        </w:rPr>
        <w:t>β</w:t>
      </w:r>
      <w:r w:rsidRPr="00AE1851">
        <w:rPr>
          <w:rFonts w:ascii="Cambria Math" w:hAnsi="Cambria Math" w:cs="Cambria Math"/>
        </w:rPr>
        <w:t>₃</w:t>
      </w:r>
      <w:r w:rsidRPr="00AE1851">
        <w:t>,</w:t>
      </w:r>
      <w:r w:rsidRPr="00AE1851">
        <w:rPr>
          <w:rFonts w:cs="Helvetica"/>
        </w:rPr>
        <w:t>β</w:t>
      </w:r>
      <w:r w:rsidRPr="00AE1851">
        <w:rPr>
          <w:rFonts w:ascii="Cambria Math" w:hAnsi="Cambria Math" w:cs="Cambria Math"/>
        </w:rPr>
        <w:t>₄</w:t>
      </w:r>
      <w:r w:rsidRPr="00AE1851">
        <w:t>,</w:t>
      </w:r>
      <w:r w:rsidRPr="00AE1851">
        <w:rPr>
          <w:rFonts w:cs="Helvetica"/>
        </w:rPr>
        <w:t>β</w:t>
      </w:r>
      <w:proofErr w:type="gramEnd"/>
      <w:r w:rsidRPr="00AE1851">
        <w:rPr>
          <w:rFonts w:ascii="Cambria Math" w:hAnsi="Cambria Math" w:cs="Cambria Math"/>
        </w:rPr>
        <w:t>₅</w:t>
      </w:r>
      <w:r w:rsidRPr="00AE1851">
        <w:t xml:space="preserve"> = 0 </w:t>
      </w:r>
      <w:r w:rsidRPr="00AE1851">
        <w:rPr>
          <w:rFonts w:cs="Helvetica"/>
        </w:rPr>
        <w:t>→</w:t>
      </w:r>
      <w:r w:rsidRPr="00AE1851">
        <w:t xml:space="preserve"> There is no simultaneous effect</w:t>
      </w:r>
    </w:p>
    <w:p w14:paraId="63BBCC43" w14:textId="77777777" w:rsidR="00AE1851" w:rsidRPr="00AE1851" w:rsidRDefault="00AE1851" w:rsidP="00AE1851">
      <w:pPr>
        <w:jc w:val="both"/>
      </w:pPr>
      <w:r w:rsidRPr="00AE1851">
        <w:t>H</w:t>
      </w:r>
      <w:r w:rsidRPr="00AE1851">
        <w:rPr>
          <w:rFonts w:ascii="Cambria Math" w:hAnsi="Cambria Math" w:cs="Cambria Math"/>
        </w:rPr>
        <w:t>₁</w:t>
      </w:r>
      <w:r w:rsidRPr="00AE1851">
        <w:t xml:space="preserve">: At least one </w:t>
      </w:r>
      <w:r w:rsidRPr="00AE1851">
        <w:rPr>
          <w:rFonts w:cs="Helvetica"/>
        </w:rPr>
        <w:t>β</w:t>
      </w:r>
      <w:r w:rsidRPr="00AE1851">
        <w:t xml:space="preserve"> </w:t>
      </w:r>
      <w:r w:rsidRPr="00AE1851">
        <w:rPr>
          <w:rFonts w:cs="Helvetica"/>
        </w:rPr>
        <w:t>≠</w:t>
      </w:r>
      <w:r w:rsidRPr="00AE1851">
        <w:t xml:space="preserve"> 0 </w:t>
      </w:r>
      <w:r w:rsidRPr="00AE1851">
        <w:rPr>
          <w:rFonts w:cs="Helvetica"/>
        </w:rPr>
        <w:t>→</w:t>
      </w:r>
      <w:r w:rsidRPr="00AE1851">
        <w:t xml:space="preserve"> There is a simultaneous influence</w:t>
      </w:r>
    </w:p>
    <w:p w14:paraId="36980905" w14:textId="77777777" w:rsidR="00AE1851" w:rsidRDefault="00AE1851" w:rsidP="00AE1851">
      <w:pPr>
        <w:jc w:val="both"/>
      </w:pPr>
    </w:p>
    <w:p w14:paraId="019EE720" w14:textId="77777777" w:rsidR="00AE1851" w:rsidRPr="00AE1851" w:rsidRDefault="00AE1851" w:rsidP="00AE1851">
      <w:pPr>
        <w:jc w:val="both"/>
      </w:pPr>
      <w:r w:rsidRPr="00AE1851">
        <w:t>(</w:t>
      </w:r>
      <w:proofErr w:type="spellStart"/>
      <w:r w:rsidRPr="00AE1851">
        <w:t>Sugiyono</w:t>
      </w:r>
      <w:proofErr w:type="spellEnd"/>
      <w:r w:rsidRPr="00AE1851">
        <w:t>, 2013) Regression is a formula used to determine how much influence the dependent variable has on the independent. The data analysis technique used in this study is to use multiple linear regression analysis, where this regression analysis is used to determine the effect of lifestyle variables (X1), Financial Literacy (X2), and major category (in the form of dummy variables: D</w:t>
      </w:r>
      <w:r w:rsidRPr="00AE1851">
        <w:rPr>
          <w:rFonts w:ascii="Cambria Math" w:hAnsi="Cambria Math" w:cs="Cambria Math"/>
        </w:rPr>
        <w:t>₁</w:t>
      </w:r>
      <w:r w:rsidRPr="00AE1851">
        <w:t>, D</w:t>
      </w:r>
      <w:r w:rsidRPr="00AE1851">
        <w:rPr>
          <w:rFonts w:ascii="Cambria Math" w:hAnsi="Cambria Math" w:cs="Cambria Math"/>
        </w:rPr>
        <w:t>₂</w:t>
      </w:r>
      <w:r w:rsidRPr="00AE1851">
        <w:t>, D</w:t>
      </w:r>
      <w:r w:rsidRPr="00AE1851">
        <w:rPr>
          <w:rFonts w:ascii="Cambria Math" w:hAnsi="Cambria Math" w:cs="Cambria Math"/>
        </w:rPr>
        <w:t>₃</w:t>
      </w:r>
      <w:r w:rsidRPr="00AE1851">
        <w:t xml:space="preserve">), on student consumptive behavior (Y). The regression model used in this study </w:t>
      </w:r>
      <w:proofErr w:type="gramStart"/>
      <w:r w:rsidRPr="00AE1851">
        <w:t>is :</w:t>
      </w:r>
      <w:proofErr w:type="gramEnd"/>
    </w:p>
    <w:p w14:paraId="48157617" w14:textId="77777777" w:rsidR="00AE1851" w:rsidRDefault="00AE1851" w:rsidP="00AE1851">
      <w:pPr>
        <w:jc w:val="both"/>
      </w:pPr>
    </w:p>
    <w:p w14:paraId="7A60246C" w14:textId="77777777" w:rsidR="00AE1851" w:rsidRDefault="00AE1851" w:rsidP="00AE1851">
      <w:pPr>
        <w:jc w:val="center"/>
      </w:pPr>
      <w:r>
        <w:rPr>
          <w:noProof/>
        </w:rPr>
        <w:drawing>
          <wp:inline distT="0" distB="0" distL="0" distR="0" wp14:anchorId="51B522AA" wp14:editId="2CFFB817">
            <wp:extent cx="303784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7840" cy="419100"/>
                    </a:xfrm>
                    <a:prstGeom prst="rect">
                      <a:avLst/>
                    </a:prstGeom>
                    <a:noFill/>
                  </pic:spPr>
                </pic:pic>
              </a:graphicData>
            </a:graphic>
          </wp:inline>
        </w:drawing>
      </w:r>
    </w:p>
    <w:p w14:paraId="55624742" w14:textId="77777777" w:rsidR="00AE1851" w:rsidRDefault="00AE1851" w:rsidP="00AE1851">
      <w:pPr>
        <w:jc w:val="both"/>
      </w:pPr>
    </w:p>
    <w:p w14:paraId="36548AEA" w14:textId="77777777" w:rsidR="00AA74E0" w:rsidRPr="00520D89" w:rsidRDefault="00AE1851" w:rsidP="00520D89">
      <w:pPr>
        <w:jc w:val="both"/>
      </w:pPr>
      <w:r w:rsidRPr="00AE1851">
        <w:t>The coefficient of determination (R²) is used to determine the relationship between exogenous variables (X) and endogenous variables (Y), the greater the R, the greater the correlation. The coefficient of determination (R²) aims to determine how much the ability of exogenous variables to explain endogenous variables. The R square value is said to be good if it is above 0.5 because the R square value ranges from 0-1 (Auliya et al., 2014: 1-5)</w:t>
      </w:r>
      <w:proofErr w:type="gramStart"/>
      <w:r w:rsidRPr="00AE1851">
        <w:t>.</w:t>
      </w:r>
      <w:r w:rsidR="00520D89">
        <w:t xml:space="preserve"> </w:t>
      </w:r>
      <w:r w:rsidR="00AA74E0">
        <w:rPr>
          <w:rFonts w:ascii="Arial" w:hAnsi="Arial" w:cs="Arial"/>
        </w:rPr>
        <w:t>]</w:t>
      </w:r>
      <w:proofErr w:type="gramEnd"/>
      <w:r w:rsidR="00AA74E0" w:rsidRPr="00FB3A86">
        <w:rPr>
          <w:rFonts w:ascii="Arial" w:hAnsi="Arial" w:cs="Arial"/>
        </w:rPr>
        <w:t xml:space="preserve">  </w:t>
      </w:r>
    </w:p>
    <w:p w14:paraId="646207F9" w14:textId="77777777" w:rsidR="00790ADA" w:rsidRPr="00FB3A86" w:rsidRDefault="00790ADA" w:rsidP="00441B6F">
      <w:pPr>
        <w:pStyle w:val="Body"/>
        <w:spacing w:after="0"/>
        <w:rPr>
          <w:rFonts w:ascii="Arial" w:hAnsi="Arial" w:cs="Arial"/>
        </w:rPr>
      </w:pPr>
    </w:p>
    <w:p w14:paraId="1FD8DAE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52F55C" w14:textId="77777777" w:rsidR="00790ADA" w:rsidRPr="00FB3A86" w:rsidRDefault="00790ADA" w:rsidP="00441B6F">
      <w:pPr>
        <w:pStyle w:val="Head1"/>
        <w:spacing w:after="0"/>
        <w:jc w:val="both"/>
        <w:rPr>
          <w:rFonts w:ascii="Arial" w:hAnsi="Arial" w:cs="Arial"/>
        </w:rPr>
      </w:pPr>
    </w:p>
    <w:p w14:paraId="529BA6A8" w14:textId="77777777" w:rsidR="00520D89" w:rsidRDefault="00502516" w:rsidP="00441B6F">
      <w:pPr>
        <w:pStyle w:val="Body"/>
        <w:spacing w:after="0"/>
        <w:rPr>
          <w:rFonts w:ascii="Arial" w:hAnsi="Arial" w:cs="Arial"/>
        </w:rPr>
      </w:pPr>
      <w:r>
        <w:rPr>
          <w:rFonts w:ascii="Arial" w:hAnsi="Arial" w:cs="Arial"/>
        </w:rPr>
        <w:t>[</w:t>
      </w:r>
      <w:r w:rsidR="00520D89">
        <w:rPr>
          <w:rFonts w:ascii="Arial" w:hAnsi="Arial" w:cs="Arial"/>
          <w:b/>
          <w:caps/>
          <w:sz w:val="22"/>
        </w:rPr>
        <w:t>3</w:t>
      </w:r>
      <w:r w:rsidR="00520D89" w:rsidRPr="00C30A0F">
        <w:rPr>
          <w:rFonts w:ascii="Arial" w:hAnsi="Arial" w:cs="Arial"/>
          <w:b/>
          <w:caps/>
          <w:sz w:val="22"/>
        </w:rPr>
        <w:t xml:space="preserve">.1 </w:t>
      </w:r>
      <w:r w:rsidR="00520D89">
        <w:rPr>
          <w:rFonts w:ascii="Arial" w:hAnsi="Arial" w:cs="Arial"/>
          <w:b/>
          <w:sz w:val="22"/>
        </w:rPr>
        <w:t>Results</w:t>
      </w:r>
    </w:p>
    <w:p w14:paraId="38556BE0" w14:textId="77777777" w:rsidR="00520D89" w:rsidRPr="00520D89" w:rsidRDefault="00520D89" w:rsidP="00520D89">
      <w:pPr>
        <w:pStyle w:val="Body"/>
        <w:spacing w:after="0"/>
        <w:rPr>
          <w:rFonts w:ascii="Arial" w:hAnsi="Arial" w:cs="Arial"/>
          <w:b/>
        </w:rPr>
      </w:pPr>
      <w:r w:rsidRPr="00520D89">
        <w:rPr>
          <w:rFonts w:ascii="Arial" w:hAnsi="Arial" w:cs="Arial"/>
          <w:b/>
        </w:rPr>
        <w:t>Table 1. Results of Partial Analysis of Independent Variables on Dependent Variables</w:t>
      </w:r>
    </w:p>
    <w:tbl>
      <w:tblPr>
        <w:tblW w:w="8626" w:type="dxa"/>
        <w:jc w:val="center"/>
        <w:tblLayout w:type="fixed"/>
        <w:tblCellMar>
          <w:left w:w="0" w:type="dxa"/>
          <w:right w:w="0" w:type="dxa"/>
        </w:tblCellMar>
        <w:tblLook w:val="0000" w:firstRow="0" w:lastRow="0" w:firstColumn="0" w:lastColumn="0" w:noHBand="0" w:noVBand="0"/>
      </w:tblPr>
      <w:tblGrid>
        <w:gridCol w:w="727"/>
        <w:gridCol w:w="1805"/>
        <w:gridCol w:w="1319"/>
        <w:gridCol w:w="1319"/>
        <w:gridCol w:w="1456"/>
        <w:gridCol w:w="1000"/>
        <w:gridCol w:w="1000"/>
      </w:tblGrid>
      <w:tr w:rsidR="00520D89" w:rsidRPr="00520D89" w14:paraId="7C4ECF65" w14:textId="77777777" w:rsidTr="00B35323">
        <w:trPr>
          <w:cantSplit/>
          <w:jc w:val="center"/>
        </w:trPr>
        <w:tc>
          <w:tcPr>
            <w:tcW w:w="8626" w:type="dxa"/>
            <w:gridSpan w:val="7"/>
            <w:tcBorders>
              <w:bottom w:val="single" w:sz="4" w:space="0" w:color="auto"/>
            </w:tcBorders>
            <w:shd w:val="clear" w:color="auto" w:fill="FFFFFF"/>
          </w:tcPr>
          <w:p w14:paraId="401838FB" w14:textId="77777777" w:rsidR="00520D89" w:rsidRPr="00520D89" w:rsidRDefault="00520D89" w:rsidP="00520D89">
            <w:pPr>
              <w:pStyle w:val="Body"/>
              <w:spacing w:after="0"/>
              <w:rPr>
                <w:rFonts w:ascii="Arial" w:hAnsi="Arial" w:cs="Arial"/>
              </w:rPr>
            </w:pPr>
            <w:proofErr w:type="spellStart"/>
            <w:r w:rsidRPr="00520D89">
              <w:rPr>
                <w:rFonts w:ascii="Arial" w:hAnsi="Arial" w:cs="Arial"/>
                <w:bCs/>
              </w:rPr>
              <w:t>Coefficients</w:t>
            </w:r>
            <w:r w:rsidRPr="00520D89">
              <w:rPr>
                <w:rFonts w:ascii="Arial" w:hAnsi="Arial" w:cs="Arial"/>
                <w:bCs/>
                <w:vertAlign w:val="superscript"/>
              </w:rPr>
              <w:t>a</w:t>
            </w:r>
            <w:proofErr w:type="spellEnd"/>
          </w:p>
        </w:tc>
      </w:tr>
      <w:tr w:rsidR="00520D89" w:rsidRPr="00520D89" w14:paraId="1F2D082E" w14:textId="77777777" w:rsidTr="00B35323">
        <w:trPr>
          <w:cantSplit/>
          <w:jc w:val="center"/>
        </w:trPr>
        <w:tc>
          <w:tcPr>
            <w:tcW w:w="2532" w:type="dxa"/>
            <w:gridSpan w:val="2"/>
            <w:vMerge w:val="restart"/>
            <w:tcBorders>
              <w:top w:val="single" w:sz="4" w:space="0" w:color="auto"/>
              <w:bottom w:val="single" w:sz="4" w:space="0" w:color="auto"/>
            </w:tcBorders>
            <w:shd w:val="clear" w:color="auto" w:fill="FFFFFF"/>
          </w:tcPr>
          <w:p w14:paraId="76774A34" w14:textId="77777777" w:rsidR="00520D89" w:rsidRPr="00520D89" w:rsidRDefault="00520D89" w:rsidP="00520D89">
            <w:pPr>
              <w:pStyle w:val="Body"/>
              <w:spacing w:after="0"/>
              <w:rPr>
                <w:rFonts w:ascii="Arial" w:hAnsi="Arial" w:cs="Arial"/>
              </w:rPr>
            </w:pPr>
            <w:r w:rsidRPr="00520D89">
              <w:rPr>
                <w:rFonts w:ascii="Arial" w:hAnsi="Arial" w:cs="Arial"/>
              </w:rPr>
              <w:t>Model</w:t>
            </w:r>
          </w:p>
        </w:tc>
        <w:tc>
          <w:tcPr>
            <w:tcW w:w="2638" w:type="dxa"/>
            <w:gridSpan w:val="2"/>
            <w:tcBorders>
              <w:top w:val="single" w:sz="4" w:space="0" w:color="auto"/>
              <w:bottom w:val="single" w:sz="4" w:space="0" w:color="auto"/>
            </w:tcBorders>
            <w:shd w:val="clear" w:color="auto" w:fill="FFFFFF"/>
          </w:tcPr>
          <w:p w14:paraId="5966981D" w14:textId="77777777" w:rsidR="00520D89" w:rsidRPr="00520D89" w:rsidRDefault="00520D89" w:rsidP="00520D89">
            <w:pPr>
              <w:pStyle w:val="Body"/>
              <w:spacing w:after="0"/>
              <w:rPr>
                <w:rFonts w:ascii="Arial" w:hAnsi="Arial" w:cs="Arial"/>
              </w:rPr>
            </w:pPr>
            <w:r w:rsidRPr="00520D89">
              <w:rPr>
                <w:rFonts w:ascii="Arial" w:hAnsi="Arial" w:cs="Arial"/>
              </w:rPr>
              <w:t>Unstandardized Coefficients</w:t>
            </w:r>
          </w:p>
        </w:tc>
        <w:tc>
          <w:tcPr>
            <w:tcW w:w="1456" w:type="dxa"/>
            <w:tcBorders>
              <w:top w:val="single" w:sz="4" w:space="0" w:color="auto"/>
              <w:bottom w:val="single" w:sz="4" w:space="0" w:color="auto"/>
            </w:tcBorders>
            <w:shd w:val="clear" w:color="auto" w:fill="FFFFFF"/>
          </w:tcPr>
          <w:p w14:paraId="4FE667AD" w14:textId="77777777" w:rsidR="00520D89" w:rsidRPr="00520D89" w:rsidRDefault="00520D89" w:rsidP="00520D89">
            <w:pPr>
              <w:pStyle w:val="Body"/>
              <w:spacing w:after="0"/>
              <w:rPr>
                <w:rFonts w:ascii="Arial" w:hAnsi="Arial" w:cs="Arial"/>
              </w:rPr>
            </w:pPr>
            <w:r w:rsidRPr="00520D89">
              <w:rPr>
                <w:rFonts w:ascii="Arial" w:hAnsi="Arial" w:cs="Arial"/>
              </w:rPr>
              <w:t>Standardized Coefficients</w:t>
            </w:r>
          </w:p>
        </w:tc>
        <w:tc>
          <w:tcPr>
            <w:tcW w:w="1000" w:type="dxa"/>
            <w:vMerge w:val="restart"/>
            <w:tcBorders>
              <w:top w:val="single" w:sz="4" w:space="0" w:color="auto"/>
              <w:bottom w:val="single" w:sz="4" w:space="0" w:color="auto"/>
            </w:tcBorders>
            <w:shd w:val="clear" w:color="auto" w:fill="FFFFFF"/>
          </w:tcPr>
          <w:p w14:paraId="55243B34" w14:textId="77777777" w:rsidR="00520D89" w:rsidRPr="00520D89" w:rsidRDefault="00520D89" w:rsidP="00752E33">
            <w:pPr>
              <w:pStyle w:val="Body"/>
              <w:spacing w:after="0"/>
              <w:jc w:val="center"/>
              <w:rPr>
                <w:rFonts w:ascii="Arial" w:hAnsi="Arial" w:cs="Arial"/>
              </w:rPr>
            </w:pPr>
            <w:r w:rsidRPr="00520D89">
              <w:rPr>
                <w:rFonts w:ascii="Arial" w:hAnsi="Arial" w:cs="Arial"/>
              </w:rPr>
              <w:t>t</w:t>
            </w:r>
          </w:p>
        </w:tc>
        <w:tc>
          <w:tcPr>
            <w:tcW w:w="1000" w:type="dxa"/>
            <w:vMerge w:val="restart"/>
            <w:tcBorders>
              <w:top w:val="single" w:sz="4" w:space="0" w:color="auto"/>
              <w:bottom w:val="single" w:sz="4" w:space="0" w:color="auto"/>
            </w:tcBorders>
            <w:shd w:val="clear" w:color="auto" w:fill="FFFFFF"/>
          </w:tcPr>
          <w:p w14:paraId="6A000E2F" w14:textId="77777777" w:rsidR="00520D89" w:rsidRPr="00520D89" w:rsidRDefault="00520D89" w:rsidP="00752E33">
            <w:pPr>
              <w:pStyle w:val="Body"/>
              <w:spacing w:after="0"/>
              <w:jc w:val="center"/>
              <w:rPr>
                <w:rFonts w:ascii="Arial" w:hAnsi="Arial" w:cs="Arial"/>
              </w:rPr>
            </w:pPr>
            <w:r w:rsidRPr="00520D89">
              <w:rPr>
                <w:rFonts w:ascii="Arial" w:hAnsi="Arial" w:cs="Arial"/>
              </w:rPr>
              <w:t>Sig.</w:t>
            </w:r>
          </w:p>
        </w:tc>
      </w:tr>
      <w:tr w:rsidR="00520D89" w:rsidRPr="00520D89" w14:paraId="1EE587FE" w14:textId="77777777" w:rsidTr="00B35323">
        <w:trPr>
          <w:cantSplit/>
          <w:jc w:val="center"/>
        </w:trPr>
        <w:tc>
          <w:tcPr>
            <w:tcW w:w="2532" w:type="dxa"/>
            <w:gridSpan w:val="2"/>
            <w:vMerge/>
            <w:tcBorders>
              <w:top w:val="single" w:sz="4" w:space="0" w:color="auto"/>
            </w:tcBorders>
            <w:shd w:val="clear" w:color="auto" w:fill="FFFFFF"/>
          </w:tcPr>
          <w:p w14:paraId="1D9F7DCB" w14:textId="77777777" w:rsidR="00520D89" w:rsidRPr="00520D89" w:rsidRDefault="00520D89" w:rsidP="00520D89">
            <w:pPr>
              <w:pStyle w:val="Body"/>
              <w:spacing w:after="0"/>
              <w:rPr>
                <w:rFonts w:ascii="Arial" w:hAnsi="Arial" w:cs="Arial"/>
              </w:rPr>
            </w:pPr>
          </w:p>
        </w:tc>
        <w:tc>
          <w:tcPr>
            <w:tcW w:w="1319" w:type="dxa"/>
            <w:tcBorders>
              <w:top w:val="single" w:sz="4" w:space="0" w:color="auto"/>
            </w:tcBorders>
            <w:shd w:val="clear" w:color="auto" w:fill="FFFFFF"/>
          </w:tcPr>
          <w:p w14:paraId="0AA98740" w14:textId="77777777" w:rsidR="00520D89" w:rsidRPr="00520D89" w:rsidRDefault="00520D89" w:rsidP="00520D89">
            <w:pPr>
              <w:pStyle w:val="Body"/>
              <w:spacing w:after="0"/>
              <w:rPr>
                <w:rFonts w:ascii="Arial" w:hAnsi="Arial" w:cs="Arial"/>
              </w:rPr>
            </w:pPr>
            <w:r w:rsidRPr="00520D89">
              <w:rPr>
                <w:rFonts w:ascii="Arial" w:hAnsi="Arial" w:cs="Arial"/>
              </w:rPr>
              <w:t>B</w:t>
            </w:r>
          </w:p>
        </w:tc>
        <w:tc>
          <w:tcPr>
            <w:tcW w:w="1319" w:type="dxa"/>
            <w:tcBorders>
              <w:top w:val="single" w:sz="4" w:space="0" w:color="auto"/>
            </w:tcBorders>
            <w:shd w:val="clear" w:color="auto" w:fill="FFFFFF"/>
          </w:tcPr>
          <w:p w14:paraId="24B66610" w14:textId="77777777" w:rsidR="00520D89" w:rsidRPr="00520D89" w:rsidRDefault="00520D89" w:rsidP="00520D89">
            <w:pPr>
              <w:pStyle w:val="Body"/>
              <w:spacing w:after="0"/>
              <w:rPr>
                <w:rFonts w:ascii="Arial" w:hAnsi="Arial" w:cs="Arial"/>
              </w:rPr>
            </w:pPr>
            <w:r w:rsidRPr="00520D89">
              <w:rPr>
                <w:rFonts w:ascii="Arial" w:hAnsi="Arial" w:cs="Arial"/>
              </w:rPr>
              <w:t>Std. Error</w:t>
            </w:r>
          </w:p>
        </w:tc>
        <w:tc>
          <w:tcPr>
            <w:tcW w:w="1456" w:type="dxa"/>
            <w:tcBorders>
              <w:top w:val="single" w:sz="4" w:space="0" w:color="auto"/>
            </w:tcBorders>
            <w:shd w:val="clear" w:color="auto" w:fill="FFFFFF"/>
          </w:tcPr>
          <w:p w14:paraId="0476360E" w14:textId="77777777" w:rsidR="00520D89" w:rsidRPr="00520D89" w:rsidRDefault="00520D89" w:rsidP="00520D89">
            <w:pPr>
              <w:pStyle w:val="Body"/>
              <w:spacing w:after="0"/>
              <w:rPr>
                <w:rFonts w:ascii="Arial" w:hAnsi="Arial" w:cs="Arial"/>
              </w:rPr>
            </w:pPr>
            <w:r w:rsidRPr="00520D89">
              <w:rPr>
                <w:rFonts w:ascii="Arial" w:hAnsi="Arial" w:cs="Arial"/>
              </w:rPr>
              <w:t>Beta</w:t>
            </w:r>
          </w:p>
        </w:tc>
        <w:tc>
          <w:tcPr>
            <w:tcW w:w="1000" w:type="dxa"/>
            <w:vMerge/>
            <w:tcBorders>
              <w:top w:val="single" w:sz="4" w:space="0" w:color="auto"/>
            </w:tcBorders>
            <w:shd w:val="clear" w:color="auto" w:fill="FFFFFF"/>
          </w:tcPr>
          <w:p w14:paraId="46045A14" w14:textId="77777777" w:rsidR="00520D89" w:rsidRPr="00520D89" w:rsidRDefault="00520D89" w:rsidP="00520D89">
            <w:pPr>
              <w:pStyle w:val="Body"/>
              <w:spacing w:after="0"/>
              <w:rPr>
                <w:rFonts w:ascii="Arial" w:hAnsi="Arial" w:cs="Arial"/>
              </w:rPr>
            </w:pPr>
          </w:p>
        </w:tc>
        <w:tc>
          <w:tcPr>
            <w:tcW w:w="1000" w:type="dxa"/>
            <w:vMerge/>
            <w:tcBorders>
              <w:top w:val="single" w:sz="4" w:space="0" w:color="auto"/>
            </w:tcBorders>
            <w:shd w:val="clear" w:color="auto" w:fill="FFFFFF"/>
          </w:tcPr>
          <w:p w14:paraId="30008470" w14:textId="77777777" w:rsidR="00520D89" w:rsidRPr="00520D89" w:rsidRDefault="00520D89" w:rsidP="00520D89">
            <w:pPr>
              <w:pStyle w:val="Body"/>
              <w:spacing w:after="0"/>
              <w:rPr>
                <w:rFonts w:ascii="Arial" w:hAnsi="Arial" w:cs="Arial"/>
              </w:rPr>
            </w:pPr>
          </w:p>
        </w:tc>
      </w:tr>
      <w:tr w:rsidR="00520D89" w:rsidRPr="00520D89" w14:paraId="34C7B511" w14:textId="77777777" w:rsidTr="00B35323">
        <w:trPr>
          <w:cantSplit/>
          <w:jc w:val="center"/>
        </w:trPr>
        <w:tc>
          <w:tcPr>
            <w:tcW w:w="727" w:type="dxa"/>
            <w:vMerge w:val="restart"/>
            <w:shd w:val="clear" w:color="auto" w:fill="FFFFFF"/>
            <w:vAlign w:val="center"/>
          </w:tcPr>
          <w:p w14:paraId="669EE3CD" w14:textId="77777777" w:rsidR="00520D89" w:rsidRPr="00520D89" w:rsidRDefault="00520D89" w:rsidP="00520D89">
            <w:pPr>
              <w:pStyle w:val="Body"/>
              <w:spacing w:after="0"/>
              <w:rPr>
                <w:rFonts w:ascii="Arial" w:hAnsi="Arial" w:cs="Arial"/>
              </w:rPr>
            </w:pPr>
            <w:r w:rsidRPr="00520D89">
              <w:rPr>
                <w:rFonts w:ascii="Arial" w:hAnsi="Arial" w:cs="Arial"/>
              </w:rPr>
              <w:t>1</w:t>
            </w:r>
          </w:p>
        </w:tc>
        <w:tc>
          <w:tcPr>
            <w:tcW w:w="1805" w:type="dxa"/>
            <w:shd w:val="clear" w:color="auto" w:fill="FFFFFF"/>
            <w:vAlign w:val="center"/>
          </w:tcPr>
          <w:p w14:paraId="78962914" w14:textId="77777777" w:rsidR="00520D89" w:rsidRPr="00520D89" w:rsidRDefault="00520D89" w:rsidP="00520D89">
            <w:pPr>
              <w:pStyle w:val="Body"/>
              <w:spacing w:after="0"/>
              <w:rPr>
                <w:rFonts w:ascii="Arial" w:hAnsi="Arial" w:cs="Arial"/>
              </w:rPr>
            </w:pPr>
            <w:r w:rsidRPr="00520D89">
              <w:rPr>
                <w:rFonts w:ascii="Arial" w:hAnsi="Arial" w:cs="Arial"/>
              </w:rPr>
              <w:t>(Constant)</w:t>
            </w:r>
          </w:p>
        </w:tc>
        <w:tc>
          <w:tcPr>
            <w:tcW w:w="1319" w:type="dxa"/>
            <w:shd w:val="clear" w:color="auto" w:fill="FFFFFF"/>
            <w:vAlign w:val="center"/>
          </w:tcPr>
          <w:p w14:paraId="33B2DCE7" w14:textId="77777777" w:rsidR="00520D89" w:rsidRPr="00520D89" w:rsidRDefault="00520D89" w:rsidP="00520D89">
            <w:pPr>
              <w:pStyle w:val="Body"/>
              <w:spacing w:after="0"/>
              <w:rPr>
                <w:rFonts w:ascii="Arial" w:hAnsi="Arial" w:cs="Arial"/>
              </w:rPr>
            </w:pPr>
            <w:r w:rsidRPr="00520D89">
              <w:rPr>
                <w:rFonts w:ascii="Arial" w:hAnsi="Arial" w:cs="Arial"/>
              </w:rPr>
              <w:t>119.475</w:t>
            </w:r>
          </w:p>
        </w:tc>
        <w:tc>
          <w:tcPr>
            <w:tcW w:w="1319" w:type="dxa"/>
            <w:shd w:val="clear" w:color="auto" w:fill="FFFFFF"/>
            <w:vAlign w:val="center"/>
          </w:tcPr>
          <w:p w14:paraId="6FD14E7A" w14:textId="77777777" w:rsidR="00520D89" w:rsidRPr="00520D89" w:rsidRDefault="00520D89" w:rsidP="00520D89">
            <w:pPr>
              <w:pStyle w:val="Body"/>
              <w:spacing w:after="0"/>
              <w:rPr>
                <w:rFonts w:ascii="Arial" w:hAnsi="Arial" w:cs="Arial"/>
              </w:rPr>
            </w:pPr>
            <w:r w:rsidRPr="00520D89">
              <w:rPr>
                <w:rFonts w:ascii="Arial" w:hAnsi="Arial" w:cs="Arial"/>
              </w:rPr>
              <w:t>3.255</w:t>
            </w:r>
          </w:p>
        </w:tc>
        <w:tc>
          <w:tcPr>
            <w:tcW w:w="1456" w:type="dxa"/>
            <w:shd w:val="clear" w:color="auto" w:fill="FFFFFF"/>
          </w:tcPr>
          <w:p w14:paraId="4BBC7FE0" w14:textId="77777777" w:rsidR="00520D89" w:rsidRPr="00520D89" w:rsidRDefault="00520D89" w:rsidP="00520D89">
            <w:pPr>
              <w:pStyle w:val="Body"/>
              <w:spacing w:after="0"/>
              <w:rPr>
                <w:rFonts w:ascii="Arial" w:hAnsi="Arial" w:cs="Arial"/>
              </w:rPr>
            </w:pPr>
          </w:p>
        </w:tc>
        <w:tc>
          <w:tcPr>
            <w:tcW w:w="1000" w:type="dxa"/>
            <w:shd w:val="clear" w:color="auto" w:fill="FFFFFF"/>
            <w:vAlign w:val="center"/>
          </w:tcPr>
          <w:p w14:paraId="1982A166" w14:textId="77777777" w:rsidR="00520D89" w:rsidRPr="00520D89" w:rsidRDefault="00520D89" w:rsidP="00520D89">
            <w:pPr>
              <w:pStyle w:val="Body"/>
              <w:spacing w:after="0"/>
              <w:rPr>
                <w:rFonts w:ascii="Arial" w:hAnsi="Arial" w:cs="Arial"/>
              </w:rPr>
            </w:pPr>
            <w:r w:rsidRPr="00520D89">
              <w:rPr>
                <w:rFonts w:ascii="Arial" w:hAnsi="Arial" w:cs="Arial"/>
              </w:rPr>
              <w:t>36.709</w:t>
            </w:r>
          </w:p>
        </w:tc>
        <w:tc>
          <w:tcPr>
            <w:tcW w:w="1000" w:type="dxa"/>
            <w:shd w:val="clear" w:color="auto" w:fill="FFFFFF"/>
            <w:vAlign w:val="center"/>
          </w:tcPr>
          <w:p w14:paraId="4376848C" w14:textId="77777777" w:rsidR="00520D89" w:rsidRPr="00520D89" w:rsidRDefault="00520D89" w:rsidP="00520D89">
            <w:pPr>
              <w:pStyle w:val="Body"/>
              <w:spacing w:after="0"/>
              <w:rPr>
                <w:rFonts w:ascii="Arial" w:hAnsi="Arial" w:cs="Arial"/>
              </w:rPr>
            </w:pPr>
            <w:r w:rsidRPr="00520D89">
              <w:rPr>
                <w:rFonts w:ascii="Arial" w:hAnsi="Arial" w:cs="Arial"/>
              </w:rPr>
              <w:t>.000</w:t>
            </w:r>
          </w:p>
        </w:tc>
      </w:tr>
      <w:tr w:rsidR="00520D89" w:rsidRPr="00520D89" w14:paraId="7D9518DF" w14:textId="77777777" w:rsidTr="00B35323">
        <w:trPr>
          <w:cantSplit/>
          <w:jc w:val="center"/>
        </w:trPr>
        <w:tc>
          <w:tcPr>
            <w:tcW w:w="727" w:type="dxa"/>
            <w:vMerge/>
            <w:shd w:val="clear" w:color="auto" w:fill="FFFFFF"/>
            <w:vAlign w:val="center"/>
          </w:tcPr>
          <w:p w14:paraId="6C7A2E95" w14:textId="77777777" w:rsidR="00520D89" w:rsidRPr="00520D89" w:rsidRDefault="00520D89" w:rsidP="00520D89">
            <w:pPr>
              <w:pStyle w:val="Body"/>
              <w:spacing w:after="0"/>
              <w:rPr>
                <w:rFonts w:ascii="Arial" w:hAnsi="Arial" w:cs="Arial"/>
              </w:rPr>
            </w:pPr>
          </w:p>
        </w:tc>
        <w:tc>
          <w:tcPr>
            <w:tcW w:w="1805" w:type="dxa"/>
            <w:shd w:val="clear" w:color="auto" w:fill="FFFFFF"/>
            <w:vAlign w:val="center"/>
          </w:tcPr>
          <w:p w14:paraId="2659E911" w14:textId="77777777" w:rsidR="00520D89" w:rsidRPr="00520D89" w:rsidRDefault="00752E33" w:rsidP="00520D89">
            <w:pPr>
              <w:pStyle w:val="Body"/>
              <w:spacing w:after="0"/>
              <w:rPr>
                <w:rFonts w:ascii="Arial" w:hAnsi="Arial" w:cs="Arial"/>
              </w:rPr>
            </w:pPr>
            <w:r>
              <w:rPr>
                <w:rFonts w:ascii="Arial" w:hAnsi="Arial" w:cs="Arial"/>
              </w:rPr>
              <w:t>Live style</w:t>
            </w:r>
          </w:p>
        </w:tc>
        <w:tc>
          <w:tcPr>
            <w:tcW w:w="1319" w:type="dxa"/>
            <w:shd w:val="clear" w:color="auto" w:fill="FFFFFF"/>
            <w:vAlign w:val="center"/>
          </w:tcPr>
          <w:p w14:paraId="624EEA0B" w14:textId="77777777" w:rsidR="00520D89" w:rsidRPr="00520D89" w:rsidRDefault="00520D89" w:rsidP="00520D89">
            <w:pPr>
              <w:pStyle w:val="Body"/>
              <w:spacing w:after="0"/>
              <w:rPr>
                <w:rFonts w:ascii="Arial" w:hAnsi="Arial" w:cs="Arial"/>
              </w:rPr>
            </w:pPr>
            <w:r w:rsidRPr="00520D89">
              <w:rPr>
                <w:rFonts w:ascii="Arial" w:hAnsi="Arial" w:cs="Arial"/>
              </w:rPr>
              <w:t>.550</w:t>
            </w:r>
          </w:p>
        </w:tc>
        <w:tc>
          <w:tcPr>
            <w:tcW w:w="1319" w:type="dxa"/>
            <w:shd w:val="clear" w:color="auto" w:fill="FFFFFF"/>
            <w:vAlign w:val="center"/>
          </w:tcPr>
          <w:p w14:paraId="0875A308" w14:textId="77777777" w:rsidR="00520D89" w:rsidRPr="00520D89" w:rsidRDefault="00520D89" w:rsidP="00520D89">
            <w:pPr>
              <w:pStyle w:val="Body"/>
              <w:spacing w:after="0"/>
              <w:rPr>
                <w:rFonts w:ascii="Arial" w:hAnsi="Arial" w:cs="Arial"/>
              </w:rPr>
            </w:pPr>
            <w:r w:rsidRPr="00520D89">
              <w:rPr>
                <w:rFonts w:ascii="Arial" w:hAnsi="Arial" w:cs="Arial"/>
              </w:rPr>
              <w:t>.054</w:t>
            </w:r>
          </w:p>
        </w:tc>
        <w:tc>
          <w:tcPr>
            <w:tcW w:w="1456" w:type="dxa"/>
            <w:shd w:val="clear" w:color="auto" w:fill="FFFFFF"/>
            <w:vAlign w:val="center"/>
          </w:tcPr>
          <w:p w14:paraId="23FC2720" w14:textId="77777777" w:rsidR="00520D89" w:rsidRPr="00520D89" w:rsidRDefault="00520D89" w:rsidP="00520D89">
            <w:pPr>
              <w:pStyle w:val="Body"/>
              <w:spacing w:after="0"/>
              <w:rPr>
                <w:rFonts w:ascii="Arial" w:hAnsi="Arial" w:cs="Arial"/>
              </w:rPr>
            </w:pPr>
            <w:r w:rsidRPr="00520D89">
              <w:rPr>
                <w:rFonts w:ascii="Arial" w:hAnsi="Arial" w:cs="Arial"/>
              </w:rPr>
              <w:t>.485</w:t>
            </w:r>
          </w:p>
        </w:tc>
        <w:tc>
          <w:tcPr>
            <w:tcW w:w="1000" w:type="dxa"/>
            <w:shd w:val="clear" w:color="auto" w:fill="FFFFFF"/>
            <w:vAlign w:val="center"/>
          </w:tcPr>
          <w:p w14:paraId="1B75B977" w14:textId="77777777" w:rsidR="00520D89" w:rsidRPr="00520D89" w:rsidRDefault="00520D89" w:rsidP="00520D89">
            <w:pPr>
              <w:pStyle w:val="Body"/>
              <w:spacing w:after="0"/>
              <w:rPr>
                <w:rFonts w:ascii="Arial" w:hAnsi="Arial" w:cs="Arial"/>
              </w:rPr>
            </w:pPr>
            <w:r w:rsidRPr="00520D89">
              <w:rPr>
                <w:rFonts w:ascii="Arial" w:hAnsi="Arial" w:cs="Arial"/>
              </w:rPr>
              <w:t>5.854</w:t>
            </w:r>
          </w:p>
        </w:tc>
        <w:tc>
          <w:tcPr>
            <w:tcW w:w="1000" w:type="dxa"/>
            <w:shd w:val="clear" w:color="auto" w:fill="FFFFFF"/>
            <w:vAlign w:val="center"/>
          </w:tcPr>
          <w:p w14:paraId="0E58BE9C" w14:textId="77777777" w:rsidR="00520D89" w:rsidRPr="00520D89" w:rsidRDefault="00520D89" w:rsidP="00520D89">
            <w:pPr>
              <w:pStyle w:val="Body"/>
              <w:spacing w:after="0"/>
              <w:rPr>
                <w:rFonts w:ascii="Arial" w:hAnsi="Arial" w:cs="Arial"/>
              </w:rPr>
            </w:pPr>
            <w:r w:rsidRPr="00520D89">
              <w:rPr>
                <w:rFonts w:ascii="Arial" w:hAnsi="Arial" w:cs="Arial"/>
              </w:rPr>
              <w:t>.002</w:t>
            </w:r>
          </w:p>
        </w:tc>
      </w:tr>
      <w:tr w:rsidR="00520D89" w:rsidRPr="00520D89" w14:paraId="44FFC3EA" w14:textId="77777777" w:rsidTr="00B35323">
        <w:trPr>
          <w:cantSplit/>
          <w:jc w:val="center"/>
        </w:trPr>
        <w:tc>
          <w:tcPr>
            <w:tcW w:w="727" w:type="dxa"/>
            <w:vMerge/>
            <w:shd w:val="clear" w:color="auto" w:fill="FFFFFF"/>
            <w:vAlign w:val="center"/>
          </w:tcPr>
          <w:p w14:paraId="5BE817AC" w14:textId="77777777" w:rsidR="00520D89" w:rsidRPr="00520D89" w:rsidRDefault="00520D89" w:rsidP="00520D89">
            <w:pPr>
              <w:pStyle w:val="Body"/>
              <w:spacing w:after="0"/>
              <w:rPr>
                <w:rFonts w:ascii="Arial" w:hAnsi="Arial" w:cs="Arial"/>
              </w:rPr>
            </w:pPr>
          </w:p>
        </w:tc>
        <w:tc>
          <w:tcPr>
            <w:tcW w:w="1805" w:type="dxa"/>
            <w:shd w:val="clear" w:color="auto" w:fill="FFFFFF"/>
            <w:vAlign w:val="center"/>
          </w:tcPr>
          <w:p w14:paraId="71E11AA4" w14:textId="77777777" w:rsidR="00520D89" w:rsidRPr="00520D89" w:rsidRDefault="00752E33" w:rsidP="00520D89">
            <w:pPr>
              <w:pStyle w:val="Body"/>
              <w:spacing w:after="0"/>
              <w:rPr>
                <w:rFonts w:ascii="Arial" w:hAnsi="Arial" w:cs="Arial"/>
              </w:rPr>
            </w:pPr>
            <w:r>
              <w:rPr>
                <w:rFonts w:ascii="Arial" w:hAnsi="Arial" w:cs="Arial"/>
              </w:rPr>
              <w:t>Financial Literacy</w:t>
            </w:r>
          </w:p>
        </w:tc>
        <w:tc>
          <w:tcPr>
            <w:tcW w:w="1319" w:type="dxa"/>
            <w:shd w:val="clear" w:color="auto" w:fill="FFFFFF"/>
            <w:vAlign w:val="center"/>
          </w:tcPr>
          <w:p w14:paraId="63C7FAC4" w14:textId="77777777" w:rsidR="00520D89" w:rsidRPr="00520D89" w:rsidRDefault="00520D89" w:rsidP="00520D89">
            <w:pPr>
              <w:pStyle w:val="Body"/>
              <w:spacing w:after="0"/>
              <w:rPr>
                <w:rFonts w:ascii="Arial" w:hAnsi="Arial" w:cs="Arial"/>
              </w:rPr>
            </w:pPr>
            <w:r w:rsidRPr="00520D89">
              <w:rPr>
                <w:rFonts w:ascii="Arial" w:hAnsi="Arial" w:cs="Arial"/>
              </w:rPr>
              <w:t>.359</w:t>
            </w:r>
          </w:p>
        </w:tc>
        <w:tc>
          <w:tcPr>
            <w:tcW w:w="1319" w:type="dxa"/>
            <w:shd w:val="clear" w:color="auto" w:fill="FFFFFF"/>
            <w:vAlign w:val="center"/>
          </w:tcPr>
          <w:p w14:paraId="09EC0E58" w14:textId="77777777" w:rsidR="00520D89" w:rsidRPr="00520D89" w:rsidRDefault="00520D89" w:rsidP="00520D89">
            <w:pPr>
              <w:pStyle w:val="Body"/>
              <w:spacing w:after="0"/>
              <w:rPr>
                <w:rFonts w:ascii="Arial" w:hAnsi="Arial" w:cs="Arial"/>
              </w:rPr>
            </w:pPr>
            <w:r w:rsidRPr="00520D89">
              <w:rPr>
                <w:rFonts w:ascii="Arial" w:hAnsi="Arial" w:cs="Arial"/>
              </w:rPr>
              <w:t>.053</w:t>
            </w:r>
          </w:p>
        </w:tc>
        <w:tc>
          <w:tcPr>
            <w:tcW w:w="1456" w:type="dxa"/>
            <w:shd w:val="clear" w:color="auto" w:fill="FFFFFF"/>
            <w:vAlign w:val="center"/>
          </w:tcPr>
          <w:p w14:paraId="3FEEF0FA" w14:textId="77777777" w:rsidR="00520D89" w:rsidRPr="00520D89" w:rsidRDefault="00520D89" w:rsidP="00520D89">
            <w:pPr>
              <w:pStyle w:val="Body"/>
              <w:spacing w:after="0"/>
              <w:rPr>
                <w:rFonts w:ascii="Arial" w:hAnsi="Arial" w:cs="Arial"/>
              </w:rPr>
            </w:pPr>
            <w:r w:rsidRPr="00520D89">
              <w:rPr>
                <w:rFonts w:ascii="Arial" w:hAnsi="Arial" w:cs="Arial"/>
              </w:rPr>
              <w:t>.400</w:t>
            </w:r>
          </w:p>
        </w:tc>
        <w:tc>
          <w:tcPr>
            <w:tcW w:w="1000" w:type="dxa"/>
            <w:shd w:val="clear" w:color="auto" w:fill="FFFFFF"/>
            <w:vAlign w:val="center"/>
          </w:tcPr>
          <w:p w14:paraId="4C9F8AB3" w14:textId="77777777" w:rsidR="00520D89" w:rsidRPr="00520D89" w:rsidRDefault="00520D89" w:rsidP="00520D89">
            <w:pPr>
              <w:pStyle w:val="Body"/>
              <w:spacing w:after="0"/>
              <w:rPr>
                <w:rFonts w:ascii="Arial" w:hAnsi="Arial" w:cs="Arial"/>
              </w:rPr>
            </w:pPr>
            <w:r w:rsidRPr="00520D89">
              <w:rPr>
                <w:rFonts w:ascii="Arial" w:hAnsi="Arial" w:cs="Arial"/>
              </w:rPr>
              <w:t>4.828</w:t>
            </w:r>
          </w:p>
        </w:tc>
        <w:tc>
          <w:tcPr>
            <w:tcW w:w="1000" w:type="dxa"/>
            <w:shd w:val="clear" w:color="auto" w:fill="FFFFFF"/>
            <w:vAlign w:val="center"/>
          </w:tcPr>
          <w:p w14:paraId="1F98D3BD" w14:textId="77777777" w:rsidR="00520D89" w:rsidRPr="00520D89" w:rsidRDefault="00520D89" w:rsidP="00520D89">
            <w:pPr>
              <w:pStyle w:val="Body"/>
              <w:spacing w:after="0"/>
              <w:rPr>
                <w:rFonts w:ascii="Arial" w:hAnsi="Arial" w:cs="Arial"/>
              </w:rPr>
            </w:pPr>
            <w:r w:rsidRPr="00520D89">
              <w:rPr>
                <w:rFonts w:ascii="Arial" w:hAnsi="Arial" w:cs="Arial"/>
              </w:rPr>
              <w:t>.000</w:t>
            </w:r>
          </w:p>
        </w:tc>
      </w:tr>
      <w:tr w:rsidR="00520D89" w:rsidRPr="00520D89" w14:paraId="696811F9" w14:textId="77777777" w:rsidTr="00B35323">
        <w:trPr>
          <w:cantSplit/>
          <w:jc w:val="center"/>
        </w:trPr>
        <w:tc>
          <w:tcPr>
            <w:tcW w:w="727" w:type="dxa"/>
            <w:vMerge/>
            <w:shd w:val="clear" w:color="auto" w:fill="FFFFFF"/>
            <w:vAlign w:val="center"/>
          </w:tcPr>
          <w:p w14:paraId="230BC213" w14:textId="77777777" w:rsidR="00520D89" w:rsidRPr="00520D89" w:rsidRDefault="00520D89" w:rsidP="00520D89">
            <w:pPr>
              <w:pStyle w:val="Body"/>
              <w:spacing w:after="0"/>
              <w:rPr>
                <w:rFonts w:ascii="Arial" w:hAnsi="Arial" w:cs="Arial"/>
              </w:rPr>
            </w:pPr>
          </w:p>
        </w:tc>
        <w:tc>
          <w:tcPr>
            <w:tcW w:w="1805" w:type="dxa"/>
            <w:shd w:val="clear" w:color="auto" w:fill="FFFFFF"/>
            <w:vAlign w:val="center"/>
          </w:tcPr>
          <w:p w14:paraId="1521131E" w14:textId="77777777" w:rsidR="00520D89" w:rsidRPr="00520D89" w:rsidRDefault="00520D89" w:rsidP="00752E33">
            <w:pPr>
              <w:pStyle w:val="Body"/>
              <w:spacing w:after="0"/>
              <w:rPr>
                <w:rFonts w:ascii="Arial" w:hAnsi="Arial" w:cs="Arial"/>
              </w:rPr>
            </w:pPr>
            <w:r w:rsidRPr="00520D89">
              <w:rPr>
                <w:rFonts w:ascii="Arial" w:hAnsi="Arial" w:cs="Arial"/>
              </w:rPr>
              <w:t>D1_</w:t>
            </w:r>
            <w:r w:rsidR="00752E33">
              <w:rPr>
                <w:rFonts w:ascii="Arial" w:hAnsi="Arial" w:cs="Arial"/>
              </w:rPr>
              <w:t xml:space="preserve">in </w:t>
            </w:r>
            <w:proofErr w:type="gramStart"/>
            <w:r w:rsidR="00752E33">
              <w:rPr>
                <w:rFonts w:ascii="Arial" w:hAnsi="Arial" w:cs="Arial"/>
              </w:rPr>
              <w:t>Accounting</w:t>
            </w:r>
            <w:proofErr w:type="gramEnd"/>
          </w:p>
        </w:tc>
        <w:tc>
          <w:tcPr>
            <w:tcW w:w="1319" w:type="dxa"/>
            <w:shd w:val="clear" w:color="auto" w:fill="FFFFFF"/>
            <w:vAlign w:val="center"/>
          </w:tcPr>
          <w:p w14:paraId="30E732ED" w14:textId="77777777" w:rsidR="00520D89" w:rsidRPr="00520D89" w:rsidRDefault="00520D89" w:rsidP="00520D89">
            <w:pPr>
              <w:pStyle w:val="Body"/>
              <w:spacing w:after="0"/>
              <w:rPr>
                <w:rFonts w:ascii="Arial" w:hAnsi="Arial" w:cs="Arial"/>
              </w:rPr>
            </w:pPr>
            <w:r w:rsidRPr="00520D89">
              <w:rPr>
                <w:rFonts w:ascii="Arial" w:hAnsi="Arial" w:cs="Arial"/>
              </w:rPr>
              <w:t>-4.069</w:t>
            </w:r>
          </w:p>
        </w:tc>
        <w:tc>
          <w:tcPr>
            <w:tcW w:w="1319" w:type="dxa"/>
            <w:shd w:val="clear" w:color="auto" w:fill="FFFFFF"/>
            <w:vAlign w:val="center"/>
          </w:tcPr>
          <w:p w14:paraId="30997D73" w14:textId="77777777" w:rsidR="00520D89" w:rsidRPr="00520D89" w:rsidRDefault="00520D89" w:rsidP="00520D89">
            <w:pPr>
              <w:pStyle w:val="Body"/>
              <w:spacing w:after="0"/>
              <w:rPr>
                <w:rFonts w:ascii="Arial" w:hAnsi="Arial" w:cs="Arial"/>
              </w:rPr>
            </w:pPr>
            <w:r w:rsidRPr="00520D89">
              <w:rPr>
                <w:rFonts w:ascii="Arial" w:hAnsi="Arial" w:cs="Arial"/>
              </w:rPr>
              <w:t>1.986</w:t>
            </w:r>
          </w:p>
        </w:tc>
        <w:tc>
          <w:tcPr>
            <w:tcW w:w="1456" w:type="dxa"/>
            <w:shd w:val="clear" w:color="auto" w:fill="FFFFFF"/>
            <w:vAlign w:val="center"/>
          </w:tcPr>
          <w:p w14:paraId="0B6E65F8" w14:textId="77777777" w:rsidR="00520D89" w:rsidRPr="00520D89" w:rsidRDefault="00520D89" w:rsidP="00520D89">
            <w:pPr>
              <w:pStyle w:val="Body"/>
              <w:spacing w:after="0"/>
              <w:rPr>
                <w:rFonts w:ascii="Arial" w:hAnsi="Arial" w:cs="Arial"/>
              </w:rPr>
            </w:pPr>
            <w:r w:rsidRPr="00520D89">
              <w:rPr>
                <w:rFonts w:ascii="Arial" w:hAnsi="Arial" w:cs="Arial"/>
              </w:rPr>
              <w:t>-.726</w:t>
            </w:r>
          </w:p>
        </w:tc>
        <w:tc>
          <w:tcPr>
            <w:tcW w:w="1000" w:type="dxa"/>
            <w:shd w:val="clear" w:color="auto" w:fill="FFFFFF"/>
            <w:vAlign w:val="center"/>
          </w:tcPr>
          <w:p w14:paraId="254A8F9F" w14:textId="77777777" w:rsidR="00520D89" w:rsidRPr="00520D89" w:rsidRDefault="00520D89" w:rsidP="00520D89">
            <w:pPr>
              <w:pStyle w:val="Body"/>
              <w:spacing w:after="0"/>
              <w:rPr>
                <w:rFonts w:ascii="Arial" w:hAnsi="Arial" w:cs="Arial"/>
              </w:rPr>
            </w:pPr>
            <w:r w:rsidRPr="00520D89">
              <w:rPr>
                <w:rFonts w:ascii="Arial" w:hAnsi="Arial" w:cs="Arial"/>
              </w:rPr>
              <w:t>-2.111</w:t>
            </w:r>
          </w:p>
        </w:tc>
        <w:tc>
          <w:tcPr>
            <w:tcW w:w="1000" w:type="dxa"/>
            <w:shd w:val="clear" w:color="auto" w:fill="FFFFFF"/>
            <w:vAlign w:val="center"/>
          </w:tcPr>
          <w:p w14:paraId="387486E7" w14:textId="77777777" w:rsidR="00520D89" w:rsidRPr="00520D89" w:rsidRDefault="00520D89" w:rsidP="00520D89">
            <w:pPr>
              <w:pStyle w:val="Body"/>
              <w:spacing w:after="0"/>
              <w:rPr>
                <w:rFonts w:ascii="Arial" w:hAnsi="Arial" w:cs="Arial"/>
              </w:rPr>
            </w:pPr>
            <w:r w:rsidRPr="00520D89">
              <w:rPr>
                <w:rFonts w:ascii="Arial" w:hAnsi="Arial" w:cs="Arial"/>
              </w:rPr>
              <w:t>.037</w:t>
            </w:r>
          </w:p>
        </w:tc>
      </w:tr>
      <w:tr w:rsidR="00520D89" w:rsidRPr="00520D89" w14:paraId="170B38CF" w14:textId="77777777" w:rsidTr="00B35323">
        <w:trPr>
          <w:cantSplit/>
          <w:jc w:val="center"/>
        </w:trPr>
        <w:tc>
          <w:tcPr>
            <w:tcW w:w="727" w:type="dxa"/>
            <w:vMerge/>
            <w:shd w:val="clear" w:color="auto" w:fill="FFFFFF"/>
            <w:vAlign w:val="center"/>
          </w:tcPr>
          <w:p w14:paraId="5886774A" w14:textId="77777777" w:rsidR="00520D89" w:rsidRPr="00520D89" w:rsidRDefault="00520D89" w:rsidP="00520D89">
            <w:pPr>
              <w:pStyle w:val="Body"/>
              <w:spacing w:after="0"/>
              <w:rPr>
                <w:rFonts w:ascii="Arial" w:hAnsi="Arial" w:cs="Arial"/>
              </w:rPr>
            </w:pPr>
          </w:p>
        </w:tc>
        <w:tc>
          <w:tcPr>
            <w:tcW w:w="1805" w:type="dxa"/>
            <w:shd w:val="clear" w:color="auto" w:fill="FFFFFF"/>
            <w:vAlign w:val="center"/>
          </w:tcPr>
          <w:p w14:paraId="399B390F" w14:textId="77777777" w:rsidR="00520D89" w:rsidRPr="00520D89" w:rsidRDefault="00520D89" w:rsidP="00752E33">
            <w:pPr>
              <w:pStyle w:val="Body"/>
              <w:spacing w:after="0"/>
              <w:rPr>
                <w:rFonts w:ascii="Arial" w:hAnsi="Arial" w:cs="Arial"/>
              </w:rPr>
            </w:pPr>
            <w:r w:rsidRPr="00520D89">
              <w:rPr>
                <w:rFonts w:ascii="Arial" w:hAnsi="Arial" w:cs="Arial"/>
              </w:rPr>
              <w:t>D2_</w:t>
            </w:r>
            <w:r w:rsidR="00752E33">
              <w:rPr>
                <w:rFonts w:ascii="Arial" w:hAnsi="Arial" w:cs="Arial"/>
              </w:rPr>
              <w:t>in Management</w:t>
            </w:r>
          </w:p>
        </w:tc>
        <w:tc>
          <w:tcPr>
            <w:tcW w:w="1319" w:type="dxa"/>
            <w:shd w:val="clear" w:color="auto" w:fill="FFFFFF"/>
            <w:vAlign w:val="center"/>
          </w:tcPr>
          <w:p w14:paraId="12E8D2DD" w14:textId="77777777" w:rsidR="00520D89" w:rsidRPr="00520D89" w:rsidRDefault="00520D89" w:rsidP="00520D89">
            <w:pPr>
              <w:pStyle w:val="Body"/>
              <w:spacing w:after="0"/>
              <w:rPr>
                <w:rFonts w:ascii="Arial" w:hAnsi="Arial" w:cs="Arial"/>
              </w:rPr>
            </w:pPr>
            <w:r w:rsidRPr="00520D89">
              <w:rPr>
                <w:rFonts w:ascii="Arial" w:hAnsi="Arial" w:cs="Arial"/>
              </w:rPr>
              <w:t>8.006</w:t>
            </w:r>
          </w:p>
        </w:tc>
        <w:tc>
          <w:tcPr>
            <w:tcW w:w="1319" w:type="dxa"/>
            <w:shd w:val="clear" w:color="auto" w:fill="FFFFFF"/>
            <w:vAlign w:val="center"/>
          </w:tcPr>
          <w:p w14:paraId="08EE16AB" w14:textId="77777777" w:rsidR="00520D89" w:rsidRPr="00520D89" w:rsidRDefault="00520D89" w:rsidP="00520D89">
            <w:pPr>
              <w:pStyle w:val="Body"/>
              <w:spacing w:after="0"/>
              <w:rPr>
                <w:rFonts w:ascii="Arial" w:hAnsi="Arial" w:cs="Arial"/>
              </w:rPr>
            </w:pPr>
            <w:r w:rsidRPr="00520D89">
              <w:rPr>
                <w:rFonts w:ascii="Arial" w:hAnsi="Arial" w:cs="Arial"/>
              </w:rPr>
              <w:t>1.950</w:t>
            </w:r>
          </w:p>
        </w:tc>
        <w:tc>
          <w:tcPr>
            <w:tcW w:w="1456" w:type="dxa"/>
            <w:shd w:val="clear" w:color="auto" w:fill="FFFFFF"/>
            <w:vAlign w:val="center"/>
          </w:tcPr>
          <w:p w14:paraId="30E8624F" w14:textId="77777777" w:rsidR="00520D89" w:rsidRPr="00520D89" w:rsidRDefault="00520D89" w:rsidP="00520D89">
            <w:pPr>
              <w:pStyle w:val="Body"/>
              <w:spacing w:after="0"/>
              <w:rPr>
                <w:rFonts w:ascii="Arial" w:hAnsi="Arial" w:cs="Arial"/>
              </w:rPr>
            </w:pPr>
            <w:r w:rsidRPr="00520D89">
              <w:rPr>
                <w:rFonts w:ascii="Arial" w:hAnsi="Arial" w:cs="Arial"/>
              </w:rPr>
              <w:t>.355</w:t>
            </w:r>
          </w:p>
        </w:tc>
        <w:tc>
          <w:tcPr>
            <w:tcW w:w="1000" w:type="dxa"/>
            <w:shd w:val="clear" w:color="auto" w:fill="FFFFFF"/>
            <w:vAlign w:val="center"/>
          </w:tcPr>
          <w:p w14:paraId="5E102F6A" w14:textId="77777777" w:rsidR="00520D89" w:rsidRPr="00520D89" w:rsidRDefault="00520D89" w:rsidP="00520D89">
            <w:pPr>
              <w:pStyle w:val="Body"/>
              <w:spacing w:after="0"/>
              <w:rPr>
                <w:rFonts w:ascii="Arial" w:hAnsi="Arial" w:cs="Arial"/>
              </w:rPr>
            </w:pPr>
            <w:r w:rsidRPr="00520D89">
              <w:rPr>
                <w:rFonts w:ascii="Arial" w:hAnsi="Arial" w:cs="Arial"/>
              </w:rPr>
              <w:t>4.106</w:t>
            </w:r>
          </w:p>
        </w:tc>
        <w:tc>
          <w:tcPr>
            <w:tcW w:w="1000" w:type="dxa"/>
            <w:shd w:val="clear" w:color="auto" w:fill="FFFFFF"/>
            <w:vAlign w:val="center"/>
          </w:tcPr>
          <w:p w14:paraId="2DF7D09F" w14:textId="77777777" w:rsidR="00520D89" w:rsidRPr="00520D89" w:rsidRDefault="00520D89" w:rsidP="00520D89">
            <w:pPr>
              <w:pStyle w:val="Body"/>
              <w:spacing w:after="0"/>
              <w:rPr>
                <w:rFonts w:ascii="Arial" w:hAnsi="Arial" w:cs="Arial"/>
              </w:rPr>
            </w:pPr>
            <w:r w:rsidRPr="00520D89">
              <w:rPr>
                <w:rFonts w:ascii="Arial" w:hAnsi="Arial" w:cs="Arial"/>
              </w:rPr>
              <w:t>.001</w:t>
            </w:r>
          </w:p>
        </w:tc>
      </w:tr>
      <w:tr w:rsidR="00520D89" w:rsidRPr="00520D89" w14:paraId="6166FF37" w14:textId="77777777" w:rsidTr="00B35323">
        <w:trPr>
          <w:cantSplit/>
          <w:jc w:val="center"/>
        </w:trPr>
        <w:tc>
          <w:tcPr>
            <w:tcW w:w="727" w:type="dxa"/>
            <w:vMerge/>
            <w:shd w:val="clear" w:color="auto" w:fill="FFFFFF"/>
            <w:vAlign w:val="center"/>
          </w:tcPr>
          <w:p w14:paraId="248F16E5" w14:textId="77777777" w:rsidR="00520D89" w:rsidRPr="00520D89" w:rsidRDefault="00520D89" w:rsidP="00520D89">
            <w:pPr>
              <w:pStyle w:val="Body"/>
              <w:spacing w:after="0"/>
              <w:rPr>
                <w:rFonts w:ascii="Arial" w:hAnsi="Arial" w:cs="Arial"/>
              </w:rPr>
            </w:pPr>
          </w:p>
        </w:tc>
        <w:tc>
          <w:tcPr>
            <w:tcW w:w="1805" w:type="dxa"/>
            <w:shd w:val="clear" w:color="auto" w:fill="FFFFFF"/>
            <w:vAlign w:val="center"/>
          </w:tcPr>
          <w:p w14:paraId="206E23CA" w14:textId="77777777" w:rsidR="00520D89" w:rsidRPr="00520D89" w:rsidRDefault="00520D89" w:rsidP="00752E33">
            <w:pPr>
              <w:pStyle w:val="Body"/>
              <w:spacing w:after="0"/>
              <w:rPr>
                <w:rFonts w:ascii="Arial" w:hAnsi="Arial" w:cs="Arial"/>
              </w:rPr>
            </w:pPr>
            <w:r w:rsidRPr="00520D89">
              <w:rPr>
                <w:rFonts w:ascii="Arial" w:hAnsi="Arial" w:cs="Arial"/>
              </w:rPr>
              <w:t>D3_</w:t>
            </w:r>
            <w:r w:rsidR="00752E33">
              <w:rPr>
                <w:rFonts w:ascii="Arial" w:hAnsi="Arial" w:cs="Arial"/>
              </w:rPr>
              <w:t>in Economics</w:t>
            </w:r>
          </w:p>
        </w:tc>
        <w:tc>
          <w:tcPr>
            <w:tcW w:w="1319" w:type="dxa"/>
            <w:shd w:val="clear" w:color="auto" w:fill="FFFFFF"/>
            <w:vAlign w:val="center"/>
          </w:tcPr>
          <w:p w14:paraId="3C5FB2A2" w14:textId="77777777" w:rsidR="00520D89" w:rsidRPr="00520D89" w:rsidRDefault="00520D89" w:rsidP="00520D89">
            <w:pPr>
              <w:pStyle w:val="Body"/>
              <w:spacing w:after="0"/>
              <w:rPr>
                <w:rFonts w:ascii="Arial" w:hAnsi="Arial" w:cs="Arial"/>
              </w:rPr>
            </w:pPr>
            <w:r w:rsidRPr="00520D89">
              <w:rPr>
                <w:rFonts w:ascii="Arial" w:hAnsi="Arial" w:cs="Arial"/>
              </w:rPr>
              <w:t>2.998</w:t>
            </w:r>
          </w:p>
        </w:tc>
        <w:tc>
          <w:tcPr>
            <w:tcW w:w="1319" w:type="dxa"/>
            <w:shd w:val="clear" w:color="auto" w:fill="FFFFFF"/>
            <w:vAlign w:val="center"/>
          </w:tcPr>
          <w:p w14:paraId="3E54B7CF" w14:textId="77777777" w:rsidR="00520D89" w:rsidRPr="00520D89" w:rsidRDefault="00520D89" w:rsidP="00520D89">
            <w:pPr>
              <w:pStyle w:val="Body"/>
              <w:spacing w:after="0"/>
              <w:rPr>
                <w:rFonts w:ascii="Arial" w:hAnsi="Arial" w:cs="Arial"/>
              </w:rPr>
            </w:pPr>
            <w:r w:rsidRPr="00520D89">
              <w:rPr>
                <w:rFonts w:ascii="Arial" w:hAnsi="Arial" w:cs="Arial"/>
              </w:rPr>
              <w:t>1.981</w:t>
            </w:r>
          </w:p>
        </w:tc>
        <w:tc>
          <w:tcPr>
            <w:tcW w:w="1456" w:type="dxa"/>
            <w:shd w:val="clear" w:color="auto" w:fill="FFFFFF"/>
            <w:vAlign w:val="center"/>
          </w:tcPr>
          <w:p w14:paraId="531C5A90" w14:textId="77777777" w:rsidR="00520D89" w:rsidRPr="00520D89" w:rsidRDefault="00520D89" w:rsidP="00520D89">
            <w:pPr>
              <w:pStyle w:val="Body"/>
              <w:spacing w:after="0"/>
              <w:rPr>
                <w:rFonts w:ascii="Arial" w:hAnsi="Arial" w:cs="Arial"/>
              </w:rPr>
            </w:pPr>
            <w:r w:rsidRPr="00520D89">
              <w:rPr>
                <w:rFonts w:ascii="Arial" w:hAnsi="Arial" w:cs="Arial"/>
              </w:rPr>
              <w:t>.535</w:t>
            </w:r>
          </w:p>
        </w:tc>
        <w:tc>
          <w:tcPr>
            <w:tcW w:w="1000" w:type="dxa"/>
            <w:shd w:val="clear" w:color="auto" w:fill="FFFFFF"/>
            <w:vAlign w:val="center"/>
          </w:tcPr>
          <w:p w14:paraId="01CB2267" w14:textId="77777777" w:rsidR="00520D89" w:rsidRPr="00520D89" w:rsidRDefault="00520D89" w:rsidP="00520D89">
            <w:pPr>
              <w:pStyle w:val="Body"/>
              <w:spacing w:after="0"/>
              <w:rPr>
                <w:rFonts w:ascii="Arial" w:hAnsi="Arial" w:cs="Arial"/>
              </w:rPr>
            </w:pPr>
            <w:r w:rsidRPr="00520D89">
              <w:rPr>
                <w:rFonts w:ascii="Arial" w:hAnsi="Arial" w:cs="Arial"/>
              </w:rPr>
              <w:t>1.514</w:t>
            </w:r>
          </w:p>
        </w:tc>
        <w:tc>
          <w:tcPr>
            <w:tcW w:w="1000" w:type="dxa"/>
            <w:shd w:val="clear" w:color="auto" w:fill="FFFFFF"/>
            <w:vAlign w:val="center"/>
          </w:tcPr>
          <w:p w14:paraId="68F385F5" w14:textId="77777777" w:rsidR="00520D89" w:rsidRPr="00520D89" w:rsidRDefault="00520D89" w:rsidP="00520D89">
            <w:pPr>
              <w:pStyle w:val="Body"/>
              <w:spacing w:after="0"/>
              <w:rPr>
                <w:rFonts w:ascii="Arial" w:hAnsi="Arial" w:cs="Arial"/>
              </w:rPr>
            </w:pPr>
            <w:r w:rsidRPr="00520D89">
              <w:rPr>
                <w:rFonts w:ascii="Arial" w:hAnsi="Arial" w:cs="Arial"/>
              </w:rPr>
              <w:t>.133</w:t>
            </w:r>
          </w:p>
        </w:tc>
      </w:tr>
      <w:tr w:rsidR="00520D89" w:rsidRPr="00520D89" w14:paraId="5BC4F4E7" w14:textId="77777777" w:rsidTr="00B35323">
        <w:trPr>
          <w:cantSplit/>
          <w:jc w:val="center"/>
        </w:trPr>
        <w:tc>
          <w:tcPr>
            <w:tcW w:w="8626" w:type="dxa"/>
            <w:gridSpan w:val="7"/>
            <w:tcBorders>
              <w:bottom w:val="single" w:sz="4" w:space="0" w:color="auto"/>
            </w:tcBorders>
            <w:shd w:val="clear" w:color="auto" w:fill="FFFFFF"/>
          </w:tcPr>
          <w:p w14:paraId="4759D173" w14:textId="77777777" w:rsidR="00520D89" w:rsidRPr="00520D89" w:rsidRDefault="00520D89" w:rsidP="00520D89">
            <w:pPr>
              <w:pStyle w:val="Body"/>
              <w:spacing w:after="0"/>
              <w:rPr>
                <w:rFonts w:ascii="Arial" w:hAnsi="Arial" w:cs="Arial"/>
              </w:rPr>
            </w:pPr>
            <w:r w:rsidRPr="00520D89">
              <w:rPr>
                <w:rFonts w:ascii="Arial" w:hAnsi="Arial" w:cs="Arial"/>
              </w:rPr>
              <w:t>a. Dependent Variable: Consumptive Behavior</w:t>
            </w:r>
          </w:p>
        </w:tc>
      </w:tr>
    </w:tbl>
    <w:p w14:paraId="2DF430BD" w14:textId="77777777" w:rsidR="00520D89" w:rsidRDefault="00520D89" w:rsidP="00520D89">
      <w:pPr>
        <w:pStyle w:val="Body"/>
        <w:spacing w:after="0"/>
        <w:rPr>
          <w:rFonts w:ascii="Arial" w:hAnsi="Arial" w:cs="Arial"/>
        </w:rPr>
      </w:pPr>
      <w:r w:rsidRPr="00520D89">
        <w:rPr>
          <w:rFonts w:ascii="Arial" w:hAnsi="Arial" w:cs="Arial"/>
        </w:rPr>
        <w:t>Source: IBM SPSS 21 Output, 2023</w:t>
      </w:r>
    </w:p>
    <w:p w14:paraId="0BFE8EF1" w14:textId="77777777" w:rsidR="00520D89" w:rsidRDefault="00520D89" w:rsidP="00520D89">
      <w:pPr>
        <w:pStyle w:val="Body"/>
        <w:spacing w:after="0"/>
        <w:rPr>
          <w:rFonts w:ascii="Arial" w:hAnsi="Arial" w:cs="Arial"/>
        </w:rPr>
      </w:pPr>
    </w:p>
    <w:p w14:paraId="3FBE6395" w14:textId="77777777" w:rsidR="00520D89" w:rsidRDefault="00520D89" w:rsidP="00520D89">
      <w:pPr>
        <w:pStyle w:val="Body"/>
        <w:spacing w:after="0"/>
        <w:rPr>
          <w:rFonts w:ascii="Arial" w:hAnsi="Arial" w:cs="Arial"/>
        </w:rPr>
      </w:pPr>
      <w:r w:rsidRPr="00520D89">
        <w:rPr>
          <w:rFonts w:ascii="Arial" w:hAnsi="Arial" w:cs="Arial"/>
        </w:rPr>
        <w:t>Based on the table of multiple linear regression results above using the help of the SPSS version 21 program, a multiple linear regression equation can be made for the variables of Lifestyle, Financial Literacy, and dummy variables of majors (Accounting, Management, Economics, and economic education as a reference major) on Consumptive Behavior, which is presented in the form of a regression equation as follows:</w:t>
      </w:r>
    </w:p>
    <w:p w14:paraId="05FF0F2B" w14:textId="77777777" w:rsidR="00520D89" w:rsidRDefault="00520D89" w:rsidP="00520D89">
      <w:pPr>
        <w:pStyle w:val="Body"/>
        <w:spacing w:after="0"/>
        <w:jc w:val="center"/>
        <w:rPr>
          <w:rFonts w:ascii="Arial" w:hAnsi="Arial" w:cs="Arial"/>
        </w:rPr>
      </w:pPr>
      <w:r>
        <w:rPr>
          <w:rFonts w:ascii="Arial" w:hAnsi="Arial" w:cs="Arial"/>
          <w:noProof/>
        </w:rPr>
        <w:drawing>
          <wp:inline distT="0" distB="0" distL="0" distR="0" wp14:anchorId="69460625" wp14:editId="3E66B7B2">
            <wp:extent cx="3029585"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9585" cy="409575"/>
                    </a:xfrm>
                    <a:prstGeom prst="rect">
                      <a:avLst/>
                    </a:prstGeom>
                    <a:noFill/>
                  </pic:spPr>
                </pic:pic>
              </a:graphicData>
            </a:graphic>
          </wp:inline>
        </w:drawing>
      </w:r>
    </w:p>
    <w:p w14:paraId="24F59567" w14:textId="77777777" w:rsidR="001E7C49" w:rsidRPr="001E7C49" w:rsidRDefault="001E7C49" w:rsidP="001E7C49">
      <w:pPr>
        <w:pStyle w:val="Body"/>
        <w:spacing w:after="0"/>
        <w:rPr>
          <w:rFonts w:ascii="Arial" w:hAnsi="Arial" w:cs="Arial"/>
        </w:rPr>
      </w:pPr>
      <w:r w:rsidRPr="001E7C49">
        <w:rPr>
          <w:rFonts w:ascii="Arial" w:hAnsi="Arial" w:cs="Arial"/>
        </w:rPr>
        <w:t>Consumptive Behavior = 119.475 + 0,550X</w:t>
      </w:r>
      <w:r w:rsidRPr="001E7C49">
        <w:rPr>
          <w:rFonts w:ascii="Cambria Math" w:hAnsi="Cambria Math" w:cs="Cambria Math"/>
        </w:rPr>
        <w:t>₁</w:t>
      </w:r>
      <w:r w:rsidRPr="001E7C49">
        <w:rPr>
          <w:rFonts w:ascii="Arial" w:hAnsi="Arial" w:cs="Arial"/>
        </w:rPr>
        <w:t xml:space="preserve"> + 0,359X</w:t>
      </w:r>
      <w:r w:rsidRPr="001E7C49">
        <w:rPr>
          <w:rFonts w:ascii="Cambria Math" w:hAnsi="Cambria Math" w:cs="Cambria Math"/>
        </w:rPr>
        <w:t>₂</w:t>
      </w:r>
      <w:r w:rsidRPr="001E7C49">
        <w:rPr>
          <w:rFonts w:ascii="Arial" w:hAnsi="Arial" w:cs="Arial"/>
        </w:rPr>
        <w:t xml:space="preserve"> - 4,069D</w:t>
      </w:r>
      <w:r w:rsidRPr="001E7C49">
        <w:rPr>
          <w:rFonts w:ascii="Cambria Math" w:hAnsi="Cambria Math" w:cs="Cambria Math"/>
        </w:rPr>
        <w:t>₁</w:t>
      </w:r>
      <w:r w:rsidRPr="001E7C49">
        <w:rPr>
          <w:rFonts w:ascii="Arial" w:hAnsi="Arial" w:cs="Arial"/>
        </w:rPr>
        <w:t xml:space="preserve"> + 8,006D</w:t>
      </w:r>
      <w:r w:rsidRPr="001E7C49">
        <w:rPr>
          <w:rFonts w:ascii="Cambria Math" w:hAnsi="Cambria Math" w:cs="Cambria Math"/>
        </w:rPr>
        <w:t>₂</w:t>
      </w:r>
      <w:r w:rsidRPr="001E7C49">
        <w:rPr>
          <w:rFonts w:ascii="Arial" w:hAnsi="Arial" w:cs="Arial"/>
        </w:rPr>
        <w:t xml:space="preserve"> + 2,998D</w:t>
      </w:r>
      <w:r w:rsidRPr="001E7C49">
        <w:rPr>
          <w:rFonts w:ascii="Cambria Math" w:hAnsi="Cambria Math" w:cs="Cambria Math"/>
        </w:rPr>
        <w:t>₃</w:t>
      </w:r>
      <w:r w:rsidRPr="001E7C49">
        <w:rPr>
          <w:rFonts w:ascii="Arial" w:hAnsi="Arial" w:cs="Arial"/>
        </w:rPr>
        <w:t xml:space="preserve"> + ε</w:t>
      </w:r>
    </w:p>
    <w:p w14:paraId="7C714D68" w14:textId="77777777" w:rsidR="001E7C49" w:rsidRPr="001E7C49" w:rsidRDefault="001E7C49" w:rsidP="001E7C49">
      <w:pPr>
        <w:pStyle w:val="Body"/>
        <w:rPr>
          <w:rFonts w:ascii="Arial" w:hAnsi="Arial" w:cs="Arial"/>
        </w:rPr>
      </w:pPr>
      <w:r w:rsidRPr="001E7C49">
        <w:rPr>
          <w:rFonts w:ascii="Arial" w:hAnsi="Arial" w:cs="Arial"/>
        </w:rPr>
        <w:t xml:space="preserve">The regression equation above shows the result of a constant value of 119.475 stating that if the Lifestyle and Financial Literacy variables are considered constant, then the average Consumptive Behavior is 119.475. The regression test results show that the constant value of 119.475 is the basis for the value of student consumptive behavior when all independent variables are zero. In addition, the Lifestyle and Financial Literacy variables have a significant effect on consumptive behavior, with a significance value of 0.002 and 0.000, respectively, smaller than the significance level α = 0.05, this indicates that the two variables statistically have a significant effect on consumptive behavior. The regression </w:t>
      </w:r>
      <w:r w:rsidRPr="001E7C49">
        <w:rPr>
          <w:rFonts w:ascii="Arial" w:hAnsi="Arial" w:cs="Arial"/>
        </w:rPr>
        <w:lastRenderedPageBreak/>
        <w:t xml:space="preserve">coefficient on the Lifestyle variable of 0.550 indicates that each 1 unit increase in lifestyle will increase consumptive behavior by 0.550, assuming other variables are constant. This positive effect means that the higher the lifestyle, the higher the consumptive behavior of students. The regression coefficient on the Financial Literacy variable of 0.359 indicates that each 1 unit increase in financial literacy will increase consumptive behavior by 0.359 units. Although the effect is relatively small, it is statistically significant, which indicates that the higher the financial literacy, the higher the consumptive behavior. This may be due to the fact that students who have financial literacy feel more able to meet their needs and desires financially, although this does not necessarily reflect frugal or efficient behavior. The dummy variable D2_Management has a regression coefficient of 8.006 and a significance value of 0.001, indicating that students majoring in management have a consumptive behavior level 8.006 points higher than students majoring in economic education (Reference Category), and this difference is highly statistically significant at the 99% confidence level. Thus, the total predicted value for students majoring in management is 119,475 + 8,006 = 127,481. The dummy variable D2_Management has a regression coefficient of 8.006 and a significance value of 0.001, indicating that students majoring in Management have a higher level of consumptive behavior by 8.006 units compared to Economics Education students, and this difference is also statistically significant. The D3_Economics dummy variable has a regression coefficient of 2.998, but a significance value of 0.133 (&gt; 0.05), so it is not statistically significant. That is, there is no significant difference between Economics and Economic Education students in terms of consumptive behavior. The predicted value for students majoring in economics is 119.475 + 2.998 = 122.473. The dummy variable D1_Accounting has a coefficient of -4.069 with a significance value of 0.037, indicating that students majoring in accounting have a lower level of economic behavior by 4.069 so that it is said that </w:t>
      </w:r>
      <w:proofErr w:type="gramStart"/>
      <w:r w:rsidRPr="001E7C49">
        <w:rPr>
          <w:rFonts w:ascii="Arial" w:hAnsi="Arial" w:cs="Arial"/>
        </w:rPr>
        <w:t>Accounting</w:t>
      </w:r>
      <w:proofErr w:type="gramEnd"/>
      <w:r w:rsidRPr="001E7C49">
        <w:rPr>
          <w:rFonts w:ascii="Arial" w:hAnsi="Arial" w:cs="Arial"/>
        </w:rPr>
        <w:t xml:space="preserve"> majors are equivalent to Economics and Economic Education majors. In this model, the Economic Education major is used as the reference category (baseline category), therefore, the baseline predicted value for economic education students is 119.475, and all interpretations of the dummy variable coefficients (D</w:t>
      </w:r>
      <w:proofErr w:type="gramStart"/>
      <w:r w:rsidRPr="001E7C49">
        <w:rPr>
          <w:rFonts w:ascii="Arial" w:hAnsi="Arial" w:cs="Arial"/>
        </w:rPr>
        <w:t>1,D2,D</w:t>
      </w:r>
      <w:proofErr w:type="gramEnd"/>
      <w:r w:rsidRPr="001E7C49">
        <w:rPr>
          <w:rFonts w:ascii="Arial" w:hAnsi="Arial" w:cs="Arial"/>
        </w:rPr>
        <w:t>3), are compared against this value.</w:t>
      </w:r>
    </w:p>
    <w:p w14:paraId="21B38971" w14:textId="77777777" w:rsidR="001E7C49" w:rsidRPr="00520D89" w:rsidRDefault="001E7C49" w:rsidP="001E7C49">
      <w:pPr>
        <w:pStyle w:val="Body"/>
        <w:spacing w:after="0"/>
        <w:rPr>
          <w:rFonts w:ascii="Arial" w:hAnsi="Arial" w:cs="Arial"/>
        </w:rPr>
      </w:pPr>
      <w:r>
        <w:rPr>
          <w:rFonts w:ascii="Arial" w:hAnsi="Arial" w:cs="Arial"/>
          <w:b/>
          <w:caps/>
          <w:sz w:val="22"/>
        </w:rPr>
        <w:t>3.2</w:t>
      </w:r>
      <w:r w:rsidRPr="00C30A0F">
        <w:rPr>
          <w:rFonts w:ascii="Arial" w:hAnsi="Arial" w:cs="Arial"/>
          <w:b/>
          <w:caps/>
          <w:sz w:val="22"/>
        </w:rPr>
        <w:t xml:space="preserve"> </w:t>
      </w:r>
      <w:r>
        <w:rPr>
          <w:rFonts w:ascii="Arial" w:hAnsi="Arial" w:cs="Arial"/>
          <w:b/>
          <w:sz w:val="22"/>
        </w:rPr>
        <w:t>Discussion</w:t>
      </w:r>
    </w:p>
    <w:p w14:paraId="7FAC74DC" w14:textId="77777777" w:rsidR="00520D89" w:rsidRPr="00520D89" w:rsidRDefault="00520D89" w:rsidP="00520D89">
      <w:pPr>
        <w:pStyle w:val="Body"/>
        <w:spacing w:after="0"/>
        <w:rPr>
          <w:rFonts w:ascii="Arial" w:hAnsi="Arial" w:cs="Arial"/>
        </w:rPr>
      </w:pPr>
    </w:p>
    <w:p w14:paraId="160C20B3" w14:textId="77777777" w:rsidR="001E7C49" w:rsidRPr="001E7C49" w:rsidRDefault="001E7C49" w:rsidP="001E7C49">
      <w:pPr>
        <w:pStyle w:val="Body"/>
        <w:rPr>
          <w:rFonts w:ascii="Arial" w:hAnsi="Arial" w:cs="Arial"/>
        </w:rPr>
      </w:pPr>
      <w:r w:rsidRPr="001E7C49">
        <w:rPr>
          <w:rFonts w:ascii="Arial" w:hAnsi="Arial" w:cs="Arial"/>
        </w:rPr>
        <w:t>Lifestyle is one of the main factors that influence student consumptive behavior. Based on the results of descriptive analysis, the lifestyle variable has an average score of 4.02 which is in the "good" category. This variable consists of four indicators, namely activities, interests, views of self and others, and basic character. Of the four indicators, the activity indicator shows the highest score of 4.38 which is in the "very good" category. This shows that students are active in various activities such as online shopping, hanging out in cafes, following social media trends, and other consumptive activities.</w:t>
      </w:r>
    </w:p>
    <w:p w14:paraId="6A4F2168" w14:textId="77777777" w:rsidR="001E7C49" w:rsidRPr="001E7C49" w:rsidRDefault="001E7C49" w:rsidP="001E7C49">
      <w:pPr>
        <w:pStyle w:val="Body"/>
        <w:rPr>
          <w:rFonts w:ascii="Arial" w:hAnsi="Arial" w:cs="Arial"/>
        </w:rPr>
      </w:pPr>
      <w:r w:rsidRPr="001E7C49">
        <w:rPr>
          <w:rFonts w:ascii="Arial" w:hAnsi="Arial" w:cs="Arial"/>
        </w:rPr>
        <w:t>The interest indicator is in second place with an average value of 4.05. Students have a high interest in certain products such as fashion, gadgets, and contemporary food that are widely promoted through social media. This interest is not always based on need, but on the desire to appear fashionable and accepted by the social environment. This reinforces social influence as a trigger for irrational consumption.</w:t>
      </w:r>
    </w:p>
    <w:p w14:paraId="78C17D53" w14:textId="77777777" w:rsidR="001E7C49" w:rsidRPr="001E7C49" w:rsidRDefault="001E7C49" w:rsidP="001E7C49">
      <w:pPr>
        <w:pStyle w:val="Body"/>
        <w:rPr>
          <w:rFonts w:ascii="Arial" w:hAnsi="Arial" w:cs="Arial"/>
        </w:rPr>
      </w:pPr>
      <w:r w:rsidRPr="001E7C49">
        <w:rPr>
          <w:rFonts w:ascii="Arial" w:hAnsi="Arial" w:cs="Arial"/>
        </w:rPr>
        <w:t xml:space="preserve">The indicator of views of self and others scored 3.96. Students tend to form a self-image through the consumption of certain goods, especially those related to appearance. They feel more confident and valued when using branded goods or following certain trends. This shows that the perception of self-identity also shapes consumptive habits. </w:t>
      </w:r>
    </w:p>
    <w:p w14:paraId="31F1E498" w14:textId="77777777" w:rsidR="001E7C49" w:rsidRPr="001E7C49" w:rsidRDefault="001E7C49" w:rsidP="001E7C49">
      <w:pPr>
        <w:pStyle w:val="Body"/>
        <w:rPr>
          <w:rFonts w:ascii="Arial" w:hAnsi="Arial" w:cs="Arial"/>
        </w:rPr>
      </w:pPr>
      <w:r w:rsidRPr="001E7C49">
        <w:rPr>
          <w:rFonts w:ascii="Arial" w:hAnsi="Arial" w:cs="Arial"/>
        </w:rPr>
        <w:t>Basic character as the last indicator recorded a score of 4.11 which is also in the good category. This basic character reflects how family background, place of residence, and education shape students' consumptive tendencies. Students who come from middle to upper economic families tend to have a higher consumptive lifestyle compared to students from low economic backgrounds.</w:t>
      </w:r>
    </w:p>
    <w:p w14:paraId="27DB7669" w14:textId="77777777" w:rsidR="001E7C49" w:rsidRPr="001E7C49" w:rsidRDefault="001E7C49" w:rsidP="001E7C49">
      <w:pPr>
        <w:pStyle w:val="Body"/>
        <w:rPr>
          <w:rFonts w:ascii="Arial" w:hAnsi="Arial" w:cs="Arial"/>
        </w:rPr>
      </w:pPr>
      <w:r w:rsidRPr="001E7C49">
        <w:rPr>
          <w:rFonts w:ascii="Arial" w:hAnsi="Arial" w:cs="Arial"/>
        </w:rPr>
        <w:t>As for the four lifestyle indicators, the dominance of the activity indicator shows that the consumptive lifestyle of students is more influenced by daily habits that are consumptive in nature. Activities such as online shopping, using food delivery services, and hanging out in hits become part of the routine that is considered normal by students. This is a reflection of lifestyle changes due to the development of technology and digital culture.</w:t>
      </w:r>
    </w:p>
    <w:p w14:paraId="295A4FCB" w14:textId="77777777" w:rsidR="001E7C49" w:rsidRPr="001E7C49" w:rsidRDefault="001E7C49" w:rsidP="001E7C49">
      <w:pPr>
        <w:pStyle w:val="Body"/>
        <w:rPr>
          <w:rFonts w:ascii="Arial" w:hAnsi="Arial" w:cs="Arial"/>
        </w:rPr>
      </w:pPr>
      <w:r w:rsidRPr="001E7C49">
        <w:rPr>
          <w:rFonts w:ascii="Arial" w:hAnsi="Arial" w:cs="Arial"/>
        </w:rPr>
        <w:t xml:space="preserve">In terms of majors, the dummy regression results show that students majoring in Management have the highest influence on consumptive behavior with a coefficient value of 8.006. This shows that Management students tend to have a more consumptive lifestyle. </w:t>
      </w:r>
    </w:p>
    <w:p w14:paraId="08B3FAB0" w14:textId="77777777" w:rsidR="001E7C49" w:rsidRPr="001E7C49" w:rsidRDefault="001E7C49" w:rsidP="001E7C49">
      <w:pPr>
        <w:pStyle w:val="Body"/>
        <w:rPr>
          <w:rFonts w:ascii="Arial" w:hAnsi="Arial" w:cs="Arial"/>
        </w:rPr>
      </w:pPr>
      <w:r w:rsidRPr="001E7C49">
        <w:rPr>
          <w:rFonts w:ascii="Arial" w:hAnsi="Arial" w:cs="Arial"/>
        </w:rPr>
        <w:t>Their academic and non-academic activities often demand high appearance and social engagement, so consumption becomes a means to fit in.</w:t>
      </w:r>
    </w:p>
    <w:p w14:paraId="7BA4E08A" w14:textId="77777777" w:rsidR="001E7C49" w:rsidRPr="001E7C49" w:rsidRDefault="001E7C49" w:rsidP="001E7C49">
      <w:pPr>
        <w:pStyle w:val="Body"/>
        <w:rPr>
          <w:rFonts w:ascii="Arial" w:hAnsi="Arial" w:cs="Arial"/>
        </w:rPr>
      </w:pPr>
      <w:r w:rsidRPr="001E7C49">
        <w:rPr>
          <w:rFonts w:ascii="Arial" w:hAnsi="Arial" w:cs="Arial"/>
        </w:rPr>
        <w:t xml:space="preserve">Meanwhile, students majoring in </w:t>
      </w:r>
      <w:proofErr w:type="gramStart"/>
      <w:r w:rsidRPr="001E7C49">
        <w:rPr>
          <w:rFonts w:ascii="Arial" w:hAnsi="Arial" w:cs="Arial"/>
        </w:rPr>
        <w:t>Accounting</w:t>
      </w:r>
      <w:proofErr w:type="gramEnd"/>
      <w:r w:rsidRPr="001E7C49">
        <w:rPr>
          <w:rFonts w:ascii="Arial" w:hAnsi="Arial" w:cs="Arial"/>
        </w:rPr>
        <w:t xml:space="preserve"> show a negative coefficient of -4.069, which means that they tend to have lower consumptive behavior or can be said to be on par with Economics and Economic Education majors. This result is </w:t>
      </w:r>
      <w:r w:rsidRPr="001E7C49">
        <w:rPr>
          <w:rFonts w:ascii="Arial" w:hAnsi="Arial" w:cs="Arial"/>
        </w:rPr>
        <w:lastRenderedPageBreak/>
        <w:t>significant at the 5% level and suggests that accounting education that emphasizes efficiency and financial recording shapes a more rational and frugal consumption attitude.</w:t>
      </w:r>
    </w:p>
    <w:p w14:paraId="7F470D95" w14:textId="77777777" w:rsidR="001E7C49" w:rsidRPr="001E7C49" w:rsidRDefault="001E7C49" w:rsidP="001E7C49">
      <w:pPr>
        <w:pStyle w:val="Body"/>
        <w:rPr>
          <w:rFonts w:ascii="Arial" w:hAnsi="Arial" w:cs="Arial"/>
        </w:rPr>
      </w:pPr>
      <w:r w:rsidRPr="001E7C49">
        <w:rPr>
          <w:rFonts w:ascii="Arial" w:hAnsi="Arial" w:cs="Arial"/>
        </w:rPr>
        <w:t>Economics Education students are used as the reference category in the regression model. While the Economics major has a positive coefficient but is not significant. This shows that although there is a consumptive tendency, the effect is not as strong as that of Management majors. This difference reflects that educational background and academic environment play an important role in shaping students' lifestyles. Accounting students, for example, have the habit of recording expenses, comparing prices, and refraining from impulse purchases.</w:t>
      </w:r>
    </w:p>
    <w:p w14:paraId="63E10C48" w14:textId="77777777" w:rsidR="001E7C49" w:rsidRPr="001E7C49" w:rsidRDefault="001E7C49" w:rsidP="001E7C49">
      <w:pPr>
        <w:pStyle w:val="Body"/>
        <w:rPr>
          <w:rFonts w:ascii="Arial" w:hAnsi="Arial" w:cs="Arial"/>
        </w:rPr>
      </w:pPr>
      <w:r w:rsidRPr="001E7C49">
        <w:rPr>
          <w:rFonts w:ascii="Arial" w:hAnsi="Arial" w:cs="Arial"/>
        </w:rPr>
        <w:t>This fact is reinforced by the finding that the activity indicator is the main driver of consumptive lifestyles. Students who are active in social media, campus activities, and off-campus communities are more often exposed to consumptive lifestyles. This reinforces the importance of environmental influences in shaping consumption habits.</w:t>
      </w:r>
    </w:p>
    <w:p w14:paraId="4BA10970" w14:textId="77777777" w:rsidR="001E7C49" w:rsidRPr="001E7C49" w:rsidRDefault="001E7C49" w:rsidP="001E7C49">
      <w:pPr>
        <w:pStyle w:val="Body"/>
        <w:rPr>
          <w:rFonts w:ascii="Arial" w:hAnsi="Arial" w:cs="Arial"/>
        </w:rPr>
      </w:pPr>
      <w:r w:rsidRPr="001E7C49">
        <w:rPr>
          <w:rFonts w:ascii="Arial" w:hAnsi="Arial" w:cs="Arial"/>
        </w:rPr>
        <w:t xml:space="preserve">The results of this study are in line with the opinion of </w:t>
      </w:r>
      <w:proofErr w:type="spellStart"/>
      <w:r w:rsidRPr="001E7C49">
        <w:rPr>
          <w:rFonts w:ascii="Arial" w:hAnsi="Arial" w:cs="Arial"/>
        </w:rPr>
        <w:t>Mohi</w:t>
      </w:r>
      <w:proofErr w:type="spellEnd"/>
      <w:r w:rsidRPr="001E7C49">
        <w:rPr>
          <w:rFonts w:ascii="Arial" w:hAnsi="Arial" w:cs="Arial"/>
        </w:rPr>
        <w:t xml:space="preserve">, et al (2025) which states that activities, interests, and opinions greatly influence a </w:t>
      </w:r>
      <w:r>
        <w:rPr>
          <w:rFonts w:ascii="Arial" w:hAnsi="Arial" w:cs="Arial"/>
        </w:rPr>
        <w:t xml:space="preserve">person's consumption </w:t>
      </w:r>
      <w:proofErr w:type="spellStart"/>
      <w:r>
        <w:rPr>
          <w:rFonts w:ascii="Arial" w:hAnsi="Arial" w:cs="Arial"/>
        </w:rPr>
        <w:t>decisions.</w:t>
      </w:r>
      <w:r w:rsidRPr="001E7C49">
        <w:rPr>
          <w:rFonts w:ascii="Arial" w:hAnsi="Arial" w:cs="Arial"/>
        </w:rPr>
        <w:t>Where</w:t>
      </w:r>
      <w:proofErr w:type="spellEnd"/>
      <w:r w:rsidRPr="001E7C49">
        <w:rPr>
          <w:rFonts w:ascii="Arial" w:hAnsi="Arial" w:cs="Arial"/>
        </w:rPr>
        <w:t xml:space="preserve"> in practice, management students are generally more active in organizational activities, seminars, and entrepreneurial activities that demand a professional appearance, thus encouraging them to pay attention to their style of dress, gadgets, and other status </w:t>
      </w:r>
      <w:proofErr w:type="spellStart"/>
      <w:r w:rsidRPr="001E7C49">
        <w:rPr>
          <w:rFonts w:ascii="Arial" w:hAnsi="Arial" w:cs="Arial"/>
        </w:rPr>
        <w:t>symbols.Similarly</w:t>
      </w:r>
      <w:proofErr w:type="spellEnd"/>
      <w:r w:rsidRPr="001E7C49">
        <w:rPr>
          <w:rFonts w:ascii="Arial" w:hAnsi="Arial" w:cs="Arial"/>
        </w:rPr>
        <w:t xml:space="preserve">, research by </w:t>
      </w:r>
      <w:proofErr w:type="spellStart"/>
      <w:r w:rsidRPr="001E7C49">
        <w:rPr>
          <w:rFonts w:ascii="Arial" w:hAnsi="Arial" w:cs="Arial"/>
        </w:rPr>
        <w:t>Pramesti</w:t>
      </w:r>
      <w:proofErr w:type="spellEnd"/>
      <w:r w:rsidRPr="001E7C49">
        <w:rPr>
          <w:rFonts w:ascii="Arial" w:hAnsi="Arial" w:cs="Arial"/>
        </w:rPr>
        <w:t xml:space="preserve"> et al. (2023) which states that individuals who are exposed to a consumptive social environment and have a strong urge to be recognized, tend to be more easily encouraged to behave consumptively, especially if this lifestyle is supported by a major environment that supports this culture. Financial literacy is an important factor in determining how well students can manage money and avoid consumptive behavior. Based on the results of descriptive analysis, students' financial literacy is in the good category with an average score of 3.97. Financial literacy is measured through five main indicators, namely knowledge of financial concepts, ability to communicate about finance, ability to manage personal finances, ability to make financial decisions, and confidence in future planning.</w:t>
      </w:r>
    </w:p>
    <w:p w14:paraId="7BF3DB03" w14:textId="77777777" w:rsidR="00C30A0F" w:rsidRDefault="001E7C49" w:rsidP="001E7C49">
      <w:pPr>
        <w:pStyle w:val="Body"/>
        <w:rPr>
          <w:rFonts w:ascii="Arial" w:hAnsi="Arial" w:cs="Arial"/>
        </w:rPr>
      </w:pPr>
      <w:r w:rsidRPr="001E7C49">
        <w:rPr>
          <w:rFonts w:ascii="Arial" w:hAnsi="Arial" w:cs="Arial"/>
        </w:rPr>
        <w:t>Of the five indicators, the ability to communicate about financial concepts recorded the highest score of 4.09. This shows that students feel comfortable and confident in discussing finance, both with friends, family, and lecturers. However, this ability is not necessarily followed by wise financial behavior.</w:t>
      </w:r>
      <w:r w:rsidR="00C30A0F">
        <w:rPr>
          <w:rFonts w:ascii="Arial" w:hAnsi="Arial" w:cs="Arial"/>
        </w:rPr>
        <w:t>]</w:t>
      </w:r>
      <w:r w:rsidR="00C30A0F" w:rsidRPr="00FB3A86">
        <w:rPr>
          <w:rFonts w:ascii="Arial" w:hAnsi="Arial" w:cs="Arial"/>
        </w:rPr>
        <w:t xml:space="preserve">  </w:t>
      </w:r>
    </w:p>
    <w:p w14:paraId="5525ED50" w14:textId="77777777" w:rsidR="00790ADA" w:rsidRPr="00FB3A86" w:rsidRDefault="00790ADA" w:rsidP="00441B6F">
      <w:pPr>
        <w:pStyle w:val="Body"/>
        <w:spacing w:after="0"/>
        <w:rPr>
          <w:rFonts w:ascii="Arial" w:hAnsi="Arial" w:cs="Arial"/>
        </w:rPr>
      </w:pPr>
    </w:p>
    <w:p w14:paraId="2B0DED3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051C73F" w14:textId="77777777" w:rsidR="00790ADA" w:rsidRPr="00FB3A86" w:rsidRDefault="00790ADA" w:rsidP="00441B6F">
      <w:pPr>
        <w:pStyle w:val="ConcHead"/>
        <w:spacing w:after="0"/>
        <w:jc w:val="both"/>
        <w:rPr>
          <w:rFonts w:ascii="Arial" w:hAnsi="Arial" w:cs="Arial"/>
        </w:rPr>
      </w:pPr>
    </w:p>
    <w:p w14:paraId="6C55902E" w14:textId="77777777" w:rsidR="001E7C49" w:rsidRPr="001E7C49" w:rsidRDefault="00502516" w:rsidP="001E7C49">
      <w:pPr>
        <w:pStyle w:val="Body"/>
        <w:rPr>
          <w:rFonts w:ascii="Arial" w:hAnsi="Arial" w:cs="Arial"/>
        </w:rPr>
      </w:pPr>
      <w:r>
        <w:rPr>
          <w:rFonts w:ascii="Arial" w:hAnsi="Arial" w:cs="Arial"/>
        </w:rPr>
        <w:t>[</w:t>
      </w:r>
      <w:r w:rsidR="001E7C49" w:rsidRPr="001E7C49">
        <w:rPr>
          <w:rFonts w:ascii="Arial" w:hAnsi="Arial" w:cs="Arial"/>
        </w:rPr>
        <w:t xml:space="preserve">This research by hypothesis testing, data analysis using multiple linear regression dummy analysis can be concluded that the Lifestyle Variable has a Positive and Significant Effect on the Consumptive behavior of Faculty of Economics Students class of 2021-2022 Gorontalo State University. </w:t>
      </w:r>
      <w:r w:rsidR="001E7C49" w:rsidRPr="001E7C49">
        <w:rPr>
          <w:rFonts w:ascii="Arial" w:hAnsi="Arial" w:cs="Arial"/>
        </w:rPr>
        <w:tab/>
      </w:r>
    </w:p>
    <w:p w14:paraId="29891BD0" w14:textId="77777777" w:rsidR="00B01FCD" w:rsidRDefault="001E7C49" w:rsidP="00441B6F">
      <w:pPr>
        <w:pStyle w:val="Body"/>
        <w:spacing w:after="0"/>
        <w:rPr>
          <w:rFonts w:ascii="Arial" w:hAnsi="Arial" w:cs="Arial"/>
        </w:rPr>
      </w:pPr>
      <w:r w:rsidRPr="001E7C49">
        <w:rPr>
          <w:rFonts w:ascii="Arial" w:hAnsi="Arial" w:cs="Arial"/>
        </w:rPr>
        <w:t>The Financial Literacy variable has a positive and significant effect on the consumptive behavior of the 2021-2022 batch of Faculty of Economics students at Gorontalo State University. Lifestyle and Financial Literacy Variables have a Positive Effect on the Consumptive Behavior of Faculty of Economics Students class of 2021-2022 Gorontalo State University.</w:t>
      </w:r>
      <w:r w:rsidR="00502516">
        <w:rPr>
          <w:rFonts w:ascii="Arial" w:hAnsi="Arial" w:cs="Arial"/>
        </w:rPr>
        <w:t>]</w:t>
      </w:r>
    </w:p>
    <w:p w14:paraId="0BFCD202" w14:textId="77777777" w:rsidR="00790ADA" w:rsidRPr="00FB3A86" w:rsidRDefault="00790ADA" w:rsidP="00441B6F">
      <w:pPr>
        <w:pStyle w:val="Body"/>
        <w:spacing w:after="0"/>
        <w:rPr>
          <w:rFonts w:ascii="Arial" w:hAnsi="Arial" w:cs="Arial"/>
        </w:rPr>
      </w:pPr>
    </w:p>
    <w:p w14:paraId="7D11493A" w14:textId="77777777" w:rsidR="00860000" w:rsidRDefault="00860000" w:rsidP="00441B6F">
      <w:pPr>
        <w:pStyle w:val="ReferHead"/>
        <w:spacing w:after="0"/>
        <w:jc w:val="both"/>
        <w:rPr>
          <w:rFonts w:ascii="Arial" w:hAnsi="Arial" w:cs="Arial"/>
        </w:rPr>
      </w:pPr>
    </w:p>
    <w:p w14:paraId="1B33203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368D334" w14:textId="77777777" w:rsidR="001E7C49" w:rsidRDefault="001E7C49" w:rsidP="00441B6F">
      <w:pPr>
        <w:pStyle w:val="Body"/>
        <w:spacing w:after="0"/>
        <w:rPr>
          <w:rStyle w:val="Hyperlink"/>
        </w:rPr>
      </w:pPr>
    </w:p>
    <w:p w14:paraId="377B1BDA" w14:textId="77777777" w:rsidR="001E7C49" w:rsidRPr="001E7C49" w:rsidRDefault="001E7C49" w:rsidP="001E7C49">
      <w:pPr>
        <w:pStyle w:val="Body"/>
      </w:pPr>
      <w:r w:rsidRPr="001E7C49">
        <w:t xml:space="preserve">Achmad, B. (2022). Understanding of Ethical Values in Islamic Consumption towards the Consumptive </w:t>
      </w:r>
      <w:proofErr w:type="spellStart"/>
      <w:r w:rsidRPr="001E7C49">
        <w:t>Behaviour</w:t>
      </w:r>
      <w:proofErr w:type="spellEnd"/>
      <w:r w:rsidRPr="001E7C49">
        <w:t xml:space="preserve"> of Indonesian Society. Journal of Education and Counselling, 4(5), 1707-1715.</w:t>
      </w:r>
    </w:p>
    <w:p w14:paraId="08E84940" w14:textId="77777777" w:rsidR="001E7C49" w:rsidRPr="001E7C49" w:rsidRDefault="001E7C49" w:rsidP="001E7C49">
      <w:pPr>
        <w:pStyle w:val="Body"/>
      </w:pPr>
      <w:r w:rsidRPr="001E7C49">
        <w:t xml:space="preserve">Ahmad, A., </w:t>
      </w:r>
      <w:proofErr w:type="spellStart"/>
      <w:r w:rsidRPr="001E7C49">
        <w:t>Nurjannah</w:t>
      </w:r>
      <w:proofErr w:type="spellEnd"/>
      <w:r w:rsidRPr="001E7C49">
        <w:t>, &amp; Asa, L. (2022). Variable Measurement Design of Questionnaires and Questionnaires.</w:t>
      </w:r>
    </w:p>
    <w:p w14:paraId="524EC190" w14:textId="77777777" w:rsidR="001E7C49" w:rsidRPr="001E7C49" w:rsidRDefault="001E7C49" w:rsidP="001E7C49">
      <w:pPr>
        <w:pStyle w:val="Body"/>
      </w:pPr>
      <w:proofErr w:type="spellStart"/>
      <w:r w:rsidRPr="001E7C49">
        <w:t>Alfian</w:t>
      </w:r>
      <w:proofErr w:type="spellEnd"/>
      <w:r w:rsidRPr="001E7C49">
        <w:t xml:space="preserve">, S, R. (2023). The Effect of Brand Awareness and Product Variety on Purchasing Decisions Through Purchase Intention of </w:t>
      </w:r>
      <w:proofErr w:type="spellStart"/>
      <w:r w:rsidRPr="001E7C49">
        <w:t>Lemonilo</w:t>
      </w:r>
      <w:proofErr w:type="spellEnd"/>
      <w:r w:rsidRPr="001E7C49">
        <w:t xml:space="preserve"> Noodles in Bekasi City. </w:t>
      </w:r>
      <w:proofErr w:type="spellStart"/>
      <w:r w:rsidRPr="001E7C49">
        <w:t>Economina</w:t>
      </w:r>
      <w:proofErr w:type="spellEnd"/>
      <w:r w:rsidRPr="001E7C49">
        <w:t xml:space="preserve"> Journal, 2 (2), 3-4.</w:t>
      </w:r>
    </w:p>
    <w:p w14:paraId="32649CB0" w14:textId="77777777" w:rsidR="001E7C49" w:rsidRDefault="001E7C49" w:rsidP="001E7C49">
      <w:pPr>
        <w:pStyle w:val="Body"/>
      </w:pPr>
      <w:proofErr w:type="spellStart"/>
      <w:r w:rsidRPr="001E7C49">
        <w:t>Ardiva</w:t>
      </w:r>
      <w:proofErr w:type="spellEnd"/>
      <w:r w:rsidRPr="001E7C49">
        <w:t xml:space="preserve"> Zakia, </w:t>
      </w:r>
      <w:proofErr w:type="spellStart"/>
      <w:r w:rsidRPr="001E7C49">
        <w:t>Adisti</w:t>
      </w:r>
      <w:proofErr w:type="spellEnd"/>
      <w:r w:rsidRPr="001E7C49">
        <w:t xml:space="preserve">, A. D. (2022). Factors Affecting Social Class: Lifestyle, Purchasing Power and Consumption Level (Literature Review </w:t>
      </w:r>
      <w:proofErr w:type="spellStart"/>
      <w:r w:rsidRPr="001E7C49">
        <w:t>Msdm</w:t>
      </w:r>
      <w:proofErr w:type="spellEnd"/>
      <w:r w:rsidRPr="001E7C49">
        <w:t xml:space="preserve">). Journal of Applied Management Science, 3(5), 2-9. </w:t>
      </w:r>
      <w:hyperlink r:id="rId16" w:history="1">
        <w:r w:rsidR="00BB66DF" w:rsidRPr="005060B3">
          <w:rPr>
            <w:rStyle w:val="Hyperlink"/>
          </w:rPr>
          <w:t>Https://Doi.Org/10.31933/Jimt.V3i5</w:t>
        </w:r>
      </w:hyperlink>
    </w:p>
    <w:p w14:paraId="58DBCA94" w14:textId="77777777" w:rsidR="001E7C49" w:rsidRPr="001E7C49" w:rsidRDefault="001E7C49" w:rsidP="001E7C49">
      <w:pPr>
        <w:pStyle w:val="Body"/>
      </w:pPr>
      <w:r w:rsidRPr="001E7C49">
        <w:t xml:space="preserve">Auliya, M., </w:t>
      </w:r>
      <w:proofErr w:type="spellStart"/>
      <w:r w:rsidRPr="001E7C49">
        <w:t>Nurwidawati</w:t>
      </w:r>
      <w:proofErr w:type="spellEnd"/>
      <w:r w:rsidRPr="001E7C49">
        <w:t xml:space="preserve">, Aggression, P. (2014). The Relationship of Self-Control with Aggression </w:t>
      </w:r>
      <w:proofErr w:type="spellStart"/>
      <w:r w:rsidRPr="001E7C49">
        <w:t>Behaviour</w:t>
      </w:r>
      <w:proofErr w:type="spellEnd"/>
      <w:r w:rsidRPr="001E7C49">
        <w:t xml:space="preserve"> in Students of State Senior High School 1 </w:t>
      </w:r>
      <w:proofErr w:type="spellStart"/>
      <w:r w:rsidRPr="001E7C49">
        <w:t>Padangan</w:t>
      </w:r>
      <w:proofErr w:type="spellEnd"/>
      <w:r w:rsidRPr="001E7C49">
        <w:t xml:space="preserve"> </w:t>
      </w:r>
      <w:proofErr w:type="spellStart"/>
      <w:r w:rsidRPr="001E7C49">
        <w:t>Bojonegoro</w:t>
      </w:r>
      <w:proofErr w:type="spellEnd"/>
      <w:r w:rsidRPr="001E7C49">
        <w:t>. Journal of Psychology Research, 2(3), 1-5.</w:t>
      </w:r>
    </w:p>
    <w:p w14:paraId="02F763EA" w14:textId="77777777" w:rsidR="001E7C49" w:rsidRPr="001E7C49" w:rsidRDefault="001E7C49" w:rsidP="001E7C49">
      <w:pPr>
        <w:pStyle w:val="Body"/>
      </w:pPr>
      <w:r w:rsidRPr="001E7C49">
        <w:t xml:space="preserve">Cahyo </w:t>
      </w:r>
      <w:proofErr w:type="spellStart"/>
      <w:r w:rsidRPr="001E7C49">
        <w:t>Seputro</w:t>
      </w:r>
      <w:proofErr w:type="spellEnd"/>
      <w:r w:rsidRPr="001E7C49">
        <w:t xml:space="preserve">. (2024). The Effect of Korean Drama on Consumptive </w:t>
      </w:r>
      <w:proofErr w:type="spellStart"/>
      <w:r w:rsidRPr="001E7C49">
        <w:t>Behaviour</w:t>
      </w:r>
      <w:proofErr w:type="spellEnd"/>
      <w:r w:rsidRPr="001E7C49">
        <w:t xml:space="preserve"> and Fashion Style. 6681(7), 1094-1099.</w:t>
      </w:r>
    </w:p>
    <w:p w14:paraId="67C0BACF" w14:textId="77777777" w:rsidR="001E7C49" w:rsidRPr="001E7C49" w:rsidRDefault="001E7C49" w:rsidP="001E7C49">
      <w:pPr>
        <w:pStyle w:val="Body"/>
      </w:pPr>
      <w:proofErr w:type="spellStart"/>
      <w:r w:rsidRPr="001E7C49">
        <w:lastRenderedPageBreak/>
        <w:t>Hartiningsih</w:t>
      </w:r>
      <w:proofErr w:type="spellEnd"/>
      <w:r w:rsidRPr="001E7C49">
        <w:t>, M., Reza, R.</w:t>
      </w:r>
      <w:proofErr w:type="gramStart"/>
      <w:r w:rsidRPr="001E7C49">
        <w:t>, ,</w:t>
      </w:r>
      <w:proofErr w:type="gramEnd"/>
      <w:r w:rsidRPr="001E7C49">
        <w:t xml:space="preserve"> V. P. (2021). The Effect of Financial Literacy and Lifestyle on Student Consumptive </w:t>
      </w:r>
      <w:proofErr w:type="spellStart"/>
      <w:r w:rsidRPr="001E7C49">
        <w:t>Behaviour</w:t>
      </w:r>
      <w:proofErr w:type="spellEnd"/>
      <w:r w:rsidRPr="001E7C49">
        <w:t xml:space="preserve"> in the Economic Education Study Program, </w:t>
      </w:r>
      <w:proofErr w:type="spellStart"/>
      <w:r w:rsidRPr="001E7C49">
        <w:t>Fkip</w:t>
      </w:r>
      <w:proofErr w:type="spellEnd"/>
      <w:r w:rsidRPr="001E7C49">
        <w:t xml:space="preserve"> </w:t>
      </w:r>
      <w:proofErr w:type="spellStart"/>
      <w:r w:rsidRPr="001E7C49">
        <w:t>Mulawarman</w:t>
      </w:r>
      <w:proofErr w:type="spellEnd"/>
      <w:r w:rsidRPr="001E7C49">
        <w:t xml:space="preserve"> University. Educational Studies: Conference Series, 1(2), 1-9. </w:t>
      </w:r>
      <w:hyperlink r:id="rId17" w:history="1">
        <w:r w:rsidRPr="001E7C49">
          <w:rPr>
            <w:rStyle w:val="Hyperlink"/>
          </w:rPr>
          <w:t>Https://Doi.Org/10.30872/Escs.V1i2.905</w:t>
        </w:r>
      </w:hyperlink>
    </w:p>
    <w:p w14:paraId="67CB76E2" w14:textId="77777777" w:rsidR="001E7C49" w:rsidRDefault="001E7C49" w:rsidP="001E7C49">
      <w:pPr>
        <w:pStyle w:val="Body"/>
      </w:pPr>
      <w:r w:rsidRPr="001E7C49">
        <w:t xml:space="preserve">Kurniawan, M. Z. (2023). The Role of Financial Literacy, Price, and Sales Promotion on the Consumptive </w:t>
      </w:r>
      <w:proofErr w:type="spellStart"/>
      <w:r w:rsidRPr="001E7C49">
        <w:t>Behaviour</w:t>
      </w:r>
      <w:proofErr w:type="spellEnd"/>
      <w:r w:rsidRPr="001E7C49">
        <w:t xml:space="preserve"> of Generation Z. </w:t>
      </w:r>
      <w:proofErr w:type="spellStart"/>
      <w:r w:rsidRPr="001E7C49">
        <w:t>Ekonika</w:t>
      </w:r>
      <w:proofErr w:type="spellEnd"/>
      <w:r w:rsidRPr="001E7C49">
        <w:t xml:space="preserve">: Economic Journal of Kadiri University, 8(1), 151-162. </w:t>
      </w:r>
      <w:hyperlink r:id="rId18" w:history="1">
        <w:r w:rsidR="00BB66DF" w:rsidRPr="005060B3">
          <w:rPr>
            <w:rStyle w:val="Hyperlink"/>
          </w:rPr>
          <w:t>Https://Doi.Org/10.30737/Ekonika.V8i1.3636</w:t>
        </w:r>
      </w:hyperlink>
    </w:p>
    <w:p w14:paraId="039CAB39" w14:textId="77777777" w:rsidR="001E7C49" w:rsidRDefault="001E7C49" w:rsidP="001E7C49">
      <w:pPr>
        <w:pStyle w:val="Body"/>
      </w:pPr>
      <w:proofErr w:type="spellStart"/>
      <w:r w:rsidRPr="001E7C49">
        <w:t>Kusnandar</w:t>
      </w:r>
      <w:proofErr w:type="spellEnd"/>
      <w:r w:rsidRPr="001E7C49">
        <w:t xml:space="preserve">, D. L., &amp; Kurniawan, D. (2020). Financial Literacy and Lifestyle of Housewives in Shaping Financial </w:t>
      </w:r>
      <w:proofErr w:type="spellStart"/>
      <w:r w:rsidRPr="001E7C49">
        <w:t>Behaviour</w:t>
      </w:r>
      <w:proofErr w:type="spellEnd"/>
      <w:r w:rsidRPr="001E7C49">
        <w:t xml:space="preserve"> in </w:t>
      </w:r>
      <w:proofErr w:type="spellStart"/>
      <w:r w:rsidRPr="001E7C49">
        <w:t>Tasikmalaya</w:t>
      </w:r>
      <w:proofErr w:type="spellEnd"/>
      <w:r w:rsidRPr="001E7C49">
        <w:t xml:space="preserve">. Science: Journal of Management and Business, 13(1), 123. </w:t>
      </w:r>
      <w:hyperlink r:id="rId19" w:history="1">
        <w:r w:rsidR="00BB66DF" w:rsidRPr="005060B3">
          <w:rPr>
            <w:rStyle w:val="Hyperlink"/>
          </w:rPr>
          <w:t>Https://Doi.Org/10.35448/Jmb.V13i1.7920</w:t>
        </w:r>
      </w:hyperlink>
    </w:p>
    <w:p w14:paraId="2C616B7F" w14:textId="77777777" w:rsidR="001E7C49" w:rsidRPr="001E7C49" w:rsidRDefault="001E7C49" w:rsidP="001E7C49">
      <w:pPr>
        <w:pStyle w:val="Body"/>
      </w:pPr>
      <w:r w:rsidRPr="001E7C49">
        <w:t xml:space="preserve">Loan, N. T., Vu, M. A., &amp; Tuyen, V. Van. (2023). The Relationship Between Tourism Service Quality, Tourist's Satisfaction </w:t>
      </w:r>
      <w:proofErr w:type="gramStart"/>
      <w:r w:rsidRPr="001E7C49">
        <w:t>And</w:t>
      </w:r>
      <w:proofErr w:type="gramEnd"/>
      <w:r w:rsidRPr="001E7C49">
        <w:t xml:space="preserve"> Loyalty: A Study Using Smart Pls-Sem Approach. Journal Of </w:t>
      </w:r>
      <w:proofErr w:type="spellStart"/>
      <w:r w:rsidRPr="001E7C49">
        <w:t>Behavioural</w:t>
      </w:r>
      <w:proofErr w:type="spellEnd"/>
      <w:r w:rsidRPr="001E7C49">
        <w:t xml:space="preserve"> Economics, Finance, Entrepreneurship, Accounting </w:t>
      </w:r>
      <w:proofErr w:type="gramStart"/>
      <w:r w:rsidRPr="001E7C49">
        <w:t>And</w:t>
      </w:r>
      <w:proofErr w:type="gramEnd"/>
      <w:r w:rsidRPr="001E7C49">
        <w:t xml:space="preserve"> Transport, 11, No. 1, (January), 8. Https://Doi.Org/10.12691/Jbe-11-1-1</w:t>
      </w:r>
    </w:p>
    <w:p w14:paraId="3065AD0C" w14:textId="77777777" w:rsidR="001E7C49" w:rsidRDefault="001E7C49" w:rsidP="001E7C49">
      <w:pPr>
        <w:pStyle w:val="Body"/>
      </w:pPr>
      <w:r w:rsidRPr="001E7C49">
        <w:t xml:space="preserve">Luas, G. N., Irawan, S., &amp; </w:t>
      </w:r>
      <w:proofErr w:type="spellStart"/>
      <w:r w:rsidRPr="001E7C49">
        <w:t>Windrawanto</w:t>
      </w:r>
      <w:proofErr w:type="spellEnd"/>
      <w:r w:rsidRPr="001E7C49">
        <w:t xml:space="preserve">, Y. (2023). The Influence of Self-Concept on Students' Consumptive </w:t>
      </w:r>
      <w:proofErr w:type="spellStart"/>
      <w:r w:rsidRPr="001E7C49">
        <w:t>Behaviour</w:t>
      </w:r>
      <w:proofErr w:type="spellEnd"/>
      <w:r w:rsidRPr="001E7C49">
        <w:t xml:space="preserve">. </w:t>
      </w:r>
      <w:proofErr w:type="spellStart"/>
      <w:r w:rsidRPr="001E7C49">
        <w:t>Scholaria</w:t>
      </w:r>
      <w:proofErr w:type="spellEnd"/>
      <w:r w:rsidRPr="001E7C49">
        <w:t xml:space="preserve">: Journal of Education and Culture, 13(1), 1-7. </w:t>
      </w:r>
      <w:hyperlink r:id="rId20" w:history="1">
        <w:r w:rsidR="00BB66DF" w:rsidRPr="005060B3">
          <w:rPr>
            <w:rStyle w:val="Hyperlink"/>
          </w:rPr>
          <w:t>Https://Doi.Org/10.24246/J.Js.2023.V13.I1.P1-7</w:t>
        </w:r>
      </w:hyperlink>
    </w:p>
    <w:p w14:paraId="47AC6AE5" w14:textId="77777777" w:rsidR="001E7C49" w:rsidRPr="001E7C49" w:rsidRDefault="001E7C49" w:rsidP="001E7C49">
      <w:pPr>
        <w:pStyle w:val="Body"/>
      </w:pPr>
      <w:r w:rsidRPr="001E7C49">
        <w:t xml:space="preserve">Melinda, </w:t>
      </w:r>
      <w:proofErr w:type="spellStart"/>
      <w:r w:rsidRPr="001E7C49">
        <w:t>Lesawengen</w:t>
      </w:r>
      <w:proofErr w:type="spellEnd"/>
      <w:r w:rsidRPr="001E7C49">
        <w:t xml:space="preserve">, L., &amp; Waani, F. J. (2021). Consumptive </w:t>
      </w:r>
      <w:proofErr w:type="spellStart"/>
      <w:r w:rsidRPr="001E7C49">
        <w:t>Behaviour</w:t>
      </w:r>
      <w:proofErr w:type="spellEnd"/>
      <w:r w:rsidRPr="001E7C49">
        <w:t xml:space="preserve"> and Socio-Economic Life of Overseas Students (Case Study of Toraja Students at Sam </w:t>
      </w:r>
      <w:proofErr w:type="spellStart"/>
      <w:r w:rsidRPr="001E7C49">
        <w:t>Ratulangi</w:t>
      </w:r>
      <w:proofErr w:type="spellEnd"/>
      <w:r w:rsidRPr="001E7C49">
        <w:t xml:space="preserve"> University Manado. Journal of Scientific Society, 1(1), 1-10.</w:t>
      </w:r>
    </w:p>
    <w:p w14:paraId="3C8D9C3F" w14:textId="77777777" w:rsidR="001E7C49" w:rsidRPr="001E7C49" w:rsidRDefault="001E7C49" w:rsidP="001E7C49">
      <w:pPr>
        <w:pStyle w:val="Body"/>
      </w:pPr>
      <w:proofErr w:type="spellStart"/>
      <w:r w:rsidRPr="001E7C49">
        <w:t>Mohi</w:t>
      </w:r>
      <w:proofErr w:type="spellEnd"/>
      <w:r w:rsidRPr="001E7C49">
        <w:t xml:space="preserve">, R., </w:t>
      </w:r>
      <w:proofErr w:type="spellStart"/>
      <w:r w:rsidRPr="001E7C49">
        <w:t>Hinelo</w:t>
      </w:r>
      <w:proofErr w:type="spellEnd"/>
      <w:r w:rsidRPr="001E7C49">
        <w:t xml:space="preserve">, R., &amp; Hamin, D. I. (2025). The Effect of Financial Literacy and Lifestyle on Student Consumptive </w:t>
      </w:r>
      <w:proofErr w:type="spellStart"/>
      <w:r w:rsidRPr="001E7C49">
        <w:t>Behaviour</w:t>
      </w:r>
      <w:proofErr w:type="spellEnd"/>
      <w:r w:rsidRPr="001E7C49">
        <w:t>: Case Study on Students of the Faculty of Economics, Gorontalo State University. Economic Reviews Journal, 4(1), 174-182.</w:t>
      </w:r>
    </w:p>
    <w:p w14:paraId="1FAFFA8D" w14:textId="77777777" w:rsidR="001E7C49" w:rsidRPr="001E7C49" w:rsidRDefault="001E7C49" w:rsidP="001E7C49">
      <w:pPr>
        <w:pStyle w:val="Body"/>
      </w:pPr>
      <w:proofErr w:type="spellStart"/>
      <w:r w:rsidRPr="001E7C49">
        <w:t>MMuliyah</w:t>
      </w:r>
      <w:proofErr w:type="spellEnd"/>
      <w:r w:rsidRPr="001E7C49">
        <w:t xml:space="preserve">, P., </w:t>
      </w:r>
      <w:proofErr w:type="spellStart"/>
      <w:r w:rsidRPr="001E7C49">
        <w:t>Aminatun</w:t>
      </w:r>
      <w:proofErr w:type="spellEnd"/>
      <w:r w:rsidRPr="001E7C49">
        <w:t xml:space="preserve">, D., Sukma </w:t>
      </w:r>
      <w:proofErr w:type="spellStart"/>
      <w:r w:rsidRPr="001E7C49">
        <w:t>Septian</w:t>
      </w:r>
      <w:proofErr w:type="spellEnd"/>
      <w:r w:rsidRPr="001E7C49">
        <w:t xml:space="preserve"> Nasution, T. H., &amp; </w:t>
      </w:r>
      <w:proofErr w:type="spellStart"/>
      <w:r w:rsidRPr="001E7C49">
        <w:t>Setiana</w:t>
      </w:r>
      <w:proofErr w:type="spellEnd"/>
      <w:r w:rsidRPr="001E7C49">
        <w:t xml:space="preserve"> Sri Wahyuni </w:t>
      </w:r>
      <w:proofErr w:type="spellStart"/>
      <w:r w:rsidRPr="001E7C49">
        <w:t>Sitepu</w:t>
      </w:r>
      <w:proofErr w:type="spellEnd"/>
      <w:r w:rsidRPr="001E7C49">
        <w:t xml:space="preserve">, T. (2020). Consumptive </w:t>
      </w:r>
      <w:proofErr w:type="spellStart"/>
      <w:r w:rsidRPr="001E7C49">
        <w:t>Behaviour</w:t>
      </w:r>
      <w:proofErr w:type="spellEnd"/>
      <w:r w:rsidRPr="001E7C49">
        <w:t xml:space="preserve"> in Online Shopping Among Accounting Education Students at Universitas Muhammadiyah Surakarta. Journal </w:t>
      </w:r>
      <w:proofErr w:type="spellStart"/>
      <w:r w:rsidRPr="001E7C49">
        <w:t>Geej</w:t>
      </w:r>
      <w:proofErr w:type="spellEnd"/>
      <w:r w:rsidRPr="001E7C49">
        <w:t>, 7(2), 1-11.</w:t>
      </w:r>
    </w:p>
    <w:p w14:paraId="3D2BA8A6" w14:textId="77777777" w:rsidR="001E7C49" w:rsidRPr="001E7C49" w:rsidRDefault="001E7C49" w:rsidP="001E7C49">
      <w:pPr>
        <w:pStyle w:val="Body"/>
      </w:pPr>
      <w:r w:rsidRPr="001E7C49">
        <w:t xml:space="preserve">Ni Luh, P. K. D., Agus, W. S. G., &amp; Ni Putu, Y. A. (2021). The Effect of Financial Literacy, Hedonism Lifestyle, and Income on Financial Management of </w:t>
      </w:r>
      <w:proofErr w:type="spellStart"/>
      <w:r w:rsidRPr="001E7C49">
        <w:t>Unmas</w:t>
      </w:r>
      <w:proofErr w:type="spellEnd"/>
      <w:r w:rsidRPr="001E7C49">
        <w:t xml:space="preserve"> Students. Gold Journal, 2, 74-85.</w:t>
      </w:r>
    </w:p>
    <w:p w14:paraId="4EF1AF56" w14:textId="77777777" w:rsidR="001E7C49" w:rsidRDefault="001E7C49" w:rsidP="001E7C49">
      <w:pPr>
        <w:pStyle w:val="Body"/>
      </w:pPr>
      <w:r w:rsidRPr="001E7C49">
        <w:t xml:space="preserve">Nisa, B., Ridwan, M., &amp; Batubara, M. (2023). Economic Growth in Southeast Asian Muslim Countries from the Perspective of Islamic Economics (Case Study of Indonesia and Malaysia). Scientific Journal of Islamic Economics, 9(2), 2567. </w:t>
      </w:r>
      <w:hyperlink r:id="rId21" w:history="1">
        <w:r w:rsidR="00BB66DF" w:rsidRPr="005060B3">
          <w:rPr>
            <w:rStyle w:val="Hyperlink"/>
          </w:rPr>
          <w:t>Https://Doi.Org/10.29040/Jiei.V9i2.9665</w:t>
        </w:r>
      </w:hyperlink>
    </w:p>
    <w:p w14:paraId="28E05793" w14:textId="77777777" w:rsidR="001E7C49" w:rsidRPr="001E7C49" w:rsidRDefault="001E7C49" w:rsidP="001E7C49">
      <w:pPr>
        <w:pStyle w:val="Body"/>
      </w:pPr>
      <w:r w:rsidRPr="001E7C49">
        <w:t xml:space="preserve">Nur </w:t>
      </w:r>
      <w:proofErr w:type="spellStart"/>
      <w:r w:rsidRPr="001E7C49">
        <w:t>Fadillah</w:t>
      </w:r>
      <w:proofErr w:type="spellEnd"/>
      <w:r w:rsidRPr="001E7C49">
        <w:t xml:space="preserve">, </w:t>
      </w:r>
      <w:proofErr w:type="spellStart"/>
      <w:r w:rsidRPr="001E7C49">
        <w:t>Sulistyaningrum</w:t>
      </w:r>
      <w:proofErr w:type="spellEnd"/>
      <w:r w:rsidRPr="001E7C49">
        <w:t xml:space="preserve">, D., &amp; </w:t>
      </w:r>
      <w:proofErr w:type="spellStart"/>
      <w:r w:rsidRPr="001E7C49">
        <w:t>Subarno</w:t>
      </w:r>
      <w:proofErr w:type="spellEnd"/>
      <w:r w:rsidRPr="001E7C49">
        <w:t>, A. (2024). The Effect of Introduction to School Field (</w:t>
      </w:r>
      <w:proofErr w:type="spellStart"/>
      <w:r w:rsidRPr="001E7C49">
        <w:t>Plp</w:t>
      </w:r>
      <w:proofErr w:type="spellEnd"/>
      <w:r w:rsidRPr="001E7C49">
        <w:t xml:space="preserve">) and Interest in Becoming a Teacher on Readiness to Become a Teacher in </w:t>
      </w:r>
      <w:proofErr w:type="spellStart"/>
      <w:r w:rsidRPr="001E7C49">
        <w:t>Fkip</w:t>
      </w:r>
      <w:proofErr w:type="spellEnd"/>
      <w:r w:rsidRPr="001E7C49">
        <w:t xml:space="preserve"> </w:t>
      </w:r>
      <w:proofErr w:type="spellStart"/>
      <w:r w:rsidRPr="001E7C49">
        <w:t>Uns</w:t>
      </w:r>
      <w:proofErr w:type="spellEnd"/>
      <w:r w:rsidRPr="001E7C49">
        <w:t xml:space="preserve"> Students Class of 2020. Education and Teaching.</w:t>
      </w:r>
    </w:p>
    <w:p w14:paraId="418C7A5E" w14:textId="77777777" w:rsidR="001E7C49" w:rsidRPr="001E7C49" w:rsidRDefault="001E7C49" w:rsidP="001E7C49">
      <w:pPr>
        <w:pStyle w:val="Body"/>
      </w:pPr>
      <w:r w:rsidRPr="001E7C49">
        <w:t xml:space="preserve">Nurdin I Muhammad, </w:t>
      </w:r>
      <w:proofErr w:type="spellStart"/>
      <w:r w:rsidRPr="001E7C49">
        <w:t>Musdar</w:t>
      </w:r>
      <w:proofErr w:type="spellEnd"/>
      <w:r w:rsidRPr="001E7C49">
        <w:t xml:space="preserve"> Muhammad, &amp; Muhammad Zais M. </w:t>
      </w:r>
      <w:proofErr w:type="spellStart"/>
      <w:r w:rsidRPr="001E7C49">
        <w:t>Samiun</w:t>
      </w:r>
      <w:proofErr w:type="spellEnd"/>
      <w:r w:rsidRPr="001E7C49">
        <w:t xml:space="preserve">. (2023). Financial Literacy Counselling for Farming Communities in </w:t>
      </w:r>
      <w:proofErr w:type="spellStart"/>
      <w:r w:rsidRPr="001E7C49">
        <w:t>Tabadamai</w:t>
      </w:r>
      <w:proofErr w:type="spellEnd"/>
      <w:r w:rsidRPr="001E7C49">
        <w:t xml:space="preserve"> Village, South </w:t>
      </w:r>
      <w:proofErr w:type="spellStart"/>
      <w:r w:rsidRPr="001E7C49">
        <w:t>Jailolo</w:t>
      </w:r>
      <w:proofErr w:type="spellEnd"/>
      <w:r w:rsidRPr="001E7C49">
        <w:t xml:space="preserve"> District. Journal of Indonesian Community Service and Devotion, 2(4), 11-17. </w:t>
      </w:r>
      <w:hyperlink r:id="rId22" w:history="1">
        <w:r w:rsidRPr="001E7C49">
          <w:rPr>
            <w:rStyle w:val="Hyperlink"/>
          </w:rPr>
          <w:t>Https://Doi.Org/10.55606/Jppmi.V2i4.660</w:t>
        </w:r>
      </w:hyperlink>
    </w:p>
    <w:p w14:paraId="453F4B6E" w14:textId="77777777" w:rsidR="001E7C49" w:rsidRDefault="001E7C49" w:rsidP="001E7C49">
      <w:pPr>
        <w:pStyle w:val="Body"/>
      </w:pPr>
      <w:r w:rsidRPr="001E7C49">
        <w:t xml:space="preserve">Perdana Oskar, D., Wenda </w:t>
      </w:r>
      <w:proofErr w:type="spellStart"/>
      <w:r w:rsidRPr="001E7C49">
        <w:t>Prinoya</w:t>
      </w:r>
      <w:proofErr w:type="spellEnd"/>
      <w:r w:rsidRPr="001E7C49">
        <w:t xml:space="preserve">, R., Novita, W., &amp; Johan, H. (2022). E-Commerce, Financial Literacy and Lifestyle on Online Shopping Consumptive </w:t>
      </w:r>
      <w:proofErr w:type="spellStart"/>
      <w:r w:rsidRPr="001E7C49">
        <w:t>Behaviour</w:t>
      </w:r>
      <w:proofErr w:type="spellEnd"/>
      <w:r w:rsidRPr="001E7C49">
        <w:t xml:space="preserve"> through the </w:t>
      </w:r>
      <w:proofErr w:type="spellStart"/>
      <w:r w:rsidRPr="001E7C49">
        <w:t>Tiktok</w:t>
      </w:r>
      <w:proofErr w:type="spellEnd"/>
      <w:r w:rsidRPr="001E7C49">
        <w:t xml:space="preserve"> Platform. Journal of </w:t>
      </w:r>
      <w:proofErr w:type="spellStart"/>
      <w:r w:rsidRPr="001E7C49">
        <w:t>Ecobistek</w:t>
      </w:r>
      <w:proofErr w:type="spellEnd"/>
      <w:r w:rsidRPr="001E7C49">
        <w:t xml:space="preserve">, 11, 442-447. </w:t>
      </w:r>
      <w:hyperlink r:id="rId23" w:history="1">
        <w:r w:rsidR="00BB66DF" w:rsidRPr="005060B3">
          <w:rPr>
            <w:rStyle w:val="Hyperlink"/>
          </w:rPr>
          <w:t>Https://Doi.Org/10.35134/Ekobistek.V11i4.434</w:t>
        </w:r>
      </w:hyperlink>
    </w:p>
    <w:p w14:paraId="283D884A" w14:textId="77777777" w:rsidR="001E7C49" w:rsidRDefault="001E7C49" w:rsidP="001E7C49">
      <w:pPr>
        <w:pStyle w:val="Body"/>
      </w:pPr>
      <w:r w:rsidRPr="001E7C49">
        <w:t xml:space="preserve">Perkasa, D. H., Purwanto, S., Ariani, M., </w:t>
      </w:r>
      <w:proofErr w:type="spellStart"/>
      <w:r w:rsidRPr="001E7C49">
        <w:t>Vitriani</w:t>
      </w:r>
      <w:proofErr w:type="spellEnd"/>
      <w:r w:rsidRPr="001E7C49">
        <w:t xml:space="preserve">, N., &amp; Parashakti, R. D. (2024). Financial Literacy for Students of </w:t>
      </w:r>
      <w:proofErr w:type="spellStart"/>
      <w:r w:rsidRPr="001E7C49">
        <w:t>Smkn</w:t>
      </w:r>
      <w:proofErr w:type="spellEnd"/>
      <w:r w:rsidRPr="001E7C49">
        <w:t xml:space="preserve"> 16 Central Jakarta. Abdi </w:t>
      </w:r>
      <w:proofErr w:type="spellStart"/>
      <w:r w:rsidRPr="001E7C49">
        <w:t>Moestopo</w:t>
      </w:r>
      <w:proofErr w:type="spellEnd"/>
      <w:r w:rsidRPr="001E7C49">
        <w:t xml:space="preserve">: Journal of Community Service, 7(1), 109-116. </w:t>
      </w:r>
      <w:hyperlink r:id="rId24" w:history="1">
        <w:r w:rsidR="00BB66DF" w:rsidRPr="005060B3">
          <w:rPr>
            <w:rStyle w:val="Hyperlink"/>
          </w:rPr>
          <w:t>Https://Doi.Org/10.32509/Abdimoestopo.V7i1.3696</w:t>
        </w:r>
      </w:hyperlink>
    </w:p>
    <w:p w14:paraId="5BA243BE" w14:textId="77777777" w:rsidR="001E7C49" w:rsidRDefault="001E7C49" w:rsidP="001E7C49">
      <w:pPr>
        <w:pStyle w:val="Body"/>
      </w:pPr>
      <w:proofErr w:type="spellStart"/>
      <w:r w:rsidRPr="001E7C49">
        <w:t>Pohan</w:t>
      </w:r>
      <w:proofErr w:type="spellEnd"/>
      <w:r w:rsidRPr="001E7C49">
        <w:t xml:space="preserve">, M., Azhar, M. E., Purnama, N. I., &amp; Jasin, H. (2022). Model of Consumptive </w:t>
      </w:r>
      <w:proofErr w:type="spellStart"/>
      <w:r w:rsidRPr="001E7C49">
        <w:t>Behaviour</w:t>
      </w:r>
      <w:proofErr w:type="spellEnd"/>
      <w:r w:rsidRPr="001E7C49">
        <w:t xml:space="preserve"> of Students of the Faculty of Economics and Business of Private Universities in Medan City. Owner, 6(2), 1498-1508. </w:t>
      </w:r>
      <w:hyperlink r:id="rId25" w:history="1">
        <w:r w:rsidR="00BB66DF" w:rsidRPr="005060B3">
          <w:rPr>
            <w:rStyle w:val="Hyperlink"/>
          </w:rPr>
          <w:t>Https://Doi.Org/10.33395/Owner.V6i2.777</w:t>
        </w:r>
      </w:hyperlink>
    </w:p>
    <w:p w14:paraId="7B0DA716" w14:textId="77777777" w:rsidR="001E7C49" w:rsidRPr="001E7C49" w:rsidRDefault="001E7C49" w:rsidP="001E7C49">
      <w:pPr>
        <w:pStyle w:val="Body"/>
      </w:pPr>
      <w:r w:rsidRPr="001E7C49">
        <w:t xml:space="preserve">Rahman, A. S. R., Canon, S., &amp; Mahdalena, M. (2023). </w:t>
      </w:r>
      <w:proofErr w:type="spellStart"/>
      <w:r w:rsidRPr="001E7C49">
        <w:t>Optimisation</w:t>
      </w:r>
      <w:proofErr w:type="spellEnd"/>
      <w:r w:rsidRPr="001E7C49">
        <w:t xml:space="preserve"> of Digital Payment System Implementation through </w:t>
      </w:r>
      <w:proofErr w:type="spellStart"/>
      <w:r w:rsidRPr="001E7C49">
        <w:t>Qris</w:t>
      </w:r>
      <w:proofErr w:type="spellEnd"/>
      <w:r w:rsidRPr="001E7C49">
        <w:t xml:space="preserve"> in </w:t>
      </w:r>
      <w:proofErr w:type="spellStart"/>
      <w:r w:rsidRPr="001E7C49">
        <w:t>Umkm</w:t>
      </w:r>
      <w:proofErr w:type="spellEnd"/>
      <w:r w:rsidRPr="001E7C49">
        <w:t xml:space="preserve"> Gorontalo City. Mirai Management Journal, 8(2), 55-63.</w:t>
      </w:r>
    </w:p>
    <w:p w14:paraId="55CFF9BE" w14:textId="77777777" w:rsidR="001E7C49" w:rsidRPr="001E7C49" w:rsidRDefault="001E7C49" w:rsidP="001E7C49">
      <w:pPr>
        <w:pStyle w:val="Body"/>
      </w:pPr>
      <w:proofErr w:type="spellStart"/>
      <w:r w:rsidRPr="001E7C49">
        <w:lastRenderedPageBreak/>
        <w:t>Pramesti</w:t>
      </w:r>
      <w:proofErr w:type="spellEnd"/>
      <w:r w:rsidRPr="001E7C49">
        <w:t xml:space="preserve">, G., Azizah, A., </w:t>
      </w:r>
      <w:proofErr w:type="spellStart"/>
      <w:r w:rsidRPr="001E7C49">
        <w:t>Purnamasari</w:t>
      </w:r>
      <w:proofErr w:type="spellEnd"/>
      <w:r w:rsidRPr="001E7C49">
        <w:t xml:space="preserve">, E., Sulistiyani, E., &amp; </w:t>
      </w:r>
      <w:proofErr w:type="spellStart"/>
      <w:r w:rsidRPr="001E7C49">
        <w:t>Widyanti</w:t>
      </w:r>
      <w:proofErr w:type="spellEnd"/>
      <w:r w:rsidRPr="001E7C49">
        <w:t xml:space="preserve">, D. V. (2023). The Effect of Using E-Wallet </w:t>
      </w:r>
      <w:proofErr w:type="spellStart"/>
      <w:r w:rsidRPr="001E7C49">
        <w:t>Shopeepay</w:t>
      </w:r>
      <w:proofErr w:type="spellEnd"/>
      <w:r w:rsidRPr="001E7C49">
        <w:t xml:space="preserve"> and Cashback Promotion on Student Consumptive </w:t>
      </w:r>
      <w:proofErr w:type="spellStart"/>
      <w:r w:rsidRPr="001E7C49">
        <w:t>Behaviour</w:t>
      </w:r>
      <w:proofErr w:type="spellEnd"/>
      <w:r w:rsidRPr="001E7C49">
        <w:t xml:space="preserve">. </w:t>
      </w:r>
      <w:proofErr w:type="spellStart"/>
      <w:r w:rsidRPr="001E7C49">
        <w:t>Bangun</w:t>
      </w:r>
      <w:proofErr w:type="spellEnd"/>
      <w:r w:rsidRPr="001E7C49">
        <w:t xml:space="preserve"> </w:t>
      </w:r>
      <w:proofErr w:type="spellStart"/>
      <w:r w:rsidRPr="001E7C49">
        <w:t>Rekaprima</w:t>
      </w:r>
      <w:proofErr w:type="spellEnd"/>
      <w:r w:rsidRPr="001E7C49">
        <w:t xml:space="preserve">, 9 (1), 35. </w:t>
      </w:r>
      <w:hyperlink r:id="rId26" w:history="1">
        <w:r w:rsidRPr="001E7C49">
          <w:rPr>
            <w:rStyle w:val="Hyperlink"/>
          </w:rPr>
          <w:t>Https://Doi.Org/10.32497/Bangunrekaprima.V9i1.4425</w:t>
        </w:r>
      </w:hyperlink>
    </w:p>
    <w:p w14:paraId="26ACC684" w14:textId="77777777" w:rsidR="001E7C49" w:rsidRPr="001E7C49" w:rsidRDefault="001E7C49" w:rsidP="001E7C49">
      <w:pPr>
        <w:pStyle w:val="Body"/>
      </w:pPr>
      <w:r w:rsidRPr="001E7C49">
        <w:t xml:space="preserve">Rahmawati, Y. I., Hafid, R., Mahmud, M., </w:t>
      </w:r>
      <w:proofErr w:type="spellStart"/>
      <w:r w:rsidRPr="001E7C49">
        <w:t>Moonti</w:t>
      </w:r>
      <w:proofErr w:type="spellEnd"/>
      <w:r w:rsidRPr="001E7C49">
        <w:t xml:space="preserve">, U., &amp; </w:t>
      </w:r>
      <w:proofErr w:type="spellStart"/>
      <w:r w:rsidRPr="001E7C49">
        <w:t>Panigoro</w:t>
      </w:r>
      <w:proofErr w:type="spellEnd"/>
      <w:r w:rsidRPr="001E7C49">
        <w:t xml:space="preserve">, M. (2023). The Effect of Financial Literacy on Financial Management of Overseas Students. Journal Of Economic </w:t>
      </w:r>
      <w:proofErr w:type="gramStart"/>
      <w:r w:rsidRPr="001E7C49">
        <w:t>And</w:t>
      </w:r>
      <w:proofErr w:type="gramEnd"/>
      <w:r w:rsidRPr="001E7C49">
        <w:t xml:space="preserve"> Business Education, 1(3), 145-157. Https://Doi.Org/10.37479/Jebe.V1i3.21416</w:t>
      </w:r>
    </w:p>
    <w:p w14:paraId="4D487D49" w14:textId="77777777" w:rsidR="001E7C49" w:rsidRPr="001E7C49" w:rsidRDefault="001E7C49" w:rsidP="001E7C49">
      <w:pPr>
        <w:pStyle w:val="Body"/>
      </w:pPr>
      <w:r w:rsidRPr="001E7C49">
        <w:t xml:space="preserve">Ramadhan, D., Asri, H. R., </w:t>
      </w:r>
      <w:proofErr w:type="spellStart"/>
      <w:r w:rsidRPr="001E7C49">
        <w:t>Gisijanto</w:t>
      </w:r>
      <w:proofErr w:type="spellEnd"/>
      <w:r w:rsidRPr="001E7C49">
        <w:t xml:space="preserve">, H. A., </w:t>
      </w:r>
      <w:proofErr w:type="spellStart"/>
      <w:r w:rsidRPr="001E7C49">
        <w:t>Hartanti</w:t>
      </w:r>
      <w:proofErr w:type="spellEnd"/>
      <w:r w:rsidRPr="001E7C49">
        <w:t xml:space="preserve">, N. D., &amp; </w:t>
      </w:r>
      <w:proofErr w:type="spellStart"/>
      <w:r w:rsidRPr="001E7C49">
        <w:t>Setyarini</w:t>
      </w:r>
      <w:proofErr w:type="spellEnd"/>
      <w:r w:rsidRPr="001E7C49">
        <w:t xml:space="preserve">, E. (2023). The Effect of Perceived Ease, Perceived Benefits, Lifestyle and Digital Financial Literacy on Decisions to Use </w:t>
      </w:r>
      <w:proofErr w:type="spellStart"/>
      <w:r w:rsidRPr="001E7C49">
        <w:t>Qris</w:t>
      </w:r>
      <w:proofErr w:type="spellEnd"/>
      <w:r w:rsidRPr="001E7C49">
        <w:t xml:space="preserve"> in the Young Generation. Revenue: </w:t>
      </w:r>
      <w:proofErr w:type="spellStart"/>
      <w:r w:rsidRPr="001E7C49">
        <w:t>Lentera</w:t>
      </w:r>
      <w:proofErr w:type="spellEnd"/>
      <w:r w:rsidRPr="001E7C49">
        <w:t xml:space="preserve"> Business Management, 1(04), 162-170. Https://Doi.Org/10.59422/Lbm.V1i04.168</w:t>
      </w:r>
    </w:p>
    <w:p w14:paraId="70FB305C" w14:textId="77777777" w:rsidR="001E7C49" w:rsidRPr="001E7C49" w:rsidRDefault="001E7C49" w:rsidP="001E7C49">
      <w:pPr>
        <w:pStyle w:val="Body"/>
      </w:pPr>
      <w:r w:rsidRPr="001E7C49">
        <w:t xml:space="preserve">Ramadhan Nabil Pradana, &amp; Abdurrahman. (2023). The Effect of Benefits, Lifestyle and Trust on Decisions to Use the </w:t>
      </w:r>
      <w:proofErr w:type="spellStart"/>
      <w:r w:rsidRPr="001E7C49">
        <w:t>Livin</w:t>
      </w:r>
      <w:proofErr w:type="spellEnd"/>
      <w:r w:rsidRPr="001E7C49">
        <w:t xml:space="preserve"> </w:t>
      </w:r>
      <w:proofErr w:type="gramStart"/>
      <w:r w:rsidRPr="001E7C49">
        <w:t>By</w:t>
      </w:r>
      <w:proofErr w:type="gramEnd"/>
      <w:r w:rsidRPr="001E7C49">
        <w:t xml:space="preserve"> </w:t>
      </w:r>
      <w:proofErr w:type="spellStart"/>
      <w:r w:rsidRPr="001E7C49">
        <w:t>Mandiri</w:t>
      </w:r>
      <w:proofErr w:type="spellEnd"/>
      <w:r w:rsidRPr="001E7C49">
        <w:t xml:space="preserve"> Application. Journal of Management and Creative Economy, 1(2), 46-60. Https://Doi.Org/10.59024/Jumek.V1i2.73</w:t>
      </w:r>
    </w:p>
    <w:p w14:paraId="6F7B2744" w14:textId="77777777" w:rsidR="001E7C49" w:rsidRPr="001E7C49" w:rsidRDefault="001E7C49" w:rsidP="001E7C49">
      <w:pPr>
        <w:pStyle w:val="Body"/>
      </w:pPr>
      <w:r w:rsidRPr="001E7C49">
        <w:t xml:space="preserve">Reysa, R., Zen, A., &amp; </w:t>
      </w:r>
      <w:proofErr w:type="spellStart"/>
      <w:r w:rsidRPr="001E7C49">
        <w:t>Widjanarko</w:t>
      </w:r>
      <w:proofErr w:type="spellEnd"/>
      <w:r w:rsidRPr="001E7C49">
        <w:t xml:space="preserve">, W. (2023). The Effect of Financial Literacy, Financial Efficacy and Income on Investment Decisions of Traders in Pasar Baru Bekasi City. </w:t>
      </w:r>
      <w:proofErr w:type="spellStart"/>
      <w:r w:rsidRPr="001E7C49">
        <w:t>Economina</w:t>
      </w:r>
      <w:proofErr w:type="spellEnd"/>
      <w:r w:rsidRPr="001E7C49">
        <w:t xml:space="preserve"> Journal, 2(10), 2909-2919. </w:t>
      </w:r>
      <w:hyperlink r:id="rId27" w:history="1">
        <w:r w:rsidRPr="001E7C49">
          <w:rPr>
            <w:rStyle w:val="Hyperlink"/>
          </w:rPr>
          <w:t>Https://Doi.Org/10.55681/Economina.V2i10.924</w:t>
        </w:r>
      </w:hyperlink>
    </w:p>
    <w:p w14:paraId="629E40A1" w14:textId="77777777" w:rsidR="001E7C49" w:rsidRPr="001E7C49" w:rsidRDefault="001E7C49" w:rsidP="001E7C49">
      <w:pPr>
        <w:pStyle w:val="Body"/>
      </w:pPr>
      <w:proofErr w:type="spellStart"/>
      <w:r w:rsidRPr="001E7C49">
        <w:t>Safryani</w:t>
      </w:r>
      <w:proofErr w:type="spellEnd"/>
      <w:r w:rsidRPr="001E7C49">
        <w:t xml:space="preserve">, U., Aziz, A., &amp; </w:t>
      </w:r>
      <w:proofErr w:type="spellStart"/>
      <w:r w:rsidRPr="001E7C49">
        <w:t>Triwahyuningtyas</w:t>
      </w:r>
      <w:proofErr w:type="spellEnd"/>
      <w:r w:rsidRPr="001E7C49">
        <w:t xml:space="preserve">, N. (2020). </w:t>
      </w:r>
      <w:proofErr w:type="spellStart"/>
      <w:r w:rsidRPr="001E7C49">
        <w:t>Analisis</w:t>
      </w:r>
      <w:proofErr w:type="spellEnd"/>
      <w:r w:rsidRPr="001E7C49">
        <w:t xml:space="preserve"> </w:t>
      </w:r>
      <w:proofErr w:type="spellStart"/>
      <w:r w:rsidRPr="001E7C49">
        <w:t>Literasi</w:t>
      </w:r>
      <w:proofErr w:type="spellEnd"/>
      <w:r w:rsidRPr="001E7C49">
        <w:t xml:space="preserve"> </w:t>
      </w:r>
      <w:proofErr w:type="spellStart"/>
      <w:r w:rsidRPr="001E7C49">
        <w:t>Keuangan</w:t>
      </w:r>
      <w:proofErr w:type="spellEnd"/>
      <w:r w:rsidRPr="001E7C49">
        <w:t xml:space="preserve">, </w:t>
      </w:r>
      <w:proofErr w:type="spellStart"/>
      <w:r w:rsidRPr="001E7C49">
        <w:t>Perilaku</w:t>
      </w:r>
      <w:proofErr w:type="spellEnd"/>
      <w:r w:rsidRPr="001E7C49">
        <w:t xml:space="preserve"> </w:t>
      </w:r>
      <w:proofErr w:type="spellStart"/>
      <w:r w:rsidRPr="001E7C49">
        <w:t>Keuangan</w:t>
      </w:r>
      <w:proofErr w:type="spellEnd"/>
      <w:r w:rsidRPr="001E7C49">
        <w:t xml:space="preserve">, Dan </w:t>
      </w:r>
      <w:proofErr w:type="spellStart"/>
      <w:r w:rsidRPr="001E7C49">
        <w:t>Pendapatan</w:t>
      </w:r>
      <w:proofErr w:type="spellEnd"/>
      <w:r w:rsidRPr="001E7C49">
        <w:t xml:space="preserve"> </w:t>
      </w:r>
      <w:proofErr w:type="spellStart"/>
      <w:r w:rsidRPr="001E7C49">
        <w:t>Terhadap</w:t>
      </w:r>
      <w:proofErr w:type="spellEnd"/>
      <w:r w:rsidRPr="001E7C49">
        <w:t xml:space="preserve"> Keputusan </w:t>
      </w:r>
      <w:proofErr w:type="spellStart"/>
      <w:r w:rsidRPr="001E7C49">
        <w:t>Investasi</w:t>
      </w:r>
      <w:proofErr w:type="spellEnd"/>
      <w:r w:rsidRPr="001E7C49">
        <w:t xml:space="preserve">. </w:t>
      </w:r>
      <w:proofErr w:type="spellStart"/>
      <w:r w:rsidRPr="001E7C49">
        <w:t>Jurnal</w:t>
      </w:r>
      <w:proofErr w:type="spellEnd"/>
      <w:r w:rsidRPr="001E7C49">
        <w:t xml:space="preserve"> </w:t>
      </w:r>
      <w:proofErr w:type="spellStart"/>
      <w:r w:rsidRPr="001E7C49">
        <w:t>Ilmiah</w:t>
      </w:r>
      <w:proofErr w:type="spellEnd"/>
      <w:r w:rsidRPr="001E7C49">
        <w:t xml:space="preserve"> </w:t>
      </w:r>
      <w:proofErr w:type="spellStart"/>
      <w:r w:rsidRPr="001E7C49">
        <w:t>Akuntansi</w:t>
      </w:r>
      <w:proofErr w:type="spellEnd"/>
      <w:r w:rsidRPr="001E7C49">
        <w:t xml:space="preserve"> </w:t>
      </w:r>
      <w:proofErr w:type="spellStart"/>
      <w:r w:rsidRPr="001E7C49">
        <w:t>Kesatuan</w:t>
      </w:r>
      <w:proofErr w:type="spellEnd"/>
      <w:r w:rsidRPr="001E7C49">
        <w:t>, 8(3), 319–332. Https://Doi.Org/10.37641/Jiakes.V8i3.384</w:t>
      </w:r>
    </w:p>
    <w:p w14:paraId="6C22541A" w14:textId="77777777" w:rsidR="001E7C49" w:rsidRDefault="001E7C49" w:rsidP="001E7C49">
      <w:pPr>
        <w:pStyle w:val="Body"/>
      </w:pPr>
      <w:r w:rsidRPr="001E7C49">
        <w:t xml:space="preserve">Soraya, E., &amp; </w:t>
      </w:r>
      <w:proofErr w:type="spellStart"/>
      <w:r w:rsidRPr="001E7C49">
        <w:t>Lutfiati</w:t>
      </w:r>
      <w:proofErr w:type="spellEnd"/>
      <w:r w:rsidRPr="001E7C49">
        <w:t xml:space="preserve">, A. (2020). </w:t>
      </w:r>
      <w:proofErr w:type="spellStart"/>
      <w:r w:rsidRPr="001E7C49">
        <w:t>Analisis</w:t>
      </w:r>
      <w:proofErr w:type="spellEnd"/>
      <w:r w:rsidRPr="001E7C49">
        <w:t xml:space="preserve"> Faktor-Faktor Yang </w:t>
      </w:r>
      <w:proofErr w:type="spellStart"/>
      <w:r w:rsidRPr="001E7C49">
        <w:t>Mempengaruhi</w:t>
      </w:r>
      <w:proofErr w:type="spellEnd"/>
      <w:r w:rsidRPr="001E7C49">
        <w:t xml:space="preserve"> </w:t>
      </w:r>
      <w:proofErr w:type="spellStart"/>
      <w:r w:rsidRPr="001E7C49">
        <w:t>Literasi</w:t>
      </w:r>
      <w:proofErr w:type="spellEnd"/>
      <w:r w:rsidRPr="001E7C49">
        <w:t xml:space="preserve"> </w:t>
      </w:r>
      <w:proofErr w:type="spellStart"/>
      <w:r w:rsidRPr="001E7C49">
        <w:t>Keuangan</w:t>
      </w:r>
      <w:proofErr w:type="spellEnd"/>
      <w:r w:rsidRPr="001E7C49">
        <w:t xml:space="preserve">. Kinerja, 2(02), 111–134. </w:t>
      </w:r>
      <w:hyperlink r:id="rId28" w:history="1">
        <w:r w:rsidR="00BB66DF" w:rsidRPr="005060B3">
          <w:rPr>
            <w:rStyle w:val="Hyperlink"/>
          </w:rPr>
          <w:t>Https://Doi.Org/10.34005/Kinerja.V3i01.966</w:t>
        </w:r>
      </w:hyperlink>
    </w:p>
    <w:p w14:paraId="7C014DB2" w14:textId="77777777" w:rsidR="001E7C49" w:rsidRPr="001E7C49" w:rsidRDefault="001E7C49" w:rsidP="001E7C49">
      <w:pPr>
        <w:pStyle w:val="Body"/>
      </w:pPr>
      <w:r w:rsidRPr="001E7C49">
        <w:t xml:space="preserve">Sugiono. (2019a). Book. Metode </w:t>
      </w:r>
      <w:proofErr w:type="spellStart"/>
      <w:r w:rsidRPr="001E7C49">
        <w:t>Penelitian</w:t>
      </w:r>
      <w:proofErr w:type="spellEnd"/>
      <w:r w:rsidRPr="001E7C49">
        <w:t xml:space="preserve"> </w:t>
      </w:r>
      <w:proofErr w:type="spellStart"/>
      <w:r w:rsidRPr="001E7C49">
        <w:t>Kuantitatif</w:t>
      </w:r>
      <w:proofErr w:type="spellEnd"/>
      <w:r w:rsidRPr="001E7C49">
        <w:t>.</w:t>
      </w:r>
    </w:p>
    <w:p w14:paraId="590EA75D" w14:textId="77777777" w:rsidR="001E7C49" w:rsidRPr="001E7C49" w:rsidRDefault="001E7C49" w:rsidP="001E7C49">
      <w:pPr>
        <w:pStyle w:val="Body"/>
      </w:pPr>
      <w:r w:rsidRPr="001E7C49">
        <w:t xml:space="preserve">Sugiono. (2019b). </w:t>
      </w:r>
      <w:proofErr w:type="spellStart"/>
      <w:r w:rsidRPr="001E7C49">
        <w:t>Metodologi</w:t>
      </w:r>
      <w:proofErr w:type="spellEnd"/>
      <w:r w:rsidRPr="001E7C49">
        <w:t xml:space="preserve"> </w:t>
      </w:r>
      <w:proofErr w:type="spellStart"/>
      <w:r w:rsidRPr="001E7C49">
        <w:t>Penelitian</w:t>
      </w:r>
      <w:proofErr w:type="spellEnd"/>
      <w:r w:rsidRPr="001E7C49">
        <w:t xml:space="preserve"> </w:t>
      </w:r>
      <w:proofErr w:type="spellStart"/>
      <w:r w:rsidRPr="001E7C49">
        <w:t>Kualitatif</w:t>
      </w:r>
      <w:proofErr w:type="spellEnd"/>
      <w:r w:rsidRPr="001E7C49">
        <w:t xml:space="preserve">: </w:t>
      </w:r>
      <w:proofErr w:type="spellStart"/>
      <w:r w:rsidRPr="001E7C49">
        <w:t>Paradigma</w:t>
      </w:r>
      <w:proofErr w:type="spellEnd"/>
      <w:r w:rsidRPr="001E7C49">
        <w:t xml:space="preserve">, Metode, Dan </w:t>
      </w:r>
      <w:proofErr w:type="spellStart"/>
      <w:r w:rsidRPr="001E7C49">
        <w:t>Aplikasi</w:t>
      </w:r>
      <w:proofErr w:type="spellEnd"/>
      <w:r w:rsidRPr="001E7C49">
        <w:t xml:space="preserve">. </w:t>
      </w:r>
      <w:proofErr w:type="spellStart"/>
      <w:r w:rsidRPr="001E7C49">
        <w:t>Diupublisher</w:t>
      </w:r>
      <w:proofErr w:type="spellEnd"/>
      <w:r w:rsidRPr="001E7C49">
        <w:t>.</w:t>
      </w:r>
    </w:p>
    <w:p w14:paraId="223784D0" w14:textId="77777777" w:rsidR="001E7C49" w:rsidRPr="001E7C49" w:rsidRDefault="001E7C49" w:rsidP="001E7C49">
      <w:pPr>
        <w:pStyle w:val="Body"/>
      </w:pPr>
      <w:proofErr w:type="spellStart"/>
      <w:r w:rsidRPr="001E7C49">
        <w:t>Susetyo</w:t>
      </w:r>
      <w:proofErr w:type="spellEnd"/>
      <w:r w:rsidRPr="001E7C49">
        <w:t xml:space="preserve">, D. P., &amp; Firmansyah, D. (2023). </w:t>
      </w:r>
      <w:proofErr w:type="spellStart"/>
      <w:r w:rsidRPr="001E7C49">
        <w:t>Literasi</w:t>
      </w:r>
      <w:proofErr w:type="spellEnd"/>
      <w:r w:rsidRPr="001E7C49">
        <w:t xml:space="preserve"> Ekonomi, </w:t>
      </w:r>
      <w:proofErr w:type="spellStart"/>
      <w:r w:rsidRPr="001E7C49">
        <w:t>Literasi</w:t>
      </w:r>
      <w:proofErr w:type="spellEnd"/>
      <w:r w:rsidRPr="001E7C49">
        <w:t xml:space="preserve"> </w:t>
      </w:r>
      <w:proofErr w:type="spellStart"/>
      <w:r w:rsidRPr="001E7C49">
        <w:t>Keuangan</w:t>
      </w:r>
      <w:proofErr w:type="spellEnd"/>
      <w:r w:rsidRPr="001E7C49">
        <w:t xml:space="preserve">, </w:t>
      </w:r>
      <w:proofErr w:type="spellStart"/>
      <w:r w:rsidRPr="001E7C49">
        <w:t>Literasi</w:t>
      </w:r>
      <w:proofErr w:type="spellEnd"/>
      <w:r w:rsidRPr="001E7C49">
        <w:t xml:space="preserve"> Digital Dan </w:t>
      </w:r>
      <w:proofErr w:type="spellStart"/>
      <w:r w:rsidRPr="001E7C49">
        <w:t>Perilaku</w:t>
      </w:r>
      <w:proofErr w:type="spellEnd"/>
      <w:r w:rsidRPr="001E7C49">
        <w:t xml:space="preserve"> </w:t>
      </w:r>
      <w:proofErr w:type="spellStart"/>
      <w:r w:rsidRPr="001E7C49">
        <w:t>Keuangan</w:t>
      </w:r>
      <w:proofErr w:type="spellEnd"/>
      <w:r w:rsidRPr="001E7C49">
        <w:t xml:space="preserve"> Di Era Ekonomi Digital. Economics And Digital Business Review, 4(1), 261–279.</w:t>
      </w:r>
    </w:p>
    <w:p w14:paraId="46EED3DD" w14:textId="77777777" w:rsidR="001E7C49" w:rsidRPr="001E7C49" w:rsidRDefault="001E7C49" w:rsidP="001E7C49">
      <w:pPr>
        <w:pStyle w:val="Body"/>
      </w:pPr>
      <w:r w:rsidRPr="001E7C49">
        <w:t xml:space="preserve">Tasya </w:t>
      </w:r>
      <w:proofErr w:type="spellStart"/>
      <w:r w:rsidRPr="001E7C49">
        <w:t>Alifia</w:t>
      </w:r>
      <w:proofErr w:type="spellEnd"/>
      <w:r w:rsidRPr="001E7C49">
        <w:t xml:space="preserve"> </w:t>
      </w:r>
      <w:proofErr w:type="spellStart"/>
      <w:r w:rsidRPr="001E7C49">
        <w:t>Izzani</w:t>
      </w:r>
      <w:proofErr w:type="spellEnd"/>
      <w:r w:rsidRPr="001E7C49">
        <w:t xml:space="preserve">, Selva </w:t>
      </w:r>
      <w:proofErr w:type="spellStart"/>
      <w:r w:rsidRPr="001E7C49">
        <w:t>Octaria</w:t>
      </w:r>
      <w:proofErr w:type="spellEnd"/>
      <w:r w:rsidRPr="001E7C49">
        <w:t xml:space="preserve">, &amp; Linda </w:t>
      </w:r>
      <w:proofErr w:type="spellStart"/>
      <w:r w:rsidRPr="001E7C49">
        <w:t>Linda</w:t>
      </w:r>
      <w:proofErr w:type="spellEnd"/>
      <w:r w:rsidRPr="001E7C49">
        <w:t xml:space="preserve">. (2024). </w:t>
      </w:r>
      <w:proofErr w:type="spellStart"/>
      <w:r w:rsidRPr="001E7C49">
        <w:t>Perkembangan</w:t>
      </w:r>
      <w:proofErr w:type="spellEnd"/>
      <w:r w:rsidRPr="001E7C49">
        <w:t xml:space="preserve"> Masa </w:t>
      </w:r>
      <w:proofErr w:type="spellStart"/>
      <w:r w:rsidRPr="001E7C49">
        <w:t>Remaja</w:t>
      </w:r>
      <w:proofErr w:type="spellEnd"/>
      <w:r w:rsidRPr="001E7C49">
        <w:t xml:space="preserve">. </w:t>
      </w:r>
      <w:proofErr w:type="spellStart"/>
      <w:r w:rsidRPr="001E7C49">
        <w:t>Jispendiora</w:t>
      </w:r>
      <w:proofErr w:type="spellEnd"/>
      <w:r w:rsidRPr="001E7C49">
        <w:t xml:space="preserve"> </w:t>
      </w:r>
      <w:proofErr w:type="spellStart"/>
      <w:r w:rsidRPr="001E7C49">
        <w:t>Jurnal</w:t>
      </w:r>
      <w:proofErr w:type="spellEnd"/>
      <w:r w:rsidRPr="001E7C49">
        <w:t xml:space="preserve"> </w:t>
      </w:r>
      <w:proofErr w:type="spellStart"/>
      <w:r w:rsidRPr="001E7C49">
        <w:t>Ilmu</w:t>
      </w:r>
      <w:proofErr w:type="spellEnd"/>
      <w:r w:rsidRPr="001E7C49">
        <w:t xml:space="preserve"> </w:t>
      </w:r>
      <w:proofErr w:type="spellStart"/>
      <w:r w:rsidRPr="001E7C49">
        <w:t>Sosial</w:t>
      </w:r>
      <w:proofErr w:type="spellEnd"/>
      <w:r w:rsidRPr="001E7C49">
        <w:t xml:space="preserve"> Pendidikan Dan </w:t>
      </w:r>
      <w:proofErr w:type="spellStart"/>
      <w:r w:rsidRPr="001E7C49">
        <w:t>Humaniora</w:t>
      </w:r>
      <w:proofErr w:type="spellEnd"/>
      <w:r w:rsidRPr="001E7C49">
        <w:t>, 3(2), 259–273. Https://Doi.Org/10.56910/Jispendiora.V3i2.1578</w:t>
      </w:r>
    </w:p>
    <w:p w14:paraId="534296E2" w14:textId="77777777" w:rsidR="001E7C49" w:rsidRDefault="001E7C49" w:rsidP="001E7C49">
      <w:pPr>
        <w:pStyle w:val="Body"/>
      </w:pPr>
      <w:r w:rsidRPr="001E7C49">
        <w:t xml:space="preserve">Utami, M. R., </w:t>
      </w:r>
      <w:proofErr w:type="spellStart"/>
      <w:r w:rsidRPr="001E7C49">
        <w:t>Meriyati</w:t>
      </w:r>
      <w:proofErr w:type="spellEnd"/>
      <w:r w:rsidRPr="001E7C49">
        <w:t xml:space="preserve">, M., &amp; </w:t>
      </w:r>
      <w:proofErr w:type="spellStart"/>
      <w:r w:rsidRPr="001E7C49">
        <w:t>Aravik</w:t>
      </w:r>
      <w:proofErr w:type="spellEnd"/>
      <w:r w:rsidRPr="001E7C49">
        <w:t xml:space="preserve">, H. (2023). </w:t>
      </w:r>
      <w:proofErr w:type="spellStart"/>
      <w:r w:rsidRPr="001E7C49">
        <w:t>Pengaruh</w:t>
      </w:r>
      <w:proofErr w:type="spellEnd"/>
      <w:r w:rsidRPr="001E7C49">
        <w:t xml:space="preserve"> </w:t>
      </w:r>
      <w:proofErr w:type="spellStart"/>
      <w:r w:rsidRPr="001E7C49">
        <w:t>Penggunaan</w:t>
      </w:r>
      <w:proofErr w:type="spellEnd"/>
      <w:r w:rsidRPr="001E7C49">
        <w:t xml:space="preserve"> </w:t>
      </w:r>
      <w:proofErr w:type="spellStart"/>
      <w:r w:rsidRPr="001E7C49">
        <w:t>Sistem</w:t>
      </w:r>
      <w:proofErr w:type="spellEnd"/>
      <w:r w:rsidRPr="001E7C49">
        <w:t xml:space="preserve"> </w:t>
      </w:r>
      <w:proofErr w:type="spellStart"/>
      <w:r w:rsidRPr="001E7C49">
        <w:t>Pembayaran</w:t>
      </w:r>
      <w:proofErr w:type="spellEnd"/>
      <w:r w:rsidRPr="001E7C49">
        <w:t xml:space="preserve"> Shopee </w:t>
      </w:r>
      <w:proofErr w:type="spellStart"/>
      <w:r w:rsidRPr="001E7C49">
        <w:t>Paylater</w:t>
      </w:r>
      <w:proofErr w:type="spellEnd"/>
      <w:r w:rsidRPr="001E7C49">
        <w:t xml:space="preserve"> </w:t>
      </w:r>
      <w:proofErr w:type="spellStart"/>
      <w:r w:rsidRPr="001E7C49">
        <w:t>Terhadap</w:t>
      </w:r>
      <w:proofErr w:type="spellEnd"/>
      <w:r w:rsidRPr="001E7C49">
        <w:t xml:space="preserve"> </w:t>
      </w:r>
      <w:proofErr w:type="spellStart"/>
      <w:r w:rsidRPr="001E7C49">
        <w:t>Perilaku</w:t>
      </w:r>
      <w:proofErr w:type="spellEnd"/>
      <w:r w:rsidRPr="001E7C49">
        <w:t xml:space="preserve"> </w:t>
      </w:r>
      <w:proofErr w:type="spellStart"/>
      <w:r w:rsidRPr="001E7C49">
        <w:t>Konsumtif</w:t>
      </w:r>
      <w:proofErr w:type="spellEnd"/>
      <w:r w:rsidRPr="001E7C49">
        <w:t xml:space="preserve"> Masyarakat </w:t>
      </w:r>
      <w:proofErr w:type="spellStart"/>
      <w:r w:rsidRPr="001E7C49">
        <w:t>Kecamatan</w:t>
      </w:r>
      <w:proofErr w:type="spellEnd"/>
      <w:r w:rsidRPr="001E7C49">
        <w:t xml:space="preserve"> Ilir Barat </w:t>
      </w:r>
      <w:proofErr w:type="spellStart"/>
      <w:r w:rsidRPr="001E7C49">
        <w:t>Ii</w:t>
      </w:r>
      <w:proofErr w:type="spellEnd"/>
      <w:r w:rsidRPr="001E7C49">
        <w:t xml:space="preserve"> Kota Palembang Serta </w:t>
      </w:r>
      <w:proofErr w:type="spellStart"/>
      <w:r w:rsidRPr="001E7C49">
        <w:t>Pandangan</w:t>
      </w:r>
      <w:proofErr w:type="spellEnd"/>
      <w:r w:rsidRPr="001E7C49">
        <w:t xml:space="preserve"> </w:t>
      </w:r>
      <w:proofErr w:type="spellStart"/>
      <w:r w:rsidRPr="001E7C49">
        <w:t>Perspektif</w:t>
      </w:r>
      <w:proofErr w:type="spellEnd"/>
      <w:r w:rsidRPr="001E7C49">
        <w:t xml:space="preserve"> Ekonomi Islam </w:t>
      </w:r>
      <w:proofErr w:type="spellStart"/>
      <w:r w:rsidRPr="001E7C49">
        <w:t>Terhadapnya</w:t>
      </w:r>
      <w:proofErr w:type="spellEnd"/>
      <w:r w:rsidRPr="001E7C49">
        <w:t xml:space="preserve">. </w:t>
      </w:r>
      <w:proofErr w:type="spellStart"/>
      <w:r w:rsidRPr="001E7C49">
        <w:t>Jurnal</w:t>
      </w:r>
      <w:proofErr w:type="spellEnd"/>
      <w:r w:rsidRPr="001E7C49">
        <w:t xml:space="preserve"> </w:t>
      </w:r>
      <w:proofErr w:type="spellStart"/>
      <w:r w:rsidRPr="001E7C49">
        <w:t>Ilmiah</w:t>
      </w:r>
      <w:proofErr w:type="spellEnd"/>
      <w:r w:rsidRPr="001E7C49">
        <w:t xml:space="preserve"> </w:t>
      </w:r>
      <w:proofErr w:type="spellStart"/>
      <w:r w:rsidRPr="001E7C49">
        <w:t>Mahasiswa</w:t>
      </w:r>
      <w:proofErr w:type="spellEnd"/>
      <w:r w:rsidRPr="001E7C49">
        <w:t xml:space="preserve"> </w:t>
      </w:r>
      <w:proofErr w:type="spellStart"/>
      <w:r w:rsidRPr="001E7C49">
        <w:t>Perbankan</w:t>
      </w:r>
      <w:proofErr w:type="spellEnd"/>
      <w:r w:rsidRPr="001E7C49">
        <w:t xml:space="preserve"> Syariah (</w:t>
      </w:r>
      <w:proofErr w:type="spellStart"/>
      <w:r w:rsidRPr="001E7C49">
        <w:t>Jimpa</w:t>
      </w:r>
      <w:proofErr w:type="spellEnd"/>
      <w:r w:rsidRPr="001E7C49">
        <w:t xml:space="preserve">), 3(2), 269–282. </w:t>
      </w:r>
      <w:hyperlink r:id="rId29" w:history="1">
        <w:r w:rsidR="00BB66DF" w:rsidRPr="005060B3">
          <w:rPr>
            <w:rStyle w:val="Hyperlink"/>
          </w:rPr>
          <w:t>Https://Doi.Org/10.36908/Jimpa.V3i2.235</w:t>
        </w:r>
      </w:hyperlink>
    </w:p>
    <w:p w14:paraId="3CA32E86" w14:textId="77777777" w:rsidR="00441B6F" w:rsidRDefault="00441B6F" w:rsidP="00441B6F">
      <w:pPr>
        <w:pStyle w:val="Body"/>
        <w:spacing w:after="0"/>
        <w:jc w:val="left"/>
      </w:pPr>
    </w:p>
    <w:p w14:paraId="5B3C9D06" w14:textId="77777777" w:rsidR="00441B6F" w:rsidRDefault="00441B6F" w:rsidP="00441B6F">
      <w:pPr>
        <w:pStyle w:val="Body"/>
        <w:spacing w:after="0"/>
        <w:jc w:val="left"/>
        <w:rPr>
          <w:rFonts w:ascii="Arial" w:hAnsi="Arial" w:cs="Arial"/>
        </w:rPr>
      </w:pPr>
    </w:p>
    <w:p w14:paraId="2CC5E47C" w14:textId="77777777" w:rsidR="00790ADA" w:rsidRPr="00FB3A86" w:rsidRDefault="00790ADA" w:rsidP="00441B6F">
      <w:pPr>
        <w:pStyle w:val="Body"/>
        <w:spacing w:after="0"/>
        <w:rPr>
          <w:rFonts w:ascii="Arial" w:hAnsi="Arial" w:cs="Arial"/>
        </w:rPr>
      </w:pPr>
    </w:p>
    <w:p w14:paraId="7AB64640" w14:textId="77777777" w:rsidR="00B01FCD" w:rsidRPr="00FB3A86" w:rsidRDefault="00B01FCD" w:rsidP="00441B6F">
      <w:pPr>
        <w:pStyle w:val="Appendix"/>
        <w:spacing w:after="0"/>
        <w:jc w:val="both"/>
        <w:rPr>
          <w:rFonts w:ascii="Arial" w:hAnsi="Arial" w:cs="Arial"/>
          <w:b w:val="0"/>
        </w:rPr>
      </w:pPr>
    </w:p>
    <w:sectPr w:rsidR="00B01FCD" w:rsidRPr="00FB3A86" w:rsidSect="00724844">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E5083" w14:textId="77777777" w:rsidR="00B9542F" w:rsidRDefault="00B9542F" w:rsidP="00C37E61">
      <w:r>
        <w:separator/>
      </w:r>
    </w:p>
  </w:endnote>
  <w:endnote w:type="continuationSeparator" w:id="0">
    <w:p w14:paraId="42D22904" w14:textId="77777777" w:rsidR="00B9542F" w:rsidRDefault="00B954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0A3B" w14:textId="77777777" w:rsidR="00724844" w:rsidRDefault="00724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FED7" w14:textId="77777777" w:rsidR="00724844" w:rsidRDefault="00724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A96A" w14:textId="4A85088F" w:rsidR="00754C9A" w:rsidRPr="005135B7" w:rsidRDefault="00754C9A" w:rsidP="005135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65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6A56A" w14:textId="77777777" w:rsidR="00B9542F" w:rsidRDefault="00B9542F" w:rsidP="00C37E61">
      <w:r>
        <w:separator/>
      </w:r>
    </w:p>
  </w:footnote>
  <w:footnote w:type="continuationSeparator" w:id="0">
    <w:p w14:paraId="6010E61A" w14:textId="77777777" w:rsidR="00B9542F" w:rsidRDefault="00B954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6711" w14:textId="21A4CA91" w:rsidR="00724844" w:rsidRDefault="00724844">
    <w:pPr>
      <w:pStyle w:val="Header"/>
    </w:pPr>
    <w:r>
      <w:rPr>
        <w:noProof/>
      </w:rPr>
      <w:pict w14:anchorId="42AA7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0936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C92D" w14:textId="306C173B" w:rsidR="00724844" w:rsidRDefault="00724844">
    <w:pPr>
      <w:pStyle w:val="Header"/>
    </w:pPr>
    <w:r>
      <w:rPr>
        <w:noProof/>
      </w:rPr>
      <w:pict w14:anchorId="2DABB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0936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4827" w14:textId="264C2B91" w:rsidR="00296529" w:rsidRPr="00296529" w:rsidRDefault="00724844" w:rsidP="00296529">
    <w:pPr>
      <w:ind w:left="2160"/>
      <w:jc w:val="center"/>
      <w:rPr>
        <w:rFonts w:ascii="Times New Roman" w:eastAsia="Calibri" w:hAnsi="Times New Roman"/>
        <w:i/>
        <w:sz w:val="18"/>
        <w:szCs w:val="22"/>
      </w:rPr>
    </w:pPr>
    <w:r>
      <w:rPr>
        <w:noProof/>
      </w:rPr>
      <w:pict w14:anchorId="11132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0936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34CE0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D0651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C303F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7AED3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EA7D4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D56FD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8DD0" w14:textId="7D6C1354" w:rsidR="00724844" w:rsidRDefault="00724844">
    <w:pPr>
      <w:pStyle w:val="Header"/>
    </w:pPr>
    <w:r>
      <w:rPr>
        <w:noProof/>
      </w:rPr>
      <w:pict w14:anchorId="0A0F0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0936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3FA0" w14:textId="11CFDC72" w:rsidR="00724844" w:rsidRDefault="00724844">
    <w:pPr>
      <w:pStyle w:val="Header"/>
    </w:pPr>
    <w:r>
      <w:rPr>
        <w:noProof/>
      </w:rPr>
      <w:pict w14:anchorId="1F762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0936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DDCD" w14:textId="16A27B25" w:rsidR="00724844" w:rsidRDefault="00724844">
    <w:pPr>
      <w:pStyle w:val="Header"/>
    </w:pPr>
    <w:r>
      <w:rPr>
        <w:noProof/>
      </w:rPr>
      <w:pict w14:anchorId="2712C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0936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737975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3809400">
    <w:abstractNumId w:val="15"/>
  </w:num>
  <w:num w:numId="3" w16cid:durableId="287246412">
    <w:abstractNumId w:val="23"/>
  </w:num>
  <w:num w:numId="4" w16cid:durableId="55820238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02053291">
    <w:abstractNumId w:val="7"/>
  </w:num>
  <w:num w:numId="6" w16cid:durableId="1095712977">
    <w:abstractNumId w:val="6"/>
  </w:num>
  <w:num w:numId="7" w16cid:durableId="33164229">
    <w:abstractNumId w:val="1"/>
  </w:num>
  <w:num w:numId="8" w16cid:durableId="818770627">
    <w:abstractNumId w:val="12"/>
  </w:num>
  <w:num w:numId="9" w16cid:durableId="1095857247">
    <w:abstractNumId w:val="25"/>
  </w:num>
  <w:num w:numId="10" w16cid:durableId="2002346200">
    <w:abstractNumId w:val="2"/>
  </w:num>
  <w:num w:numId="11" w16cid:durableId="2027825826">
    <w:abstractNumId w:val="18"/>
  </w:num>
  <w:num w:numId="12" w16cid:durableId="1597404159">
    <w:abstractNumId w:val="3"/>
  </w:num>
  <w:num w:numId="13" w16cid:durableId="408309019">
    <w:abstractNumId w:val="17"/>
  </w:num>
  <w:num w:numId="14" w16cid:durableId="1645619844">
    <w:abstractNumId w:val="8"/>
  </w:num>
  <w:num w:numId="15" w16cid:durableId="1618753865">
    <w:abstractNumId w:val="21"/>
  </w:num>
  <w:num w:numId="16" w16cid:durableId="1002929334">
    <w:abstractNumId w:val="5"/>
  </w:num>
  <w:num w:numId="17" w16cid:durableId="1708486344">
    <w:abstractNumId w:val="22"/>
  </w:num>
  <w:num w:numId="18" w16cid:durableId="2145927566">
    <w:abstractNumId w:val="14"/>
  </w:num>
  <w:num w:numId="19" w16cid:durableId="176580469">
    <w:abstractNumId w:val="28"/>
  </w:num>
  <w:num w:numId="20" w16cid:durableId="1421874456">
    <w:abstractNumId w:val="11"/>
  </w:num>
  <w:num w:numId="21" w16cid:durableId="1457868174">
    <w:abstractNumId w:val="9"/>
  </w:num>
  <w:num w:numId="22" w16cid:durableId="1884637213">
    <w:abstractNumId w:val="13"/>
  </w:num>
  <w:num w:numId="23" w16cid:durableId="1099251876">
    <w:abstractNumId w:val="19"/>
  </w:num>
  <w:num w:numId="24" w16cid:durableId="1569726256">
    <w:abstractNumId w:val="26"/>
  </w:num>
  <w:num w:numId="25" w16cid:durableId="1235579750">
    <w:abstractNumId w:val="4"/>
  </w:num>
  <w:num w:numId="26" w16cid:durableId="880628264">
    <w:abstractNumId w:val="16"/>
  </w:num>
  <w:num w:numId="27" w16cid:durableId="1854416614">
    <w:abstractNumId w:val="20"/>
  </w:num>
  <w:num w:numId="28" w16cid:durableId="1402170356">
    <w:abstractNumId w:val="27"/>
  </w:num>
  <w:num w:numId="29" w16cid:durableId="1991591296">
    <w:abstractNumId w:val="24"/>
  </w:num>
  <w:num w:numId="30" w16cid:durableId="15039310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0D50"/>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7C49"/>
    <w:rsid w:val="00200595"/>
    <w:rsid w:val="00204835"/>
    <w:rsid w:val="00230618"/>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21F6"/>
    <w:rsid w:val="00471A80"/>
    <w:rsid w:val="004D305E"/>
    <w:rsid w:val="004D4277"/>
    <w:rsid w:val="00502516"/>
    <w:rsid w:val="00505F06"/>
    <w:rsid w:val="00506828"/>
    <w:rsid w:val="005135B7"/>
    <w:rsid w:val="00520D89"/>
    <w:rsid w:val="0053056E"/>
    <w:rsid w:val="00554FDA"/>
    <w:rsid w:val="005C784C"/>
    <w:rsid w:val="005D17F6"/>
    <w:rsid w:val="005E5539"/>
    <w:rsid w:val="00602BF5"/>
    <w:rsid w:val="00617FDD"/>
    <w:rsid w:val="00633614"/>
    <w:rsid w:val="00633F68"/>
    <w:rsid w:val="00636EB2"/>
    <w:rsid w:val="006375B8"/>
    <w:rsid w:val="006415D4"/>
    <w:rsid w:val="0066510A"/>
    <w:rsid w:val="00673F9F"/>
    <w:rsid w:val="00686953"/>
    <w:rsid w:val="00687DEA"/>
    <w:rsid w:val="00687E67"/>
    <w:rsid w:val="006967F7"/>
    <w:rsid w:val="006A250C"/>
    <w:rsid w:val="006B21D3"/>
    <w:rsid w:val="006B57D0"/>
    <w:rsid w:val="006D30FF"/>
    <w:rsid w:val="006D6940"/>
    <w:rsid w:val="006F11EC"/>
    <w:rsid w:val="0070082C"/>
    <w:rsid w:val="00724844"/>
    <w:rsid w:val="007369E6"/>
    <w:rsid w:val="00746E59"/>
    <w:rsid w:val="00752E33"/>
    <w:rsid w:val="00754C9A"/>
    <w:rsid w:val="0075599A"/>
    <w:rsid w:val="00761D52"/>
    <w:rsid w:val="0077749E"/>
    <w:rsid w:val="00790ADA"/>
    <w:rsid w:val="007D2288"/>
    <w:rsid w:val="007E088F"/>
    <w:rsid w:val="007E5DDE"/>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669C1"/>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50CC"/>
    <w:rsid w:val="00A94063"/>
    <w:rsid w:val="00AA6219"/>
    <w:rsid w:val="00AA74E0"/>
    <w:rsid w:val="00AB703F"/>
    <w:rsid w:val="00AC6BB8"/>
    <w:rsid w:val="00AE008F"/>
    <w:rsid w:val="00AE1851"/>
    <w:rsid w:val="00B01FCD"/>
    <w:rsid w:val="00B1776C"/>
    <w:rsid w:val="00B52583"/>
    <w:rsid w:val="00B52896"/>
    <w:rsid w:val="00B95236"/>
    <w:rsid w:val="00B9542F"/>
    <w:rsid w:val="00B96BD9"/>
    <w:rsid w:val="00BA1B01"/>
    <w:rsid w:val="00BA2641"/>
    <w:rsid w:val="00BA6311"/>
    <w:rsid w:val="00BB37AA"/>
    <w:rsid w:val="00BB66DF"/>
    <w:rsid w:val="00BC53A0"/>
    <w:rsid w:val="00BC6231"/>
    <w:rsid w:val="00BE62AD"/>
    <w:rsid w:val="00BF121F"/>
    <w:rsid w:val="00BF1F80"/>
    <w:rsid w:val="00C166EF"/>
    <w:rsid w:val="00C17EB0"/>
    <w:rsid w:val="00C27F5F"/>
    <w:rsid w:val="00C30A0F"/>
    <w:rsid w:val="00C37E61"/>
    <w:rsid w:val="00C70F1B"/>
    <w:rsid w:val="00C71A47"/>
    <w:rsid w:val="00C7464C"/>
    <w:rsid w:val="00C85588"/>
    <w:rsid w:val="00C94465"/>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24A08"/>
    <w:rsid w:val="00E3114E"/>
    <w:rsid w:val="00E31A70"/>
    <w:rsid w:val="00E35B02"/>
    <w:rsid w:val="00E66496"/>
    <w:rsid w:val="00E66B35"/>
    <w:rsid w:val="00E66E10"/>
    <w:rsid w:val="00E769F6"/>
    <w:rsid w:val="00E8407C"/>
    <w:rsid w:val="00E84F3C"/>
    <w:rsid w:val="00EA012C"/>
    <w:rsid w:val="00EC3949"/>
    <w:rsid w:val="00EC6A55"/>
    <w:rsid w:val="00ED0288"/>
    <w:rsid w:val="00ED1117"/>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670E8E9"/>
  <w15:docId w15:val="{D4CAE0C5-A1C9-46C0-931C-D194C904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520D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0737/Ekonika.V8i1.3636" TargetMode="External"/><Relationship Id="rId26" Type="http://schemas.openxmlformats.org/officeDocument/2006/relationships/hyperlink" Target="Https://Doi.Org/10.32497/Bangunrekaprima.V9i1.4425" TargetMode="External"/><Relationship Id="rId3" Type="http://schemas.openxmlformats.org/officeDocument/2006/relationships/styles" Target="styles.xml"/><Relationship Id="rId21" Type="http://schemas.openxmlformats.org/officeDocument/2006/relationships/hyperlink" Target="Https://Doi.Org/10.29040/Jiei.V9i2.966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0872/Escs.V1i2.905" TargetMode="External"/><Relationship Id="rId25" Type="http://schemas.openxmlformats.org/officeDocument/2006/relationships/hyperlink" Target="Https://Doi.Org/10.33395/Owner.V6i2.777"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31933/Jimt.V3i5" TargetMode="External"/><Relationship Id="rId20" Type="http://schemas.openxmlformats.org/officeDocument/2006/relationships/hyperlink" Target="Https://Doi.Org/10.24246/J.Js.2023.V13.I1.P1-7" TargetMode="External"/><Relationship Id="rId29" Type="http://schemas.openxmlformats.org/officeDocument/2006/relationships/hyperlink" Target="Https://Doi.Org/10.36908/Jimpa.V3i2.2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2509/Abdimoestopo.V7i1.3696"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5134/Ekobistek.V11i4.434" TargetMode="External"/><Relationship Id="rId28" Type="http://schemas.openxmlformats.org/officeDocument/2006/relationships/hyperlink" Target="Https://Doi.Org/10.34005/Kinerja.V3i01.966" TargetMode="External"/><Relationship Id="rId10" Type="http://schemas.openxmlformats.org/officeDocument/2006/relationships/footer" Target="footer1.xml"/><Relationship Id="rId19" Type="http://schemas.openxmlformats.org/officeDocument/2006/relationships/hyperlink" Target="Https://Doi.Org/10.35448/Jmb.V13i1.7920"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55606/Jppmi.V2i4.660" TargetMode="External"/><Relationship Id="rId27" Type="http://schemas.openxmlformats.org/officeDocument/2006/relationships/hyperlink" Target="Https://Doi.Org/10.55681/Economina.V2i10.924" TargetMode="External"/><Relationship Id="rId30" Type="http://schemas.openxmlformats.org/officeDocument/2006/relationships/header" Target="header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97AC-CD3D-4D2E-9454-672B5CB5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7</Pages>
  <Words>4446</Words>
  <Characters>25344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29731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21</cp:revision>
  <cp:lastPrinted>1999-07-06T11:00:00Z</cp:lastPrinted>
  <dcterms:created xsi:type="dcterms:W3CDTF">2014-10-25T14:34:00Z</dcterms:created>
  <dcterms:modified xsi:type="dcterms:W3CDTF">2025-06-06T10:35:00Z</dcterms:modified>
</cp:coreProperties>
</file>