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65422" w14:textId="77777777" w:rsidR="00A541D1" w:rsidRDefault="00254D4A">
      <w:pPr>
        <w:jc w:val="center"/>
        <w:rPr>
          <w:rFonts w:ascii="Garamond" w:eastAsia="Garamond" w:hAnsi="Garamond" w:cs="Garamond"/>
          <w:sz w:val="22"/>
          <w:szCs w:val="22"/>
        </w:rPr>
      </w:pPr>
      <w:r>
        <w:rPr>
          <w:rFonts w:ascii="Garamond" w:eastAsia="Garamond" w:hAnsi="Garamond" w:cs="Garamond"/>
          <w:b/>
          <w:sz w:val="22"/>
          <w:szCs w:val="22"/>
        </w:rPr>
        <w:t>ROLE OF METACOGNITIVE AWARENESS IN ENHANCING PERSISTENCE IN SOLVING MATHEMATICAL PROBLEMS AMONG MATH MAJORS</w:t>
      </w:r>
    </w:p>
    <w:p w14:paraId="715066FC" w14:textId="77777777" w:rsidR="00A541D1" w:rsidRDefault="00A541D1">
      <w:pPr>
        <w:spacing w:after="0" w:line="240" w:lineRule="auto"/>
        <w:jc w:val="center"/>
        <w:rPr>
          <w:rFonts w:ascii="Garamond" w:eastAsia="Garamond" w:hAnsi="Garamond" w:cs="Garamond"/>
          <w:iCs/>
          <w:sz w:val="22"/>
          <w:szCs w:val="22"/>
        </w:rPr>
      </w:pPr>
    </w:p>
    <w:p w14:paraId="348BD246" w14:textId="77777777" w:rsidR="00A541D1" w:rsidRDefault="00A541D1">
      <w:pPr>
        <w:spacing w:after="0" w:line="240" w:lineRule="auto"/>
        <w:jc w:val="center"/>
        <w:rPr>
          <w:rFonts w:ascii="Garamond" w:eastAsia="Garamond" w:hAnsi="Garamond" w:cs="Garamond"/>
          <w:iCs/>
          <w:sz w:val="22"/>
          <w:szCs w:val="22"/>
        </w:rPr>
      </w:pPr>
      <w:bookmarkStart w:id="0" w:name="_GoBack"/>
      <w:bookmarkEnd w:id="0"/>
    </w:p>
    <w:p w14:paraId="730EA3AA" w14:textId="77777777" w:rsidR="00A541D1" w:rsidRDefault="00A541D1">
      <w:pPr>
        <w:jc w:val="center"/>
        <w:rPr>
          <w:rFonts w:ascii="Garamond" w:eastAsia="Garamond" w:hAnsi="Garamond" w:cs="Garamond"/>
          <w:sz w:val="22"/>
          <w:szCs w:val="22"/>
        </w:rPr>
      </w:pPr>
    </w:p>
    <w:p w14:paraId="13A9A19A" w14:textId="77777777" w:rsidR="00A541D1" w:rsidRDefault="00254D4A">
      <w:pPr>
        <w:jc w:val="both"/>
        <w:rPr>
          <w:rFonts w:ascii="Garamond" w:eastAsia="Garamond" w:hAnsi="Garamond" w:cs="Garamond"/>
          <w:b/>
          <w:sz w:val="22"/>
          <w:szCs w:val="22"/>
        </w:rPr>
      </w:pPr>
      <w:r>
        <w:rPr>
          <w:rFonts w:ascii="Garamond" w:eastAsia="Garamond" w:hAnsi="Garamond" w:cs="Garamond"/>
          <w:b/>
          <w:sz w:val="22"/>
          <w:szCs w:val="22"/>
        </w:rPr>
        <w:t>Abstract</w:t>
      </w:r>
    </w:p>
    <w:p w14:paraId="6DA959B3" w14:textId="7045F137" w:rsidR="00A541D1" w:rsidRDefault="00254D4A">
      <w:pPr>
        <w:ind w:firstLine="720"/>
        <w:jc w:val="both"/>
        <w:rPr>
          <w:rFonts w:ascii="Garamond" w:eastAsia="Garamond" w:hAnsi="Garamond" w:cs="Garamond"/>
          <w:sz w:val="22"/>
          <w:szCs w:val="22"/>
        </w:rPr>
      </w:pPr>
      <w:r>
        <w:rPr>
          <w:rFonts w:ascii="Garamond" w:eastAsia="Garamond" w:hAnsi="Garamond" w:cs="Garamond"/>
          <w:sz w:val="22"/>
          <w:szCs w:val="22"/>
          <w:highlight w:val="white"/>
        </w:rPr>
        <w:t xml:space="preserve">This study investigated how metacognitive awareness contributes to the persistence of </w:t>
      </w:r>
      <w:proofErr w:type="spellStart"/>
      <w:r>
        <w:rPr>
          <w:rFonts w:ascii="Garamond" w:eastAsia="Garamond" w:hAnsi="Garamond" w:cs="Garamond"/>
          <w:sz w:val="22"/>
          <w:szCs w:val="22"/>
          <w:highlight w:val="white"/>
        </w:rPr>
        <w:t>BSEd</w:t>
      </w:r>
      <w:proofErr w:type="spellEnd"/>
      <w:r>
        <w:rPr>
          <w:rFonts w:ascii="Garamond" w:eastAsia="Garamond" w:hAnsi="Garamond" w:cs="Garamond"/>
          <w:sz w:val="22"/>
          <w:szCs w:val="22"/>
          <w:highlight w:val="white"/>
        </w:rPr>
        <w:t xml:space="preserve"> Mathematics majors in solving mathematical problems. Using a descriptive-correlational design, data were gathered from 100 math majors at Davao Central College using</w:t>
      </w:r>
      <w:r>
        <w:rPr>
          <w:rFonts w:ascii="Garamond" w:eastAsia="Garamond" w:hAnsi="Garamond" w:cs="Garamond"/>
          <w:sz w:val="22"/>
          <w:szCs w:val="22"/>
          <w:highlight w:val="white"/>
        </w:rPr>
        <w:t xml:space="preserve"> two standardized tools: </w:t>
      </w:r>
      <w:proofErr w:type="gramStart"/>
      <w:r>
        <w:rPr>
          <w:rFonts w:ascii="Garamond" w:eastAsia="Garamond" w:hAnsi="Garamond" w:cs="Garamond"/>
          <w:sz w:val="22"/>
          <w:szCs w:val="22"/>
          <w:highlight w:val="white"/>
        </w:rPr>
        <w:t>the</w:t>
      </w:r>
      <w:proofErr w:type="gramEnd"/>
      <w:r>
        <w:rPr>
          <w:rFonts w:ascii="Garamond" w:eastAsia="Garamond" w:hAnsi="Garamond" w:cs="Garamond"/>
          <w:sz w:val="22"/>
          <w:szCs w:val="22"/>
          <w:highlight w:val="white"/>
        </w:rPr>
        <w:t xml:space="preserve"> Metacognitive Awareness Inventory (MAI) and the Persistence in Mathematical Problem-Solving Scale. Results revealed </w:t>
      </w:r>
      <w:r w:rsidR="00D30E4A">
        <w:rPr>
          <w:rFonts w:ascii="Garamond" w:eastAsia="Garamond" w:hAnsi="Garamond" w:cs="Garamond"/>
          <w:sz w:val="22"/>
          <w:szCs w:val="22"/>
          <w:highlight w:val="white"/>
        </w:rPr>
        <w:t>a very high level</w:t>
      </w:r>
      <w:r>
        <w:rPr>
          <w:rFonts w:ascii="Garamond" w:eastAsia="Garamond" w:hAnsi="Garamond" w:cs="Garamond"/>
          <w:sz w:val="22"/>
          <w:szCs w:val="22"/>
          <w:highlight w:val="white"/>
        </w:rPr>
        <w:t xml:space="preserve"> of metacognitive awareness and high persistence, especially during examinations. Pearson corr</w:t>
      </w:r>
      <w:r>
        <w:rPr>
          <w:rFonts w:ascii="Garamond" w:eastAsia="Garamond" w:hAnsi="Garamond" w:cs="Garamond"/>
          <w:sz w:val="22"/>
          <w:szCs w:val="22"/>
          <w:highlight w:val="white"/>
        </w:rPr>
        <w:t>elation showed significant relationships, and regression analysis indicated that metacognitive awareness explained 27.90% of the variance in persistence. The study concludes that students who plan, monitor, and regulate their thinking are more likely to pe</w:t>
      </w:r>
      <w:r>
        <w:rPr>
          <w:rFonts w:ascii="Garamond" w:eastAsia="Garamond" w:hAnsi="Garamond" w:cs="Garamond"/>
          <w:sz w:val="22"/>
          <w:szCs w:val="22"/>
          <w:highlight w:val="white"/>
        </w:rPr>
        <w:t>rsist through challenges. It recommends metacognitive training to strengthen effort and resilience in learning mathematics.</w:t>
      </w:r>
    </w:p>
    <w:p w14:paraId="14E3102E" w14:textId="77777777" w:rsidR="00A541D1" w:rsidRDefault="00254D4A">
      <w:pPr>
        <w:jc w:val="both"/>
        <w:rPr>
          <w:rFonts w:ascii="Garamond" w:eastAsia="Garamond" w:hAnsi="Garamond" w:cs="Garamond"/>
          <w:sz w:val="22"/>
          <w:szCs w:val="22"/>
        </w:rPr>
      </w:pPr>
      <w:r>
        <w:rPr>
          <w:rFonts w:ascii="Garamond" w:eastAsia="Garamond" w:hAnsi="Garamond" w:cs="Garamond"/>
          <w:b/>
          <w:sz w:val="22"/>
          <w:szCs w:val="22"/>
        </w:rPr>
        <w:t>Keywords:</w:t>
      </w:r>
      <w:r>
        <w:rPr>
          <w:rFonts w:ascii="Garamond" w:eastAsia="Garamond" w:hAnsi="Garamond" w:cs="Garamond"/>
          <w:sz w:val="22"/>
          <w:szCs w:val="22"/>
        </w:rPr>
        <w:t xml:space="preserve"> </w:t>
      </w:r>
      <w:r>
        <w:rPr>
          <w:rFonts w:ascii="Garamond" w:eastAsia="Garamond" w:hAnsi="Garamond" w:cs="Garamond"/>
          <w:i/>
          <w:sz w:val="22"/>
          <w:szCs w:val="22"/>
        </w:rPr>
        <w:t>metacognitive awareness, persistence, mathematical problem-solving, knowledge about cognition, regulation of cognition</w:t>
      </w:r>
    </w:p>
    <w:p w14:paraId="65F07AC4" w14:textId="77777777" w:rsidR="00A541D1" w:rsidRDefault="00254D4A">
      <w:pPr>
        <w:jc w:val="both"/>
        <w:rPr>
          <w:rFonts w:ascii="Garamond" w:eastAsia="Garamond" w:hAnsi="Garamond" w:cs="Garamond"/>
          <w:sz w:val="22"/>
          <w:szCs w:val="22"/>
        </w:rPr>
      </w:pPr>
      <w:r>
        <w:rPr>
          <w:rFonts w:ascii="Garamond" w:eastAsia="Garamond" w:hAnsi="Garamond" w:cs="Garamond"/>
          <w:b/>
          <w:sz w:val="22"/>
          <w:szCs w:val="22"/>
        </w:rPr>
        <w:t>Int</w:t>
      </w:r>
      <w:r>
        <w:rPr>
          <w:rFonts w:ascii="Garamond" w:eastAsia="Garamond" w:hAnsi="Garamond" w:cs="Garamond"/>
          <w:b/>
          <w:sz w:val="22"/>
          <w:szCs w:val="22"/>
        </w:rPr>
        <w:t>roduction</w:t>
      </w:r>
    </w:p>
    <w:p w14:paraId="26BA7F6F" w14:textId="760242D3" w:rsidR="00A778A8" w:rsidRPr="00A778A8" w:rsidRDefault="00A778A8">
      <w:pPr>
        <w:ind w:firstLine="720"/>
        <w:jc w:val="both"/>
        <w:rPr>
          <w:rFonts w:ascii="Garamond" w:eastAsia="Garamond" w:hAnsi="Garamond" w:cs="Garamond"/>
          <w:sz w:val="22"/>
          <w:szCs w:val="22"/>
        </w:rPr>
      </w:pPr>
      <w:r w:rsidRPr="00A778A8">
        <w:rPr>
          <w:rFonts w:ascii="Garamond" w:eastAsia="Garamond" w:hAnsi="Garamond" w:cs="Garamond"/>
          <w:sz w:val="22"/>
          <w:szCs w:val="22"/>
        </w:rPr>
        <w:t xml:space="preserve">One critical issue in mathematics education is the lack of persistence among students when solving mathematical problems. Persistence, defined as the determination to stay focused on a task despite difficulty or prolonged effort </w:t>
      </w:r>
      <w:bookmarkStart w:id="1" w:name="_Hlk199676717"/>
      <w:r w:rsidR="00566F86" w:rsidRPr="00566F86">
        <w:rPr>
          <w:rFonts w:ascii="Garamond" w:eastAsia="Garamond" w:hAnsi="Garamond" w:cs="Garamond"/>
          <w:sz w:val="22"/>
          <w:szCs w:val="22"/>
        </w:rPr>
        <w:t>(Shen et al., 201</w:t>
      </w:r>
      <w:r w:rsidR="00566F86">
        <w:rPr>
          <w:rFonts w:ascii="Garamond" w:eastAsia="Garamond" w:hAnsi="Garamond" w:cs="Garamond"/>
          <w:sz w:val="22"/>
          <w:szCs w:val="22"/>
        </w:rPr>
        <w:t>5</w:t>
      </w:r>
      <w:r w:rsidRPr="00A778A8">
        <w:rPr>
          <w:rFonts w:ascii="Garamond" w:eastAsia="Garamond" w:hAnsi="Garamond" w:cs="Garamond"/>
          <w:sz w:val="22"/>
          <w:szCs w:val="22"/>
        </w:rPr>
        <w:t xml:space="preserve">), </w:t>
      </w:r>
      <w:bookmarkEnd w:id="1"/>
      <w:r w:rsidRPr="00A778A8">
        <w:rPr>
          <w:rFonts w:ascii="Garamond" w:eastAsia="Garamond" w:hAnsi="Garamond" w:cs="Garamond"/>
          <w:sz w:val="22"/>
          <w:szCs w:val="22"/>
        </w:rPr>
        <w:t>is crucial for achieving success in mathematics</w:t>
      </w:r>
      <w:bookmarkStart w:id="2" w:name="_Hlk199676707"/>
      <w:r w:rsidRPr="00A778A8">
        <w:rPr>
          <w:rFonts w:ascii="Garamond" w:eastAsia="Garamond" w:hAnsi="Garamond" w:cs="Garamond"/>
          <w:sz w:val="22"/>
          <w:szCs w:val="22"/>
        </w:rPr>
        <w:t xml:space="preserve"> (</w:t>
      </w:r>
      <w:proofErr w:type="spellStart"/>
      <w:r w:rsidRPr="00A778A8">
        <w:rPr>
          <w:rFonts w:ascii="Garamond" w:eastAsia="Garamond" w:hAnsi="Garamond" w:cs="Garamond"/>
          <w:sz w:val="22"/>
          <w:szCs w:val="22"/>
        </w:rPr>
        <w:t>Asoy</w:t>
      </w:r>
      <w:proofErr w:type="spellEnd"/>
      <w:r w:rsidRPr="00A778A8">
        <w:rPr>
          <w:rFonts w:ascii="Garamond" w:eastAsia="Garamond" w:hAnsi="Garamond" w:cs="Garamond"/>
          <w:sz w:val="22"/>
          <w:szCs w:val="22"/>
        </w:rPr>
        <w:t xml:space="preserve">, 2025). </w:t>
      </w:r>
      <w:bookmarkEnd w:id="2"/>
      <w:r w:rsidRPr="00A778A8">
        <w:rPr>
          <w:rFonts w:ascii="Garamond" w:eastAsia="Garamond" w:hAnsi="Garamond" w:cs="Garamond"/>
          <w:sz w:val="22"/>
          <w:szCs w:val="22"/>
        </w:rPr>
        <w:t xml:space="preserve">However, many students demonstrate insufficient persistence, which, combined with weak mathematical process skills, hinders their ability </w:t>
      </w:r>
      <w:r w:rsidR="00B14FB4">
        <w:rPr>
          <w:rFonts w:ascii="Garamond" w:eastAsia="Garamond" w:hAnsi="Garamond" w:cs="Garamond"/>
          <w:sz w:val="22"/>
          <w:szCs w:val="22"/>
        </w:rPr>
        <w:t>to grasp and apply mathematical concepts effectively</w:t>
      </w:r>
      <w:r w:rsidRPr="00A778A8">
        <w:rPr>
          <w:rFonts w:ascii="Garamond" w:eastAsia="Garamond" w:hAnsi="Garamond" w:cs="Garamond"/>
          <w:sz w:val="22"/>
          <w:szCs w:val="22"/>
        </w:rPr>
        <w:t xml:space="preserve"> </w:t>
      </w:r>
      <w:bookmarkStart w:id="3" w:name="_Hlk199676725"/>
      <w:r w:rsidRPr="00A778A8">
        <w:rPr>
          <w:rFonts w:ascii="Garamond" w:eastAsia="Garamond" w:hAnsi="Garamond" w:cs="Garamond"/>
          <w:sz w:val="22"/>
          <w:szCs w:val="22"/>
        </w:rPr>
        <w:t>(</w:t>
      </w:r>
      <w:proofErr w:type="spellStart"/>
      <w:r w:rsidRPr="00A778A8">
        <w:rPr>
          <w:rFonts w:ascii="Garamond" w:eastAsia="Garamond" w:hAnsi="Garamond" w:cs="Garamond"/>
          <w:sz w:val="22"/>
          <w:szCs w:val="22"/>
        </w:rPr>
        <w:t>Kamid</w:t>
      </w:r>
      <w:proofErr w:type="spellEnd"/>
      <w:r w:rsidRPr="00A778A8">
        <w:rPr>
          <w:rFonts w:ascii="Garamond" w:eastAsia="Garamond" w:hAnsi="Garamond" w:cs="Garamond"/>
          <w:sz w:val="22"/>
          <w:szCs w:val="22"/>
        </w:rPr>
        <w:t xml:space="preserve"> et al., 2024). </w:t>
      </w:r>
      <w:bookmarkEnd w:id="3"/>
      <w:r w:rsidRPr="00A778A8">
        <w:rPr>
          <w:rFonts w:ascii="Garamond" w:eastAsia="Garamond" w:hAnsi="Garamond" w:cs="Garamond"/>
          <w:sz w:val="22"/>
          <w:szCs w:val="22"/>
        </w:rPr>
        <w:t>This challenge undermines the learning process and limits the potential for meaningful knowledge transfer.</w:t>
      </w:r>
    </w:p>
    <w:p w14:paraId="55A2AB09" w14:textId="3DF2985D" w:rsidR="00A541D1" w:rsidRDefault="00254D4A" w:rsidP="005B1635">
      <w:pPr>
        <w:ind w:firstLine="720"/>
        <w:jc w:val="both"/>
        <w:rPr>
          <w:rFonts w:ascii="Garamond" w:eastAsia="Garamond" w:hAnsi="Garamond" w:cs="Garamond"/>
          <w:sz w:val="22"/>
          <w:szCs w:val="22"/>
        </w:rPr>
      </w:pPr>
      <w:bookmarkStart w:id="4" w:name="_Hlk199676733"/>
      <w:proofErr w:type="spellStart"/>
      <w:r>
        <w:rPr>
          <w:rFonts w:ascii="Garamond" w:eastAsia="Garamond" w:hAnsi="Garamond" w:cs="Garamond"/>
          <w:sz w:val="22"/>
          <w:szCs w:val="22"/>
        </w:rPr>
        <w:t>Rahmawati</w:t>
      </w:r>
      <w:proofErr w:type="spellEnd"/>
      <w:r>
        <w:rPr>
          <w:rFonts w:ascii="Garamond" w:eastAsia="Garamond" w:hAnsi="Garamond" w:cs="Garamond"/>
          <w:sz w:val="22"/>
          <w:szCs w:val="22"/>
        </w:rPr>
        <w:t xml:space="preserve"> et al. (2024)</w:t>
      </w:r>
      <w:bookmarkEnd w:id="4"/>
      <w:r w:rsidR="00B14FB4">
        <w:rPr>
          <w:rFonts w:ascii="Garamond" w:eastAsia="Garamond" w:hAnsi="Garamond" w:cs="Garamond"/>
          <w:sz w:val="22"/>
          <w:szCs w:val="22"/>
        </w:rPr>
        <w:t xml:space="preserve"> found, in a study among vocational high school students in Jakarta, </w:t>
      </w:r>
      <w:r>
        <w:rPr>
          <w:rFonts w:ascii="Garamond" w:eastAsia="Garamond" w:hAnsi="Garamond" w:cs="Garamond"/>
          <w:sz w:val="22"/>
          <w:szCs w:val="22"/>
        </w:rPr>
        <w:t>that persistence significantly imp</w:t>
      </w:r>
      <w:r>
        <w:rPr>
          <w:rFonts w:ascii="Garamond" w:eastAsia="Garamond" w:hAnsi="Garamond" w:cs="Garamond"/>
          <w:sz w:val="22"/>
          <w:szCs w:val="22"/>
        </w:rPr>
        <w:t>roved students’ mathematical problem-solving abilities.</w:t>
      </w:r>
      <w:r w:rsidR="001F67F8">
        <w:rPr>
          <w:rFonts w:ascii="Garamond" w:eastAsia="Garamond" w:hAnsi="Garamond" w:cs="Garamond"/>
          <w:sz w:val="22"/>
          <w:szCs w:val="22"/>
        </w:rPr>
        <w:t xml:space="preserve">  </w:t>
      </w:r>
      <w:r>
        <w:rPr>
          <w:rFonts w:ascii="Garamond" w:eastAsia="Garamond" w:hAnsi="Garamond" w:cs="Garamond"/>
          <w:sz w:val="22"/>
          <w:szCs w:val="22"/>
        </w:rPr>
        <w:t>A study conducted at the University of the East–Manila revealed that a Personal Instructing Agent (PIA) within a virtual learning tool significantly enhanced persistence in solving algebraic equation</w:t>
      </w:r>
      <w:r>
        <w:rPr>
          <w:rFonts w:ascii="Garamond" w:eastAsia="Garamond" w:hAnsi="Garamond" w:cs="Garamond"/>
          <w:sz w:val="22"/>
          <w:szCs w:val="22"/>
        </w:rPr>
        <w:t>s</w:t>
      </w:r>
      <w:r w:rsidR="00C93C8B">
        <w:rPr>
          <w:rFonts w:ascii="Garamond" w:eastAsia="Garamond" w:hAnsi="Garamond" w:cs="Garamond"/>
          <w:sz w:val="22"/>
          <w:szCs w:val="22"/>
        </w:rPr>
        <w:t xml:space="preserve"> </w:t>
      </w:r>
      <w:bookmarkStart w:id="5" w:name="_Hlk199676741"/>
      <w:r w:rsidR="00C93C8B">
        <w:rPr>
          <w:rFonts w:ascii="Garamond" w:eastAsia="Garamond" w:hAnsi="Garamond" w:cs="Garamond"/>
          <w:sz w:val="22"/>
          <w:szCs w:val="22"/>
        </w:rPr>
        <w:t>(Dela Cruz, 2024)</w:t>
      </w:r>
      <w:r>
        <w:rPr>
          <w:rFonts w:ascii="Garamond" w:eastAsia="Garamond" w:hAnsi="Garamond" w:cs="Garamond"/>
          <w:sz w:val="22"/>
          <w:szCs w:val="22"/>
        </w:rPr>
        <w:t xml:space="preserve">. </w:t>
      </w:r>
      <w:bookmarkEnd w:id="5"/>
      <w:proofErr w:type="spellStart"/>
      <w:r>
        <w:rPr>
          <w:rFonts w:ascii="Garamond" w:eastAsia="Garamond" w:hAnsi="Garamond" w:cs="Garamond"/>
          <w:sz w:val="22"/>
          <w:szCs w:val="22"/>
        </w:rPr>
        <w:t>Asoy</w:t>
      </w:r>
      <w:proofErr w:type="spellEnd"/>
      <w:r>
        <w:rPr>
          <w:rFonts w:ascii="Garamond" w:eastAsia="Garamond" w:hAnsi="Garamond" w:cs="Garamond"/>
          <w:sz w:val="22"/>
          <w:szCs w:val="22"/>
        </w:rPr>
        <w:t xml:space="preserve"> and </w:t>
      </w:r>
      <w:proofErr w:type="spellStart"/>
      <w:r>
        <w:rPr>
          <w:rFonts w:ascii="Garamond" w:eastAsia="Garamond" w:hAnsi="Garamond" w:cs="Garamond"/>
          <w:sz w:val="22"/>
          <w:szCs w:val="22"/>
        </w:rPr>
        <w:t>Picaza</w:t>
      </w:r>
      <w:proofErr w:type="spellEnd"/>
      <w:r>
        <w:rPr>
          <w:rFonts w:ascii="Garamond" w:eastAsia="Garamond" w:hAnsi="Garamond" w:cs="Garamond"/>
          <w:sz w:val="22"/>
          <w:szCs w:val="22"/>
        </w:rPr>
        <w:t xml:space="preserve"> (2025) conducted a study involving first-year education students from three higher education institutions in Davao del Norte. Results showed a high level of persistence positively correlated with success in Mathematics </w:t>
      </w:r>
      <w:r>
        <w:rPr>
          <w:rFonts w:ascii="Garamond" w:eastAsia="Garamond" w:hAnsi="Garamond" w:cs="Garamond"/>
          <w:sz w:val="22"/>
          <w:szCs w:val="22"/>
        </w:rPr>
        <w:t>in the Modern World. These findings underscore the importance of examining persistence in local educational contexts.</w:t>
      </w:r>
    </w:p>
    <w:p w14:paraId="76C276D2" w14:textId="77777777" w:rsidR="00A541D1" w:rsidRDefault="00254D4A">
      <w:pPr>
        <w:ind w:firstLine="720"/>
        <w:jc w:val="both"/>
        <w:rPr>
          <w:rFonts w:ascii="Garamond" w:eastAsia="Garamond" w:hAnsi="Garamond" w:cs="Garamond"/>
          <w:sz w:val="22"/>
          <w:szCs w:val="22"/>
        </w:rPr>
      </w:pPr>
      <w:r>
        <w:rPr>
          <w:rFonts w:ascii="Garamond" w:eastAsia="Garamond" w:hAnsi="Garamond" w:cs="Garamond"/>
          <w:sz w:val="22"/>
          <w:szCs w:val="22"/>
        </w:rPr>
        <w:t>While numerous studies confirm the impact of metacognition on learning, limited research specifically explores how it supports persistence</w:t>
      </w:r>
      <w:r>
        <w:rPr>
          <w:rFonts w:ascii="Garamond" w:eastAsia="Garamond" w:hAnsi="Garamond" w:cs="Garamond"/>
          <w:sz w:val="22"/>
          <w:szCs w:val="22"/>
        </w:rPr>
        <w:t xml:space="preserve"> in solving complex mathematical problems, especially among math majors. Such gaps not only affect individual student outcomes but also compromise the quality of future educators, engineers, and researchers. Hence, it is urgent to investigate how metacogni</w:t>
      </w:r>
      <w:r>
        <w:rPr>
          <w:rFonts w:ascii="Garamond" w:eastAsia="Garamond" w:hAnsi="Garamond" w:cs="Garamond"/>
          <w:sz w:val="22"/>
          <w:szCs w:val="22"/>
        </w:rPr>
        <w:t>tive awareness can enhance persistence in mathematical problem-solving. The findings of this study will contribute valuable insights for educators and institutions seeking to strengthen learning strategies and improve mathematics achievement among math maj</w:t>
      </w:r>
      <w:r>
        <w:rPr>
          <w:rFonts w:ascii="Garamond" w:eastAsia="Garamond" w:hAnsi="Garamond" w:cs="Garamond"/>
          <w:sz w:val="22"/>
          <w:szCs w:val="22"/>
        </w:rPr>
        <w:t>ors.</w:t>
      </w:r>
    </w:p>
    <w:p w14:paraId="1D555166" w14:textId="77777777" w:rsidR="00A541D1" w:rsidRDefault="00254D4A">
      <w:pPr>
        <w:jc w:val="both"/>
        <w:rPr>
          <w:rFonts w:ascii="Garamond" w:eastAsia="Garamond" w:hAnsi="Garamond" w:cs="Garamond"/>
          <w:i/>
          <w:sz w:val="22"/>
          <w:szCs w:val="22"/>
        </w:rPr>
      </w:pPr>
      <w:r>
        <w:rPr>
          <w:rFonts w:ascii="Garamond" w:eastAsia="Garamond" w:hAnsi="Garamond" w:cs="Garamond"/>
          <w:b/>
          <w:i/>
          <w:sz w:val="22"/>
          <w:szCs w:val="22"/>
        </w:rPr>
        <w:t>Statement of the Problem</w:t>
      </w:r>
    </w:p>
    <w:p w14:paraId="6D207A50" w14:textId="6B4B8BE4" w:rsidR="00A541D1" w:rsidRDefault="00254D4A">
      <w:pPr>
        <w:ind w:firstLine="360"/>
        <w:jc w:val="both"/>
        <w:rPr>
          <w:rFonts w:ascii="Garamond" w:eastAsia="Garamond" w:hAnsi="Garamond" w:cs="Garamond"/>
          <w:sz w:val="22"/>
          <w:szCs w:val="22"/>
        </w:rPr>
      </w:pPr>
      <w:r>
        <w:rPr>
          <w:rFonts w:ascii="Garamond" w:eastAsia="Garamond" w:hAnsi="Garamond" w:cs="Garamond"/>
          <w:sz w:val="22"/>
          <w:szCs w:val="22"/>
        </w:rPr>
        <w:lastRenderedPageBreak/>
        <w:t>Th</w:t>
      </w:r>
      <w:r w:rsidR="00B14FB4">
        <w:rPr>
          <w:rFonts w:ascii="Garamond" w:eastAsia="Garamond" w:hAnsi="Garamond" w:cs="Garamond"/>
          <w:sz w:val="22"/>
          <w:szCs w:val="22"/>
        </w:rPr>
        <w:t>e</w:t>
      </w:r>
      <w:r>
        <w:rPr>
          <w:rFonts w:ascii="Garamond" w:eastAsia="Garamond" w:hAnsi="Garamond" w:cs="Garamond"/>
          <w:sz w:val="22"/>
          <w:szCs w:val="22"/>
        </w:rPr>
        <w:t xml:space="preserve"> study aim</w:t>
      </w:r>
      <w:r w:rsidR="00B14FB4">
        <w:rPr>
          <w:rFonts w:ascii="Garamond" w:eastAsia="Garamond" w:hAnsi="Garamond" w:cs="Garamond"/>
          <w:sz w:val="22"/>
          <w:szCs w:val="22"/>
        </w:rPr>
        <w:t>ed</w:t>
      </w:r>
      <w:r>
        <w:rPr>
          <w:rFonts w:ascii="Garamond" w:eastAsia="Garamond" w:hAnsi="Garamond" w:cs="Garamond"/>
          <w:sz w:val="22"/>
          <w:szCs w:val="22"/>
        </w:rPr>
        <w:t xml:space="preserve"> to investigate the role of metacognitive awareness in enhancing persistence in solving mathematical problems among math majors. Specifically, it seeks to answer the following questions:</w:t>
      </w:r>
    </w:p>
    <w:p w14:paraId="12013B1D" w14:textId="77777777" w:rsidR="00A541D1" w:rsidRDefault="00254D4A">
      <w:pPr>
        <w:numPr>
          <w:ilvl w:val="0"/>
          <w:numId w:val="1"/>
        </w:numPr>
        <w:spacing w:after="0"/>
        <w:jc w:val="both"/>
        <w:rPr>
          <w:rFonts w:ascii="Garamond" w:eastAsia="Garamond" w:hAnsi="Garamond" w:cs="Garamond"/>
          <w:sz w:val="22"/>
          <w:szCs w:val="22"/>
        </w:rPr>
      </w:pPr>
      <w:r>
        <w:rPr>
          <w:rFonts w:ascii="Garamond" w:eastAsia="Garamond" w:hAnsi="Garamond" w:cs="Garamond"/>
          <w:sz w:val="22"/>
          <w:szCs w:val="22"/>
        </w:rPr>
        <w:t xml:space="preserve">What is the level of </w:t>
      </w:r>
      <w:r>
        <w:rPr>
          <w:rFonts w:ascii="Garamond" w:eastAsia="Garamond" w:hAnsi="Garamond" w:cs="Garamond"/>
          <w:sz w:val="22"/>
          <w:szCs w:val="22"/>
        </w:rPr>
        <w:t>students' metacognitive awareness in terms of:</w:t>
      </w:r>
    </w:p>
    <w:p w14:paraId="54457850" w14:textId="77777777" w:rsidR="00A541D1" w:rsidRDefault="00254D4A">
      <w:pPr>
        <w:spacing w:after="0"/>
        <w:ind w:left="1440"/>
        <w:jc w:val="both"/>
        <w:rPr>
          <w:rFonts w:ascii="Garamond" w:eastAsia="Garamond" w:hAnsi="Garamond" w:cs="Garamond"/>
          <w:sz w:val="22"/>
          <w:szCs w:val="22"/>
        </w:rPr>
      </w:pPr>
      <w:r>
        <w:rPr>
          <w:rFonts w:ascii="Garamond" w:eastAsia="Garamond" w:hAnsi="Garamond" w:cs="Garamond"/>
          <w:sz w:val="22"/>
          <w:szCs w:val="22"/>
        </w:rPr>
        <w:t>1.1. Knowledge about Cognition</w:t>
      </w:r>
    </w:p>
    <w:p w14:paraId="0825786C" w14:textId="77777777" w:rsidR="00A541D1" w:rsidRDefault="00254D4A">
      <w:pPr>
        <w:spacing w:after="0"/>
        <w:ind w:left="1440"/>
        <w:jc w:val="both"/>
        <w:rPr>
          <w:rFonts w:ascii="Garamond" w:eastAsia="Garamond" w:hAnsi="Garamond" w:cs="Garamond"/>
          <w:sz w:val="22"/>
          <w:szCs w:val="22"/>
        </w:rPr>
      </w:pPr>
      <w:r>
        <w:rPr>
          <w:rFonts w:ascii="Garamond" w:eastAsia="Garamond" w:hAnsi="Garamond" w:cs="Garamond"/>
          <w:sz w:val="22"/>
          <w:szCs w:val="22"/>
        </w:rPr>
        <w:t>1.2. Regulation of Cognition</w:t>
      </w:r>
    </w:p>
    <w:p w14:paraId="2089752B" w14:textId="77777777" w:rsidR="00A541D1" w:rsidRDefault="00254D4A">
      <w:pPr>
        <w:numPr>
          <w:ilvl w:val="0"/>
          <w:numId w:val="1"/>
        </w:numPr>
        <w:spacing w:after="0"/>
        <w:jc w:val="both"/>
        <w:rPr>
          <w:rFonts w:ascii="Garamond" w:eastAsia="Garamond" w:hAnsi="Garamond" w:cs="Garamond"/>
          <w:sz w:val="22"/>
          <w:szCs w:val="22"/>
        </w:rPr>
      </w:pPr>
      <w:r>
        <w:rPr>
          <w:rFonts w:ascii="Garamond" w:eastAsia="Garamond" w:hAnsi="Garamond" w:cs="Garamond"/>
          <w:sz w:val="22"/>
          <w:szCs w:val="22"/>
        </w:rPr>
        <w:t>What is the level of students’ persistence in solving mathematical problems in terms of:</w:t>
      </w:r>
    </w:p>
    <w:p w14:paraId="5460B35C" w14:textId="77777777" w:rsidR="00A541D1" w:rsidRDefault="00254D4A">
      <w:pPr>
        <w:spacing w:after="0"/>
        <w:ind w:left="1440"/>
        <w:jc w:val="both"/>
        <w:rPr>
          <w:rFonts w:ascii="Garamond" w:eastAsia="Garamond" w:hAnsi="Garamond" w:cs="Garamond"/>
          <w:sz w:val="22"/>
          <w:szCs w:val="22"/>
        </w:rPr>
      </w:pPr>
      <w:r>
        <w:rPr>
          <w:rFonts w:ascii="Garamond" w:eastAsia="Garamond" w:hAnsi="Garamond" w:cs="Garamond"/>
          <w:sz w:val="22"/>
          <w:szCs w:val="22"/>
        </w:rPr>
        <w:t>2.1. Classroom exercises</w:t>
      </w:r>
    </w:p>
    <w:p w14:paraId="1CCDA7DE" w14:textId="77777777" w:rsidR="00A541D1" w:rsidRDefault="00254D4A">
      <w:pPr>
        <w:spacing w:after="0"/>
        <w:ind w:left="1440"/>
        <w:jc w:val="both"/>
        <w:rPr>
          <w:rFonts w:ascii="Garamond" w:eastAsia="Garamond" w:hAnsi="Garamond" w:cs="Garamond"/>
          <w:sz w:val="22"/>
          <w:szCs w:val="22"/>
        </w:rPr>
      </w:pPr>
      <w:r>
        <w:rPr>
          <w:rFonts w:ascii="Garamond" w:eastAsia="Garamond" w:hAnsi="Garamond" w:cs="Garamond"/>
          <w:sz w:val="22"/>
          <w:szCs w:val="22"/>
        </w:rPr>
        <w:t>2.2. Take-home assignments</w:t>
      </w:r>
    </w:p>
    <w:p w14:paraId="18ADA227" w14:textId="77777777" w:rsidR="00A541D1" w:rsidRDefault="00254D4A">
      <w:pPr>
        <w:spacing w:after="0"/>
        <w:ind w:left="1440"/>
        <w:jc w:val="both"/>
        <w:rPr>
          <w:rFonts w:ascii="Garamond" w:eastAsia="Garamond" w:hAnsi="Garamond" w:cs="Garamond"/>
          <w:sz w:val="22"/>
          <w:szCs w:val="22"/>
        </w:rPr>
      </w:pPr>
      <w:r>
        <w:rPr>
          <w:rFonts w:ascii="Garamond" w:eastAsia="Garamond" w:hAnsi="Garamond" w:cs="Garamond"/>
          <w:sz w:val="22"/>
          <w:szCs w:val="22"/>
        </w:rPr>
        <w:t>2.3. Gro</w:t>
      </w:r>
      <w:r>
        <w:rPr>
          <w:rFonts w:ascii="Garamond" w:eastAsia="Garamond" w:hAnsi="Garamond" w:cs="Garamond"/>
          <w:sz w:val="22"/>
          <w:szCs w:val="22"/>
        </w:rPr>
        <w:t>up tasks</w:t>
      </w:r>
    </w:p>
    <w:p w14:paraId="583275FA" w14:textId="77777777" w:rsidR="00A541D1" w:rsidRDefault="00254D4A">
      <w:pPr>
        <w:spacing w:after="0"/>
        <w:ind w:left="1440"/>
        <w:jc w:val="both"/>
        <w:rPr>
          <w:rFonts w:ascii="Garamond" w:eastAsia="Garamond" w:hAnsi="Garamond" w:cs="Garamond"/>
          <w:sz w:val="22"/>
          <w:szCs w:val="22"/>
        </w:rPr>
      </w:pPr>
      <w:r>
        <w:rPr>
          <w:rFonts w:ascii="Garamond" w:eastAsia="Garamond" w:hAnsi="Garamond" w:cs="Garamond"/>
          <w:sz w:val="22"/>
          <w:szCs w:val="22"/>
        </w:rPr>
        <w:t>2.4. Examinations</w:t>
      </w:r>
    </w:p>
    <w:p w14:paraId="22E4E06C" w14:textId="77777777" w:rsidR="00A541D1" w:rsidRDefault="00254D4A">
      <w:pPr>
        <w:numPr>
          <w:ilvl w:val="0"/>
          <w:numId w:val="1"/>
        </w:numPr>
        <w:spacing w:after="0"/>
        <w:jc w:val="both"/>
        <w:rPr>
          <w:rFonts w:ascii="Garamond" w:eastAsia="Garamond" w:hAnsi="Garamond" w:cs="Garamond"/>
          <w:sz w:val="22"/>
          <w:szCs w:val="22"/>
        </w:rPr>
      </w:pPr>
      <w:r>
        <w:rPr>
          <w:rFonts w:ascii="Garamond" w:eastAsia="Garamond" w:hAnsi="Garamond" w:cs="Garamond"/>
          <w:sz w:val="22"/>
          <w:szCs w:val="22"/>
        </w:rPr>
        <w:t>Is there a significant relationship between metacognitive awareness and persistence in solving mathematical problems?</w:t>
      </w:r>
    </w:p>
    <w:p w14:paraId="41825897" w14:textId="77777777" w:rsidR="00A541D1" w:rsidRDefault="00254D4A">
      <w:pPr>
        <w:numPr>
          <w:ilvl w:val="0"/>
          <w:numId w:val="1"/>
        </w:numPr>
        <w:spacing w:after="0"/>
        <w:jc w:val="both"/>
        <w:rPr>
          <w:rFonts w:ascii="Garamond" w:eastAsia="Garamond" w:hAnsi="Garamond" w:cs="Garamond"/>
          <w:sz w:val="22"/>
          <w:szCs w:val="22"/>
        </w:rPr>
      </w:pPr>
      <w:r>
        <w:rPr>
          <w:rFonts w:ascii="Garamond" w:eastAsia="Garamond" w:hAnsi="Garamond" w:cs="Garamond"/>
          <w:sz w:val="22"/>
          <w:szCs w:val="22"/>
        </w:rPr>
        <w:t>Does metacognitive awareness significantly influence persistence in solving mathematical problems?</w:t>
      </w:r>
    </w:p>
    <w:p w14:paraId="408D6C07" w14:textId="77777777" w:rsidR="00A541D1" w:rsidRDefault="00A541D1">
      <w:pPr>
        <w:tabs>
          <w:tab w:val="left" w:pos="720"/>
        </w:tabs>
        <w:spacing w:after="0"/>
        <w:jc w:val="both"/>
        <w:rPr>
          <w:rFonts w:ascii="Garamond" w:eastAsia="Garamond" w:hAnsi="Garamond" w:cs="Garamond"/>
          <w:sz w:val="22"/>
          <w:szCs w:val="22"/>
        </w:rPr>
      </w:pPr>
    </w:p>
    <w:p w14:paraId="0C7613D9" w14:textId="77777777" w:rsidR="00A541D1" w:rsidRDefault="00254D4A">
      <w:pPr>
        <w:jc w:val="both"/>
        <w:rPr>
          <w:rFonts w:ascii="Garamond" w:eastAsia="Garamond" w:hAnsi="Garamond" w:cs="Garamond"/>
          <w:i/>
          <w:sz w:val="22"/>
          <w:szCs w:val="22"/>
        </w:rPr>
      </w:pPr>
      <w:r>
        <w:rPr>
          <w:rFonts w:ascii="Garamond" w:eastAsia="Garamond" w:hAnsi="Garamond" w:cs="Garamond"/>
          <w:b/>
          <w:i/>
          <w:sz w:val="22"/>
          <w:szCs w:val="22"/>
        </w:rPr>
        <w:t>Null Hypoth</w:t>
      </w:r>
      <w:r>
        <w:rPr>
          <w:rFonts w:ascii="Garamond" w:eastAsia="Garamond" w:hAnsi="Garamond" w:cs="Garamond"/>
          <w:b/>
          <w:i/>
          <w:sz w:val="22"/>
          <w:szCs w:val="22"/>
        </w:rPr>
        <w:t>eses</w:t>
      </w:r>
    </w:p>
    <w:p w14:paraId="28E4345D" w14:textId="77777777" w:rsidR="00A541D1" w:rsidRDefault="00254D4A">
      <w:pPr>
        <w:ind w:left="720"/>
        <w:rPr>
          <w:rFonts w:ascii="Garamond" w:eastAsia="Garamond" w:hAnsi="Garamond" w:cs="Garamond"/>
          <w:sz w:val="22"/>
          <w:szCs w:val="22"/>
        </w:rPr>
      </w:pPr>
      <w:r>
        <w:rPr>
          <w:rFonts w:ascii="Garamond" w:eastAsia="Garamond" w:hAnsi="Garamond" w:cs="Garamond"/>
          <w:sz w:val="22"/>
          <w:szCs w:val="22"/>
        </w:rPr>
        <w:t>Ho1: There is no significant relationship between metacognitive awareness and persistence in solving mathematical problems.</w:t>
      </w:r>
      <w:r>
        <w:rPr>
          <w:rFonts w:ascii="Garamond" w:eastAsia="Garamond" w:hAnsi="Garamond" w:cs="Garamond"/>
          <w:sz w:val="22"/>
          <w:szCs w:val="22"/>
        </w:rPr>
        <w:br/>
        <w:t>Ho2: There is no significant influence of metacognitive awareness on persistence in solving mathematical problems.</w:t>
      </w:r>
    </w:p>
    <w:p w14:paraId="55B9A708" w14:textId="77777777" w:rsidR="00A541D1" w:rsidRDefault="00254D4A">
      <w:pPr>
        <w:jc w:val="both"/>
        <w:rPr>
          <w:rFonts w:ascii="Garamond" w:eastAsia="Garamond" w:hAnsi="Garamond" w:cs="Garamond"/>
          <w:i/>
          <w:sz w:val="22"/>
          <w:szCs w:val="22"/>
        </w:rPr>
      </w:pPr>
      <w:r>
        <w:rPr>
          <w:rFonts w:ascii="Garamond" w:eastAsia="Garamond" w:hAnsi="Garamond" w:cs="Garamond"/>
          <w:b/>
          <w:i/>
          <w:sz w:val="22"/>
          <w:szCs w:val="22"/>
        </w:rPr>
        <w:t>Theoretical/</w:t>
      </w:r>
      <w:r>
        <w:rPr>
          <w:rFonts w:ascii="Garamond" w:eastAsia="Garamond" w:hAnsi="Garamond" w:cs="Garamond"/>
          <w:b/>
          <w:i/>
          <w:sz w:val="22"/>
          <w:szCs w:val="22"/>
        </w:rPr>
        <w:t>Conceptual Framework</w:t>
      </w:r>
    </w:p>
    <w:p w14:paraId="4E49B02D" w14:textId="5527F325" w:rsidR="00A541D1" w:rsidRDefault="00254D4A">
      <w:pPr>
        <w:ind w:firstLine="720"/>
        <w:jc w:val="both"/>
        <w:rPr>
          <w:rFonts w:ascii="Garamond" w:eastAsia="Garamond" w:hAnsi="Garamond" w:cs="Garamond"/>
          <w:sz w:val="22"/>
          <w:szCs w:val="22"/>
        </w:rPr>
      </w:pPr>
      <w:r>
        <w:rPr>
          <w:rFonts w:ascii="Garamond" w:eastAsia="Garamond" w:hAnsi="Garamond" w:cs="Garamond"/>
          <w:sz w:val="22"/>
          <w:szCs w:val="22"/>
        </w:rPr>
        <w:t xml:space="preserve">This study is anchored in </w:t>
      </w:r>
      <w:bookmarkStart w:id="6" w:name="_Hlk199676758"/>
      <w:r>
        <w:rPr>
          <w:rFonts w:ascii="Garamond" w:eastAsia="Garamond" w:hAnsi="Garamond" w:cs="Garamond"/>
          <w:sz w:val="22"/>
          <w:szCs w:val="22"/>
        </w:rPr>
        <w:t xml:space="preserve">John Flavell's (1979) </w:t>
      </w:r>
      <w:bookmarkEnd w:id="6"/>
      <w:r>
        <w:rPr>
          <w:rFonts w:ascii="Garamond" w:eastAsia="Garamond" w:hAnsi="Garamond" w:cs="Garamond"/>
          <w:sz w:val="22"/>
          <w:szCs w:val="22"/>
        </w:rPr>
        <w:t>theory of metacognition, which emphasizes the learner's ability to monitor and control their cognitive processes. Metacognitive awareness comprises two core components: knowledge about co</w:t>
      </w:r>
      <w:r>
        <w:rPr>
          <w:rFonts w:ascii="Garamond" w:eastAsia="Garamond" w:hAnsi="Garamond" w:cs="Garamond"/>
          <w:sz w:val="22"/>
          <w:szCs w:val="22"/>
        </w:rPr>
        <w:t>gnition and regulation of cognition. These skills enable students to manage their learning strategies effectively, contributing to enhanced persistence when faced with difficult mathematical tasks. When students are aware of their cognitive processes, they</w:t>
      </w:r>
      <w:r>
        <w:rPr>
          <w:rFonts w:ascii="Garamond" w:eastAsia="Garamond" w:hAnsi="Garamond" w:cs="Garamond"/>
          <w:sz w:val="22"/>
          <w:szCs w:val="22"/>
        </w:rPr>
        <w:t xml:space="preserve"> are more likely to persist, adapt strategies, and manage emotional responses to academic challenges. </w:t>
      </w:r>
    </w:p>
    <w:tbl>
      <w:tblPr>
        <w:tblStyle w:val="Style11"/>
        <w:tblpPr w:leftFromText="180" w:rightFromText="180" w:topFromText="180" w:bottomFromText="180" w:vertAnchor="text" w:horzAnchor="page" w:tblpX="2221" w:tblpY="344"/>
        <w:tblW w:w="2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805"/>
      </w:tblGrid>
      <w:tr w:rsidR="00A541D1" w14:paraId="4D04EF47" w14:textId="77777777">
        <w:trPr>
          <w:trHeight w:val="3402"/>
        </w:trPr>
        <w:tc>
          <w:tcPr>
            <w:tcW w:w="2805" w:type="dxa"/>
          </w:tcPr>
          <w:p w14:paraId="7BF8991E" w14:textId="77777777" w:rsidR="00A541D1" w:rsidRDefault="00254D4A">
            <w:pPr>
              <w:widowControl w:val="0"/>
              <w:spacing w:line="276" w:lineRule="auto"/>
              <w:rPr>
                <w:rFonts w:ascii="Garamond" w:eastAsia="Garamond" w:hAnsi="Garamond" w:cs="Garamond"/>
                <w:b/>
                <w:sz w:val="22"/>
                <w:szCs w:val="22"/>
              </w:rPr>
            </w:pPr>
            <w:r>
              <w:rPr>
                <w:rFonts w:ascii="Garamond" w:eastAsia="Garamond" w:hAnsi="Garamond" w:cs="Garamond"/>
                <w:b/>
                <w:sz w:val="22"/>
                <w:szCs w:val="22"/>
              </w:rPr>
              <w:t xml:space="preserve">Metacognitive Awareness </w:t>
            </w:r>
          </w:p>
          <w:p w14:paraId="0B170DE3" w14:textId="77777777" w:rsidR="00A541D1" w:rsidRDefault="00254D4A">
            <w:pPr>
              <w:pStyle w:val="ListParagraph"/>
              <w:widowControl w:val="0"/>
              <w:numPr>
                <w:ilvl w:val="0"/>
                <w:numId w:val="2"/>
              </w:numPr>
              <w:spacing w:after="0" w:line="276" w:lineRule="auto"/>
              <w:rPr>
                <w:rFonts w:ascii="Garamond" w:eastAsia="Garamond" w:hAnsi="Garamond" w:cs="Garamond"/>
                <w:sz w:val="22"/>
                <w:szCs w:val="22"/>
              </w:rPr>
            </w:pPr>
            <w:r>
              <w:rPr>
                <w:rFonts w:ascii="Garamond" w:eastAsia="Garamond" w:hAnsi="Garamond" w:cs="Garamond"/>
                <w:sz w:val="22"/>
                <w:szCs w:val="22"/>
              </w:rPr>
              <w:t>Knowledge About Cognition</w:t>
            </w:r>
          </w:p>
          <w:p w14:paraId="0E7C65DB" w14:textId="77777777" w:rsidR="00A541D1" w:rsidRDefault="00A541D1">
            <w:pPr>
              <w:pStyle w:val="ListParagraph"/>
              <w:widowControl w:val="0"/>
              <w:spacing w:after="0" w:line="276" w:lineRule="auto"/>
              <w:rPr>
                <w:rFonts w:ascii="Garamond" w:eastAsia="Garamond" w:hAnsi="Garamond" w:cs="Garamond"/>
                <w:sz w:val="22"/>
                <w:szCs w:val="22"/>
              </w:rPr>
            </w:pPr>
          </w:p>
          <w:p w14:paraId="555C325D" w14:textId="77777777" w:rsidR="00A541D1" w:rsidRDefault="00254D4A">
            <w:pPr>
              <w:pStyle w:val="ListParagraph"/>
              <w:widowControl w:val="0"/>
              <w:numPr>
                <w:ilvl w:val="0"/>
                <w:numId w:val="2"/>
              </w:numPr>
              <w:spacing w:after="0" w:line="276" w:lineRule="auto"/>
              <w:rPr>
                <w:rFonts w:ascii="Garamond" w:eastAsia="Garamond" w:hAnsi="Garamond" w:cs="Garamond"/>
                <w:b/>
                <w:sz w:val="22"/>
                <w:szCs w:val="22"/>
              </w:rPr>
            </w:pPr>
            <w:r>
              <w:rPr>
                <w:rFonts w:ascii="Garamond" w:eastAsia="Garamond" w:hAnsi="Garamond" w:cs="Garamond"/>
                <w:b/>
                <w:noProof/>
                <w:sz w:val="22"/>
                <w:szCs w:val="22"/>
              </w:rPr>
              <mc:AlternateContent>
                <mc:Choice Requires="wps">
                  <w:drawing>
                    <wp:anchor distT="0" distB="0" distL="114300" distR="114300" simplePos="0" relativeHeight="251659264" behindDoc="0" locked="0" layoutInCell="1" allowOverlap="1" wp14:anchorId="77F969E2" wp14:editId="365FEE66">
                      <wp:simplePos x="0" y="0"/>
                      <wp:positionH relativeFrom="column">
                        <wp:posOffset>1714500</wp:posOffset>
                      </wp:positionH>
                      <wp:positionV relativeFrom="paragraph">
                        <wp:posOffset>265430</wp:posOffset>
                      </wp:positionV>
                      <wp:extent cx="642620" cy="0"/>
                      <wp:effectExtent l="0" t="76200" r="24765" b="95250"/>
                      <wp:wrapNone/>
                      <wp:docPr id="1147352052" name="Straight Arrow Connector 3"/>
                      <wp:cNvGraphicFramePr/>
                      <a:graphic xmlns:a="http://schemas.openxmlformats.org/drawingml/2006/main">
                        <a:graphicData uri="http://schemas.microsoft.com/office/word/2010/wordprocessingShape">
                          <wps:wsp>
                            <wps:cNvCnPr/>
                            <wps:spPr>
                              <a:xfrm>
                                <a:off x="0" y="0"/>
                                <a:ext cx="6423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Straight Arrow Connector 3" o:spid="_x0000_s1026" o:spt="32" type="#_x0000_t32" style="position:absolute;left:0pt;margin-left:135pt;margin-top:20.9pt;height:0pt;width:50.6pt;z-index:251659264;mso-width-relative:page;mso-height-relative:page;" filled="f" stroked="t" coordsize="21600,21600" o:gfxdata="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w9Di62QAAAAkBAAAPAAAAAAAAAAEAIAAAACIAAABkcnMvZG93&#10;bnJldi54bWxQSwECFAAUAAAACACHTuJADczv6/8BAAAOBAAADgAAAAAAAAABACAAAAAoAQAAZHJz&#10;L2Uyb0RvYy54bWxQSwUGAAAAAAYABgBZAQAAmQUAAAAA&#10;">
                      <v:fill on="f" focussize="0,0"/>
                      <v:stroke color="#000000 [3200]" joinstyle="round" endarrow="block"/>
                      <v:imagedata o:title=""/>
                      <o:lock v:ext="edit" aspectratio="f"/>
                    </v:shape>
                  </w:pict>
                </mc:Fallback>
              </mc:AlternateContent>
            </w:r>
            <w:r>
              <w:rPr>
                <w:rFonts w:ascii="Garamond" w:eastAsia="Garamond" w:hAnsi="Garamond" w:cs="Garamond"/>
                <w:sz w:val="22"/>
                <w:szCs w:val="22"/>
              </w:rPr>
              <w:t>Regulation of Cognition</w:t>
            </w:r>
          </w:p>
        </w:tc>
      </w:tr>
    </w:tbl>
    <w:p w14:paraId="515C5A4C" w14:textId="77777777" w:rsidR="00A541D1" w:rsidRDefault="00A541D1">
      <w:pPr>
        <w:spacing w:line="276" w:lineRule="auto"/>
        <w:rPr>
          <w:rFonts w:ascii="Garamond" w:eastAsia="Garamond" w:hAnsi="Garamond" w:cs="Garamond"/>
          <w:b/>
          <w:sz w:val="22"/>
          <w:szCs w:val="22"/>
        </w:rPr>
      </w:pPr>
    </w:p>
    <w:tbl>
      <w:tblPr>
        <w:tblStyle w:val="Style12"/>
        <w:tblpPr w:leftFromText="180" w:rightFromText="180" w:topFromText="180" w:bottomFromText="180" w:vertAnchor="text" w:horzAnchor="page" w:tblpX="6061" w:tblpY="57"/>
        <w:tblW w:w="4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274"/>
      </w:tblGrid>
      <w:tr w:rsidR="00A541D1" w14:paraId="4C49ED1B" w14:textId="77777777">
        <w:trPr>
          <w:trHeight w:val="3193"/>
        </w:trPr>
        <w:tc>
          <w:tcPr>
            <w:tcW w:w="4274" w:type="dxa"/>
          </w:tcPr>
          <w:p w14:paraId="5F00F7D7" w14:textId="77777777" w:rsidR="00A541D1" w:rsidRDefault="00254D4A">
            <w:pPr>
              <w:widowControl w:val="0"/>
              <w:spacing w:line="276" w:lineRule="auto"/>
              <w:jc w:val="center"/>
              <w:rPr>
                <w:rFonts w:ascii="Garamond" w:eastAsia="Garamond" w:hAnsi="Garamond" w:cs="Garamond"/>
                <w:b/>
                <w:sz w:val="22"/>
                <w:szCs w:val="22"/>
              </w:rPr>
            </w:pPr>
            <w:r>
              <w:rPr>
                <w:rFonts w:ascii="Garamond" w:eastAsia="Garamond" w:hAnsi="Garamond" w:cs="Garamond"/>
                <w:b/>
                <w:sz w:val="22"/>
                <w:szCs w:val="22"/>
              </w:rPr>
              <w:t>Persistence in Solving Mathematics Problem</w:t>
            </w:r>
          </w:p>
          <w:p w14:paraId="4330D1F7" w14:textId="77777777" w:rsidR="00A541D1" w:rsidRDefault="00254D4A">
            <w:pPr>
              <w:pStyle w:val="ListParagraph"/>
              <w:widowControl w:val="0"/>
              <w:numPr>
                <w:ilvl w:val="0"/>
                <w:numId w:val="3"/>
              </w:numPr>
              <w:spacing w:after="0" w:line="276" w:lineRule="auto"/>
              <w:rPr>
                <w:rFonts w:ascii="Garamond" w:eastAsia="Garamond" w:hAnsi="Garamond" w:cs="Garamond"/>
                <w:sz w:val="22"/>
                <w:szCs w:val="22"/>
              </w:rPr>
            </w:pPr>
            <w:bookmarkStart w:id="7" w:name="_92908u2byv4y" w:colFirst="0" w:colLast="0"/>
            <w:bookmarkEnd w:id="7"/>
            <w:r>
              <w:rPr>
                <w:rFonts w:ascii="Garamond" w:eastAsia="Garamond" w:hAnsi="Garamond" w:cs="Garamond"/>
                <w:sz w:val="22"/>
                <w:szCs w:val="22"/>
              </w:rPr>
              <w:t xml:space="preserve">Classroom exercises </w:t>
            </w:r>
          </w:p>
          <w:p w14:paraId="42F3C8EC" w14:textId="77777777" w:rsidR="00A541D1" w:rsidRDefault="00A541D1">
            <w:pPr>
              <w:widowControl w:val="0"/>
              <w:spacing w:after="0" w:line="276" w:lineRule="auto"/>
              <w:ind w:left="720"/>
              <w:rPr>
                <w:rFonts w:ascii="Garamond" w:eastAsia="Garamond" w:hAnsi="Garamond" w:cs="Garamond"/>
                <w:sz w:val="22"/>
                <w:szCs w:val="22"/>
              </w:rPr>
            </w:pPr>
          </w:p>
          <w:p w14:paraId="1D6FD78F" w14:textId="77777777" w:rsidR="00A541D1" w:rsidRDefault="00254D4A">
            <w:pPr>
              <w:pStyle w:val="ListParagraph"/>
              <w:widowControl w:val="0"/>
              <w:numPr>
                <w:ilvl w:val="0"/>
                <w:numId w:val="3"/>
              </w:numPr>
              <w:spacing w:after="0" w:line="276" w:lineRule="auto"/>
              <w:rPr>
                <w:rFonts w:ascii="Garamond" w:eastAsia="Garamond" w:hAnsi="Garamond" w:cs="Garamond"/>
                <w:sz w:val="22"/>
                <w:szCs w:val="22"/>
              </w:rPr>
            </w:pPr>
            <w:r>
              <w:rPr>
                <w:rFonts w:ascii="Garamond" w:eastAsia="Garamond" w:hAnsi="Garamond" w:cs="Garamond"/>
                <w:sz w:val="22"/>
                <w:szCs w:val="22"/>
              </w:rPr>
              <w:t xml:space="preserve">Take home assignments </w:t>
            </w:r>
          </w:p>
          <w:p w14:paraId="66AD49E9" w14:textId="77777777" w:rsidR="00A541D1" w:rsidRDefault="00A541D1">
            <w:pPr>
              <w:pStyle w:val="ListParagraph"/>
              <w:widowControl w:val="0"/>
              <w:spacing w:after="0" w:line="276" w:lineRule="auto"/>
              <w:rPr>
                <w:rFonts w:ascii="Garamond" w:eastAsia="Garamond" w:hAnsi="Garamond" w:cs="Garamond"/>
                <w:sz w:val="22"/>
                <w:szCs w:val="22"/>
              </w:rPr>
            </w:pPr>
          </w:p>
          <w:p w14:paraId="20F95BFE" w14:textId="77777777" w:rsidR="00A541D1" w:rsidRDefault="00254D4A">
            <w:pPr>
              <w:pStyle w:val="ListParagraph"/>
              <w:widowControl w:val="0"/>
              <w:numPr>
                <w:ilvl w:val="0"/>
                <w:numId w:val="3"/>
              </w:numPr>
              <w:spacing w:after="0" w:line="276" w:lineRule="auto"/>
              <w:rPr>
                <w:rFonts w:ascii="Garamond" w:eastAsia="Garamond" w:hAnsi="Garamond" w:cs="Garamond"/>
                <w:sz w:val="22"/>
                <w:szCs w:val="22"/>
              </w:rPr>
            </w:pPr>
            <w:r>
              <w:rPr>
                <w:rFonts w:ascii="Garamond" w:eastAsia="Garamond" w:hAnsi="Garamond" w:cs="Garamond"/>
                <w:sz w:val="22"/>
                <w:szCs w:val="22"/>
              </w:rPr>
              <w:t>Group tasks</w:t>
            </w:r>
          </w:p>
          <w:p w14:paraId="194AEBC7" w14:textId="77777777" w:rsidR="00A541D1" w:rsidRDefault="00A541D1">
            <w:pPr>
              <w:widowControl w:val="0"/>
              <w:spacing w:after="0" w:line="276" w:lineRule="auto"/>
              <w:rPr>
                <w:rFonts w:ascii="Garamond" w:eastAsia="Garamond" w:hAnsi="Garamond" w:cs="Garamond"/>
                <w:sz w:val="22"/>
                <w:szCs w:val="22"/>
              </w:rPr>
            </w:pPr>
          </w:p>
          <w:p w14:paraId="6A43F63A" w14:textId="77777777" w:rsidR="00A541D1" w:rsidRDefault="00254D4A">
            <w:pPr>
              <w:pStyle w:val="ListParagraph"/>
              <w:widowControl w:val="0"/>
              <w:numPr>
                <w:ilvl w:val="0"/>
                <w:numId w:val="3"/>
              </w:numPr>
              <w:spacing w:after="0" w:line="276" w:lineRule="auto"/>
              <w:rPr>
                <w:rFonts w:ascii="Garamond" w:eastAsia="Garamond" w:hAnsi="Garamond" w:cs="Garamond"/>
                <w:b/>
                <w:sz w:val="22"/>
                <w:szCs w:val="22"/>
              </w:rPr>
            </w:pPr>
            <w:r>
              <w:rPr>
                <w:rFonts w:ascii="Garamond" w:eastAsia="Garamond" w:hAnsi="Garamond" w:cs="Garamond"/>
                <w:sz w:val="22"/>
                <w:szCs w:val="22"/>
              </w:rPr>
              <w:t>Examination</w:t>
            </w:r>
          </w:p>
        </w:tc>
      </w:tr>
    </w:tbl>
    <w:p w14:paraId="4B19FD13" w14:textId="77777777" w:rsidR="00A541D1" w:rsidRDefault="00A541D1">
      <w:pPr>
        <w:spacing w:line="276" w:lineRule="auto"/>
        <w:rPr>
          <w:rFonts w:ascii="Garamond" w:eastAsia="Garamond" w:hAnsi="Garamond" w:cs="Garamond"/>
          <w:b/>
          <w:sz w:val="22"/>
          <w:szCs w:val="22"/>
        </w:rPr>
      </w:pPr>
    </w:p>
    <w:p w14:paraId="3F0E9AB1" w14:textId="77777777" w:rsidR="00A541D1" w:rsidRDefault="00A541D1">
      <w:pPr>
        <w:jc w:val="both"/>
        <w:rPr>
          <w:rFonts w:ascii="Garamond" w:eastAsia="Garamond" w:hAnsi="Garamond" w:cs="Garamond"/>
          <w:sz w:val="22"/>
          <w:szCs w:val="22"/>
        </w:rPr>
      </w:pPr>
    </w:p>
    <w:p w14:paraId="2E515B82" w14:textId="77777777" w:rsidR="00A541D1" w:rsidRDefault="00A541D1">
      <w:pPr>
        <w:jc w:val="both"/>
        <w:rPr>
          <w:rFonts w:ascii="Garamond" w:eastAsia="Garamond" w:hAnsi="Garamond" w:cs="Garamond"/>
          <w:b/>
          <w:sz w:val="22"/>
          <w:szCs w:val="22"/>
        </w:rPr>
      </w:pPr>
    </w:p>
    <w:p w14:paraId="02305097" w14:textId="77777777" w:rsidR="00A541D1" w:rsidRDefault="00A541D1">
      <w:pPr>
        <w:jc w:val="both"/>
        <w:rPr>
          <w:rFonts w:ascii="Garamond" w:eastAsia="Garamond" w:hAnsi="Garamond" w:cs="Garamond"/>
          <w:b/>
          <w:sz w:val="22"/>
          <w:szCs w:val="22"/>
        </w:rPr>
      </w:pPr>
    </w:p>
    <w:p w14:paraId="1290537A" w14:textId="77777777" w:rsidR="00A541D1" w:rsidRDefault="00A541D1">
      <w:pPr>
        <w:jc w:val="both"/>
        <w:rPr>
          <w:rFonts w:ascii="Garamond" w:eastAsia="Garamond" w:hAnsi="Garamond" w:cs="Garamond"/>
          <w:b/>
          <w:sz w:val="22"/>
          <w:szCs w:val="22"/>
        </w:rPr>
      </w:pPr>
    </w:p>
    <w:p w14:paraId="45DF1FA7" w14:textId="77777777" w:rsidR="00A541D1" w:rsidRDefault="00A541D1">
      <w:pPr>
        <w:jc w:val="both"/>
        <w:rPr>
          <w:rFonts w:ascii="Garamond" w:eastAsia="Garamond" w:hAnsi="Garamond" w:cs="Garamond"/>
          <w:b/>
          <w:sz w:val="22"/>
          <w:szCs w:val="22"/>
        </w:rPr>
      </w:pPr>
    </w:p>
    <w:p w14:paraId="1BCE1A38" w14:textId="77777777" w:rsidR="00A541D1" w:rsidRDefault="00A541D1">
      <w:pPr>
        <w:spacing w:after="0"/>
        <w:jc w:val="both"/>
        <w:rPr>
          <w:rFonts w:ascii="Garamond" w:eastAsia="Garamond" w:hAnsi="Garamond" w:cs="Garamond"/>
          <w:b/>
          <w:sz w:val="22"/>
          <w:szCs w:val="22"/>
        </w:rPr>
      </w:pPr>
    </w:p>
    <w:p w14:paraId="4CD093EF" w14:textId="77777777" w:rsidR="00A541D1" w:rsidRDefault="00A541D1">
      <w:pPr>
        <w:spacing w:after="0"/>
        <w:jc w:val="both"/>
        <w:rPr>
          <w:rFonts w:ascii="Garamond" w:eastAsia="Garamond" w:hAnsi="Garamond" w:cs="Garamond"/>
          <w:b/>
          <w:sz w:val="22"/>
          <w:szCs w:val="22"/>
        </w:rPr>
      </w:pPr>
    </w:p>
    <w:p w14:paraId="78C81D80" w14:textId="77777777" w:rsidR="00A541D1" w:rsidRDefault="00A541D1">
      <w:pPr>
        <w:spacing w:after="0"/>
        <w:jc w:val="both"/>
        <w:rPr>
          <w:rFonts w:ascii="Garamond" w:eastAsia="Garamond" w:hAnsi="Garamond" w:cs="Garamond"/>
          <w:b/>
          <w:sz w:val="22"/>
          <w:szCs w:val="22"/>
        </w:rPr>
      </w:pPr>
    </w:p>
    <w:p w14:paraId="3020A3FF" w14:textId="77777777" w:rsidR="00A541D1" w:rsidRDefault="00254D4A">
      <w:pPr>
        <w:spacing w:after="0"/>
        <w:jc w:val="both"/>
        <w:rPr>
          <w:rFonts w:ascii="Garamond" w:eastAsia="Garamond" w:hAnsi="Garamond" w:cs="Garamond"/>
          <w:b/>
          <w:i/>
          <w:sz w:val="22"/>
          <w:szCs w:val="22"/>
        </w:rPr>
      </w:pPr>
      <w:r>
        <w:rPr>
          <w:rFonts w:ascii="Garamond" w:eastAsia="Garamond" w:hAnsi="Garamond" w:cs="Garamond"/>
          <w:b/>
          <w:i/>
          <w:sz w:val="22"/>
          <w:szCs w:val="22"/>
        </w:rPr>
        <w:t>Figure 1. Conceptual Framework</w:t>
      </w:r>
    </w:p>
    <w:p w14:paraId="6F404813" w14:textId="77777777" w:rsidR="00A541D1" w:rsidRDefault="00A541D1">
      <w:pPr>
        <w:spacing w:after="0"/>
        <w:jc w:val="both"/>
        <w:rPr>
          <w:rFonts w:ascii="Garamond" w:eastAsia="Garamond" w:hAnsi="Garamond" w:cs="Garamond"/>
          <w:i/>
          <w:sz w:val="22"/>
          <w:szCs w:val="22"/>
        </w:rPr>
      </w:pPr>
    </w:p>
    <w:p w14:paraId="1019E3F6" w14:textId="77777777" w:rsidR="00A541D1" w:rsidRDefault="00254D4A">
      <w:pPr>
        <w:jc w:val="both"/>
        <w:rPr>
          <w:rFonts w:ascii="Garamond" w:eastAsia="Garamond" w:hAnsi="Garamond" w:cs="Garamond"/>
          <w:i/>
          <w:sz w:val="22"/>
          <w:szCs w:val="22"/>
        </w:rPr>
      </w:pPr>
      <w:r>
        <w:rPr>
          <w:rFonts w:ascii="Garamond" w:eastAsia="Garamond" w:hAnsi="Garamond" w:cs="Garamond"/>
          <w:b/>
          <w:i/>
          <w:sz w:val="22"/>
          <w:szCs w:val="22"/>
        </w:rPr>
        <w:lastRenderedPageBreak/>
        <w:t>Methodology</w:t>
      </w:r>
    </w:p>
    <w:p w14:paraId="4C4B0CF0" w14:textId="77777777" w:rsidR="00A541D1" w:rsidRDefault="00254D4A">
      <w:pPr>
        <w:ind w:firstLine="720"/>
        <w:jc w:val="both"/>
        <w:rPr>
          <w:rFonts w:ascii="Garamond" w:eastAsia="Garamond" w:hAnsi="Garamond" w:cs="Garamond"/>
          <w:sz w:val="22"/>
          <w:szCs w:val="22"/>
        </w:rPr>
      </w:pPr>
      <w:r>
        <w:rPr>
          <w:rFonts w:ascii="Garamond" w:eastAsia="Garamond" w:hAnsi="Garamond" w:cs="Garamond"/>
          <w:sz w:val="22"/>
          <w:szCs w:val="22"/>
        </w:rPr>
        <w:t xml:space="preserve">This study utilized a descriptive-correlational research design to explore the relationship and influence of metacognitive awareness on students' </w:t>
      </w:r>
      <w:r>
        <w:rPr>
          <w:rFonts w:ascii="Garamond" w:eastAsia="Garamond" w:hAnsi="Garamond" w:cs="Garamond"/>
          <w:sz w:val="22"/>
          <w:szCs w:val="22"/>
        </w:rPr>
        <w:t xml:space="preserve">persistence in solving mathematical problems. It was conducted at Davao Central College, located in </w:t>
      </w:r>
      <w:proofErr w:type="spellStart"/>
      <w:r>
        <w:rPr>
          <w:rFonts w:ascii="Garamond" w:eastAsia="Garamond" w:hAnsi="Garamond" w:cs="Garamond"/>
          <w:sz w:val="22"/>
          <w:szCs w:val="22"/>
        </w:rPr>
        <w:t>Toril</w:t>
      </w:r>
      <w:proofErr w:type="spellEnd"/>
      <w:r>
        <w:rPr>
          <w:rFonts w:ascii="Garamond" w:eastAsia="Garamond" w:hAnsi="Garamond" w:cs="Garamond"/>
          <w:sz w:val="22"/>
          <w:szCs w:val="22"/>
        </w:rPr>
        <w:t>, Davao City, Philippines, during the academic year 2024–2025.</w:t>
      </w:r>
    </w:p>
    <w:p w14:paraId="763C3258" w14:textId="324FCFE6" w:rsidR="00A541D1" w:rsidRDefault="00254D4A">
      <w:pPr>
        <w:ind w:firstLine="720"/>
        <w:jc w:val="both"/>
        <w:rPr>
          <w:rFonts w:ascii="Garamond" w:eastAsia="Garamond" w:hAnsi="Garamond" w:cs="Garamond"/>
          <w:sz w:val="22"/>
          <w:szCs w:val="22"/>
        </w:rPr>
      </w:pPr>
      <w:r>
        <w:rPr>
          <w:rFonts w:ascii="Garamond" w:eastAsia="Garamond" w:hAnsi="Garamond" w:cs="Garamond"/>
          <w:sz w:val="22"/>
          <w:szCs w:val="22"/>
        </w:rPr>
        <w:t xml:space="preserve">The participants consisted of 100 </w:t>
      </w:r>
      <w:proofErr w:type="spellStart"/>
      <w:r>
        <w:rPr>
          <w:rFonts w:ascii="Garamond" w:eastAsia="Garamond" w:hAnsi="Garamond" w:cs="Garamond"/>
          <w:sz w:val="22"/>
          <w:szCs w:val="22"/>
        </w:rPr>
        <w:t>BSE</w:t>
      </w:r>
      <w:r w:rsidR="00B14FB4">
        <w:rPr>
          <w:rFonts w:ascii="Garamond" w:eastAsia="Garamond" w:hAnsi="Garamond" w:cs="Garamond"/>
          <w:sz w:val="22"/>
          <w:szCs w:val="22"/>
        </w:rPr>
        <w:t>d</w:t>
      </w:r>
      <w:proofErr w:type="spellEnd"/>
      <w:r>
        <w:rPr>
          <w:rFonts w:ascii="Garamond" w:eastAsia="Garamond" w:hAnsi="Garamond" w:cs="Garamond"/>
          <w:sz w:val="22"/>
          <w:szCs w:val="22"/>
        </w:rPr>
        <w:t xml:space="preserve"> Mathematics majors, from first to fourth year, se</w:t>
      </w:r>
      <w:r>
        <w:rPr>
          <w:rFonts w:ascii="Garamond" w:eastAsia="Garamond" w:hAnsi="Garamond" w:cs="Garamond"/>
          <w:sz w:val="22"/>
          <w:szCs w:val="22"/>
        </w:rPr>
        <w:t>lected through purposive sampling. Only officially enrolled students were included in the study.</w:t>
      </w:r>
    </w:p>
    <w:p w14:paraId="7E644E07" w14:textId="77777777" w:rsidR="00A541D1" w:rsidRDefault="00254D4A">
      <w:pPr>
        <w:ind w:firstLine="720"/>
        <w:jc w:val="both"/>
        <w:rPr>
          <w:rFonts w:ascii="Garamond" w:eastAsia="Garamond" w:hAnsi="Garamond" w:cs="Garamond"/>
          <w:sz w:val="22"/>
          <w:szCs w:val="22"/>
        </w:rPr>
      </w:pPr>
      <w:r>
        <w:rPr>
          <w:rFonts w:ascii="Garamond" w:eastAsia="Garamond" w:hAnsi="Garamond" w:cs="Garamond"/>
          <w:sz w:val="22"/>
          <w:szCs w:val="22"/>
        </w:rPr>
        <w:t xml:space="preserve">To gather the necessary data, two main instruments were used: </w:t>
      </w:r>
      <w:proofErr w:type="gramStart"/>
      <w:r>
        <w:rPr>
          <w:rFonts w:ascii="Garamond" w:eastAsia="Garamond" w:hAnsi="Garamond" w:cs="Garamond"/>
          <w:sz w:val="22"/>
          <w:szCs w:val="22"/>
        </w:rPr>
        <w:t>the</w:t>
      </w:r>
      <w:proofErr w:type="gramEnd"/>
      <w:r>
        <w:rPr>
          <w:rFonts w:ascii="Garamond" w:eastAsia="Garamond" w:hAnsi="Garamond" w:cs="Garamond"/>
          <w:sz w:val="22"/>
          <w:szCs w:val="22"/>
        </w:rPr>
        <w:t xml:space="preserve"> Metacognitive Awareness Inventory (MAI) developed by </w:t>
      </w:r>
      <w:bookmarkStart w:id="8" w:name="_Hlk199676775"/>
      <w:r>
        <w:rPr>
          <w:rFonts w:ascii="Garamond" w:eastAsia="Garamond" w:hAnsi="Garamond" w:cs="Garamond"/>
          <w:sz w:val="22"/>
          <w:szCs w:val="22"/>
        </w:rPr>
        <w:t xml:space="preserve">Schraw and Dennison (1994), </w:t>
      </w:r>
      <w:bookmarkEnd w:id="8"/>
      <w:r>
        <w:rPr>
          <w:rFonts w:ascii="Garamond" w:eastAsia="Garamond" w:hAnsi="Garamond" w:cs="Garamond"/>
          <w:sz w:val="22"/>
          <w:szCs w:val="22"/>
        </w:rPr>
        <w:t>which includ</w:t>
      </w:r>
      <w:r>
        <w:rPr>
          <w:rFonts w:ascii="Garamond" w:eastAsia="Garamond" w:hAnsi="Garamond" w:cs="Garamond"/>
          <w:sz w:val="22"/>
          <w:szCs w:val="22"/>
        </w:rPr>
        <w:t xml:space="preserve">es 52 items rated on a 5-point Likert scale, and the Persistence in Mathematical Problem-Solving Scale adopted from </w:t>
      </w:r>
      <w:bookmarkStart w:id="9" w:name="_Hlk199676768"/>
      <w:proofErr w:type="spellStart"/>
      <w:r>
        <w:rPr>
          <w:rFonts w:ascii="Garamond" w:eastAsia="Garamond" w:hAnsi="Garamond" w:cs="Garamond"/>
          <w:sz w:val="22"/>
          <w:szCs w:val="22"/>
        </w:rPr>
        <w:t>Ogbu</w:t>
      </w:r>
      <w:proofErr w:type="spellEnd"/>
      <w:r>
        <w:rPr>
          <w:rFonts w:ascii="Garamond" w:eastAsia="Garamond" w:hAnsi="Garamond" w:cs="Garamond"/>
          <w:sz w:val="22"/>
          <w:szCs w:val="22"/>
        </w:rPr>
        <w:t xml:space="preserve"> and </w:t>
      </w:r>
      <w:proofErr w:type="spellStart"/>
      <w:r>
        <w:rPr>
          <w:rFonts w:ascii="Garamond" w:eastAsia="Garamond" w:hAnsi="Garamond" w:cs="Garamond"/>
          <w:sz w:val="22"/>
          <w:szCs w:val="22"/>
        </w:rPr>
        <w:t>Ugwu</w:t>
      </w:r>
      <w:proofErr w:type="spellEnd"/>
      <w:r>
        <w:rPr>
          <w:rFonts w:ascii="Garamond" w:eastAsia="Garamond" w:hAnsi="Garamond" w:cs="Garamond"/>
          <w:sz w:val="22"/>
          <w:szCs w:val="22"/>
        </w:rPr>
        <w:t xml:space="preserve"> (2023), </w:t>
      </w:r>
      <w:bookmarkEnd w:id="9"/>
      <w:r>
        <w:rPr>
          <w:rFonts w:ascii="Garamond" w:eastAsia="Garamond" w:hAnsi="Garamond" w:cs="Garamond"/>
          <w:sz w:val="22"/>
          <w:szCs w:val="22"/>
        </w:rPr>
        <w:t xml:space="preserve">composed of 28 items categorized into four academic contexts—classroom exercises, take-home assignments, group tasks, </w:t>
      </w:r>
      <w:r>
        <w:rPr>
          <w:rFonts w:ascii="Garamond" w:eastAsia="Garamond" w:hAnsi="Garamond" w:cs="Garamond"/>
          <w:sz w:val="22"/>
          <w:szCs w:val="22"/>
        </w:rPr>
        <w:t>and examinations.</w:t>
      </w:r>
    </w:p>
    <w:p w14:paraId="691270AE" w14:textId="77777777" w:rsidR="00A541D1" w:rsidRDefault="00254D4A">
      <w:pPr>
        <w:ind w:firstLine="720"/>
        <w:jc w:val="both"/>
        <w:rPr>
          <w:rFonts w:ascii="Garamond" w:eastAsia="Garamond" w:hAnsi="Garamond" w:cs="Garamond"/>
          <w:sz w:val="22"/>
          <w:szCs w:val="22"/>
        </w:rPr>
      </w:pPr>
      <w:r>
        <w:rPr>
          <w:rFonts w:ascii="Garamond" w:eastAsia="Garamond" w:hAnsi="Garamond" w:cs="Garamond"/>
          <w:sz w:val="22"/>
          <w:szCs w:val="22"/>
        </w:rPr>
        <w:t>The data gathering procedure involved obtaining approval from the school administration and the program head. Informed consent was secured from the respondents prior to the distribution of the survey instruments. After collecting the resp</w:t>
      </w:r>
      <w:r>
        <w:rPr>
          <w:rFonts w:ascii="Garamond" w:eastAsia="Garamond" w:hAnsi="Garamond" w:cs="Garamond"/>
          <w:sz w:val="22"/>
          <w:szCs w:val="22"/>
        </w:rPr>
        <w:t>onses, the data were encoded and analyzed.</w:t>
      </w:r>
    </w:p>
    <w:p w14:paraId="0379B315" w14:textId="77777777" w:rsidR="00A541D1" w:rsidRDefault="00254D4A">
      <w:pPr>
        <w:ind w:firstLine="720"/>
        <w:jc w:val="both"/>
        <w:rPr>
          <w:rFonts w:ascii="Garamond" w:eastAsia="Garamond" w:hAnsi="Garamond" w:cs="Garamond"/>
          <w:sz w:val="22"/>
          <w:szCs w:val="22"/>
        </w:rPr>
      </w:pPr>
      <w:r>
        <w:rPr>
          <w:rFonts w:ascii="Garamond" w:eastAsia="Garamond" w:hAnsi="Garamond" w:cs="Garamond"/>
          <w:sz w:val="22"/>
          <w:szCs w:val="22"/>
        </w:rPr>
        <w:t>Descriptive statistics, such as mean and standard deviation, were used to determine the levels of metacognitive awareness and persistence. Pearson’s correlation coefficient was employed to identify the relationshi</w:t>
      </w:r>
      <w:r>
        <w:rPr>
          <w:rFonts w:ascii="Garamond" w:eastAsia="Garamond" w:hAnsi="Garamond" w:cs="Garamond"/>
          <w:sz w:val="22"/>
          <w:szCs w:val="22"/>
        </w:rPr>
        <w:t>ps between the two variables, and multiple regression analysis was conducted to determine the extent to which metacognitive awareness influences persistence.</w:t>
      </w:r>
    </w:p>
    <w:p w14:paraId="6ED7E75F" w14:textId="77777777" w:rsidR="00A541D1" w:rsidRDefault="00254D4A">
      <w:pPr>
        <w:ind w:firstLine="720"/>
        <w:jc w:val="both"/>
        <w:rPr>
          <w:rFonts w:ascii="Garamond" w:eastAsia="Garamond" w:hAnsi="Garamond" w:cs="Garamond"/>
          <w:sz w:val="22"/>
          <w:szCs w:val="22"/>
        </w:rPr>
      </w:pPr>
      <w:r>
        <w:rPr>
          <w:rFonts w:ascii="Garamond" w:eastAsia="Garamond" w:hAnsi="Garamond" w:cs="Garamond"/>
          <w:sz w:val="22"/>
          <w:szCs w:val="22"/>
        </w:rPr>
        <w:t xml:space="preserve">Ethical considerations were strictly observed throughout the research process. Confidentiality of </w:t>
      </w:r>
      <w:r>
        <w:rPr>
          <w:rFonts w:ascii="Garamond" w:eastAsia="Garamond" w:hAnsi="Garamond" w:cs="Garamond"/>
          <w:sz w:val="22"/>
          <w:szCs w:val="22"/>
        </w:rPr>
        <w:t>responses was ensured, and participation was voluntary, with respondents free to withdraw at any point without penalty.</w:t>
      </w:r>
    </w:p>
    <w:p w14:paraId="6BD410EF" w14:textId="77777777" w:rsidR="00A541D1" w:rsidRDefault="00A541D1">
      <w:pPr>
        <w:ind w:firstLine="720"/>
        <w:jc w:val="both"/>
        <w:rPr>
          <w:rFonts w:ascii="Garamond" w:eastAsia="Garamond" w:hAnsi="Garamond" w:cs="Garamond"/>
          <w:sz w:val="22"/>
          <w:szCs w:val="22"/>
        </w:rPr>
      </w:pPr>
    </w:p>
    <w:p w14:paraId="419A908B" w14:textId="77777777" w:rsidR="00A541D1" w:rsidRDefault="00A541D1">
      <w:pPr>
        <w:jc w:val="both"/>
        <w:rPr>
          <w:rFonts w:ascii="Garamond" w:eastAsia="Garamond" w:hAnsi="Garamond" w:cs="Garamond"/>
          <w:sz w:val="22"/>
          <w:szCs w:val="22"/>
        </w:rPr>
      </w:pPr>
    </w:p>
    <w:p w14:paraId="11D6B47D" w14:textId="77777777" w:rsidR="001F67F8" w:rsidRDefault="001F67F8">
      <w:pPr>
        <w:jc w:val="both"/>
        <w:rPr>
          <w:rFonts w:ascii="Garamond" w:eastAsia="Garamond" w:hAnsi="Garamond" w:cs="Garamond"/>
          <w:sz w:val="22"/>
          <w:szCs w:val="22"/>
        </w:rPr>
      </w:pPr>
    </w:p>
    <w:p w14:paraId="61A7F7BD" w14:textId="77777777" w:rsidR="00A541D1" w:rsidRDefault="00254D4A">
      <w:pPr>
        <w:jc w:val="both"/>
        <w:rPr>
          <w:rFonts w:ascii="Garamond" w:eastAsia="Garamond" w:hAnsi="Garamond" w:cs="Garamond"/>
          <w:b/>
          <w:sz w:val="22"/>
          <w:szCs w:val="22"/>
        </w:rPr>
      </w:pPr>
      <w:r>
        <w:rPr>
          <w:rFonts w:ascii="Garamond" w:eastAsia="Garamond" w:hAnsi="Garamond" w:cs="Garamond"/>
          <w:b/>
          <w:sz w:val="22"/>
          <w:szCs w:val="22"/>
        </w:rPr>
        <w:t xml:space="preserve">Results and Discussion </w:t>
      </w:r>
    </w:p>
    <w:p w14:paraId="03D8064C" w14:textId="77777777" w:rsidR="00A541D1" w:rsidRDefault="00254D4A">
      <w:pPr>
        <w:jc w:val="both"/>
        <w:rPr>
          <w:rFonts w:ascii="Garamond" w:eastAsia="Garamond" w:hAnsi="Garamond" w:cs="Garamond"/>
          <w:b/>
          <w:sz w:val="22"/>
          <w:szCs w:val="22"/>
        </w:rPr>
      </w:pPr>
      <w:r>
        <w:rPr>
          <w:rFonts w:ascii="Garamond" w:eastAsia="Garamond" w:hAnsi="Garamond" w:cs="Garamond"/>
          <w:b/>
          <w:sz w:val="22"/>
          <w:szCs w:val="22"/>
        </w:rPr>
        <w:t>Table 1. Descriptive Table</w:t>
      </w:r>
    </w:p>
    <w:tbl>
      <w:tblPr>
        <w:tblStyle w:val="Style13"/>
        <w:tblW w:w="9634" w:type="dxa"/>
        <w:jc w:val="center"/>
        <w:tblLayout w:type="fixed"/>
        <w:tblLook w:val="04A0" w:firstRow="1" w:lastRow="0" w:firstColumn="1" w:lastColumn="0" w:noHBand="0" w:noVBand="1"/>
      </w:tblPr>
      <w:tblGrid>
        <w:gridCol w:w="4111"/>
        <w:gridCol w:w="1843"/>
        <w:gridCol w:w="1559"/>
        <w:gridCol w:w="2121"/>
      </w:tblGrid>
      <w:tr w:rsidR="00A541D1" w:rsidRPr="005B1635" w14:paraId="0F6CB10E" w14:textId="77777777">
        <w:trPr>
          <w:jc w:val="center"/>
        </w:trPr>
        <w:tc>
          <w:tcPr>
            <w:tcW w:w="4111" w:type="dxa"/>
            <w:tcBorders>
              <w:top w:val="double" w:sz="4" w:space="0" w:color="000000"/>
              <w:bottom w:val="single" w:sz="4" w:space="0" w:color="auto"/>
            </w:tcBorders>
            <w:tcMar>
              <w:top w:w="0" w:type="dxa"/>
              <w:left w:w="108" w:type="dxa"/>
              <w:bottom w:w="0" w:type="dxa"/>
              <w:right w:w="108" w:type="dxa"/>
            </w:tcMar>
          </w:tcPr>
          <w:p w14:paraId="11765606" w14:textId="36DCC3C0" w:rsidR="00A541D1" w:rsidRPr="005B1635" w:rsidRDefault="00254D4A">
            <w:pPr>
              <w:pStyle w:val="NoSpacing"/>
              <w:jc w:val="center"/>
              <w:rPr>
                <w:rFonts w:ascii="Garamond" w:hAnsi="Garamond"/>
                <w:b/>
                <w:bCs/>
                <w:sz w:val="22"/>
                <w:szCs w:val="22"/>
                <w:highlight w:val="white"/>
              </w:rPr>
            </w:pPr>
            <w:r w:rsidRPr="005B1635">
              <w:rPr>
                <w:rFonts w:ascii="Garamond" w:hAnsi="Garamond"/>
                <w:b/>
                <w:bCs/>
                <w:sz w:val="22"/>
                <w:szCs w:val="22"/>
                <w:highlight w:val="white"/>
              </w:rPr>
              <w:t xml:space="preserve">Variables and </w:t>
            </w:r>
            <w:r w:rsidR="00B14FB4">
              <w:rPr>
                <w:rFonts w:ascii="Garamond" w:hAnsi="Garamond"/>
                <w:b/>
                <w:bCs/>
                <w:sz w:val="22"/>
                <w:szCs w:val="22"/>
                <w:highlight w:val="white"/>
              </w:rPr>
              <w:t>Their</w:t>
            </w:r>
            <w:r w:rsidRPr="005B1635">
              <w:rPr>
                <w:rFonts w:ascii="Garamond" w:hAnsi="Garamond"/>
                <w:b/>
                <w:bCs/>
                <w:sz w:val="22"/>
                <w:szCs w:val="22"/>
                <w:highlight w:val="white"/>
              </w:rPr>
              <w:t xml:space="preserve"> Indicators</w:t>
            </w:r>
          </w:p>
        </w:tc>
        <w:tc>
          <w:tcPr>
            <w:tcW w:w="1843" w:type="dxa"/>
            <w:tcBorders>
              <w:top w:val="double" w:sz="4" w:space="0" w:color="000000"/>
              <w:bottom w:val="single" w:sz="4" w:space="0" w:color="auto"/>
            </w:tcBorders>
            <w:tcMar>
              <w:top w:w="0" w:type="dxa"/>
              <w:left w:w="108" w:type="dxa"/>
              <w:bottom w:w="0" w:type="dxa"/>
              <w:right w:w="108" w:type="dxa"/>
            </w:tcMar>
          </w:tcPr>
          <w:p w14:paraId="03CED171" w14:textId="77777777" w:rsidR="00A541D1" w:rsidRPr="005B1635" w:rsidRDefault="00254D4A">
            <w:pPr>
              <w:pStyle w:val="NoSpacing"/>
              <w:jc w:val="center"/>
              <w:rPr>
                <w:rFonts w:ascii="Garamond" w:hAnsi="Garamond"/>
                <w:sz w:val="22"/>
                <w:szCs w:val="22"/>
                <w:highlight w:val="white"/>
              </w:rPr>
            </w:pPr>
            <w:r w:rsidRPr="005B1635">
              <w:rPr>
                <w:rFonts w:ascii="Garamond" w:hAnsi="Garamond"/>
                <w:b/>
                <w:color w:val="000000"/>
                <w:sz w:val="22"/>
                <w:szCs w:val="22"/>
              </w:rPr>
              <w:t>Standard Deviation</w:t>
            </w:r>
          </w:p>
        </w:tc>
        <w:tc>
          <w:tcPr>
            <w:tcW w:w="1559" w:type="dxa"/>
            <w:tcBorders>
              <w:top w:val="double" w:sz="4" w:space="0" w:color="000000"/>
              <w:bottom w:val="single" w:sz="4" w:space="0" w:color="auto"/>
            </w:tcBorders>
            <w:tcMar>
              <w:top w:w="0" w:type="dxa"/>
              <w:left w:w="108" w:type="dxa"/>
              <w:bottom w:w="0" w:type="dxa"/>
              <w:right w:w="108" w:type="dxa"/>
            </w:tcMar>
          </w:tcPr>
          <w:p w14:paraId="30458470" w14:textId="77777777" w:rsidR="00A541D1" w:rsidRPr="005B1635" w:rsidRDefault="00254D4A">
            <w:pPr>
              <w:pStyle w:val="NoSpacing"/>
              <w:jc w:val="center"/>
              <w:rPr>
                <w:rFonts w:ascii="Garamond" w:hAnsi="Garamond"/>
                <w:sz w:val="22"/>
                <w:szCs w:val="22"/>
                <w:highlight w:val="white"/>
              </w:rPr>
            </w:pPr>
            <w:r w:rsidRPr="005B1635">
              <w:rPr>
                <w:rFonts w:ascii="Garamond" w:hAnsi="Garamond"/>
                <w:b/>
                <w:color w:val="000000"/>
                <w:sz w:val="22"/>
                <w:szCs w:val="22"/>
              </w:rPr>
              <w:t>Mean</w:t>
            </w:r>
          </w:p>
        </w:tc>
        <w:tc>
          <w:tcPr>
            <w:tcW w:w="2121" w:type="dxa"/>
            <w:tcBorders>
              <w:top w:val="double" w:sz="4" w:space="0" w:color="000000"/>
              <w:bottom w:val="single" w:sz="4" w:space="0" w:color="auto"/>
            </w:tcBorders>
            <w:tcMar>
              <w:top w:w="0" w:type="dxa"/>
              <w:left w:w="108" w:type="dxa"/>
              <w:bottom w:w="0" w:type="dxa"/>
              <w:right w:w="108" w:type="dxa"/>
            </w:tcMar>
          </w:tcPr>
          <w:p w14:paraId="75F692DA" w14:textId="77777777" w:rsidR="00A541D1" w:rsidRPr="005B1635" w:rsidRDefault="00254D4A">
            <w:pPr>
              <w:pStyle w:val="NoSpacing"/>
              <w:jc w:val="center"/>
              <w:rPr>
                <w:rFonts w:ascii="Garamond" w:hAnsi="Garamond"/>
                <w:sz w:val="22"/>
                <w:szCs w:val="22"/>
                <w:highlight w:val="white"/>
              </w:rPr>
            </w:pPr>
            <w:r w:rsidRPr="005B1635">
              <w:rPr>
                <w:rFonts w:ascii="Garamond" w:hAnsi="Garamond"/>
                <w:b/>
                <w:color w:val="000000"/>
                <w:sz w:val="22"/>
                <w:szCs w:val="22"/>
              </w:rPr>
              <w:t>Verbal Description</w:t>
            </w:r>
          </w:p>
        </w:tc>
      </w:tr>
      <w:tr w:rsidR="00A541D1" w:rsidRPr="005B1635" w14:paraId="4B007B3B" w14:textId="77777777">
        <w:trPr>
          <w:jc w:val="center"/>
        </w:trPr>
        <w:tc>
          <w:tcPr>
            <w:tcW w:w="4111" w:type="dxa"/>
            <w:tcBorders>
              <w:top w:val="single" w:sz="4" w:space="0" w:color="auto"/>
            </w:tcBorders>
            <w:tcMar>
              <w:top w:w="0" w:type="dxa"/>
              <w:left w:w="108" w:type="dxa"/>
              <w:bottom w:w="0" w:type="dxa"/>
              <w:right w:w="108" w:type="dxa"/>
            </w:tcMar>
          </w:tcPr>
          <w:p w14:paraId="57D1234D" w14:textId="77777777" w:rsidR="00A541D1" w:rsidRPr="005B1635" w:rsidRDefault="00254D4A">
            <w:pPr>
              <w:pStyle w:val="NoSpacing"/>
              <w:rPr>
                <w:rFonts w:ascii="Garamond" w:hAnsi="Garamond"/>
                <w:b/>
                <w:bCs/>
                <w:color w:val="000000"/>
                <w:sz w:val="22"/>
                <w:szCs w:val="22"/>
              </w:rPr>
            </w:pPr>
            <w:r w:rsidRPr="005B1635">
              <w:rPr>
                <w:rFonts w:ascii="Garamond" w:hAnsi="Garamond"/>
                <w:b/>
                <w:bCs/>
                <w:color w:val="000000"/>
                <w:sz w:val="22"/>
                <w:szCs w:val="22"/>
              </w:rPr>
              <w:t>Students Metacognitive Awareness</w:t>
            </w:r>
          </w:p>
        </w:tc>
        <w:tc>
          <w:tcPr>
            <w:tcW w:w="1843" w:type="dxa"/>
            <w:tcBorders>
              <w:top w:val="single" w:sz="4" w:space="0" w:color="auto"/>
            </w:tcBorders>
            <w:tcMar>
              <w:top w:w="0" w:type="dxa"/>
              <w:left w:w="108" w:type="dxa"/>
              <w:bottom w:w="0" w:type="dxa"/>
              <w:right w:w="108" w:type="dxa"/>
            </w:tcMar>
          </w:tcPr>
          <w:p w14:paraId="0D442A2D" w14:textId="77777777" w:rsidR="00A541D1" w:rsidRPr="005B1635" w:rsidRDefault="00254D4A">
            <w:pPr>
              <w:pStyle w:val="NoSpacing"/>
              <w:jc w:val="center"/>
              <w:rPr>
                <w:rFonts w:ascii="Garamond" w:hAnsi="Garamond"/>
                <w:color w:val="000000"/>
                <w:sz w:val="22"/>
                <w:szCs w:val="22"/>
              </w:rPr>
            </w:pPr>
            <w:r w:rsidRPr="005B1635">
              <w:rPr>
                <w:rFonts w:ascii="Garamond" w:hAnsi="Garamond"/>
                <w:b/>
                <w:color w:val="000000"/>
                <w:sz w:val="22"/>
                <w:szCs w:val="22"/>
              </w:rPr>
              <w:t>.372</w:t>
            </w:r>
          </w:p>
        </w:tc>
        <w:tc>
          <w:tcPr>
            <w:tcW w:w="1559" w:type="dxa"/>
            <w:tcBorders>
              <w:top w:val="single" w:sz="4" w:space="0" w:color="auto"/>
            </w:tcBorders>
            <w:tcMar>
              <w:top w:w="0" w:type="dxa"/>
              <w:left w:w="108" w:type="dxa"/>
              <w:bottom w:w="0" w:type="dxa"/>
              <w:right w:w="108" w:type="dxa"/>
            </w:tcMar>
          </w:tcPr>
          <w:p w14:paraId="0B12B4BA" w14:textId="77777777" w:rsidR="00A541D1" w:rsidRPr="005B1635" w:rsidRDefault="00254D4A">
            <w:pPr>
              <w:pStyle w:val="NoSpacing"/>
              <w:jc w:val="center"/>
              <w:rPr>
                <w:rFonts w:ascii="Garamond" w:hAnsi="Garamond"/>
                <w:color w:val="000000"/>
                <w:sz w:val="22"/>
                <w:szCs w:val="22"/>
              </w:rPr>
            </w:pPr>
            <w:r w:rsidRPr="005B1635">
              <w:rPr>
                <w:rFonts w:ascii="Garamond" w:hAnsi="Garamond"/>
                <w:b/>
                <w:color w:val="000000"/>
                <w:sz w:val="22"/>
                <w:szCs w:val="22"/>
              </w:rPr>
              <w:t>4.31</w:t>
            </w:r>
          </w:p>
        </w:tc>
        <w:tc>
          <w:tcPr>
            <w:tcW w:w="2121" w:type="dxa"/>
            <w:tcBorders>
              <w:top w:val="single" w:sz="4" w:space="0" w:color="auto"/>
            </w:tcBorders>
            <w:tcMar>
              <w:top w:w="0" w:type="dxa"/>
              <w:left w:w="108" w:type="dxa"/>
              <w:bottom w:w="0" w:type="dxa"/>
              <w:right w:w="108" w:type="dxa"/>
            </w:tcMar>
          </w:tcPr>
          <w:p w14:paraId="67ABF5C5" w14:textId="77777777" w:rsidR="00A541D1" w:rsidRPr="005B1635" w:rsidRDefault="00254D4A">
            <w:pPr>
              <w:pStyle w:val="NoSpacing"/>
              <w:jc w:val="center"/>
              <w:rPr>
                <w:rFonts w:ascii="Garamond" w:hAnsi="Garamond"/>
                <w:color w:val="000000"/>
                <w:sz w:val="22"/>
                <w:szCs w:val="22"/>
              </w:rPr>
            </w:pPr>
            <w:r w:rsidRPr="005B1635">
              <w:rPr>
                <w:rFonts w:ascii="Garamond" w:hAnsi="Garamond"/>
                <w:b/>
                <w:color w:val="000000"/>
                <w:sz w:val="22"/>
                <w:szCs w:val="22"/>
              </w:rPr>
              <w:t>Very High</w:t>
            </w:r>
          </w:p>
        </w:tc>
      </w:tr>
      <w:tr w:rsidR="00A541D1" w:rsidRPr="005B1635" w14:paraId="2F798FAF" w14:textId="77777777">
        <w:trPr>
          <w:jc w:val="center"/>
        </w:trPr>
        <w:tc>
          <w:tcPr>
            <w:tcW w:w="4111" w:type="dxa"/>
            <w:tcMar>
              <w:top w:w="0" w:type="dxa"/>
              <w:left w:w="108" w:type="dxa"/>
              <w:bottom w:w="0" w:type="dxa"/>
              <w:right w:w="108" w:type="dxa"/>
            </w:tcMar>
          </w:tcPr>
          <w:p w14:paraId="6C845927" w14:textId="77777777" w:rsidR="00A541D1" w:rsidRPr="005B1635" w:rsidRDefault="00254D4A">
            <w:pPr>
              <w:pStyle w:val="NoSpacing"/>
              <w:rPr>
                <w:rFonts w:ascii="Garamond" w:hAnsi="Garamond"/>
                <w:sz w:val="22"/>
                <w:szCs w:val="22"/>
                <w:highlight w:val="white"/>
              </w:rPr>
            </w:pPr>
            <w:r w:rsidRPr="005B1635">
              <w:rPr>
                <w:rFonts w:ascii="Garamond" w:hAnsi="Garamond"/>
                <w:color w:val="000000"/>
                <w:sz w:val="22"/>
                <w:szCs w:val="22"/>
              </w:rPr>
              <w:t xml:space="preserve">      Knowledge Cognition</w:t>
            </w:r>
          </w:p>
        </w:tc>
        <w:tc>
          <w:tcPr>
            <w:tcW w:w="1843" w:type="dxa"/>
            <w:tcMar>
              <w:top w:w="0" w:type="dxa"/>
              <w:left w:w="108" w:type="dxa"/>
              <w:bottom w:w="0" w:type="dxa"/>
              <w:right w:w="108" w:type="dxa"/>
            </w:tcMar>
          </w:tcPr>
          <w:p w14:paraId="2C5D1B64" w14:textId="77777777" w:rsidR="00A541D1" w:rsidRPr="005B1635" w:rsidRDefault="00254D4A">
            <w:pPr>
              <w:pStyle w:val="NoSpacing"/>
              <w:jc w:val="center"/>
              <w:rPr>
                <w:rFonts w:ascii="Garamond" w:hAnsi="Garamond"/>
                <w:sz w:val="22"/>
                <w:szCs w:val="22"/>
                <w:highlight w:val="white"/>
              </w:rPr>
            </w:pPr>
            <w:r w:rsidRPr="005B1635">
              <w:rPr>
                <w:rFonts w:ascii="Garamond" w:hAnsi="Garamond"/>
                <w:color w:val="000000"/>
                <w:sz w:val="22"/>
                <w:szCs w:val="22"/>
              </w:rPr>
              <w:t>.415</w:t>
            </w:r>
          </w:p>
        </w:tc>
        <w:tc>
          <w:tcPr>
            <w:tcW w:w="1559" w:type="dxa"/>
            <w:tcMar>
              <w:top w:w="0" w:type="dxa"/>
              <w:left w:w="108" w:type="dxa"/>
              <w:bottom w:w="0" w:type="dxa"/>
              <w:right w:w="108" w:type="dxa"/>
            </w:tcMar>
          </w:tcPr>
          <w:p w14:paraId="0AF0864D" w14:textId="77777777" w:rsidR="00A541D1" w:rsidRPr="005B1635" w:rsidRDefault="00254D4A">
            <w:pPr>
              <w:pStyle w:val="NoSpacing"/>
              <w:jc w:val="center"/>
              <w:rPr>
                <w:rFonts w:ascii="Garamond" w:hAnsi="Garamond"/>
                <w:sz w:val="22"/>
                <w:szCs w:val="22"/>
                <w:highlight w:val="white"/>
              </w:rPr>
            </w:pPr>
            <w:r w:rsidRPr="005B1635">
              <w:rPr>
                <w:rFonts w:ascii="Garamond" w:hAnsi="Garamond"/>
                <w:color w:val="000000"/>
                <w:sz w:val="22"/>
                <w:szCs w:val="22"/>
              </w:rPr>
              <w:t>4.30</w:t>
            </w:r>
          </w:p>
        </w:tc>
        <w:tc>
          <w:tcPr>
            <w:tcW w:w="2121" w:type="dxa"/>
            <w:tcMar>
              <w:top w:w="0" w:type="dxa"/>
              <w:left w:w="108" w:type="dxa"/>
              <w:bottom w:w="0" w:type="dxa"/>
              <w:right w:w="108" w:type="dxa"/>
            </w:tcMar>
          </w:tcPr>
          <w:p w14:paraId="485CE993" w14:textId="77777777" w:rsidR="00A541D1" w:rsidRPr="005B1635" w:rsidRDefault="00254D4A">
            <w:pPr>
              <w:pStyle w:val="NoSpacing"/>
              <w:jc w:val="center"/>
              <w:rPr>
                <w:rFonts w:ascii="Garamond" w:hAnsi="Garamond"/>
                <w:sz w:val="22"/>
                <w:szCs w:val="22"/>
                <w:highlight w:val="white"/>
              </w:rPr>
            </w:pPr>
            <w:r w:rsidRPr="005B1635">
              <w:rPr>
                <w:rFonts w:ascii="Garamond" w:hAnsi="Garamond"/>
                <w:color w:val="000000"/>
                <w:sz w:val="22"/>
                <w:szCs w:val="22"/>
              </w:rPr>
              <w:t>Very High</w:t>
            </w:r>
          </w:p>
        </w:tc>
      </w:tr>
      <w:tr w:rsidR="00A541D1" w:rsidRPr="005B1635" w14:paraId="2DF1725B" w14:textId="77777777">
        <w:trPr>
          <w:jc w:val="center"/>
        </w:trPr>
        <w:tc>
          <w:tcPr>
            <w:tcW w:w="4111" w:type="dxa"/>
            <w:tcMar>
              <w:top w:w="0" w:type="dxa"/>
              <w:left w:w="108" w:type="dxa"/>
              <w:bottom w:w="0" w:type="dxa"/>
              <w:right w:w="108" w:type="dxa"/>
            </w:tcMar>
          </w:tcPr>
          <w:p w14:paraId="6589F9E6" w14:textId="77777777" w:rsidR="00A541D1" w:rsidRPr="005B1635" w:rsidRDefault="00254D4A">
            <w:pPr>
              <w:pStyle w:val="NoSpacing"/>
              <w:rPr>
                <w:rFonts w:ascii="Garamond" w:hAnsi="Garamond"/>
                <w:sz w:val="22"/>
                <w:szCs w:val="22"/>
                <w:highlight w:val="white"/>
              </w:rPr>
            </w:pPr>
            <w:r w:rsidRPr="005B1635">
              <w:rPr>
                <w:rFonts w:ascii="Garamond" w:hAnsi="Garamond"/>
                <w:color w:val="000000"/>
                <w:sz w:val="22"/>
                <w:szCs w:val="22"/>
              </w:rPr>
              <w:t xml:space="preserve">      Regulation of Cognition</w:t>
            </w:r>
          </w:p>
        </w:tc>
        <w:tc>
          <w:tcPr>
            <w:tcW w:w="1843" w:type="dxa"/>
            <w:tcMar>
              <w:top w:w="0" w:type="dxa"/>
              <w:left w:w="108" w:type="dxa"/>
              <w:bottom w:w="0" w:type="dxa"/>
              <w:right w:w="108" w:type="dxa"/>
            </w:tcMar>
          </w:tcPr>
          <w:p w14:paraId="7944D7C6" w14:textId="77777777" w:rsidR="00A541D1" w:rsidRPr="005B1635" w:rsidRDefault="00254D4A">
            <w:pPr>
              <w:pStyle w:val="NoSpacing"/>
              <w:jc w:val="center"/>
              <w:rPr>
                <w:rFonts w:ascii="Garamond" w:hAnsi="Garamond"/>
                <w:sz w:val="22"/>
                <w:szCs w:val="22"/>
                <w:highlight w:val="white"/>
              </w:rPr>
            </w:pPr>
            <w:r w:rsidRPr="005B1635">
              <w:rPr>
                <w:rFonts w:ascii="Garamond" w:hAnsi="Garamond"/>
                <w:color w:val="000000"/>
                <w:sz w:val="22"/>
                <w:szCs w:val="22"/>
              </w:rPr>
              <w:t>.377</w:t>
            </w:r>
          </w:p>
        </w:tc>
        <w:tc>
          <w:tcPr>
            <w:tcW w:w="1559" w:type="dxa"/>
            <w:tcMar>
              <w:top w:w="0" w:type="dxa"/>
              <w:left w:w="108" w:type="dxa"/>
              <w:bottom w:w="0" w:type="dxa"/>
              <w:right w:w="108" w:type="dxa"/>
            </w:tcMar>
          </w:tcPr>
          <w:p w14:paraId="6116C45C" w14:textId="77777777" w:rsidR="00A541D1" w:rsidRPr="005B1635" w:rsidRDefault="00254D4A">
            <w:pPr>
              <w:pStyle w:val="NoSpacing"/>
              <w:jc w:val="center"/>
              <w:rPr>
                <w:rFonts w:ascii="Garamond" w:hAnsi="Garamond"/>
                <w:sz w:val="22"/>
                <w:szCs w:val="22"/>
                <w:highlight w:val="white"/>
              </w:rPr>
            </w:pPr>
            <w:r w:rsidRPr="005B1635">
              <w:rPr>
                <w:rFonts w:ascii="Garamond" w:hAnsi="Garamond"/>
                <w:color w:val="000000"/>
                <w:sz w:val="22"/>
                <w:szCs w:val="22"/>
              </w:rPr>
              <w:t>4.32</w:t>
            </w:r>
          </w:p>
        </w:tc>
        <w:tc>
          <w:tcPr>
            <w:tcW w:w="2121" w:type="dxa"/>
            <w:tcMar>
              <w:top w:w="0" w:type="dxa"/>
              <w:left w:w="108" w:type="dxa"/>
              <w:bottom w:w="0" w:type="dxa"/>
              <w:right w:w="108" w:type="dxa"/>
            </w:tcMar>
          </w:tcPr>
          <w:p w14:paraId="4177D9F5" w14:textId="77777777" w:rsidR="00A541D1" w:rsidRPr="005B1635" w:rsidRDefault="00254D4A">
            <w:pPr>
              <w:pStyle w:val="NoSpacing"/>
              <w:jc w:val="center"/>
              <w:rPr>
                <w:rFonts w:ascii="Garamond" w:hAnsi="Garamond"/>
                <w:sz w:val="22"/>
                <w:szCs w:val="22"/>
                <w:highlight w:val="white"/>
              </w:rPr>
            </w:pPr>
            <w:r w:rsidRPr="005B1635">
              <w:rPr>
                <w:rFonts w:ascii="Garamond" w:hAnsi="Garamond"/>
                <w:color w:val="000000"/>
                <w:sz w:val="22"/>
                <w:szCs w:val="22"/>
              </w:rPr>
              <w:t>Very High</w:t>
            </w:r>
          </w:p>
        </w:tc>
      </w:tr>
      <w:tr w:rsidR="00A541D1" w:rsidRPr="005B1635" w14:paraId="63C54344" w14:textId="77777777">
        <w:trPr>
          <w:jc w:val="center"/>
        </w:trPr>
        <w:tc>
          <w:tcPr>
            <w:tcW w:w="4111" w:type="dxa"/>
            <w:tcBorders>
              <w:top w:val="single" w:sz="4" w:space="0" w:color="000000"/>
              <w:bottom w:val="single" w:sz="4" w:space="0" w:color="000000"/>
            </w:tcBorders>
            <w:tcMar>
              <w:top w:w="0" w:type="dxa"/>
              <w:left w:w="108" w:type="dxa"/>
              <w:bottom w:w="0" w:type="dxa"/>
              <w:right w:w="108" w:type="dxa"/>
            </w:tcMar>
          </w:tcPr>
          <w:p w14:paraId="22BCEB8C" w14:textId="5F44C30F" w:rsidR="00A541D1" w:rsidRPr="005B1635" w:rsidRDefault="00254D4A">
            <w:pPr>
              <w:pStyle w:val="NoSpacing"/>
              <w:rPr>
                <w:rFonts w:ascii="Garamond" w:hAnsi="Garamond"/>
                <w:b/>
                <w:sz w:val="22"/>
                <w:szCs w:val="22"/>
                <w:highlight w:val="white"/>
              </w:rPr>
            </w:pPr>
            <w:r w:rsidRPr="005B1635">
              <w:rPr>
                <w:rFonts w:ascii="Garamond" w:hAnsi="Garamond"/>
                <w:b/>
                <w:sz w:val="22"/>
                <w:szCs w:val="22"/>
              </w:rPr>
              <w:t xml:space="preserve">Persistence in Solving Mathematics </w:t>
            </w:r>
            <w:r w:rsidR="00B14FB4">
              <w:rPr>
                <w:rFonts w:ascii="Garamond" w:hAnsi="Garamond"/>
                <w:b/>
                <w:sz w:val="22"/>
                <w:szCs w:val="22"/>
              </w:rPr>
              <w:t>Problems</w:t>
            </w:r>
            <w:r w:rsidRPr="005B1635">
              <w:rPr>
                <w:rFonts w:ascii="Garamond" w:hAnsi="Garamond"/>
                <w:b/>
                <w:sz w:val="22"/>
                <w:szCs w:val="22"/>
              </w:rPr>
              <w:t xml:space="preserve">  </w:t>
            </w:r>
          </w:p>
        </w:tc>
        <w:tc>
          <w:tcPr>
            <w:tcW w:w="1843" w:type="dxa"/>
            <w:tcBorders>
              <w:top w:val="single" w:sz="4" w:space="0" w:color="000000"/>
              <w:bottom w:val="single" w:sz="4" w:space="0" w:color="000000"/>
            </w:tcBorders>
            <w:tcMar>
              <w:top w:w="0" w:type="dxa"/>
              <w:left w:w="108" w:type="dxa"/>
              <w:bottom w:w="0" w:type="dxa"/>
              <w:right w:w="108" w:type="dxa"/>
            </w:tcMar>
          </w:tcPr>
          <w:p w14:paraId="44A50F35" w14:textId="77777777" w:rsidR="00A541D1" w:rsidRPr="005B1635" w:rsidRDefault="00A541D1">
            <w:pPr>
              <w:pStyle w:val="NoSpacing"/>
              <w:jc w:val="center"/>
              <w:rPr>
                <w:rFonts w:ascii="Garamond" w:hAnsi="Garamond"/>
                <w:b/>
                <w:sz w:val="22"/>
                <w:szCs w:val="22"/>
                <w:highlight w:val="white"/>
              </w:rPr>
            </w:pPr>
          </w:p>
          <w:p w14:paraId="0B454AAF" w14:textId="77777777" w:rsidR="00A541D1" w:rsidRPr="005B1635" w:rsidRDefault="00254D4A">
            <w:pPr>
              <w:pStyle w:val="NoSpacing"/>
              <w:jc w:val="center"/>
              <w:rPr>
                <w:rFonts w:ascii="Garamond" w:hAnsi="Garamond"/>
                <w:b/>
                <w:sz w:val="22"/>
                <w:szCs w:val="22"/>
                <w:highlight w:val="white"/>
              </w:rPr>
            </w:pPr>
            <w:r w:rsidRPr="005B1635">
              <w:rPr>
                <w:rFonts w:ascii="Garamond" w:hAnsi="Garamond"/>
                <w:b/>
                <w:sz w:val="22"/>
                <w:szCs w:val="22"/>
                <w:highlight w:val="white"/>
              </w:rPr>
              <w:t>.467</w:t>
            </w:r>
          </w:p>
        </w:tc>
        <w:tc>
          <w:tcPr>
            <w:tcW w:w="1559" w:type="dxa"/>
            <w:tcBorders>
              <w:top w:val="single" w:sz="4" w:space="0" w:color="000000"/>
              <w:bottom w:val="single" w:sz="4" w:space="0" w:color="000000"/>
            </w:tcBorders>
            <w:tcMar>
              <w:top w:w="0" w:type="dxa"/>
              <w:left w:w="108" w:type="dxa"/>
              <w:bottom w:w="0" w:type="dxa"/>
              <w:right w:w="108" w:type="dxa"/>
            </w:tcMar>
          </w:tcPr>
          <w:p w14:paraId="7C4EDAA9" w14:textId="77777777" w:rsidR="00A541D1" w:rsidRPr="005B1635" w:rsidRDefault="00A541D1">
            <w:pPr>
              <w:pStyle w:val="NoSpacing"/>
              <w:jc w:val="center"/>
              <w:rPr>
                <w:rFonts w:ascii="Garamond" w:hAnsi="Garamond"/>
                <w:b/>
                <w:sz w:val="22"/>
                <w:szCs w:val="22"/>
                <w:highlight w:val="white"/>
              </w:rPr>
            </w:pPr>
          </w:p>
          <w:p w14:paraId="78278359" w14:textId="77777777" w:rsidR="00A541D1" w:rsidRPr="005B1635" w:rsidRDefault="00254D4A">
            <w:pPr>
              <w:pStyle w:val="NoSpacing"/>
              <w:jc w:val="center"/>
              <w:rPr>
                <w:rFonts w:ascii="Garamond" w:hAnsi="Garamond"/>
                <w:b/>
                <w:sz w:val="22"/>
                <w:szCs w:val="22"/>
                <w:highlight w:val="white"/>
              </w:rPr>
            </w:pPr>
            <w:r w:rsidRPr="005B1635">
              <w:rPr>
                <w:rFonts w:ascii="Garamond" w:hAnsi="Garamond"/>
                <w:b/>
                <w:sz w:val="22"/>
                <w:szCs w:val="22"/>
                <w:highlight w:val="white"/>
              </w:rPr>
              <w:t>4.06</w:t>
            </w:r>
          </w:p>
        </w:tc>
        <w:tc>
          <w:tcPr>
            <w:tcW w:w="2121" w:type="dxa"/>
            <w:tcBorders>
              <w:top w:val="single" w:sz="4" w:space="0" w:color="000000"/>
              <w:bottom w:val="single" w:sz="4" w:space="0" w:color="000000"/>
            </w:tcBorders>
            <w:tcMar>
              <w:top w:w="0" w:type="dxa"/>
              <w:left w:w="108" w:type="dxa"/>
              <w:bottom w:w="0" w:type="dxa"/>
              <w:right w:w="108" w:type="dxa"/>
            </w:tcMar>
          </w:tcPr>
          <w:p w14:paraId="1EE6D436" w14:textId="77777777" w:rsidR="00A541D1" w:rsidRPr="005B1635" w:rsidRDefault="00A541D1">
            <w:pPr>
              <w:pStyle w:val="NoSpacing"/>
              <w:jc w:val="center"/>
              <w:rPr>
                <w:rFonts w:ascii="Garamond" w:hAnsi="Garamond"/>
                <w:b/>
                <w:sz w:val="22"/>
                <w:szCs w:val="22"/>
                <w:highlight w:val="white"/>
              </w:rPr>
            </w:pPr>
          </w:p>
          <w:p w14:paraId="1867DE3B" w14:textId="77777777" w:rsidR="00A541D1" w:rsidRPr="005B1635" w:rsidRDefault="00254D4A">
            <w:pPr>
              <w:pStyle w:val="NoSpacing"/>
              <w:jc w:val="center"/>
              <w:rPr>
                <w:rFonts w:ascii="Garamond" w:hAnsi="Garamond"/>
                <w:b/>
                <w:sz w:val="22"/>
                <w:szCs w:val="22"/>
                <w:highlight w:val="white"/>
              </w:rPr>
            </w:pPr>
            <w:r w:rsidRPr="005B1635">
              <w:rPr>
                <w:rFonts w:ascii="Garamond" w:hAnsi="Garamond"/>
                <w:b/>
                <w:sz w:val="22"/>
                <w:szCs w:val="22"/>
                <w:highlight w:val="white"/>
              </w:rPr>
              <w:t>High</w:t>
            </w:r>
          </w:p>
        </w:tc>
      </w:tr>
      <w:tr w:rsidR="00A541D1" w:rsidRPr="005B1635" w14:paraId="3C1160CA" w14:textId="77777777">
        <w:trPr>
          <w:jc w:val="center"/>
        </w:trPr>
        <w:tc>
          <w:tcPr>
            <w:tcW w:w="4111" w:type="dxa"/>
            <w:tcMar>
              <w:top w:w="0" w:type="dxa"/>
              <w:left w:w="108" w:type="dxa"/>
              <w:bottom w:w="0" w:type="dxa"/>
              <w:right w:w="108" w:type="dxa"/>
            </w:tcMar>
          </w:tcPr>
          <w:p w14:paraId="21B26CA2" w14:textId="77777777" w:rsidR="00A541D1" w:rsidRPr="005B1635" w:rsidRDefault="00254D4A">
            <w:pPr>
              <w:pStyle w:val="NoSpacing"/>
              <w:rPr>
                <w:rFonts w:ascii="Garamond" w:hAnsi="Garamond"/>
                <w:b/>
                <w:sz w:val="22"/>
                <w:szCs w:val="22"/>
              </w:rPr>
            </w:pPr>
            <w:r w:rsidRPr="005B1635">
              <w:rPr>
                <w:rFonts w:ascii="Garamond" w:hAnsi="Garamond"/>
                <w:sz w:val="22"/>
                <w:szCs w:val="22"/>
              </w:rPr>
              <w:t xml:space="preserve">      Classroom exercises</w:t>
            </w:r>
          </w:p>
        </w:tc>
        <w:tc>
          <w:tcPr>
            <w:tcW w:w="1843" w:type="dxa"/>
            <w:tcMar>
              <w:top w:w="0" w:type="dxa"/>
              <w:left w:w="108" w:type="dxa"/>
              <w:bottom w:w="0" w:type="dxa"/>
              <w:right w:w="108" w:type="dxa"/>
            </w:tcMar>
          </w:tcPr>
          <w:p w14:paraId="54FE5007" w14:textId="77777777" w:rsidR="00A541D1" w:rsidRPr="005B1635" w:rsidRDefault="00254D4A">
            <w:pPr>
              <w:pStyle w:val="NoSpacing"/>
              <w:jc w:val="center"/>
              <w:rPr>
                <w:rFonts w:ascii="Garamond" w:hAnsi="Garamond"/>
                <w:b/>
                <w:sz w:val="22"/>
                <w:szCs w:val="22"/>
                <w:highlight w:val="white"/>
              </w:rPr>
            </w:pPr>
            <w:r w:rsidRPr="005B1635">
              <w:rPr>
                <w:rFonts w:ascii="Garamond" w:hAnsi="Garamond"/>
                <w:sz w:val="22"/>
                <w:szCs w:val="22"/>
                <w:highlight w:val="white"/>
              </w:rPr>
              <w:t>.547</w:t>
            </w:r>
          </w:p>
        </w:tc>
        <w:tc>
          <w:tcPr>
            <w:tcW w:w="1559" w:type="dxa"/>
            <w:tcMar>
              <w:top w:w="0" w:type="dxa"/>
              <w:left w:w="108" w:type="dxa"/>
              <w:bottom w:w="0" w:type="dxa"/>
              <w:right w:w="108" w:type="dxa"/>
            </w:tcMar>
          </w:tcPr>
          <w:p w14:paraId="3B50F9D4" w14:textId="77777777" w:rsidR="00A541D1" w:rsidRPr="005B1635" w:rsidRDefault="00254D4A">
            <w:pPr>
              <w:pStyle w:val="NoSpacing"/>
              <w:jc w:val="center"/>
              <w:rPr>
                <w:rFonts w:ascii="Garamond" w:hAnsi="Garamond"/>
                <w:b/>
                <w:sz w:val="22"/>
                <w:szCs w:val="22"/>
                <w:highlight w:val="white"/>
              </w:rPr>
            </w:pPr>
            <w:r w:rsidRPr="005B1635">
              <w:rPr>
                <w:rFonts w:ascii="Garamond" w:hAnsi="Garamond"/>
                <w:sz w:val="22"/>
                <w:szCs w:val="22"/>
                <w:highlight w:val="white"/>
              </w:rPr>
              <w:t>4.02</w:t>
            </w:r>
          </w:p>
        </w:tc>
        <w:tc>
          <w:tcPr>
            <w:tcW w:w="2121" w:type="dxa"/>
            <w:tcMar>
              <w:top w:w="0" w:type="dxa"/>
              <w:left w:w="108" w:type="dxa"/>
              <w:bottom w:w="0" w:type="dxa"/>
              <w:right w:w="108" w:type="dxa"/>
            </w:tcMar>
          </w:tcPr>
          <w:p w14:paraId="2C8D1953" w14:textId="77777777" w:rsidR="00A541D1" w:rsidRPr="005B1635" w:rsidRDefault="00254D4A">
            <w:pPr>
              <w:pStyle w:val="NoSpacing"/>
              <w:jc w:val="center"/>
              <w:rPr>
                <w:rFonts w:ascii="Garamond" w:hAnsi="Garamond"/>
                <w:b/>
                <w:sz w:val="22"/>
                <w:szCs w:val="22"/>
                <w:highlight w:val="white"/>
              </w:rPr>
            </w:pPr>
            <w:r w:rsidRPr="005B1635">
              <w:rPr>
                <w:rFonts w:ascii="Garamond" w:hAnsi="Garamond"/>
                <w:color w:val="000000"/>
                <w:sz w:val="22"/>
                <w:szCs w:val="22"/>
              </w:rPr>
              <w:t>High</w:t>
            </w:r>
          </w:p>
        </w:tc>
      </w:tr>
      <w:tr w:rsidR="00A541D1" w:rsidRPr="005B1635" w14:paraId="16E30C14" w14:textId="77777777">
        <w:trPr>
          <w:jc w:val="center"/>
        </w:trPr>
        <w:tc>
          <w:tcPr>
            <w:tcW w:w="4111" w:type="dxa"/>
            <w:tcMar>
              <w:top w:w="0" w:type="dxa"/>
              <w:left w:w="108" w:type="dxa"/>
              <w:bottom w:w="0" w:type="dxa"/>
              <w:right w:w="108" w:type="dxa"/>
            </w:tcMar>
          </w:tcPr>
          <w:p w14:paraId="01BB04D8" w14:textId="0E8C3E90" w:rsidR="00A541D1" w:rsidRPr="005B1635" w:rsidRDefault="00254D4A">
            <w:pPr>
              <w:pStyle w:val="NoSpacing"/>
              <w:rPr>
                <w:rFonts w:ascii="Garamond" w:hAnsi="Garamond"/>
                <w:b/>
                <w:sz w:val="22"/>
                <w:szCs w:val="22"/>
              </w:rPr>
            </w:pPr>
            <w:r w:rsidRPr="005B1635">
              <w:rPr>
                <w:rFonts w:ascii="Garamond" w:hAnsi="Garamond"/>
                <w:sz w:val="22"/>
                <w:szCs w:val="22"/>
              </w:rPr>
              <w:t xml:space="preserve">      </w:t>
            </w:r>
            <w:r w:rsidR="00B14FB4">
              <w:rPr>
                <w:rFonts w:ascii="Garamond" w:hAnsi="Garamond"/>
                <w:sz w:val="22"/>
                <w:szCs w:val="22"/>
              </w:rPr>
              <w:t>Take-home</w:t>
            </w:r>
            <w:r w:rsidRPr="005B1635">
              <w:rPr>
                <w:rFonts w:ascii="Garamond" w:hAnsi="Garamond"/>
                <w:sz w:val="22"/>
                <w:szCs w:val="22"/>
              </w:rPr>
              <w:t xml:space="preserve"> assignments</w:t>
            </w:r>
          </w:p>
        </w:tc>
        <w:tc>
          <w:tcPr>
            <w:tcW w:w="1843" w:type="dxa"/>
            <w:tcMar>
              <w:top w:w="0" w:type="dxa"/>
              <w:left w:w="108" w:type="dxa"/>
              <w:bottom w:w="0" w:type="dxa"/>
              <w:right w:w="108" w:type="dxa"/>
            </w:tcMar>
          </w:tcPr>
          <w:p w14:paraId="7EB595AD" w14:textId="77777777" w:rsidR="00A541D1" w:rsidRPr="005B1635" w:rsidRDefault="00254D4A">
            <w:pPr>
              <w:pStyle w:val="NoSpacing"/>
              <w:jc w:val="center"/>
              <w:rPr>
                <w:rFonts w:ascii="Garamond" w:hAnsi="Garamond"/>
                <w:b/>
                <w:sz w:val="22"/>
                <w:szCs w:val="22"/>
                <w:highlight w:val="white"/>
              </w:rPr>
            </w:pPr>
            <w:r w:rsidRPr="005B1635">
              <w:rPr>
                <w:rFonts w:ascii="Garamond" w:hAnsi="Garamond"/>
                <w:sz w:val="22"/>
                <w:szCs w:val="22"/>
                <w:highlight w:val="white"/>
              </w:rPr>
              <w:t>.676</w:t>
            </w:r>
          </w:p>
        </w:tc>
        <w:tc>
          <w:tcPr>
            <w:tcW w:w="1559" w:type="dxa"/>
            <w:tcMar>
              <w:top w:w="0" w:type="dxa"/>
              <w:left w:w="108" w:type="dxa"/>
              <w:bottom w:w="0" w:type="dxa"/>
              <w:right w:w="108" w:type="dxa"/>
            </w:tcMar>
          </w:tcPr>
          <w:p w14:paraId="173C0B6F" w14:textId="77777777" w:rsidR="00A541D1" w:rsidRPr="005B1635" w:rsidRDefault="00254D4A">
            <w:pPr>
              <w:pStyle w:val="NoSpacing"/>
              <w:jc w:val="center"/>
              <w:rPr>
                <w:rFonts w:ascii="Garamond" w:hAnsi="Garamond"/>
                <w:b/>
                <w:sz w:val="22"/>
                <w:szCs w:val="22"/>
                <w:highlight w:val="white"/>
              </w:rPr>
            </w:pPr>
            <w:r w:rsidRPr="005B1635">
              <w:rPr>
                <w:rFonts w:ascii="Garamond" w:hAnsi="Garamond"/>
                <w:sz w:val="22"/>
                <w:szCs w:val="22"/>
                <w:highlight w:val="white"/>
              </w:rPr>
              <w:t>3.88</w:t>
            </w:r>
          </w:p>
        </w:tc>
        <w:tc>
          <w:tcPr>
            <w:tcW w:w="2121" w:type="dxa"/>
            <w:tcMar>
              <w:top w:w="0" w:type="dxa"/>
              <w:left w:w="108" w:type="dxa"/>
              <w:bottom w:w="0" w:type="dxa"/>
              <w:right w:w="108" w:type="dxa"/>
            </w:tcMar>
          </w:tcPr>
          <w:p w14:paraId="758F55FF" w14:textId="77777777" w:rsidR="00A541D1" w:rsidRPr="005B1635" w:rsidRDefault="00254D4A">
            <w:pPr>
              <w:pStyle w:val="NoSpacing"/>
              <w:jc w:val="center"/>
              <w:rPr>
                <w:rFonts w:ascii="Garamond" w:hAnsi="Garamond"/>
                <w:b/>
                <w:sz w:val="22"/>
                <w:szCs w:val="22"/>
                <w:highlight w:val="white"/>
              </w:rPr>
            </w:pPr>
            <w:r w:rsidRPr="005B1635">
              <w:rPr>
                <w:rFonts w:ascii="Garamond" w:hAnsi="Garamond"/>
                <w:color w:val="000000"/>
                <w:sz w:val="22"/>
                <w:szCs w:val="22"/>
              </w:rPr>
              <w:t>High</w:t>
            </w:r>
          </w:p>
        </w:tc>
      </w:tr>
      <w:tr w:rsidR="00A541D1" w:rsidRPr="005B1635" w14:paraId="44C79179" w14:textId="77777777">
        <w:trPr>
          <w:jc w:val="center"/>
        </w:trPr>
        <w:tc>
          <w:tcPr>
            <w:tcW w:w="4111" w:type="dxa"/>
            <w:tcMar>
              <w:top w:w="0" w:type="dxa"/>
              <w:left w:w="108" w:type="dxa"/>
              <w:bottom w:w="0" w:type="dxa"/>
              <w:right w:w="108" w:type="dxa"/>
            </w:tcMar>
          </w:tcPr>
          <w:p w14:paraId="1F53193C" w14:textId="77777777" w:rsidR="00A541D1" w:rsidRPr="005B1635" w:rsidRDefault="00254D4A">
            <w:pPr>
              <w:pStyle w:val="NoSpacing"/>
              <w:rPr>
                <w:rFonts w:ascii="Garamond" w:hAnsi="Garamond"/>
                <w:b/>
                <w:sz w:val="22"/>
                <w:szCs w:val="22"/>
              </w:rPr>
            </w:pPr>
            <w:r w:rsidRPr="005B1635">
              <w:rPr>
                <w:rFonts w:ascii="Garamond" w:hAnsi="Garamond"/>
                <w:sz w:val="22"/>
                <w:szCs w:val="22"/>
              </w:rPr>
              <w:t xml:space="preserve">      Group tasks</w:t>
            </w:r>
          </w:p>
        </w:tc>
        <w:tc>
          <w:tcPr>
            <w:tcW w:w="1843" w:type="dxa"/>
            <w:tcMar>
              <w:top w:w="0" w:type="dxa"/>
              <w:left w:w="108" w:type="dxa"/>
              <w:bottom w:w="0" w:type="dxa"/>
              <w:right w:w="108" w:type="dxa"/>
            </w:tcMar>
          </w:tcPr>
          <w:p w14:paraId="51FBCE97" w14:textId="77777777" w:rsidR="00A541D1" w:rsidRPr="005B1635" w:rsidRDefault="00254D4A">
            <w:pPr>
              <w:pStyle w:val="NoSpacing"/>
              <w:jc w:val="center"/>
              <w:rPr>
                <w:rFonts w:ascii="Garamond" w:hAnsi="Garamond"/>
                <w:b/>
                <w:sz w:val="22"/>
                <w:szCs w:val="22"/>
                <w:highlight w:val="white"/>
              </w:rPr>
            </w:pPr>
            <w:r w:rsidRPr="005B1635">
              <w:rPr>
                <w:rFonts w:ascii="Garamond" w:hAnsi="Garamond"/>
                <w:color w:val="000000"/>
                <w:sz w:val="22"/>
                <w:szCs w:val="22"/>
              </w:rPr>
              <w:t>.621</w:t>
            </w:r>
          </w:p>
        </w:tc>
        <w:tc>
          <w:tcPr>
            <w:tcW w:w="1559" w:type="dxa"/>
            <w:tcMar>
              <w:top w:w="0" w:type="dxa"/>
              <w:left w:w="108" w:type="dxa"/>
              <w:bottom w:w="0" w:type="dxa"/>
              <w:right w:w="108" w:type="dxa"/>
            </w:tcMar>
          </w:tcPr>
          <w:p w14:paraId="44314EBF" w14:textId="77777777" w:rsidR="00A541D1" w:rsidRPr="005B1635" w:rsidRDefault="00254D4A">
            <w:pPr>
              <w:pStyle w:val="NoSpacing"/>
              <w:jc w:val="center"/>
              <w:rPr>
                <w:rFonts w:ascii="Garamond" w:hAnsi="Garamond"/>
                <w:b/>
                <w:sz w:val="22"/>
                <w:szCs w:val="22"/>
                <w:highlight w:val="white"/>
              </w:rPr>
            </w:pPr>
            <w:r w:rsidRPr="005B1635">
              <w:rPr>
                <w:rFonts w:ascii="Garamond" w:hAnsi="Garamond"/>
                <w:color w:val="000000"/>
                <w:sz w:val="22"/>
                <w:szCs w:val="22"/>
              </w:rPr>
              <w:t>4.06</w:t>
            </w:r>
          </w:p>
        </w:tc>
        <w:tc>
          <w:tcPr>
            <w:tcW w:w="2121" w:type="dxa"/>
            <w:tcMar>
              <w:top w:w="0" w:type="dxa"/>
              <w:left w:w="108" w:type="dxa"/>
              <w:bottom w:w="0" w:type="dxa"/>
              <w:right w:w="108" w:type="dxa"/>
            </w:tcMar>
          </w:tcPr>
          <w:p w14:paraId="32A6D1B3" w14:textId="77777777" w:rsidR="00A541D1" w:rsidRPr="005B1635" w:rsidRDefault="00254D4A">
            <w:pPr>
              <w:pStyle w:val="NoSpacing"/>
              <w:jc w:val="center"/>
              <w:rPr>
                <w:rFonts w:ascii="Garamond" w:hAnsi="Garamond"/>
                <w:b/>
                <w:sz w:val="22"/>
                <w:szCs w:val="22"/>
                <w:highlight w:val="white"/>
              </w:rPr>
            </w:pPr>
            <w:r w:rsidRPr="005B1635">
              <w:rPr>
                <w:rFonts w:ascii="Garamond" w:hAnsi="Garamond"/>
                <w:color w:val="000000"/>
                <w:sz w:val="22"/>
                <w:szCs w:val="22"/>
              </w:rPr>
              <w:t>High</w:t>
            </w:r>
          </w:p>
        </w:tc>
      </w:tr>
      <w:tr w:rsidR="00A541D1" w:rsidRPr="005B1635" w14:paraId="654B2A01" w14:textId="77777777">
        <w:trPr>
          <w:jc w:val="center"/>
        </w:trPr>
        <w:tc>
          <w:tcPr>
            <w:tcW w:w="4111" w:type="dxa"/>
            <w:tcBorders>
              <w:bottom w:val="single" w:sz="4" w:space="0" w:color="000000"/>
            </w:tcBorders>
            <w:tcMar>
              <w:top w:w="0" w:type="dxa"/>
              <w:left w:w="108" w:type="dxa"/>
              <w:bottom w:w="0" w:type="dxa"/>
              <w:right w:w="108" w:type="dxa"/>
            </w:tcMar>
          </w:tcPr>
          <w:p w14:paraId="3724B9CE" w14:textId="77777777" w:rsidR="00A541D1" w:rsidRPr="005B1635" w:rsidRDefault="00254D4A">
            <w:pPr>
              <w:pStyle w:val="NoSpacing"/>
              <w:rPr>
                <w:rFonts w:ascii="Garamond" w:hAnsi="Garamond"/>
                <w:b/>
                <w:sz w:val="22"/>
                <w:szCs w:val="22"/>
              </w:rPr>
            </w:pPr>
            <w:r w:rsidRPr="005B1635">
              <w:rPr>
                <w:rFonts w:ascii="Garamond" w:hAnsi="Garamond"/>
                <w:sz w:val="22"/>
                <w:szCs w:val="22"/>
              </w:rPr>
              <w:t xml:space="preserve">      Examination</w:t>
            </w:r>
          </w:p>
        </w:tc>
        <w:tc>
          <w:tcPr>
            <w:tcW w:w="1843" w:type="dxa"/>
            <w:tcBorders>
              <w:bottom w:val="single" w:sz="4" w:space="0" w:color="000000"/>
            </w:tcBorders>
            <w:tcMar>
              <w:top w:w="0" w:type="dxa"/>
              <w:left w:w="108" w:type="dxa"/>
              <w:bottom w:w="0" w:type="dxa"/>
              <w:right w:w="108" w:type="dxa"/>
            </w:tcMar>
          </w:tcPr>
          <w:p w14:paraId="16F8EE6D" w14:textId="77777777" w:rsidR="00A541D1" w:rsidRPr="005B1635" w:rsidRDefault="00254D4A">
            <w:pPr>
              <w:pStyle w:val="NoSpacing"/>
              <w:jc w:val="center"/>
              <w:rPr>
                <w:rFonts w:ascii="Garamond" w:hAnsi="Garamond"/>
                <w:b/>
                <w:sz w:val="22"/>
                <w:szCs w:val="22"/>
                <w:highlight w:val="white"/>
              </w:rPr>
            </w:pPr>
            <w:r w:rsidRPr="005B1635">
              <w:rPr>
                <w:rFonts w:ascii="Garamond" w:hAnsi="Garamond"/>
                <w:color w:val="000000"/>
                <w:sz w:val="22"/>
                <w:szCs w:val="22"/>
              </w:rPr>
              <w:t>.482</w:t>
            </w:r>
          </w:p>
        </w:tc>
        <w:tc>
          <w:tcPr>
            <w:tcW w:w="1559" w:type="dxa"/>
            <w:tcBorders>
              <w:bottom w:val="single" w:sz="4" w:space="0" w:color="000000"/>
            </w:tcBorders>
            <w:tcMar>
              <w:top w:w="0" w:type="dxa"/>
              <w:left w:w="108" w:type="dxa"/>
              <w:bottom w:w="0" w:type="dxa"/>
              <w:right w:w="108" w:type="dxa"/>
            </w:tcMar>
          </w:tcPr>
          <w:p w14:paraId="66DF9639" w14:textId="77777777" w:rsidR="00A541D1" w:rsidRPr="005B1635" w:rsidRDefault="00254D4A">
            <w:pPr>
              <w:pStyle w:val="NoSpacing"/>
              <w:jc w:val="center"/>
              <w:rPr>
                <w:rFonts w:ascii="Garamond" w:hAnsi="Garamond"/>
                <w:b/>
                <w:sz w:val="22"/>
                <w:szCs w:val="22"/>
                <w:highlight w:val="white"/>
              </w:rPr>
            </w:pPr>
            <w:r w:rsidRPr="005B1635">
              <w:rPr>
                <w:rFonts w:ascii="Garamond" w:hAnsi="Garamond"/>
                <w:color w:val="000000"/>
                <w:sz w:val="22"/>
                <w:szCs w:val="22"/>
              </w:rPr>
              <w:t>4.29</w:t>
            </w:r>
          </w:p>
        </w:tc>
        <w:tc>
          <w:tcPr>
            <w:tcW w:w="2121" w:type="dxa"/>
            <w:tcBorders>
              <w:bottom w:val="single" w:sz="4" w:space="0" w:color="000000"/>
            </w:tcBorders>
            <w:tcMar>
              <w:top w:w="0" w:type="dxa"/>
              <w:left w:w="108" w:type="dxa"/>
              <w:bottom w:w="0" w:type="dxa"/>
              <w:right w:w="108" w:type="dxa"/>
            </w:tcMar>
          </w:tcPr>
          <w:p w14:paraId="2A93059D" w14:textId="77777777" w:rsidR="00A541D1" w:rsidRPr="005B1635" w:rsidRDefault="00254D4A">
            <w:pPr>
              <w:pStyle w:val="NoSpacing"/>
              <w:jc w:val="center"/>
              <w:rPr>
                <w:rFonts w:ascii="Garamond" w:hAnsi="Garamond"/>
                <w:b/>
                <w:sz w:val="22"/>
                <w:szCs w:val="22"/>
                <w:highlight w:val="white"/>
              </w:rPr>
            </w:pPr>
            <w:r w:rsidRPr="005B1635">
              <w:rPr>
                <w:rFonts w:ascii="Garamond" w:hAnsi="Garamond"/>
                <w:color w:val="000000"/>
                <w:sz w:val="22"/>
                <w:szCs w:val="22"/>
              </w:rPr>
              <w:t>Very High</w:t>
            </w:r>
          </w:p>
        </w:tc>
      </w:tr>
    </w:tbl>
    <w:p w14:paraId="0F975DA1" w14:textId="77777777" w:rsidR="00A541D1" w:rsidRDefault="00A541D1">
      <w:pPr>
        <w:ind w:firstLine="720"/>
        <w:jc w:val="both"/>
        <w:rPr>
          <w:rFonts w:ascii="Garamond" w:eastAsia="Garamond" w:hAnsi="Garamond" w:cs="Garamond"/>
          <w:sz w:val="22"/>
          <w:szCs w:val="22"/>
        </w:rPr>
      </w:pPr>
    </w:p>
    <w:p w14:paraId="3CEFA73B" w14:textId="77777777" w:rsidR="00A541D1" w:rsidRDefault="00254D4A">
      <w:pPr>
        <w:ind w:firstLine="720"/>
        <w:jc w:val="both"/>
        <w:rPr>
          <w:rFonts w:ascii="Garamond" w:eastAsia="Garamond" w:hAnsi="Garamond" w:cs="Garamond"/>
          <w:sz w:val="22"/>
          <w:szCs w:val="22"/>
        </w:rPr>
      </w:pPr>
      <w:r>
        <w:rPr>
          <w:rFonts w:ascii="Garamond" w:eastAsia="Garamond" w:hAnsi="Garamond" w:cs="Garamond"/>
          <w:sz w:val="22"/>
          <w:szCs w:val="22"/>
        </w:rPr>
        <w:lastRenderedPageBreak/>
        <w:t>Table 1 shows high mean scores for both metacognitive awareness and persistence in solving mathematical problems. The mean score for Knowledge of Cognition was 4.30, while Regulation of Cognition yielded a slightly higher average of 4.32. The relatively lo</w:t>
      </w:r>
      <w:r>
        <w:rPr>
          <w:rFonts w:ascii="Garamond" w:eastAsia="Garamond" w:hAnsi="Garamond" w:cs="Garamond"/>
          <w:sz w:val="22"/>
          <w:szCs w:val="22"/>
        </w:rPr>
        <w:t>w standard deviations across these measures further suggest a strong consistency in students’ responses, reflecting a shared sense of self-efficacy in applying metacognitive approaches to learning. The overall mean of 4.31 indicates that students generally</w:t>
      </w:r>
      <w:r>
        <w:rPr>
          <w:rFonts w:ascii="Garamond" w:eastAsia="Garamond" w:hAnsi="Garamond" w:cs="Garamond"/>
          <w:sz w:val="22"/>
          <w:szCs w:val="22"/>
        </w:rPr>
        <w:t xml:space="preserve"> perceive themselves as highly aware of their learning processes and confident in their ability to manage and regulate their cognitive strategies. </w:t>
      </w:r>
    </w:p>
    <w:p w14:paraId="168E16E8" w14:textId="3242394A" w:rsidR="00A541D1" w:rsidRDefault="00254D4A" w:rsidP="00F26DF3">
      <w:pPr>
        <w:ind w:firstLine="720"/>
        <w:jc w:val="both"/>
        <w:rPr>
          <w:rFonts w:ascii="Garamond" w:eastAsia="Garamond" w:hAnsi="Garamond" w:cs="Garamond"/>
          <w:sz w:val="22"/>
          <w:szCs w:val="22"/>
        </w:rPr>
      </w:pPr>
      <w:r>
        <w:rPr>
          <w:rFonts w:ascii="Garamond" w:eastAsia="Garamond" w:hAnsi="Garamond" w:cs="Garamond"/>
          <w:sz w:val="22"/>
          <w:szCs w:val="22"/>
        </w:rPr>
        <w:t xml:space="preserve">On the other hand, students demonstrate a high degree of persistence in solving mathematics problems across </w:t>
      </w:r>
      <w:r>
        <w:rPr>
          <w:rFonts w:ascii="Garamond" w:eastAsia="Garamond" w:hAnsi="Garamond" w:cs="Garamond"/>
          <w:sz w:val="22"/>
          <w:szCs w:val="22"/>
        </w:rPr>
        <w:t>different academic contexts. The highest mean score was garnered in mathematics examinations with a mean score of 4.29. The take-home assignments garnered the lowest mean score of 3.88. The standard deviations indicate moderate variability in students' res</w:t>
      </w:r>
      <w:r>
        <w:rPr>
          <w:rFonts w:ascii="Garamond" w:eastAsia="Garamond" w:hAnsi="Garamond" w:cs="Garamond"/>
          <w:sz w:val="22"/>
          <w:szCs w:val="22"/>
        </w:rPr>
        <w:t xml:space="preserve">ponses. The overall mean of 4.06 suggests that students, on average, </w:t>
      </w:r>
      <w:r w:rsidR="00B14FB4">
        <w:rPr>
          <w:rFonts w:ascii="Garamond" w:eastAsia="Garamond" w:hAnsi="Garamond" w:cs="Garamond"/>
          <w:sz w:val="22"/>
          <w:szCs w:val="22"/>
        </w:rPr>
        <w:t>put</w:t>
      </w:r>
      <w:r>
        <w:rPr>
          <w:rFonts w:ascii="Garamond" w:eastAsia="Garamond" w:hAnsi="Garamond" w:cs="Garamond"/>
          <w:sz w:val="22"/>
          <w:szCs w:val="22"/>
        </w:rPr>
        <w:t xml:space="preserve"> a strong effort and remain resolute, specifically during exams</w:t>
      </w:r>
      <w:r w:rsidR="00B14FB4">
        <w:rPr>
          <w:rFonts w:ascii="Garamond" w:eastAsia="Garamond" w:hAnsi="Garamond" w:cs="Garamond"/>
          <w:sz w:val="22"/>
          <w:szCs w:val="22"/>
        </w:rPr>
        <w:t>,</w:t>
      </w:r>
      <w:r>
        <w:rPr>
          <w:rFonts w:ascii="Garamond" w:eastAsia="Garamond" w:hAnsi="Garamond" w:cs="Garamond"/>
          <w:sz w:val="22"/>
          <w:szCs w:val="22"/>
        </w:rPr>
        <w:t xml:space="preserve"> which </w:t>
      </w:r>
      <w:r w:rsidR="00B14FB4">
        <w:rPr>
          <w:rFonts w:ascii="Garamond" w:eastAsia="Garamond" w:hAnsi="Garamond" w:cs="Garamond"/>
          <w:sz w:val="22"/>
          <w:szCs w:val="22"/>
        </w:rPr>
        <w:t>shows</w:t>
      </w:r>
      <w:r>
        <w:rPr>
          <w:rFonts w:ascii="Garamond" w:eastAsia="Garamond" w:hAnsi="Garamond" w:cs="Garamond"/>
          <w:sz w:val="22"/>
          <w:szCs w:val="22"/>
        </w:rPr>
        <w:t xml:space="preserve"> the most persistence. </w:t>
      </w:r>
    </w:p>
    <w:p w14:paraId="641177DA" w14:textId="77777777" w:rsidR="00A541D1" w:rsidRDefault="00254D4A">
      <w:pPr>
        <w:tabs>
          <w:tab w:val="center" w:pos="4680"/>
          <w:tab w:val="right" w:pos="9360"/>
        </w:tabs>
        <w:spacing w:line="240" w:lineRule="auto"/>
        <w:rPr>
          <w:rFonts w:ascii="Garamond" w:eastAsia="Garamond" w:hAnsi="Garamond" w:cs="Garamond"/>
          <w:b/>
          <w:sz w:val="22"/>
          <w:szCs w:val="22"/>
        </w:rPr>
      </w:pPr>
      <w:r>
        <w:rPr>
          <w:rFonts w:ascii="Garamond" w:eastAsia="Garamond" w:hAnsi="Garamond" w:cs="Garamond"/>
          <w:b/>
          <w:sz w:val="22"/>
          <w:szCs w:val="22"/>
        </w:rPr>
        <w:t>Table 2.  Test of Relationship</w:t>
      </w:r>
      <w:bookmarkStart w:id="10" w:name="_Hlk198583133"/>
    </w:p>
    <w:tbl>
      <w:tblPr>
        <w:tblStyle w:val="TableGrid"/>
        <w:tblW w:w="9351" w:type="dxa"/>
        <w:tblLook w:val="04A0" w:firstRow="1" w:lastRow="0" w:firstColumn="1" w:lastColumn="0" w:noHBand="0" w:noVBand="1"/>
      </w:tblPr>
      <w:tblGrid>
        <w:gridCol w:w="3114"/>
        <w:gridCol w:w="1559"/>
        <w:gridCol w:w="1559"/>
        <w:gridCol w:w="1701"/>
        <w:gridCol w:w="1418"/>
      </w:tblGrid>
      <w:tr w:rsidR="00A541D1" w14:paraId="71C2DE10" w14:textId="77777777">
        <w:tc>
          <w:tcPr>
            <w:tcW w:w="3114" w:type="dxa"/>
            <w:vMerge w:val="restart"/>
            <w:tcBorders>
              <w:top w:val="double" w:sz="4" w:space="0" w:color="auto"/>
              <w:left w:val="nil"/>
              <w:bottom w:val="nil"/>
              <w:right w:val="nil"/>
            </w:tcBorders>
          </w:tcPr>
          <w:bookmarkEnd w:id="10"/>
          <w:p w14:paraId="0D2FE188" w14:textId="77777777" w:rsidR="00A541D1" w:rsidRDefault="00254D4A">
            <w:pPr>
              <w:tabs>
                <w:tab w:val="center" w:pos="4680"/>
                <w:tab w:val="right" w:pos="9360"/>
              </w:tabs>
              <w:spacing w:after="0" w:line="276" w:lineRule="auto"/>
              <w:jc w:val="center"/>
              <w:rPr>
                <w:rFonts w:ascii="Garamond" w:eastAsia="Garamond" w:hAnsi="Garamond" w:cs="Garamond"/>
                <w:b/>
                <w:bCs/>
                <w:sz w:val="22"/>
                <w:szCs w:val="22"/>
                <w:highlight w:val="white"/>
              </w:rPr>
            </w:pPr>
            <w:r>
              <w:rPr>
                <w:rFonts w:ascii="Garamond" w:eastAsia="Garamond" w:hAnsi="Garamond" w:cs="Garamond"/>
                <w:b/>
                <w:bCs/>
                <w:sz w:val="22"/>
                <w:szCs w:val="22"/>
                <w:highlight w:val="white"/>
              </w:rPr>
              <w:t>Independent Variable</w:t>
            </w:r>
          </w:p>
        </w:tc>
        <w:tc>
          <w:tcPr>
            <w:tcW w:w="6237" w:type="dxa"/>
            <w:gridSpan w:val="4"/>
            <w:tcBorders>
              <w:top w:val="double" w:sz="4" w:space="0" w:color="auto"/>
              <w:left w:val="nil"/>
              <w:bottom w:val="single" w:sz="4" w:space="0" w:color="auto"/>
              <w:right w:val="nil"/>
            </w:tcBorders>
          </w:tcPr>
          <w:p w14:paraId="00EBD123" w14:textId="77777777" w:rsidR="00A541D1" w:rsidRDefault="00254D4A">
            <w:pPr>
              <w:tabs>
                <w:tab w:val="center" w:pos="4680"/>
                <w:tab w:val="right" w:pos="9360"/>
              </w:tabs>
              <w:spacing w:after="0" w:line="276" w:lineRule="auto"/>
              <w:jc w:val="center"/>
              <w:rPr>
                <w:rFonts w:ascii="Garamond" w:eastAsia="Garamond" w:hAnsi="Garamond" w:cs="Garamond"/>
                <w:b/>
                <w:bCs/>
                <w:sz w:val="22"/>
                <w:szCs w:val="22"/>
                <w:highlight w:val="white"/>
              </w:rPr>
            </w:pPr>
            <w:r>
              <w:rPr>
                <w:rFonts w:ascii="Garamond" w:eastAsia="Garamond" w:hAnsi="Garamond" w:cs="Garamond"/>
                <w:b/>
                <w:bCs/>
                <w:sz w:val="22"/>
                <w:szCs w:val="22"/>
              </w:rPr>
              <w:t xml:space="preserve">Persistence in Solving </w:t>
            </w:r>
            <w:r>
              <w:rPr>
                <w:rFonts w:ascii="Garamond" w:eastAsia="Garamond" w:hAnsi="Garamond" w:cs="Garamond"/>
                <w:b/>
                <w:bCs/>
                <w:sz w:val="22"/>
                <w:szCs w:val="22"/>
              </w:rPr>
              <w:t>Mathematical Problems</w:t>
            </w:r>
          </w:p>
        </w:tc>
      </w:tr>
      <w:tr w:rsidR="00A541D1" w14:paraId="6AD2C7E8" w14:textId="77777777">
        <w:tc>
          <w:tcPr>
            <w:tcW w:w="3114" w:type="dxa"/>
            <w:vMerge/>
            <w:tcBorders>
              <w:top w:val="nil"/>
              <w:left w:val="nil"/>
              <w:bottom w:val="nil"/>
              <w:right w:val="nil"/>
            </w:tcBorders>
          </w:tcPr>
          <w:p w14:paraId="5BCE0E6A" w14:textId="77777777" w:rsidR="00A541D1" w:rsidRDefault="00A541D1">
            <w:pPr>
              <w:tabs>
                <w:tab w:val="center" w:pos="4680"/>
                <w:tab w:val="right" w:pos="9360"/>
              </w:tabs>
              <w:spacing w:after="0" w:line="276" w:lineRule="auto"/>
              <w:jc w:val="both"/>
              <w:rPr>
                <w:rFonts w:ascii="Garamond" w:eastAsia="Garamond" w:hAnsi="Garamond" w:cs="Garamond"/>
                <w:sz w:val="22"/>
                <w:szCs w:val="22"/>
                <w:highlight w:val="white"/>
              </w:rPr>
            </w:pPr>
          </w:p>
        </w:tc>
        <w:tc>
          <w:tcPr>
            <w:tcW w:w="1559" w:type="dxa"/>
            <w:tcBorders>
              <w:top w:val="single" w:sz="4" w:space="0" w:color="auto"/>
              <w:left w:val="nil"/>
              <w:bottom w:val="nil"/>
              <w:right w:val="nil"/>
            </w:tcBorders>
          </w:tcPr>
          <w:p w14:paraId="0B0BCE9B" w14:textId="77777777" w:rsidR="00A541D1" w:rsidRDefault="00254D4A">
            <w:pPr>
              <w:tabs>
                <w:tab w:val="center" w:pos="4680"/>
                <w:tab w:val="right" w:pos="9360"/>
              </w:tabs>
              <w:spacing w:after="0" w:line="276" w:lineRule="auto"/>
              <w:jc w:val="center"/>
              <w:rPr>
                <w:rFonts w:ascii="Garamond" w:eastAsia="Garamond" w:hAnsi="Garamond" w:cs="Garamond"/>
                <w:b/>
                <w:bCs/>
                <w:sz w:val="22"/>
                <w:szCs w:val="22"/>
                <w:highlight w:val="white"/>
              </w:rPr>
            </w:pPr>
            <w:r>
              <w:rPr>
                <w:rFonts w:ascii="Garamond" w:eastAsia="Garamond" w:hAnsi="Garamond" w:cs="Garamond"/>
                <w:b/>
                <w:bCs/>
                <w:sz w:val="22"/>
                <w:szCs w:val="22"/>
                <w:highlight w:val="white"/>
              </w:rPr>
              <w:t>R-value</w:t>
            </w:r>
          </w:p>
        </w:tc>
        <w:tc>
          <w:tcPr>
            <w:tcW w:w="1559" w:type="dxa"/>
            <w:tcBorders>
              <w:top w:val="single" w:sz="4" w:space="0" w:color="auto"/>
              <w:left w:val="nil"/>
              <w:bottom w:val="nil"/>
              <w:right w:val="nil"/>
            </w:tcBorders>
          </w:tcPr>
          <w:p w14:paraId="5F01B878" w14:textId="77777777" w:rsidR="00A541D1" w:rsidRDefault="00254D4A">
            <w:pPr>
              <w:tabs>
                <w:tab w:val="center" w:pos="4680"/>
                <w:tab w:val="right" w:pos="9360"/>
              </w:tabs>
              <w:spacing w:after="0" w:line="276" w:lineRule="auto"/>
              <w:jc w:val="center"/>
              <w:rPr>
                <w:rFonts w:ascii="Garamond" w:eastAsia="Garamond" w:hAnsi="Garamond" w:cs="Garamond"/>
                <w:b/>
                <w:bCs/>
                <w:sz w:val="22"/>
                <w:szCs w:val="22"/>
                <w:highlight w:val="white"/>
              </w:rPr>
            </w:pPr>
            <w:r>
              <w:rPr>
                <w:rFonts w:ascii="Garamond" w:eastAsia="Garamond" w:hAnsi="Garamond" w:cs="Garamond"/>
                <w:b/>
                <w:bCs/>
                <w:sz w:val="22"/>
                <w:szCs w:val="22"/>
                <w:highlight w:val="white"/>
              </w:rPr>
              <w:t>p-value</w:t>
            </w:r>
          </w:p>
        </w:tc>
        <w:tc>
          <w:tcPr>
            <w:tcW w:w="1701" w:type="dxa"/>
            <w:tcBorders>
              <w:top w:val="single" w:sz="4" w:space="0" w:color="auto"/>
              <w:left w:val="nil"/>
              <w:bottom w:val="nil"/>
              <w:right w:val="nil"/>
            </w:tcBorders>
          </w:tcPr>
          <w:p w14:paraId="600EBB38" w14:textId="77777777" w:rsidR="00A541D1" w:rsidRDefault="00254D4A">
            <w:pPr>
              <w:tabs>
                <w:tab w:val="center" w:pos="4680"/>
                <w:tab w:val="right" w:pos="9360"/>
              </w:tabs>
              <w:spacing w:after="0" w:line="276" w:lineRule="auto"/>
              <w:jc w:val="center"/>
              <w:rPr>
                <w:rFonts w:ascii="Garamond" w:eastAsia="Garamond" w:hAnsi="Garamond" w:cs="Garamond"/>
                <w:b/>
                <w:bCs/>
                <w:sz w:val="22"/>
                <w:szCs w:val="22"/>
                <w:highlight w:val="white"/>
              </w:rPr>
            </w:pPr>
            <w:r>
              <w:rPr>
                <w:rFonts w:ascii="Garamond" w:eastAsia="Garamond" w:hAnsi="Garamond" w:cs="Garamond"/>
                <w:b/>
                <w:bCs/>
                <w:sz w:val="22"/>
                <w:szCs w:val="22"/>
                <w:highlight w:val="white"/>
              </w:rPr>
              <w:t>Decision on Ho</w:t>
            </w:r>
          </w:p>
        </w:tc>
        <w:tc>
          <w:tcPr>
            <w:tcW w:w="1418" w:type="dxa"/>
            <w:tcBorders>
              <w:top w:val="single" w:sz="4" w:space="0" w:color="auto"/>
              <w:left w:val="nil"/>
              <w:bottom w:val="nil"/>
              <w:right w:val="nil"/>
            </w:tcBorders>
          </w:tcPr>
          <w:p w14:paraId="30313534" w14:textId="77777777" w:rsidR="00A541D1" w:rsidRDefault="00254D4A">
            <w:pPr>
              <w:tabs>
                <w:tab w:val="center" w:pos="4680"/>
                <w:tab w:val="right" w:pos="9360"/>
              </w:tabs>
              <w:spacing w:after="0" w:line="276" w:lineRule="auto"/>
              <w:jc w:val="center"/>
              <w:rPr>
                <w:rFonts w:ascii="Garamond" w:eastAsia="Garamond" w:hAnsi="Garamond" w:cs="Garamond"/>
                <w:b/>
                <w:bCs/>
                <w:sz w:val="22"/>
                <w:szCs w:val="22"/>
                <w:highlight w:val="white"/>
              </w:rPr>
            </w:pPr>
            <w:r>
              <w:rPr>
                <w:rFonts w:ascii="Garamond" w:eastAsia="Garamond" w:hAnsi="Garamond" w:cs="Garamond"/>
                <w:b/>
                <w:bCs/>
                <w:sz w:val="22"/>
                <w:szCs w:val="22"/>
                <w:highlight w:val="white"/>
              </w:rPr>
              <w:t>Remarks</w:t>
            </w:r>
          </w:p>
        </w:tc>
      </w:tr>
      <w:tr w:rsidR="00A541D1" w14:paraId="78F7AA08" w14:textId="77777777">
        <w:tc>
          <w:tcPr>
            <w:tcW w:w="3114" w:type="dxa"/>
            <w:tcBorders>
              <w:top w:val="nil"/>
              <w:left w:val="nil"/>
              <w:bottom w:val="single" w:sz="4" w:space="0" w:color="auto"/>
              <w:right w:val="nil"/>
            </w:tcBorders>
          </w:tcPr>
          <w:p w14:paraId="334BFC14" w14:textId="77777777" w:rsidR="00A541D1" w:rsidRDefault="00254D4A">
            <w:pPr>
              <w:tabs>
                <w:tab w:val="center" w:pos="4680"/>
                <w:tab w:val="right" w:pos="9360"/>
              </w:tabs>
              <w:spacing w:after="0" w:line="276" w:lineRule="auto"/>
              <w:jc w:val="center"/>
              <w:rPr>
                <w:rFonts w:ascii="Garamond" w:eastAsia="Garamond" w:hAnsi="Garamond" w:cs="Garamond"/>
                <w:b/>
                <w:bCs/>
                <w:sz w:val="22"/>
                <w:szCs w:val="22"/>
                <w:highlight w:val="white"/>
              </w:rPr>
            </w:pPr>
            <w:r>
              <w:rPr>
                <w:rFonts w:ascii="Garamond" w:eastAsia="Garamond" w:hAnsi="Garamond" w:cs="Garamond"/>
                <w:b/>
                <w:bCs/>
                <w:sz w:val="22"/>
                <w:szCs w:val="22"/>
              </w:rPr>
              <w:t>Metacognitive Awareness</w:t>
            </w:r>
          </w:p>
        </w:tc>
        <w:tc>
          <w:tcPr>
            <w:tcW w:w="1559" w:type="dxa"/>
            <w:tcBorders>
              <w:top w:val="nil"/>
              <w:left w:val="nil"/>
              <w:bottom w:val="single" w:sz="4" w:space="0" w:color="auto"/>
              <w:right w:val="nil"/>
            </w:tcBorders>
          </w:tcPr>
          <w:p w14:paraId="05125B38" w14:textId="77777777" w:rsidR="00A541D1" w:rsidRDefault="00254D4A">
            <w:pPr>
              <w:tabs>
                <w:tab w:val="center" w:pos="4680"/>
                <w:tab w:val="right" w:pos="9360"/>
              </w:tabs>
              <w:spacing w:after="0" w:line="276" w:lineRule="auto"/>
              <w:jc w:val="center"/>
              <w:rPr>
                <w:rFonts w:ascii="Garamond" w:eastAsia="Garamond" w:hAnsi="Garamond" w:cs="Garamond"/>
                <w:bCs/>
                <w:sz w:val="22"/>
                <w:szCs w:val="22"/>
                <w:highlight w:val="white"/>
              </w:rPr>
            </w:pPr>
            <w:r>
              <w:rPr>
                <w:rFonts w:ascii="Garamond" w:eastAsia="Garamond" w:hAnsi="Garamond" w:cs="Garamond"/>
                <w:bCs/>
                <w:sz w:val="22"/>
                <w:szCs w:val="22"/>
                <w:highlight w:val="white"/>
              </w:rPr>
              <w:t>.528</w:t>
            </w:r>
          </w:p>
        </w:tc>
        <w:tc>
          <w:tcPr>
            <w:tcW w:w="1559" w:type="dxa"/>
            <w:tcBorders>
              <w:top w:val="nil"/>
              <w:left w:val="nil"/>
              <w:bottom w:val="single" w:sz="4" w:space="0" w:color="auto"/>
              <w:right w:val="nil"/>
            </w:tcBorders>
          </w:tcPr>
          <w:p w14:paraId="2C421F8E" w14:textId="77777777" w:rsidR="00A541D1" w:rsidRDefault="00254D4A">
            <w:pPr>
              <w:tabs>
                <w:tab w:val="center" w:pos="4680"/>
                <w:tab w:val="right" w:pos="9360"/>
              </w:tabs>
              <w:spacing w:after="0" w:line="276" w:lineRule="auto"/>
              <w:jc w:val="center"/>
              <w:rPr>
                <w:rFonts w:ascii="Garamond" w:eastAsia="Garamond" w:hAnsi="Garamond" w:cs="Garamond"/>
                <w:bCs/>
                <w:sz w:val="22"/>
                <w:szCs w:val="22"/>
                <w:highlight w:val="white"/>
              </w:rPr>
            </w:pPr>
            <w:r>
              <w:rPr>
                <w:rFonts w:ascii="Garamond" w:eastAsia="Garamond" w:hAnsi="Garamond" w:cs="Garamond"/>
                <w:bCs/>
                <w:sz w:val="22"/>
                <w:szCs w:val="22"/>
                <w:highlight w:val="white"/>
              </w:rPr>
              <w:t>.000</w:t>
            </w:r>
          </w:p>
        </w:tc>
        <w:tc>
          <w:tcPr>
            <w:tcW w:w="1701" w:type="dxa"/>
            <w:tcBorders>
              <w:top w:val="nil"/>
              <w:left w:val="nil"/>
              <w:bottom w:val="single" w:sz="4" w:space="0" w:color="auto"/>
              <w:right w:val="nil"/>
            </w:tcBorders>
          </w:tcPr>
          <w:p w14:paraId="7FC14480" w14:textId="77777777" w:rsidR="00A541D1" w:rsidRDefault="00254D4A">
            <w:pPr>
              <w:tabs>
                <w:tab w:val="center" w:pos="4680"/>
                <w:tab w:val="right" w:pos="9360"/>
              </w:tabs>
              <w:spacing w:after="0" w:line="276" w:lineRule="auto"/>
              <w:jc w:val="center"/>
              <w:rPr>
                <w:rFonts w:ascii="Garamond" w:eastAsia="Garamond" w:hAnsi="Garamond" w:cs="Garamond"/>
                <w:bCs/>
                <w:sz w:val="22"/>
                <w:szCs w:val="22"/>
                <w:highlight w:val="white"/>
              </w:rPr>
            </w:pPr>
            <w:r>
              <w:rPr>
                <w:rFonts w:ascii="Garamond" w:eastAsia="Garamond" w:hAnsi="Garamond" w:cs="Garamond"/>
                <w:bCs/>
                <w:sz w:val="22"/>
                <w:szCs w:val="22"/>
                <w:highlight w:val="white"/>
              </w:rPr>
              <w:t>Rejected</w:t>
            </w:r>
          </w:p>
        </w:tc>
        <w:tc>
          <w:tcPr>
            <w:tcW w:w="1418" w:type="dxa"/>
            <w:tcBorders>
              <w:top w:val="nil"/>
              <w:left w:val="nil"/>
              <w:bottom w:val="single" w:sz="4" w:space="0" w:color="auto"/>
              <w:right w:val="nil"/>
            </w:tcBorders>
          </w:tcPr>
          <w:p w14:paraId="346DF25D" w14:textId="77777777" w:rsidR="00A541D1" w:rsidRDefault="00254D4A">
            <w:pPr>
              <w:tabs>
                <w:tab w:val="center" w:pos="4680"/>
                <w:tab w:val="right" w:pos="9360"/>
              </w:tabs>
              <w:spacing w:after="0" w:line="276" w:lineRule="auto"/>
              <w:jc w:val="center"/>
              <w:rPr>
                <w:rFonts w:ascii="Garamond" w:eastAsia="Garamond" w:hAnsi="Garamond" w:cs="Garamond"/>
                <w:bCs/>
                <w:sz w:val="22"/>
                <w:szCs w:val="22"/>
                <w:highlight w:val="white"/>
              </w:rPr>
            </w:pPr>
            <w:r>
              <w:rPr>
                <w:rFonts w:ascii="Garamond" w:eastAsia="Garamond" w:hAnsi="Garamond" w:cs="Garamond"/>
                <w:bCs/>
                <w:sz w:val="22"/>
                <w:szCs w:val="22"/>
                <w:highlight w:val="white"/>
              </w:rPr>
              <w:t>Significant</w:t>
            </w:r>
          </w:p>
        </w:tc>
      </w:tr>
    </w:tbl>
    <w:p w14:paraId="5042E35A" w14:textId="77777777" w:rsidR="00A541D1" w:rsidRDefault="00A541D1">
      <w:pPr>
        <w:tabs>
          <w:tab w:val="center" w:pos="4680"/>
          <w:tab w:val="right" w:pos="9360"/>
        </w:tabs>
        <w:spacing w:line="276" w:lineRule="auto"/>
        <w:jc w:val="both"/>
        <w:rPr>
          <w:rFonts w:ascii="Garamond" w:eastAsia="Garamond" w:hAnsi="Garamond" w:cs="Garamond"/>
          <w:sz w:val="22"/>
          <w:szCs w:val="22"/>
        </w:rPr>
      </w:pPr>
    </w:p>
    <w:p w14:paraId="3118C3A5" w14:textId="4FE64155" w:rsidR="00A541D1" w:rsidRDefault="00254D4A">
      <w:pPr>
        <w:tabs>
          <w:tab w:val="center" w:pos="4680"/>
          <w:tab w:val="right" w:pos="9360"/>
        </w:tabs>
        <w:spacing w:line="276" w:lineRule="auto"/>
        <w:jc w:val="both"/>
        <w:rPr>
          <w:rFonts w:ascii="Garamond" w:eastAsia="Garamond" w:hAnsi="Garamond" w:cs="Garamond"/>
          <w:sz w:val="22"/>
          <w:szCs w:val="22"/>
          <w:highlight w:val="white"/>
        </w:rPr>
      </w:pPr>
      <w:r>
        <w:rPr>
          <w:rFonts w:ascii="Garamond" w:eastAsia="Garamond" w:hAnsi="Garamond" w:cs="Garamond"/>
          <w:sz w:val="22"/>
          <w:szCs w:val="22"/>
        </w:rPr>
        <w:tab/>
        <w:t xml:space="preserve">        Table 2 shows the </w:t>
      </w:r>
      <w:r>
        <w:rPr>
          <w:rFonts w:ascii="Garamond" w:eastAsia="Garamond" w:hAnsi="Garamond" w:cs="Garamond"/>
          <w:sz w:val="22"/>
          <w:szCs w:val="22"/>
          <w:lang w:val="en-US"/>
        </w:rPr>
        <w:t xml:space="preserve">statistical </w:t>
      </w:r>
      <w:r>
        <w:rPr>
          <w:rFonts w:ascii="Garamond" w:eastAsia="Garamond" w:hAnsi="Garamond" w:cs="Garamond"/>
          <w:sz w:val="22"/>
          <w:szCs w:val="22"/>
        </w:rPr>
        <w:t xml:space="preserve">correlation </w:t>
      </w:r>
      <w:r>
        <w:rPr>
          <w:rFonts w:ascii="Garamond" w:eastAsia="Garamond" w:hAnsi="Garamond" w:cs="Garamond"/>
          <w:sz w:val="22"/>
          <w:szCs w:val="22"/>
          <w:lang w:val="en-US"/>
        </w:rPr>
        <w:t>between</w:t>
      </w:r>
      <w:r>
        <w:rPr>
          <w:rFonts w:ascii="Garamond" w:eastAsia="Garamond" w:hAnsi="Garamond" w:cs="Garamond"/>
          <w:sz w:val="22"/>
          <w:szCs w:val="22"/>
        </w:rPr>
        <w:t xml:space="preserve"> metacognitive awareness</w:t>
      </w:r>
      <w:r>
        <w:rPr>
          <w:rFonts w:ascii="Garamond" w:eastAsia="Garamond" w:hAnsi="Garamond" w:cs="Garamond"/>
          <w:sz w:val="22"/>
          <w:szCs w:val="22"/>
          <w:lang w:val="en-US"/>
        </w:rPr>
        <w:t xml:space="preserve"> and</w:t>
      </w:r>
      <w:r>
        <w:rPr>
          <w:rFonts w:ascii="Garamond" w:eastAsia="Garamond" w:hAnsi="Garamond" w:cs="Garamond"/>
          <w:sz w:val="22"/>
          <w:szCs w:val="22"/>
        </w:rPr>
        <w:t xml:space="preserve"> students' persistence in </w:t>
      </w:r>
      <w:r>
        <w:rPr>
          <w:rFonts w:ascii="Garamond" w:eastAsia="Garamond" w:hAnsi="Garamond" w:cs="Garamond"/>
          <w:sz w:val="22"/>
          <w:szCs w:val="22"/>
          <w:lang w:val="en-US"/>
        </w:rPr>
        <w:t xml:space="preserve">solving mathematical </w:t>
      </w:r>
      <w:r>
        <w:rPr>
          <w:rFonts w:ascii="Garamond" w:eastAsia="Garamond" w:hAnsi="Garamond" w:cs="Garamond"/>
          <w:sz w:val="22"/>
          <w:szCs w:val="22"/>
          <w:lang w:val="en-US"/>
        </w:rPr>
        <w:t>problems</w:t>
      </w:r>
      <w:r>
        <w:rPr>
          <w:rFonts w:ascii="Garamond" w:eastAsia="Garamond" w:hAnsi="Garamond" w:cs="Garamond"/>
          <w:sz w:val="22"/>
          <w:szCs w:val="22"/>
        </w:rPr>
        <w:t>. The results show a significant positive relationship, with a computed Pearson correlation coefficient (R-value) of .528 and a p-value of .000. Since the p-value is less than the standard significance level of 0.05, the null hypothesis is rejected</w:t>
      </w:r>
      <w:r>
        <w:rPr>
          <w:rFonts w:ascii="Garamond" w:eastAsia="Garamond" w:hAnsi="Garamond" w:cs="Garamond"/>
          <w:sz w:val="22"/>
          <w:szCs w:val="22"/>
        </w:rPr>
        <w:t xml:space="preserve">, indicating that metacognitive awareness has a statistically significant </w:t>
      </w:r>
      <w:r w:rsidR="00B14FB4">
        <w:rPr>
          <w:rFonts w:ascii="Garamond" w:eastAsia="Garamond" w:hAnsi="Garamond" w:cs="Garamond"/>
          <w:sz w:val="22"/>
          <w:szCs w:val="22"/>
        </w:rPr>
        <w:t>relationship</w:t>
      </w:r>
      <w:r>
        <w:rPr>
          <w:rFonts w:ascii="Garamond" w:eastAsia="Garamond" w:hAnsi="Garamond" w:cs="Garamond"/>
          <w:sz w:val="22"/>
          <w:szCs w:val="22"/>
        </w:rPr>
        <w:t xml:space="preserve"> on students' persistence in mathematical tasks.</w:t>
      </w:r>
    </w:p>
    <w:p w14:paraId="1B66DFED" w14:textId="77777777" w:rsidR="00EF5F16" w:rsidRDefault="00EF5F16">
      <w:pPr>
        <w:tabs>
          <w:tab w:val="center" w:pos="4680"/>
          <w:tab w:val="right" w:pos="9360"/>
        </w:tabs>
        <w:spacing w:line="276" w:lineRule="auto"/>
        <w:jc w:val="both"/>
        <w:rPr>
          <w:rFonts w:ascii="Garamond" w:eastAsia="Garamond" w:hAnsi="Garamond" w:cs="Garamond"/>
          <w:sz w:val="22"/>
          <w:szCs w:val="22"/>
          <w:highlight w:val="white"/>
        </w:rPr>
      </w:pPr>
    </w:p>
    <w:p w14:paraId="1DEDFA30" w14:textId="77777777" w:rsidR="00930ED6" w:rsidRDefault="00930ED6">
      <w:pPr>
        <w:tabs>
          <w:tab w:val="center" w:pos="4680"/>
          <w:tab w:val="right" w:pos="9360"/>
        </w:tabs>
        <w:spacing w:line="276" w:lineRule="auto"/>
        <w:jc w:val="both"/>
        <w:rPr>
          <w:rFonts w:ascii="Garamond" w:eastAsia="Garamond" w:hAnsi="Garamond" w:cs="Garamond"/>
          <w:sz w:val="22"/>
          <w:szCs w:val="22"/>
          <w:highlight w:val="white"/>
        </w:rPr>
      </w:pPr>
    </w:p>
    <w:p w14:paraId="1E166384" w14:textId="774E9D1B" w:rsidR="00A541D1" w:rsidRDefault="00254D4A">
      <w:pPr>
        <w:tabs>
          <w:tab w:val="center" w:pos="4680"/>
          <w:tab w:val="right" w:pos="9360"/>
        </w:tabs>
        <w:spacing w:line="276" w:lineRule="auto"/>
        <w:jc w:val="both"/>
        <w:rPr>
          <w:rFonts w:ascii="Garamond" w:eastAsia="Garamond" w:hAnsi="Garamond" w:cs="Garamond"/>
          <w:sz w:val="22"/>
          <w:szCs w:val="22"/>
        </w:rPr>
      </w:pPr>
      <w:r>
        <w:rPr>
          <w:rFonts w:ascii="Garamond" w:eastAsia="Garamond" w:hAnsi="Garamond" w:cs="Garamond"/>
          <w:sz w:val="22"/>
          <w:szCs w:val="22"/>
          <w:highlight w:val="white"/>
        </w:rPr>
        <w:tab/>
        <w:t xml:space="preserve">          </w:t>
      </w:r>
    </w:p>
    <w:p w14:paraId="5BF478DF" w14:textId="77777777" w:rsidR="00A541D1" w:rsidRDefault="00254D4A">
      <w:pPr>
        <w:tabs>
          <w:tab w:val="center" w:pos="4680"/>
          <w:tab w:val="right" w:pos="9360"/>
        </w:tabs>
        <w:spacing w:line="240" w:lineRule="auto"/>
        <w:rPr>
          <w:rFonts w:ascii="Garamond" w:eastAsia="Garamond" w:hAnsi="Garamond" w:cs="Garamond"/>
          <w:b/>
          <w:sz w:val="22"/>
          <w:szCs w:val="22"/>
          <w:highlight w:val="white"/>
        </w:rPr>
      </w:pPr>
      <w:r>
        <w:rPr>
          <w:rFonts w:ascii="Garamond" w:eastAsia="Garamond" w:hAnsi="Garamond" w:cs="Garamond"/>
          <w:b/>
          <w:color w:val="000000"/>
          <w:sz w:val="22"/>
          <w:szCs w:val="22"/>
        </w:rPr>
        <w:t>Table 3. Regression Table</w:t>
      </w:r>
    </w:p>
    <w:tbl>
      <w:tblPr>
        <w:tblStyle w:val="Style16"/>
        <w:tblW w:w="9350" w:type="dxa"/>
        <w:tblLayout w:type="fixed"/>
        <w:tblLook w:val="04A0" w:firstRow="1" w:lastRow="0" w:firstColumn="1" w:lastColumn="0" w:noHBand="0" w:noVBand="1"/>
      </w:tblPr>
      <w:tblGrid>
        <w:gridCol w:w="2970"/>
        <w:gridCol w:w="1141"/>
        <w:gridCol w:w="1134"/>
        <w:gridCol w:w="1134"/>
        <w:gridCol w:w="1559"/>
        <w:gridCol w:w="1412"/>
      </w:tblGrid>
      <w:tr w:rsidR="00A541D1" w14:paraId="1BB8563D" w14:textId="77777777">
        <w:tc>
          <w:tcPr>
            <w:tcW w:w="2970" w:type="dxa"/>
            <w:vMerge w:val="restart"/>
            <w:tcBorders>
              <w:top w:val="double" w:sz="4" w:space="0" w:color="auto"/>
            </w:tcBorders>
            <w:tcMar>
              <w:top w:w="0" w:type="dxa"/>
              <w:left w:w="108" w:type="dxa"/>
              <w:bottom w:w="0" w:type="dxa"/>
              <w:right w:w="108" w:type="dxa"/>
            </w:tcMar>
          </w:tcPr>
          <w:p w14:paraId="4CCDEC83" w14:textId="77777777" w:rsidR="00A541D1" w:rsidRDefault="00A541D1">
            <w:pPr>
              <w:pStyle w:val="NoSpacing"/>
              <w:rPr>
                <w:rFonts w:ascii="Garamond" w:hAnsi="Garamond"/>
                <w:sz w:val="22"/>
                <w:szCs w:val="22"/>
              </w:rPr>
            </w:pPr>
          </w:p>
          <w:p w14:paraId="12F72DD7" w14:textId="77777777" w:rsidR="00A541D1" w:rsidRDefault="00254D4A">
            <w:pPr>
              <w:pStyle w:val="NoSpacing"/>
              <w:jc w:val="center"/>
              <w:rPr>
                <w:rFonts w:ascii="Garamond" w:hAnsi="Garamond"/>
                <w:b/>
                <w:bCs/>
                <w:sz w:val="22"/>
                <w:szCs w:val="22"/>
              </w:rPr>
            </w:pPr>
            <w:r>
              <w:rPr>
                <w:rFonts w:ascii="Garamond" w:hAnsi="Garamond"/>
                <w:b/>
                <w:bCs/>
                <w:sz w:val="22"/>
                <w:szCs w:val="22"/>
              </w:rPr>
              <w:t>Independent Variable</w:t>
            </w:r>
          </w:p>
        </w:tc>
        <w:tc>
          <w:tcPr>
            <w:tcW w:w="6380" w:type="dxa"/>
            <w:gridSpan w:val="5"/>
            <w:tcBorders>
              <w:top w:val="double" w:sz="4" w:space="0" w:color="auto"/>
              <w:bottom w:val="single" w:sz="4" w:space="0" w:color="auto"/>
            </w:tcBorders>
            <w:tcMar>
              <w:top w:w="0" w:type="dxa"/>
              <w:left w:w="108" w:type="dxa"/>
              <w:bottom w:w="0" w:type="dxa"/>
              <w:right w:w="108" w:type="dxa"/>
            </w:tcMar>
          </w:tcPr>
          <w:p w14:paraId="2FA65930" w14:textId="366743AE" w:rsidR="00A541D1" w:rsidRDefault="00B14FB4">
            <w:pPr>
              <w:pStyle w:val="NoSpacing"/>
              <w:jc w:val="center"/>
              <w:rPr>
                <w:rFonts w:ascii="Garamond" w:eastAsia="Garamond" w:hAnsi="Garamond" w:cs="Garamond"/>
                <w:b/>
                <w:bCs/>
                <w:sz w:val="22"/>
                <w:szCs w:val="22"/>
              </w:rPr>
            </w:pPr>
            <w:bookmarkStart w:id="11" w:name="_Hlk199721934"/>
            <w:r w:rsidRPr="00B14FB4">
              <w:rPr>
                <w:rFonts w:ascii="Garamond" w:eastAsia="Garamond" w:hAnsi="Garamond" w:cs="Garamond"/>
                <w:b/>
                <w:bCs/>
                <w:sz w:val="22"/>
                <w:szCs w:val="22"/>
              </w:rPr>
              <w:t>Persistence in Solving Mathematical Problems</w:t>
            </w:r>
            <w:r>
              <w:rPr>
                <w:rFonts w:ascii="Garamond" w:eastAsia="Garamond" w:hAnsi="Garamond" w:cs="Garamond"/>
                <w:b/>
                <w:bCs/>
                <w:sz w:val="22"/>
                <w:szCs w:val="22"/>
              </w:rPr>
              <w:t xml:space="preserve"> </w:t>
            </w:r>
            <w:bookmarkEnd w:id="11"/>
          </w:p>
        </w:tc>
      </w:tr>
      <w:tr w:rsidR="00A541D1" w14:paraId="3E11789C" w14:textId="77777777" w:rsidTr="00B14FB4">
        <w:trPr>
          <w:trHeight w:val="298"/>
        </w:trPr>
        <w:tc>
          <w:tcPr>
            <w:tcW w:w="2970" w:type="dxa"/>
            <w:vMerge/>
            <w:tcBorders>
              <w:bottom w:val="single" w:sz="4" w:space="0" w:color="000000"/>
            </w:tcBorders>
            <w:tcMar>
              <w:top w:w="0" w:type="dxa"/>
              <w:left w:w="108" w:type="dxa"/>
              <w:bottom w:w="0" w:type="dxa"/>
              <w:right w:w="108" w:type="dxa"/>
            </w:tcMar>
          </w:tcPr>
          <w:p w14:paraId="09D126CC" w14:textId="77777777" w:rsidR="00A541D1" w:rsidRDefault="00A541D1">
            <w:pPr>
              <w:pStyle w:val="NoSpacing"/>
              <w:rPr>
                <w:rFonts w:ascii="Garamond" w:eastAsia="Garamond" w:hAnsi="Garamond" w:cs="Garamond"/>
                <w:sz w:val="22"/>
                <w:szCs w:val="22"/>
                <w:highlight w:val="white"/>
              </w:rPr>
            </w:pPr>
          </w:p>
        </w:tc>
        <w:tc>
          <w:tcPr>
            <w:tcW w:w="1141" w:type="dxa"/>
            <w:tcBorders>
              <w:top w:val="single" w:sz="4" w:space="0" w:color="auto"/>
              <w:bottom w:val="single" w:sz="4" w:space="0" w:color="auto"/>
            </w:tcBorders>
            <w:tcMar>
              <w:top w:w="0" w:type="dxa"/>
              <w:left w:w="108" w:type="dxa"/>
              <w:bottom w:w="0" w:type="dxa"/>
              <w:right w:w="108" w:type="dxa"/>
            </w:tcMar>
          </w:tcPr>
          <w:p w14:paraId="37CA2246" w14:textId="72561C73" w:rsidR="00A541D1" w:rsidRPr="00B14FB4" w:rsidRDefault="00254D4A">
            <w:pPr>
              <w:pStyle w:val="NoSpacing"/>
              <w:jc w:val="center"/>
              <w:rPr>
                <w:rFonts w:ascii="Garamond" w:eastAsia="Garamond" w:hAnsi="Garamond" w:cs="Garamond"/>
                <w:b/>
                <w:bCs/>
                <w:sz w:val="22"/>
                <w:szCs w:val="22"/>
                <w:highlight w:val="white"/>
              </w:rPr>
            </w:pPr>
            <w:r>
              <w:rPr>
                <w:rFonts w:ascii="Garamond" w:eastAsia="Garamond" w:hAnsi="Garamond" w:cs="Garamond"/>
                <w:b/>
                <w:bCs/>
                <w:sz w:val="22"/>
                <w:szCs w:val="22"/>
              </w:rPr>
              <w:t>R</w:t>
            </w:r>
            <w:r>
              <w:rPr>
                <w:rFonts w:ascii="Garamond" w:eastAsia="Garamond" w:hAnsi="Garamond" w:cs="Garamond"/>
                <w:b/>
                <w:bCs/>
                <w:sz w:val="22"/>
                <w:szCs w:val="22"/>
                <w:vertAlign w:val="superscript"/>
              </w:rPr>
              <w:t>2</w:t>
            </w:r>
            <w:r w:rsidR="00B14FB4">
              <w:rPr>
                <w:rFonts w:ascii="Garamond" w:eastAsia="Garamond" w:hAnsi="Garamond" w:cs="Garamond"/>
                <w:b/>
                <w:bCs/>
                <w:sz w:val="22"/>
                <w:szCs w:val="22"/>
              </w:rPr>
              <w:t>-value</w:t>
            </w:r>
          </w:p>
        </w:tc>
        <w:tc>
          <w:tcPr>
            <w:tcW w:w="1134" w:type="dxa"/>
            <w:tcBorders>
              <w:top w:val="single" w:sz="4" w:space="0" w:color="auto"/>
              <w:bottom w:val="single" w:sz="4" w:space="0" w:color="auto"/>
            </w:tcBorders>
            <w:tcMar>
              <w:top w:w="0" w:type="dxa"/>
              <w:left w:w="108" w:type="dxa"/>
              <w:bottom w:w="0" w:type="dxa"/>
              <w:right w:w="108" w:type="dxa"/>
            </w:tcMar>
          </w:tcPr>
          <w:p w14:paraId="609199D1" w14:textId="77777777" w:rsidR="00A541D1" w:rsidRDefault="00254D4A">
            <w:pPr>
              <w:pStyle w:val="NoSpacing"/>
              <w:jc w:val="center"/>
              <w:rPr>
                <w:rFonts w:ascii="Garamond" w:eastAsia="Garamond" w:hAnsi="Garamond" w:cs="Garamond"/>
                <w:b/>
                <w:bCs/>
                <w:sz w:val="22"/>
                <w:szCs w:val="22"/>
                <w:highlight w:val="white"/>
              </w:rPr>
            </w:pPr>
            <w:r>
              <w:rPr>
                <w:rFonts w:ascii="Garamond" w:eastAsia="Garamond" w:hAnsi="Garamond" w:cs="Garamond"/>
                <w:b/>
                <w:bCs/>
                <w:sz w:val="22"/>
                <w:szCs w:val="22"/>
              </w:rPr>
              <w:t>F-Value</w:t>
            </w:r>
          </w:p>
        </w:tc>
        <w:tc>
          <w:tcPr>
            <w:tcW w:w="1134" w:type="dxa"/>
            <w:tcBorders>
              <w:top w:val="single" w:sz="4" w:space="0" w:color="auto"/>
              <w:bottom w:val="single" w:sz="4" w:space="0" w:color="auto"/>
            </w:tcBorders>
            <w:tcMar>
              <w:top w:w="0" w:type="dxa"/>
              <w:left w:w="108" w:type="dxa"/>
              <w:bottom w:w="0" w:type="dxa"/>
              <w:right w:w="108" w:type="dxa"/>
            </w:tcMar>
          </w:tcPr>
          <w:p w14:paraId="4CC6BE37" w14:textId="77777777" w:rsidR="00A541D1" w:rsidRDefault="00254D4A">
            <w:pPr>
              <w:pStyle w:val="NoSpacing"/>
              <w:jc w:val="center"/>
              <w:rPr>
                <w:rFonts w:ascii="Garamond" w:eastAsia="Garamond" w:hAnsi="Garamond" w:cs="Garamond"/>
                <w:b/>
                <w:bCs/>
                <w:sz w:val="22"/>
                <w:szCs w:val="22"/>
                <w:highlight w:val="white"/>
              </w:rPr>
            </w:pPr>
            <w:r>
              <w:rPr>
                <w:rFonts w:ascii="Garamond" w:eastAsia="Garamond" w:hAnsi="Garamond" w:cs="Garamond"/>
                <w:b/>
                <w:bCs/>
                <w:sz w:val="22"/>
                <w:szCs w:val="22"/>
              </w:rPr>
              <w:t>p-value</w:t>
            </w:r>
          </w:p>
        </w:tc>
        <w:tc>
          <w:tcPr>
            <w:tcW w:w="1559" w:type="dxa"/>
            <w:tcBorders>
              <w:top w:val="single" w:sz="4" w:space="0" w:color="auto"/>
              <w:bottom w:val="single" w:sz="4" w:space="0" w:color="auto"/>
            </w:tcBorders>
            <w:tcMar>
              <w:top w:w="0" w:type="dxa"/>
              <w:left w:w="108" w:type="dxa"/>
              <w:bottom w:w="0" w:type="dxa"/>
              <w:right w:w="108" w:type="dxa"/>
            </w:tcMar>
          </w:tcPr>
          <w:p w14:paraId="7F7C3545" w14:textId="77777777" w:rsidR="00A541D1" w:rsidRDefault="00254D4A">
            <w:pPr>
              <w:pStyle w:val="NoSpacing"/>
              <w:jc w:val="center"/>
              <w:rPr>
                <w:rFonts w:ascii="Garamond" w:eastAsia="Garamond" w:hAnsi="Garamond" w:cs="Garamond"/>
                <w:b/>
                <w:bCs/>
                <w:sz w:val="22"/>
                <w:szCs w:val="22"/>
                <w:highlight w:val="white"/>
              </w:rPr>
            </w:pPr>
            <w:r>
              <w:rPr>
                <w:rFonts w:ascii="Garamond" w:eastAsia="Garamond" w:hAnsi="Garamond" w:cs="Garamond"/>
                <w:b/>
                <w:bCs/>
                <w:sz w:val="22"/>
                <w:szCs w:val="22"/>
                <w:highlight w:val="white"/>
              </w:rPr>
              <w:t>Decision on Ho</w:t>
            </w:r>
          </w:p>
        </w:tc>
        <w:tc>
          <w:tcPr>
            <w:tcW w:w="1412" w:type="dxa"/>
            <w:tcBorders>
              <w:top w:val="single" w:sz="4" w:space="0" w:color="auto"/>
              <w:bottom w:val="single" w:sz="4" w:space="0" w:color="auto"/>
            </w:tcBorders>
          </w:tcPr>
          <w:p w14:paraId="5B148A7B" w14:textId="77777777" w:rsidR="00A541D1" w:rsidRDefault="00254D4A">
            <w:pPr>
              <w:pStyle w:val="NoSpacing"/>
              <w:jc w:val="center"/>
              <w:rPr>
                <w:rFonts w:ascii="Garamond" w:eastAsia="Garamond" w:hAnsi="Garamond" w:cs="Garamond"/>
                <w:b/>
                <w:bCs/>
                <w:sz w:val="22"/>
                <w:szCs w:val="22"/>
                <w:highlight w:val="white"/>
              </w:rPr>
            </w:pPr>
            <w:r>
              <w:rPr>
                <w:rFonts w:ascii="Garamond" w:eastAsia="Garamond" w:hAnsi="Garamond" w:cs="Garamond"/>
                <w:b/>
                <w:bCs/>
                <w:sz w:val="22"/>
                <w:szCs w:val="22"/>
                <w:highlight w:val="white"/>
              </w:rPr>
              <w:t>Remarks</w:t>
            </w:r>
          </w:p>
        </w:tc>
      </w:tr>
      <w:tr w:rsidR="00A541D1" w14:paraId="28EEDD6F" w14:textId="77777777">
        <w:tc>
          <w:tcPr>
            <w:tcW w:w="2970" w:type="dxa"/>
            <w:tcBorders>
              <w:top w:val="single" w:sz="4" w:space="0" w:color="000000"/>
              <w:bottom w:val="single" w:sz="4" w:space="0" w:color="000000"/>
            </w:tcBorders>
            <w:tcMar>
              <w:top w:w="0" w:type="dxa"/>
              <w:left w:w="108" w:type="dxa"/>
              <w:bottom w:w="0" w:type="dxa"/>
              <w:right w:w="108" w:type="dxa"/>
            </w:tcMar>
          </w:tcPr>
          <w:p w14:paraId="3069F2B5" w14:textId="77777777" w:rsidR="00B14FB4" w:rsidRDefault="00B14FB4" w:rsidP="00B14FB4">
            <w:pPr>
              <w:pStyle w:val="NoSpacing"/>
              <w:jc w:val="center"/>
              <w:rPr>
                <w:rFonts w:ascii="Garamond" w:eastAsia="Garamond" w:hAnsi="Garamond" w:cs="Garamond"/>
                <w:b/>
                <w:bCs/>
                <w:sz w:val="22"/>
                <w:szCs w:val="22"/>
              </w:rPr>
            </w:pPr>
          </w:p>
          <w:p w14:paraId="3F4CD00A" w14:textId="329C4759" w:rsidR="00A541D1" w:rsidRPr="00B14FB4" w:rsidRDefault="00B14FB4" w:rsidP="00B14FB4">
            <w:pPr>
              <w:pStyle w:val="NoSpacing"/>
              <w:jc w:val="center"/>
              <w:rPr>
                <w:rFonts w:ascii="Garamond" w:eastAsia="Garamond" w:hAnsi="Garamond" w:cs="Garamond"/>
                <w:b/>
                <w:bCs/>
                <w:sz w:val="22"/>
                <w:szCs w:val="22"/>
                <w:highlight w:val="white"/>
              </w:rPr>
            </w:pPr>
            <w:r w:rsidRPr="00B14FB4">
              <w:rPr>
                <w:rFonts w:ascii="Garamond" w:eastAsia="Garamond" w:hAnsi="Garamond" w:cs="Garamond"/>
                <w:b/>
                <w:bCs/>
                <w:sz w:val="22"/>
                <w:szCs w:val="22"/>
              </w:rPr>
              <w:t>Metacognitive Awareness</w:t>
            </w:r>
          </w:p>
        </w:tc>
        <w:tc>
          <w:tcPr>
            <w:tcW w:w="1141" w:type="dxa"/>
            <w:tcBorders>
              <w:top w:val="single" w:sz="4" w:space="0" w:color="auto"/>
              <w:bottom w:val="single" w:sz="4" w:space="0" w:color="000000"/>
            </w:tcBorders>
            <w:tcMar>
              <w:top w:w="0" w:type="dxa"/>
              <w:left w:w="108" w:type="dxa"/>
              <w:bottom w:w="0" w:type="dxa"/>
              <w:right w:w="108" w:type="dxa"/>
            </w:tcMar>
          </w:tcPr>
          <w:p w14:paraId="00D5E189" w14:textId="77777777" w:rsidR="00A541D1" w:rsidRDefault="00A541D1">
            <w:pPr>
              <w:pStyle w:val="NoSpacing"/>
              <w:jc w:val="center"/>
              <w:rPr>
                <w:rFonts w:ascii="Garamond" w:eastAsia="Garamond" w:hAnsi="Garamond" w:cs="Garamond"/>
                <w:sz w:val="22"/>
                <w:szCs w:val="22"/>
                <w:highlight w:val="white"/>
              </w:rPr>
            </w:pPr>
          </w:p>
          <w:p w14:paraId="2839E657" w14:textId="77777777" w:rsidR="00A541D1" w:rsidRDefault="00254D4A">
            <w:pPr>
              <w:pStyle w:val="NoSpacing"/>
              <w:jc w:val="center"/>
              <w:rPr>
                <w:rFonts w:ascii="Garamond" w:eastAsia="Garamond" w:hAnsi="Garamond" w:cs="Garamond"/>
                <w:sz w:val="22"/>
                <w:szCs w:val="22"/>
                <w:highlight w:val="white"/>
              </w:rPr>
            </w:pPr>
            <w:r>
              <w:rPr>
                <w:rFonts w:ascii="Garamond" w:eastAsia="Garamond" w:hAnsi="Garamond" w:cs="Garamond"/>
                <w:sz w:val="22"/>
                <w:szCs w:val="22"/>
                <w:highlight w:val="white"/>
              </w:rPr>
              <w:t>27.90%</w:t>
            </w:r>
          </w:p>
        </w:tc>
        <w:tc>
          <w:tcPr>
            <w:tcW w:w="1134" w:type="dxa"/>
            <w:tcBorders>
              <w:top w:val="single" w:sz="4" w:space="0" w:color="auto"/>
              <w:bottom w:val="single" w:sz="4" w:space="0" w:color="000000"/>
            </w:tcBorders>
            <w:tcMar>
              <w:top w:w="0" w:type="dxa"/>
              <w:left w:w="108" w:type="dxa"/>
              <w:bottom w:w="0" w:type="dxa"/>
              <w:right w:w="108" w:type="dxa"/>
            </w:tcMar>
          </w:tcPr>
          <w:p w14:paraId="50465978" w14:textId="77777777" w:rsidR="00A541D1" w:rsidRDefault="00A541D1">
            <w:pPr>
              <w:pStyle w:val="NoSpacing"/>
              <w:jc w:val="center"/>
              <w:rPr>
                <w:rFonts w:ascii="Garamond" w:eastAsia="Garamond" w:hAnsi="Garamond" w:cs="Garamond"/>
                <w:sz w:val="22"/>
                <w:szCs w:val="22"/>
                <w:highlight w:val="white"/>
              </w:rPr>
            </w:pPr>
          </w:p>
          <w:p w14:paraId="35E328F9" w14:textId="77777777" w:rsidR="00A541D1" w:rsidRDefault="00254D4A">
            <w:pPr>
              <w:pStyle w:val="NoSpacing"/>
              <w:jc w:val="center"/>
              <w:rPr>
                <w:rFonts w:ascii="Garamond" w:eastAsia="Garamond" w:hAnsi="Garamond" w:cs="Garamond"/>
                <w:sz w:val="22"/>
                <w:szCs w:val="22"/>
                <w:highlight w:val="white"/>
              </w:rPr>
            </w:pPr>
            <w:r>
              <w:rPr>
                <w:rFonts w:ascii="Garamond" w:eastAsia="Garamond" w:hAnsi="Garamond" w:cs="Garamond"/>
                <w:sz w:val="22"/>
                <w:szCs w:val="22"/>
                <w:highlight w:val="white"/>
              </w:rPr>
              <w:t>37.9</w:t>
            </w:r>
          </w:p>
        </w:tc>
        <w:tc>
          <w:tcPr>
            <w:tcW w:w="1134" w:type="dxa"/>
            <w:tcBorders>
              <w:top w:val="single" w:sz="4" w:space="0" w:color="auto"/>
              <w:bottom w:val="single" w:sz="4" w:space="0" w:color="000000"/>
            </w:tcBorders>
            <w:tcMar>
              <w:top w:w="0" w:type="dxa"/>
              <w:left w:w="108" w:type="dxa"/>
              <w:bottom w:w="0" w:type="dxa"/>
              <w:right w:w="108" w:type="dxa"/>
            </w:tcMar>
          </w:tcPr>
          <w:p w14:paraId="66A7A87A" w14:textId="77777777" w:rsidR="00A541D1" w:rsidRDefault="00A541D1">
            <w:pPr>
              <w:pStyle w:val="NoSpacing"/>
              <w:jc w:val="center"/>
              <w:rPr>
                <w:rFonts w:ascii="Garamond" w:eastAsia="Garamond" w:hAnsi="Garamond" w:cs="Garamond"/>
                <w:sz w:val="22"/>
                <w:szCs w:val="22"/>
                <w:highlight w:val="white"/>
              </w:rPr>
            </w:pPr>
          </w:p>
          <w:p w14:paraId="48F75039" w14:textId="77777777" w:rsidR="00A541D1" w:rsidRDefault="00254D4A">
            <w:pPr>
              <w:pStyle w:val="NoSpacing"/>
              <w:jc w:val="center"/>
              <w:rPr>
                <w:rFonts w:ascii="Garamond" w:eastAsia="Garamond" w:hAnsi="Garamond" w:cs="Garamond"/>
                <w:sz w:val="22"/>
                <w:szCs w:val="22"/>
                <w:highlight w:val="white"/>
              </w:rPr>
            </w:pPr>
            <w:r>
              <w:rPr>
                <w:rFonts w:ascii="Garamond" w:eastAsia="Garamond" w:hAnsi="Garamond" w:cs="Garamond"/>
                <w:sz w:val="22"/>
                <w:szCs w:val="22"/>
                <w:highlight w:val="white"/>
              </w:rPr>
              <w:t>.000</w:t>
            </w:r>
          </w:p>
        </w:tc>
        <w:tc>
          <w:tcPr>
            <w:tcW w:w="1559" w:type="dxa"/>
            <w:tcBorders>
              <w:top w:val="single" w:sz="4" w:space="0" w:color="auto"/>
              <w:bottom w:val="single" w:sz="4" w:space="0" w:color="000000"/>
            </w:tcBorders>
            <w:tcMar>
              <w:top w:w="0" w:type="dxa"/>
              <w:left w:w="108" w:type="dxa"/>
              <w:bottom w:w="0" w:type="dxa"/>
              <w:right w:w="108" w:type="dxa"/>
            </w:tcMar>
          </w:tcPr>
          <w:p w14:paraId="52CD76DE" w14:textId="77777777" w:rsidR="00A541D1" w:rsidRDefault="00A541D1">
            <w:pPr>
              <w:pStyle w:val="NoSpacing"/>
              <w:jc w:val="center"/>
              <w:rPr>
                <w:rFonts w:ascii="Garamond" w:eastAsia="Garamond" w:hAnsi="Garamond" w:cs="Garamond"/>
                <w:sz w:val="22"/>
                <w:szCs w:val="22"/>
                <w:highlight w:val="white"/>
              </w:rPr>
            </w:pPr>
          </w:p>
          <w:p w14:paraId="2F560C86" w14:textId="77777777" w:rsidR="00A541D1" w:rsidRDefault="00254D4A">
            <w:pPr>
              <w:pStyle w:val="NoSpacing"/>
              <w:jc w:val="center"/>
              <w:rPr>
                <w:rFonts w:ascii="Garamond" w:eastAsia="Garamond" w:hAnsi="Garamond" w:cs="Garamond"/>
                <w:sz w:val="22"/>
                <w:szCs w:val="22"/>
                <w:highlight w:val="white"/>
              </w:rPr>
            </w:pPr>
            <w:r>
              <w:rPr>
                <w:rFonts w:ascii="Garamond" w:eastAsia="Garamond" w:hAnsi="Garamond" w:cs="Garamond"/>
                <w:sz w:val="22"/>
                <w:szCs w:val="22"/>
                <w:highlight w:val="white"/>
              </w:rPr>
              <w:t>Rejected</w:t>
            </w:r>
          </w:p>
        </w:tc>
        <w:tc>
          <w:tcPr>
            <w:tcW w:w="1412" w:type="dxa"/>
            <w:tcBorders>
              <w:top w:val="single" w:sz="4" w:space="0" w:color="auto"/>
              <w:bottom w:val="single" w:sz="4" w:space="0" w:color="000000"/>
            </w:tcBorders>
          </w:tcPr>
          <w:p w14:paraId="132B3D69" w14:textId="77777777" w:rsidR="00A541D1" w:rsidRDefault="00A541D1">
            <w:pPr>
              <w:pStyle w:val="NoSpacing"/>
              <w:jc w:val="center"/>
              <w:rPr>
                <w:rFonts w:ascii="Garamond" w:eastAsia="Garamond" w:hAnsi="Garamond" w:cs="Garamond"/>
                <w:sz w:val="22"/>
                <w:szCs w:val="22"/>
                <w:highlight w:val="white"/>
              </w:rPr>
            </w:pPr>
          </w:p>
          <w:p w14:paraId="7CDF989E" w14:textId="77777777" w:rsidR="00A541D1" w:rsidRDefault="00254D4A">
            <w:pPr>
              <w:pStyle w:val="NoSpacing"/>
              <w:jc w:val="center"/>
              <w:rPr>
                <w:rFonts w:ascii="Garamond" w:eastAsia="Garamond" w:hAnsi="Garamond" w:cs="Garamond"/>
                <w:sz w:val="22"/>
                <w:szCs w:val="22"/>
                <w:highlight w:val="white"/>
              </w:rPr>
            </w:pPr>
            <w:r>
              <w:rPr>
                <w:rFonts w:ascii="Garamond" w:eastAsia="Garamond" w:hAnsi="Garamond" w:cs="Garamond"/>
                <w:sz w:val="22"/>
                <w:szCs w:val="22"/>
                <w:highlight w:val="white"/>
              </w:rPr>
              <w:t>Significant</w:t>
            </w:r>
          </w:p>
        </w:tc>
      </w:tr>
    </w:tbl>
    <w:p w14:paraId="449ACD06" w14:textId="27B2A2CF" w:rsidR="00F26DF3" w:rsidRDefault="00254D4A" w:rsidP="00EF5F16">
      <w:pPr>
        <w:spacing w:before="240" w:after="240"/>
        <w:ind w:firstLine="720"/>
        <w:jc w:val="both"/>
        <w:rPr>
          <w:rFonts w:ascii="Garamond" w:eastAsia="Garamond" w:hAnsi="Garamond" w:cs="Garamond"/>
          <w:sz w:val="22"/>
          <w:szCs w:val="22"/>
        </w:rPr>
      </w:pPr>
      <w:r>
        <w:rPr>
          <w:rFonts w:ascii="Garamond" w:eastAsia="Garamond" w:hAnsi="Garamond" w:cs="Garamond"/>
          <w:sz w:val="22"/>
          <w:szCs w:val="22"/>
        </w:rPr>
        <w:t>Table 3 presents the results of the regression</w:t>
      </w:r>
      <w:r>
        <w:rPr>
          <w:rFonts w:ascii="Garamond" w:eastAsia="Garamond" w:hAnsi="Garamond" w:cs="Garamond"/>
          <w:sz w:val="22"/>
          <w:szCs w:val="22"/>
          <w:lang w:val="en-US"/>
        </w:rPr>
        <w:t>, that</w:t>
      </w:r>
      <w:r>
        <w:rPr>
          <w:rFonts w:ascii="Garamond" w:eastAsia="Garamond" w:hAnsi="Garamond" w:cs="Garamond"/>
          <w:sz w:val="22"/>
          <w:szCs w:val="22"/>
        </w:rPr>
        <w:t xml:space="preserve"> metacognitive awareness is a significant predictor</w:t>
      </w:r>
      <w:r>
        <w:rPr>
          <w:rFonts w:ascii="Garamond" w:eastAsia="Garamond" w:hAnsi="Garamond" w:cs="Garamond"/>
          <w:sz w:val="22"/>
          <w:szCs w:val="22"/>
          <w:lang w:val="en-US"/>
        </w:rPr>
        <w:t xml:space="preserve"> </w:t>
      </w:r>
      <w:r w:rsidR="00B14FB4">
        <w:rPr>
          <w:rFonts w:ascii="Garamond" w:eastAsia="Garamond" w:hAnsi="Garamond" w:cs="Garamond"/>
          <w:sz w:val="22"/>
          <w:szCs w:val="22"/>
        </w:rPr>
        <w:t>of</w:t>
      </w:r>
      <w:r>
        <w:rPr>
          <w:rFonts w:ascii="Garamond" w:eastAsia="Garamond" w:hAnsi="Garamond" w:cs="Garamond"/>
          <w:sz w:val="22"/>
          <w:szCs w:val="22"/>
        </w:rPr>
        <w:t xml:space="preserve"> students' persistence in solving mathematical problems. </w:t>
      </w:r>
      <w:r>
        <w:rPr>
          <w:rFonts w:ascii="Garamond" w:eastAsia="Garamond" w:hAnsi="Garamond" w:cs="Garamond"/>
          <w:sz w:val="22"/>
          <w:szCs w:val="22"/>
          <w:lang w:val="en-US"/>
        </w:rPr>
        <w:t xml:space="preserve">The </w:t>
      </w:r>
      <w:r>
        <w:rPr>
          <w:rFonts w:ascii="Garamond" w:eastAsia="Garamond" w:hAnsi="Garamond"/>
          <w:sz w:val="22"/>
          <w:szCs w:val="22"/>
        </w:rPr>
        <w:t>R² value of 27.9</w:t>
      </w:r>
      <w:r w:rsidR="00B14FB4">
        <w:rPr>
          <w:rFonts w:ascii="Garamond" w:eastAsia="Garamond" w:hAnsi="Garamond"/>
          <w:sz w:val="22"/>
          <w:szCs w:val="22"/>
        </w:rPr>
        <w:t>0</w:t>
      </w:r>
      <w:r>
        <w:rPr>
          <w:rFonts w:ascii="Garamond" w:eastAsia="Garamond" w:hAnsi="Garamond"/>
          <w:sz w:val="22"/>
          <w:szCs w:val="22"/>
        </w:rPr>
        <w:t xml:space="preserve">%, nearly a third of </w:t>
      </w:r>
      <w:r w:rsidR="00B14FB4">
        <w:rPr>
          <w:rFonts w:ascii="Garamond" w:eastAsia="Garamond" w:hAnsi="Garamond"/>
          <w:sz w:val="22"/>
          <w:szCs w:val="22"/>
        </w:rPr>
        <w:t xml:space="preserve">the </w:t>
      </w:r>
      <w:r>
        <w:rPr>
          <w:rFonts w:ascii="Garamond" w:eastAsia="Garamond" w:hAnsi="Garamond"/>
          <w:sz w:val="22"/>
          <w:szCs w:val="22"/>
        </w:rPr>
        <w:t>variation in persistence for students</w:t>
      </w:r>
      <w:r w:rsidR="00B14FB4">
        <w:rPr>
          <w:rFonts w:ascii="Garamond" w:eastAsia="Garamond" w:hAnsi="Garamond"/>
          <w:sz w:val="22"/>
          <w:szCs w:val="22"/>
        </w:rPr>
        <w:t>,</w:t>
      </w:r>
      <w:r>
        <w:rPr>
          <w:rFonts w:ascii="Garamond" w:eastAsia="Garamond" w:hAnsi="Garamond"/>
          <w:sz w:val="22"/>
          <w:szCs w:val="22"/>
        </w:rPr>
        <w:t xml:space="preserve"> can be attributed to their level of metacognitive awareness. With an F-value of 37.9 and </w:t>
      </w:r>
      <w:r w:rsidR="00B14FB4">
        <w:rPr>
          <w:rFonts w:ascii="Garamond" w:eastAsia="Garamond" w:hAnsi="Garamond"/>
          <w:sz w:val="22"/>
          <w:szCs w:val="22"/>
        </w:rPr>
        <w:t xml:space="preserve">a </w:t>
      </w:r>
      <w:r>
        <w:rPr>
          <w:rFonts w:ascii="Garamond" w:eastAsia="Garamond" w:hAnsi="Garamond"/>
          <w:sz w:val="22"/>
          <w:szCs w:val="22"/>
        </w:rPr>
        <w:t>p-value of .000, the re</w:t>
      </w:r>
      <w:r>
        <w:rPr>
          <w:rFonts w:ascii="Garamond" w:eastAsia="Garamond" w:hAnsi="Garamond"/>
          <w:sz w:val="22"/>
          <w:szCs w:val="22"/>
        </w:rPr>
        <w:t>sult is statistically significant</w:t>
      </w:r>
      <w:r w:rsidR="00565B49">
        <w:rPr>
          <w:rFonts w:ascii="Garamond" w:eastAsia="Garamond" w:hAnsi="Garamond"/>
          <w:sz w:val="22"/>
          <w:szCs w:val="22"/>
        </w:rPr>
        <w:t>, leading</w:t>
      </w:r>
      <w:r>
        <w:rPr>
          <w:rFonts w:ascii="Garamond" w:eastAsia="Garamond" w:hAnsi="Garamond"/>
          <w:sz w:val="22"/>
          <w:szCs w:val="22"/>
        </w:rPr>
        <w:t xml:space="preserve"> to rejection of the null hypothesis (Ho)</w:t>
      </w:r>
      <w:r w:rsidR="00565B49">
        <w:rPr>
          <w:rFonts w:ascii="Garamond" w:eastAsia="Garamond" w:hAnsi="Garamond"/>
          <w:sz w:val="22"/>
          <w:szCs w:val="22"/>
        </w:rPr>
        <w:t>.</w:t>
      </w:r>
      <w:r>
        <w:rPr>
          <w:rFonts w:ascii="Garamond" w:eastAsia="Garamond" w:hAnsi="Garamond"/>
          <w:sz w:val="22"/>
          <w:szCs w:val="22"/>
        </w:rPr>
        <w:t xml:space="preserve"> This gives evidence </w:t>
      </w:r>
      <w:r w:rsidR="00B14FB4">
        <w:rPr>
          <w:rFonts w:ascii="Garamond" w:eastAsia="Garamond" w:hAnsi="Garamond"/>
          <w:sz w:val="22"/>
          <w:szCs w:val="22"/>
        </w:rPr>
        <w:t>that</w:t>
      </w:r>
      <w:r>
        <w:rPr>
          <w:rFonts w:ascii="Garamond" w:eastAsia="Garamond" w:hAnsi="Garamond"/>
          <w:sz w:val="22"/>
          <w:szCs w:val="22"/>
        </w:rPr>
        <w:t xml:space="preserve"> students with better metacognitive awareness concerning mathematics </w:t>
      </w:r>
      <w:r w:rsidR="00B14FB4">
        <w:rPr>
          <w:rFonts w:ascii="Garamond" w:eastAsia="Garamond" w:hAnsi="Garamond"/>
          <w:sz w:val="22"/>
          <w:szCs w:val="22"/>
        </w:rPr>
        <w:t>are</w:t>
      </w:r>
      <w:r>
        <w:rPr>
          <w:rFonts w:ascii="Garamond" w:eastAsia="Garamond" w:hAnsi="Garamond"/>
          <w:sz w:val="22"/>
          <w:szCs w:val="22"/>
        </w:rPr>
        <w:t xml:space="preserve"> more persistent in solving mathematical problems.</w:t>
      </w:r>
      <w:r w:rsidR="00EF5F16">
        <w:t xml:space="preserve"> </w:t>
      </w:r>
      <w:r w:rsidR="00EF5F16" w:rsidRPr="00AD27DA">
        <w:rPr>
          <w:rFonts w:ascii="Garamond" w:eastAsia="Garamond" w:hAnsi="Garamond" w:cs="Garamond"/>
          <w:sz w:val="22"/>
          <w:szCs w:val="22"/>
        </w:rPr>
        <w:t>However, the remaining 72.1% of the variance may be explained by other unexamined variables, underscoring the importance of exploring additional factors that influence mathematical performance.</w:t>
      </w:r>
    </w:p>
    <w:p w14:paraId="4F2E8012" w14:textId="6EE0E414" w:rsidR="00F26DF3" w:rsidRDefault="00F26DF3" w:rsidP="00F26DF3">
      <w:pPr>
        <w:spacing w:after="0"/>
        <w:jc w:val="both"/>
        <w:rPr>
          <w:rFonts w:ascii="Garamond" w:eastAsia="Garamond" w:hAnsi="Garamond"/>
          <w:b/>
          <w:bCs/>
          <w:sz w:val="22"/>
          <w:szCs w:val="22"/>
        </w:rPr>
      </w:pPr>
      <w:r w:rsidRPr="00F26DF3">
        <w:rPr>
          <w:rFonts w:ascii="Garamond" w:eastAsia="Garamond" w:hAnsi="Garamond"/>
          <w:b/>
          <w:bCs/>
          <w:sz w:val="22"/>
          <w:szCs w:val="22"/>
        </w:rPr>
        <w:lastRenderedPageBreak/>
        <w:t xml:space="preserve">Discussion </w:t>
      </w:r>
    </w:p>
    <w:p w14:paraId="5B4330D7" w14:textId="0F236E4A" w:rsidR="005B1635" w:rsidRDefault="005B1635" w:rsidP="00F26DF3">
      <w:pPr>
        <w:spacing w:after="0"/>
        <w:ind w:firstLine="720"/>
        <w:jc w:val="both"/>
        <w:rPr>
          <w:rFonts w:ascii="Garamond" w:eastAsia="Garamond" w:hAnsi="Garamond" w:cs="Garamond"/>
          <w:sz w:val="22"/>
          <w:szCs w:val="22"/>
        </w:rPr>
      </w:pPr>
      <w:r w:rsidRPr="005B1635">
        <w:rPr>
          <w:rFonts w:ascii="Garamond" w:eastAsia="Garamond" w:hAnsi="Garamond" w:cs="Garamond"/>
          <w:sz w:val="22"/>
          <w:szCs w:val="22"/>
        </w:rPr>
        <w:t xml:space="preserve">The study revealed that students showed very high metacognitive awareness in both knowledge about and regulation of cognition, indicating their ability to manage their thinking processes. This supports findings by </w:t>
      </w:r>
      <w:bookmarkStart w:id="12" w:name="_Hlk199676791"/>
      <w:r w:rsidRPr="005B1635">
        <w:rPr>
          <w:rFonts w:ascii="Garamond" w:eastAsia="Garamond" w:hAnsi="Garamond" w:cs="Garamond"/>
          <w:sz w:val="22"/>
          <w:szCs w:val="22"/>
        </w:rPr>
        <w:t xml:space="preserve">Bakar and Ismail (2019) </w:t>
      </w:r>
      <w:bookmarkEnd w:id="12"/>
      <w:r w:rsidRPr="005B1635">
        <w:rPr>
          <w:rFonts w:ascii="Garamond" w:eastAsia="Garamond" w:hAnsi="Garamond" w:cs="Garamond"/>
          <w:sz w:val="22"/>
          <w:szCs w:val="22"/>
        </w:rPr>
        <w:t xml:space="preserve">on the positive impact of metacognitive strategies and by </w:t>
      </w:r>
      <w:bookmarkStart w:id="13" w:name="_Hlk199676798"/>
      <w:proofErr w:type="spellStart"/>
      <w:r w:rsidRPr="005B1635">
        <w:rPr>
          <w:rFonts w:ascii="Garamond" w:eastAsia="Garamond" w:hAnsi="Garamond" w:cs="Garamond"/>
          <w:sz w:val="22"/>
          <w:szCs w:val="22"/>
        </w:rPr>
        <w:t>Guner</w:t>
      </w:r>
      <w:proofErr w:type="spellEnd"/>
      <w:r w:rsidRPr="005B1635">
        <w:rPr>
          <w:rFonts w:ascii="Garamond" w:eastAsia="Garamond" w:hAnsi="Garamond" w:cs="Garamond"/>
          <w:sz w:val="22"/>
          <w:szCs w:val="22"/>
        </w:rPr>
        <w:t xml:space="preserve"> and </w:t>
      </w:r>
      <w:proofErr w:type="spellStart"/>
      <w:r w:rsidRPr="005B1635">
        <w:rPr>
          <w:rFonts w:ascii="Garamond" w:eastAsia="Garamond" w:hAnsi="Garamond" w:cs="Garamond"/>
          <w:sz w:val="22"/>
          <w:szCs w:val="22"/>
        </w:rPr>
        <w:t>Erbay</w:t>
      </w:r>
      <w:proofErr w:type="spellEnd"/>
      <w:r w:rsidRPr="005B1635">
        <w:rPr>
          <w:rFonts w:ascii="Garamond" w:eastAsia="Garamond" w:hAnsi="Garamond" w:cs="Garamond"/>
          <w:sz w:val="22"/>
          <w:szCs w:val="22"/>
        </w:rPr>
        <w:t xml:space="preserve"> (2021), </w:t>
      </w:r>
      <w:bookmarkEnd w:id="13"/>
      <w:r w:rsidRPr="005B1635">
        <w:rPr>
          <w:rFonts w:ascii="Garamond" w:eastAsia="Garamond" w:hAnsi="Garamond" w:cs="Garamond"/>
          <w:sz w:val="22"/>
          <w:szCs w:val="22"/>
        </w:rPr>
        <w:t xml:space="preserve">who emphasized that these skills can be developed. Students also demonstrated high persistence in solving mathematical problems, especially during examinations, suggesting strong motivation. These results align with </w:t>
      </w:r>
      <w:bookmarkStart w:id="14" w:name="_Hlk199676804"/>
      <w:proofErr w:type="spellStart"/>
      <w:r w:rsidRPr="005B1635">
        <w:rPr>
          <w:rFonts w:ascii="Garamond" w:eastAsia="Garamond" w:hAnsi="Garamond" w:cs="Garamond"/>
          <w:sz w:val="22"/>
          <w:szCs w:val="22"/>
        </w:rPr>
        <w:t>Sultanova</w:t>
      </w:r>
      <w:proofErr w:type="spellEnd"/>
      <w:r w:rsidRPr="005B1635">
        <w:rPr>
          <w:rFonts w:ascii="Garamond" w:eastAsia="Garamond" w:hAnsi="Garamond" w:cs="Garamond"/>
          <w:sz w:val="22"/>
          <w:szCs w:val="22"/>
        </w:rPr>
        <w:t xml:space="preserve"> et al. (2024), </w:t>
      </w:r>
      <w:bookmarkEnd w:id="14"/>
      <w:r w:rsidRPr="005B1635">
        <w:rPr>
          <w:rFonts w:ascii="Garamond" w:eastAsia="Garamond" w:hAnsi="Garamond" w:cs="Garamond"/>
          <w:sz w:val="22"/>
          <w:szCs w:val="22"/>
        </w:rPr>
        <w:t xml:space="preserve">who highlighted persistence as key to resilience, and </w:t>
      </w:r>
      <w:bookmarkStart w:id="15" w:name="_Hlk199676810"/>
      <w:proofErr w:type="spellStart"/>
      <w:r w:rsidRPr="005B1635">
        <w:rPr>
          <w:rFonts w:ascii="Garamond" w:eastAsia="Garamond" w:hAnsi="Garamond" w:cs="Garamond"/>
          <w:sz w:val="22"/>
          <w:szCs w:val="22"/>
        </w:rPr>
        <w:t>Mazana</w:t>
      </w:r>
      <w:proofErr w:type="spellEnd"/>
      <w:r w:rsidRPr="005B1635">
        <w:rPr>
          <w:rFonts w:ascii="Garamond" w:eastAsia="Garamond" w:hAnsi="Garamond" w:cs="Garamond"/>
          <w:sz w:val="22"/>
          <w:szCs w:val="22"/>
        </w:rPr>
        <w:t xml:space="preserve"> (2019), </w:t>
      </w:r>
      <w:bookmarkEnd w:id="15"/>
      <w:r w:rsidRPr="005B1635">
        <w:rPr>
          <w:rFonts w:ascii="Garamond" w:eastAsia="Garamond" w:hAnsi="Garamond" w:cs="Garamond"/>
          <w:sz w:val="22"/>
          <w:szCs w:val="22"/>
        </w:rPr>
        <w:t>who noted its link to deeper task engagement.</w:t>
      </w:r>
    </w:p>
    <w:p w14:paraId="13E4DE00" w14:textId="604C55F7" w:rsidR="00F26DF3" w:rsidRDefault="00F26DF3" w:rsidP="000553F0">
      <w:pPr>
        <w:spacing w:after="0"/>
        <w:ind w:firstLine="720"/>
        <w:jc w:val="both"/>
        <w:rPr>
          <w:rFonts w:ascii="Garamond" w:eastAsia="Garamond" w:hAnsi="Garamond" w:cs="Garamond"/>
          <w:sz w:val="22"/>
          <w:szCs w:val="22"/>
        </w:rPr>
      </w:pPr>
      <w:r w:rsidRPr="00F26DF3">
        <w:rPr>
          <w:rFonts w:ascii="Garamond" w:eastAsia="Garamond" w:hAnsi="Garamond" w:cs="Garamond"/>
          <w:sz w:val="22"/>
          <w:szCs w:val="22"/>
        </w:rPr>
        <w:t xml:space="preserve">Correlation analysis revealed a significant positive relationship between metacognitive awareness and persistence, suggesting that students with strong metacognitive skills sustain effort in solving problems </w:t>
      </w:r>
      <w:bookmarkStart w:id="16" w:name="_Hlk199676819"/>
      <w:r w:rsidRPr="00F26DF3">
        <w:rPr>
          <w:rFonts w:ascii="Garamond" w:eastAsia="Garamond" w:hAnsi="Garamond" w:cs="Garamond"/>
          <w:sz w:val="22"/>
          <w:szCs w:val="22"/>
        </w:rPr>
        <w:t>(</w:t>
      </w:r>
      <w:proofErr w:type="spellStart"/>
      <w:r w:rsidRPr="00F26DF3">
        <w:rPr>
          <w:rFonts w:ascii="Garamond" w:eastAsia="Garamond" w:hAnsi="Garamond" w:cs="Garamond"/>
          <w:sz w:val="22"/>
          <w:szCs w:val="22"/>
        </w:rPr>
        <w:t>Attami</w:t>
      </w:r>
      <w:proofErr w:type="spellEnd"/>
      <w:r w:rsidRPr="00F26DF3">
        <w:rPr>
          <w:rFonts w:ascii="Garamond" w:eastAsia="Garamond" w:hAnsi="Garamond" w:cs="Garamond"/>
          <w:sz w:val="22"/>
          <w:szCs w:val="22"/>
        </w:rPr>
        <w:t xml:space="preserve"> et al., 2020; </w:t>
      </w:r>
      <w:proofErr w:type="spellStart"/>
      <w:r w:rsidRPr="00F26DF3">
        <w:rPr>
          <w:rFonts w:ascii="Garamond" w:eastAsia="Garamond" w:hAnsi="Garamond" w:cs="Garamond"/>
          <w:sz w:val="22"/>
          <w:szCs w:val="22"/>
        </w:rPr>
        <w:t>Kamid</w:t>
      </w:r>
      <w:proofErr w:type="spellEnd"/>
      <w:r w:rsidRPr="00F26DF3">
        <w:rPr>
          <w:rFonts w:ascii="Garamond" w:eastAsia="Garamond" w:hAnsi="Garamond" w:cs="Garamond"/>
          <w:sz w:val="22"/>
          <w:szCs w:val="22"/>
        </w:rPr>
        <w:t xml:space="preserve"> et al., 2023). </w:t>
      </w:r>
      <w:bookmarkEnd w:id="16"/>
      <w:r w:rsidRPr="00F26DF3">
        <w:rPr>
          <w:rFonts w:ascii="Garamond" w:eastAsia="Garamond" w:hAnsi="Garamond" w:cs="Garamond"/>
          <w:sz w:val="22"/>
          <w:szCs w:val="22"/>
        </w:rPr>
        <w:t xml:space="preserve">Metacognitive training also boosts academic resilience, helping students face challenges with </w:t>
      </w:r>
      <w:bookmarkStart w:id="17" w:name="_Hlk199676828"/>
      <w:r w:rsidRPr="00F26DF3">
        <w:rPr>
          <w:rFonts w:ascii="Garamond" w:eastAsia="Garamond" w:hAnsi="Garamond" w:cs="Garamond"/>
          <w:sz w:val="22"/>
          <w:szCs w:val="22"/>
        </w:rPr>
        <w:t>confidence (</w:t>
      </w:r>
      <w:proofErr w:type="spellStart"/>
      <w:r w:rsidRPr="00F26DF3">
        <w:rPr>
          <w:rFonts w:ascii="Garamond" w:eastAsia="Garamond" w:hAnsi="Garamond" w:cs="Garamond"/>
          <w:sz w:val="22"/>
          <w:szCs w:val="22"/>
        </w:rPr>
        <w:t>Rahmawati</w:t>
      </w:r>
      <w:proofErr w:type="spellEnd"/>
      <w:r w:rsidRPr="00F26DF3">
        <w:rPr>
          <w:rFonts w:ascii="Garamond" w:eastAsia="Garamond" w:hAnsi="Garamond" w:cs="Garamond"/>
          <w:sz w:val="22"/>
          <w:szCs w:val="22"/>
        </w:rPr>
        <w:t xml:space="preserve"> et al., 2024). </w:t>
      </w:r>
      <w:bookmarkEnd w:id="17"/>
      <w:r w:rsidRPr="00F26DF3">
        <w:rPr>
          <w:rFonts w:ascii="Garamond" w:eastAsia="Garamond" w:hAnsi="Garamond" w:cs="Garamond"/>
          <w:sz w:val="22"/>
          <w:szCs w:val="22"/>
        </w:rPr>
        <w:t>Integrating these strategies in math instruction enhances both performance and persistence.</w:t>
      </w:r>
    </w:p>
    <w:p w14:paraId="31E0893E" w14:textId="6E38CB87" w:rsidR="00F26DF3" w:rsidRDefault="00F26DF3" w:rsidP="00F26DF3">
      <w:pPr>
        <w:spacing w:after="0"/>
        <w:ind w:firstLine="720"/>
        <w:jc w:val="both"/>
        <w:rPr>
          <w:rFonts w:ascii="Garamond" w:eastAsia="Garamond" w:hAnsi="Garamond" w:cs="Garamond"/>
          <w:sz w:val="22"/>
          <w:szCs w:val="22"/>
        </w:rPr>
      </w:pPr>
      <w:r w:rsidRPr="00F26DF3">
        <w:rPr>
          <w:rFonts w:ascii="Garamond" w:eastAsia="Garamond" w:hAnsi="Garamond" w:cs="Garamond"/>
          <w:sz w:val="22"/>
          <w:szCs w:val="22"/>
        </w:rPr>
        <w:t xml:space="preserve">Regression analysis confirmed that metacognitive awareness significantly influences persistence, supporting previous research that links metacognition to mathematical resilience. Resilient students tend to understand their strengths and weaknesses, reflect on their learning, and plan effective </w:t>
      </w:r>
      <w:bookmarkStart w:id="18" w:name="_Hlk199676842"/>
      <w:bookmarkStart w:id="19" w:name="_Hlk199676935"/>
      <w:r w:rsidRPr="00F26DF3">
        <w:rPr>
          <w:rFonts w:ascii="Garamond" w:eastAsia="Garamond" w:hAnsi="Garamond" w:cs="Garamond"/>
          <w:sz w:val="22"/>
          <w:szCs w:val="22"/>
        </w:rPr>
        <w:t>strategies (Agustin et al., 2022</w:t>
      </w:r>
      <w:bookmarkEnd w:id="18"/>
      <w:r w:rsidRPr="00F26DF3">
        <w:rPr>
          <w:rFonts w:ascii="Garamond" w:eastAsia="Garamond" w:hAnsi="Garamond" w:cs="Garamond"/>
          <w:sz w:val="22"/>
          <w:szCs w:val="22"/>
        </w:rPr>
        <w:t xml:space="preserve">). </w:t>
      </w:r>
      <w:bookmarkEnd w:id="19"/>
      <w:r w:rsidRPr="00F26DF3">
        <w:rPr>
          <w:rFonts w:ascii="Garamond" w:eastAsia="Garamond" w:hAnsi="Garamond" w:cs="Garamond"/>
          <w:sz w:val="22"/>
          <w:szCs w:val="22"/>
        </w:rPr>
        <w:t xml:space="preserve">Metacognitive awareness fosters a positive mindset, motivation, and self-belief, enabling students to persist through challenges </w:t>
      </w:r>
      <w:bookmarkStart w:id="20" w:name="_Hlk199676857"/>
      <w:r w:rsidRPr="00F26DF3">
        <w:rPr>
          <w:rFonts w:ascii="Garamond" w:eastAsia="Garamond" w:hAnsi="Garamond" w:cs="Garamond"/>
          <w:sz w:val="22"/>
          <w:szCs w:val="22"/>
        </w:rPr>
        <w:t>(</w:t>
      </w:r>
      <w:proofErr w:type="spellStart"/>
      <w:r w:rsidRPr="00F26DF3">
        <w:rPr>
          <w:rFonts w:ascii="Garamond" w:eastAsia="Garamond" w:hAnsi="Garamond" w:cs="Garamond"/>
          <w:sz w:val="22"/>
          <w:szCs w:val="22"/>
        </w:rPr>
        <w:t>Hutauruk</w:t>
      </w:r>
      <w:proofErr w:type="spellEnd"/>
      <w:r w:rsidRPr="00F26DF3">
        <w:rPr>
          <w:rFonts w:ascii="Garamond" w:eastAsia="Garamond" w:hAnsi="Garamond" w:cs="Garamond"/>
          <w:sz w:val="22"/>
          <w:szCs w:val="22"/>
        </w:rPr>
        <w:t xml:space="preserve"> et al., 2019; </w:t>
      </w:r>
      <w:proofErr w:type="spellStart"/>
      <w:r w:rsidRPr="00F26DF3">
        <w:rPr>
          <w:rFonts w:ascii="Garamond" w:eastAsia="Garamond" w:hAnsi="Garamond" w:cs="Garamond"/>
          <w:sz w:val="22"/>
          <w:szCs w:val="22"/>
        </w:rPr>
        <w:t>Sahin</w:t>
      </w:r>
      <w:proofErr w:type="spellEnd"/>
      <w:r w:rsidRPr="00F26DF3">
        <w:rPr>
          <w:rFonts w:ascii="Garamond" w:eastAsia="Garamond" w:hAnsi="Garamond" w:cs="Garamond"/>
          <w:sz w:val="22"/>
          <w:szCs w:val="22"/>
        </w:rPr>
        <w:t xml:space="preserve"> &amp; </w:t>
      </w:r>
      <w:proofErr w:type="spellStart"/>
      <w:r w:rsidRPr="00F26DF3">
        <w:rPr>
          <w:rFonts w:ascii="Garamond" w:eastAsia="Garamond" w:hAnsi="Garamond" w:cs="Garamond"/>
          <w:sz w:val="22"/>
          <w:szCs w:val="22"/>
        </w:rPr>
        <w:t>Kendir</w:t>
      </w:r>
      <w:proofErr w:type="spellEnd"/>
      <w:r w:rsidRPr="00F26DF3">
        <w:rPr>
          <w:rFonts w:ascii="Garamond" w:eastAsia="Garamond" w:hAnsi="Garamond" w:cs="Garamond"/>
          <w:sz w:val="22"/>
          <w:szCs w:val="22"/>
        </w:rPr>
        <w:t>, 2013).</w:t>
      </w:r>
      <w:bookmarkEnd w:id="20"/>
    </w:p>
    <w:p w14:paraId="5C67FA93" w14:textId="77777777" w:rsidR="00F26DF3" w:rsidRDefault="00F26DF3" w:rsidP="00F26DF3">
      <w:pPr>
        <w:spacing w:after="0"/>
        <w:jc w:val="both"/>
        <w:rPr>
          <w:rFonts w:ascii="Garamond" w:eastAsia="Garamond" w:hAnsi="Garamond" w:cs="Garamond"/>
          <w:sz w:val="22"/>
          <w:szCs w:val="22"/>
        </w:rPr>
      </w:pPr>
    </w:p>
    <w:p w14:paraId="5BDAF783" w14:textId="643EA7ED" w:rsidR="00565B49" w:rsidRDefault="005B1635" w:rsidP="005B1635">
      <w:pPr>
        <w:spacing w:after="0"/>
        <w:jc w:val="both"/>
        <w:rPr>
          <w:rFonts w:ascii="Garamond" w:eastAsia="Garamond" w:hAnsi="Garamond" w:cs="Garamond"/>
          <w:b/>
          <w:bCs/>
          <w:sz w:val="22"/>
          <w:szCs w:val="22"/>
        </w:rPr>
      </w:pPr>
      <w:r w:rsidRPr="00051873">
        <w:rPr>
          <w:rFonts w:ascii="Garamond" w:eastAsia="Garamond" w:hAnsi="Garamond" w:cs="Garamond"/>
          <w:b/>
          <w:bCs/>
          <w:sz w:val="22"/>
          <w:szCs w:val="22"/>
        </w:rPr>
        <w:t>Conclusion</w:t>
      </w:r>
      <w:r w:rsidR="00995742">
        <w:rPr>
          <w:rFonts w:ascii="Garamond" w:eastAsia="Garamond" w:hAnsi="Garamond" w:cs="Garamond"/>
          <w:b/>
          <w:bCs/>
          <w:sz w:val="22"/>
          <w:szCs w:val="22"/>
        </w:rPr>
        <w:tab/>
      </w:r>
    </w:p>
    <w:p w14:paraId="2F027A08" w14:textId="66F4CCD1" w:rsidR="009A12B2" w:rsidRDefault="00995742" w:rsidP="005C702F">
      <w:pPr>
        <w:spacing w:after="0"/>
        <w:jc w:val="both"/>
        <w:rPr>
          <w:rFonts w:ascii="Garamond" w:eastAsia="Garamond" w:hAnsi="Garamond" w:cs="Garamond"/>
          <w:color w:val="172B4D"/>
          <w:sz w:val="22"/>
          <w:szCs w:val="22"/>
          <w:highlight w:val="white"/>
        </w:rPr>
      </w:pPr>
      <w:r>
        <w:rPr>
          <w:rFonts w:ascii="Garamond" w:eastAsia="Garamond" w:hAnsi="Garamond" w:cs="Garamond"/>
          <w:b/>
          <w:bCs/>
          <w:sz w:val="22"/>
          <w:szCs w:val="22"/>
        </w:rPr>
        <w:tab/>
      </w:r>
      <w:r w:rsidRPr="00995742">
        <w:rPr>
          <w:rFonts w:ascii="Garamond" w:eastAsia="Garamond" w:hAnsi="Garamond" w:cs="Garamond"/>
          <w:sz w:val="22"/>
          <w:szCs w:val="22"/>
        </w:rPr>
        <w:t xml:space="preserve">Since metacognitive awareness significantly influences Persistence in Solving Mathematical Problems, the theory of metacognition, by John Flavell (1979), is affirmed, which emphasizes the learner's ability to monitor and control their cognitive processes. Metacognitive awareness comprises two core components: knowledge about cognition and regulation of cognition. These skills enable students to manage their learning strategies effectively, contributing to enhanced persistence when faced with difficult mathematical tasks. When students are aware of their cognitive processes, they are more likely to persist, adapt strategies, and manage emotional responses to academic challenges. </w:t>
      </w:r>
      <w:r>
        <w:rPr>
          <w:rFonts w:ascii="Garamond" w:eastAsia="Garamond" w:hAnsi="Garamond" w:cs="Garamond"/>
          <w:sz w:val="22"/>
          <w:szCs w:val="22"/>
        </w:rPr>
        <w:t>Consequently, m</w:t>
      </w:r>
      <w:r w:rsidR="009A12B2" w:rsidRPr="000E62AE">
        <w:rPr>
          <w:rFonts w:ascii="Garamond" w:eastAsia="Garamond" w:hAnsi="Garamond" w:cs="Garamond"/>
          <w:sz w:val="22"/>
          <w:szCs w:val="22"/>
          <w:highlight w:val="white"/>
        </w:rPr>
        <w:t>ath majors with higher metacognitive awareness showed greater persistence, especially during examinations. Statistical results showed that metacognitive awareness explained 27.9% of the variance in persistence</w:t>
      </w:r>
      <w:r w:rsidR="00EE0367">
        <w:rPr>
          <w:rFonts w:ascii="Garamond" w:eastAsia="Garamond" w:hAnsi="Garamond" w:cs="Garamond"/>
          <w:sz w:val="22"/>
          <w:szCs w:val="22"/>
          <w:highlight w:val="white"/>
        </w:rPr>
        <w:t xml:space="preserve">. </w:t>
      </w:r>
      <w:r w:rsidR="005C702F">
        <w:rPr>
          <w:rFonts w:ascii="Garamond" w:eastAsia="Garamond" w:hAnsi="Garamond" w:cs="Garamond"/>
          <w:sz w:val="22"/>
          <w:szCs w:val="22"/>
          <w:highlight w:val="white"/>
        </w:rPr>
        <w:t xml:space="preserve">This implies that other factors may influence </w:t>
      </w:r>
      <w:r w:rsidR="005C702F">
        <w:rPr>
          <w:rFonts w:ascii="Garamond" w:eastAsia="Garamond" w:hAnsi="Garamond" w:cs="Garamond"/>
          <w:sz w:val="22"/>
          <w:szCs w:val="22"/>
        </w:rPr>
        <w:t>p</w:t>
      </w:r>
      <w:r w:rsidR="005C702F" w:rsidRPr="005C702F">
        <w:rPr>
          <w:rFonts w:ascii="Garamond" w:eastAsia="Garamond" w:hAnsi="Garamond" w:cs="Garamond"/>
          <w:sz w:val="22"/>
          <w:szCs w:val="22"/>
        </w:rPr>
        <w:t xml:space="preserve">ersistence in </w:t>
      </w:r>
      <w:r w:rsidR="005C702F">
        <w:rPr>
          <w:rFonts w:ascii="Garamond" w:eastAsia="Garamond" w:hAnsi="Garamond" w:cs="Garamond"/>
          <w:sz w:val="22"/>
          <w:szCs w:val="22"/>
        </w:rPr>
        <w:t>s</w:t>
      </w:r>
      <w:r w:rsidR="005C702F" w:rsidRPr="005C702F">
        <w:rPr>
          <w:rFonts w:ascii="Garamond" w:eastAsia="Garamond" w:hAnsi="Garamond" w:cs="Garamond"/>
          <w:sz w:val="22"/>
          <w:szCs w:val="22"/>
        </w:rPr>
        <w:t xml:space="preserve">olving </w:t>
      </w:r>
      <w:r w:rsidR="005C702F">
        <w:rPr>
          <w:rFonts w:ascii="Garamond" w:eastAsia="Garamond" w:hAnsi="Garamond" w:cs="Garamond"/>
          <w:sz w:val="22"/>
          <w:szCs w:val="22"/>
        </w:rPr>
        <w:t>m</w:t>
      </w:r>
      <w:r w:rsidR="005C702F" w:rsidRPr="005C702F">
        <w:rPr>
          <w:rFonts w:ascii="Garamond" w:eastAsia="Garamond" w:hAnsi="Garamond" w:cs="Garamond"/>
          <w:sz w:val="22"/>
          <w:szCs w:val="22"/>
        </w:rPr>
        <w:t xml:space="preserve">athematical </w:t>
      </w:r>
      <w:r w:rsidR="005C702F">
        <w:rPr>
          <w:rFonts w:ascii="Garamond" w:eastAsia="Garamond" w:hAnsi="Garamond" w:cs="Garamond"/>
          <w:sz w:val="22"/>
          <w:szCs w:val="22"/>
        </w:rPr>
        <w:t>p</w:t>
      </w:r>
      <w:r w:rsidR="005C702F" w:rsidRPr="005C702F">
        <w:rPr>
          <w:rFonts w:ascii="Garamond" w:eastAsia="Garamond" w:hAnsi="Garamond" w:cs="Garamond"/>
          <w:sz w:val="22"/>
          <w:szCs w:val="22"/>
        </w:rPr>
        <w:t xml:space="preserve">roblems </w:t>
      </w:r>
      <w:r w:rsidR="005C702F">
        <w:rPr>
          <w:rFonts w:ascii="Garamond" w:eastAsia="Garamond" w:hAnsi="Garamond" w:cs="Garamond"/>
          <w:sz w:val="22"/>
          <w:szCs w:val="22"/>
        </w:rPr>
        <w:t>not covered in the present study.</w:t>
      </w:r>
    </w:p>
    <w:p w14:paraId="47C7BA4B" w14:textId="77777777" w:rsidR="009A12B2" w:rsidRPr="009A12B2" w:rsidRDefault="009A12B2" w:rsidP="005B1635">
      <w:pPr>
        <w:ind w:firstLine="720"/>
        <w:jc w:val="both"/>
        <w:rPr>
          <w:rFonts w:ascii="Garamond" w:eastAsia="Garamond" w:hAnsi="Garamond" w:cs="Garamond"/>
          <w:sz w:val="22"/>
          <w:szCs w:val="22"/>
          <w:highlight w:val="white"/>
          <w:lang w:val="en-US"/>
        </w:rPr>
      </w:pPr>
    </w:p>
    <w:p w14:paraId="33158EE1" w14:textId="77777777" w:rsidR="005B1635" w:rsidRPr="00051873" w:rsidRDefault="005B1635" w:rsidP="005B1635">
      <w:pPr>
        <w:jc w:val="both"/>
        <w:rPr>
          <w:rFonts w:ascii="Garamond" w:eastAsia="Garamond" w:hAnsi="Garamond" w:cs="Garamond"/>
          <w:b/>
          <w:bCs/>
          <w:sz w:val="22"/>
          <w:szCs w:val="22"/>
          <w:highlight w:val="white"/>
          <w:lang w:val="en-US"/>
        </w:rPr>
      </w:pPr>
      <w:r w:rsidRPr="00051873">
        <w:rPr>
          <w:rFonts w:ascii="Garamond" w:eastAsia="Garamond" w:hAnsi="Garamond" w:cs="Garamond"/>
          <w:b/>
          <w:bCs/>
          <w:sz w:val="22"/>
          <w:szCs w:val="22"/>
          <w:highlight w:val="white"/>
          <w:lang w:val="en-US"/>
        </w:rPr>
        <w:t>Recommendation</w:t>
      </w:r>
    </w:p>
    <w:p w14:paraId="7DEB220B" w14:textId="62745BAC" w:rsidR="00A541D1" w:rsidRDefault="005B1635" w:rsidP="009A12B2">
      <w:pPr>
        <w:ind w:firstLine="720"/>
        <w:jc w:val="both"/>
        <w:rPr>
          <w:rFonts w:ascii="Garamond" w:eastAsia="Garamond" w:hAnsi="Garamond" w:cs="Garamond"/>
          <w:b/>
          <w:sz w:val="22"/>
          <w:szCs w:val="22"/>
        </w:rPr>
      </w:pPr>
      <w:r>
        <w:rPr>
          <w:rFonts w:ascii="Garamond" w:eastAsia="Garamond" w:hAnsi="Garamond" w:cs="Garamond"/>
          <w:sz w:val="22"/>
          <w:szCs w:val="22"/>
        </w:rPr>
        <w:t>Given these findings, it is essential to apply them to educational practice. Students are encouraged to regularly engage in metacognitive practices such as self-monitoring, goal-setting, and evaluating their own problem-solving approaches to enhance both persistence and mathematical performance. Teachers may incorporate explicit instruction on metacognitive strategies within mathematics lessons to help students become more aware of their thinking processes and promote greater autonomy in learning. Future researchers may explore other influencing variables</w:t>
      </w:r>
      <w:r w:rsidR="005C702F">
        <w:rPr>
          <w:rFonts w:ascii="Garamond" w:eastAsia="Garamond" w:hAnsi="Garamond" w:cs="Garamond"/>
          <w:sz w:val="22"/>
          <w:szCs w:val="22"/>
        </w:rPr>
        <w:t>,</w:t>
      </w:r>
      <w:r>
        <w:rPr>
          <w:rFonts w:ascii="Garamond" w:eastAsia="Garamond" w:hAnsi="Garamond" w:cs="Garamond"/>
          <w:sz w:val="22"/>
          <w:szCs w:val="22"/>
        </w:rPr>
        <w:t xml:space="preserve"> such as motivation, academic self-efficacy, and emotional regulation</w:t>
      </w:r>
      <w:r w:rsidR="005C702F">
        <w:rPr>
          <w:rFonts w:ascii="Garamond" w:eastAsia="Garamond" w:hAnsi="Garamond" w:cs="Garamond"/>
          <w:sz w:val="22"/>
          <w:szCs w:val="22"/>
        </w:rPr>
        <w:t>,</w:t>
      </w:r>
      <w:r>
        <w:rPr>
          <w:rFonts w:ascii="Garamond" w:eastAsia="Garamond" w:hAnsi="Garamond" w:cs="Garamond"/>
          <w:sz w:val="22"/>
          <w:szCs w:val="22"/>
        </w:rPr>
        <w:t xml:space="preserve"> that may also affect students’ persistence in mathematics. Moreover, similar studies may be conducted across different academic levels, disciplines, or institutions to validate and enrich the findings of this research.</w:t>
      </w:r>
    </w:p>
    <w:p w14:paraId="4085FCE7" w14:textId="6C7E041F" w:rsidR="00A541D1" w:rsidRDefault="00254D4A">
      <w:pPr>
        <w:jc w:val="both"/>
        <w:rPr>
          <w:rFonts w:ascii="Garamond" w:eastAsia="Garamond" w:hAnsi="Garamond" w:cs="Garamond"/>
          <w:b/>
          <w:sz w:val="22"/>
          <w:szCs w:val="22"/>
        </w:rPr>
      </w:pPr>
      <w:r>
        <w:rPr>
          <w:rFonts w:ascii="Garamond" w:eastAsia="Garamond" w:hAnsi="Garamond" w:cs="Garamond"/>
          <w:b/>
          <w:sz w:val="22"/>
          <w:szCs w:val="22"/>
        </w:rPr>
        <w:t>References</w:t>
      </w:r>
    </w:p>
    <w:p w14:paraId="6F43FBF6" w14:textId="77777777" w:rsidR="00A541D1" w:rsidRDefault="00254D4A">
      <w:pPr>
        <w:pStyle w:val="NoSpacing"/>
        <w:ind w:left="720" w:hanging="720"/>
        <w:jc w:val="both"/>
        <w:rPr>
          <w:rFonts w:ascii="Garamond" w:hAnsi="Garamond"/>
        </w:rPr>
      </w:pPr>
      <w:r>
        <w:rPr>
          <w:rFonts w:ascii="Garamond" w:hAnsi="Garamond"/>
        </w:rPr>
        <w:lastRenderedPageBreak/>
        <w:t xml:space="preserve">Agustin, N., Noto, M. S., &amp; </w:t>
      </w:r>
      <w:proofErr w:type="spellStart"/>
      <w:r>
        <w:rPr>
          <w:rFonts w:ascii="Garamond" w:hAnsi="Garamond"/>
        </w:rPr>
        <w:t>Dewi</w:t>
      </w:r>
      <w:proofErr w:type="spellEnd"/>
      <w:r>
        <w:rPr>
          <w:rFonts w:ascii="Garamond" w:hAnsi="Garamond"/>
        </w:rPr>
        <w:t xml:space="preserve">, I. L. K. (2022). Construction of Student Mathematics Resilience Through the Development of </w:t>
      </w:r>
      <w:proofErr w:type="spellStart"/>
      <w:r>
        <w:rPr>
          <w:rFonts w:ascii="Garamond" w:hAnsi="Garamond"/>
        </w:rPr>
        <w:t>Sainsmatika</w:t>
      </w:r>
      <w:proofErr w:type="spellEnd"/>
      <w:r>
        <w:rPr>
          <w:rFonts w:ascii="Garamond" w:hAnsi="Garamond"/>
        </w:rPr>
        <w:t xml:space="preserve">-Based Teaching Materials. International Electronic Journal of Mathematics </w:t>
      </w:r>
      <w:r>
        <w:rPr>
          <w:rFonts w:ascii="Garamond" w:hAnsi="Garamond"/>
        </w:rPr>
        <w:t xml:space="preserve">Education, 17(2), em0683. </w:t>
      </w:r>
      <w:hyperlink r:id="rId8" w:history="1">
        <w:r w:rsidR="00A541D1">
          <w:rPr>
            <w:rStyle w:val="Hyperlink"/>
            <w:rFonts w:ascii="Garamond" w:eastAsia="Garamond" w:hAnsi="Garamond" w:cs="Garamond"/>
            <w:color w:val="auto"/>
            <w:sz w:val="22"/>
            <w:szCs w:val="22"/>
            <w:u w:val="none"/>
          </w:rPr>
          <w:t>https://doi.org/10.29333/iejme/11835</w:t>
        </w:r>
      </w:hyperlink>
    </w:p>
    <w:p w14:paraId="17745859" w14:textId="77777777" w:rsidR="005C702F" w:rsidRDefault="005C702F">
      <w:pPr>
        <w:pStyle w:val="NoSpacing"/>
        <w:ind w:left="720" w:hanging="720"/>
        <w:jc w:val="both"/>
        <w:rPr>
          <w:rFonts w:ascii="Garamond" w:hAnsi="Garamond"/>
        </w:rPr>
      </w:pPr>
    </w:p>
    <w:p w14:paraId="1E26089A" w14:textId="36A5F352" w:rsidR="00A541D1" w:rsidRDefault="00254D4A">
      <w:pPr>
        <w:pStyle w:val="NoSpacing"/>
        <w:ind w:left="720" w:hanging="720"/>
        <w:jc w:val="both"/>
        <w:rPr>
          <w:rFonts w:ascii="Garamond" w:hAnsi="Garamond"/>
        </w:rPr>
      </w:pPr>
      <w:proofErr w:type="spellStart"/>
      <w:r>
        <w:rPr>
          <w:rFonts w:ascii="Garamond" w:hAnsi="Garamond"/>
        </w:rPr>
        <w:t>Asoy</w:t>
      </w:r>
      <w:proofErr w:type="spellEnd"/>
      <w:r>
        <w:rPr>
          <w:rFonts w:ascii="Garamond" w:hAnsi="Garamond"/>
        </w:rPr>
        <w:t xml:space="preserve">, N. E. M. P., &amp; </w:t>
      </w:r>
      <w:proofErr w:type="spellStart"/>
      <w:r>
        <w:rPr>
          <w:rFonts w:ascii="Garamond" w:hAnsi="Garamond"/>
        </w:rPr>
        <w:t>Picaza</w:t>
      </w:r>
      <w:proofErr w:type="spellEnd"/>
      <w:r>
        <w:rPr>
          <w:rFonts w:ascii="Garamond" w:hAnsi="Garamond"/>
        </w:rPr>
        <w:t xml:space="preserve">, N. R. R. (2025). </w:t>
      </w:r>
      <w:r w:rsidR="005C702F" w:rsidRPr="005C702F">
        <w:rPr>
          <w:rFonts w:ascii="Garamond" w:hAnsi="Garamond"/>
          <w:i/>
          <w:iCs/>
        </w:rPr>
        <w:t xml:space="preserve">Persistence, Self-Efficacy, And Achievement </w:t>
      </w:r>
      <w:proofErr w:type="gramStart"/>
      <w:r w:rsidR="005C702F" w:rsidRPr="005C702F">
        <w:rPr>
          <w:rFonts w:ascii="Garamond" w:hAnsi="Garamond"/>
          <w:i/>
          <w:iCs/>
        </w:rPr>
        <w:t>In</w:t>
      </w:r>
      <w:proofErr w:type="gramEnd"/>
      <w:r w:rsidR="005C702F" w:rsidRPr="005C702F">
        <w:rPr>
          <w:rFonts w:ascii="Garamond" w:hAnsi="Garamond"/>
          <w:i/>
          <w:iCs/>
        </w:rPr>
        <w:t xml:space="preserve"> Mathematics. </w:t>
      </w:r>
      <w:proofErr w:type="spellStart"/>
      <w:r w:rsidR="005C702F" w:rsidRPr="005C702F">
        <w:rPr>
          <w:rFonts w:ascii="Garamond" w:hAnsi="Garamond"/>
          <w:i/>
          <w:iCs/>
        </w:rPr>
        <w:t>Epra</w:t>
      </w:r>
      <w:proofErr w:type="spellEnd"/>
      <w:r>
        <w:rPr>
          <w:rFonts w:ascii="Garamond" w:hAnsi="Garamond"/>
        </w:rPr>
        <w:t xml:space="preserve"> International Journal of Mul</w:t>
      </w:r>
      <w:r>
        <w:rPr>
          <w:rFonts w:ascii="Garamond" w:hAnsi="Garamond"/>
        </w:rPr>
        <w:t>tidisciplinary Research (IJMR), 583–593. https://doi.org/10.36713/epra20603</w:t>
      </w:r>
    </w:p>
    <w:p w14:paraId="4AF734F6" w14:textId="77777777" w:rsidR="005C702F" w:rsidRDefault="005C702F">
      <w:pPr>
        <w:pStyle w:val="NoSpacing"/>
        <w:ind w:left="720" w:hanging="720"/>
        <w:jc w:val="both"/>
        <w:rPr>
          <w:rFonts w:ascii="Garamond" w:hAnsi="Garamond"/>
        </w:rPr>
      </w:pPr>
    </w:p>
    <w:p w14:paraId="3424B5B7" w14:textId="656E13B7" w:rsidR="00A541D1" w:rsidRDefault="00254D4A">
      <w:pPr>
        <w:pStyle w:val="NoSpacing"/>
        <w:ind w:left="720" w:hanging="720"/>
        <w:jc w:val="both"/>
        <w:rPr>
          <w:rFonts w:ascii="Garamond" w:hAnsi="Garamond"/>
        </w:rPr>
      </w:pPr>
      <w:proofErr w:type="spellStart"/>
      <w:r>
        <w:rPr>
          <w:rFonts w:ascii="Garamond" w:hAnsi="Garamond"/>
        </w:rPr>
        <w:t>Attami</w:t>
      </w:r>
      <w:proofErr w:type="spellEnd"/>
      <w:r>
        <w:rPr>
          <w:rFonts w:ascii="Garamond" w:hAnsi="Garamond"/>
        </w:rPr>
        <w:t xml:space="preserve">, D., </w:t>
      </w:r>
      <w:proofErr w:type="spellStart"/>
      <w:r>
        <w:rPr>
          <w:rFonts w:ascii="Garamond" w:hAnsi="Garamond"/>
        </w:rPr>
        <w:t>Budiyono</w:t>
      </w:r>
      <w:proofErr w:type="spellEnd"/>
      <w:r>
        <w:rPr>
          <w:rFonts w:ascii="Garamond" w:hAnsi="Garamond"/>
        </w:rPr>
        <w:t xml:space="preserve">, N., &amp; </w:t>
      </w:r>
      <w:proofErr w:type="spellStart"/>
      <w:r>
        <w:rPr>
          <w:rFonts w:ascii="Garamond" w:hAnsi="Garamond"/>
        </w:rPr>
        <w:t>Indriati</w:t>
      </w:r>
      <w:proofErr w:type="spellEnd"/>
      <w:r>
        <w:rPr>
          <w:rFonts w:ascii="Garamond" w:hAnsi="Garamond"/>
        </w:rPr>
        <w:t>, D. (2020). Mathematical resilience and mathematical problem-solving ability in Junior High School. Journal of Physics Conference Series, 1613</w:t>
      </w:r>
      <w:r>
        <w:rPr>
          <w:rFonts w:ascii="Garamond" w:hAnsi="Garamond"/>
        </w:rPr>
        <w:t>(1), 012028. https://doi.org/10.1088/1742-6596/1613/1/012028</w:t>
      </w:r>
    </w:p>
    <w:p w14:paraId="0898DD1C" w14:textId="77777777" w:rsidR="005C702F" w:rsidRDefault="005C702F">
      <w:pPr>
        <w:pStyle w:val="NoSpacing"/>
        <w:ind w:left="720" w:hanging="720"/>
        <w:jc w:val="both"/>
        <w:rPr>
          <w:rFonts w:ascii="Garamond" w:hAnsi="Garamond"/>
          <w:lang w:val="en-US"/>
        </w:rPr>
      </w:pPr>
    </w:p>
    <w:p w14:paraId="7F5C090A" w14:textId="08B7A746" w:rsidR="00A541D1" w:rsidRDefault="00254D4A">
      <w:pPr>
        <w:pStyle w:val="NoSpacing"/>
        <w:ind w:left="720" w:hanging="720"/>
        <w:jc w:val="both"/>
        <w:rPr>
          <w:rFonts w:ascii="Garamond" w:hAnsi="Garamond"/>
          <w:lang w:val="en-US"/>
        </w:rPr>
      </w:pPr>
      <w:r>
        <w:rPr>
          <w:rFonts w:ascii="Garamond" w:hAnsi="Garamond"/>
          <w:lang w:val="en-US"/>
        </w:rPr>
        <w:t xml:space="preserve">Bakar, M. a. A., &amp; Ismail, N. (2019). Metacognitive Learning Strategies in Mathematics Classroom Intervention: A review of implementation and operational design aspect. </w:t>
      </w:r>
      <w:r>
        <w:rPr>
          <w:rFonts w:ascii="Garamond" w:hAnsi="Garamond"/>
          <w:i/>
          <w:iCs/>
          <w:lang w:val="en-US"/>
        </w:rPr>
        <w:t xml:space="preserve">International Electronic </w:t>
      </w:r>
      <w:r>
        <w:rPr>
          <w:rFonts w:ascii="Garamond" w:hAnsi="Garamond"/>
          <w:i/>
          <w:iCs/>
          <w:lang w:val="en-US"/>
        </w:rPr>
        <w:t>Journal of Mathematics Education</w:t>
      </w:r>
      <w:r>
        <w:rPr>
          <w:rFonts w:ascii="Garamond" w:hAnsi="Garamond"/>
          <w:lang w:val="en-US"/>
        </w:rPr>
        <w:t xml:space="preserve">, </w:t>
      </w:r>
      <w:r>
        <w:rPr>
          <w:rFonts w:ascii="Garamond" w:hAnsi="Garamond"/>
          <w:i/>
          <w:iCs/>
          <w:lang w:val="en-US"/>
        </w:rPr>
        <w:t>15</w:t>
      </w:r>
      <w:r>
        <w:rPr>
          <w:rFonts w:ascii="Garamond" w:hAnsi="Garamond"/>
          <w:lang w:val="en-US"/>
        </w:rPr>
        <w:t>(1). https://doi.org/10.29333/iejme/5937</w:t>
      </w:r>
    </w:p>
    <w:p w14:paraId="6EB21C47" w14:textId="77777777" w:rsidR="005C702F" w:rsidRDefault="005C702F">
      <w:pPr>
        <w:pStyle w:val="NoSpacing"/>
        <w:ind w:left="720" w:hanging="720"/>
        <w:jc w:val="both"/>
        <w:rPr>
          <w:rFonts w:ascii="Garamond" w:hAnsi="Garamond"/>
        </w:rPr>
      </w:pPr>
    </w:p>
    <w:p w14:paraId="08D3C37D" w14:textId="6B6722E2" w:rsidR="00A541D1" w:rsidRDefault="00254D4A">
      <w:pPr>
        <w:pStyle w:val="NoSpacing"/>
        <w:ind w:left="720" w:hanging="720"/>
        <w:jc w:val="both"/>
        <w:rPr>
          <w:rFonts w:ascii="Garamond" w:hAnsi="Garamond"/>
        </w:rPr>
      </w:pPr>
      <w:proofErr w:type="spellStart"/>
      <w:r>
        <w:rPr>
          <w:rFonts w:ascii="Garamond" w:hAnsi="Garamond"/>
        </w:rPr>
        <w:t>Chytrý</w:t>
      </w:r>
      <w:proofErr w:type="spellEnd"/>
      <w:r>
        <w:rPr>
          <w:rFonts w:ascii="Garamond" w:hAnsi="Garamond"/>
        </w:rPr>
        <w:t xml:space="preserve">, V., </w:t>
      </w:r>
      <w:proofErr w:type="spellStart"/>
      <w:r>
        <w:rPr>
          <w:rFonts w:ascii="Garamond" w:hAnsi="Garamond"/>
        </w:rPr>
        <w:t>Medová</w:t>
      </w:r>
      <w:proofErr w:type="spellEnd"/>
      <w:r>
        <w:rPr>
          <w:rFonts w:ascii="Garamond" w:hAnsi="Garamond"/>
        </w:rPr>
        <w:t xml:space="preserve">, J., </w:t>
      </w:r>
      <w:proofErr w:type="spellStart"/>
      <w:r>
        <w:rPr>
          <w:rFonts w:ascii="Garamond" w:hAnsi="Garamond"/>
        </w:rPr>
        <w:t>Rˇícan</w:t>
      </w:r>
      <w:proofErr w:type="spellEnd"/>
      <w:r>
        <w:rPr>
          <w:rFonts w:ascii="Garamond" w:hAnsi="Garamond"/>
        </w:rPr>
        <w:t xml:space="preserve">, J., and </w:t>
      </w:r>
      <w:proofErr w:type="spellStart"/>
      <w:r>
        <w:rPr>
          <w:rFonts w:ascii="Garamond" w:hAnsi="Garamond"/>
        </w:rPr>
        <w:t>Škoda</w:t>
      </w:r>
      <w:proofErr w:type="spellEnd"/>
      <w:r>
        <w:rPr>
          <w:rFonts w:ascii="Garamond" w:hAnsi="Garamond"/>
        </w:rPr>
        <w:t>, J. (2020). Relation between pupils’ mathematical self-efficacy and mathematical problem solving in the context of the teachers’ pre</w:t>
      </w:r>
      <w:r>
        <w:rPr>
          <w:rFonts w:ascii="Garamond" w:hAnsi="Garamond"/>
        </w:rPr>
        <w:t xml:space="preserve">ferred pedagogies. Sustainability 12:10215. </w:t>
      </w:r>
      <w:proofErr w:type="spellStart"/>
      <w:r>
        <w:rPr>
          <w:rFonts w:ascii="Garamond" w:hAnsi="Garamond"/>
        </w:rPr>
        <w:t>doi</w:t>
      </w:r>
      <w:proofErr w:type="spellEnd"/>
      <w:r>
        <w:rPr>
          <w:rFonts w:ascii="Garamond" w:hAnsi="Garamond"/>
        </w:rPr>
        <w:t>: 10.3390/su122310215</w:t>
      </w:r>
    </w:p>
    <w:p w14:paraId="40AA84F4" w14:textId="77777777" w:rsidR="005C702F" w:rsidRDefault="005C702F">
      <w:pPr>
        <w:pStyle w:val="NoSpacing"/>
        <w:ind w:left="720" w:hanging="720"/>
        <w:jc w:val="both"/>
        <w:rPr>
          <w:rFonts w:ascii="Garamond" w:hAnsi="Garamond"/>
        </w:rPr>
      </w:pPr>
    </w:p>
    <w:p w14:paraId="77D3BE77" w14:textId="77777777" w:rsidR="005C702F" w:rsidRDefault="005C702F">
      <w:pPr>
        <w:pStyle w:val="NoSpacing"/>
        <w:ind w:left="720" w:hanging="720"/>
        <w:jc w:val="both"/>
        <w:rPr>
          <w:rFonts w:ascii="Garamond" w:hAnsi="Garamond"/>
        </w:rPr>
      </w:pPr>
    </w:p>
    <w:p w14:paraId="452E9554" w14:textId="68BB630C" w:rsidR="00631303" w:rsidRDefault="00631303">
      <w:pPr>
        <w:pStyle w:val="NoSpacing"/>
        <w:ind w:left="720" w:hanging="720"/>
        <w:jc w:val="both"/>
        <w:rPr>
          <w:rFonts w:ascii="Garamond" w:hAnsi="Garamond"/>
        </w:rPr>
      </w:pPr>
      <w:r w:rsidRPr="00631303">
        <w:rPr>
          <w:rFonts w:ascii="Garamond" w:hAnsi="Garamond"/>
        </w:rPr>
        <w:t xml:space="preserve">Dela Cruz, J. L., Dela Cruz, P. J., Guadalupe, J. A., </w:t>
      </w:r>
      <w:proofErr w:type="spellStart"/>
      <w:r w:rsidRPr="00631303">
        <w:rPr>
          <w:rFonts w:ascii="Garamond" w:hAnsi="Garamond"/>
        </w:rPr>
        <w:t>Orosco</w:t>
      </w:r>
      <w:proofErr w:type="spellEnd"/>
      <w:r w:rsidRPr="00631303">
        <w:rPr>
          <w:rFonts w:ascii="Garamond" w:hAnsi="Garamond"/>
        </w:rPr>
        <w:t xml:space="preserve">, R. S., &amp; </w:t>
      </w:r>
      <w:proofErr w:type="spellStart"/>
      <w:r w:rsidRPr="00631303">
        <w:rPr>
          <w:rFonts w:ascii="Garamond" w:hAnsi="Garamond"/>
        </w:rPr>
        <w:t>Gochuico</w:t>
      </w:r>
      <w:proofErr w:type="spellEnd"/>
      <w:r w:rsidRPr="00631303">
        <w:rPr>
          <w:rFonts w:ascii="Garamond" w:hAnsi="Garamond"/>
        </w:rPr>
        <w:t xml:space="preserve">, J. D. (2024). </w:t>
      </w:r>
      <w:r w:rsidRPr="00631303">
        <w:rPr>
          <w:rFonts w:ascii="Garamond" w:hAnsi="Garamond"/>
          <w:i/>
          <w:iCs/>
        </w:rPr>
        <w:t>Modeling mathematics problem-solving persistence within a personal instructing agent exhibiting synthetic facial expressions</w:t>
      </w:r>
      <w:r w:rsidRPr="00631303">
        <w:rPr>
          <w:rFonts w:ascii="Garamond" w:hAnsi="Garamond"/>
        </w:rPr>
        <w:t>. IEEE. https://doi.org/10.1109/WAIE63876.2024.00013</w:t>
      </w:r>
    </w:p>
    <w:p w14:paraId="30364886" w14:textId="77777777" w:rsidR="005C702F" w:rsidRDefault="005C702F">
      <w:pPr>
        <w:pStyle w:val="NoSpacing"/>
        <w:ind w:left="720" w:hanging="720"/>
        <w:jc w:val="both"/>
        <w:rPr>
          <w:rFonts w:ascii="Garamond" w:hAnsi="Garamond"/>
        </w:rPr>
      </w:pPr>
    </w:p>
    <w:p w14:paraId="3EFF59D1" w14:textId="113EC5C8" w:rsidR="00A541D1" w:rsidRDefault="00254D4A">
      <w:pPr>
        <w:pStyle w:val="NoSpacing"/>
        <w:ind w:left="720" w:hanging="720"/>
        <w:jc w:val="both"/>
        <w:rPr>
          <w:rFonts w:ascii="Garamond" w:hAnsi="Garamond"/>
        </w:rPr>
      </w:pPr>
      <w:r>
        <w:rPr>
          <w:rFonts w:ascii="Garamond" w:hAnsi="Garamond"/>
        </w:rPr>
        <w:t>Flavell, J. H. (1979). Metacognition and cognitive monitoring: A new area of cognitive– developmental inquiry. American Psychologist, 34(10), 906– 911. https://doi</w:t>
      </w:r>
      <w:r>
        <w:rPr>
          <w:rFonts w:ascii="Garamond" w:hAnsi="Garamond"/>
        </w:rPr>
        <w:t>.org/10.1037/0003-066X.34.10.906</w:t>
      </w:r>
    </w:p>
    <w:p w14:paraId="7BB985F2" w14:textId="77777777" w:rsidR="005C702F" w:rsidRDefault="005C702F">
      <w:pPr>
        <w:pStyle w:val="NoSpacing"/>
        <w:ind w:left="720" w:hanging="720"/>
        <w:jc w:val="both"/>
        <w:rPr>
          <w:rFonts w:ascii="Garamond" w:hAnsi="Garamond"/>
        </w:rPr>
      </w:pPr>
    </w:p>
    <w:p w14:paraId="652584BC" w14:textId="2D88FF5E" w:rsidR="00A541D1" w:rsidRDefault="00254D4A">
      <w:pPr>
        <w:pStyle w:val="NoSpacing"/>
        <w:ind w:left="720" w:hanging="720"/>
        <w:jc w:val="both"/>
        <w:rPr>
          <w:rFonts w:ascii="Garamond" w:hAnsi="Garamond"/>
        </w:rPr>
      </w:pPr>
      <w:proofErr w:type="spellStart"/>
      <w:r>
        <w:rPr>
          <w:rFonts w:ascii="Garamond" w:hAnsi="Garamond"/>
        </w:rPr>
        <w:t>Güner</w:t>
      </w:r>
      <w:proofErr w:type="spellEnd"/>
      <w:r>
        <w:rPr>
          <w:rFonts w:ascii="Garamond" w:hAnsi="Garamond"/>
        </w:rPr>
        <w:t xml:space="preserve">, P. &amp; </w:t>
      </w:r>
      <w:proofErr w:type="spellStart"/>
      <w:r>
        <w:rPr>
          <w:rFonts w:ascii="Garamond" w:hAnsi="Garamond"/>
        </w:rPr>
        <w:t>Erbay</w:t>
      </w:r>
      <w:proofErr w:type="spellEnd"/>
      <w:r>
        <w:rPr>
          <w:rFonts w:ascii="Garamond" w:hAnsi="Garamond"/>
        </w:rPr>
        <w:t>, H. N. (2021). Metacognitive skills and problem-solving. International</w:t>
      </w:r>
      <w:r>
        <w:rPr>
          <w:rFonts w:ascii="Garamond" w:hAnsi="Garamond"/>
        </w:rPr>
        <w:br/>
        <w:t>Journal of Research in Education and Science (IJRES), 7(3), 715-734.</w:t>
      </w:r>
      <w:r>
        <w:rPr>
          <w:rFonts w:ascii="Garamond" w:hAnsi="Garamond"/>
        </w:rPr>
        <w:br/>
        <w:t xml:space="preserve">https://doi.org/10.46328/ijres.1594 </w:t>
      </w:r>
    </w:p>
    <w:p w14:paraId="23F4C58C" w14:textId="77777777" w:rsidR="005C702F" w:rsidRDefault="005C702F">
      <w:pPr>
        <w:pStyle w:val="NoSpacing"/>
        <w:ind w:left="720" w:hanging="720"/>
        <w:jc w:val="both"/>
        <w:rPr>
          <w:rFonts w:ascii="Garamond" w:hAnsi="Garamond"/>
        </w:rPr>
      </w:pPr>
    </w:p>
    <w:p w14:paraId="6B620A05" w14:textId="17549C16" w:rsidR="00A541D1" w:rsidRDefault="00254D4A">
      <w:pPr>
        <w:pStyle w:val="NoSpacing"/>
        <w:ind w:left="720" w:hanging="720"/>
        <w:jc w:val="both"/>
        <w:rPr>
          <w:rFonts w:ascii="Garamond" w:hAnsi="Garamond"/>
        </w:rPr>
      </w:pPr>
      <w:proofErr w:type="spellStart"/>
      <w:r>
        <w:rPr>
          <w:rFonts w:ascii="Garamond" w:hAnsi="Garamond"/>
        </w:rPr>
        <w:t>Hutauruk</w:t>
      </w:r>
      <w:proofErr w:type="spellEnd"/>
      <w:r>
        <w:rPr>
          <w:rFonts w:ascii="Garamond" w:hAnsi="Garamond"/>
        </w:rPr>
        <w:t xml:space="preserve">, A. J. B. &amp; </w:t>
      </w:r>
      <w:proofErr w:type="spellStart"/>
      <w:r>
        <w:rPr>
          <w:rFonts w:ascii="Garamond" w:hAnsi="Garamond"/>
        </w:rPr>
        <w:t>Darma</w:t>
      </w:r>
      <w:r>
        <w:rPr>
          <w:rFonts w:ascii="Garamond" w:hAnsi="Garamond"/>
        </w:rPr>
        <w:t>yasa</w:t>
      </w:r>
      <w:proofErr w:type="spellEnd"/>
      <w:r>
        <w:rPr>
          <w:rFonts w:ascii="Garamond" w:hAnsi="Garamond"/>
        </w:rPr>
        <w:t xml:space="preserve">, J. B. &amp; </w:t>
      </w:r>
      <w:proofErr w:type="spellStart"/>
      <w:r>
        <w:rPr>
          <w:rFonts w:ascii="Garamond" w:hAnsi="Garamond"/>
        </w:rPr>
        <w:t>Priatna</w:t>
      </w:r>
      <w:proofErr w:type="spellEnd"/>
      <w:r>
        <w:rPr>
          <w:rFonts w:ascii="Garamond" w:hAnsi="Garamond"/>
        </w:rPr>
        <w:t>, N. (2019). Achievement of students' mathematical resilience through problem-based learning model with metacognitive approach. Journal of Physics: Conference Series. International Seminar on Applied Mathematics and Mathematics Educati</w:t>
      </w:r>
      <w:r>
        <w:rPr>
          <w:rFonts w:ascii="Garamond" w:hAnsi="Garamond"/>
        </w:rPr>
        <w:t>on. 1315, 012051.</w:t>
      </w:r>
    </w:p>
    <w:p w14:paraId="61C6B80B" w14:textId="77777777" w:rsidR="005C702F" w:rsidRDefault="005C702F">
      <w:pPr>
        <w:pStyle w:val="NoSpacing"/>
        <w:ind w:left="720" w:hanging="720"/>
        <w:jc w:val="both"/>
        <w:rPr>
          <w:rFonts w:ascii="Garamond" w:hAnsi="Garamond"/>
        </w:rPr>
      </w:pPr>
    </w:p>
    <w:p w14:paraId="2B2746F9" w14:textId="004B3F44" w:rsidR="00A541D1" w:rsidRDefault="00254D4A">
      <w:pPr>
        <w:pStyle w:val="NoSpacing"/>
        <w:ind w:left="720" w:hanging="720"/>
        <w:jc w:val="both"/>
        <w:rPr>
          <w:rFonts w:ascii="Garamond" w:hAnsi="Garamond"/>
        </w:rPr>
      </w:pPr>
      <w:proofErr w:type="spellStart"/>
      <w:r>
        <w:rPr>
          <w:rFonts w:ascii="Garamond" w:hAnsi="Garamond"/>
        </w:rPr>
        <w:t>Izzati</w:t>
      </w:r>
      <w:proofErr w:type="spellEnd"/>
      <w:r>
        <w:rPr>
          <w:rFonts w:ascii="Garamond" w:hAnsi="Garamond"/>
        </w:rPr>
        <w:t xml:space="preserve">, L. R., &amp; Mahmudi, A. (2018). The influence of metacognition in mathematical problem solving. Journal of Physics Conference Series, 1097, 012107. </w:t>
      </w:r>
      <w:hyperlink r:id="rId9">
        <w:r w:rsidR="00A541D1">
          <w:rPr>
            <w:rFonts w:ascii="Garamond" w:hAnsi="Garamond"/>
          </w:rPr>
          <w:t>https://doi.org/10.1088/1742-</w:t>
        </w:r>
      </w:hyperlink>
      <w:r>
        <w:rPr>
          <w:rFonts w:ascii="Garamond" w:hAnsi="Garamond"/>
        </w:rPr>
        <w:t xml:space="preserve"> </w:t>
      </w:r>
      <w:hyperlink r:id="rId10">
        <w:r w:rsidR="00A541D1">
          <w:rPr>
            <w:rFonts w:ascii="Garamond" w:hAnsi="Garamond"/>
          </w:rPr>
          <w:t>6596/1097/1/012107</w:t>
        </w:r>
      </w:hyperlink>
    </w:p>
    <w:p w14:paraId="59B66676" w14:textId="77777777" w:rsidR="005C702F" w:rsidRDefault="005C702F">
      <w:pPr>
        <w:pStyle w:val="NoSpacing"/>
        <w:ind w:left="720" w:hanging="720"/>
        <w:jc w:val="both"/>
        <w:rPr>
          <w:rFonts w:ascii="Garamond" w:hAnsi="Garamond"/>
        </w:rPr>
      </w:pPr>
    </w:p>
    <w:p w14:paraId="1CDA7A54" w14:textId="1F8F5B83" w:rsidR="00A541D1" w:rsidRDefault="00254D4A">
      <w:pPr>
        <w:pStyle w:val="NoSpacing"/>
        <w:ind w:left="720" w:hanging="720"/>
        <w:jc w:val="both"/>
        <w:rPr>
          <w:rFonts w:ascii="Garamond" w:hAnsi="Garamond"/>
        </w:rPr>
      </w:pPr>
      <w:proofErr w:type="spellStart"/>
      <w:r>
        <w:rPr>
          <w:rFonts w:ascii="Garamond" w:hAnsi="Garamond"/>
        </w:rPr>
        <w:t>Kamid</w:t>
      </w:r>
      <w:proofErr w:type="spellEnd"/>
      <w:r>
        <w:rPr>
          <w:rFonts w:ascii="Garamond" w:hAnsi="Garamond"/>
        </w:rPr>
        <w:t xml:space="preserve">, Kurniawan, D. A., Perdana, R., </w:t>
      </w:r>
      <w:proofErr w:type="spellStart"/>
      <w:r>
        <w:rPr>
          <w:rFonts w:ascii="Garamond" w:hAnsi="Garamond"/>
        </w:rPr>
        <w:t>Widodi</w:t>
      </w:r>
      <w:proofErr w:type="spellEnd"/>
      <w:r>
        <w:rPr>
          <w:rFonts w:ascii="Garamond" w:hAnsi="Garamond"/>
        </w:rPr>
        <w:t xml:space="preserve">, B., </w:t>
      </w:r>
      <w:proofErr w:type="spellStart"/>
      <w:r>
        <w:rPr>
          <w:rFonts w:ascii="Garamond" w:hAnsi="Garamond"/>
        </w:rPr>
        <w:t>Triani</w:t>
      </w:r>
      <w:proofErr w:type="spellEnd"/>
      <w:r>
        <w:rPr>
          <w:rFonts w:ascii="Garamond" w:hAnsi="Garamond"/>
        </w:rPr>
        <w:t xml:space="preserve">, E., </w:t>
      </w:r>
      <w:proofErr w:type="spellStart"/>
      <w:r>
        <w:rPr>
          <w:rFonts w:ascii="Garamond" w:hAnsi="Garamond"/>
        </w:rPr>
        <w:t>Yathasya</w:t>
      </w:r>
      <w:proofErr w:type="spellEnd"/>
      <w:r>
        <w:rPr>
          <w:rFonts w:ascii="Garamond" w:hAnsi="Garamond"/>
        </w:rPr>
        <w:t xml:space="preserve">, D., &amp; </w:t>
      </w:r>
      <w:proofErr w:type="spellStart"/>
      <w:r>
        <w:rPr>
          <w:rFonts w:ascii="Garamond" w:hAnsi="Garamond"/>
        </w:rPr>
        <w:t>Fadillah</w:t>
      </w:r>
      <w:proofErr w:type="spellEnd"/>
      <w:r>
        <w:rPr>
          <w:rFonts w:ascii="Garamond" w:hAnsi="Garamond"/>
        </w:rPr>
        <w:t>, P. (2023). The Persistence Character and Math Proce</w:t>
      </w:r>
      <w:r>
        <w:rPr>
          <w:rFonts w:ascii="Garamond" w:hAnsi="Garamond"/>
        </w:rPr>
        <w:t xml:space="preserve">ssing Skills of Elementary School Students in Thematic Learning. </w:t>
      </w:r>
      <w:proofErr w:type="spellStart"/>
      <w:r>
        <w:rPr>
          <w:rFonts w:ascii="Garamond" w:hAnsi="Garamond"/>
        </w:rPr>
        <w:t>Jurnal</w:t>
      </w:r>
      <w:proofErr w:type="spellEnd"/>
      <w:r>
        <w:rPr>
          <w:rFonts w:ascii="Garamond" w:hAnsi="Garamond"/>
        </w:rPr>
        <w:t xml:space="preserve"> </w:t>
      </w:r>
      <w:proofErr w:type="spellStart"/>
      <w:r>
        <w:rPr>
          <w:rFonts w:ascii="Garamond" w:hAnsi="Garamond"/>
        </w:rPr>
        <w:t>Ilmiah</w:t>
      </w:r>
      <w:proofErr w:type="spellEnd"/>
      <w:r>
        <w:rPr>
          <w:rFonts w:ascii="Garamond" w:hAnsi="Garamond"/>
        </w:rPr>
        <w:t xml:space="preserve"> </w:t>
      </w:r>
      <w:proofErr w:type="spellStart"/>
      <w:r>
        <w:rPr>
          <w:rFonts w:ascii="Garamond" w:hAnsi="Garamond"/>
        </w:rPr>
        <w:t>Sekolah</w:t>
      </w:r>
      <w:proofErr w:type="spellEnd"/>
      <w:r>
        <w:rPr>
          <w:rFonts w:ascii="Garamond" w:hAnsi="Garamond"/>
        </w:rPr>
        <w:t xml:space="preserve"> Dasar, 7(2), 363–373. </w:t>
      </w:r>
      <w:hyperlink r:id="rId11">
        <w:r w:rsidR="00A541D1">
          <w:rPr>
            <w:rFonts w:ascii="Garamond" w:hAnsi="Garamond"/>
          </w:rPr>
          <w:t>https://doi.org/10.23887/jisd.v7i2.55094</w:t>
        </w:r>
      </w:hyperlink>
    </w:p>
    <w:p w14:paraId="3465E7B9" w14:textId="77777777" w:rsidR="005C702F" w:rsidRDefault="005C702F">
      <w:pPr>
        <w:pStyle w:val="NoSpacing"/>
        <w:ind w:left="720" w:hanging="720"/>
        <w:jc w:val="both"/>
        <w:rPr>
          <w:rFonts w:ascii="Garamond" w:hAnsi="Garamond"/>
          <w:lang w:val="en-US"/>
        </w:rPr>
      </w:pPr>
    </w:p>
    <w:p w14:paraId="0493A104" w14:textId="4585ADB6" w:rsidR="00A541D1" w:rsidRDefault="00254D4A">
      <w:pPr>
        <w:pStyle w:val="NoSpacing"/>
        <w:ind w:left="720" w:hanging="720"/>
        <w:jc w:val="both"/>
        <w:rPr>
          <w:rFonts w:ascii="Garamond" w:hAnsi="Garamond"/>
          <w:lang w:val="en-US"/>
        </w:rPr>
      </w:pPr>
      <w:proofErr w:type="spellStart"/>
      <w:r>
        <w:rPr>
          <w:rFonts w:ascii="Garamond" w:hAnsi="Garamond"/>
          <w:lang w:val="en-US"/>
        </w:rPr>
        <w:lastRenderedPageBreak/>
        <w:t>Mazana</w:t>
      </w:r>
      <w:proofErr w:type="spellEnd"/>
      <w:r>
        <w:rPr>
          <w:rFonts w:ascii="Garamond" w:hAnsi="Garamond"/>
          <w:lang w:val="en-US"/>
        </w:rPr>
        <w:t>, M. Y., Montero, C. S., &amp; Casmir, R. O</w:t>
      </w:r>
      <w:r>
        <w:rPr>
          <w:rFonts w:ascii="Garamond" w:hAnsi="Garamond"/>
          <w:lang w:val="en-US"/>
        </w:rPr>
        <w:t xml:space="preserve">. (2018). Investigating Students’ Attitude towards Learning Mathematics. </w:t>
      </w:r>
      <w:r>
        <w:rPr>
          <w:rFonts w:ascii="Garamond" w:hAnsi="Garamond"/>
          <w:i/>
          <w:iCs/>
          <w:lang w:val="en-US"/>
        </w:rPr>
        <w:t>International Electronic Journal of Mathematics Education</w:t>
      </w:r>
      <w:r>
        <w:rPr>
          <w:rFonts w:ascii="Garamond" w:hAnsi="Garamond"/>
          <w:lang w:val="en-US"/>
        </w:rPr>
        <w:t xml:space="preserve">, </w:t>
      </w:r>
      <w:r>
        <w:rPr>
          <w:rFonts w:ascii="Garamond" w:hAnsi="Garamond"/>
          <w:i/>
          <w:iCs/>
          <w:lang w:val="en-US"/>
        </w:rPr>
        <w:t>14</w:t>
      </w:r>
      <w:r>
        <w:rPr>
          <w:rFonts w:ascii="Garamond" w:hAnsi="Garamond"/>
          <w:lang w:val="en-US"/>
        </w:rPr>
        <w:t xml:space="preserve">(1). </w:t>
      </w:r>
      <w:hyperlink r:id="rId12" w:history="1">
        <w:r w:rsidR="000E62AE" w:rsidRPr="000E62AE">
          <w:rPr>
            <w:rStyle w:val="Hyperlink"/>
            <w:rFonts w:ascii="Garamond" w:hAnsi="Garamond"/>
            <w:color w:val="auto"/>
            <w:u w:val="none"/>
            <w:lang w:val="en-US"/>
          </w:rPr>
          <w:t>https://doi.org/10.29333/iejme/3997</w:t>
        </w:r>
      </w:hyperlink>
    </w:p>
    <w:p w14:paraId="3739C363" w14:textId="77777777" w:rsidR="005C702F" w:rsidRDefault="005C702F">
      <w:pPr>
        <w:pStyle w:val="NoSpacing"/>
        <w:ind w:left="720" w:hanging="720"/>
        <w:jc w:val="both"/>
        <w:rPr>
          <w:rFonts w:ascii="Garamond" w:hAnsi="Garamond"/>
        </w:rPr>
      </w:pPr>
    </w:p>
    <w:p w14:paraId="36EBAF4E" w14:textId="5581C9C8" w:rsidR="000E62AE" w:rsidRDefault="000E62AE">
      <w:pPr>
        <w:pStyle w:val="NoSpacing"/>
        <w:ind w:left="720" w:hanging="720"/>
        <w:jc w:val="both"/>
        <w:rPr>
          <w:rFonts w:ascii="Garamond" w:hAnsi="Garamond"/>
          <w:lang w:val="en-US"/>
        </w:rPr>
      </w:pPr>
      <w:proofErr w:type="spellStart"/>
      <w:r w:rsidRPr="000E62AE">
        <w:rPr>
          <w:rFonts w:ascii="Garamond" w:hAnsi="Garamond"/>
        </w:rPr>
        <w:t>Ogbu</w:t>
      </w:r>
      <w:proofErr w:type="spellEnd"/>
      <w:r w:rsidRPr="000E62AE">
        <w:rPr>
          <w:rFonts w:ascii="Garamond" w:hAnsi="Garamond"/>
        </w:rPr>
        <w:t xml:space="preserve">, S., &amp; </w:t>
      </w:r>
      <w:proofErr w:type="spellStart"/>
      <w:r w:rsidRPr="000E62AE">
        <w:rPr>
          <w:rFonts w:ascii="Garamond" w:hAnsi="Garamond"/>
        </w:rPr>
        <w:t>Ugwu</w:t>
      </w:r>
      <w:proofErr w:type="spellEnd"/>
      <w:r w:rsidRPr="000E62AE">
        <w:rPr>
          <w:rFonts w:ascii="Garamond" w:hAnsi="Garamond"/>
        </w:rPr>
        <w:t xml:space="preserve">, F. C. (2023). Development and validation of </w:t>
      </w:r>
      <w:r w:rsidR="005C702F">
        <w:rPr>
          <w:rFonts w:ascii="Garamond" w:hAnsi="Garamond"/>
        </w:rPr>
        <w:t xml:space="preserve">the </w:t>
      </w:r>
      <w:r w:rsidRPr="000E62AE">
        <w:rPr>
          <w:rFonts w:ascii="Garamond" w:hAnsi="Garamond"/>
        </w:rPr>
        <w:t>mathematics persistence scale for secondary school students. International Electronic Journal of Mathematics Education, 18(4), em0756. https://doi.org/10.29333/iejme/13742</w:t>
      </w:r>
    </w:p>
    <w:p w14:paraId="0B5DA2DA" w14:textId="77777777" w:rsidR="005C702F" w:rsidRDefault="005C702F">
      <w:pPr>
        <w:pStyle w:val="NoSpacing"/>
        <w:ind w:left="720" w:hanging="720"/>
        <w:jc w:val="both"/>
        <w:rPr>
          <w:rFonts w:ascii="Garamond" w:hAnsi="Garamond"/>
        </w:rPr>
      </w:pPr>
    </w:p>
    <w:p w14:paraId="2E94C848" w14:textId="3E3F91F9" w:rsidR="00A541D1" w:rsidRDefault="00254D4A">
      <w:pPr>
        <w:pStyle w:val="NoSpacing"/>
        <w:ind w:left="720" w:hanging="720"/>
        <w:jc w:val="both"/>
        <w:rPr>
          <w:rFonts w:ascii="Garamond" w:hAnsi="Garamond"/>
        </w:rPr>
      </w:pPr>
      <w:proofErr w:type="spellStart"/>
      <w:r>
        <w:rPr>
          <w:rFonts w:ascii="Garamond" w:hAnsi="Garamond"/>
        </w:rPr>
        <w:t>Rahmawati</w:t>
      </w:r>
      <w:proofErr w:type="spellEnd"/>
      <w:r>
        <w:rPr>
          <w:rFonts w:ascii="Garamond" w:hAnsi="Garamond"/>
        </w:rPr>
        <w:t xml:space="preserve">, H. H. S. &amp;. S. U. S. &amp;. A. M. &amp;. A. S. &amp;. E. Y. (2024). Correlational study of </w:t>
      </w:r>
      <w:r w:rsidR="005C702F">
        <w:rPr>
          <w:rFonts w:ascii="Garamond" w:hAnsi="Garamond"/>
        </w:rPr>
        <w:t xml:space="preserve">the </w:t>
      </w:r>
      <w:r>
        <w:rPr>
          <w:rFonts w:ascii="Garamond" w:hAnsi="Garamond"/>
        </w:rPr>
        <w:t xml:space="preserve">mathematical </w:t>
      </w:r>
      <w:r w:rsidR="005C702F">
        <w:rPr>
          <w:rFonts w:ascii="Garamond" w:hAnsi="Garamond"/>
        </w:rPr>
        <w:t>problem-solving</w:t>
      </w:r>
      <w:r>
        <w:rPr>
          <w:rFonts w:ascii="Garamond" w:hAnsi="Garamond"/>
        </w:rPr>
        <w:t xml:space="preserve"> ability of vocational high </w:t>
      </w:r>
      <w:r w:rsidR="005C702F">
        <w:rPr>
          <w:rFonts w:ascii="Garamond" w:hAnsi="Garamond"/>
        </w:rPr>
        <w:t xml:space="preserve">school </w:t>
      </w:r>
      <w:r>
        <w:rPr>
          <w:rFonts w:ascii="Garamond" w:hAnsi="Garamond"/>
        </w:rPr>
        <w:t xml:space="preserve">Students based on Self-Persistence. ideas.repec.org. </w:t>
      </w:r>
      <w:hyperlink r:id="rId13">
        <w:r w:rsidR="00A541D1">
          <w:rPr>
            <w:rFonts w:ascii="Garamond" w:hAnsi="Garamond"/>
          </w:rPr>
          <w:t>https://ideas.repec.org/a/bcp/journl/v8y2024i5p2382-2387.html</w:t>
        </w:r>
      </w:hyperlink>
    </w:p>
    <w:p w14:paraId="22B3C4A6" w14:textId="77777777" w:rsidR="005C702F" w:rsidRDefault="005C702F">
      <w:pPr>
        <w:pStyle w:val="NoSpacing"/>
        <w:ind w:left="720" w:hanging="720"/>
        <w:jc w:val="both"/>
        <w:rPr>
          <w:rFonts w:ascii="Garamond" w:hAnsi="Garamond"/>
        </w:rPr>
      </w:pPr>
    </w:p>
    <w:p w14:paraId="1CD443FB" w14:textId="223D3F58" w:rsidR="00A541D1" w:rsidRDefault="00254D4A">
      <w:pPr>
        <w:pStyle w:val="NoSpacing"/>
        <w:ind w:left="720" w:hanging="720"/>
        <w:jc w:val="both"/>
        <w:rPr>
          <w:rFonts w:ascii="Garamond" w:hAnsi="Garamond"/>
        </w:rPr>
      </w:pPr>
      <w:proofErr w:type="spellStart"/>
      <w:r>
        <w:rPr>
          <w:rFonts w:ascii="Garamond" w:hAnsi="Garamond"/>
        </w:rPr>
        <w:t>Sahin</w:t>
      </w:r>
      <w:proofErr w:type="spellEnd"/>
      <w:r>
        <w:rPr>
          <w:rFonts w:ascii="Garamond" w:hAnsi="Garamond"/>
        </w:rPr>
        <w:t xml:space="preserve">, S. M., &amp; </w:t>
      </w:r>
      <w:proofErr w:type="spellStart"/>
      <w:r>
        <w:rPr>
          <w:rFonts w:ascii="Garamond" w:hAnsi="Garamond"/>
        </w:rPr>
        <w:t>Kendir</w:t>
      </w:r>
      <w:proofErr w:type="spellEnd"/>
      <w:r>
        <w:rPr>
          <w:rFonts w:ascii="Garamond" w:hAnsi="Garamond"/>
        </w:rPr>
        <w:t>, F. (2013). Using metacognitive strategies</w:t>
      </w:r>
      <w:r>
        <w:rPr>
          <w:rFonts w:ascii="Garamond" w:hAnsi="Garamond"/>
          <w:lang w:val="en-US"/>
        </w:rPr>
        <w:t xml:space="preserve"> </w:t>
      </w:r>
      <w:r>
        <w:rPr>
          <w:rFonts w:ascii="Garamond" w:hAnsi="Garamond"/>
        </w:rPr>
        <w:t>to solve geometry problems on students’ achievement and attitude.</w:t>
      </w:r>
      <w:r>
        <w:rPr>
          <w:rFonts w:ascii="Garamond" w:hAnsi="Garamond"/>
          <w:lang w:val="en-US"/>
        </w:rPr>
        <w:t xml:space="preserve"> </w:t>
      </w:r>
      <w:r>
        <w:rPr>
          <w:rFonts w:ascii="Garamond" w:hAnsi="Garamond"/>
        </w:rPr>
        <w:t>Educational Research and R</w:t>
      </w:r>
      <w:r>
        <w:rPr>
          <w:rFonts w:ascii="Garamond" w:hAnsi="Garamond"/>
        </w:rPr>
        <w:t>eviews, 8(19), 1777-1792. Retrieve</w:t>
      </w:r>
      <w:r>
        <w:rPr>
          <w:rFonts w:ascii="Garamond" w:hAnsi="Garamond"/>
          <w:lang w:val="en-US"/>
        </w:rPr>
        <w:t xml:space="preserve"> </w:t>
      </w:r>
      <w:r>
        <w:rPr>
          <w:rFonts w:ascii="Garamond" w:hAnsi="Garamond"/>
        </w:rPr>
        <w:t>from https://academicjournals.org/article/article1382341949_Sahin%20and%20 Kendir.pdf</w:t>
      </w:r>
    </w:p>
    <w:p w14:paraId="40F19902" w14:textId="77777777" w:rsidR="005C702F" w:rsidRDefault="005C702F">
      <w:pPr>
        <w:pStyle w:val="NoSpacing"/>
        <w:ind w:left="720" w:hanging="720"/>
        <w:jc w:val="both"/>
        <w:rPr>
          <w:rFonts w:ascii="Garamond" w:hAnsi="Garamond"/>
        </w:rPr>
      </w:pPr>
    </w:p>
    <w:p w14:paraId="7F8FF339" w14:textId="658BD830" w:rsidR="000E62AE" w:rsidRDefault="000E62AE">
      <w:pPr>
        <w:pStyle w:val="NoSpacing"/>
        <w:ind w:left="720" w:hanging="720"/>
        <w:jc w:val="both"/>
        <w:rPr>
          <w:rFonts w:ascii="Garamond" w:hAnsi="Garamond"/>
        </w:rPr>
      </w:pPr>
      <w:r w:rsidRPr="000E62AE">
        <w:rPr>
          <w:rFonts w:ascii="Garamond" w:hAnsi="Garamond"/>
        </w:rPr>
        <w:t>Schraw, G. and Dennison, R. S. (1994). Assessing metacognitive awareness. Contemporary Educational Psychology, 19, 460-475.</w:t>
      </w:r>
    </w:p>
    <w:p w14:paraId="621CFEE9" w14:textId="77777777" w:rsidR="005C702F" w:rsidRDefault="005C702F">
      <w:pPr>
        <w:pStyle w:val="NoSpacing"/>
        <w:ind w:left="720" w:hanging="720"/>
        <w:jc w:val="both"/>
        <w:rPr>
          <w:rFonts w:ascii="Garamond" w:hAnsi="Garamond"/>
        </w:rPr>
      </w:pPr>
    </w:p>
    <w:p w14:paraId="0D469BA2" w14:textId="0F87A6F7" w:rsidR="00566F86" w:rsidRDefault="00566F86">
      <w:pPr>
        <w:pStyle w:val="NoSpacing"/>
        <w:ind w:left="720" w:hanging="720"/>
        <w:jc w:val="both"/>
        <w:rPr>
          <w:rFonts w:ascii="Garamond" w:hAnsi="Garamond"/>
        </w:rPr>
      </w:pPr>
      <w:r w:rsidRPr="00566F86">
        <w:rPr>
          <w:rFonts w:ascii="Garamond" w:hAnsi="Garamond"/>
        </w:rPr>
        <w:t xml:space="preserve">Shen, B., </w:t>
      </w:r>
      <w:proofErr w:type="spellStart"/>
      <w:r w:rsidRPr="00566F86">
        <w:rPr>
          <w:rFonts w:ascii="Garamond" w:hAnsi="Garamond"/>
        </w:rPr>
        <w:t>McCaughtry</w:t>
      </w:r>
      <w:proofErr w:type="spellEnd"/>
      <w:r w:rsidRPr="00566F86">
        <w:rPr>
          <w:rFonts w:ascii="Garamond" w:hAnsi="Garamond"/>
        </w:rPr>
        <w:t xml:space="preserve">, N., Martin, J., </w:t>
      </w:r>
      <w:proofErr w:type="spellStart"/>
      <w:r w:rsidRPr="00566F86">
        <w:rPr>
          <w:rFonts w:ascii="Garamond" w:hAnsi="Garamond"/>
        </w:rPr>
        <w:t>Garn</w:t>
      </w:r>
      <w:proofErr w:type="spellEnd"/>
      <w:r w:rsidRPr="00566F86">
        <w:rPr>
          <w:rFonts w:ascii="Garamond" w:hAnsi="Garamond"/>
        </w:rPr>
        <w:t>, A., Kulik, N., &amp; Fahlman, M. (2015). The relationship between teacher burnout and student motivation. British Journal of Educational Psychology, 85(4), 519-532.</w:t>
      </w:r>
    </w:p>
    <w:p w14:paraId="07E605AD" w14:textId="77777777" w:rsidR="005C702F" w:rsidRDefault="005C702F">
      <w:pPr>
        <w:pStyle w:val="NoSpacing"/>
        <w:ind w:left="720" w:hanging="720"/>
        <w:jc w:val="both"/>
        <w:rPr>
          <w:rFonts w:ascii="Garamond" w:hAnsi="Garamond"/>
          <w:lang w:val="en-US"/>
        </w:rPr>
      </w:pPr>
    </w:p>
    <w:p w14:paraId="1640B526" w14:textId="0D6C1ECB" w:rsidR="00A541D1" w:rsidRDefault="00254D4A">
      <w:pPr>
        <w:pStyle w:val="NoSpacing"/>
        <w:ind w:left="720" w:hanging="720"/>
        <w:jc w:val="both"/>
        <w:rPr>
          <w:rFonts w:ascii="Garamond" w:hAnsi="Garamond"/>
          <w:lang w:val="en-US"/>
        </w:rPr>
      </w:pPr>
      <w:proofErr w:type="spellStart"/>
      <w:r>
        <w:rPr>
          <w:rFonts w:ascii="Garamond" w:hAnsi="Garamond"/>
          <w:lang w:val="en-US"/>
        </w:rPr>
        <w:t>Sultanova</w:t>
      </w:r>
      <w:proofErr w:type="spellEnd"/>
      <w:r>
        <w:rPr>
          <w:rFonts w:ascii="Garamond" w:hAnsi="Garamond"/>
          <w:lang w:val="en-US"/>
        </w:rPr>
        <w:t xml:space="preserve">, G., </w:t>
      </w:r>
      <w:proofErr w:type="spellStart"/>
      <w:r>
        <w:rPr>
          <w:rFonts w:ascii="Garamond" w:hAnsi="Garamond"/>
          <w:lang w:val="en-US"/>
        </w:rPr>
        <w:t>Shilibekova</w:t>
      </w:r>
      <w:proofErr w:type="spellEnd"/>
      <w:r>
        <w:rPr>
          <w:rFonts w:ascii="Garamond" w:hAnsi="Garamond"/>
          <w:lang w:val="en-US"/>
        </w:rPr>
        <w:t xml:space="preserve">, A., </w:t>
      </w:r>
      <w:proofErr w:type="spellStart"/>
      <w:r>
        <w:rPr>
          <w:rFonts w:ascii="Garamond" w:hAnsi="Garamond"/>
          <w:lang w:val="en-US"/>
        </w:rPr>
        <w:t>Rakhymbayeva</w:t>
      </w:r>
      <w:proofErr w:type="spellEnd"/>
      <w:r>
        <w:rPr>
          <w:rFonts w:ascii="Garamond" w:hAnsi="Garamond"/>
          <w:lang w:val="en-US"/>
        </w:rPr>
        <w:t xml:space="preserve">, Z., </w:t>
      </w:r>
      <w:proofErr w:type="spellStart"/>
      <w:r>
        <w:rPr>
          <w:rFonts w:ascii="Garamond" w:hAnsi="Garamond"/>
          <w:lang w:val="en-US"/>
        </w:rPr>
        <w:t>Rakhimbek</w:t>
      </w:r>
      <w:r>
        <w:rPr>
          <w:rFonts w:ascii="Garamond" w:hAnsi="Garamond"/>
          <w:lang w:val="en-US"/>
        </w:rPr>
        <w:t>ova</w:t>
      </w:r>
      <w:proofErr w:type="spellEnd"/>
      <w:r>
        <w:rPr>
          <w:rFonts w:ascii="Garamond" w:hAnsi="Garamond"/>
          <w:lang w:val="en-US"/>
        </w:rPr>
        <w:t xml:space="preserve">, A., &amp; </w:t>
      </w:r>
      <w:proofErr w:type="spellStart"/>
      <w:r>
        <w:rPr>
          <w:rFonts w:ascii="Garamond" w:hAnsi="Garamond"/>
          <w:lang w:val="en-US"/>
        </w:rPr>
        <w:t>Shora</w:t>
      </w:r>
      <w:proofErr w:type="spellEnd"/>
      <w:r>
        <w:rPr>
          <w:rFonts w:ascii="Garamond" w:hAnsi="Garamond"/>
          <w:lang w:val="en-US"/>
        </w:rPr>
        <w:t xml:space="preserve">, N. (2024). Exploring the influence of non-cognitive skills on academic achievement in STEM education: the case of Kazakhstan. </w:t>
      </w:r>
      <w:r>
        <w:rPr>
          <w:rFonts w:ascii="Garamond" w:hAnsi="Garamond"/>
          <w:i/>
          <w:iCs/>
          <w:lang w:val="en-US"/>
        </w:rPr>
        <w:t>Frontiers in Education</w:t>
      </w:r>
      <w:r>
        <w:rPr>
          <w:rFonts w:ascii="Garamond" w:hAnsi="Garamond"/>
          <w:lang w:val="en-US"/>
        </w:rPr>
        <w:t xml:space="preserve">, </w:t>
      </w:r>
      <w:r>
        <w:rPr>
          <w:rFonts w:ascii="Garamond" w:hAnsi="Garamond"/>
          <w:i/>
          <w:iCs/>
          <w:lang w:val="en-US"/>
        </w:rPr>
        <w:t>9</w:t>
      </w:r>
      <w:r>
        <w:rPr>
          <w:rFonts w:ascii="Garamond" w:hAnsi="Garamond"/>
          <w:lang w:val="en-US"/>
        </w:rPr>
        <w:t>. https://doi.org/10.3389/feduc.2024.1339625</w:t>
      </w:r>
    </w:p>
    <w:p w14:paraId="4B7238CA" w14:textId="77777777" w:rsidR="00A541D1" w:rsidRDefault="00A541D1">
      <w:pPr>
        <w:jc w:val="both"/>
        <w:rPr>
          <w:rFonts w:ascii="Garamond" w:eastAsia="Garamond" w:hAnsi="Garamond" w:cs="Garamond"/>
          <w:b/>
          <w:sz w:val="22"/>
          <w:szCs w:val="22"/>
        </w:rPr>
      </w:pPr>
    </w:p>
    <w:sectPr w:rsidR="00A541D1">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AB70B" w14:textId="77777777" w:rsidR="00254D4A" w:rsidRDefault="00254D4A">
      <w:pPr>
        <w:spacing w:line="240" w:lineRule="auto"/>
      </w:pPr>
      <w:r>
        <w:separator/>
      </w:r>
    </w:p>
  </w:endnote>
  <w:endnote w:type="continuationSeparator" w:id="0">
    <w:p w14:paraId="778E9D72" w14:textId="77777777" w:rsidR="00254D4A" w:rsidRDefault="00254D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embedRegular r:id="rId1" w:fontKey="{C7E8CE9D-3B33-4548-BFD3-ACBD2A376D58}"/>
    <w:embedBold r:id="rId2" w:fontKey="{A7741C82-2A79-466A-9D67-CF5ECD88ED7B}"/>
    <w:embedItalic r:id="rId3" w:fontKey="{B7CA4850-5AA5-4873-B1D2-D0B0AB7986C4}"/>
  </w:font>
  <w:font w:name="Play">
    <w:altName w:val="Calibri"/>
    <w:charset w:val="00"/>
    <w:family w:val="auto"/>
    <w:pitch w:val="default"/>
  </w:font>
  <w:font w:name="Garamond">
    <w:panose1 w:val="02020404030301010803"/>
    <w:charset w:val="00"/>
    <w:family w:val="roman"/>
    <w:pitch w:val="variable"/>
    <w:sig w:usb0="00000287" w:usb1="00000000" w:usb2="00000000" w:usb3="00000000" w:csb0="0000009F" w:csb1="00000000"/>
    <w:embedRegular r:id="rId4" w:fontKey="{0CBC2A28-FF61-4F67-BCB5-F8EE42945F34}"/>
    <w:embedBold r:id="rId5" w:fontKey="{F99D0D1E-8829-4017-931B-94631CD9017A}"/>
    <w:embedItalic r:id="rId6" w:fontKey="{BD57A8A8-2DA1-4242-9143-B36983E92E00}"/>
    <w:embedBoldItalic r:id="rId7" w:fontKey="{AC57C305-3ADD-41B5-AF92-EAA12E141365}"/>
  </w:font>
  <w:font w:name="Calibri">
    <w:panose1 w:val="020F0502020204030204"/>
    <w:charset w:val="00"/>
    <w:family w:val="swiss"/>
    <w:pitch w:val="variable"/>
    <w:sig w:usb0="E4002EFF" w:usb1="C000247B" w:usb2="00000009" w:usb3="00000000" w:csb0="000001FF" w:csb1="00000000"/>
    <w:embedRegular r:id="rId8" w:fontKey="{4266E646-7DF7-49FF-9CE0-B64DC0D696AA}"/>
  </w:font>
  <w:font w:name="Cambria">
    <w:panose1 w:val="02040503050406030204"/>
    <w:charset w:val="00"/>
    <w:family w:val="roman"/>
    <w:pitch w:val="variable"/>
    <w:sig w:usb0="E00006FF" w:usb1="420024FF" w:usb2="02000000" w:usb3="00000000" w:csb0="0000019F" w:csb1="00000000"/>
    <w:embedRegular r:id="rId9" w:fontKey="{8A0428EA-4951-4FB9-B7C0-5B84F6111C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0DB2C" w14:textId="77777777" w:rsidR="00D75961" w:rsidRDefault="00D759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5E46D" w14:textId="77777777" w:rsidR="00D75961" w:rsidRDefault="00D759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2B7BD" w14:textId="77777777" w:rsidR="00D75961" w:rsidRDefault="00D759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967DA" w14:textId="77777777" w:rsidR="00254D4A" w:rsidRDefault="00254D4A">
      <w:pPr>
        <w:spacing w:after="0"/>
      </w:pPr>
      <w:r>
        <w:separator/>
      </w:r>
    </w:p>
  </w:footnote>
  <w:footnote w:type="continuationSeparator" w:id="0">
    <w:p w14:paraId="28836EA8" w14:textId="77777777" w:rsidR="00254D4A" w:rsidRDefault="00254D4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CEA20" w14:textId="6DC1E084" w:rsidR="00D75961" w:rsidRDefault="00D75961">
    <w:pPr>
      <w:pStyle w:val="Header"/>
    </w:pPr>
    <w:r>
      <w:rPr>
        <w:noProof/>
      </w:rPr>
      <w:pict w14:anchorId="77AAC7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99054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48F00" w14:textId="1C911AB0" w:rsidR="00D75961" w:rsidRDefault="00D75961">
    <w:pPr>
      <w:pStyle w:val="Header"/>
    </w:pPr>
    <w:r>
      <w:rPr>
        <w:noProof/>
      </w:rPr>
      <w:pict w14:anchorId="647CA3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99054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0EA60" w14:textId="781F49AB" w:rsidR="00D75961" w:rsidRDefault="00D75961">
    <w:pPr>
      <w:pStyle w:val="Header"/>
    </w:pPr>
    <w:r>
      <w:rPr>
        <w:noProof/>
      </w:rPr>
      <w:pict w14:anchorId="1B5DCA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99054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B1AA4"/>
    <w:multiLevelType w:val="multilevel"/>
    <w:tmpl w:val="1B6B1A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436F2FEF"/>
    <w:multiLevelType w:val="multilevel"/>
    <w:tmpl w:val="436F2FEF"/>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71773D5B"/>
    <w:multiLevelType w:val="multilevel"/>
    <w:tmpl w:val="71773D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204"/>
    <w:rsid w:val="000553F0"/>
    <w:rsid w:val="000C3ADC"/>
    <w:rsid w:val="000D55E4"/>
    <w:rsid w:val="000E62AE"/>
    <w:rsid w:val="00105495"/>
    <w:rsid w:val="001221A9"/>
    <w:rsid w:val="00152583"/>
    <w:rsid w:val="001656EC"/>
    <w:rsid w:val="0019334E"/>
    <w:rsid w:val="001E1BF5"/>
    <w:rsid w:val="001F6504"/>
    <w:rsid w:val="001F67F8"/>
    <w:rsid w:val="00254D4A"/>
    <w:rsid w:val="003215E0"/>
    <w:rsid w:val="0032715D"/>
    <w:rsid w:val="00330B8E"/>
    <w:rsid w:val="00333E93"/>
    <w:rsid w:val="00373593"/>
    <w:rsid w:val="003A5ACB"/>
    <w:rsid w:val="003C5581"/>
    <w:rsid w:val="00443A1D"/>
    <w:rsid w:val="00476453"/>
    <w:rsid w:val="00556886"/>
    <w:rsid w:val="00565B49"/>
    <w:rsid w:val="00566F86"/>
    <w:rsid w:val="005B1635"/>
    <w:rsid w:val="005B7B6D"/>
    <w:rsid w:val="005C702F"/>
    <w:rsid w:val="00631303"/>
    <w:rsid w:val="006E793F"/>
    <w:rsid w:val="00731833"/>
    <w:rsid w:val="007F228C"/>
    <w:rsid w:val="00803CF4"/>
    <w:rsid w:val="0085423A"/>
    <w:rsid w:val="008B1482"/>
    <w:rsid w:val="008F5AE7"/>
    <w:rsid w:val="00905B90"/>
    <w:rsid w:val="00930ED6"/>
    <w:rsid w:val="009778FD"/>
    <w:rsid w:val="00995742"/>
    <w:rsid w:val="009A12B2"/>
    <w:rsid w:val="009D71AE"/>
    <w:rsid w:val="009F6073"/>
    <w:rsid w:val="00A24273"/>
    <w:rsid w:val="00A47C00"/>
    <w:rsid w:val="00A50D81"/>
    <w:rsid w:val="00A541D1"/>
    <w:rsid w:val="00A636E3"/>
    <w:rsid w:val="00A778A8"/>
    <w:rsid w:val="00AB3FE2"/>
    <w:rsid w:val="00AD27DA"/>
    <w:rsid w:val="00AE7DE8"/>
    <w:rsid w:val="00B045FD"/>
    <w:rsid w:val="00B14FB4"/>
    <w:rsid w:val="00B92ECF"/>
    <w:rsid w:val="00B93204"/>
    <w:rsid w:val="00BB7BCF"/>
    <w:rsid w:val="00BF00F8"/>
    <w:rsid w:val="00C36A0B"/>
    <w:rsid w:val="00C420EE"/>
    <w:rsid w:val="00C426B9"/>
    <w:rsid w:val="00C93C8B"/>
    <w:rsid w:val="00C955FB"/>
    <w:rsid w:val="00D26870"/>
    <w:rsid w:val="00D26A05"/>
    <w:rsid w:val="00D30E4A"/>
    <w:rsid w:val="00D75961"/>
    <w:rsid w:val="00D878FD"/>
    <w:rsid w:val="00D94496"/>
    <w:rsid w:val="00DC2D2A"/>
    <w:rsid w:val="00E846BA"/>
    <w:rsid w:val="00EB3CED"/>
    <w:rsid w:val="00EE0367"/>
    <w:rsid w:val="00EF5F16"/>
    <w:rsid w:val="00F26DF3"/>
    <w:rsid w:val="00F40F0B"/>
    <w:rsid w:val="00F66BA8"/>
    <w:rsid w:val="00F71910"/>
    <w:rsid w:val="00FC187D"/>
    <w:rsid w:val="04943C7D"/>
    <w:rsid w:val="0CEB2686"/>
    <w:rsid w:val="11115D02"/>
    <w:rsid w:val="240C203D"/>
    <w:rsid w:val="24FA6DBF"/>
    <w:rsid w:val="2C7E7070"/>
    <w:rsid w:val="33405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619A6537"/>
  <w15:docId w15:val="{B340A6E3-F15B-412C-A774-690880ED4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PH"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rFonts w:ascii="Aptos" w:eastAsia="Aptos" w:hAnsi="Aptos" w:cs="Aptos"/>
      <w:sz w:val="24"/>
      <w:szCs w:val="24"/>
      <w:lang w:eastAsia="en-US"/>
    </w:rPr>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paragraph" w:styleId="Subtitle">
    <w:name w:val="Subtitle"/>
    <w:basedOn w:val="Normal"/>
    <w:next w:val="Normal"/>
    <w:uiPriority w:val="11"/>
    <w:qFormat/>
    <w:rPr>
      <w:color w:val="595959"/>
      <w:sz w:val="28"/>
      <w:szCs w:val="2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table" w:customStyle="1" w:styleId="Style11">
    <w:name w:val="_Style 11"/>
    <w:basedOn w:val="TableNormal"/>
    <w:tblPr>
      <w:tblCellMar>
        <w:left w:w="115" w:type="dxa"/>
        <w:right w:w="115" w:type="dxa"/>
      </w:tblCellMar>
    </w:tblPr>
  </w:style>
  <w:style w:type="table" w:customStyle="1" w:styleId="Style12">
    <w:name w:val="_Style 12"/>
    <w:basedOn w:val="TableNormal"/>
    <w:tblPr>
      <w:tblCellMar>
        <w:left w:w="115" w:type="dxa"/>
        <w:right w:w="115" w:type="dxa"/>
      </w:tblCellMar>
    </w:tblPr>
  </w:style>
  <w:style w:type="table" w:customStyle="1" w:styleId="Style13">
    <w:name w:val="_Style 13"/>
    <w:basedOn w:val="TableNormal"/>
    <w:tblPr>
      <w:tblCellMar>
        <w:left w:w="115" w:type="dxa"/>
        <w:right w:w="115" w:type="dxa"/>
      </w:tblCellMar>
    </w:tblPr>
  </w:style>
  <w:style w:type="table" w:customStyle="1" w:styleId="Style14">
    <w:name w:val="_Style 14"/>
    <w:basedOn w:val="TableNormal"/>
    <w:tblPr>
      <w:tblCellMar>
        <w:left w:w="115" w:type="dxa"/>
        <w:right w:w="115" w:type="dxa"/>
      </w:tblCellMar>
    </w:tblPr>
  </w:style>
  <w:style w:type="table" w:customStyle="1" w:styleId="Style15">
    <w:name w:val="_Style 15"/>
    <w:basedOn w:val="TableNormal"/>
    <w:tblPr>
      <w:tblCellMar>
        <w:left w:w="115" w:type="dxa"/>
        <w:right w:w="115" w:type="dxa"/>
      </w:tblCellMar>
    </w:tblPr>
  </w:style>
  <w:style w:type="table" w:customStyle="1" w:styleId="Style16">
    <w:name w:val="_Style 16"/>
    <w:basedOn w:val="TableNormal"/>
    <w:tblPr>
      <w:tblCellMar>
        <w:left w:w="115" w:type="dxa"/>
        <w:right w:w="115" w:type="dxa"/>
      </w:tblCellMar>
    </w:tbl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paragraph" w:styleId="NoSpacing">
    <w:name w:val="No Spacing"/>
    <w:uiPriority w:val="1"/>
    <w:qFormat/>
    <w:rPr>
      <w:rFonts w:ascii="Aptos" w:eastAsia="Aptos" w:hAnsi="Aptos" w:cs="Aptos"/>
      <w:sz w:val="24"/>
      <w:szCs w:val="24"/>
      <w:lang w:eastAsia="en-US"/>
    </w:rPr>
  </w:style>
  <w:style w:type="character" w:styleId="UnresolvedMention">
    <w:name w:val="Unresolved Mention"/>
    <w:basedOn w:val="DefaultParagraphFont"/>
    <w:uiPriority w:val="99"/>
    <w:semiHidden/>
    <w:unhideWhenUsed/>
    <w:rsid w:val="000E62AE"/>
    <w:rPr>
      <w:color w:val="605E5C"/>
      <w:shd w:val="clear" w:color="auto" w:fill="E1DFDD"/>
    </w:rPr>
  </w:style>
  <w:style w:type="paragraph" w:styleId="Header">
    <w:name w:val="header"/>
    <w:basedOn w:val="Normal"/>
    <w:link w:val="HeaderChar"/>
    <w:uiPriority w:val="99"/>
    <w:unhideWhenUsed/>
    <w:rsid w:val="00D759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961"/>
    <w:rPr>
      <w:rFonts w:ascii="Aptos" w:eastAsia="Aptos" w:hAnsi="Aptos" w:cs="Aptos"/>
      <w:sz w:val="24"/>
      <w:szCs w:val="24"/>
      <w:lang w:eastAsia="en-US"/>
    </w:rPr>
  </w:style>
  <w:style w:type="paragraph" w:styleId="Footer">
    <w:name w:val="footer"/>
    <w:basedOn w:val="Normal"/>
    <w:link w:val="FooterChar"/>
    <w:uiPriority w:val="99"/>
    <w:unhideWhenUsed/>
    <w:rsid w:val="00D759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961"/>
    <w:rPr>
      <w:rFonts w:ascii="Aptos" w:eastAsia="Aptos" w:hAnsi="Aptos" w:cs="Apto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421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29333/iejme/11835" TargetMode="External"/><Relationship Id="rId13" Type="http://schemas.openxmlformats.org/officeDocument/2006/relationships/hyperlink" Target="https://ideas.repec.org/a/bcp/journl/v8y2024i5p2382-2387.html"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29333/iejme/3997"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3887/jisd.v7i2.5509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oi.org/10.1088/1742-6596/1097/1/012107"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oi.org/10.1088/1742-6596/1097/1/012107"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2779</Words>
  <Characters>15846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11</cp:revision>
  <dcterms:created xsi:type="dcterms:W3CDTF">2025-06-02T00:58:00Z</dcterms:created>
  <dcterms:modified xsi:type="dcterms:W3CDTF">2025-06-02T11:32:00Z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76D3365D68DC4138B2C656A4812049D7_12</vt:lpwstr>
  </property>
  <property fmtid="{D5CDD505-2E9C-101B-9397-08002B2CF9AE}" pid="4" name="GrammarlyDocumentId">
    <vt:lpwstr>5ab3d556-8413-46d1-bc7d-51772dc984f0</vt:lpwstr>
  </property>
</Properties>
</file>