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6DAF" w14:textId="77777777" w:rsidR="00DC3272" w:rsidRDefault="00DC3272" w:rsidP="00686698">
      <w:pPr>
        <w:pStyle w:val="Author"/>
        <w:spacing w:line="240" w:lineRule="auto"/>
        <w:jc w:val="both"/>
        <w:rPr>
          <w:rFonts w:ascii="Tahoma" w:hAnsi="Tahoma" w:cs="Tahoma"/>
          <w:bCs/>
          <w:szCs w:val="24"/>
        </w:rPr>
      </w:pPr>
      <w:r w:rsidRPr="00DC3272">
        <w:rPr>
          <w:rFonts w:ascii="Tahoma" w:hAnsi="Tahoma" w:cs="Tahoma"/>
          <w:bCs/>
          <w:szCs w:val="24"/>
        </w:rPr>
        <w:t xml:space="preserve">Original Research Article </w:t>
      </w:r>
    </w:p>
    <w:p w14:paraId="2BC5AB91" w14:textId="77777777" w:rsidR="00DC3272" w:rsidRDefault="00DC3272" w:rsidP="00686698">
      <w:pPr>
        <w:pStyle w:val="Author"/>
        <w:spacing w:line="240" w:lineRule="auto"/>
        <w:jc w:val="both"/>
        <w:rPr>
          <w:rFonts w:ascii="Tahoma" w:hAnsi="Tahoma" w:cs="Tahoma"/>
          <w:bCs/>
          <w:szCs w:val="24"/>
        </w:rPr>
      </w:pPr>
    </w:p>
    <w:p w14:paraId="537E2A11" w14:textId="7DB1DF05" w:rsidR="00686698" w:rsidRDefault="00686698" w:rsidP="00686698">
      <w:pPr>
        <w:pStyle w:val="Author"/>
        <w:spacing w:line="240" w:lineRule="auto"/>
        <w:jc w:val="both"/>
        <w:rPr>
          <w:rFonts w:ascii="Tahoma" w:hAnsi="Tahoma" w:cs="Tahoma"/>
          <w:bCs/>
          <w:szCs w:val="24"/>
        </w:rPr>
      </w:pPr>
      <w:r w:rsidRPr="00686698">
        <w:rPr>
          <w:rFonts w:ascii="Tahoma" w:hAnsi="Tahoma" w:cs="Tahoma"/>
          <w:bCs/>
          <w:szCs w:val="24"/>
        </w:rPr>
        <w:t>LEARNING STYLES AND ACADEMIC PERFORMANCE OF ELEMENTARY PUPILS IN WILLIAM JOYCE SR. ELEMENTARY SCHOOL</w:t>
      </w:r>
    </w:p>
    <w:p w14:paraId="4BD62FF7" w14:textId="77777777" w:rsidR="00686698" w:rsidRDefault="00686698" w:rsidP="00686698">
      <w:pPr>
        <w:pStyle w:val="Author"/>
        <w:spacing w:line="240" w:lineRule="auto"/>
        <w:jc w:val="both"/>
        <w:rPr>
          <w:rFonts w:ascii="Tahoma" w:hAnsi="Tahoma" w:cs="Tahoma"/>
          <w:bCs/>
          <w:szCs w:val="24"/>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E267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2E469407" w14:textId="77777777" w:rsidR="001D09E9" w:rsidRPr="001D09E9" w:rsidRDefault="001D09E9" w:rsidP="001D09E9">
            <w:pPr>
              <w:ind w:firstLine="720"/>
              <w:jc w:val="both"/>
              <w:rPr>
                <w:rFonts w:ascii="Arial" w:hAnsi="Arial" w:cs="Arial"/>
              </w:rPr>
            </w:pPr>
            <w:r w:rsidRPr="001D09E9">
              <w:rPr>
                <w:rFonts w:ascii="Arial" w:hAnsi="Arial" w:cs="Arial"/>
              </w:rPr>
              <w:t xml:space="preserve">This descriptive-comparative study examined the relationship between learning style preferences and academic performance among intermediate pupils at William Joyce Sr. Elementary School. Employing stratified random sampling, 109 intermediate pupils participated in the study. Data were collected using an adapted questionnaire from </w:t>
            </w:r>
            <w:proofErr w:type="spellStart"/>
            <w:r w:rsidRPr="001D09E9">
              <w:rPr>
                <w:rFonts w:ascii="Arial" w:hAnsi="Arial" w:cs="Arial"/>
              </w:rPr>
              <w:t>Lapinig</w:t>
            </w:r>
            <w:proofErr w:type="spellEnd"/>
            <w:r w:rsidRPr="001D09E9">
              <w:rPr>
                <w:rFonts w:ascii="Arial" w:hAnsi="Arial" w:cs="Arial"/>
              </w:rPr>
              <w:t xml:space="preserve"> (2006) and DepEd Order No. 31, s. 2012 scale, then analyzed using mean, percentage, and ANOVA. The findings indicated that the visual learning style was the most preferred among the three learning style indicators. The intermediate pupils' academic performance had a grand mean of 80.95, categorized as "approaching proficiency". However, the study revealed no significant correlation between learning style preference and academic performance. Consequently, the null hypothesis was accepted, concluding that there was no significant difference in academic performance when pupils were grouped by their learning style preferences.</w:t>
            </w:r>
          </w:p>
          <w:p w14:paraId="4C08D8E1" w14:textId="6D74A0B8" w:rsidR="00505F06" w:rsidRPr="00842128" w:rsidRDefault="00505F06" w:rsidP="00EB7C71">
            <w:pPr>
              <w:ind w:firstLine="720"/>
              <w:jc w:val="both"/>
              <w:rPr>
                <w:rFonts w:ascii="Arial" w:hAnsi="Arial" w:cs="Arial"/>
              </w:rPr>
            </w:pPr>
          </w:p>
        </w:tc>
      </w:tr>
    </w:tbl>
    <w:p w14:paraId="67CF14F2" w14:textId="484FFE48"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EC5DBC">
        <w:rPr>
          <w:rFonts w:ascii="Arial" w:hAnsi="Arial" w:cs="Arial"/>
          <w:i/>
        </w:rPr>
        <w:t>Learning styles</w:t>
      </w:r>
      <w:r w:rsidR="00761917">
        <w:rPr>
          <w:rFonts w:ascii="Arial" w:hAnsi="Arial" w:cs="Arial"/>
          <w:i/>
        </w:rPr>
        <w:t xml:space="preserve">, </w:t>
      </w:r>
      <w:r w:rsidR="00EC5DBC">
        <w:rPr>
          <w:rFonts w:ascii="Arial" w:hAnsi="Arial" w:cs="Arial"/>
          <w:i/>
        </w:rPr>
        <w:t>Academic Performance</w:t>
      </w:r>
      <w:r w:rsidR="00761917">
        <w:rPr>
          <w:rFonts w:ascii="Arial" w:hAnsi="Arial" w:cs="Arial"/>
          <w:i/>
        </w:rPr>
        <w:t xml:space="preserve">, </w:t>
      </w:r>
      <w:r w:rsidR="00EC5DBC">
        <w:rPr>
          <w:rFonts w:ascii="Arial" w:hAnsi="Arial" w:cs="Arial"/>
          <w:i/>
        </w:rPr>
        <w:t>Elementary</w:t>
      </w:r>
      <w:r w:rsidR="00761917">
        <w:rPr>
          <w:rFonts w:ascii="Arial" w:hAnsi="Arial" w:cs="Arial"/>
          <w:i/>
        </w:rPr>
        <w:t xml:space="preserve"> Pupils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1E8C835D" w14:textId="0270C947" w:rsidR="006A7FA8" w:rsidRPr="006A7FA8" w:rsidRDefault="006A7FA8" w:rsidP="006A7FA8">
      <w:pPr>
        <w:ind w:firstLine="720"/>
        <w:jc w:val="both"/>
        <w:rPr>
          <w:rFonts w:ascii="Arial" w:eastAsia="Tahoma" w:hAnsi="Arial" w:cs="Arial"/>
        </w:rPr>
      </w:pPr>
      <w:r w:rsidRPr="006A7FA8">
        <w:rPr>
          <w:rFonts w:ascii="Arial" w:eastAsia="Tahoma" w:hAnsi="Arial" w:cs="Arial"/>
        </w:rPr>
        <w:t xml:space="preserve">Academic performance is a critical indicator of student success, influencing future educational and career opportunities. Effective academic performance is a multifaceted concept, requiring cognitive skills, motivation, effective study habits, and supportive learning environments. However, challenges such as poor student performance and lack of motivation are observed in schools, including William Joyce Sr. Elementary School in the Philippines. </w:t>
      </w:r>
      <w:r>
        <w:rPr>
          <w:rFonts w:ascii="Arial" w:eastAsia="Tahoma" w:hAnsi="Arial" w:cs="Arial"/>
        </w:rPr>
        <w:t xml:space="preserve">    </w:t>
      </w:r>
      <w:r w:rsidRPr="006A7FA8">
        <w:rPr>
          <w:rFonts w:ascii="Arial" w:eastAsia="Tahoma" w:hAnsi="Arial" w:cs="Arial"/>
        </w:rPr>
        <w:t>These issues create significant learning gaps that educators strive to bridge. Recognizing that students exhibit unique learning styles is crucial for enhancing teaching and learning strategies. This is particularly relevant in intermediate grades where students are introduced to more advanced skills and may have shorter attention spans if activities are not engaging. Therefore, this study aimed to determine if a significant difference exists in intermediate pupils’ academic performance when grouped by their preferred learning styles at William Joyce Sr. Elementary School. The research sought to identify learning style preferences (visual, auditory, kinesthetic), assess academic performance, and determine the significant difference between academic performance and learning style preferences. The findings are expected to benefit school heads, teachers, parents, pupils, and future researchers by providing insights into effective teaching strategies and interventions.</w:t>
      </w:r>
    </w:p>
    <w:p w14:paraId="3B2495E3" w14:textId="2F92672A" w:rsidR="00761917" w:rsidRPr="00761917" w:rsidRDefault="00761917" w:rsidP="00761917">
      <w:pPr>
        <w:ind w:firstLine="720"/>
        <w:jc w:val="both"/>
        <w:rPr>
          <w:rFonts w:ascii="Arial" w:eastAsia="Tahoma" w:hAnsi="Arial" w:cs="Arial"/>
        </w:rPr>
      </w:pPr>
    </w:p>
    <w:p w14:paraId="0597066D"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60288" behindDoc="1" locked="0" layoutInCell="1" allowOverlap="1" wp14:anchorId="47C30B6F" wp14:editId="209A6C54">
                <wp:simplePos x="0" y="0"/>
                <wp:positionH relativeFrom="margin">
                  <wp:align>center</wp:align>
                </wp:positionH>
                <wp:positionV relativeFrom="paragraph">
                  <wp:posOffset>2945765</wp:posOffset>
                </wp:positionV>
                <wp:extent cx="729614" cy="577850"/>
                <wp:effectExtent l="0" t="0" r="0" b="0"/>
                <wp:wrapNone/>
                <wp:docPr id="38732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78517CF3"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30B6F" id="Text Box 2" o:spid="_x0000_s1026" style="position:absolute;left:0;text-align:left;margin-left:0;margin-top:231.95pt;width:57.45pt;height:4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" stroked="f">
                <v:textbox>
                  <w:txbxContent>
                    <w:p w14:paraId="78517CF3" w14:textId="77777777" w:rsidR="00761917" w:rsidRDefault="00761917" w:rsidP="00761917"/>
                  </w:txbxContent>
                </v:textbox>
                <w10:wrap anchorx="margin"/>
              </v:rect>
            </w:pict>
          </mc:Fallback>
        </mc:AlternateContent>
      </w:r>
      <w:r w:rsidRPr="00761917">
        <w:rPr>
          <w:rFonts w:ascii="Arial" w:eastAsia="Tahoma" w:hAnsi="Arial" w:cs="Arial"/>
        </w:rPr>
        <w:t>In William Joyce Sr. Elementary School, it is highly noticed that intermediate pupils sincerely experience reading anxiety that blocks their reading comprehension, and it was found that almost half of the number of the intermediate pupils belong to the category of non-readers. According to the teachers/advisers of the intermediate levels, some pupils still struggle with reading comprehension. Based on their PHIL-IRI result as of 2024, 39% of the intermediate pupils are in the frustration level which indicates that they can read the passage, but they cannot understand it fully as well as they find some difficulties in answering given questions.</w:t>
      </w:r>
    </w:p>
    <w:p w14:paraId="0DDE38BA"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lastRenderedPageBreak/>
        <w:t>Thus, this study is conducted to determine the relationship between the reading anxiety and reading comprehension of the intermediate pupils in William Joyce Sr. Elementary School. By examining this relationship, the study seeks to provide insights that may influence reading comprehension level in this context.</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515FAEEA" w14:textId="77777777" w:rsidR="006A7FA8" w:rsidRPr="006A7FA8" w:rsidRDefault="006A7FA8" w:rsidP="006A7FA8">
      <w:pPr>
        <w:pBdr>
          <w:top w:val="nil"/>
          <w:left w:val="nil"/>
          <w:bottom w:val="nil"/>
          <w:right w:val="nil"/>
          <w:between w:val="nil"/>
        </w:pBdr>
        <w:ind w:firstLine="360"/>
        <w:jc w:val="both"/>
        <w:rPr>
          <w:rFonts w:ascii="Arial" w:eastAsia="Tahoma" w:hAnsi="Arial" w:cs="Arial"/>
          <w:color w:val="000000"/>
        </w:rPr>
      </w:pPr>
      <w:r w:rsidRPr="006A7FA8">
        <w:rPr>
          <w:rFonts w:ascii="Arial" w:eastAsia="Tahoma" w:hAnsi="Arial" w:cs="Arial"/>
          <w:color w:val="000000"/>
        </w:rPr>
        <w:t xml:space="preserve">This study aimed to determine the significant difference between elementary pupils’ academic performance when grouped according to pupils' preferred learning styles. </w:t>
      </w:r>
    </w:p>
    <w:p w14:paraId="374D942C"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Specifically, it answered the following objectives:</w:t>
      </w:r>
    </w:p>
    <w:p w14:paraId="363A2B56" w14:textId="27A23257"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1. </w:t>
      </w:r>
      <w:r w:rsidRPr="006C140D">
        <w:rPr>
          <w:rFonts w:ascii="Arial" w:eastAsia="Tahoma" w:hAnsi="Arial" w:cs="Arial"/>
          <w:color w:val="000000"/>
        </w:rPr>
        <w:t xml:space="preserve">Determine the </w:t>
      </w:r>
      <w:r w:rsidR="006A7FA8">
        <w:rPr>
          <w:rFonts w:ascii="Arial" w:eastAsia="Tahoma" w:hAnsi="Arial" w:cs="Arial"/>
          <w:color w:val="000000"/>
        </w:rPr>
        <w:t>learning style preference of the elementary pupils as to</w:t>
      </w:r>
      <w:r w:rsidRPr="006C140D">
        <w:rPr>
          <w:rFonts w:ascii="Arial" w:eastAsia="Tahoma" w:hAnsi="Arial" w:cs="Arial"/>
          <w:color w:val="000000"/>
        </w:rPr>
        <w:t>:</w:t>
      </w:r>
    </w:p>
    <w:p w14:paraId="709D436D" w14:textId="5282CD6B"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1.1 </w:t>
      </w:r>
      <w:r w:rsidR="006A7FA8">
        <w:rPr>
          <w:rFonts w:ascii="Arial" w:eastAsia="Tahoma" w:hAnsi="Arial" w:cs="Arial"/>
          <w:color w:val="000000"/>
        </w:rPr>
        <w:t>Visual</w:t>
      </w:r>
      <w:r w:rsidRPr="006C140D">
        <w:rPr>
          <w:rFonts w:ascii="Arial" w:eastAsia="Tahoma" w:hAnsi="Arial" w:cs="Arial"/>
          <w:color w:val="000000"/>
        </w:rPr>
        <w:t xml:space="preserve">; </w:t>
      </w:r>
    </w:p>
    <w:p w14:paraId="5C30ADD9" w14:textId="71646780"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1.2 </w:t>
      </w:r>
      <w:r w:rsidR="006A7FA8">
        <w:rPr>
          <w:rFonts w:ascii="Arial" w:eastAsia="Tahoma" w:hAnsi="Arial" w:cs="Arial"/>
          <w:color w:val="000000"/>
        </w:rPr>
        <w:t>Auditory</w:t>
      </w:r>
      <w:r w:rsidRPr="006C140D">
        <w:rPr>
          <w:rFonts w:ascii="Arial" w:eastAsia="Tahoma" w:hAnsi="Arial" w:cs="Arial"/>
          <w:color w:val="000000"/>
        </w:rPr>
        <w:t>; and</w:t>
      </w:r>
    </w:p>
    <w:p w14:paraId="528A4468" w14:textId="2BEB6548" w:rsidR="006C140D" w:rsidRPr="006C140D" w:rsidRDefault="006C140D" w:rsidP="006C140D">
      <w:pPr>
        <w:pBdr>
          <w:top w:val="nil"/>
          <w:left w:val="nil"/>
          <w:bottom w:val="nil"/>
          <w:right w:val="nil"/>
          <w:between w:val="nil"/>
        </w:pBdr>
        <w:ind w:left="630"/>
        <w:jc w:val="both"/>
        <w:rPr>
          <w:rFonts w:ascii="Arial" w:eastAsia="Tahoma" w:hAnsi="Arial"/>
          <w:color w:val="000000"/>
        </w:rPr>
      </w:pPr>
      <w:r>
        <w:rPr>
          <w:rFonts w:ascii="Arial" w:eastAsia="Tahoma" w:hAnsi="Arial"/>
          <w:color w:val="000000"/>
        </w:rPr>
        <w:t xml:space="preserve">  1.3 </w:t>
      </w:r>
      <w:r w:rsidR="006A7FA8">
        <w:rPr>
          <w:rFonts w:ascii="Arial" w:eastAsia="Tahoma" w:hAnsi="Arial"/>
          <w:color w:val="000000"/>
        </w:rPr>
        <w:t>Kinesthetic</w:t>
      </w:r>
      <w:r w:rsidRPr="006C140D">
        <w:rPr>
          <w:rFonts w:ascii="Arial" w:eastAsia="Tahoma" w:hAnsi="Arial"/>
          <w:color w:val="000000"/>
        </w:rPr>
        <w:t xml:space="preserve"> </w:t>
      </w:r>
    </w:p>
    <w:p w14:paraId="1D6F3D2C" w14:textId="05A12F0C"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2. </w:t>
      </w:r>
      <w:r w:rsidRPr="006C140D">
        <w:rPr>
          <w:rFonts w:ascii="Arial" w:eastAsia="Tahoma" w:hAnsi="Arial" w:cs="Arial"/>
          <w:color w:val="000000"/>
        </w:rPr>
        <w:t xml:space="preserve">Determine the level of </w:t>
      </w:r>
      <w:r w:rsidR="002971BE">
        <w:rPr>
          <w:rFonts w:ascii="Arial" w:eastAsia="Tahoma" w:hAnsi="Arial" w:cs="Arial"/>
          <w:color w:val="000000"/>
        </w:rPr>
        <w:t>academic performance intermediate pupils</w:t>
      </w:r>
      <w:r w:rsidRPr="006C140D">
        <w:rPr>
          <w:rFonts w:ascii="Arial" w:eastAsia="Tahoma" w:hAnsi="Arial" w:cs="Arial"/>
          <w:color w:val="000000"/>
        </w:rPr>
        <w:t>; and</w:t>
      </w:r>
    </w:p>
    <w:p w14:paraId="4F8A9055" w14:textId="64978A98" w:rsidR="006C140D" w:rsidRPr="006C140D" w:rsidRDefault="006C140D" w:rsidP="006C140D">
      <w:pPr>
        <w:pBdr>
          <w:top w:val="nil"/>
          <w:left w:val="nil"/>
          <w:bottom w:val="nil"/>
          <w:right w:val="nil"/>
          <w:between w:val="nil"/>
        </w:pBdr>
        <w:jc w:val="both"/>
        <w:rPr>
          <w:rFonts w:ascii="Arial" w:eastAsia="Tahoma" w:hAnsi="Arial"/>
          <w:color w:val="000000"/>
        </w:rPr>
      </w:pPr>
      <w:r>
        <w:rPr>
          <w:rFonts w:ascii="Arial" w:eastAsia="Tahoma" w:hAnsi="Arial"/>
          <w:color w:val="000000"/>
        </w:rPr>
        <w:t>3.</w:t>
      </w:r>
      <w:r w:rsidRPr="006C140D">
        <w:rPr>
          <w:rFonts w:ascii="Arial" w:eastAsia="Tahoma" w:hAnsi="Arial"/>
          <w:color w:val="000000"/>
        </w:rPr>
        <w:t xml:space="preserve">Determine the </w:t>
      </w:r>
      <w:r w:rsidR="002971BE">
        <w:rPr>
          <w:rFonts w:ascii="Arial" w:eastAsia="Tahoma" w:hAnsi="Arial"/>
          <w:color w:val="000000"/>
        </w:rPr>
        <w:t>significant difference between elementary pupils’ academic performance when grouped according to their learning style</w:t>
      </w:r>
      <w:r w:rsidR="00A27007">
        <w:rPr>
          <w:rFonts w:ascii="Arial" w:eastAsia="Tahoma" w:hAnsi="Arial"/>
          <w:color w:val="000000"/>
        </w:rPr>
        <w:t xml:space="preserve"> preference.</w:t>
      </w:r>
    </w:p>
    <w:p w14:paraId="0C632829" w14:textId="647BCCD9" w:rsidR="00C946E9" w:rsidRPr="00705486" w:rsidRDefault="00C946E9" w:rsidP="006C140D">
      <w:pPr>
        <w:pBdr>
          <w:top w:val="nil"/>
          <w:left w:val="nil"/>
          <w:bottom w:val="nil"/>
          <w:right w:val="nil"/>
          <w:between w:val="nil"/>
        </w:pBdr>
        <w:ind w:left="720"/>
        <w:jc w:val="both"/>
        <w:rPr>
          <w:rFonts w:ascii="Arial" w:eastAsia="Tahoma" w:hAnsi="Arial" w:cs="Arial"/>
          <w:color w:val="000000"/>
        </w:rPr>
      </w:pPr>
      <w:r w:rsidRPr="00705486">
        <w:rPr>
          <w:rFonts w:ascii="Arial" w:eastAsia="Tahoma" w:hAnsi="Arial" w:cs="Arial"/>
          <w:color w:val="000000"/>
        </w:rPr>
        <w:t>.</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7130FA11" w14:textId="679B242C" w:rsidR="00C946E9" w:rsidRPr="00705486" w:rsidRDefault="00A27007" w:rsidP="00C946E9">
      <w:pPr>
        <w:ind w:firstLine="720"/>
        <w:jc w:val="both"/>
        <w:rPr>
          <w:rFonts w:ascii="Arial" w:eastAsia="Tahoma" w:hAnsi="Arial" w:cs="Arial"/>
        </w:rPr>
      </w:pPr>
      <w:r w:rsidRPr="00A27007">
        <w:rPr>
          <w:rFonts w:ascii="Arial" w:eastAsia="Tahoma" w:hAnsi="Arial" w:cs="Arial"/>
        </w:rPr>
        <w:t>This study utilized a descriptive-comparative research design to examine intermediate pupils at William Joyce Sr. Elementary School. The descriptive component aimed to identify their preferred learning styles and academic performance. Meanwhile, the comparative aspect sought to determine if there were significant differences in academic performance based on these learning style preferences. The goal was to understand the relationship between how students learn and how they perform academically.</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5097D9DD" w14:textId="1B93B67D" w:rsidR="00212E2A" w:rsidRPr="00212E2A" w:rsidRDefault="00A27007" w:rsidP="00212E2A">
      <w:pPr>
        <w:ind w:firstLine="720"/>
        <w:jc w:val="both"/>
        <w:rPr>
          <w:rFonts w:ascii="Arial" w:eastAsia="Tahoma" w:hAnsi="Arial" w:cs="Arial"/>
        </w:rPr>
      </w:pPr>
      <w:r w:rsidRPr="00A27007">
        <w:rPr>
          <w:rFonts w:ascii="Arial" w:eastAsia="Tahoma" w:hAnsi="Arial" w:cs="Arial"/>
        </w:rPr>
        <w:t xml:space="preserve">In this study, the researchers used an adapted questionnaire from </w:t>
      </w:r>
      <w:proofErr w:type="spellStart"/>
      <w:r w:rsidRPr="00A27007">
        <w:rPr>
          <w:rFonts w:ascii="Arial" w:eastAsia="Tahoma" w:hAnsi="Arial" w:cs="Arial"/>
        </w:rPr>
        <w:t>Lapinig</w:t>
      </w:r>
      <w:proofErr w:type="spellEnd"/>
      <w:r w:rsidRPr="00A27007">
        <w:rPr>
          <w:rFonts w:ascii="Arial" w:eastAsia="Tahoma" w:hAnsi="Arial" w:cs="Arial"/>
        </w:rPr>
        <w:t xml:space="preserve"> (2006) for the learning style which composed of four sections. The first section contains the respondent’s details, the second section contains the question for visual with eight (8) statements the third section contains the question for auditory with eight (8) statements and the fourth section contains the question for kinesthetic with eight (8) statement, with a total of 24 questions. The respondents have three options to choose from, strongly agree (3), agree (2), and sometimes (1)</w:t>
      </w:r>
      <w:r w:rsidR="00212E2A" w:rsidRPr="00212E2A">
        <w:rPr>
          <w:rFonts w:ascii="Arial" w:eastAsia="Tahoma" w:hAnsi="Arial" w:cs="Arial"/>
        </w:rPr>
        <w:t>.</w:t>
      </w:r>
    </w:p>
    <w:p w14:paraId="3B3AAE03" w14:textId="498C7B68" w:rsidR="00C946E9" w:rsidRPr="00705486" w:rsidRDefault="004B352A" w:rsidP="00C946E9">
      <w:pPr>
        <w:ind w:firstLine="720"/>
        <w:jc w:val="both"/>
        <w:rPr>
          <w:rFonts w:ascii="Arial" w:eastAsia="Tahoma" w:hAnsi="Arial" w:cs="Arial"/>
        </w:rPr>
      </w:pPr>
      <w:r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1322A90" w14:textId="77777777" w:rsidR="00A27007" w:rsidRPr="00A27007" w:rsidRDefault="00A27007" w:rsidP="00A27007">
      <w:pPr>
        <w:pStyle w:val="NoSpacing1"/>
        <w:ind w:firstLine="720"/>
        <w:rPr>
          <w:rFonts w:ascii="Arial" w:eastAsia="Tahoma" w:hAnsi="Arial"/>
          <w:sz w:val="20"/>
          <w:szCs w:val="20"/>
        </w:rPr>
      </w:pPr>
      <w:r w:rsidRPr="00A27007">
        <w:rPr>
          <w:rFonts w:ascii="Arial" w:eastAsia="Tahoma" w:hAnsi="Arial"/>
          <w:sz w:val="20"/>
          <w:szCs w:val="20"/>
        </w:rPr>
        <w:t xml:space="preserve">The respondents of the study were 109 intermediate pupils at William Joyce Sr. Elementary School, Don Marcelino District, for the school year 2023-2024. The researchers chose Grades 4, 5, and 6 because the students were move </w:t>
      </w:r>
      <w:proofErr w:type="gramStart"/>
      <w:r w:rsidRPr="00A27007">
        <w:rPr>
          <w:rFonts w:ascii="Arial" w:eastAsia="Tahoma" w:hAnsi="Arial"/>
          <w:sz w:val="20"/>
          <w:szCs w:val="20"/>
        </w:rPr>
        <w:t>out  of</w:t>
      </w:r>
      <w:proofErr w:type="gramEnd"/>
      <w:r w:rsidRPr="00A27007">
        <w:rPr>
          <w:rFonts w:ascii="Arial" w:eastAsia="Tahoma" w:hAnsi="Arial"/>
          <w:sz w:val="20"/>
          <w:szCs w:val="20"/>
        </w:rPr>
        <w:t xml:space="preserve"> their respective grade levels and need academic preparation to assess their readiness for advancement to the next level. To ensure that the respondents were suitable for the study, the following inclusion the students must have preferred learning styles and must have their grades for the first grading period criteria were considered the respondents must be pupils at William Joyce Sr. Elementary School.</w:t>
      </w:r>
    </w:p>
    <w:p w14:paraId="2E4849C4" w14:textId="77777777" w:rsidR="00A27007" w:rsidRPr="00A27007" w:rsidRDefault="00A27007" w:rsidP="00A27007">
      <w:pPr>
        <w:pStyle w:val="NoSpacing1"/>
        <w:rPr>
          <w:rFonts w:ascii="Arial" w:eastAsia="Tahoma" w:hAnsi="Arial"/>
        </w:rPr>
      </w:pP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105AD743"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Table 1. </w:t>
      </w:r>
      <w:r w:rsidR="00872086" w:rsidRPr="00872086">
        <w:rPr>
          <w:rFonts w:ascii="Arial" w:eastAsia="SimSun" w:hAnsi="Arial"/>
          <w:sz w:val="20"/>
          <w:szCs w:val="20"/>
          <w:shd w:val="clear" w:color="auto" w:fill="FFFFFF"/>
        </w:rPr>
        <w:t>Distribution of several intermediate pupils in William Joyce Sr. Elementary School, Don Marcelino District School Year 2023-2024.</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299696E3" w:rsidR="00C946E9" w:rsidRPr="00705486" w:rsidRDefault="00C946E9" w:rsidP="008171B8">
            <w:pPr>
              <w:jc w:val="both"/>
              <w:rPr>
                <w:rFonts w:ascii="Arial" w:eastAsia="Tahoma" w:hAnsi="Arial" w:cs="Arial"/>
                <w:b/>
              </w:rPr>
            </w:pPr>
            <w:r w:rsidRPr="00705486">
              <w:rPr>
                <w:rFonts w:ascii="Arial" w:eastAsia="Tahoma" w:hAnsi="Arial" w:cs="Arial"/>
                <w:b/>
              </w:rPr>
              <w:t>Year Level</w:t>
            </w:r>
            <w:r w:rsidR="00872086">
              <w:rPr>
                <w:rFonts w:ascii="Arial" w:eastAsia="Tahoma" w:hAnsi="Arial" w:cs="Arial"/>
                <w:b/>
              </w:rPr>
              <w:t>/Section</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112739D7" w:rsidR="00C946E9" w:rsidRPr="00705486" w:rsidRDefault="00C946E9" w:rsidP="008171B8">
            <w:pPr>
              <w:jc w:val="center"/>
              <w:rPr>
                <w:rFonts w:ascii="Arial" w:eastAsia="Tahoma" w:hAnsi="Arial" w:cs="Arial"/>
                <w:b/>
              </w:rPr>
            </w:pPr>
          </w:p>
        </w:tc>
      </w:tr>
      <w:tr w:rsidR="00C946E9" w:rsidRPr="00705486" w14:paraId="46E74A15" w14:textId="77777777" w:rsidTr="00404391">
        <w:trPr>
          <w:trHeight w:val="251"/>
        </w:trPr>
        <w:tc>
          <w:tcPr>
            <w:tcW w:w="2088" w:type="dxa"/>
            <w:tcBorders>
              <w:top w:val="single" w:sz="4" w:space="0" w:color="000000"/>
            </w:tcBorders>
          </w:tcPr>
          <w:p w14:paraId="7DE49D1A"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4</w:t>
            </w:r>
            <w:r w:rsidR="00872086">
              <w:rPr>
                <w:rFonts w:ascii="Arial" w:eastAsia="Tahoma" w:hAnsi="Arial" w:cs="Arial"/>
              </w:rPr>
              <w:t xml:space="preserve"> Escoda</w:t>
            </w:r>
          </w:p>
          <w:p w14:paraId="4CEF7FF4" w14:textId="0C2A07DD" w:rsidR="00D4607C" w:rsidRPr="00705486" w:rsidRDefault="00D4607C" w:rsidP="008171B8">
            <w:pPr>
              <w:jc w:val="both"/>
              <w:rPr>
                <w:rFonts w:ascii="Arial" w:eastAsia="Tahoma" w:hAnsi="Arial" w:cs="Arial"/>
                <w:b/>
              </w:rPr>
            </w:pPr>
            <w:r>
              <w:rPr>
                <w:rFonts w:ascii="Arial" w:eastAsia="Tahoma" w:hAnsi="Arial" w:cs="Arial"/>
              </w:rPr>
              <w:t xml:space="preserve">GRADE 4 </w:t>
            </w:r>
            <w:proofErr w:type="spellStart"/>
            <w:r>
              <w:rPr>
                <w:rFonts w:ascii="Arial" w:eastAsia="Tahoma" w:hAnsi="Arial" w:cs="Arial"/>
              </w:rPr>
              <w:t>Lapu-lapu</w:t>
            </w:r>
            <w:proofErr w:type="spellEnd"/>
          </w:p>
        </w:tc>
        <w:tc>
          <w:tcPr>
            <w:tcW w:w="1833" w:type="dxa"/>
            <w:tcBorders>
              <w:top w:val="single" w:sz="4" w:space="0" w:color="000000"/>
            </w:tcBorders>
          </w:tcPr>
          <w:p w14:paraId="4A4E7AEA" w14:textId="1D460517" w:rsidR="00C946E9" w:rsidRDefault="00214142" w:rsidP="008171B8">
            <w:pPr>
              <w:jc w:val="center"/>
              <w:rPr>
                <w:rFonts w:ascii="Arial" w:eastAsia="Tahoma" w:hAnsi="Arial" w:cs="Arial"/>
                <w:bCs/>
              </w:rPr>
            </w:pPr>
            <w:r>
              <w:rPr>
                <w:rFonts w:ascii="Arial" w:eastAsia="Tahoma" w:hAnsi="Arial" w:cs="Arial"/>
                <w:bCs/>
              </w:rPr>
              <w:t>2</w:t>
            </w:r>
            <w:r w:rsidR="00872086">
              <w:rPr>
                <w:rFonts w:ascii="Arial" w:eastAsia="Tahoma" w:hAnsi="Arial" w:cs="Arial"/>
                <w:bCs/>
              </w:rPr>
              <w:t>8</w:t>
            </w:r>
          </w:p>
          <w:p w14:paraId="1B0C9A72" w14:textId="16588E58" w:rsidR="00214142" w:rsidRPr="00705486" w:rsidRDefault="00D4607C" w:rsidP="008171B8">
            <w:pPr>
              <w:jc w:val="center"/>
              <w:rPr>
                <w:rFonts w:ascii="Arial" w:eastAsia="Tahoma" w:hAnsi="Arial" w:cs="Arial"/>
                <w:bCs/>
              </w:rPr>
            </w:pPr>
            <w:r>
              <w:rPr>
                <w:rFonts w:ascii="Arial" w:eastAsia="Tahoma" w:hAnsi="Arial" w:cs="Arial"/>
                <w:bCs/>
              </w:rPr>
              <w:t>31</w:t>
            </w:r>
          </w:p>
        </w:tc>
        <w:tc>
          <w:tcPr>
            <w:tcW w:w="1961" w:type="dxa"/>
            <w:tcBorders>
              <w:top w:val="single" w:sz="4" w:space="0" w:color="000000"/>
            </w:tcBorders>
          </w:tcPr>
          <w:p w14:paraId="0D3D3D0A" w14:textId="3DE57E8B" w:rsidR="00C946E9" w:rsidRDefault="00214142" w:rsidP="008171B8">
            <w:pPr>
              <w:jc w:val="center"/>
              <w:rPr>
                <w:rFonts w:ascii="Arial" w:eastAsia="Tahoma" w:hAnsi="Arial" w:cs="Arial"/>
                <w:bCs/>
              </w:rPr>
            </w:pPr>
            <w:r>
              <w:rPr>
                <w:rFonts w:ascii="Arial" w:eastAsia="Tahoma" w:hAnsi="Arial" w:cs="Arial"/>
                <w:bCs/>
              </w:rPr>
              <w:t>2</w:t>
            </w:r>
            <w:r w:rsidR="00872086">
              <w:rPr>
                <w:rFonts w:ascii="Arial" w:eastAsia="Tahoma" w:hAnsi="Arial" w:cs="Arial"/>
                <w:bCs/>
              </w:rPr>
              <w:t>0</w:t>
            </w:r>
          </w:p>
          <w:p w14:paraId="4D8DC2FB" w14:textId="292A80DF" w:rsidR="00214142" w:rsidRPr="00705486"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3</w:t>
            </w:r>
          </w:p>
        </w:tc>
        <w:tc>
          <w:tcPr>
            <w:tcW w:w="1961" w:type="dxa"/>
            <w:tcBorders>
              <w:top w:val="single" w:sz="4" w:space="0" w:color="000000"/>
            </w:tcBorders>
          </w:tcPr>
          <w:p w14:paraId="527E0088" w14:textId="28E2A980" w:rsidR="00212E2A" w:rsidRPr="00705486" w:rsidRDefault="00212E2A" w:rsidP="00214142">
            <w:pPr>
              <w:jc w:val="center"/>
              <w:rPr>
                <w:rFonts w:ascii="Arial" w:eastAsia="Tahoma" w:hAnsi="Arial" w:cs="Arial"/>
                <w:bCs/>
              </w:rPr>
            </w:pPr>
          </w:p>
        </w:tc>
      </w:tr>
      <w:tr w:rsidR="00C946E9" w:rsidRPr="00705486" w14:paraId="13DF918C" w14:textId="77777777" w:rsidTr="00404391">
        <w:trPr>
          <w:trHeight w:val="189"/>
        </w:trPr>
        <w:tc>
          <w:tcPr>
            <w:tcW w:w="2088" w:type="dxa"/>
          </w:tcPr>
          <w:p w14:paraId="08EEB607"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5</w:t>
            </w:r>
            <w:r w:rsidR="00D4607C">
              <w:rPr>
                <w:rFonts w:ascii="Arial" w:eastAsia="Tahoma" w:hAnsi="Arial" w:cs="Arial"/>
              </w:rPr>
              <w:t xml:space="preserve"> Jacinto</w:t>
            </w:r>
          </w:p>
          <w:p w14:paraId="3211D7F4" w14:textId="1631B79E" w:rsidR="00D4607C" w:rsidRPr="00705486" w:rsidRDefault="00D4607C" w:rsidP="008171B8">
            <w:pPr>
              <w:jc w:val="both"/>
              <w:rPr>
                <w:rFonts w:ascii="Arial" w:eastAsia="Tahoma" w:hAnsi="Arial" w:cs="Arial"/>
                <w:b/>
              </w:rPr>
            </w:pPr>
            <w:r>
              <w:rPr>
                <w:rFonts w:ascii="Arial" w:eastAsia="Tahoma" w:hAnsi="Arial" w:cs="Arial"/>
              </w:rPr>
              <w:t>GRADE 5 Aquino</w:t>
            </w:r>
          </w:p>
        </w:tc>
        <w:tc>
          <w:tcPr>
            <w:tcW w:w="1833" w:type="dxa"/>
          </w:tcPr>
          <w:p w14:paraId="7ECA496B" w14:textId="2013B617" w:rsidR="00C946E9"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1</w:t>
            </w:r>
          </w:p>
          <w:p w14:paraId="71967AB0" w14:textId="07DA3146" w:rsidR="00214142" w:rsidRPr="00705486"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5</w:t>
            </w:r>
          </w:p>
        </w:tc>
        <w:tc>
          <w:tcPr>
            <w:tcW w:w="1961" w:type="dxa"/>
          </w:tcPr>
          <w:p w14:paraId="0BA799E4" w14:textId="5FE0EBB3" w:rsidR="00C946E9"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5</w:t>
            </w:r>
          </w:p>
          <w:p w14:paraId="34EDA3FB" w14:textId="1030FCCA" w:rsidR="00214142" w:rsidRPr="00705486"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8</w:t>
            </w:r>
          </w:p>
        </w:tc>
        <w:tc>
          <w:tcPr>
            <w:tcW w:w="1961" w:type="dxa"/>
          </w:tcPr>
          <w:p w14:paraId="1BB89958" w14:textId="1A8D566A" w:rsidR="00212E2A" w:rsidRPr="00705486" w:rsidRDefault="00212E2A" w:rsidP="00214142">
            <w:pPr>
              <w:jc w:val="center"/>
              <w:rPr>
                <w:rFonts w:ascii="Arial" w:eastAsia="Tahoma" w:hAnsi="Arial" w:cs="Arial"/>
                <w:bCs/>
              </w:rPr>
            </w:pPr>
          </w:p>
        </w:tc>
      </w:tr>
      <w:tr w:rsidR="00C946E9" w:rsidRPr="00705486" w14:paraId="7072347F" w14:textId="77777777" w:rsidTr="00404391">
        <w:trPr>
          <w:trHeight w:val="234"/>
        </w:trPr>
        <w:tc>
          <w:tcPr>
            <w:tcW w:w="2088" w:type="dxa"/>
            <w:tcBorders>
              <w:bottom w:val="nil"/>
            </w:tcBorders>
          </w:tcPr>
          <w:p w14:paraId="4AEE5850"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6</w:t>
            </w:r>
            <w:r w:rsidR="00D4607C">
              <w:rPr>
                <w:rFonts w:ascii="Arial" w:eastAsia="Tahoma" w:hAnsi="Arial" w:cs="Arial"/>
              </w:rPr>
              <w:t xml:space="preserve"> Aguinaldo</w:t>
            </w:r>
          </w:p>
          <w:p w14:paraId="02DF73C4" w14:textId="644AE6F3" w:rsidR="00D4607C" w:rsidRPr="00705486" w:rsidRDefault="00D4607C" w:rsidP="008171B8">
            <w:pPr>
              <w:jc w:val="both"/>
              <w:rPr>
                <w:rFonts w:ascii="Arial" w:eastAsia="Tahoma" w:hAnsi="Arial" w:cs="Arial"/>
                <w:b/>
              </w:rPr>
            </w:pPr>
            <w:r>
              <w:rPr>
                <w:rFonts w:ascii="Arial" w:eastAsia="Tahoma" w:hAnsi="Arial" w:cs="Arial"/>
              </w:rPr>
              <w:t>GRADE 6 Del Pilar</w:t>
            </w:r>
          </w:p>
        </w:tc>
        <w:tc>
          <w:tcPr>
            <w:tcW w:w="1833" w:type="dxa"/>
            <w:tcBorders>
              <w:bottom w:val="nil"/>
            </w:tcBorders>
          </w:tcPr>
          <w:p w14:paraId="3C006319" w14:textId="11DDAB62" w:rsidR="00C946E9"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2</w:t>
            </w:r>
          </w:p>
          <w:p w14:paraId="5168D9C1" w14:textId="4EE141C8" w:rsidR="00214142" w:rsidRPr="00705486" w:rsidRDefault="00D4607C" w:rsidP="008171B8">
            <w:pPr>
              <w:jc w:val="center"/>
              <w:rPr>
                <w:rFonts w:ascii="Arial" w:eastAsia="Tahoma" w:hAnsi="Arial" w:cs="Arial"/>
                <w:bCs/>
              </w:rPr>
            </w:pPr>
            <w:r>
              <w:rPr>
                <w:rFonts w:ascii="Arial" w:eastAsia="Tahoma" w:hAnsi="Arial" w:cs="Arial"/>
                <w:bCs/>
              </w:rPr>
              <w:t>23</w:t>
            </w:r>
          </w:p>
        </w:tc>
        <w:tc>
          <w:tcPr>
            <w:tcW w:w="1961" w:type="dxa"/>
            <w:tcBorders>
              <w:bottom w:val="nil"/>
            </w:tcBorders>
          </w:tcPr>
          <w:p w14:paraId="462A2F4D" w14:textId="483E4818" w:rsidR="00C946E9"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6</w:t>
            </w:r>
          </w:p>
          <w:p w14:paraId="3E7699C2" w14:textId="09457388"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66F56D62" w14:textId="3B38DBDA" w:rsidR="00214142" w:rsidRPr="00705486" w:rsidRDefault="00214142" w:rsidP="008171B8">
            <w:pPr>
              <w:jc w:val="center"/>
              <w:rPr>
                <w:rFonts w:ascii="Arial" w:eastAsia="Tahoma" w:hAnsi="Arial" w:cs="Arial"/>
                <w:bCs/>
              </w:rPr>
            </w:pP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5E37B7F9" w:rsidR="00C946E9" w:rsidRPr="00705486" w:rsidRDefault="00C946E9" w:rsidP="008171B8">
            <w:pPr>
              <w:jc w:val="both"/>
              <w:rPr>
                <w:rFonts w:ascii="Arial" w:eastAsia="Tahoma" w:hAnsi="Arial" w:cs="Arial"/>
              </w:rPr>
            </w:pPr>
          </w:p>
        </w:tc>
        <w:tc>
          <w:tcPr>
            <w:tcW w:w="1833" w:type="dxa"/>
            <w:tcBorders>
              <w:top w:val="nil"/>
              <w:left w:val="nil"/>
              <w:bottom w:val="single" w:sz="4" w:space="0" w:color="auto"/>
              <w:right w:val="nil"/>
            </w:tcBorders>
          </w:tcPr>
          <w:p w14:paraId="1A77B453" w14:textId="09DC29AE"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7D4D908B" w14:textId="6DF923B8"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23AF0DC6" w14:textId="2FA1D1C4" w:rsidR="00C946E9" w:rsidRPr="00705486" w:rsidRDefault="00C946E9" w:rsidP="008171B8">
            <w:pPr>
              <w:jc w:val="center"/>
              <w:rPr>
                <w:rFonts w:ascii="Arial" w:eastAsia="Tahoma" w:hAnsi="Arial" w:cs="Arial"/>
                <w:bCs/>
              </w:rPr>
            </w:pP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6E829B01" w:rsidR="00C946E9" w:rsidRPr="00705486" w:rsidRDefault="002334BE" w:rsidP="008171B8">
            <w:pPr>
              <w:jc w:val="center"/>
              <w:rPr>
                <w:rFonts w:ascii="Arial" w:eastAsia="Tahoma" w:hAnsi="Arial" w:cs="Arial"/>
                <w:bCs/>
              </w:rPr>
            </w:pPr>
            <w:r>
              <w:rPr>
                <w:rFonts w:ascii="Arial" w:eastAsia="Tahoma" w:hAnsi="Arial" w:cs="Arial"/>
                <w:bCs/>
              </w:rPr>
              <w:t>150</w:t>
            </w:r>
          </w:p>
        </w:tc>
        <w:tc>
          <w:tcPr>
            <w:tcW w:w="1961" w:type="dxa"/>
            <w:tcBorders>
              <w:top w:val="single" w:sz="4" w:space="0" w:color="auto"/>
              <w:bottom w:val="thickThinSmallGap" w:sz="24" w:space="0" w:color="auto"/>
            </w:tcBorders>
          </w:tcPr>
          <w:p w14:paraId="09002B21" w14:textId="7697140C" w:rsidR="00C946E9" w:rsidRPr="00705486" w:rsidRDefault="00C946E9" w:rsidP="008171B8">
            <w:pPr>
              <w:jc w:val="center"/>
              <w:rPr>
                <w:rFonts w:ascii="Arial" w:eastAsia="Tahoma" w:hAnsi="Arial" w:cs="Arial"/>
                <w:bCs/>
              </w:rPr>
            </w:pPr>
            <w:r w:rsidRPr="00705486">
              <w:rPr>
                <w:rFonts w:ascii="Arial" w:eastAsia="Tahoma" w:hAnsi="Arial" w:cs="Arial"/>
                <w:bCs/>
              </w:rPr>
              <w:t>1</w:t>
            </w:r>
            <w:r w:rsidR="002334BE">
              <w:rPr>
                <w:rFonts w:ascii="Arial" w:eastAsia="Tahoma" w:hAnsi="Arial" w:cs="Arial"/>
                <w:bCs/>
              </w:rPr>
              <w:t>09</w:t>
            </w:r>
          </w:p>
        </w:tc>
        <w:tc>
          <w:tcPr>
            <w:tcW w:w="1961" w:type="dxa"/>
            <w:tcBorders>
              <w:top w:val="single" w:sz="4" w:space="0" w:color="auto"/>
              <w:bottom w:val="thickThinSmallGap" w:sz="24" w:space="0" w:color="auto"/>
            </w:tcBorders>
          </w:tcPr>
          <w:p w14:paraId="668340DE" w14:textId="20913D5B" w:rsidR="00C946E9" w:rsidRPr="00705486" w:rsidRDefault="00C946E9" w:rsidP="008171B8">
            <w:pPr>
              <w:jc w:val="center"/>
              <w:rPr>
                <w:rFonts w:ascii="Arial" w:eastAsia="Tahoma" w:hAnsi="Arial" w:cs="Arial"/>
                <w:bCs/>
              </w:rPr>
            </w:pP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3FB3627D" w14:textId="1C8864C2" w:rsidR="00404391" w:rsidRDefault="00BB370F" w:rsidP="00404391">
      <w:pPr>
        <w:pStyle w:val="AbstHead"/>
        <w:spacing w:after="0"/>
        <w:ind w:firstLine="720"/>
        <w:jc w:val="both"/>
        <w:rPr>
          <w:rFonts w:ascii="Arial" w:eastAsia="Tahoma" w:hAnsi="Arial" w:cs="Arial"/>
          <w:b w:val="0"/>
          <w:caps w:val="0"/>
          <w:sz w:val="20"/>
        </w:rPr>
      </w:pPr>
      <w:r w:rsidRPr="00BB370F">
        <w:rPr>
          <w:rFonts w:ascii="Arial" w:eastAsia="Tahoma" w:hAnsi="Arial" w:cs="Arial"/>
          <w:b w:val="0"/>
          <w:caps w:val="0"/>
          <w:sz w:val="20"/>
        </w:rPr>
        <w:t>The researcher underwent the following process: first, the researchers wrote a letter to the dean of the Institute of Teacher Education and Information Technology (ITEIT) to seek permission to conduct this research. Upon approval, the researchers sought the permission from the school principal and the Grades 4, 5, and 6 advisers of William Joyce Sr. Elementary School. Second, with the approval of the school principal, the researchers personally administered the questionnaire to the Grade 4, Grade 5, And Grade 6 pupils in WJSES.  Also, a letter of request for grades which served as the basis for their academic performance was sent to the office of the principal, upon approval the learners’ grades for the first grading were gathered. The responses of the respondents were checked by the researchers. Third, the researcher gathered and tabulated the data answers of the respondents, the data gathered were tabulated, coded, analyzed, and interpreted.</w:t>
      </w:r>
    </w:p>
    <w:p w14:paraId="58AFCCB7" w14:textId="77777777" w:rsidR="00BB370F" w:rsidRPr="00705486" w:rsidRDefault="00BB370F"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7CEFD934" w14:textId="6D5439FE" w:rsidR="002334BE" w:rsidRPr="002334BE" w:rsidRDefault="009D3FF7" w:rsidP="002334BE">
      <w:pPr>
        <w:pStyle w:val="NoSpacing1"/>
        <w:jc w:val="center"/>
        <w:rPr>
          <w:rFonts w:ascii="Arial" w:eastAsia="SimSun" w:hAnsi="Arial"/>
          <w:b/>
          <w:bCs/>
          <w:shd w:val="clear" w:color="auto" w:fill="FFFFFF"/>
        </w:rPr>
      </w:pPr>
      <w:r>
        <w:rPr>
          <w:rFonts w:ascii="Arial" w:eastAsia="SimSun" w:hAnsi="Arial"/>
          <w:b/>
          <w:bCs/>
          <w:shd w:val="clear" w:color="auto" w:fill="FFFFFF"/>
        </w:rPr>
        <w:t>Learning Style Preference</w:t>
      </w:r>
    </w:p>
    <w:p w14:paraId="6777C988" w14:textId="77777777" w:rsidR="00797D8A" w:rsidRPr="00705486" w:rsidRDefault="00797D8A" w:rsidP="002334BE">
      <w:pPr>
        <w:pStyle w:val="NoSpacing1"/>
        <w:rPr>
          <w:rFonts w:ascii="Arial" w:eastAsia="SimSun" w:hAnsi="Arial"/>
          <w:b/>
          <w:bCs/>
          <w:sz w:val="20"/>
          <w:szCs w:val="20"/>
          <w:shd w:val="clear" w:color="auto" w:fill="FFFFFF"/>
        </w:rPr>
      </w:pPr>
    </w:p>
    <w:p w14:paraId="00CF5918" w14:textId="3A319211"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study presented in Table 2 examines the learning style preferences—visual, auditory, and kinesthetic—among primary and intermediate students at William Joyce Sr. Elementary School. Findings revealed that the </w:t>
      </w:r>
      <w:r w:rsidRPr="009D3FF7">
        <w:rPr>
          <w:rFonts w:ascii="Arial" w:eastAsia="Tahoma" w:hAnsi="Arial" w:cs="Arial"/>
          <w:b/>
          <w:bCs/>
        </w:rPr>
        <w:t>visual learning style</w:t>
      </w:r>
      <w:r w:rsidRPr="009D3FF7">
        <w:rPr>
          <w:rFonts w:ascii="Arial" w:eastAsia="Tahoma" w:hAnsi="Arial" w:cs="Arial"/>
        </w:rPr>
        <w:t xml:space="preserve"> is the most preferred, with a frequency of 48 (44.04%). This suggests that a majority of students benefit from using study materials like charts, maps, notes, and videos. Supporting this, </w:t>
      </w:r>
      <w:r w:rsidRPr="009D3FF7">
        <w:rPr>
          <w:rFonts w:ascii="Arial" w:eastAsia="Tahoma" w:hAnsi="Arial" w:cs="Arial"/>
          <w:b/>
          <w:bCs/>
        </w:rPr>
        <w:t>Felder and Silverman (1988)</w:t>
      </w:r>
      <w:r w:rsidRPr="009D3FF7">
        <w:rPr>
          <w:rFonts w:ascii="Arial" w:eastAsia="Tahoma" w:hAnsi="Arial" w:cs="Arial"/>
        </w:rPr>
        <w:t xml:space="preserve"> emphasized that visual tools enhance learning by promoting better understanding and retention. </w:t>
      </w:r>
      <w:proofErr w:type="spellStart"/>
      <w:r w:rsidRPr="009D3FF7">
        <w:rPr>
          <w:rFonts w:ascii="Arial" w:eastAsia="Tahoma" w:hAnsi="Arial" w:cs="Arial"/>
          <w:b/>
          <w:bCs/>
        </w:rPr>
        <w:t>Pashler</w:t>
      </w:r>
      <w:proofErr w:type="spellEnd"/>
      <w:r w:rsidRPr="009D3FF7">
        <w:rPr>
          <w:rFonts w:ascii="Arial" w:eastAsia="Tahoma" w:hAnsi="Arial" w:cs="Arial"/>
          <w:b/>
          <w:bCs/>
        </w:rPr>
        <w:t xml:space="preserve"> et al. (2008)</w:t>
      </w:r>
      <w:r w:rsidRPr="009D3FF7">
        <w:rPr>
          <w:rFonts w:ascii="Arial" w:eastAsia="Tahoma" w:hAnsi="Arial" w:cs="Arial"/>
        </w:rPr>
        <w:t xml:space="preserve"> also noted that visual learners excel when information is presented through visual formats such as diagrams and videos. However, </w:t>
      </w:r>
      <w:r w:rsidRPr="009D3FF7">
        <w:rPr>
          <w:rFonts w:ascii="Arial" w:eastAsia="Tahoma" w:hAnsi="Arial" w:cs="Arial"/>
          <w:b/>
          <w:bCs/>
        </w:rPr>
        <w:t>Coffield et al. (2004)</w:t>
      </w:r>
      <w:r w:rsidRPr="009D3FF7">
        <w:rPr>
          <w:rFonts w:ascii="Arial" w:eastAsia="Tahoma" w:hAnsi="Arial" w:cs="Arial"/>
        </w:rPr>
        <w:t xml:space="preserve"> caution that while preferences exist, teaching to a specific style doesn't necessarily improve academic performance, advocating instead for a multimodal approach. For visual learners, strategies like using symbols, colors, and visualizing information in one's mind can boost memory and comprehension. They also tend to favor reading over listening and remember written content better.</w:t>
      </w:r>
      <w:r w:rsidR="00CD7D4A">
        <w:rPr>
          <w:rFonts w:ascii="Arial" w:eastAsia="Tahoma" w:hAnsi="Arial" w:cs="Arial"/>
        </w:rPr>
        <w:t xml:space="preserve"> Additionally, culture is also vital in this sense, </w:t>
      </w:r>
      <w:r w:rsidR="00921EA3">
        <w:rPr>
          <w:rFonts w:ascii="Arial" w:eastAsia="Tahoma" w:hAnsi="Arial" w:cs="Arial"/>
        </w:rPr>
        <w:t>(</w:t>
      </w:r>
      <w:r w:rsidR="00CD7D4A">
        <w:rPr>
          <w:rFonts w:ascii="Arial" w:eastAsia="Tahoma" w:hAnsi="Arial" w:cs="Arial"/>
        </w:rPr>
        <w:t>Franca, et.al.,2024).</w:t>
      </w:r>
    </w:p>
    <w:p w14:paraId="2D99B01B" w14:textId="77777777"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w:t>
      </w:r>
      <w:r w:rsidRPr="009D3FF7">
        <w:rPr>
          <w:rFonts w:ascii="Arial" w:eastAsia="Tahoma" w:hAnsi="Arial" w:cs="Arial"/>
          <w:b/>
          <w:bCs/>
        </w:rPr>
        <w:t>auditory learning style</w:t>
      </w:r>
      <w:r w:rsidRPr="009D3FF7">
        <w:rPr>
          <w:rFonts w:ascii="Arial" w:eastAsia="Tahoma" w:hAnsi="Arial" w:cs="Arial"/>
        </w:rPr>
        <w:t xml:space="preserve"> ranked second, with 40 students (36.70%) favoring it. These learners often use audio materials, like lecture recordings or converted notes, and benefit from listening and frequent review. </w:t>
      </w:r>
      <w:r w:rsidRPr="009D3FF7">
        <w:rPr>
          <w:rFonts w:ascii="Arial" w:eastAsia="Tahoma" w:hAnsi="Arial" w:cs="Arial"/>
          <w:b/>
          <w:bCs/>
        </w:rPr>
        <w:t>Clark and Mayer (2021)</w:t>
      </w:r>
      <w:r w:rsidRPr="009D3FF7">
        <w:rPr>
          <w:rFonts w:ascii="Arial" w:eastAsia="Tahoma" w:hAnsi="Arial" w:cs="Arial"/>
        </w:rPr>
        <w:t xml:space="preserve"> highlight the value of auditory learning in multimedia settings, noting its usefulness when combined with other instructional methods. Similarly, </w:t>
      </w:r>
      <w:r w:rsidRPr="009D3FF7">
        <w:rPr>
          <w:rFonts w:ascii="Arial" w:eastAsia="Tahoma" w:hAnsi="Arial" w:cs="Arial"/>
          <w:b/>
          <w:bCs/>
        </w:rPr>
        <w:t>Anderson et al. (2022)</w:t>
      </w:r>
      <w:r w:rsidRPr="009D3FF7">
        <w:rPr>
          <w:rFonts w:ascii="Arial" w:eastAsia="Tahoma" w:hAnsi="Arial" w:cs="Arial"/>
        </w:rPr>
        <w:t xml:space="preserve"> found that auditory tools, such as </w:t>
      </w:r>
      <w:r w:rsidRPr="009D3FF7">
        <w:rPr>
          <w:rFonts w:ascii="Arial" w:eastAsia="Tahoma" w:hAnsi="Arial" w:cs="Arial"/>
        </w:rPr>
        <w:lastRenderedPageBreak/>
        <w:t xml:space="preserve">podcasts, improve understanding of complex subjects. However, </w:t>
      </w:r>
      <w:r w:rsidRPr="009D3FF7">
        <w:rPr>
          <w:rFonts w:ascii="Arial" w:eastAsia="Tahoma" w:hAnsi="Arial" w:cs="Arial"/>
          <w:b/>
          <w:bCs/>
        </w:rPr>
        <w:t>Fleming et al. (2020)</w:t>
      </w:r>
      <w:r w:rsidRPr="009D3FF7">
        <w:rPr>
          <w:rFonts w:ascii="Arial" w:eastAsia="Tahoma" w:hAnsi="Arial" w:cs="Arial"/>
        </w:rPr>
        <w:t xml:space="preserve"> and </w:t>
      </w:r>
      <w:r w:rsidRPr="009D3FF7">
        <w:rPr>
          <w:rFonts w:ascii="Arial" w:eastAsia="Tahoma" w:hAnsi="Arial" w:cs="Arial"/>
          <w:b/>
          <w:bCs/>
        </w:rPr>
        <w:t>Riener and Willingham (2023)</w:t>
      </w:r>
      <w:r w:rsidRPr="009D3FF7">
        <w:rPr>
          <w:rFonts w:ascii="Arial" w:eastAsia="Tahoma" w:hAnsi="Arial" w:cs="Arial"/>
        </w:rPr>
        <w:t xml:space="preserve"> argue that relying solely on auditory methods is less effective than using a variety of strategies. Despite this, a significant portion of students still prefers learning through listening, suggesting that educators should include verbal instruction and audio materials in teaching practices.</w:t>
      </w:r>
    </w:p>
    <w:p w14:paraId="7C05D319" w14:textId="77777777"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w:t>
      </w:r>
      <w:r w:rsidRPr="009D3FF7">
        <w:rPr>
          <w:rFonts w:ascii="Arial" w:eastAsia="Tahoma" w:hAnsi="Arial" w:cs="Arial"/>
          <w:b/>
          <w:bCs/>
        </w:rPr>
        <w:t>kinesthetic learning style</w:t>
      </w:r>
      <w:r w:rsidRPr="009D3FF7">
        <w:rPr>
          <w:rFonts w:ascii="Arial" w:eastAsia="Tahoma" w:hAnsi="Arial" w:cs="Arial"/>
        </w:rPr>
        <w:t xml:space="preserve"> was the least preferred, with 21 students (19.27%) indicating this as their primary mode. Kinesthetic learners benefit from hands-on activities such as tracing, writing, role-playing, and associating lessons with real-world applications. </w:t>
      </w:r>
      <w:r w:rsidRPr="009D3FF7">
        <w:rPr>
          <w:rFonts w:ascii="Arial" w:eastAsia="Tahoma" w:hAnsi="Arial" w:cs="Arial"/>
          <w:b/>
          <w:bCs/>
        </w:rPr>
        <w:t>Sanders and Bridges (2021)</w:t>
      </w:r>
      <w:r w:rsidRPr="009D3FF7">
        <w:rPr>
          <w:rFonts w:ascii="Arial" w:eastAsia="Tahoma" w:hAnsi="Arial" w:cs="Arial"/>
        </w:rPr>
        <w:t xml:space="preserve"> and </w:t>
      </w:r>
      <w:r w:rsidRPr="009D3FF7">
        <w:rPr>
          <w:rFonts w:ascii="Arial" w:eastAsia="Tahoma" w:hAnsi="Arial" w:cs="Arial"/>
          <w:b/>
          <w:bCs/>
        </w:rPr>
        <w:t>Rios and Vázquez (2022)</w:t>
      </w:r>
      <w:r w:rsidRPr="009D3FF7">
        <w:rPr>
          <w:rFonts w:ascii="Arial" w:eastAsia="Tahoma" w:hAnsi="Arial" w:cs="Arial"/>
        </w:rPr>
        <w:t xml:space="preserve"> both advocate for including kinesthetic strategies, especially for learners in vocational or applied subjects. Nevertheless, critics such as </w:t>
      </w:r>
      <w:r w:rsidRPr="009D3FF7">
        <w:rPr>
          <w:rFonts w:ascii="Arial" w:eastAsia="Tahoma" w:hAnsi="Arial" w:cs="Arial"/>
          <w:b/>
          <w:bCs/>
        </w:rPr>
        <w:t>Johnson and Thompson (2020)</w:t>
      </w:r>
      <w:r w:rsidRPr="009D3FF7">
        <w:rPr>
          <w:rFonts w:ascii="Arial" w:eastAsia="Tahoma" w:hAnsi="Arial" w:cs="Arial"/>
        </w:rPr>
        <w:t xml:space="preserve"> and </w:t>
      </w:r>
      <w:r w:rsidRPr="009D3FF7">
        <w:rPr>
          <w:rFonts w:ascii="Arial" w:eastAsia="Tahoma" w:hAnsi="Arial" w:cs="Arial"/>
          <w:b/>
          <w:bCs/>
        </w:rPr>
        <w:t>Miller et al. (2023)</w:t>
      </w:r>
      <w:r w:rsidRPr="009D3FF7">
        <w:rPr>
          <w:rFonts w:ascii="Arial" w:eastAsia="Tahoma" w:hAnsi="Arial" w:cs="Arial"/>
        </w:rPr>
        <w:t xml:space="preserve"> argue that kinesthetic learning has limited impact in traditional academic settings. </w:t>
      </w:r>
      <w:r w:rsidRPr="009D3FF7">
        <w:rPr>
          <w:rFonts w:ascii="Arial" w:eastAsia="Tahoma" w:hAnsi="Arial" w:cs="Arial"/>
          <w:b/>
          <w:bCs/>
        </w:rPr>
        <w:t>Sauro (2022)</w:t>
      </w:r>
      <w:r w:rsidRPr="009D3FF7">
        <w:rPr>
          <w:rFonts w:ascii="Arial" w:eastAsia="Tahoma" w:hAnsi="Arial" w:cs="Arial"/>
        </w:rPr>
        <w:t xml:space="preserve"> also found that a preference for kinesthetic learning does not necessarily lead to better academic outcomes. These findings suggest that while kinesthetic learning is effective for some, it is best used as part of a broader, integrated instructional approach.</w:t>
      </w:r>
    </w:p>
    <w:p w14:paraId="068062E1" w14:textId="050228F8"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Overall, the study underscores the need for </w:t>
      </w:r>
      <w:r w:rsidRPr="009D3FF7">
        <w:rPr>
          <w:rFonts w:ascii="Arial" w:eastAsia="Tahoma" w:hAnsi="Arial" w:cs="Arial"/>
          <w:b/>
          <w:bCs/>
        </w:rPr>
        <w:t>diverse teaching strategies</w:t>
      </w:r>
      <w:r w:rsidRPr="009D3FF7">
        <w:rPr>
          <w:rFonts w:ascii="Arial" w:eastAsia="Tahoma" w:hAnsi="Arial" w:cs="Arial"/>
        </w:rPr>
        <w:t xml:space="preserve"> that incorporate all three learning styles to accommodate the varied preferences and needs of students, rather than relying solely on a single method.</w:t>
      </w:r>
      <w:r>
        <w:rPr>
          <w:rFonts w:ascii="Arial" w:eastAsia="Tahoma" w:hAnsi="Arial" w:cs="Arial"/>
        </w:rPr>
        <w:t xml:space="preserve"> Hence, management in learning is crucial, (Franca, 2019).</w:t>
      </w:r>
    </w:p>
    <w:p w14:paraId="5BC25D35" w14:textId="40E3005E" w:rsidR="0028244A" w:rsidRPr="00705486" w:rsidRDefault="0028244A" w:rsidP="0028244A">
      <w:pPr>
        <w:ind w:firstLine="720"/>
        <w:jc w:val="both"/>
        <w:rPr>
          <w:rFonts w:ascii="Arial" w:eastAsia="Tahoma" w:hAnsi="Arial" w:cs="Arial"/>
        </w:rPr>
      </w:pPr>
    </w:p>
    <w:p w14:paraId="0D2D2708"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 xml:space="preserve">Table 2. </w:t>
      </w:r>
      <w:r w:rsidRPr="00921EA3">
        <w:rPr>
          <w:rFonts w:ascii="Arial" w:eastAsia="SimSun" w:hAnsi="Arial" w:cs="Arial"/>
          <w:bCs/>
          <w:sz w:val="16"/>
          <w:szCs w:val="16"/>
          <w:shd w:val="clear" w:color="auto" w:fill="FFFFFF"/>
        </w:rPr>
        <w:t xml:space="preserve">Learning Style Preference of Elementary Pupils </w:t>
      </w:r>
    </w:p>
    <w:tbl>
      <w:tblPr>
        <w:tblW w:w="7830" w:type="dxa"/>
        <w:jc w:val="center"/>
        <w:tblBorders>
          <w:top w:val="thinThickSmallGap" w:sz="24" w:space="0" w:color="auto"/>
          <w:bottom w:val="thinThickSmallGap" w:sz="24" w:space="0" w:color="auto"/>
        </w:tblBorders>
        <w:tblLook w:val="04A0" w:firstRow="1" w:lastRow="0" w:firstColumn="1" w:lastColumn="0" w:noHBand="0" w:noVBand="1"/>
      </w:tblPr>
      <w:tblGrid>
        <w:gridCol w:w="3060"/>
        <w:gridCol w:w="1980"/>
        <w:gridCol w:w="2790"/>
      </w:tblGrid>
      <w:tr w:rsidR="00921EA3" w:rsidRPr="00921EA3" w14:paraId="4C307698" w14:textId="77777777" w:rsidTr="003579E1">
        <w:trPr>
          <w:trHeight w:val="729"/>
          <w:jc w:val="center"/>
        </w:trPr>
        <w:tc>
          <w:tcPr>
            <w:tcW w:w="3060" w:type="dxa"/>
            <w:tcBorders>
              <w:top w:val="thinThickSmallGap" w:sz="24" w:space="0" w:color="auto"/>
              <w:bottom w:val="single" w:sz="4" w:space="0" w:color="auto"/>
            </w:tcBorders>
            <w:noWrap/>
            <w:vAlign w:val="center"/>
          </w:tcPr>
          <w:p w14:paraId="183F0878"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Indicators</w:t>
            </w:r>
          </w:p>
          <w:p w14:paraId="45349DAA" w14:textId="77777777" w:rsidR="00921EA3" w:rsidRPr="00921EA3" w:rsidRDefault="00921EA3" w:rsidP="00921EA3">
            <w:pPr>
              <w:jc w:val="both"/>
              <w:rPr>
                <w:rFonts w:ascii="Arial" w:eastAsia="SimSun" w:hAnsi="Arial" w:cs="Arial"/>
                <w:bCs/>
                <w:sz w:val="16"/>
                <w:szCs w:val="16"/>
                <w:shd w:val="clear" w:color="auto" w:fill="FFFFFF"/>
              </w:rPr>
            </w:pPr>
          </w:p>
        </w:tc>
        <w:tc>
          <w:tcPr>
            <w:tcW w:w="1980" w:type="dxa"/>
            <w:tcBorders>
              <w:top w:val="thinThickSmallGap" w:sz="24" w:space="0" w:color="auto"/>
              <w:bottom w:val="single" w:sz="4" w:space="0" w:color="auto"/>
            </w:tcBorders>
            <w:noWrap/>
            <w:vAlign w:val="center"/>
          </w:tcPr>
          <w:p w14:paraId="0E9153D5"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Frequency</w:t>
            </w:r>
          </w:p>
          <w:p w14:paraId="7849DA62"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(f)</w:t>
            </w:r>
          </w:p>
          <w:p w14:paraId="444BD0CC" w14:textId="77777777" w:rsidR="00921EA3" w:rsidRPr="00921EA3" w:rsidRDefault="00921EA3" w:rsidP="00921EA3">
            <w:pPr>
              <w:jc w:val="both"/>
              <w:rPr>
                <w:rFonts w:ascii="Arial" w:eastAsia="SimSun" w:hAnsi="Arial" w:cs="Arial"/>
                <w:bCs/>
                <w:sz w:val="16"/>
                <w:szCs w:val="16"/>
                <w:shd w:val="clear" w:color="auto" w:fill="FFFFFF"/>
              </w:rPr>
            </w:pPr>
          </w:p>
        </w:tc>
        <w:tc>
          <w:tcPr>
            <w:tcW w:w="2790" w:type="dxa"/>
            <w:tcBorders>
              <w:top w:val="thinThickSmallGap" w:sz="24" w:space="0" w:color="auto"/>
              <w:bottom w:val="single" w:sz="4" w:space="0" w:color="auto"/>
            </w:tcBorders>
          </w:tcPr>
          <w:p w14:paraId="2B95EADE"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 xml:space="preserve"> Percentage</w:t>
            </w:r>
          </w:p>
          <w:p w14:paraId="31600870"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w:t>
            </w:r>
          </w:p>
        </w:tc>
      </w:tr>
      <w:tr w:rsidR="00921EA3" w:rsidRPr="00921EA3" w14:paraId="34F4CFA2" w14:textId="77777777" w:rsidTr="003579E1">
        <w:trPr>
          <w:trHeight w:val="208"/>
          <w:jc w:val="center"/>
        </w:trPr>
        <w:tc>
          <w:tcPr>
            <w:tcW w:w="3060" w:type="dxa"/>
            <w:tcBorders>
              <w:top w:val="single" w:sz="4" w:space="0" w:color="auto"/>
              <w:bottom w:val="nil"/>
              <w:right w:val="nil"/>
            </w:tcBorders>
            <w:noWrap/>
          </w:tcPr>
          <w:p w14:paraId="7A42911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Visual Learning Style  </w:t>
            </w:r>
          </w:p>
        </w:tc>
        <w:tc>
          <w:tcPr>
            <w:tcW w:w="1980" w:type="dxa"/>
            <w:tcBorders>
              <w:top w:val="single" w:sz="4" w:space="0" w:color="auto"/>
              <w:left w:val="nil"/>
              <w:bottom w:val="nil"/>
            </w:tcBorders>
            <w:noWrap/>
            <w:vAlign w:val="center"/>
          </w:tcPr>
          <w:p w14:paraId="66C5F4F4"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48</w:t>
            </w:r>
          </w:p>
        </w:tc>
        <w:tc>
          <w:tcPr>
            <w:tcW w:w="2790" w:type="dxa"/>
            <w:tcBorders>
              <w:top w:val="single" w:sz="4" w:space="0" w:color="auto"/>
              <w:bottom w:val="nil"/>
            </w:tcBorders>
          </w:tcPr>
          <w:p w14:paraId="53531260"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44.04 </w:t>
            </w:r>
          </w:p>
        </w:tc>
      </w:tr>
      <w:tr w:rsidR="00921EA3" w:rsidRPr="00921EA3" w14:paraId="47424803" w14:textId="77777777" w:rsidTr="003579E1">
        <w:trPr>
          <w:trHeight w:val="208"/>
          <w:jc w:val="center"/>
        </w:trPr>
        <w:tc>
          <w:tcPr>
            <w:tcW w:w="3060" w:type="dxa"/>
            <w:tcBorders>
              <w:bottom w:val="nil"/>
            </w:tcBorders>
            <w:noWrap/>
            <w:vAlign w:val="center"/>
          </w:tcPr>
          <w:p w14:paraId="2ECE3CC4"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Auditory Learning Style  </w:t>
            </w:r>
          </w:p>
        </w:tc>
        <w:tc>
          <w:tcPr>
            <w:tcW w:w="1980" w:type="dxa"/>
            <w:tcBorders>
              <w:bottom w:val="nil"/>
            </w:tcBorders>
            <w:noWrap/>
            <w:vAlign w:val="center"/>
          </w:tcPr>
          <w:p w14:paraId="38FDE68C"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40</w:t>
            </w:r>
          </w:p>
        </w:tc>
        <w:tc>
          <w:tcPr>
            <w:tcW w:w="2790" w:type="dxa"/>
            <w:tcBorders>
              <w:top w:val="nil"/>
              <w:bottom w:val="nil"/>
            </w:tcBorders>
          </w:tcPr>
          <w:p w14:paraId="7F825D4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36.70</w:t>
            </w:r>
          </w:p>
        </w:tc>
      </w:tr>
      <w:tr w:rsidR="00921EA3" w:rsidRPr="00921EA3" w14:paraId="5C0C97DC" w14:textId="77777777" w:rsidTr="003579E1">
        <w:trPr>
          <w:trHeight w:val="208"/>
          <w:jc w:val="center"/>
        </w:trPr>
        <w:tc>
          <w:tcPr>
            <w:tcW w:w="3060" w:type="dxa"/>
            <w:tcBorders>
              <w:top w:val="nil"/>
              <w:bottom w:val="single" w:sz="4" w:space="0" w:color="auto"/>
            </w:tcBorders>
            <w:noWrap/>
            <w:vAlign w:val="center"/>
          </w:tcPr>
          <w:p w14:paraId="54D16A70"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Kinesthetic Learning Style  </w:t>
            </w:r>
          </w:p>
        </w:tc>
        <w:tc>
          <w:tcPr>
            <w:tcW w:w="1980" w:type="dxa"/>
            <w:tcBorders>
              <w:top w:val="nil"/>
              <w:bottom w:val="single" w:sz="4" w:space="0" w:color="auto"/>
            </w:tcBorders>
            <w:noWrap/>
            <w:vAlign w:val="center"/>
          </w:tcPr>
          <w:p w14:paraId="00ED323E"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21</w:t>
            </w:r>
          </w:p>
        </w:tc>
        <w:tc>
          <w:tcPr>
            <w:tcW w:w="2790" w:type="dxa"/>
            <w:tcBorders>
              <w:top w:val="nil"/>
              <w:bottom w:val="single" w:sz="4" w:space="0" w:color="auto"/>
            </w:tcBorders>
          </w:tcPr>
          <w:p w14:paraId="26AD290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19.27</w:t>
            </w:r>
          </w:p>
        </w:tc>
      </w:tr>
      <w:tr w:rsidR="00921EA3" w:rsidRPr="00921EA3" w14:paraId="6C06F1C3" w14:textId="77777777" w:rsidTr="003579E1">
        <w:trPr>
          <w:trHeight w:val="467"/>
          <w:jc w:val="center"/>
        </w:trPr>
        <w:tc>
          <w:tcPr>
            <w:tcW w:w="3060" w:type="dxa"/>
            <w:tcBorders>
              <w:top w:val="single" w:sz="4" w:space="0" w:color="auto"/>
              <w:bottom w:val="thickThinSmallGap" w:sz="24" w:space="0" w:color="auto"/>
            </w:tcBorders>
            <w:noWrap/>
            <w:vAlign w:val="center"/>
          </w:tcPr>
          <w:p w14:paraId="6A2ACAD8"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Total</w:t>
            </w:r>
          </w:p>
        </w:tc>
        <w:tc>
          <w:tcPr>
            <w:tcW w:w="1980" w:type="dxa"/>
            <w:tcBorders>
              <w:top w:val="single" w:sz="4" w:space="0" w:color="auto"/>
              <w:bottom w:val="thickThinSmallGap" w:sz="24" w:space="0" w:color="auto"/>
            </w:tcBorders>
            <w:noWrap/>
            <w:vAlign w:val="center"/>
          </w:tcPr>
          <w:p w14:paraId="06B4A2A1"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109</w:t>
            </w:r>
          </w:p>
        </w:tc>
        <w:tc>
          <w:tcPr>
            <w:tcW w:w="2790" w:type="dxa"/>
            <w:tcBorders>
              <w:top w:val="single" w:sz="4" w:space="0" w:color="auto"/>
              <w:bottom w:val="thickThinSmallGap" w:sz="24" w:space="0" w:color="auto"/>
            </w:tcBorders>
          </w:tcPr>
          <w:p w14:paraId="5ACFAC04"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100</w:t>
            </w:r>
          </w:p>
        </w:tc>
      </w:tr>
    </w:tbl>
    <w:p w14:paraId="1CB34F9B" w14:textId="77777777" w:rsidR="00E44474" w:rsidRDefault="00E44474" w:rsidP="00E44474">
      <w:pPr>
        <w:jc w:val="both"/>
        <w:rPr>
          <w:rFonts w:ascii="Arial" w:eastAsia="SimSun" w:hAnsi="Arial" w:cs="Arial"/>
          <w:sz w:val="16"/>
          <w:szCs w:val="16"/>
          <w:shd w:val="clear" w:color="auto" w:fill="FFFFFF"/>
        </w:rPr>
      </w:pPr>
    </w:p>
    <w:p w14:paraId="72399EF7" w14:textId="77777777" w:rsidR="00921EA3" w:rsidRDefault="00921EA3" w:rsidP="00E44474">
      <w:pPr>
        <w:jc w:val="both"/>
        <w:rPr>
          <w:rFonts w:ascii="Arial" w:eastAsia="SimSun" w:hAnsi="Arial" w:cs="Arial"/>
          <w:sz w:val="16"/>
          <w:szCs w:val="16"/>
          <w:shd w:val="clear" w:color="auto" w:fill="FFFFFF"/>
        </w:rPr>
      </w:pPr>
    </w:p>
    <w:p w14:paraId="4C934DA4" w14:textId="77777777" w:rsidR="00921EA3" w:rsidRPr="00705486" w:rsidRDefault="00921EA3" w:rsidP="00E44474">
      <w:pPr>
        <w:jc w:val="both"/>
        <w:rPr>
          <w:rFonts w:ascii="Arial" w:eastAsia="SimSun" w:hAnsi="Arial" w:cs="Arial"/>
          <w:sz w:val="16"/>
          <w:szCs w:val="16"/>
          <w:shd w:val="clear" w:color="auto" w:fill="FFFFFF"/>
        </w:rPr>
      </w:pPr>
    </w:p>
    <w:p w14:paraId="26019D0A" w14:textId="60B8BBAB"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921EA3">
        <w:rPr>
          <w:rFonts w:ascii="Arial" w:eastAsia="SimSun" w:hAnsi="Arial" w:cstheme="majorBidi"/>
          <w:b/>
          <w:bCs/>
          <w:shd w:val="clear" w:color="auto" w:fill="FFFFFF"/>
        </w:rPr>
        <w:t>Academic Performance of Pupils</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0EA48FBB"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able 3 presents the academic performance of intermediate pupils at William Joyce Sr. Elementary School, with a grand mean score of </w:t>
      </w:r>
      <w:r w:rsidRPr="00C82182">
        <w:rPr>
          <w:rFonts w:ascii="Arial" w:eastAsia="Tahoma" w:hAnsi="Arial"/>
          <w:b/>
          <w:bCs/>
        </w:rPr>
        <w:t>80.95</w:t>
      </w:r>
      <w:r w:rsidRPr="00C82182">
        <w:rPr>
          <w:rFonts w:ascii="Arial" w:eastAsia="Tahoma" w:hAnsi="Arial"/>
        </w:rPr>
        <w:t xml:space="preserve">, indicating an </w:t>
      </w:r>
      <w:r w:rsidRPr="00C82182">
        <w:rPr>
          <w:rFonts w:ascii="Arial" w:eastAsia="Tahoma" w:hAnsi="Arial"/>
          <w:b/>
          <w:bCs/>
        </w:rPr>
        <w:t>"approaching proficiency"</w:t>
      </w:r>
      <w:r w:rsidRPr="00C82182">
        <w:rPr>
          <w:rFonts w:ascii="Arial" w:eastAsia="Tahoma" w:hAnsi="Arial"/>
        </w:rPr>
        <w:t xml:space="preserve"> level. This suggests that most students have developed fundamental knowledge and core understandings, and can perform authentic tasks with some guidance. Johnson and Smith (2021) and Morris and Clark (2022) support this interpretation, noting that scores within this range generally reflect the ability to apply learned skills with moderate assistance. However, Nguyen and Patel (2023) caution that students at this level may still struggle with more complex tasks without further support.</w:t>
      </w:r>
    </w:p>
    <w:p w14:paraId="5A2AC01D"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The data shows that </w:t>
      </w:r>
      <w:r w:rsidRPr="00C82182">
        <w:rPr>
          <w:rFonts w:ascii="Arial" w:eastAsia="Tahoma" w:hAnsi="Arial"/>
          <w:b/>
          <w:bCs/>
        </w:rPr>
        <w:t>55.05%</w:t>
      </w:r>
      <w:r w:rsidRPr="00C82182">
        <w:rPr>
          <w:rFonts w:ascii="Arial" w:eastAsia="Tahoma" w:hAnsi="Arial"/>
        </w:rPr>
        <w:t xml:space="preserve"> of pupils fall under "approaching proficient," while </w:t>
      </w:r>
      <w:r w:rsidRPr="00C82182">
        <w:rPr>
          <w:rFonts w:ascii="Arial" w:eastAsia="Tahoma" w:hAnsi="Arial"/>
          <w:b/>
          <w:bCs/>
        </w:rPr>
        <w:t>33.03%</w:t>
      </w:r>
      <w:r w:rsidRPr="00C82182">
        <w:rPr>
          <w:rFonts w:ascii="Arial" w:eastAsia="Tahoma" w:hAnsi="Arial"/>
        </w:rPr>
        <w:t xml:space="preserve"> are in the "developing" category. This distribution indicates that a significant portion of students has at least minimal understanding of concepts but still requires substantial instructional support. According to Smith et al. (2021), targeted interventions and scaffolded learning are key strategies for helping developing </w:t>
      </w:r>
      <w:proofErr w:type="spellStart"/>
      <w:r w:rsidRPr="00C82182">
        <w:rPr>
          <w:rFonts w:ascii="Arial" w:eastAsia="Tahoma" w:hAnsi="Arial"/>
        </w:rPr>
        <w:t>students</w:t>
      </w:r>
      <w:proofErr w:type="spellEnd"/>
      <w:r w:rsidRPr="00C82182">
        <w:rPr>
          <w:rFonts w:ascii="Arial" w:eastAsia="Tahoma" w:hAnsi="Arial"/>
        </w:rPr>
        <w:t xml:space="preserve"> progress toward proficiency. Similarly, Jones and Clark (2022) argue that structured support can enable students nearing proficiency to achieve it more consistently.</w:t>
      </w:r>
    </w:p>
    <w:p w14:paraId="351907CE"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lastRenderedPageBreak/>
        <w:t>Yet, critics such as Taylor et al. (2023) argue that categorizing students as “approaching proficient” may overstate their true comprehension, particularly in novel or complex contexts. Hernandez and Lee (2020) further suggest that standardized assessments may not accurately capture students’ critical thinking or problem-solving skills, especially for those labeled as “developing” or “approaching proficient.”</w:t>
      </w:r>
    </w:p>
    <w:p w14:paraId="1C4D3990"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Only </w:t>
      </w:r>
      <w:r w:rsidRPr="00C82182">
        <w:rPr>
          <w:rFonts w:ascii="Arial" w:eastAsia="Tahoma" w:hAnsi="Arial"/>
          <w:b/>
          <w:bCs/>
        </w:rPr>
        <w:t>11.92%</w:t>
      </w:r>
      <w:r w:rsidRPr="00C82182">
        <w:rPr>
          <w:rFonts w:ascii="Arial" w:eastAsia="Tahoma" w:hAnsi="Arial"/>
        </w:rPr>
        <w:t xml:space="preserve"> of pupils were found to be at the "proficient" level, indicating that a minority have fully mastered fundamental skills and can independently apply them. Wilson et al. (2021) link low proficiency rates to foundational knowledge gaps and recommend targeted instruction to address them. Patel and Green (2022) attribute low proficiency partly to systemic issues like socioeconomic disparities and unequal access to quality education, emphasizing the need for broader reforms.</w:t>
      </w:r>
    </w:p>
    <w:p w14:paraId="59A606FA"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Conversely, Chen et al. (2023) argue that standardized tests may underestimate students’ capabilities, especially in higher-order thinking and creativity, suggesting that actual proficiency might be higher than reported. Moreover, Lee and Thompson (2020) challenge the narrow focus on proficiency, emphasizing the importance of broader educational goals such as critical thinking and lifelong learning. They argue that even students not classified as proficient can develop valuable skills beyond what standardized assessments measure.</w:t>
      </w:r>
    </w:p>
    <w:p w14:paraId="51669177"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In conclusion, while the majority of students are on a path toward proficiency, the findings highlight the importance of comprehensive, inclusive instructional strategies to meet diverse learning needs and accurately assess student progress.</w:t>
      </w:r>
    </w:p>
    <w:p w14:paraId="287E631B" w14:textId="61F023B2" w:rsidR="00FB1131" w:rsidRDefault="00FB1131" w:rsidP="00FB1131">
      <w:pPr>
        <w:pStyle w:val="NoSpacing1"/>
        <w:ind w:firstLine="720"/>
        <w:jc w:val="both"/>
        <w:rPr>
          <w:rFonts w:ascii="Arial" w:eastAsia="Tahoma" w:hAnsi="Arial"/>
        </w:rPr>
      </w:pPr>
    </w:p>
    <w:p w14:paraId="2D9DD4B9" w14:textId="77777777" w:rsidR="00C82182" w:rsidRDefault="00C82182" w:rsidP="00FB1131">
      <w:pPr>
        <w:pStyle w:val="NoSpacing1"/>
        <w:ind w:firstLine="720"/>
        <w:jc w:val="both"/>
        <w:rPr>
          <w:rFonts w:ascii="Arial" w:eastAsia="Tahoma" w:hAnsi="Arial"/>
        </w:rPr>
      </w:pPr>
    </w:p>
    <w:p w14:paraId="3C29F6E1" w14:textId="77777777" w:rsidR="000965F8" w:rsidRPr="000965F8" w:rsidRDefault="000965F8" w:rsidP="000965F8">
      <w:pPr>
        <w:pStyle w:val="NoSpacing1"/>
        <w:rPr>
          <w:rFonts w:ascii="Arial" w:eastAsia="Tahoma" w:hAnsi="Arial"/>
          <w:sz w:val="20"/>
          <w:szCs w:val="20"/>
        </w:rPr>
      </w:pPr>
      <w:r w:rsidRPr="000965F8">
        <w:rPr>
          <w:rFonts w:ascii="Arial" w:eastAsia="Tahoma" w:hAnsi="Arial"/>
          <w:b/>
          <w:sz w:val="20"/>
          <w:szCs w:val="20"/>
        </w:rPr>
        <w:t xml:space="preserve">Table 3. </w:t>
      </w:r>
      <w:r w:rsidRPr="000965F8">
        <w:rPr>
          <w:rFonts w:ascii="Arial" w:eastAsia="Tahoma" w:hAnsi="Arial"/>
          <w:sz w:val="20"/>
          <w:szCs w:val="20"/>
        </w:rPr>
        <w:t>Academic Performance of Intermediate Pupils</w:t>
      </w:r>
    </w:p>
    <w:tbl>
      <w:tblPr>
        <w:tblStyle w:val="TableGrid"/>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56"/>
        <w:gridCol w:w="2277"/>
        <w:gridCol w:w="1637"/>
      </w:tblGrid>
      <w:tr w:rsidR="000965F8" w:rsidRPr="000965F8" w14:paraId="1ADAF61F" w14:textId="77777777" w:rsidTr="003579E1">
        <w:trPr>
          <w:trHeight w:val="243"/>
        </w:trPr>
        <w:tc>
          <w:tcPr>
            <w:tcW w:w="2250" w:type="dxa"/>
            <w:tcBorders>
              <w:top w:val="thinThickSmallGap" w:sz="24" w:space="0" w:color="auto"/>
              <w:left w:val="nil"/>
              <w:bottom w:val="single" w:sz="4" w:space="0" w:color="auto"/>
              <w:right w:val="nil"/>
            </w:tcBorders>
          </w:tcPr>
          <w:p w14:paraId="30F0FC51"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RANGE OF SCORES</w:t>
            </w:r>
          </w:p>
        </w:tc>
        <w:tc>
          <w:tcPr>
            <w:tcW w:w="1756" w:type="dxa"/>
            <w:tcBorders>
              <w:top w:val="thinThickSmallGap" w:sz="24" w:space="0" w:color="auto"/>
              <w:left w:val="nil"/>
              <w:bottom w:val="single" w:sz="4" w:space="0" w:color="auto"/>
              <w:right w:val="nil"/>
            </w:tcBorders>
          </w:tcPr>
          <w:p w14:paraId="280C7C74"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DESCRIPTIVE LEVEL</w:t>
            </w:r>
          </w:p>
        </w:tc>
        <w:tc>
          <w:tcPr>
            <w:tcW w:w="2277" w:type="dxa"/>
            <w:tcBorders>
              <w:top w:val="thinThickSmallGap" w:sz="24" w:space="0" w:color="auto"/>
              <w:left w:val="nil"/>
              <w:bottom w:val="single" w:sz="4" w:space="0" w:color="auto"/>
              <w:right w:val="nil"/>
            </w:tcBorders>
          </w:tcPr>
          <w:p w14:paraId="020F3D7E"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FREQUENCY</w:t>
            </w:r>
          </w:p>
          <w:p w14:paraId="1DB6CBF7"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(f)</w:t>
            </w:r>
          </w:p>
        </w:tc>
        <w:tc>
          <w:tcPr>
            <w:tcW w:w="1637" w:type="dxa"/>
            <w:tcBorders>
              <w:top w:val="thinThickSmallGap" w:sz="24" w:space="0" w:color="auto"/>
              <w:left w:val="nil"/>
              <w:bottom w:val="single" w:sz="4" w:space="0" w:color="auto"/>
              <w:right w:val="nil"/>
            </w:tcBorders>
          </w:tcPr>
          <w:p w14:paraId="08BB7743"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PERCENTAGE (%)</w:t>
            </w:r>
          </w:p>
        </w:tc>
      </w:tr>
      <w:tr w:rsidR="000965F8" w:rsidRPr="000965F8" w14:paraId="097A61DD" w14:textId="77777777" w:rsidTr="003579E1">
        <w:tc>
          <w:tcPr>
            <w:tcW w:w="2250" w:type="dxa"/>
            <w:tcBorders>
              <w:top w:val="single" w:sz="4" w:space="0" w:color="auto"/>
              <w:left w:val="nil"/>
              <w:bottom w:val="nil"/>
              <w:right w:val="nil"/>
            </w:tcBorders>
          </w:tcPr>
          <w:p w14:paraId="5D20C040"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90% and above</w:t>
            </w:r>
          </w:p>
        </w:tc>
        <w:tc>
          <w:tcPr>
            <w:tcW w:w="1756" w:type="dxa"/>
            <w:tcBorders>
              <w:top w:val="single" w:sz="4" w:space="0" w:color="auto"/>
              <w:left w:val="nil"/>
              <w:bottom w:val="nil"/>
              <w:right w:val="nil"/>
            </w:tcBorders>
          </w:tcPr>
          <w:p w14:paraId="4C7C51E8"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Advanced</w:t>
            </w:r>
          </w:p>
        </w:tc>
        <w:tc>
          <w:tcPr>
            <w:tcW w:w="2277" w:type="dxa"/>
            <w:tcBorders>
              <w:top w:val="single" w:sz="4" w:space="0" w:color="auto"/>
              <w:left w:val="nil"/>
              <w:bottom w:val="nil"/>
              <w:right w:val="nil"/>
            </w:tcBorders>
          </w:tcPr>
          <w:p w14:paraId="585F186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w:t>
            </w:r>
          </w:p>
        </w:tc>
        <w:tc>
          <w:tcPr>
            <w:tcW w:w="1637" w:type="dxa"/>
            <w:tcBorders>
              <w:top w:val="single" w:sz="4" w:space="0" w:color="auto"/>
              <w:left w:val="nil"/>
              <w:bottom w:val="nil"/>
              <w:right w:val="nil"/>
            </w:tcBorders>
          </w:tcPr>
          <w:p w14:paraId="53373F0B"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0.00</w:t>
            </w:r>
          </w:p>
        </w:tc>
      </w:tr>
      <w:tr w:rsidR="000965F8" w:rsidRPr="000965F8" w14:paraId="5A841748" w14:textId="77777777" w:rsidTr="003579E1">
        <w:trPr>
          <w:trHeight w:val="405"/>
        </w:trPr>
        <w:tc>
          <w:tcPr>
            <w:tcW w:w="2250" w:type="dxa"/>
            <w:tcBorders>
              <w:top w:val="nil"/>
              <w:left w:val="nil"/>
              <w:bottom w:val="nil"/>
              <w:right w:val="nil"/>
            </w:tcBorders>
          </w:tcPr>
          <w:p w14:paraId="37091F19"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85% - 89%</w:t>
            </w:r>
          </w:p>
        </w:tc>
        <w:tc>
          <w:tcPr>
            <w:tcW w:w="1756" w:type="dxa"/>
            <w:tcBorders>
              <w:top w:val="nil"/>
              <w:left w:val="nil"/>
              <w:bottom w:val="nil"/>
              <w:right w:val="nil"/>
            </w:tcBorders>
          </w:tcPr>
          <w:p w14:paraId="73FAC451"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Proficient</w:t>
            </w:r>
          </w:p>
        </w:tc>
        <w:tc>
          <w:tcPr>
            <w:tcW w:w="2277" w:type="dxa"/>
            <w:tcBorders>
              <w:top w:val="nil"/>
              <w:left w:val="nil"/>
              <w:bottom w:val="nil"/>
              <w:right w:val="nil"/>
            </w:tcBorders>
          </w:tcPr>
          <w:p w14:paraId="764A4724"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13</w:t>
            </w:r>
          </w:p>
        </w:tc>
        <w:tc>
          <w:tcPr>
            <w:tcW w:w="1637" w:type="dxa"/>
            <w:tcBorders>
              <w:top w:val="nil"/>
              <w:left w:val="nil"/>
              <w:bottom w:val="nil"/>
              <w:right w:val="nil"/>
            </w:tcBorders>
          </w:tcPr>
          <w:p w14:paraId="1A9829B0"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11.92</w:t>
            </w:r>
          </w:p>
        </w:tc>
      </w:tr>
      <w:tr w:rsidR="000965F8" w:rsidRPr="000965F8" w14:paraId="5A967497" w14:textId="77777777" w:rsidTr="003579E1">
        <w:tc>
          <w:tcPr>
            <w:tcW w:w="2250" w:type="dxa"/>
            <w:tcBorders>
              <w:top w:val="nil"/>
              <w:left w:val="nil"/>
              <w:bottom w:val="nil"/>
              <w:right w:val="nil"/>
            </w:tcBorders>
          </w:tcPr>
          <w:p w14:paraId="187E16E6"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80% - 84%</w:t>
            </w:r>
          </w:p>
        </w:tc>
        <w:tc>
          <w:tcPr>
            <w:tcW w:w="1756" w:type="dxa"/>
            <w:tcBorders>
              <w:top w:val="nil"/>
              <w:left w:val="nil"/>
              <w:bottom w:val="nil"/>
              <w:right w:val="nil"/>
            </w:tcBorders>
          </w:tcPr>
          <w:p w14:paraId="3841450E"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Approaching Proficiency</w:t>
            </w:r>
          </w:p>
        </w:tc>
        <w:tc>
          <w:tcPr>
            <w:tcW w:w="2277" w:type="dxa"/>
            <w:tcBorders>
              <w:top w:val="nil"/>
              <w:left w:val="nil"/>
              <w:bottom w:val="nil"/>
              <w:right w:val="nil"/>
            </w:tcBorders>
          </w:tcPr>
          <w:p w14:paraId="3B02F936"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60</w:t>
            </w:r>
          </w:p>
        </w:tc>
        <w:tc>
          <w:tcPr>
            <w:tcW w:w="1637" w:type="dxa"/>
            <w:tcBorders>
              <w:top w:val="nil"/>
              <w:left w:val="nil"/>
              <w:bottom w:val="nil"/>
              <w:right w:val="nil"/>
            </w:tcBorders>
          </w:tcPr>
          <w:p w14:paraId="7C1F5F4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55.05</w:t>
            </w:r>
          </w:p>
        </w:tc>
      </w:tr>
      <w:tr w:rsidR="000965F8" w:rsidRPr="000965F8" w14:paraId="2A689987" w14:textId="77777777" w:rsidTr="003579E1">
        <w:tc>
          <w:tcPr>
            <w:tcW w:w="2250" w:type="dxa"/>
            <w:tcBorders>
              <w:top w:val="nil"/>
              <w:left w:val="nil"/>
              <w:bottom w:val="nil"/>
              <w:right w:val="nil"/>
            </w:tcBorders>
          </w:tcPr>
          <w:p w14:paraId="5903AA6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75% - 79%</w:t>
            </w:r>
          </w:p>
        </w:tc>
        <w:tc>
          <w:tcPr>
            <w:tcW w:w="1756" w:type="dxa"/>
            <w:tcBorders>
              <w:top w:val="nil"/>
              <w:left w:val="nil"/>
              <w:bottom w:val="nil"/>
              <w:right w:val="nil"/>
            </w:tcBorders>
          </w:tcPr>
          <w:p w14:paraId="7CAC5028"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Developing</w:t>
            </w:r>
          </w:p>
        </w:tc>
        <w:tc>
          <w:tcPr>
            <w:tcW w:w="2277" w:type="dxa"/>
            <w:tcBorders>
              <w:top w:val="nil"/>
              <w:left w:val="nil"/>
              <w:bottom w:val="nil"/>
              <w:right w:val="nil"/>
            </w:tcBorders>
          </w:tcPr>
          <w:p w14:paraId="798C179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36</w:t>
            </w:r>
          </w:p>
        </w:tc>
        <w:tc>
          <w:tcPr>
            <w:tcW w:w="1637" w:type="dxa"/>
            <w:tcBorders>
              <w:top w:val="nil"/>
              <w:left w:val="nil"/>
              <w:bottom w:val="nil"/>
              <w:right w:val="nil"/>
            </w:tcBorders>
          </w:tcPr>
          <w:p w14:paraId="0E7144C9"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33.03</w:t>
            </w:r>
          </w:p>
        </w:tc>
      </w:tr>
      <w:tr w:rsidR="000965F8" w:rsidRPr="000965F8" w14:paraId="61AE1ED0" w14:textId="77777777" w:rsidTr="003579E1">
        <w:tc>
          <w:tcPr>
            <w:tcW w:w="2250" w:type="dxa"/>
            <w:tcBorders>
              <w:top w:val="nil"/>
              <w:left w:val="nil"/>
              <w:bottom w:val="single" w:sz="4" w:space="0" w:color="auto"/>
              <w:right w:val="nil"/>
            </w:tcBorders>
          </w:tcPr>
          <w:p w14:paraId="09D6A6F7"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74% below</w:t>
            </w:r>
          </w:p>
        </w:tc>
        <w:tc>
          <w:tcPr>
            <w:tcW w:w="1756" w:type="dxa"/>
            <w:tcBorders>
              <w:top w:val="nil"/>
              <w:left w:val="nil"/>
              <w:bottom w:val="single" w:sz="4" w:space="0" w:color="auto"/>
              <w:right w:val="nil"/>
            </w:tcBorders>
          </w:tcPr>
          <w:p w14:paraId="0ACFF9D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Beginning</w:t>
            </w:r>
          </w:p>
        </w:tc>
        <w:tc>
          <w:tcPr>
            <w:tcW w:w="2277" w:type="dxa"/>
            <w:tcBorders>
              <w:top w:val="nil"/>
              <w:left w:val="nil"/>
              <w:bottom w:val="single" w:sz="4" w:space="0" w:color="auto"/>
              <w:right w:val="nil"/>
            </w:tcBorders>
          </w:tcPr>
          <w:p w14:paraId="67AFA795"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w:t>
            </w:r>
          </w:p>
        </w:tc>
        <w:tc>
          <w:tcPr>
            <w:tcW w:w="1637" w:type="dxa"/>
            <w:tcBorders>
              <w:top w:val="nil"/>
              <w:left w:val="nil"/>
              <w:bottom w:val="single" w:sz="4" w:space="0" w:color="auto"/>
              <w:right w:val="nil"/>
            </w:tcBorders>
          </w:tcPr>
          <w:p w14:paraId="58BCE51B"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0.00</w:t>
            </w:r>
          </w:p>
        </w:tc>
      </w:tr>
      <w:tr w:rsidR="000965F8" w:rsidRPr="000965F8" w14:paraId="5F142544" w14:textId="77777777" w:rsidTr="003579E1">
        <w:tc>
          <w:tcPr>
            <w:tcW w:w="2250" w:type="dxa"/>
            <w:tcBorders>
              <w:top w:val="single" w:sz="4" w:space="0" w:color="auto"/>
              <w:left w:val="nil"/>
              <w:bottom w:val="thickThinSmallGap" w:sz="24" w:space="0" w:color="auto"/>
              <w:right w:val="nil"/>
            </w:tcBorders>
          </w:tcPr>
          <w:p w14:paraId="6FE101E1" w14:textId="77777777" w:rsidR="000965F8" w:rsidRPr="000965F8" w:rsidRDefault="000965F8" w:rsidP="000965F8">
            <w:pPr>
              <w:pStyle w:val="NoSpacing1"/>
              <w:jc w:val="both"/>
              <w:rPr>
                <w:rFonts w:ascii="Arial" w:eastAsia="Tahoma" w:hAnsi="Arial"/>
                <w:bCs/>
                <w:sz w:val="20"/>
                <w:szCs w:val="20"/>
              </w:rPr>
            </w:pPr>
          </w:p>
        </w:tc>
        <w:tc>
          <w:tcPr>
            <w:tcW w:w="1756" w:type="dxa"/>
            <w:tcBorders>
              <w:top w:val="single" w:sz="4" w:space="0" w:color="auto"/>
              <w:left w:val="nil"/>
              <w:bottom w:val="thickThinSmallGap" w:sz="24" w:space="0" w:color="auto"/>
              <w:right w:val="nil"/>
            </w:tcBorders>
          </w:tcPr>
          <w:p w14:paraId="2611F94B"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Total</w:t>
            </w:r>
          </w:p>
        </w:tc>
        <w:tc>
          <w:tcPr>
            <w:tcW w:w="2277" w:type="dxa"/>
            <w:tcBorders>
              <w:top w:val="single" w:sz="4" w:space="0" w:color="auto"/>
              <w:left w:val="nil"/>
              <w:bottom w:val="thickThinSmallGap" w:sz="24" w:space="0" w:color="auto"/>
              <w:right w:val="nil"/>
            </w:tcBorders>
          </w:tcPr>
          <w:p w14:paraId="1A958319"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109</w:t>
            </w:r>
          </w:p>
        </w:tc>
        <w:tc>
          <w:tcPr>
            <w:tcW w:w="1637" w:type="dxa"/>
            <w:tcBorders>
              <w:top w:val="single" w:sz="4" w:space="0" w:color="auto"/>
              <w:left w:val="nil"/>
              <w:bottom w:val="thickThinSmallGap" w:sz="24" w:space="0" w:color="auto"/>
              <w:right w:val="nil"/>
            </w:tcBorders>
          </w:tcPr>
          <w:p w14:paraId="74D3092E"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100</w:t>
            </w:r>
          </w:p>
        </w:tc>
      </w:tr>
    </w:tbl>
    <w:p w14:paraId="22E68FC6" w14:textId="77777777" w:rsidR="000965F8" w:rsidRPr="000965F8" w:rsidRDefault="000965F8" w:rsidP="000965F8">
      <w:pPr>
        <w:pStyle w:val="NoSpacing1"/>
        <w:rPr>
          <w:rFonts w:ascii="Arial" w:eastAsia="Tahoma" w:hAnsi="Arial"/>
          <w:sz w:val="20"/>
          <w:szCs w:val="20"/>
        </w:rPr>
      </w:pPr>
      <w:r w:rsidRPr="000965F8">
        <w:rPr>
          <w:rFonts w:ascii="Arial" w:eastAsia="Tahoma" w:hAnsi="Arial"/>
          <w:sz w:val="20"/>
          <w:szCs w:val="20"/>
        </w:rPr>
        <w:t>Mean=80.95</w:t>
      </w:r>
    </w:p>
    <w:p w14:paraId="2A9A9E7C" w14:textId="77777777" w:rsidR="00C82182" w:rsidRPr="00FB1131" w:rsidRDefault="00C82182" w:rsidP="000965F8">
      <w:pPr>
        <w:pStyle w:val="NoSpacing1"/>
        <w:jc w:val="both"/>
        <w:rPr>
          <w:rFonts w:ascii="Arial" w:eastAsia="Tahoma" w:hAnsi="Arial"/>
        </w:rPr>
      </w:pP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7681F96" w14:textId="77777777" w:rsidR="000965F8" w:rsidRPr="000965F8" w:rsidRDefault="00E44474" w:rsidP="000965F8">
      <w:pPr>
        <w:pStyle w:val="Heading2"/>
        <w:jc w:val="both"/>
        <w:rPr>
          <w:rFonts w:ascii="Arial" w:eastAsia="SimSun" w:hAnsi="Arial" w:cs="Arial"/>
          <w:b/>
          <w:bCs/>
          <w:color w:val="000000" w:themeColor="text1"/>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0965F8" w:rsidRPr="00C4354A">
        <w:rPr>
          <w:rFonts w:ascii="Arial" w:eastAsia="SimSun" w:hAnsi="Arial" w:cs="Arial"/>
          <w:b/>
          <w:bCs/>
          <w:color w:val="000000" w:themeColor="text1"/>
          <w:sz w:val="20"/>
          <w:szCs w:val="20"/>
          <w:shd w:val="clear" w:color="auto" w:fill="FFFFFF"/>
        </w:rPr>
        <w:t>Difference Between Intermediate Pupils’ Academic Performance When Grouped According to their Learning Style Preference</w:t>
      </w:r>
    </w:p>
    <w:p w14:paraId="0DEE2151" w14:textId="40907517" w:rsidR="00E44474" w:rsidRPr="00705486" w:rsidRDefault="00E44474" w:rsidP="00E44474">
      <w:pPr>
        <w:pStyle w:val="Heading2"/>
        <w:rPr>
          <w:rFonts w:ascii="Arial" w:eastAsia="SimSun" w:hAnsi="Arial" w:cs="Arial"/>
          <w:b/>
          <w:bCs/>
          <w:color w:val="000000" w:themeColor="text1"/>
          <w:sz w:val="22"/>
          <w:szCs w:val="22"/>
          <w:shd w:val="clear" w:color="auto" w:fill="FFFFFF"/>
        </w:rPr>
      </w:pPr>
    </w:p>
    <w:p w14:paraId="0380CD76" w14:textId="77777777" w:rsidR="00E44474" w:rsidRPr="00705486" w:rsidRDefault="00E44474" w:rsidP="00E44474">
      <w:pPr>
        <w:jc w:val="both"/>
        <w:rPr>
          <w:rFonts w:ascii="Arial" w:eastAsia="SimSun" w:hAnsi="Arial" w:cs="Arial"/>
          <w:b/>
          <w:bCs/>
          <w:shd w:val="clear" w:color="auto" w:fill="FFFFFF"/>
        </w:rPr>
      </w:pPr>
    </w:p>
    <w:p w14:paraId="3F50AD93"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Table 4 presents findings on whether there is a significant difference in academic performance among intermediate pupils when grouped according to their learning style preferences—visual, auditory, and kinesthetic. The statistical analysis revealed a </w:t>
      </w:r>
      <w:r w:rsidRPr="00C4354A">
        <w:rPr>
          <w:rFonts w:ascii="Arial" w:eastAsia="Tahoma" w:hAnsi="Arial" w:cs="Arial"/>
          <w:b/>
          <w:bCs/>
        </w:rPr>
        <w:t>p-value of 0.73</w:t>
      </w:r>
      <w:r w:rsidRPr="00C4354A">
        <w:rPr>
          <w:rFonts w:ascii="Arial" w:eastAsia="Tahoma" w:hAnsi="Arial" w:cs="Arial"/>
        </w:rPr>
        <w:t xml:space="preserve">, indicating </w:t>
      </w:r>
      <w:r w:rsidRPr="00C4354A">
        <w:rPr>
          <w:rFonts w:ascii="Arial" w:eastAsia="Tahoma" w:hAnsi="Arial" w:cs="Arial"/>
          <w:b/>
          <w:bCs/>
        </w:rPr>
        <w:t>no significant difference</w:t>
      </w:r>
      <w:r w:rsidRPr="00C4354A">
        <w:rPr>
          <w:rFonts w:ascii="Arial" w:eastAsia="Tahoma" w:hAnsi="Arial" w:cs="Arial"/>
        </w:rPr>
        <w:t xml:space="preserve"> among the groups. Despite kinesthetic learners showing the highest mean score, the result supports the </w:t>
      </w:r>
      <w:r w:rsidRPr="00C4354A">
        <w:rPr>
          <w:rFonts w:ascii="Arial" w:eastAsia="Tahoma" w:hAnsi="Arial" w:cs="Arial"/>
          <w:b/>
          <w:bCs/>
        </w:rPr>
        <w:t>null hypothesis</w:t>
      </w:r>
      <w:r w:rsidRPr="00C4354A">
        <w:rPr>
          <w:rFonts w:ascii="Arial" w:eastAsia="Tahoma" w:hAnsi="Arial" w:cs="Arial"/>
        </w:rPr>
        <w:t>: learning style preference does not significantly influence academic performance.</w:t>
      </w:r>
    </w:p>
    <w:p w14:paraId="151FAFD4"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Recent research aligns with this conclusion, as several studies challenge the long-held belief that aligning teaching strategies with students’ preferred learning styles (e.g., kinesthetic, auditory, visual) enhances academic outcomes. A 2023 study emphasized that </w:t>
      </w:r>
      <w:r w:rsidRPr="00C4354A">
        <w:rPr>
          <w:rFonts w:ascii="Arial" w:eastAsia="Tahoma" w:hAnsi="Arial" w:cs="Arial"/>
        </w:rPr>
        <w:lastRenderedPageBreak/>
        <w:t xml:space="preserve">while students may have learning preferences, these do </w:t>
      </w:r>
      <w:r w:rsidRPr="00C4354A">
        <w:rPr>
          <w:rFonts w:ascii="Arial" w:eastAsia="Tahoma" w:hAnsi="Arial" w:cs="Arial"/>
          <w:b/>
          <w:bCs/>
        </w:rPr>
        <w:t>not significantly impact performance</w:t>
      </w:r>
      <w:r w:rsidRPr="00C4354A">
        <w:rPr>
          <w:rFonts w:ascii="Arial" w:eastAsia="Tahoma" w:hAnsi="Arial" w:cs="Arial"/>
        </w:rPr>
        <w:t xml:space="preserve">, suggesting that educators should instead focus on offering </w:t>
      </w:r>
      <w:r w:rsidRPr="00C4354A">
        <w:rPr>
          <w:rFonts w:ascii="Arial" w:eastAsia="Tahoma" w:hAnsi="Arial" w:cs="Arial"/>
          <w:b/>
          <w:bCs/>
        </w:rPr>
        <w:t>varied instructional methods</w:t>
      </w:r>
      <w:r w:rsidRPr="00C4354A">
        <w:rPr>
          <w:rFonts w:ascii="Arial" w:eastAsia="Tahoma" w:hAnsi="Arial" w:cs="Arial"/>
        </w:rPr>
        <w:t xml:space="preserve"> to support broader learning needs. Exposing students to multiple teaching styles fosters </w:t>
      </w:r>
      <w:r w:rsidRPr="00C4354A">
        <w:rPr>
          <w:rFonts w:ascii="Arial" w:eastAsia="Tahoma" w:hAnsi="Arial" w:cs="Arial"/>
          <w:b/>
          <w:bCs/>
        </w:rPr>
        <w:t>adaptability and deeper comprehension</w:t>
      </w:r>
      <w:r w:rsidRPr="00C4354A">
        <w:rPr>
          <w:rFonts w:ascii="Arial" w:eastAsia="Tahoma" w:hAnsi="Arial" w:cs="Arial"/>
        </w:rPr>
        <w:t>, rather than relying on individualized instruction based on learning style.</w:t>
      </w:r>
    </w:p>
    <w:p w14:paraId="7BA9202B"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Similarly, </w:t>
      </w:r>
      <w:proofErr w:type="spellStart"/>
      <w:r w:rsidRPr="00C4354A">
        <w:rPr>
          <w:rFonts w:ascii="Arial" w:eastAsia="Tahoma" w:hAnsi="Arial" w:cs="Arial"/>
        </w:rPr>
        <w:t>Pashler</w:t>
      </w:r>
      <w:proofErr w:type="spellEnd"/>
      <w:r w:rsidRPr="00C4354A">
        <w:rPr>
          <w:rFonts w:ascii="Arial" w:eastAsia="Tahoma" w:hAnsi="Arial" w:cs="Arial"/>
        </w:rPr>
        <w:t xml:space="preserve"> et al. (2020) conducted a meta-analysis and found no strong evidence supporting the effectiveness of learning style-based instruction. Their findings reinforce the notion that </w:t>
      </w:r>
      <w:r w:rsidRPr="00C4354A">
        <w:rPr>
          <w:rFonts w:ascii="Arial" w:eastAsia="Tahoma" w:hAnsi="Arial" w:cs="Arial"/>
          <w:b/>
          <w:bCs/>
        </w:rPr>
        <w:t>matching teaching to student preference</w:t>
      </w:r>
      <w:r w:rsidRPr="00C4354A">
        <w:rPr>
          <w:rFonts w:ascii="Arial" w:eastAsia="Tahoma" w:hAnsi="Arial" w:cs="Arial"/>
        </w:rPr>
        <w:t xml:space="preserve"> does not lead to better academic results, further validating the outcome of the current study.</w:t>
      </w:r>
    </w:p>
    <w:p w14:paraId="22440EC1"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The findings also support the </w:t>
      </w:r>
      <w:r w:rsidRPr="00C4354A">
        <w:rPr>
          <w:rFonts w:ascii="Arial" w:eastAsia="Tahoma" w:hAnsi="Arial" w:cs="Arial"/>
          <w:b/>
          <w:bCs/>
        </w:rPr>
        <w:t>Universal Design for Learning (UDL)</w:t>
      </w:r>
      <w:r w:rsidRPr="00C4354A">
        <w:rPr>
          <w:rFonts w:ascii="Arial" w:eastAsia="Tahoma" w:hAnsi="Arial" w:cs="Arial"/>
        </w:rPr>
        <w:t xml:space="preserve"> approach, which promotes </w:t>
      </w:r>
      <w:r w:rsidRPr="00C4354A">
        <w:rPr>
          <w:rFonts w:ascii="Arial" w:eastAsia="Tahoma" w:hAnsi="Arial" w:cs="Arial"/>
          <w:b/>
          <w:bCs/>
        </w:rPr>
        <w:t>flexible learning environments</w:t>
      </w:r>
      <w:r w:rsidRPr="00C4354A">
        <w:rPr>
          <w:rFonts w:ascii="Arial" w:eastAsia="Tahoma" w:hAnsi="Arial" w:cs="Arial"/>
        </w:rPr>
        <w:t xml:space="preserve"> and varied instructional strategies to support diverse learners. Hall and Meyer (2021) highlight that UDL improves student performance by offering multiple ways of engagement, representation, and expression—benefiting all students regardless of learning style preference.</w:t>
      </w:r>
    </w:p>
    <w:p w14:paraId="27F6C2C7"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While learning style may not directly affect academic achievement, some researchers argue it can still influence </w:t>
      </w:r>
      <w:r w:rsidRPr="00C4354A">
        <w:rPr>
          <w:rFonts w:ascii="Arial" w:eastAsia="Tahoma" w:hAnsi="Arial" w:cs="Arial"/>
          <w:b/>
          <w:bCs/>
        </w:rPr>
        <w:t>student engagement and motivation</w:t>
      </w:r>
      <w:r w:rsidRPr="00C4354A">
        <w:rPr>
          <w:rFonts w:ascii="Arial" w:eastAsia="Tahoma" w:hAnsi="Arial" w:cs="Arial"/>
        </w:rPr>
        <w:t xml:space="preserve">. Zhang and Stern (2022) found that students felt more satisfied and engaged when their learning preferences were acknowledged, potentially supporting better long-term learning outcomes. Thus, while grades may not immediately improve, </w:t>
      </w:r>
      <w:r w:rsidRPr="00C4354A">
        <w:rPr>
          <w:rFonts w:ascii="Arial" w:eastAsia="Tahoma" w:hAnsi="Arial" w:cs="Arial"/>
          <w:b/>
          <w:bCs/>
        </w:rPr>
        <w:t>motivation and interest</w:t>
      </w:r>
      <w:r w:rsidRPr="00C4354A">
        <w:rPr>
          <w:rFonts w:ascii="Arial" w:eastAsia="Tahoma" w:hAnsi="Arial" w:cs="Arial"/>
        </w:rPr>
        <w:t xml:space="preserve"> may increase with preferred instructional approaches.</w:t>
      </w:r>
    </w:p>
    <w:p w14:paraId="409B1CC4"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Other scholars, such as Johnson and Black (2023), caution against dismissing learning styles entirely based on a single p-value. They argue the relationship between learning style and performance is </w:t>
      </w:r>
      <w:r w:rsidRPr="00C4354A">
        <w:rPr>
          <w:rFonts w:ascii="Arial" w:eastAsia="Tahoma" w:hAnsi="Arial" w:cs="Arial"/>
          <w:b/>
          <w:bCs/>
        </w:rPr>
        <w:t>complex and context-dependent</w:t>
      </w:r>
      <w:r w:rsidRPr="00C4354A">
        <w:rPr>
          <w:rFonts w:ascii="Arial" w:eastAsia="Tahoma" w:hAnsi="Arial" w:cs="Arial"/>
        </w:rPr>
        <w:t xml:space="preserve">, influenced by factors like teaching methods, content type, and student background. This suggests that learning styles may still play a role in </w:t>
      </w:r>
      <w:r w:rsidRPr="00C4354A">
        <w:rPr>
          <w:rFonts w:ascii="Arial" w:eastAsia="Tahoma" w:hAnsi="Arial" w:cs="Arial"/>
          <w:b/>
          <w:bCs/>
        </w:rPr>
        <w:t>specific educational settings</w:t>
      </w:r>
      <w:r w:rsidRPr="00C4354A">
        <w:rPr>
          <w:rFonts w:ascii="Arial" w:eastAsia="Tahoma" w:hAnsi="Arial" w:cs="Arial"/>
        </w:rPr>
        <w:t>, even if not broadly evident in performance metrics.</w:t>
      </w:r>
    </w:p>
    <w:p w14:paraId="19AB6831"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In conclusion, while this study found no significant academic differences based on learning style, the nuanced findings suggest educators should adopt inclusive, flexible approaches rather than rigidly matching teaching styles to student preferences.</w:t>
      </w:r>
    </w:p>
    <w:p w14:paraId="70AA8270" w14:textId="77777777" w:rsidR="00C2293B" w:rsidRDefault="00C2293B" w:rsidP="00C2293B">
      <w:pPr>
        <w:jc w:val="both"/>
        <w:rPr>
          <w:rFonts w:ascii="Arial" w:eastAsia="Tahoma" w:hAnsi="Arial" w:cs="Arial"/>
        </w:rPr>
      </w:pPr>
    </w:p>
    <w:p w14:paraId="386F1AA2" w14:textId="77777777" w:rsidR="00C2293B" w:rsidRDefault="00C2293B" w:rsidP="00C2293B">
      <w:pPr>
        <w:jc w:val="both"/>
        <w:rPr>
          <w:rFonts w:ascii="Arial" w:eastAsia="Tahoma" w:hAnsi="Arial" w:cs="Arial"/>
        </w:rPr>
      </w:pPr>
    </w:p>
    <w:p w14:paraId="5898EB18" w14:textId="77777777" w:rsidR="00C2293B" w:rsidRPr="00C2293B" w:rsidRDefault="00C2293B" w:rsidP="00C2293B">
      <w:pPr>
        <w:jc w:val="both"/>
        <w:rPr>
          <w:rFonts w:ascii="Arial" w:eastAsia="Tahoma" w:hAnsi="Arial" w:cs="Arial"/>
        </w:rPr>
      </w:pPr>
      <w:r w:rsidRPr="00C2293B">
        <w:rPr>
          <w:rFonts w:ascii="Arial" w:eastAsia="Tahoma" w:hAnsi="Arial" w:cs="Arial"/>
          <w:b/>
        </w:rPr>
        <w:t>Table 4.</w:t>
      </w:r>
      <w:r w:rsidRPr="00C2293B">
        <w:rPr>
          <w:rFonts w:ascii="Arial" w:eastAsia="Tahoma" w:hAnsi="Arial" w:cs="Arial"/>
        </w:rPr>
        <w:t xml:space="preserve"> Difference Between Intermediate Pupils’ Academic   Performance When Grouped According to their Learning Style Preference </w:t>
      </w:r>
    </w:p>
    <w:tbl>
      <w:tblPr>
        <w:tblStyle w:val="TableGrid"/>
        <w:tblpPr w:leftFromText="180" w:rightFromText="180" w:vertAnchor="text" w:tblpY="1"/>
        <w:tblOverlap w:val="neve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053"/>
        <w:gridCol w:w="1616"/>
        <w:gridCol w:w="2410"/>
      </w:tblGrid>
      <w:tr w:rsidR="00C2293B" w:rsidRPr="00C2293B" w14:paraId="5A27C581" w14:textId="77777777" w:rsidTr="003579E1">
        <w:trPr>
          <w:trHeight w:val="243"/>
        </w:trPr>
        <w:tc>
          <w:tcPr>
            <w:tcW w:w="1841" w:type="dxa"/>
            <w:tcBorders>
              <w:top w:val="thinThickSmallGap" w:sz="24" w:space="0" w:color="auto"/>
              <w:left w:val="nil"/>
              <w:bottom w:val="single" w:sz="4" w:space="0" w:color="auto"/>
              <w:right w:val="nil"/>
            </w:tcBorders>
          </w:tcPr>
          <w:p w14:paraId="7D7FDA52"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INDICATOR</w:t>
            </w:r>
          </w:p>
        </w:tc>
        <w:tc>
          <w:tcPr>
            <w:tcW w:w="2053" w:type="dxa"/>
            <w:tcBorders>
              <w:top w:val="thinThickSmallGap" w:sz="24" w:space="0" w:color="auto"/>
              <w:left w:val="nil"/>
              <w:bottom w:val="single" w:sz="4" w:space="0" w:color="auto"/>
              <w:right w:val="nil"/>
            </w:tcBorders>
          </w:tcPr>
          <w:p w14:paraId="2CE77D7E"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MEAN</w:t>
            </w:r>
          </w:p>
        </w:tc>
        <w:tc>
          <w:tcPr>
            <w:tcW w:w="1616" w:type="dxa"/>
            <w:tcBorders>
              <w:top w:val="thinThickSmallGap" w:sz="24" w:space="0" w:color="auto"/>
              <w:left w:val="nil"/>
              <w:bottom w:val="single" w:sz="4" w:space="0" w:color="auto"/>
              <w:right w:val="nil"/>
            </w:tcBorders>
          </w:tcPr>
          <w:p w14:paraId="47C60E6F"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p-value</w:t>
            </w:r>
          </w:p>
        </w:tc>
        <w:tc>
          <w:tcPr>
            <w:tcW w:w="2410" w:type="dxa"/>
            <w:tcBorders>
              <w:top w:val="thinThickSmallGap" w:sz="24" w:space="0" w:color="auto"/>
              <w:left w:val="nil"/>
              <w:bottom w:val="single" w:sz="4" w:space="0" w:color="auto"/>
              <w:right w:val="nil"/>
            </w:tcBorders>
          </w:tcPr>
          <w:p w14:paraId="142492FE"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INTERPRETATION</w:t>
            </w:r>
          </w:p>
        </w:tc>
      </w:tr>
      <w:tr w:rsidR="00C2293B" w:rsidRPr="00C2293B" w14:paraId="0BDDB00D" w14:textId="77777777" w:rsidTr="003579E1">
        <w:tc>
          <w:tcPr>
            <w:tcW w:w="1841" w:type="dxa"/>
            <w:tcBorders>
              <w:top w:val="single" w:sz="4" w:space="0" w:color="auto"/>
              <w:left w:val="nil"/>
              <w:bottom w:val="nil"/>
              <w:right w:val="nil"/>
            </w:tcBorders>
          </w:tcPr>
          <w:p w14:paraId="42D0DEA6" w14:textId="77777777" w:rsidR="00C2293B" w:rsidRPr="00C2293B" w:rsidRDefault="00C2293B" w:rsidP="00C2293B">
            <w:pPr>
              <w:jc w:val="both"/>
              <w:rPr>
                <w:rFonts w:ascii="Arial" w:eastAsia="Tahoma" w:hAnsi="Arial" w:cs="Arial"/>
                <w:b/>
              </w:rPr>
            </w:pPr>
            <w:r w:rsidRPr="00C2293B">
              <w:rPr>
                <w:rFonts w:ascii="Arial" w:eastAsia="Tahoma" w:hAnsi="Arial" w:cs="Arial"/>
                <w:b/>
              </w:rPr>
              <w:t>Visual</w:t>
            </w:r>
          </w:p>
        </w:tc>
        <w:tc>
          <w:tcPr>
            <w:tcW w:w="2053" w:type="dxa"/>
            <w:tcBorders>
              <w:top w:val="single" w:sz="4" w:space="0" w:color="auto"/>
              <w:left w:val="nil"/>
              <w:bottom w:val="nil"/>
              <w:right w:val="nil"/>
            </w:tcBorders>
          </w:tcPr>
          <w:p w14:paraId="61FA58A6" w14:textId="77777777" w:rsidR="00C2293B" w:rsidRPr="00C2293B" w:rsidRDefault="00C2293B" w:rsidP="00C2293B">
            <w:pPr>
              <w:jc w:val="both"/>
              <w:rPr>
                <w:rFonts w:ascii="Arial" w:eastAsia="Tahoma" w:hAnsi="Arial" w:cs="Arial"/>
                <w:bCs/>
              </w:rPr>
            </w:pPr>
            <w:r w:rsidRPr="00C2293B">
              <w:rPr>
                <w:rFonts w:ascii="Arial" w:eastAsia="Tahoma" w:hAnsi="Arial" w:cs="Arial"/>
                <w:bCs/>
              </w:rPr>
              <w:t xml:space="preserve">     80.77</w:t>
            </w:r>
          </w:p>
        </w:tc>
        <w:tc>
          <w:tcPr>
            <w:tcW w:w="1616" w:type="dxa"/>
            <w:tcBorders>
              <w:top w:val="single" w:sz="4" w:space="0" w:color="auto"/>
              <w:left w:val="nil"/>
              <w:bottom w:val="nil"/>
              <w:right w:val="nil"/>
            </w:tcBorders>
          </w:tcPr>
          <w:p w14:paraId="5C27CA0B" w14:textId="77777777" w:rsidR="00C2293B" w:rsidRPr="00C2293B" w:rsidRDefault="00C2293B" w:rsidP="00C2293B">
            <w:pPr>
              <w:jc w:val="both"/>
              <w:rPr>
                <w:rFonts w:ascii="Arial" w:eastAsia="Tahoma" w:hAnsi="Arial" w:cs="Arial"/>
                <w:bCs/>
              </w:rPr>
            </w:pPr>
            <w:r w:rsidRPr="00C2293B">
              <w:rPr>
                <w:rFonts w:ascii="Arial" w:eastAsia="Tahoma" w:hAnsi="Arial" w:cs="Arial"/>
                <w:bCs/>
              </w:rPr>
              <w:t>0.73</w:t>
            </w:r>
          </w:p>
        </w:tc>
        <w:tc>
          <w:tcPr>
            <w:tcW w:w="2410" w:type="dxa"/>
            <w:tcBorders>
              <w:top w:val="single" w:sz="4" w:space="0" w:color="auto"/>
              <w:left w:val="nil"/>
              <w:bottom w:val="nil"/>
              <w:right w:val="nil"/>
            </w:tcBorders>
          </w:tcPr>
          <w:p w14:paraId="7D7EFDDB" w14:textId="77777777" w:rsidR="00C2293B" w:rsidRPr="00C2293B" w:rsidRDefault="00C2293B" w:rsidP="00C2293B">
            <w:pPr>
              <w:jc w:val="both"/>
              <w:rPr>
                <w:rFonts w:ascii="Arial" w:eastAsia="Tahoma" w:hAnsi="Arial" w:cs="Arial"/>
                <w:bCs/>
              </w:rPr>
            </w:pPr>
            <w:r w:rsidRPr="00C2293B">
              <w:rPr>
                <w:rFonts w:ascii="Arial" w:eastAsia="Tahoma" w:hAnsi="Arial" w:cs="Arial"/>
                <w:bCs/>
              </w:rPr>
              <w:t>Not Significant</w:t>
            </w:r>
          </w:p>
        </w:tc>
      </w:tr>
      <w:tr w:rsidR="00C2293B" w:rsidRPr="00C2293B" w14:paraId="3133AFEA" w14:textId="77777777" w:rsidTr="003579E1">
        <w:trPr>
          <w:trHeight w:val="270"/>
        </w:trPr>
        <w:tc>
          <w:tcPr>
            <w:tcW w:w="1841" w:type="dxa"/>
            <w:tcBorders>
              <w:top w:val="nil"/>
              <w:left w:val="nil"/>
              <w:bottom w:val="nil"/>
              <w:right w:val="nil"/>
            </w:tcBorders>
          </w:tcPr>
          <w:p w14:paraId="52B78F01" w14:textId="77777777" w:rsidR="00C2293B" w:rsidRPr="00C2293B" w:rsidRDefault="00C2293B" w:rsidP="00C2293B">
            <w:pPr>
              <w:jc w:val="both"/>
              <w:rPr>
                <w:rFonts w:ascii="Arial" w:eastAsia="Tahoma" w:hAnsi="Arial" w:cs="Arial"/>
                <w:b/>
              </w:rPr>
            </w:pPr>
            <w:r w:rsidRPr="00C2293B">
              <w:rPr>
                <w:rFonts w:ascii="Arial" w:eastAsia="Tahoma" w:hAnsi="Arial" w:cs="Arial"/>
                <w:b/>
              </w:rPr>
              <w:t>Auditory</w:t>
            </w:r>
          </w:p>
        </w:tc>
        <w:tc>
          <w:tcPr>
            <w:tcW w:w="2053" w:type="dxa"/>
            <w:tcBorders>
              <w:top w:val="nil"/>
              <w:left w:val="nil"/>
              <w:bottom w:val="nil"/>
              <w:right w:val="nil"/>
            </w:tcBorders>
          </w:tcPr>
          <w:p w14:paraId="66F6009D" w14:textId="77777777" w:rsidR="00C2293B" w:rsidRPr="00C2293B" w:rsidRDefault="00C2293B" w:rsidP="00C2293B">
            <w:pPr>
              <w:jc w:val="both"/>
              <w:rPr>
                <w:rFonts w:ascii="Arial" w:eastAsia="Tahoma" w:hAnsi="Arial" w:cs="Arial"/>
                <w:bCs/>
              </w:rPr>
            </w:pPr>
            <w:r w:rsidRPr="00C2293B">
              <w:rPr>
                <w:rFonts w:ascii="Arial" w:eastAsia="Tahoma" w:hAnsi="Arial" w:cs="Arial"/>
                <w:bCs/>
              </w:rPr>
              <w:t>80.87</w:t>
            </w:r>
          </w:p>
        </w:tc>
        <w:tc>
          <w:tcPr>
            <w:tcW w:w="1616" w:type="dxa"/>
            <w:tcBorders>
              <w:top w:val="nil"/>
              <w:left w:val="nil"/>
              <w:bottom w:val="nil"/>
              <w:right w:val="nil"/>
            </w:tcBorders>
          </w:tcPr>
          <w:p w14:paraId="06826C6B" w14:textId="77777777" w:rsidR="00C2293B" w:rsidRPr="00C2293B" w:rsidRDefault="00C2293B" w:rsidP="00C2293B">
            <w:pPr>
              <w:jc w:val="both"/>
              <w:rPr>
                <w:rFonts w:ascii="Arial" w:eastAsia="Tahoma" w:hAnsi="Arial" w:cs="Arial"/>
                <w:bCs/>
              </w:rPr>
            </w:pPr>
          </w:p>
        </w:tc>
        <w:tc>
          <w:tcPr>
            <w:tcW w:w="2410" w:type="dxa"/>
            <w:tcBorders>
              <w:top w:val="nil"/>
              <w:left w:val="nil"/>
              <w:bottom w:val="nil"/>
              <w:right w:val="nil"/>
            </w:tcBorders>
          </w:tcPr>
          <w:p w14:paraId="5485EF21" w14:textId="77777777" w:rsidR="00C2293B" w:rsidRPr="00C2293B" w:rsidRDefault="00C2293B" w:rsidP="00C2293B">
            <w:pPr>
              <w:jc w:val="both"/>
              <w:rPr>
                <w:rFonts w:ascii="Arial" w:eastAsia="Tahoma" w:hAnsi="Arial" w:cs="Arial"/>
                <w:bCs/>
              </w:rPr>
            </w:pPr>
          </w:p>
        </w:tc>
      </w:tr>
      <w:tr w:rsidR="00C2293B" w:rsidRPr="00C2293B" w14:paraId="15F545F1" w14:textId="77777777" w:rsidTr="003579E1">
        <w:tc>
          <w:tcPr>
            <w:tcW w:w="1841" w:type="dxa"/>
            <w:tcBorders>
              <w:top w:val="nil"/>
              <w:left w:val="nil"/>
              <w:bottom w:val="thickThinSmallGap" w:sz="24" w:space="0" w:color="auto"/>
              <w:right w:val="nil"/>
            </w:tcBorders>
          </w:tcPr>
          <w:p w14:paraId="26F05F34" w14:textId="77777777" w:rsidR="00C2293B" w:rsidRPr="00C2293B" w:rsidRDefault="00C2293B" w:rsidP="00C2293B">
            <w:pPr>
              <w:jc w:val="both"/>
              <w:rPr>
                <w:rFonts w:ascii="Arial" w:eastAsia="Tahoma" w:hAnsi="Arial" w:cs="Arial"/>
                <w:b/>
              </w:rPr>
            </w:pPr>
            <w:r w:rsidRPr="00C2293B">
              <w:rPr>
                <w:rFonts w:ascii="Arial" w:eastAsia="Tahoma" w:hAnsi="Arial" w:cs="Arial"/>
                <w:b/>
              </w:rPr>
              <w:t>Kinesthetic</w:t>
            </w:r>
          </w:p>
        </w:tc>
        <w:tc>
          <w:tcPr>
            <w:tcW w:w="2053" w:type="dxa"/>
            <w:tcBorders>
              <w:top w:val="nil"/>
              <w:left w:val="nil"/>
              <w:bottom w:val="thickThinSmallGap" w:sz="24" w:space="0" w:color="auto"/>
              <w:right w:val="nil"/>
            </w:tcBorders>
          </w:tcPr>
          <w:p w14:paraId="6E811465" w14:textId="77777777" w:rsidR="00C2293B" w:rsidRPr="00C2293B" w:rsidRDefault="00C2293B" w:rsidP="00C2293B">
            <w:pPr>
              <w:jc w:val="both"/>
              <w:rPr>
                <w:rFonts w:ascii="Arial" w:eastAsia="Tahoma" w:hAnsi="Arial" w:cs="Arial"/>
                <w:bCs/>
              </w:rPr>
            </w:pPr>
            <w:r w:rsidRPr="00C2293B">
              <w:rPr>
                <w:rFonts w:ascii="Arial" w:eastAsia="Tahoma" w:hAnsi="Arial" w:cs="Arial"/>
                <w:bCs/>
              </w:rPr>
              <w:t>81.22</w:t>
            </w:r>
          </w:p>
        </w:tc>
        <w:tc>
          <w:tcPr>
            <w:tcW w:w="1616" w:type="dxa"/>
            <w:tcBorders>
              <w:top w:val="nil"/>
              <w:left w:val="nil"/>
              <w:bottom w:val="thickThinSmallGap" w:sz="24" w:space="0" w:color="auto"/>
              <w:right w:val="nil"/>
            </w:tcBorders>
          </w:tcPr>
          <w:p w14:paraId="68F863F8" w14:textId="77777777" w:rsidR="00C2293B" w:rsidRPr="00C2293B" w:rsidRDefault="00C2293B" w:rsidP="00C2293B">
            <w:pPr>
              <w:jc w:val="both"/>
              <w:rPr>
                <w:rFonts w:ascii="Arial" w:eastAsia="Tahoma" w:hAnsi="Arial" w:cs="Arial"/>
                <w:bCs/>
              </w:rPr>
            </w:pPr>
          </w:p>
        </w:tc>
        <w:tc>
          <w:tcPr>
            <w:tcW w:w="2410" w:type="dxa"/>
            <w:tcBorders>
              <w:top w:val="nil"/>
              <w:left w:val="nil"/>
              <w:bottom w:val="thickThinSmallGap" w:sz="24" w:space="0" w:color="auto"/>
              <w:right w:val="nil"/>
            </w:tcBorders>
          </w:tcPr>
          <w:p w14:paraId="1C2015E9" w14:textId="77777777" w:rsidR="00C2293B" w:rsidRPr="00C2293B" w:rsidRDefault="00C2293B" w:rsidP="00C2293B">
            <w:pPr>
              <w:jc w:val="both"/>
              <w:rPr>
                <w:rFonts w:ascii="Arial" w:eastAsia="Tahoma" w:hAnsi="Arial" w:cs="Arial"/>
                <w:bCs/>
              </w:rPr>
            </w:pPr>
          </w:p>
        </w:tc>
      </w:tr>
    </w:tbl>
    <w:p w14:paraId="7D88EE29" w14:textId="77777777" w:rsidR="00C2293B" w:rsidRPr="00C2293B" w:rsidRDefault="00C2293B" w:rsidP="00C2293B">
      <w:pPr>
        <w:jc w:val="both"/>
        <w:rPr>
          <w:rFonts w:ascii="Arial" w:eastAsia="Tahoma" w:hAnsi="Arial" w:cs="Arial"/>
          <w:b/>
          <w:bCs/>
        </w:rPr>
      </w:pPr>
    </w:p>
    <w:p w14:paraId="75176EF8" w14:textId="77777777" w:rsidR="00C2293B" w:rsidRPr="00C4354A" w:rsidRDefault="00C2293B" w:rsidP="00C2293B">
      <w:pPr>
        <w:jc w:val="both"/>
        <w:rPr>
          <w:rFonts w:ascii="Arial" w:eastAsia="Tahoma" w:hAnsi="Arial" w:cs="Arial"/>
        </w:rPr>
      </w:pPr>
    </w:p>
    <w:p w14:paraId="586807B3" w14:textId="703CEEA9"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w:t>
      </w:r>
    </w:p>
    <w:p w14:paraId="2647C42D" w14:textId="77777777" w:rsidR="005D3EC2" w:rsidRDefault="005D3EC2" w:rsidP="004E53E4">
      <w:pPr>
        <w:pStyle w:val="NoSpacing1"/>
        <w:jc w:val="both"/>
        <w:rPr>
          <w:rFonts w:ascii="Arial" w:eastAsia="SimSun" w:hAnsi="Arial"/>
          <w:b/>
          <w:bCs/>
          <w:sz w:val="20"/>
          <w:szCs w:val="20"/>
          <w:shd w:val="clear" w:color="auto" w:fill="FFFFFF"/>
        </w:rPr>
      </w:pPr>
    </w:p>
    <w:p w14:paraId="1BE32724" w14:textId="77777777" w:rsidR="005D3EC2" w:rsidRPr="005D3EC2" w:rsidRDefault="005D3EC2" w:rsidP="005D3EC2">
      <w:pPr>
        <w:pStyle w:val="NoSpacing1"/>
        <w:rPr>
          <w:rFonts w:ascii="Arial" w:hAnsi="Arial"/>
          <w:b/>
          <w:bCs/>
          <w:shd w:val="clear" w:color="auto" w:fill="FFFFFF"/>
        </w:rPr>
      </w:pPr>
      <w:r w:rsidRPr="005D3EC2">
        <w:rPr>
          <w:rFonts w:ascii="Arial" w:eastAsia="SimSun" w:hAnsi="Arial"/>
          <w:b/>
          <w:bCs/>
          <w:shd w:val="clear" w:color="auto" w:fill="FFFFFF"/>
        </w:rPr>
        <w:t>5. CONCLUSIONS AND RECOMMENDATIONS</w:t>
      </w:r>
    </w:p>
    <w:p w14:paraId="3A475908" w14:textId="77777777" w:rsidR="005D3EC2" w:rsidRDefault="005D3EC2" w:rsidP="004E53E4">
      <w:pPr>
        <w:pStyle w:val="NoSpacing1"/>
        <w:jc w:val="both"/>
        <w:rPr>
          <w:rFonts w:ascii="Arial" w:eastAsia="SimSun" w:hAnsi="Arial"/>
          <w:b/>
          <w:bCs/>
          <w:sz w:val="20"/>
          <w:szCs w:val="20"/>
          <w:shd w:val="clear" w:color="auto" w:fill="FFFFFF"/>
        </w:rPr>
      </w:pPr>
    </w:p>
    <w:p w14:paraId="38E88C18" w14:textId="77777777" w:rsidR="005D3EC2" w:rsidRDefault="005D3EC2" w:rsidP="004E53E4">
      <w:pPr>
        <w:pStyle w:val="NoSpacing1"/>
        <w:jc w:val="both"/>
        <w:rPr>
          <w:rFonts w:ascii="Arial" w:eastAsia="SimSun" w:hAnsi="Arial"/>
          <w:b/>
          <w:bCs/>
          <w:sz w:val="20"/>
          <w:szCs w:val="20"/>
          <w:shd w:val="clear" w:color="auto" w:fill="FFFFFF"/>
        </w:rPr>
      </w:pPr>
    </w:p>
    <w:p w14:paraId="677F6013" w14:textId="59FF7997"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19BB7C29" w14:textId="77777777" w:rsidR="00AE1F6F" w:rsidRPr="00AE1F6F" w:rsidRDefault="00AE1F6F" w:rsidP="00AE1F6F">
      <w:pPr>
        <w:pStyle w:val="NoSpacing1"/>
        <w:ind w:firstLine="720"/>
        <w:jc w:val="both"/>
        <w:rPr>
          <w:rFonts w:ascii="Arial" w:eastAsia="Tahoma" w:hAnsi="Arial"/>
          <w:sz w:val="20"/>
          <w:szCs w:val="20"/>
        </w:rPr>
      </w:pPr>
      <w:r w:rsidRPr="00AE1F6F">
        <w:rPr>
          <w:rFonts w:ascii="Arial" w:eastAsia="Tahoma" w:hAnsi="Arial"/>
          <w:sz w:val="20"/>
          <w:szCs w:val="20"/>
        </w:rPr>
        <w:t xml:space="preserve">According to the findings and statistical results of the data, the following conclusions were the following; First, the results showed that the indicator visual learning style got the highest frequency score, which implies that it is the most preferred learning style. Second, the result of the academic performance of the intermediate pupils is the approaching proficient level, wherein the pupils have developed the fundamental knowledge and skills and core understandings and with little guidance from the teacher and/or with some assistance from </w:t>
      </w:r>
      <w:r w:rsidRPr="00AE1F6F">
        <w:rPr>
          <w:rFonts w:ascii="Arial" w:eastAsia="Tahoma" w:hAnsi="Arial"/>
          <w:sz w:val="20"/>
          <w:szCs w:val="20"/>
        </w:rPr>
        <w:lastRenderedPageBreak/>
        <w:t xml:space="preserve">peers, can transfer these understandings through authentic performance tasks. Lastly, it was revealed that there is no significant difference between intermediate pupils’ academic performance when grouped according to their learning style preference.  </w:t>
      </w:r>
    </w:p>
    <w:p w14:paraId="214B100B" w14:textId="51ADF5CC" w:rsidR="00915A47" w:rsidRPr="00915A47" w:rsidRDefault="00915A47" w:rsidP="00AE1F6F">
      <w:pPr>
        <w:pStyle w:val="NoSpacing1"/>
        <w:ind w:firstLine="720"/>
        <w:jc w:val="both"/>
        <w:rPr>
          <w:rFonts w:ascii="Arial" w:eastAsia="Tahoma" w:hAnsi="Arial"/>
          <w:sz w:val="20"/>
          <w:szCs w:val="20"/>
        </w:rPr>
      </w:pPr>
      <w:r w:rsidRPr="00915A47">
        <w:rPr>
          <w:rFonts w:ascii="Arial" w:eastAsia="Tahoma" w:hAnsi="Arial"/>
          <w:sz w:val="20"/>
          <w:szCs w:val="20"/>
        </w:rPr>
        <w:t>.</w:t>
      </w:r>
    </w:p>
    <w:p w14:paraId="075BD6F1" w14:textId="70308720" w:rsidR="0026177E" w:rsidRPr="00705486" w:rsidRDefault="0026177E" w:rsidP="00FA40D3">
      <w:pPr>
        <w:pStyle w:val="NoSpacing1"/>
        <w:ind w:firstLine="720"/>
        <w:jc w:val="both"/>
        <w:rPr>
          <w:rFonts w:ascii="Arial" w:eastAsia="SimSun" w:hAnsi="Arial"/>
          <w:sz w:val="20"/>
          <w:szCs w:val="20"/>
          <w:shd w:val="clear" w:color="auto" w:fill="FFFFFF"/>
        </w:rPr>
      </w:pPr>
    </w:p>
    <w:p w14:paraId="1D6F0EAF" w14:textId="02F44860" w:rsidR="0026177E" w:rsidRDefault="00B511B7" w:rsidP="003A15D1">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Recommendation</w:t>
      </w:r>
    </w:p>
    <w:p w14:paraId="75F15370" w14:textId="77777777" w:rsidR="00AE1F6F" w:rsidRDefault="00AE1F6F" w:rsidP="003A15D1">
      <w:pPr>
        <w:pStyle w:val="NoSpacing1"/>
        <w:jc w:val="both"/>
        <w:rPr>
          <w:rFonts w:ascii="Arial" w:eastAsia="SimSun" w:hAnsi="Arial"/>
          <w:b/>
          <w:bCs/>
          <w:sz w:val="20"/>
          <w:szCs w:val="20"/>
          <w:shd w:val="clear" w:color="auto" w:fill="FFFFFF"/>
        </w:rPr>
      </w:pPr>
    </w:p>
    <w:p w14:paraId="4EF0599E" w14:textId="56C8FB9B" w:rsidR="00AE1F6F" w:rsidRPr="00AE1F6F" w:rsidRDefault="00AE1F6F" w:rsidP="003A15D1">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Pr="00AE1F6F">
        <w:rPr>
          <w:rFonts w:ascii="Arial" w:eastAsia="SimSun" w:hAnsi="Arial"/>
          <w:sz w:val="20"/>
          <w:szCs w:val="20"/>
          <w:shd w:val="clear" w:color="auto" w:fill="FFFFFF"/>
        </w:rPr>
        <w:t>Based on the summary, findings, and conclusions of the study, the researchers recommend the following for consideration: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64FEF3E5"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Educators should implement a balanced instructional approach    that incorporates elements of visual, auditory, and kinesthetic learning.</w:t>
      </w:r>
    </w:p>
    <w:p w14:paraId="23DF7208"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Teachers should regularly assess progress and adjust instructional strategies to meet the specific needs of students in this group, ensuring that they receive the guidance necessary to achieve proficiency.</w:t>
      </w:r>
    </w:p>
    <w:p w14:paraId="4E266E94"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Encourage collaborative learning environments that support in pupils approaching proficient level can benefit from working together to deepen their understanding and application of knowledge.</w:t>
      </w:r>
    </w:p>
    <w:p w14:paraId="18510A0E" w14:textId="4F6A6498" w:rsidR="00711AAB" w:rsidRDefault="00AE1F6F" w:rsidP="00AE1F6F">
      <w:pPr>
        <w:pStyle w:val="NoSpacing1"/>
        <w:numPr>
          <w:ilvl w:val="0"/>
          <w:numId w:val="13"/>
        </w:numPr>
        <w:jc w:val="both"/>
        <w:rPr>
          <w:rFonts w:ascii="Arial" w:eastAsia="SimSun" w:hAnsi="Arial"/>
          <w:sz w:val="20"/>
          <w:szCs w:val="20"/>
          <w:shd w:val="clear" w:color="auto" w:fill="FFFFFF"/>
        </w:rPr>
      </w:pPr>
      <w:r w:rsidRPr="00AE1F6F">
        <w:rPr>
          <w:rFonts w:ascii="Arial" w:eastAsia="SimSun" w:hAnsi="Arial"/>
          <w:sz w:val="20"/>
          <w:szCs w:val="20"/>
          <w:shd w:val="clear" w:color="auto" w:fill="FFFFFF"/>
        </w:rPr>
        <w:t>Future researchers should investigate the interaction between students' preferred learning styles and various educational factors, such as teaching methods, subject matter, and student engagement. While this study found no significant effect of learning styles on academic performance, exploring these interactions could provide deeper insights.</w:t>
      </w:r>
    </w:p>
    <w:p w14:paraId="47D80411" w14:textId="77777777" w:rsidR="00AE1F6F" w:rsidRDefault="00AE1F6F" w:rsidP="00AE1F6F">
      <w:pPr>
        <w:pStyle w:val="NoSpacing1"/>
        <w:ind w:left="1080"/>
        <w:jc w:val="both"/>
        <w:rPr>
          <w:rFonts w:ascii="Arial" w:eastAsia="SimSun" w:hAnsi="Arial"/>
          <w:sz w:val="20"/>
          <w:szCs w:val="20"/>
          <w:shd w:val="clear" w:color="auto" w:fill="FFFFFF"/>
        </w:rPr>
      </w:pPr>
    </w:p>
    <w:p w14:paraId="3D9ECF20" w14:textId="77777777" w:rsidR="00AE1F6F" w:rsidRPr="00705486" w:rsidRDefault="00AE1F6F" w:rsidP="00AE1F6F">
      <w:pPr>
        <w:pStyle w:val="NoSpacing1"/>
        <w:ind w:left="108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1FF741A8"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Adams, R. (2019). Combined effects of various learning styles on overall academic performance in elementary education. Educational Psychology Review, 17(1), 45-60.</w:t>
      </w:r>
    </w:p>
    <w:p w14:paraId="6B9E9ED9" w14:textId="77777777" w:rsidR="00C056B8" w:rsidRPr="00C056B8" w:rsidRDefault="00C056B8" w:rsidP="00C056B8">
      <w:pPr>
        <w:ind w:left="540" w:hanging="540"/>
        <w:jc w:val="both"/>
        <w:rPr>
          <w:rFonts w:ascii="Arial" w:eastAsia="Tahoma" w:hAnsi="Arial"/>
          <w:bCs/>
        </w:rPr>
      </w:pPr>
    </w:p>
    <w:p w14:paraId="3F40DC59" w14:textId="5D499543" w:rsidR="00C056B8" w:rsidRPr="00C056B8" w:rsidRDefault="00C056B8" w:rsidP="00C056B8">
      <w:pPr>
        <w:ind w:left="540" w:hanging="540"/>
        <w:jc w:val="both"/>
        <w:rPr>
          <w:rFonts w:ascii="Arial" w:eastAsia="Tahoma" w:hAnsi="Arial"/>
          <w:bCs/>
        </w:rPr>
      </w:pPr>
      <w:r w:rsidRPr="00C056B8">
        <w:rPr>
          <w:rFonts w:ascii="Arial" w:eastAsia="Tahoma" w:hAnsi="Arial"/>
          <w:bCs/>
        </w:rPr>
        <w:t>Adams, R. S., &amp; WILSON, K. A. (2020). Innovation in educational practices: A systematic review. Educational Innovation Review, 21(3), 45-66.</w:t>
      </w:r>
    </w:p>
    <w:p w14:paraId="3652235D" w14:textId="77777777" w:rsidR="00C056B8" w:rsidRPr="00C056B8" w:rsidRDefault="00C056B8" w:rsidP="00C056B8">
      <w:pPr>
        <w:ind w:left="540" w:hanging="540"/>
        <w:jc w:val="both"/>
        <w:rPr>
          <w:rFonts w:ascii="Arial" w:eastAsia="Tahoma" w:hAnsi="Arial"/>
          <w:bCs/>
        </w:rPr>
      </w:pPr>
    </w:p>
    <w:p w14:paraId="0823893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Anderson, L. W., Krathwohl, D. R., </w:t>
      </w:r>
      <w:proofErr w:type="spellStart"/>
      <w:r w:rsidRPr="00C056B8">
        <w:rPr>
          <w:rFonts w:ascii="Arial" w:eastAsia="Tahoma" w:hAnsi="Arial"/>
          <w:bCs/>
        </w:rPr>
        <w:t>Airasian</w:t>
      </w:r>
      <w:proofErr w:type="spellEnd"/>
      <w:r w:rsidRPr="00C056B8">
        <w:rPr>
          <w:rFonts w:ascii="Arial" w:eastAsia="Tahoma" w:hAnsi="Arial"/>
          <w:bCs/>
        </w:rPr>
        <w:t xml:space="preserve">, P. W., Cruikshank, K. A., Mayer, R. E., </w:t>
      </w:r>
      <w:proofErr w:type="spellStart"/>
      <w:r w:rsidRPr="00C056B8">
        <w:rPr>
          <w:rFonts w:ascii="Arial" w:eastAsia="Tahoma" w:hAnsi="Arial"/>
          <w:bCs/>
        </w:rPr>
        <w:t>Pintrich</w:t>
      </w:r>
      <w:proofErr w:type="spellEnd"/>
      <w:r w:rsidRPr="00C056B8">
        <w:rPr>
          <w:rFonts w:ascii="Arial" w:eastAsia="Tahoma" w:hAnsi="Arial"/>
          <w:bCs/>
        </w:rPr>
        <w:t>, P. R., ... &amp; Wittrock, M. C. (2022). A taxonomy for learning, teaching, and assessing: A revision of Bloom's taxonomy of educational objectives. Longman.</w:t>
      </w:r>
    </w:p>
    <w:p w14:paraId="5654DCEC" w14:textId="77777777" w:rsidR="00C056B8" w:rsidRPr="00C056B8" w:rsidRDefault="00C056B8" w:rsidP="00C056B8">
      <w:pPr>
        <w:ind w:left="540" w:hanging="540"/>
        <w:jc w:val="both"/>
        <w:rPr>
          <w:rFonts w:ascii="Arial" w:eastAsia="Tahoma" w:hAnsi="Arial"/>
          <w:bCs/>
        </w:rPr>
      </w:pPr>
    </w:p>
    <w:p w14:paraId="10AC3BEE" w14:textId="77EA2F8F" w:rsidR="00C056B8" w:rsidRPr="00C056B8" w:rsidRDefault="00C056B8" w:rsidP="00C056B8">
      <w:pPr>
        <w:ind w:left="540" w:hanging="540"/>
        <w:jc w:val="both"/>
        <w:rPr>
          <w:rFonts w:ascii="Arial" w:eastAsia="Tahoma" w:hAnsi="Arial"/>
          <w:bCs/>
          <w:i/>
          <w:iCs/>
        </w:rPr>
      </w:pPr>
      <w:r w:rsidRPr="00C056B8">
        <w:rPr>
          <w:rFonts w:ascii="Arial" w:eastAsia="Tahoma" w:hAnsi="Arial"/>
          <w:bCs/>
        </w:rPr>
        <w:t xml:space="preserve">Alavi, S., &amp; </w:t>
      </w:r>
      <w:proofErr w:type="spellStart"/>
      <w:r w:rsidRPr="00C056B8">
        <w:rPr>
          <w:rFonts w:ascii="Arial" w:eastAsia="Tahoma" w:hAnsi="Arial"/>
          <w:bCs/>
        </w:rPr>
        <w:t>Toozandijaani</w:t>
      </w:r>
      <w:proofErr w:type="spellEnd"/>
      <w:r w:rsidRPr="00C056B8">
        <w:rPr>
          <w:rFonts w:ascii="Arial" w:eastAsia="Tahoma" w:hAnsi="Arial"/>
          <w:bCs/>
        </w:rPr>
        <w:t xml:space="preserve">, H. (2017). The Relationship between            Learning Styles and Students’ Identity Styles. </w:t>
      </w:r>
      <w:r w:rsidRPr="00C056B8">
        <w:rPr>
          <w:rFonts w:ascii="Arial" w:eastAsia="Tahoma" w:hAnsi="Arial"/>
          <w:bCs/>
          <w:i/>
          <w:iCs/>
        </w:rPr>
        <w:t xml:space="preserve">Open Journal of  </w:t>
      </w:r>
    </w:p>
    <w:p w14:paraId="3A83C60B" w14:textId="77777777" w:rsidR="00C056B8" w:rsidRPr="00C056B8" w:rsidRDefault="00C056B8" w:rsidP="00C056B8">
      <w:pPr>
        <w:ind w:left="540" w:hanging="540"/>
        <w:jc w:val="both"/>
        <w:rPr>
          <w:rFonts w:ascii="Arial" w:eastAsia="Tahoma" w:hAnsi="Arial"/>
          <w:bCs/>
          <w:i/>
          <w:iCs/>
        </w:rPr>
      </w:pPr>
      <w:r w:rsidRPr="00C056B8">
        <w:rPr>
          <w:rFonts w:ascii="Arial" w:eastAsia="Tahoma" w:hAnsi="Arial"/>
          <w:bCs/>
          <w:i/>
          <w:iCs/>
        </w:rPr>
        <w:t>Psychiatry,</w:t>
      </w:r>
      <w:proofErr w:type="gramStart"/>
      <w:r w:rsidRPr="00C056B8">
        <w:rPr>
          <w:rFonts w:ascii="Arial" w:eastAsia="Tahoma" w:hAnsi="Arial"/>
          <w:bCs/>
          <w:iCs/>
        </w:rPr>
        <w:t>7,90102.https://doi.org/10.4236/ojpsych.2017.729</w:t>
      </w:r>
      <w:proofErr w:type="gramEnd"/>
      <w:r w:rsidRPr="00C056B8">
        <w:rPr>
          <w:rFonts w:ascii="Arial" w:eastAsia="Tahoma" w:hAnsi="Arial"/>
          <w:bCs/>
          <w:i/>
          <w:iCs/>
        </w:rPr>
        <w:t xml:space="preserve">  </w:t>
      </w:r>
    </w:p>
    <w:p w14:paraId="6C5170C1" w14:textId="77777777" w:rsidR="00C056B8" w:rsidRPr="00C056B8" w:rsidRDefault="00C056B8" w:rsidP="00C056B8">
      <w:pPr>
        <w:ind w:left="540" w:hanging="540"/>
        <w:jc w:val="both"/>
        <w:rPr>
          <w:rFonts w:ascii="Arial" w:eastAsia="Tahoma" w:hAnsi="Arial"/>
          <w:bCs/>
          <w:i/>
          <w:iCs/>
        </w:rPr>
      </w:pPr>
    </w:p>
    <w:p w14:paraId="0B5F976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Ali, </w:t>
      </w:r>
      <w:proofErr w:type="spellStart"/>
      <w:proofErr w:type="gramStart"/>
      <w:r w:rsidRPr="00C056B8">
        <w:rPr>
          <w:rFonts w:ascii="Arial" w:eastAsia="Tahoma" w:hAnsi="Arial"/>
          <w:bCs/>
        </w:rPr>
        <w:t>H.,et</w:t>
      </w:r>
      <w:proofErr w:type="spellEnd"/>
      <w:proofErr w:type="gramEnd"/>
      <w:r w:rsidRPr="00C056B8">
        <w:rPr>
          <w:rFonts w:ascii="Arial" w:eastAsia="Tahoma" w:hAnsi="Arial"/>
          <w:bCs/>
        </w:rPr>
        <w:t xml:space="preserve"> </w:t>
      </w:r>
      <w:proofErr w:type="gramStart"/>
      <w:r w:rsidRPr="00C056B8">
        <w:rPr>
          <w:rFonts w:ascii="Arial" w:eastAsia="Tahoma" w:hAnsi="Arial"/>
          <w:bCs/>
        </w:rPr>
        <w:t>al .</w:t>
      </w:r>
      <w:proofErr w:type="gramEnd"/>
      <w:r w:rsidRPr="00C056B8">
        <w:rPr>
          <w:rFonts w:ascii="Arial" w:eastAsia="Tahoma" w:hAnsi="Arial"/>
          <w:bCs/>
        </w:rPr>
        <w:t xml:space="preserve"> (2019). "Adaptive e-learning environment based on learning styles and its impact on development students' engagement." International Journal of Educational Technology in Higher Education. Retrieved from Springer Open.</w:t>
      </w:r>
    </w:p>
    <w:p w14:paraId="6D3EE9B5" w14:textId="77777777" w:rsidR="00C056B8" w:rsidRPr="00C056B8" w:rsidRDefault="00C056B8" w:rsidP="00C056B8">
      <w:pPr>
        <w:ind w:left="540" w:hanging="540"/>
        <w:jc w:val="both"/>
        <w:rPr>
          <w:rFonts w:ascii="Arial" w:eastAsia="Tahoma" w:hAnsi="Arial"/>
          <w:bCs/>
        </w:rPr>
      </w:pPr>
    </w:p>
    <w:p w14:paraId="2198A89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Armstrong, F. (2017). Teaching and Learning in Diverse and Inclusive Classrooms (2nd ed.). https://www.routledge.com/Teaching-and-Learning-in-Diverse-and-Inclusive-Classrooms-Key-issues-for-new-teachers/Richards-Armstrong/p/book/9781138919600</w:t>
      </w:r>
    </w:p>
    <w:p w14:paraId="78874DB0" w14:textId="77777777" w:rsidR="00C056B8" w:rsidRPr="00C056B8" w:rsidRDefault="00C056B8" w:rsidP="00C056B8">
      <w:pPr>
        <w:ind w:left="540" w:hanging="540"/>
        <w:jc w:val="both"/>
        <w:rPr>
          <w:rFonts w:ascii="Arial" w:eastAsia="Tahoma" w:hAnsi="Arial"/>
          <w:bCs/>
        </w:rPr>
      </w:pPr>
    </w:p>
    <w:p w14:paraId="79BC4DAC" w14:textId="24B7808A" w:rsidR="00C056B8" w:rsidRPr="00C056B8" w:rsidRDefault="00C056B8" w:rsidP="00C056B8">
      <w:pPr>
        <w:ind w:left="540" w:hanging="540"/>
        <w:jc w:val="both"/>
        <w:rPr>
          <w:rFonts w:ascii="Arial" w:eastAsia="Tahoma" w:hAnsi="Arial"/>
          <w:bCs/>
        </w:rPr>
      </w:pPr>
      <w:r w:rsidRPr="00C056B8">
        <w:rPr>
          <w:rFonts w:ascii="Arial" w:eastAsia="Tahoma" w:hAnsi="Arial"/>
          <w:bCs/>
        </w:rPr>
        <w:t>Brallier, C. (2020). The effects of student Engagement on Academic Achievement Among College Students. Middle Tennessee State University.</w:t>
      </w:r>
    </w:p>
    <w:p w14:paraId="47FCBFB0" w14:textId="77777777" w:rsidR="00C056B8" w:rsidRPr="00C056B8" w:rsidRDefault="00C056B8" w:rsidP="00C056B8">
      <w:pPr>
        <w:ind w:left="540" w:hanging="540"/>
        <w:jc w:val="both"/>
        <w:rPr>
          <w:rFonts w:ascii="Arial" w:eastAsia="Tahoma" w:hAnsi="Arial"/>
          <w:bCs/>
        </w:rPr>
      </w:pPr>
    </w:p>
    <w:p w14:paraId="465294A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Cavite, J. A. &amp; Gonzaga, M. V. (2023) Pupils’ Learning Styles and Academic Performance in Modular Learning. International Journal of Multidisciplinary Educational Research and Innovation. 1(3), 72-88. https://doi.org/10.5281/zenodo.8325677</w:t>
      </w:r>
    </w:p>
    <w:p w14:paraId="691EDDEE" w14:textId="77777777" w:rsidR="00C056B8" w:rsidRPr="00C056B8" w:rsidRDefault="00C056B8" w:rsidP="00C056B8">
      <w:pPr>
        <w:ind w:left="540" w:hanging="540"/>
        <w:jc w:val="both"/>
        <w:rPr>
          <w:rFonts w:ascii="Arial" w:eastAsia="Tahoma" w:hAnsi="Arial"/>
          <w:bCs/>
        </w:rPr>
      </w:pPr>
    </w:p>
    <w:p w14:paraId="6034E3E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Clark, M., Wright, J., &amp; Murphy, L. (2021). Kinesthetic Learning: Enhancing Educational Outcomes through Hands-On Activities. Journal of Learning and Development, 16(3), 245-259). </w:t>
      </w:r>
    </w:p>
    <w:p w14:paraId="6818ED96" w14:textId="77777777" w:rsidR="00C056B8" w:rsidRPr="00C056B8" w:rsidRDefault="00C056B8" w:rsidP="00C056B8">
      <w:pPr>
        <w:ind w:left="540" w:hanging="540"/>
        <w:jc w:val="both"/>
        <w:rPr>
          <w:rFonts w:ascii="Arial" w:eastAsia="Tahoma" w:hAnsi="Arial"/>
          <w:bCs/>
        </w:rPr>
      </w:pPr>
    </w:p>
    <w:p w14:paraId="1F5F825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Clark, R. C., &amp; Mayer, R. E. (2021). E-learning and the science of instruction: Proven guidelines for consumers and designers of multimedia learning. Wiley.</w:t>
      </w:r>
    </w:p>
    <w:p w14:paraId="2E170357" w14:textId="77777777" w:rsidR="00C056B8" w:rsidRPr="00C056B8" w:rsidRDefault="00C056B8" w:rsidP="00C056B8">
      <w:pPr>
        <w:ind w:left="540" w:hanging="540"/>
        <w:jc w:val="both"/>
        <w:rPr>
          <w:rFonts w:ascii="Arial" w:eastAsia="Tahoma" w:hAnsi="Arial"/>
          <w:bCs/>
        </w:rPr>
      </w:pPr>
    </w:p>
    <w:p w14:paraId="43E7F6FF" w14:textId="79078617" w:rsidR="00C056B8" w:rsidRPr="00C056B8" w:rsidRDefault="00C056B8" w:rsidP="00C056B8">
      <w:pPr>
        <w:ind w:left="540" w:hanging="540"/>
        <w:jc w:val="both"/>
        <w:rPr>
          <w:rFonts w:ascii="Arial" w:eastAsia="Tahoma" w:hAnsi="Arial"/>
          <w:bCs/>
          <w:i/>
          <w:iCs/>
        </w:rPr>
      </w:pPr>
      <w:r w:rsidRPr="00C056B8">
        <w:rPr>
          <w:rFonts w:ascii="Arial" w:eastAsia="Tahoma" w:hAnsi="Arial"/>
          <w:bCs/>
        </w:rPr>
        <w:t xml:space="preserve">Chen, L., &amp; Wang, H. (2018). Exploring the integration of kinesthetic learning in STEM education: Enhancing students’ interest and achievement in science and mathematics. </w:t>
      </w:r>
      <w:r w:rsidRPr="00C056B8">
        <w:rPr>
          <w:rFonts w:ascii="Arial" w:eastAsia="Tahoma" w:hAnsi="Arial"/>
          <w:bCs/>
          <w:i/>
          <w:iCs/>
        </w:rPr>
        <w:t>Journal of Education Research, 15(3), 210-225.</w:t>
      </w:r>
    </w:p>
    <w:p w14:paraId="34FB7F09" w14:textId="77777777" w:rsidR="00C056B8" w:rsidRPr="00C056B8" w:rsidRDefault="00C056B8" w:rsidP="00C056B8">
      <w:pPr>
        <w:ind w:left="540" w:hanging="540"/>
        <w:jc w:val="both"/>
        <w:rPr>
          <w:rFonts w:ascii="Arial" w:eastAsia="Tahoma" w:hAnsi="Arial"/>
          <w:bCs/>
          <w:i/>
          <w:iCs/>
        </w:rPr>
      </w:pPr>
    </w:p>
    <w:p w14:paraId="2F45536A" w14:textId="77777777" w:rsidR="00C056B8" w:rsidRPr="00C056B8" w:rsidRDefault="00C056B8" w:rsidP="00C056B8">
      <w:pPr>
        <w:ind w:left="540" w:hanging="540"/>
        <w:jc w:val="both"/>
        <w:rPr>
          <w:rFonts w:ascii="Arial" w:eastAsia="Tahoma" w:hAnsi="Arial"/>
          <w:bCs/>
          <w:i/>
          <w:iCs/>
        </w:rPr>
      </w:pPr>
      <w:r w:rsidRPr="00C056B8">
        <w:rPr>
          <w:rFonts w:ascii="Arial" w:eastAsia="Tahoma" w:hAnsi="Arial"/>
          <w:bCs/>
        </w:rPr>
        <w:t>Chen, H. J., Lee, W. T., &amp; Thompson, G. R. (2023).</w:t>
      </w:r>
      <w:r w:rsidRPr="00C056B8">
        <w:rPr>
          <w:rFonts w:ascii="Arial" w:eastAsia="Tahoma" w:hAnsi="Arial"/>
          <w:bCs/>
          <w:i/>
          <w:iCs/>
        </w:rPr>
        <w:t xml:space="preserve"> Adaptive learning platforms: Benefits and challenges in higher education. Journal of Educational Technology Systems, 51(2), 154-172.</w:t>
      </w:r>
    </w:p>
    <w:p w14:paraId="119DC681" w14:textId="77777777" w:rsidR="00C056B8" w:rsidRPr="00C056B8" w:rsidRDefault="00C056B8" w:rsidP="00C056B8">
      <w:pPr>
        <w:ind w:left="540" w:hanging="540"/>
        <w:jc w:val="both"/>
        <w:rPr>
          <w:rFonts w:ascii="Arial" w:eastAsia="Tahoma" w:hAnsi="Arial"/>
          <w:bCs/>
        </w:rPr>
      </w:pPr>
    </w:p>
    <w:p w14:paraId="6CD4F0C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Chaudhry, N. A., Ashar, A., &amp; Ahmad, S. A. (2020). Association of visual, aural, read/write, and kinesthetic (VARK) learning styles and academic performances of dental students. Pakistan Armed Forces Medical Journal, 70(1), 58-63.</w:t>
      </w:r>
    </w:p>
    <w:p w14:paraId="402682D9" w14:textId="77777777" w:rsidR="00C056B8" w:rsidRPr="00C056B8" w:rsidRDefault="00C056B8" w:rsidP="00C056B8">
      <w:pPr>
        <w:ind w:left="540" w:hanging="540"/>
        <w:jc w:val="both"/>
        <w:rPr>
          <w:rFonts w:ascii="Arial" w:eastAsia="Tahoma" w:hAnsi="Arial"/>
          <w:bCs/>
        </w:rPr>
      </w:pPr>
    </w:p>
    <w:p w14:paraId="2076964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CHIKENDU, R. (2020). Visual Learning Style </w:t>
      </w:r>
      <w:proofErr w:type="gramStart"/>
      <w:r w:rsidRPr="00C056B8">
        <w:rPr>
          <w:rFonts w:ascii="Arial" w:eastAsia="Tahoma" w:hAnsi="Arial"/>
          <w:bCs/>
        </w:rPr>
        <w:t>And</w:t>
      </w:r>
      <w:proofErr w:type="gramEnd"/>
      <w:r w:rsidRPr="00C056B8">
        <w:rPr>
          <w:rFonts w:ascii="Arial" w:eastAsia="Tahoma" w:hAnsi="Arial"/>
          <w:bCs/>
        </w:rPr>
        <w:t xml:space="preserve"> Academic Performance </w:t>
      </w:r>
      <w:proofErr w:type="gramStart"/>
      <w:r w:rsidRPr="00C056B8">
        <w:rPr>
          <w:rFonts w:ascii="Arial" w:eastAsia="Tahoma" w:hAnsi="Arial"/>
          <w:bCs/>
        </w:rPr>
        <w:t>Of</w:t>
      </w:r>
      <w:proofErr w:type="gramEnd"/>
      <w:r w:rsidRPr="00C056B8">
        <w:rPr>
          <w:rFonts w:ascii="Arial" w:eastAsia="Tahoma" w:hAnsi="Arial"/>
          <w:bCs/>
        </w:rPr>
        <w:t xml:space="preserve"> Senior Secondary School Students </w:t>
      </w:r>
      <w:proofErr w:type="gramStart"/>
      <w:r w:rsidRPr="00C056B8">
        <w:rPr>
          <w:rFonts w:ascii="Arial" w:eastAsia="Tahoma" w:hAnsi="Arial"/>
          <w:bCs/>
        </w:rPr>
        <w:t>In</w:t>
      </w:r>
      <w:proofErr w:type="gramEnd"/>
      <w:r w:rsidRPr="00C056B8">
        <w:rPr>
          <w:rFonts w:ascii="Arial" w:eastAsia="Tahoma" w:hAnsi="Arial"/>
          <w:bCs/>
        </w:rPr>
        <w:t xml:space="preserve"> Anambra State, Nigeria. </w:t>
      </w:r>
      <w:r w:rsidRPr="00C056B8">
        <w:rPr>
          <w:rFonts w:ascii="Arial" w:eastAsia="Tahoma" w:hAnsi="Arial"/>
          <w:bCs/>
          <w:i/>
        </w:rPr>
        <w:t xml:space="preserve">African Journal </w:t>
      </w:r>
      <w:proofErr w:type="gramStart"/>
      <w:r w:rsidRPr="00C056B8">
        <w:rPr>
          <w:rFonts w:ascii="Arial" w:eastAsia="Tahoma" w:hAnsi="Arial"/>
          <w:bCs/>
          <w:i/>
        </w:rPr>
        <w:t>Of</w:t>
      </w:r>
      <w:proofErr w:type="gramEnd"/>
      <w:r w:rsidRPr="00C056B8">
        <w:rPr>
          <w:rFonts w:ascii="Arial" w:eastAsia="Tahoma" w:hAnsi="Arial"/>
          <w:bCs/>
          <w:i/>
        </w:rPr>
        <w:t xml:space="preserve"> Educational Management</w:t>
      </w:r>
      <w:r w:rsidRPr="00C056B8">
        <w:rPr>
          <w:rFonts w:ascii="Arial" w:eastAsia="Tahoma" w:hAnsi="Arial"/>
          <w:bCs/>
        </w:rPr>
        <w:t xml:space="preserve">, Teaching </w:t>
      </w:r>
      <w:proofErr w:type="gramStart"/>
      <w:r w:rsidRPr="00C056B8">
        <w:rPr>
          <w:rFonts w:ascii="Arial" w:eastAsia="Tahoma" w:hAnsi="Arial"/>
          <w:bCs/>
        </w:rPr>
        <w:t>And</w:t>
      </w:r>
      <w:proofErr w:type="gramEnd"/>
      <w:r w:rsidRPr="00C056B8">
        <w:rPr>
          <w:rFonts w:ascii="Arial" w:eastAsia="Tahoma" w:hAnsi="Arial"/>
          <w:bCs/>
        </w:rPr>
        <w:t xml:space="preserve"> Entrepreneurship Studies, 7.</w:t>
      </w:r>
    </w:p>
    <w:p w14:paraId="006FD44D" w14:textId="77777777" w:rsidR="00C056B8" w:rsidRPr="00C056B8" w:rsidRDefault="00C056B8" w:rsidP="00C056B8">
      <w:pPr>
        <w:ind w:left="540" w:hanging="540"/>
        <w:jc w:val="both"/>
        <w:rPr>
          <w:rFonts w:ascii="Arial" w:eastAsia="Tahoma" w:hAnsi="Arial"/>
          <w:bCs/>
        </w:rPr>
      </w:pPr>
    </w:p>
    <w:p w14:paraId="5D302B6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Coffield, F., Moseley, D., Hall, E., &amp; Ecclestone, K. (2004). </w:t>
      </w:r>
    </w:p>
    <w:p w14:paraId="1BFE907A"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       LEARNING STYLES AND PEDAGOGY IN POST-16 LEARNING: A SYSTEMATIC AND CRITICAL REVIEW. LEARNING AND SKILLS RESEARCH CENTRE.</w:t>
      </w:r>
    </w:p>
    <w:p w14:paraId="0FF946C7" w14:textId="77777777" w:rsidR="00C056B8" w:rsidRPr="00C056B8" w:rsidRDefault="00C056B8" w:rsidP="00C056B8">
      <w:pPr>
        <w:ind w:left="540" w:hanging="540"/>
        <w:jc w:val="both"/>
        <w:rPr>
          <w:rFonts w:ascii="Arial" w:eastAsia="Tahoma" w:hAnsi="Arial"/>
          <w:bCs/>
        </w:rPr>
      </w:pPr>
    </w:p>
    <w:p w14:paraId="691D0B72" w14:textId="77777777" w:rsidR="00C056B8" w:rsidRPr="00C056B8" w:rsidRDefault="00C056B8" w:rsidP="00C056B8">
      <w:pPr>
        <w:ind w:left="540" w:hanging="540"/>
        <w:jc w:val="both"/>
        <w:rPr>
          <w:rFonts w:ascii="Arial" w:eastAsia="Tahoma" w:hAnsi="Arial"/>
          <w:bCs/>
          <w:i/>
          <w:iCs/>
        </w:rPr>
      </w:pPr>
      <w:proofErr w:type="spellStart"/>
      <w:r w:rsidRPr="00C056B8">
        <w:rPr>
          <w:rFonts w:ascii="Arial" w:eastAsia="Tahoma" w:hAnsi="Arial"/>
          <w:bCs/>
        </w:rPr>
        <w:t>Cimermanová</w:t>
      </w:r>
      <w:proofErr w:type="spellEnd"/>
      <w:r w:rsidRPr="00C056B8">
        <w:rPr>
          <w:rFonts w:ascii="Arial" w:eastAsia="Tahoma" w:hAnsi="Arial"/>
          <w:bCs/>
        </w:rPr>
        <w:t>, I. (2018). The effect of learning styles on academic achievement in different forms of teaching. </w:t>
      </w:r>
      <w:r w:rsidRPr="00C056B8">
        <w:rPr>
          <w:rFonts w:ascii="Arial" w:eastAsia="Tahoma" w:hAnsi="Arial"/>
          <w:bCs/>
          <w:i/>
          <w:iCs/>
        </w:rPr>
        <w:t>International Journal of Instruction, 11(3), 219–232.</w:t>
      </w:r>
    </w:p>
    <w:p w14:paraId="1A4CF560" w14:textId="77777777" w:rsidR="00C056B8" w:rsidRPr="00C056B8" w:rsidRDefault="00C056B8" w:rsidP="00C056B8">
      <w:pPr>
        <w:ind w:left="540" w:hanging="540"/>
        <w:jc w:val="both"/>
        <w:rPr>
          <w:rFonts w:ascii="Arial" w:eastAsia="Tahoma" w:hAnsi="Arial"/>
          <w:bCs/>
        </w:rPr>
      </w:pPr>
    </w:p>
    <w:p w14:paraId="156E1901" w14:textId="6581A94F"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Dalmolina</w:t>
      </w:r>
      <w:proofErr w:type="spellEnd"/>
      <w:r w:rsidRPr="00C056B8">
        <w:rPr>
          <w:rFonts w:ascii="Arial" w:eastAsia="Tahoma" w:hAnsi="Arial"/>
          <w:bCs/>
        </w:rPr>
        <w:t xml:space="preserve"> A., </w:t>
      </w:r>
      <w:proofErr w:type="spellStart"/>
      <w:r w:rsidRPr="00C056B8">
        <w:rPr>
          <w:rFonts w:ascii="Arial" w:eastAsia="Tahoma" w:hAnsi="Arial"/>
          <w:bCs/>
        </w:rPr>
        <w:t>Mackeivz</w:t>
      </w:r>
      <w:proofErr w:type="spellEnd"/>
      <w:r w:rsidRPr="00C056B8">
        <w:rPr>
          <w:rFonts w:ascii="Arial" w:eastAsia="Tahoma" w:hAnsi="Arial"/>
          <w:bCs/>
        </w:rPr>
        <w:t xml:space="preserve">, G., </w:t>
      </w:r>
      <w:proofErr w:type="spellStart"/>
      <w:r w:rsidRPr="00C056B8">
        <w:rPr>
          <w:rFonts w:ascii="Arial" w:eastAsia="Tahoma" w:hAnsi="Arial"/>
          <w:bCs/>
        </w:rPr>
        <w:t>Pochapski</w:t>
      </w:r>
      <w:proofErr w:type="spellEnd"/>
      <w:r w:rsidRPr="00C056B8">
        <w:rPr>
          <w:rFonts w:ascii="Arial" w:eastAsia="Tahoma" w:hAnsi="Arial"/>
          <w:bCs/>
        </w:rPr>
        <w:t xml:space="preserve">, M., </w:t>
      </w:r>
      <w:proofErr w:type="spellStart"/>
      <w:r w:rsidRPr="00C056B8">
        <w:rPr>
          <w:rFonts w:ascii="Arial" w:eastAsia="Tahoma" w:hAnsi="Arial"/>
          <w:bCs/>
        </w:rPr>
        <w:t>PilattiI</w:t>
      </w:r>
      <w:proofErr w:type="spellEnd"/>
      <w:r w:rsidRPr="00C056B8">
        <w:rPr>
          <w:rFonts w:ascii="Arial" w:eastAsia="Tahoma" w:hAnsi="Arial"/>
          <w:bCs/>
        </w:rPr>
        <w:t xml:space="preserve">, G., &amp; Santos, F. (2018). Learning styles preferences and e-learning experience of undergraduate dental students. Rev </w:t>
      </w:r>
      <w:proofErr w:type="spellStart"/>
      <w:r w:rsidRPr="00C056B8">
        <w:rPr>
          <w:rFonts w:ascii="Arial" w:eastAsia="Tahoma" w:hAnsi="Arial"/>
          <w:bCs/>
        </w:rPr>
        <w:t>Odontol</w:t>
      </w:r>
      <w:proofErr w:type="spellEnd"/>
      <w:r w:rsidRPr="00C056B8">
        <w:rPr>
          <w:rFonts w:ascii="Arial" w:eastAsia="Tahoma" w:hAnsi="Arial"/>
          <w:bCs/>
        </w:rPr>
        <w:t xml:space="preserve"> UNESP, 47(3), 175-182.        </w:t>
      </w:r>
      <w:hyperlink r:id="rId14" w:history="1">
        <w:r w:rsidRPr="00C056B8">
          <w:rPr>
            <w:rStyle w:val="Hyperlink"/>
            <w:rFonts w:ascii="Arial" w:eastAsia="Tahoma" w:hAnsi="Arial"/>
            <w:bCs/>
          </w:rPr>
          <w:t>https://doi.org/10.1590/1807</w:t>
        </w:r>
      </w:hyperlink>
      <w:hyperlink r:id="rId15" w:history="1">
        <w:r w:rsidRPr="00C056B8">
          <w:rPr>
            <w:rStyle w:val="Hyperlink"/>
            <w:rFonts w:ascii="Arial" w:eastAsia="Tahoma" w:hAnsi="Arial"/>
            <w:bCs/>
          </w:rPr>
          <w:t>-</w:t>
        </w:r>
      </w:hyperlink>
      <w:hyperlink r:id="rId16" w:history="1">
        <w:r w:rsidRPr="00C056B8">
          <w:rPr>
            <w:rStyle w:val="Hyperlink"/>
            <w:rFonts w:ascii="Arial" w:eastAsia="Tahoma" w:hAnsi="Arial"/>
            <w:bCs/>
          </w:rPr>
          <w:t>2577.05118</w:t>
        </w:r>
      </w:hyperlink>
    </w:p>
    <w:p w14:paraId="3BC1E686" w14:textId="77777777" w:rsidR="00C056B8" w:rsidRPr="00C056B8" w:rsidRDefault="00C056B8" w:rsidP="00C056B8">
      <w:pPr>
        <w:ind w:left="540" w:hanging="540"/>
        <w:jc w:val="both"/>
        <w:rPr>
          <w:rFonts w:ascii="Arial" w:eastAsia="Tahoma" w:hAnsi="Arial"/>
          <w:bCs/>
        </w:rPr>
      </w:pPr>
    </w:p>
    <w:p w14:paraId="18B56E23" w14:textId="2D9B2B19"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D</w:t>
      </w:r>
      <w:r w:rsidR="001A4153">
        <w:rPr>
          <w:rFonts w:ascii="Arial" w:eastAsia="Tahoma" w:hAnsi="Arial"/>
          <w:bCs/>
        </w:rPr>
        <w:t>ayagbil</w:t>
      </w:r>
      <w:proofErr w:type="spellEnd"/>
      <w:r w:rsidR="001A4153">
        <w:rPr>
          <w:rFonts w:ascii="Arial" w:eastAsia="Tahoma" w:hAnsi="Arial"/>
          <w:bCs/>
        </w:rPr>
        <w:t>,</w:t>
      </w:r>
      <w:r w:rsidRPr="00C056B8">
        <w:rPr>
          <w:rFonts w:ascii="Arial" w:eastAsia="Tahoma" w:hAnsi="Arial"/>
          <w:bCs/>
        </w:rPr>
        <w:t xml:space="preserve"> FT, P. D. (2021). Teaching and Learning Continuity Amid and Beyond the Pandemic. (J. Royel, Ed.) Teaching and Learning Continuity Amid and Beyond the Pandemic, 1-5. </w:t>
      </w:r>
      <w:hyperlink r:id="rId17" w:history="1">
        <w:r w:rsidRPr="00C056B8">
          <w:rPr>
            <w:rStyle w:val="Hyperlink"/>
            <w:rFonts w:ascii="Arial" w:eastAsia="Tahoma" w:hAnsi="Arial"/>
            <w:bCs/>
          </w:rPr>
          <w:t>https://doi.org/10.3389/feduc.2021.678692</w:t>
        </w:r>
      </w:hyperlink>
    </w:p>
    <w:p w14:paraId="034EE4D3" w14:textId="77777777" w:rsidR="00C056B8" w:rsidRPr="00C056B8" w:rsidRDefault="00C056B8" w:rsidP="00C056B8">
      <w:pPr>
        <w:ind w:left="540" w:hanging="540"/>
        <w:jc w:val="both"/>
        <w:rPr>
          <w:rFonts w:ascii="Arial" w:eastAsia="Tahoma" w:hAnsi="Arial"/>
          <w:bCs/>
        </w:rPr>
      </w:pPr>
    </w:p>
    <w:p w14:paraId="04AD174C" w14:textId="5D1FBDE9" w:rsidR="00C056B8" w:rsidRPr="00C056B8" w:rsidRDefault="00C056B8" w:rsidP="00C056B8">
      <w:pPr>
        <w:ind w:left="540" w:hanging="540"/>
        <w:jc w:val="both"/>
        <w:rPr>
          <w:rFonts w:ascii="Arial" w:eastAsia="Tahoma" w:hAnsi="Arial"/>
          <w:bCs/>
        </w:rPr>
      </w:pPr>
      <w:proofErr w:type="spellStart"/>
      <w:proofErr w:type="gramStart"/>
      <w:r w:rsidRPr="00C056B8">
        <w:rPr>
          <w:rFonts w:ascii="Arial" w:eastAsia="Tahoma" w:hAnsi="Arial"/>
          <w:bCs/>
        </w:rPr>
        <w:t>D</w:t>
      </w:r>
      <w:r w:rsidR="001A4153">
        <w:rPr>
          <w:rFonts w:ascii="Arial" w:eastAsia="Tahoma" w:hAnsi="Arial"/>
          <w:bCs/>
        </w:rPr>
        <w:t>ayagbil</w:t>
      </w:r>
      <w:proofErr w:type="spellEnd"/>
      <w:r w:rsidR="001A4153">
        <w:rPr>
          <w:rFonts w:ascii="Arial" w:eastAsia="Tahoma" w:hAnsi="Arial"/>
          <w:bCs/>
        </w:rPr>
        <w:t xml:space="preserve">, </w:t>
      </w:r>
      <w:r w:rsidRPr="00C056B8">
        <w:rPr>
          <w:rFonts w:ascii="Arial" w:eastAsia="Tahoma" w:hAnsi="Arial"/>
          <w:bCs/>
        </w:rPr>
        <w:t xml:space="preserve"> FT</w:t>
      </w:r>
      <w:proofErr w:type="gramEnd"/>
      <w:r w:rsidRPr="00C056B8">
        <w:rPr>
          <w:rFonts w:ascii="Arial" w:eastAsia="Tahoma" w:hAnsi="Arial"/>
          <w:bCs/>
        </w:rPr>
        <w:t xml:space="preserve">, P. D. (2021). Teaching and Learning Continuity Amid and Beyond the Pandemic. (J. Royel, Ed.) Teaching and Learning Continuity Amid and Beyond the Pandemic, 1-5.   </w:t>
      </w:r>
      <w:hyperlink r:id="rId18" w:history="1">
        <w:r w:rsidRPr="00C056B8">
          <w:rPr>
            <w:rStyle w:val="Hyperlink"/>
            <w:rFonts w:ascii="Arial" w:eastAsia="Tahoma" w:hAnsi="Arial"/>
            <w:bCs/>
          </w:rPr>
          <w:t>https://doi.org/10.3389/feduc.2021.678692</w:t>
        </w:r>
      </w:hyperlink>
    </w:p>
    <w:p w14:paraId="7F636B44" w14:textId="77777777" w:rsidR="00C056B8" w:rsidRPr="00C056B8" w:rsidRDefault="00C056B8" w:rsidP="00C056B8">
      <w:pPr>
        <w:ind w:left="540" w:hanging="540"/>
        <w:jc w:val="both"/>
        <w:rPr>
          <w:rFonts w:ascii="Arial" w:eastAsia="Tahoma" w:hAnsi="Arial"/>
          <w:bCs/>
        </w:rPr>
      </w:pPr>
    </w:p>
    <w:p w14:paraId="24170A6E"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Donnelly, D., &amp; Lomas, J. (2022). The Impact of Learning Styles on Student Achievement: A Comprehensive Review. </w:t>
      </w:r>
      <w:r w:rsidRPr="00C056B8">
        <w:rPr>
          <w:rFonts w:ascii="Arial" w:eastAsia="Tahoma" w:hAnsi="Arial"/>
          <w:bCs/>
          <w:i/>
        </w:rPr>
        <w:t>Journal of Educational Research,</w:t>
      </w:r>
      <w:r w:rsidRPr="00C056B8">
        <w:rPr>
          <w:rFonts w:ascii="Arial" w:eastAsia="Tahoma" w:hAnsi="Arial"/>
          <w:bCs/>
        </w:rPr>
        <w:t xml:space="preserve"> 115(2), 85-100).</w:t>
      </w:r>
    </w:p>
    <w:p w14:paraId="22F7D689" w14:textId="77777777" w:rsidR="00C056B8" w:rsidRPr="00C056B8" w:rsidRDefault="00C056B8" w:rsidP="00C056B8">
      <w:pPr>
        <w:ind w:left="540" w:hanging="540"/>
        <w:jc w:val="both"/>
        <w:rPr>
          <w:rFonts w:ascii="Arial" w:eastAsia="Tahoma" w:hAnsi="Arial"/>
          <w:bCs/>
        </w:rPr>
      </w:pPr>
    </w:p>
    <w:p w14:paraId="18EDFE91" w14:textId="6A4637F5" w:rsidR="00C056B8" w:rsidRPr="00C056B8" w:rsidRDefault="00C056B8" w:rsidP="00C056B8">
      <w:pPr>
        <w:ind w:left="540" w:hanging="540"/>
        <w:jc w:val="both"/>
        <w:rPr>
          <w:rFonts w:ascii="Arial" w:eastAsia="Tahoma" w:hAnsi="Arial"/>
          <w:bCs/>
        </w:rPr>
      </w:pPr>
      <w:r w:rsidRPr="00C056B8">
        <w:rPr>
          <w:rFonts w:ascii="Arial" w:eastAsia="Tahoma" w:hAnsi="Arial"/>
          <w:bCs/>
        </w:rPr>
        <w:t>E</w:t>
      </w:r>
      <w:r w:rsidR="001A4153">
        <w:rPr>
          <w:rFonts w:ascii="Arial" w:eastAsia="Tahoma" w:hAnsi="Arial"/>
          <w:bCs/>
        </w:rPr>
        <w:t>dmunds</w:t>
      </w:r>
      <w:r w:rsidRPr="00C056B8">
        <w:rPr>
          <w:rFonts w:ascii="Arial" w:eastAsia="Tahoma" w:hAnsi="Arial"/>
          <w:bCs/>
        </w:rPr>
        <w:t xml:space="preserve">, J. A., </w:t>
      </w:r>
      <w:proofErr w:type="spellStart"/>
      <w:r w:rsidRPr="00C056B8">
        <w:rPr>
          <w:rFonts w:ascii="Arial" w:eastAsia="Tahoma" w:hAnsi="Arial"/>
          <w:bCs/>
        </w:rPr>
        <w:t>G</w:t>
      </w:r>
      <w:r w:rsidR="001A4153">
        <w:rPr>
          <w:rFonts w:ascii="Arial" w:eastAsia="Tahoma" w:hAnsi="Arial"/>
          <w:bCs/>
        </w:rPr>
        <w:t>icheva</w:t>
      </w:r>
      <w:proofErr w:type="spellEnd"/>
      <w:r w:rsidRPr="00C056B8">
        <w:rPr>
          <w:rFonts w:ascii="Arial" w:eastAsia="Tahoma" w:hAnsi="Arial"/>
          <w:bCs/>
        </w:rPr>
        <w:t>, D., T</w:t>
      </w:r>
      <w:r w:rsidR="001A4153">
        <w:rPr>
          <w:rFonts w:ascii="Arial" w:eastAsia="Tahoma" w:hAnsi="Arial"/>
          <w:bCs/>
        </w:rPr>
        <w:t>hrift</w:t>
      </w:r>
      <w:r w:rsidRPr="00C056B8">
        <w:rPr>
          <w:rFonts w:ascii="Arial" w:eastAsia="Tahoma" w:hAnsi="Arial"/>
          <w:bCs/>
        </w:rPr>
        <w:t>, B., &amp; H</w:t>
      </w:r>
      <w:r w:rsidR="001A4153">
        <w:rPr>
          <w:rFonts w:ascii="Arial" w:eastAsia="Tahoma" w:hAnsi="Arial"/>
          <w:bCs/>
        </w:rPr>
        <w:t>ull</w:t>
      </w:r>
      <w:r w:rsidRPr="00C056B8">
        <w:rPr>
          <w:rFonts w:ascii="Arial" w:eastAsia="Tahoma" w:hAnsi="Arial"/>
          <w:bCs/>
        </w:rPr>
        <w:t>, M. (2021). High tech, high touch: The impact of an online course intervention on academic performance and persistence in higher education. The Internet and Higher Education, 49, 100790.</w:t>
      </w:r>
    </w:p>
    <w:p w14:paraId="7D4BCE5F" w14:textId="77777777" w:rsidR="00C056B8" w:rsidRPr="00C056B8" w:rsidRDefault="00C056B8" w:rsidP="00C056B8">
      <w:pPr>
        <w:ind w:left="540" w:hanging="540"/>
        <w:jc w:val="both"/>
        <w:rPr>
          <w:rFonts w:ascii="Arial" w:eastAsia="Tahoma" w:hAnsi="Arial"/>
          <w:bCs/>
        </w:rPr>
      </w:pPr>
    </w:p>
    <w:p w14:paraId="60392093"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El-Sabagh, H., &amp; Hamed, S. (2020). "The impact of adaptive learning systems on students' learning outcomes and engagement." </w:t>
      </w:r>
      <w:r w:rsidRPr="00C056B8">
        <w:rPr>
          <w:rFonts w:ascii="Arial" w:eastAsia="Tahoma" w:hAnsi="Arial"/>
          <w:bCs/>
          <w:i/>
        </w:rPr>
        <w:t>International Journal of Educational Technology in Higher Education</w:t>
      </w:r>
      <w:r w:rsidRPr="00C056B8">
        <w:rPr>
          <w:rFonts w:ascii="Arial" w:eastAsia="Tahoma" w:hAnsi="Arial"/>
          <w:bCs/>
        </w:rPr>
        <w:t>. Retrieved from Springer Open.</w:t>
      </w:r>
    </w:p>
    <w:p w14:paraId="0AA3903B" w14:textId="77777777" w:rsidR="00C056B8" w:rsidRPr="00C056B8" w:rsidRDefault="00C056B8" w:rsidP="00C056B8">
      <w:pPr>
        <w:ind w:left="540" w:hanging="540"/>
        <w:jc w:val="both"/>
        <w:rPr>
          <w:rFonts w:ascii="Arial" w:eastAsia="Tahoma" w:hAnsi="Arial"/>
          <w:bCs/>
        </w:rPr>
      </w:pPr>
    </w:p>
    <w:p w14:paraId="3FE0DF55"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Fleming, N. D., &amp; Mills, C. (1992). Not another inventory, rather a catalyst for reflection. To Improve the Academy, 11(1), 137-155.</w:t>
      </w:r>
    </w:p>
    <w:p w14:paraId="30E486B0" w14:textId="77777777" w:rsidR="00C056B8" w:rsidRPr="00C056B8" w:rsidRDefault="00C056B8" w:rsidP="00C056B8">
      <w:pPr>
        <w:ind w:left="540" w:hanging="540"/>
        <w:jc w:val="both"/>
        <w:rPr>
          <w:rFonts w:ascii="Arial" w:eastAsia="Tahoma" w:hAnsi="Arial"/>
          <w:bCs/>
        </w:rPr>
      </w:pPr>
    </w:p>
    <w:p w14:paraId="4A0FDA5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Fleming, N. D., &amp; Baume, D. (2020). Learning styles again: </w:t>
      </w:r>
      <w:proofErr w:type="spellStart"/>
      <w:r w:rsidRPr="00C056B8">
        <w:rPr>
          <w:rFonts w:ascii="Arial" w:eastAsia="Tahoma" w:hAnsi="Arial"/>
          <w:bCs/>
        </w:rPr>
        <w:t>VARKing</w:t>
      </w:r>
      <w:proofErr w:type="spellEnd"/>
      <w:r w:rsidRPr="00C056B8">
        <w:rPr>
          <w:rFonts w:ascii="Arial" w:eastAsia="Tahoma" w:hAnsi="Arial"/>
          <w:bCs/>
        </w:rPr>
        <w:t xml:space="preserve"> up the right tree! Educational Developments, 7(4), 4-7.</w:t>
      </w:r>
    </w:p>
    <w:p w14:paraId="5D39061D" w14:textId="77777777" w:rsidR="00C056B8" w:rsidRPr="00C056B8" w:rsidRDefault="00C056B8" w:rsidP="00C056B8">
      <w:pPr>
        <w:ind w:left="540" w:hanging="540"/>
        <w:jc w:val="both"/>
        <w:rPr>
          <w:rFonts w:ascii="Arial" w:eastAsia="Tahoma" w:hAnsi="Arial"/>
          <w:bCs/>
        </w:rPr>
      </w:pPr>
    </w:p>
    <w:p w14:paraId="6FAC68B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Felder, R. M., &amp; Silverman, L. K. (1988). Learning and teaching styles in engineering education. Engineering Education, 78(7), 674-681.</w:t>
      </w:r>
    </w:p>
    <w:p w14:paraId="49F7C685" w14:textId="1ABC145A" w:rsidR="000E53AF" w:rsidRDefault="00A74FA0" w:rsidP="00C26FD3">
      <w:pPr>
        <w:ind w:left="540" w:hanging="540"/>
        <w:jc w:val="both"/>
        <w:rPr>
          <w:rFonts w:ascii="Arial" w:eastAsia="Tahoma" w:hAnsi="Arial"/>
        </w:rPr>
      </w:pPr>
      <w:r w:rsidRPr="00A74FA0">
        <w:rPr>
          <w:rFonts w:ascii="Arial" w:eastAsia="Tahoma" w:hAnsi="Arial"/>
        </w:rPr>
        <w:t>Franca, G. C. (2019). Conflict resolution skills and team building competence of school heads: a model effective school management. SPAMAST Research Journal, 7(1), 34-46</w:t>
      </w:r>
      <w:r>
        <w:rPr>
          <w:rFonts w:ascii="Arial" w:eastAsia="Tahoma" w:hAnsi="Arial"/>
        </w:rPr>
        <w:t>.</w:t>
      </w:r>
    </w:p>
    <w:p w14:paraId="1ABC69B2" w14:textId="61144290" w:rsidR="00A74FA0" w:rsidRDefault="00A74FA0" w:rsidP="00C26FD3">
      <w:pPr>
        <w:ind w:left="540" w:hanging="540"/>
        <w:jc w:val="both"/>
        <w:rPr>
          <w:rFonts w:ascii="Arial" w:eastAsia="Tahoma" w:hAnsi="Arial"/>
        </w:rPr>
      </w:pPr>
      <w:r w:rsidRPr="00A74FA0">
        <w:rPr>
          <w:rFonts w:ascii="Arial" w:eastAsia="Tahoma" w:hAnsi="Arial"/>
        </w:rPr>
        <w:t xml:space="preserve">Franca, Glenford C., Jovelyn L. Franca, and Leonel P. </w:t>
      </w:r>
      <w:proofErr w:type="spellStart"/>
      <w:r w:rsidRPr="00A74FA0">
        <w:rPr>
          <w:rFonts w:ascii="Arial" w:eastAsia="Tahoma" w:hAnsi="Arial"/>
        </w:rPr>
        <w:t>Lumogdang</w:t>
      </w:r>
      <w:proofErr w:type="spellEnd"/>
      <w:r w:rsidRPr="00A74FA0">
        <w:rPr>
          <w:rFonts w:ascii="Arial" w:eastAsia="Tahoma" w:hAnsi="Arial"/>
        </w:rPr>
        <w:t>. 2024. “Cultural Perspectives on the Impact of COVID-19 Among Blaan Tribal Community of Southern Mindanao in the Philippines: A Relativist Perceptual Analysis”. Asian Journal of Education and Social Studies 50 (8):339-46. https://doi.org/10.9734/ajess/2024/v50i81534.</w:t>
      </w:r>
    </w:p>
    <w:p w14:paraId="6DA17418" w14:textId="77777777" w:rsidR="00A74FA0" w:rsidRPr="00C26FD3" w:rsidRDefault="00A74FA0" w:rsidP="00C26FD3">
      <w:pPr>
        <w:ind w:left="540" w:hanging="540"/>
        <w:jc w:val="both"/>
        <w:rPr>
          <w:rFonts w:ascii="Arial" w:eastAsia="Tahoma" w:hAnsi="Arial"/>
        </w:rPr>
      </w:pPr>
    </w:p>
    <w:p w14:paraId="64F24EE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Gardner, H. (1983). Frames of Mind: The Theory of Multiple Intelligences. Basic Books.</w:t>
      </w:r>
    </w:p>
    <w:p w14:paraId="3ECACE03" w14:textId="77777777" w:rsidR="00C056B8" w:rsidRPr="00C056B8" w:rsidRDefault="00C056B8" w:rsidP="00C056B8">
      <w:pPr>
        <w:ind w:left="540" w:hanging="540"/>
        <w:jc w:val="both"/>
        <w:rPr>
          <w:rFonts w:ascii="Arial" w:eastAsia="Tahoma" w:hAnsi="Arial"/>
          <w:bCs/>
        </w:rPr>
      </w:pPr>
    </w:p>
    <w:p w14:paraId="054E22DC" w14:textId="37348AEA"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G</w:t>
      </w:r>
      <w:r>
        <w:rPr>
          <w:rFonts w:ascii="Arial" w:eastAsia="Tahoma" w:hAnsi="Arial"/>
          <w:bCs/>
        </w:rPr>
        <w:t>ashgari</w:t>
      </w:r>
      <w:proofErr w:type="spellEnd"/>
      <w:r w:rsidRPr="00C056B8">
        <w:rPr>
          <w:rFonts w:ascii="Arial" w:eastAsia="Tahoma" w:hAnsi="Arial"/>
          <w:bCs/>
        </w:rPr>
        <w:t>, A. (2017)</w:t>
      </w:r>
      <w:hyperlink r:id="rId19" w:history="1">
        <w:r w:rsidRPr="00C056B8">
          <w:rPr>
            <w:rStyle w:val="Hyperlink"/>
            <w:rFonts w:ascii="Arial" w:eastAsia="Tahoma" w:hAnsi="Arial"/>
            <w:bCs/>
            <w:color w:val="auto"/>
          </w:rPr>
          <w:t>.</w:t>
        </w:r>
      </w:hyperlink>
      <w:hyperlink r:id="rId20" w:history="1">
        <w:r w:rsidRPr="00C056B8">
          <w:rPr>
            <w:rStyle w:val="Hyperlink"/>
            <w:rFonts w:ascii="Arial" w:eastAsia="Tahoma" w:hAnsi="Arial"/>
            <w:bCs/>
            <w:color w:val="auto"/>
          </w:rPr>
          <w:t xml:space="preserve"> </w:t>
        </w:r>
      </w:hyperlink>
      <w:hyperlink r:id="rId21" w:history="1">
        <w:r w:rsidRPr="00C056B8">
          <w:rPr>
            <w:rStyle w:val="Hyperlink"/>
            <w:rFonts w:ascii="Arial" w:eastAsia="Tahoma" w:hAnsi="Arial"/>
            <w:bCs/>
            <w:color w:val="auto"/>
            <w:u w:val="none"/>
          </w:rPr>
          <w:t xml:space="preserve">A study of kinesthetic learning activities in teaching computer </w:t>
        </w:r>
      </w:hyperlink>
      <w:hyperlink r:id="rId22" w:history="1">
        <w:r w:rsidRPr="00C056B8">
          <w:rPr>
            <w:rStyle w:val="Hyperlink"/>
            <w:rFonts w:ascii="Arial" w:eastAsia="Tahoma" w:hAnsi="Arial"/>
            <w:bCs/>
            <w:color w:val="auto"/>
            <w:u w:val="none"/>
          </w:rPr>
          <w:t>algorithms in Saudi Arabia</w:t>
        </w:r>
      </w:hyperlink>
      <w:hyperlink r:id="rId23" w:history="1">
        <w:r w:rsidRPr="00C056B8">
          <w:rPr>
            <w:rStyle w:val="Hyperlink"/>
            <w:rFonts w:ascii="Arial" w:eastAsia="Tahoma" w:hAnsi="Arial"/>
            <w:bCs/>
            <w:color w:val="auto"/>
          </w:rPr>
          <w:t xml:space="preserve"> </w:t>
        </w:r>
      </w:hyperlink>
      <w:r w:rsidRPr="00C056B8">
        <w:rPr>
          <w:rFonts w:ascii="Arial" w:eastAsia="Tahoma" w:hAnsi="Arial"/>
          <w:bCs/>
        </w:rPr>
        <w:t>[PDF document].</w:t>
      </w:r>
    </w:p>
    <w:p w14:paraId="219BF644" w14:textId="77777777" w:rsidR="00C056B8" w:rsidRPr="00C056B8" w:rsidRDefault="00C056B8" w:rsidP="00C056B8">
      <w:pPr>
        <w:ind w:left="540" w:hanging="540"/>
        <w:jc w:val="both"/>
        <w:rPr>
          <w:rFonts w:ascii="Arial" w:eastAsia="Tahoma" w:hAnsi="Arial"/>
          <w:bCs/>
        </w:rPr>
      </w:pPr>
    </w:p>
    <w:p w14:paraId="774345D9" w14:textId="1F0BC22C" w:rsidR="00C056B8" w:rsidRPr="00C056B8" w:rsidRDefault="00C056B8" w:rsidP="00C056B8">
      <w:pPr>
        <w:ind w:left="540" w:hanging="540"/>
        <w:jc w:val="both"/>
        <w:rPr>
          <w:rFonts w:ascii="Arial" w:eastAsia="Tahoma" w:hAnsi="Arial"/>
          <w:bCs/>
          <w:i/>
          <w:iCs/>
        </w:rPr>
      </w:pPr>
      <w:r w:rsidRPr="00C056B8">
        <w:rPr>
          <w:rFonts w:ascii="Arial" w:eastAsia="Tahoma" w:hAnsi="Arial"/>
          <w:bCs/>
        </w:rPr>
        <w:t>G</w:t>
      </w:r>
      <w:r>
        <w:rPr>
          <w:rFonts w:ascii="Arial" w:eastAsia="Tahoma" w:hAnsi="Arial"/>
          <w:bCs/>
        </w:rPr>
        <w:t>arcia</w:t>
      </w:r>
      <w:r w:rsidRPr="00C056B8">
        <w:rPr>
          <w:rFonts w:ascii="Arial" w:eastAsia="Tahoma" w:hAnsi="Arial"/>
          <w:bCs/>
        </w:rPr>
        <w:t xml:space="preserve">, M. (2017). Learning Styles and Academic Performance Among Indigenous Students in Mindanao. </w:t>
      </w:r>
      <w:r w:rsidRPr="00C056B8">
        <w:rPr>
          <w:rFonts w:ascii="Arial" w:eastAsia="Tahoma" w:hAnsi="Arial"/>
          <w:bCs/>
          <w:i/>
          <w:iCs/>
        </w:rPr>
        <w:t xml:space="preserve">Philippine Journal of Indigenous Peoples Education, </w:t>
      </w:r>
      <w:r w:rsidRPr="00C056B8">
        <w:rPr>
          <w:rFonts w:ascii="Arial" w:eastAsia="Tahoma" w:hAnsi="Arial"/>
          <w:bCs/>
          <w:iCs/>
        </w:rPr>
        <w:t>1(1), 45-57.</w:t>
      </w:r>
    </w:p>
    <w:p w14:paraId="6ADB8A0B" w14:textId="5FED0748" w:rsidR="00C056B8" w:rsidRPr="00C056B8" w:rsidRDefault="00C056B8" w:rsidP="00C056B8">
      <w:pPr>
        <w:ind w:left="540" w:hanging="540"/>
        <w:jc w:val="both"/>
        <w:rPr>
          <w:rFonts w:ascii="Arial" w:eastAsia="Tahoma" w:hAnsi="Arial"/>
          <w:bCs/>
        </w:rPr>
      </w:pPr>
      <w:r w:rsidRPr="00C056B8">
        <w:rPr>
          <w:rFonts w:ascii="Arial" w:eastAsia="Tahoma" w:hAnsi="Arial"/>
          <w:bCs/>
        </w:rPr>
        <w:t>G</w:t>
      </w:r>
      <w:r>
        <w:rPr>
          <w:rFonts w:ascii="Arial" w:eastAsia="Tahoma" w:hAnsi="Arial"/>
          <w:bCs/>
        </w:rPr>
        <w:t>arcia</w:t>
      </w:r>
      <w:r w:rsidRPr="00C056B8">
        <w:rPr>
          <w:rFonts w:ascii="Arial" w:eastAsia="Tahoma" w:hAnsi="Arial"/>
          <w:bCs/>
        </w:rPr>
        <w:t>, R., &amp; P</w:t>
      </w:r>
      <w:r>
        <w:rPr>
          <w:rFonts w:ascii="Arial" w:eastAsia="Tahoma" w:hAnsi="Arial"/>
          <w:bCs/>
        </w:rPr>
        <w:t>atel</w:t>
      </w:r>
      <w:r w:rsidRPr="00C056B8">
        <w:rPr>
          <w:rFonts w:ascii="Arial" w:eastAsia="Tahoma" w:hAnsi="Arial"/>
          <w:bCs/>
        </w:rPr>
        <w:t>, S. (2016). Neuroscientific Insights into Learning Preferences and Academic Success Among College Students.</w:t>
      </w:r>
    </w:p>
    <w:p w14:paraId="034BBDB6" w14:textId="77777777" w:rsidR="00C056B8" w:rsidRPr="00C056B8" w:rsidRDefault="00C056B8" w:rsidP="00C056B8">
      <w:pPr>
        <w:ind w:left="540" w:hanging="540"/>
        <w:jc w:val="both"/>
        <w:rPr>
          <w:rFonts w:ascii="Arial" w:eastAsia="Tahoma" w:hAnsi="Arial"/>
          <w:bCs/>
        </w:rPr>
      </w:pPr>
    </w:p>
    <w:p w14:paraId="0BB9B062" w14:textId="450A1B8C" w:rsidR="00C056B8" w:rsidRPr="00C056B8" w:rsidRDefault="00C056B8" w:rsidP="00C056B8">
      <w:pPr>
        <w:ind w:left="540" w:hanging="540"/>
        <w:jc w:val="both"/>
        <w:rPr>
          <w:rFonts w:ascii="Arial" w:eastAsia="Tahoma" w:hAnsi="Arial"/>
          <w:bCs/>
        </w:rPr>
      </w:pPr>
      <w:r w:rsidRPr="00C056B8">
        <w:rPr>
          <w:rFonts w:ascii="Arial" w:eastAsia="Tahoma" w:hAnsi="Arial"/>
          <w:bCs/>
        </w:rPr>
        <w:t>G</w:t>
      </w:r>
      <w:r>
        <w:rPr>
          <w:rFonts w:ascii="Arial" w:eastAsia="Tahoma" w:hAnsi="Arial"/>
          <w:bCs/>
        </w:rPr>
        <w:t>arcia</w:t>
      </w:r>
      <w:r w:rsidRPr="00C056B8">
        <w:rPr>
          <w:rFonts w:ascii="Arial" w:eastAsia="Tahoma" w:hAnsi="Arial"/>
          <w:bCs/>
        </w:rPr>
        <w:t xml:space="preserve"> (2017). Auditory learning styles and their influence on language acquisition in elementary students. </w:t>
      </w:r>
      <w:r w:rsidRPr="00C056B8">
        <w:rPr>
          <w:rFonts w:ascii="Arial" w:eastAsia="Tahoma" w:hAnsi="Arial"/>
          <w:bCs/>
          <w:i/>
        </w:rPr>
        <w:t>Language Learning Journal,</w:t>
      </w:r>
      <w:r w:rsidRPr="00C056B8">
        <w:rPr>
          <w:rFonts w:ascii="Arial" w:eastAsia="Tahoma" w:hAnsi="Arial"/>
          <w:bCs/>
        </w:rPr>
        <w:t xml:space="preserve"> 50(2), 215-230.</w:t>
      </w:r>
    </w:p>
    <w:p w14:paraId="6DB05B18" w14:textId="77777777" w:rsidR="00C056B8" w:rsidRPr="00C056B8" w:rsidRDefault="00C056B8" w:rsidP="00C056B8">
      <w:pPr>
        <w:ind w:left="540" w:hanging="540"/>
        <w:jc w:val="both"/>
        <w:rPr>
          <w:rFonts w:ascii="Arial" w:eastAsia="Tahoma" w:hAnsi="Arial"/>
          <w:bCs/>
        </w:rPr>
      </w:pPr>
    </w:p>
    <w:p w14:paraId="21A3A118" w14:textId="3FF7CB43" w:rsidR="00C056B8" w:rsidRPr="00C056B8" w:rsidRDefault="00C056B8" w:rsidP="00C056B8">
      <w:pPr>
        <w:ind w:left="540" w:hanging="540"/>
        <w:jc w:val="both"/>
        <w:rPr>
          <w:rFonts w:ascii="Arial" w:eastAsia="Tahoma" w:hAnsi="Arial"/>
          <w:bCs/>
        </w:rPr>
      </w:pPr>
      <w:r w:rsidRPr="00C056B8">
        <w:rPr>
          <w:rFonts w:ascii="Arial" w:eastAsia="Tahoma" w:hAnsi="Arial"/>
          <w:bCs/>
        </w:rPr>
        <w:t>H</w:t>
      </w:r>
      <w:r>
        <w:rPr>
          <w:rFonts w:ascii="Arial" w:eastAsia="Tahoma" w:hAnsi="Arial"/>
          <w:bCs/>
        </w:rPr>
        <w:t>a</w:t>
      </w:r>
      <w:r w:rsidRPr="00C056B8">
        <w:rPr>
          <w:rFonts w:ascii="Arial" w:eastAsia="Tahoma" w:hAnsi="Arial"/>
          <w:bCs/>
        </w:rPr>
        <w:t>, N. (2021). Effects Of Learning Style on Students Achievement. Linguistics and Culture Review, Vol. 5 No. 53.</w:t>
      </w:r>
    </w:p>
    <w:p w14:paraId="1D67EA51" w14:textId="77777777" w:rsidR="00C056B8" w:rsidRPr="00C056B8" w:rsidRDefault="00C056B8" w:rsidP="00C056B8">
      <w:pPr>
        <w:ind w:left="540" w:hanging="540"/>
        <w:jc w:val="both"/>
        <w:rPr>
          <w:rFonts w:ascii="Arial" w:eastAsia="Tahoma" w:hAnsi="Arial"/>
          <w:bCs/>
        </w:rPr>
      </w:pPr>
    </w:p>
    <w:p w14:paraId="3694DBA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Hall, T. E., &amp; Meyer, A. (2021). Universal design for learning in                </w:t>
      </w:r>
    </w:p>
    <w:p w14:paraId="07BC42C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      higher education. Harvard Education Press.</w:t>
      </w:r>
    </w:p>
    <w:p w14:paraId="5C5BB333" w14:textId="77777777" w:rsidR="00C056B8" w:rsidRPr="00C056B8" w:rsidRDefault="00C056B8" w:rsidP="00C056B8">
      <w:pPr>
        <w:ind w:left="540" w:hanging="540"/>
        <w:jc w:val="both"/>
        <w:rPr>
          <w:rFonts w:ascii="Arial" w:eastAsia="Tahoma" w:hAnsi="Arial"/>
          <w:bCs/>
        </w:rPr>
      </w:pPr>
    </w:p>
    <w:p w14:paraId="44F6879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Hernandez, J. L., &amp; Lee, K. M. (2020). Bridging the gap: Strategies     </w:t>
      </w:r>
    </w:p>
    <w:p w14:paraId="40BD74F1"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      for enhancing student engagement in virtual learning  </w:t>
      </w:r>
    </w:p>
    <w:p w14:paraId="3F3C1266"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      environments. Computers &amp; Education, 152, 103894.</w:t>
      </w:r>
    </w:p>
    <w:p w14:paraId="7E9AAC84" w14:textId="77777777" w:rsidR="00C056B8" w:rsidRPr="00C056B8" w:rsidRDefault="00C056B8" w:rsidP="00C056B8">
      <w:pPr>
        <w:ind w:left="540" w:hanging="540"/>
        <w:jc w:val="both"/>
        <w:rPr>
          <w:rFonts w:ascii="Arial" w:eastAsia="Tahoma" w:hAnsi="Arial"/>
          <w:bCs/>
        </w:rPr>
      </w:pPr>
    </w:p>
    <w:p w14:paraId="0ED93F83" w14:textId="302159C8"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barrientos</w:t>
      </w:r>
      <w:proofErr w:type="spellEnd"/>
      <w:r w:rsidRPr="00C056B8">
        <w:rPr>
          <w:rFonts w:ascii="Arial" w:eastAsia="Tahoma" w:hAnsi="Arial"/>
          <w:bCs/>
        </w:rPr>
        <w:t xml:space="preserve">, J. A. (2021). Learning Styles About Academic Performance of </w:t>
      </w:r>
      <w:proofErr w:type="spellStart"/>
      <w:r w:rsidRPr="00C056B8">
        <w:rPr>
          <w:rFonts w:ascii="Arial" w:eastAsia="Tahoma" w:hAnsi="Arial"/>
          <w:bCs/>
        </w:rPr>
        <w:t>Btvted</w:t>
      </w:r>
      <w:proofErr w:type="spellEnd"/>
      <w:r w:rsidRPr="00C056B8">
        <w:rPr>
          <w:rFonts w:ascii="Arial" w:eastAsia="Tahoma" w:hAnsi="Arial"/>
          <w:bCs/>
        </w:rPr>
        <w:t xml:space="preserve"> Students. College of Technological Developmental Education, Vol. 2 No. 2.</w:t>
      </w:r>
    </w:p>
    <w:p w14:paraId="3F664C4C" w14:textId="77777777" w:rsidR="00C056B8" w:rsidRPr="00C056B8" w:rsidRDefault="00C056B8" w:rsidP="00C056B8">
      <w:pPr>
        <w:ind w:left="540" w:hanging="540"/>
        <w:jc w:val="both"/>
        <w:rPr>
          <w:rFonts w:ascii="Arial" w:eastAsia="Tahoma" w:hAnsi="Arial"/>
          <w:bCs/>
        </w:rPr>
      </w:pPr>
    </w:p>
    <w:p w14:paraId="5289D2EE" w14:textId="766DD1C5"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lcin</w:t>
      </w:r>
      <w:proofErr w:type="spellEnd"/>
      <w:r w:rsidRPr="00C056B8">
        <w:rPr>
          <w:rFonts w:ascii="Arial" w:eastAsia="Tahoma" w:hAnsi="Arial"/>
          <w:bCs/>
        </w:rPr>
        <w:t xml:space="preserve">, N. T. (2018). The relationship between learning styles and academic performance in TURKISH </w:t>
      </w:r>
      <w:r w:rsidRPr="00C056B8">
        <w:rPr>
          <w:rFonts w:ascii="Arial" w:eastAsia="Tahoma" w:hAnsi="Arial"/>
          <w:bCs/>
        </w:rPr>
        <w:tab/>
        <w:t xml:space="preserve">physiotherapy students. BMC </w:t>
      </w:r>
      <w:r w:rsidRPr="00C056B8">
        <w:rPr>
          <w:rFonts w:ascii="Arial" w:eastAsia="Tahoma" w:hAnsi="Arial"/>
          <w:bCs/>
        </w:rPr>
        <w:tab/>
        <w:t xml:space="preserve">Medical </w:t>
      </w:r>
      <w:r w:rsidRPr="00C056B8">
        <w:rPr>
          <w:rFonts w:ascii="Arial" w:eastAsia="Tahoma" w:hAnsi="Arial"/>
          <w:bCs/>
        </w:rPr>
        <w:tab/>
        <w:t xml:space="preserve">Education, </w:t>
      </w:r>
      <w:r w:rsidRPr="00C056B8">
        <w:rPr>
          <w:rFonts w:ascii="Arial" w:eastAsia="Tahoma" w:hAnsi="Arial"/>
          <w:bCs/>
        </w:rPr>
        <w:tab/>
        <w:t xml:space="preserve">1-8. </w:t>
      </w:r>
      <w:hyperlink r:id="rId24" w:history="1">
        <w:r w:rsidRPr="00C056B8">
          <w:rPr>
            <w:rStyle w:val="Hyperlink"/>
            <w:rFonts w:ascii="Arial" w:eastAsia="Tahoma" w:hAnsi="Arial"/>
            <w:bCs/>
            <w:color w:val="auto"/>
          </w:rPr>
          <w:t>https://doi.org/10.1186/s12909</w:t>
        </w:r>
      </w:hyperlink>
      <w:hyperlink r:id="rId25" w:history="1">
        <w:r w:rsidRPr="00C056B8">
          <w:rPr>
            <w:rStyle w:val="Hyperlink"/>
            <w:rFonts w:ascii="Arial" w:eastAsia="Tahoma" w:hAnsi="Arial"/>
            <w:bCs/>
            <w:color w:val="auto"/>
          </w:rPr>
          <w:t>-</w:t>
        </w:r>
      </w:hyperlink>
      <w:hyperlink r:id="rId26" w:history="1">
        <w:r w:rsidRPr="00C056B8">
          <w:rPr>
            <w:rStyle w:val="Hyperlink"/>
            <w:rFonts w:ascii="Arial" w:eastAsia="Tahoma" w:hAnsi="Arial"/>
            <w:bCs/>
            <w:color w:val="auto"/>
          </w:rPr>
          <w:t>018</w:t>
        </w:r>
      </w:hyperlink>
      <w:hyperlink r:id="rId27" w:history="1">
        <w:r w:rsidRPr="00C056B8">
          <w:rPr>
            <w:rStyle w:val="Hyperlink"/>
            <w:rFonts w:ascii="Arial" w:eastAsia="Tahoma" w:hAnsi="Arial"/>
            <w:bCs/>
            <w:color w:val="auto"/>
          </w:rPr>
          <w:t xml:space="preserve">- </w:t>
        </w:r>
      </w:hyperlink>
      <w:hyperlink r:id="rId28" w:history="1">
        <w:r w:rsidRPr="00C056B8">
          <w:rPr>
            <w:rStyle w:val="Hyperlink"/>
            <w:rFonts w:ascii="Arial" w:eastAsia="Tahoma" w:hAnsi="Arial"/>
            <w:bCs/>
            <w:color w:val="auto"/>
          </w:rPr>
          <w:t>1400</w:t>
        </w:r>
      </w:hyperlink>
      <w:hyperlink r:id="rId29" w:history="1">
        <w:r w:rsidRPr="00C056B8">
          <w:rPr>
            <w:rStyle w:val="Hyperlink"/>
            <w:rFonts w:ascii="Arial" w:eastAsia="Tahoma" w:hAnsi="Arial"/>
            <w:bCs/>
            <w:color w:val="auto"/>
          </w:rPr>
          <w:t>-</w:t>
        </w:r>
      </w:hyperlink>
      <w:hyperlink r:id="rId30" w:history="1">
        <w:r w:rsidRPr="00C056B8">
          <w:rPr>
            <w:rStyle w:val="Hyperlink"/>
            <w:rFonts w:ascii="Arial" w:eastAsia="Tahoma" w:hAnsi="Arial"/>
            <w:bCs/>
            <w:color w:val="auto"/>
          </w:rPr>
          <w:t>2</w:t>
        </w:r>
      </w:hyperlink>
    </w:p>
    <w:p w14:paraId="0C6DCDB4" w14:textId="77777777" w:rsidR="00C056B8" w:rsidRPr="00C056B8" w:rsidRDefault="00C056B8" w:rsidP="00C056B8">
      <w:pPr>
        <w:ind w:left="540" w:hanging="540"/>
        <w:jc w:val="both"/>
        <w:rPr>
          <w:rFonts w:ascii="Arial" w:eastAsia="Tahoma" w:hAnsi="Arial"/>
          <w:bCs/>
        </w:rPr>
      </w:pPr>
    </w:p>
    <w:p w14:paraId="6B7932AD" w14:textId="296422CD"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lcin</w:t>
      </w:r>
      <w:proofErr w:type="spellEnd"/>
      <w:r w:rsidRPr="00C056B8">
        <w:rPr>
          <w:rFonts w:ascii="Arial" w:eastAsia="Tahoma" w:hAnsi="Arial"/>
          <w:bCs/>
        </w:rPr>
        <w:t xml:space="preserve">, N., </w:t>
      </w:r>
      <w:proofErr w:type="spellStart"/>
      <w:r w:rsidRPr="00C056B8">
        <w:rPr>
          <w:rFonts w:ascii="Arial" w:eastAsia="Tahoma" w:hAnsi="Arial"/>
          <w:bCs/>
        </w:rPr>
        <w:t>T</w:t>
      </w:r>
      <w:r>
        <w:rPr>
          <w:rFonts w:ascii="Arial" w:eastAsia="Tahoma" w:hAnsi="Arial"/>
          <w:bCs/>
        </w:rPr>
        <w:t>omruk</w:t>
      </w:r>
      <w:proofErr w:type="spellEnd"/>
      <w:r w:rsidRPr="00C056B8">
        <w:rPr>
          <w:rFonts w:ascii="Arial" w:eastAsia="Tahoma" w:hAnsi="Arial"/>
          <w:bCs/>
        </w:rPr>
        <w:t xml:space="preserve">, M., </w:t>
      </w:r>
      <w:proofErr w:type="spellStart"/>
      <w:r w:rsidRPr="00C056B8">
        <w:rPr>
          <w:rFonts w:ascii="Arial" w:eastAsia="Tahoma" w:hAnsi="Arial"/>
          <w:bCs/>
        </w:rPr>
        <w:t>Y</w:t>
      </w:r>
      <w:r>
        <w:rPr>
          <w:rFonts w:ascii="Arial" w:eastAsia="Tahoma" w:hAnsi="Arial"/>
          <w:bCs/>
        </w:rPr>
        <w:t>esilyaprak</w:t>
      </w:r>
      <w:proofErr w:type="spellEnd"/>
      <w:r w:rsidRPr="00C056B8">
        <w:rPr>
          <w:rFonts w:ascii="Arial" w:eastAsia="Tahoma" w:hAnsi="Arial"/>
          <w:bCs/>
        </w:rPr>
        <w:t xml:space="preserve">, S. S., </w:t>
      </w:r>
      <w:proofErr w:type="spellStart"/>
      <w:r w:rsidRPr="00C056B8">
        <w:rPr>
          <w:rFonts w:ascii="Arial" w:eastAsia="Tahoma" w:hAnsi="Arial"/>
          <w:bCs/>
        </w:rPr>
        <w:t>K</w:t>
      </w:r>
      <w:r>
        <w:rPr>
          <w:rFonts w:ascii="Arial" w:eastAsia="Tahoma" w:hAnsi="Arial"/>
          <w:bCs/>
        </w:rPr>
        <w:t>aradibak</w:t>
      </w:r>
      <w:proofErr w:type="spellEnd"/>
      <w:r w:rsidRPr="00C056B8">
        <w:rPr>
          <w:rFonts w:ascii="Arial" w:eastAsia="Tahoma" w:hAnsi="Arial"/>
          <w:bCs/>
        </w:rPr>
        <w:t xml:space="preserve">, D., &amp; </w:t>
      </w:r>
      <w:proofErr w:type="spellStart"/>
      <w:r w:rsidRPr="00C056B8">
        <w:rPr>
          <w:rFonts w:ascii="Arial" w:eastAsia="Tahoma" w:hAnsi="Arial"/>
          <w:bCs/>
        </w:rPr>
        <w:t>S</w:t>
      </w:r>
      <w:r>
        <w:rPr>
          <w:rFonts w:ascii="Arial" w:eastAsia="Tahoma" w:hAnsi="Arial"/>
          <w:bCs/>
        </w:rPr>
        <w:t>avci</w:t>
      </w:r>
      <w:proofErr w:type="spellEnd"/>
      <w:r w:rsidRPr="00C056B8">
        <w:rPr>
          <w:rFonts w:ascii="Arial" w:eastAsia="Tahoma" w:hAnsi="Arial"/>
          <w:bCs/>
        </w:rPr>
        <w:t xml:space="preserve">, S. (2018). The relationship between learning styles and academic performance in TURKISH physiotherapy </w:t>
      </w:r>
      <w:r w:rsidRPr="00C056B8">
        <w:rPr>
          <w:rFonts w:ascii="Arial" w:eastAsia="Tahoma" w:hAnsi="Arial"/>
          <w:bCs/>
        </w:rPr>
        <w:lastRenderedPageBreak/>
        <w:t xml:space="preserve">students. BMC Medical Education, 18(1), 291. </w:t>
      </w:r>
      <w:hyperlink r:id="rId31" w:history="1">
        <w:r w:rsidRPr="00C056B8">
          <w:rPr>
            <w:rStyle w:val="Hyperlink"/>
            <w:rFonts w:ascii="Arial" w:eastAsia="Tahoma" w:hAnsi="Arial"/>
            <w:bCs/>
            <w:color w:val="auto"/>
            <w:u w:val="none"/>
          </w:rPr>
          <w:t>https://doi.org/10.1186/s12909-018-1400-2</w:t>
        </w:r>
      </w:hyperlink>
    </w:p>
    <w:p w14:paraId="239A1135" w14:textId="02F361DA" w:rsidR="00C056B8" w:rsidRPr="00C056B8" w:rsidRDefault="00C056B8" w:rsidP="00C056B8">
      <w:pPr>
        <w:ind w:left="540" w:hanging="540"/>
        <w:jc w:val="both"/>
        <w:rPr>
          <w:rFonts w:ascii="Arial" w:eastAsia="Tahoma" w:hAnsi="Arial"/>
          <w:bCs/>
        </w:rPr>
      </w:pPr>
      <w:r w:rsidRPr="00C056B8">
        <w:rPr>
          <w:rFonts w:ascii="Arial" w:eastAsia="Tahoma" w:hAnsi="Arial"/>
          <w:bCs/>
        </w:rPr>
        <w:t>J</w:t>
      </w:r>
      <w:r>
        <w:rPr>
          <w:rFonts w:ascii="Arial" w:eastAsia="Tahoma" w:hAnsi="Arial"/>
          <w:bCs/>
        </w:rPr>
        <w:t>awed</w:t>
      </w:r>
      <w:r w:rsidRPr="00C056B8">
        <w:rPr>
          <w:rFonts w:ascii="Arial" w:eastAsia="Tahoma" w:hAnsi="Arial"/>
          <w:bCs/>
        </w:rPr>
        <w:t>, S., A</w:t>
      </w:r>
      <w:r>
        <w:rPr>
          <w:rFonts w:ascii="Arial" w:eastAsia="Tahoma" w:hAnsi="Arial"/>
          <w:bCs/>
        </w:rPr>
        <w:t>min</w:t>
      </w:r>
      <w:r w:rsidRPr="00C056B8">
        <w:rPr>
          <w:rFonts w:ascii="Arial" w:eastAsia="Tahoma" w:hAnsi="Arial"/>
          <w:bCs/>
        </w:rPr>
        <w:t>, H. U., M</w:t>
      </w:r>
      <w:r>
        <w:rPr>
          <w:rFonts w:ascii="Arial" w:eastAsia="Tahoma" w:hAnsi="Arial"/>
          <w:bCs/>
        </w:rPr>
        <w:t>alik</w:t>
      </w:r>
      <w:r w:rsidRPr="00C056B8">
        <w:rPr>
          <w:rFonts w:ascii="Arial" w:eastAsia="Tahoma" w:hAnsi="Arial"/>
          <w:bCs/>
        </w:rPr>
        <w:t>, A. S., &amp; F</w:t>
      </w:r>
      <w:r>
        <w:rPr>
          <w:rFonts w:ascii="Arial" w:eastAsia="Tahoma" w:hAnsi="Arial"/>
          <w:bCs/>
        </w:rPr>
        <w:t>aye</w:t>
      </w:r>
      <w:r w:rsidRPr="00C056B8">
        <w:rPr>
          <w:rFonts w:ascii="Arial" w:eastAsia="Tahoma" w:hAnsi="Arial"/>
          <w:bCs/>
        </w:rPr>
        <w:t>, I. (2019B). Classification of visual and non-visual learners using electroencephalographic alpha and gamma activities. Frontiers in Behavioral Neuroscience, 13.</w:t>
      </w:r>
    </w:p>
    <w:p w14:paraId="6892E98E" w14:textId="206CA781" w:rsidR="00C056B8" w:rsidRPr="00C056B8" w:rsidRDefault="00C056B8" w:rsidP="00C056B8">
      <w:pPr>
        <w:ind w:left="540" w:hanging="540"/>
        <w:jc w:val="both"/>
        <w:rPr>
          <w:rFonts w:ascii="Arial" w:eastAsia="Tahoma" w:hAnsi="Arial"/>
          <w:bCs/>
        </w:rPr>
      </w:pPr>
      <w:r w:rsidRPr="00C056B8">
        <w:rPr>
          <w:rFonts w:ascii="Arial" w:eastAsia="Tahoma" w:hAnsi="Arial"/>
          <w:bCs/>
        </w:rPr>
        <w:t>J</w:t>
      </w:r>
      <w:r>
        <w:rPr>
          <w:rFonts w:ascii="Arial" w:eastAsia="Tahoma" w:hAnsi="Arial"/>
          <w:bCs/>
        </w:rPr>
        <w:t>ones</w:t>
      </w:r>
      <w:r w:rsidRPr="00C056B8">
        <w:rPr>
          <w:rFonts w:ascii="Arial" w:eastAsia="Tahoma" w:hAnsi="Arial"/>
          <w:bCs/>
        </w:rPr>
        <w:t>, A., &amp; G</w:t>
      </w:r>
      <w:r>
        <w:rPr>
          <w:rFonts w:ascii="Arial" w:eastAsia="Tahoma" w:hAnsi="Arial"/>
          <w:bCs/>
        </w:rPr>
        <w:t>arcia</w:t>
      </w:r>
      <w:r w:rsidRPr="00C056B8">
        <w:rPr>
          <w:rFonts w:ascii="Arial" w:eastAsia="Tahoma" w:hAnsi="Arial"/>
          <w:bCs/>
        </w:rPr>
        <w:t>, B. (2017). Meta-analysis of kinesthetic teaching methods: Improving information retention and academic performance among elementary students. Educational Psychology Review, 25(2), 140-155.</w:t>
      </w:r>
    </w:p>
    <w:p w14:paraId="6716DB7A" w14:textId="6F498737" w:rsidR="00C056B8" w:rsidRPr="00C056B8" w:rsidRDefault="00C056B8" w:rsidP="00C056B8">
      <w:pPr>
        <w:ind w:left="540" w:hanging="540"/>
        <w:jc w:val="both"/>
        <w:rPr>
          <w:rFonts w:ascii="Arial" w:eastAsia="Tahoma" w:hAnsi="Arial"/>
          <w:bCs/>
        </w:rPr>
      </w:pPr>
      <w:r w:rsidRPr="00C056B8">
        <w:rPr>
          <w:rFonts w:ascii="Arial" w:eastAsia="Tahoma" w:hAnsi="Arial"/>
          <w:bCs/>
        </w:rPr>
        <w:t>J</w:t>
      </w:r>
      <w:r>
        <w:rPr>
          <w:rFonts w:ascii="Arial" w:eastAsia="Tahoma" w:hAnsi="Arial"/>
          <w:bCs/>
        </w:rPr>
        <w:t>ohnson</w:t>
      </w:r>
      <w:r w:rsidRPr="00C056B8">
        <w:rPr>
          <w:rFonts w:ascii="Arial" w:eastAsia="Tahoma" w:hAnsi="Arial"/>
          <w:bCs/>
        </w:rPr>
        <w:t>, L. (2020). Effects of kinesthetic learning styles on reading proficiency among elementary students. Reading Research Quarterly, 38(4), 301-315.</w:t>
      </w:r>
    </w:p>
    <w:p w14:paraId="72EED0E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Johnson, C., &amp; Smith, T. (2021). Adaptive learning technologies: A guide for educators. </w:t>
      </w:r>
      <w:r w:rsidRPr="00C056B8">
        <w:rPr>
          <w:rFonts w:ascii="Arial" w:eastAsia="Tahoma" w:hAnsi="Arial"/>
          <w:bCs/>
          <w:i/>
        </w:rPr>
        <w:t>Journal of Educational Technology,</w:t>
      </w:r>
      <w:r w:rsidRPr="00C056B8">
        <w:rPr>
          <w:rFonts w:ascii="Arial" w:eastAsia="Tahoma" w:hAnsi="Arial"/>
          <w:bCs/>
        </w:rPr>
        <w:t xml:space="preserve"> 33(4), 24-38.</w:t>
      </w:r>
    </w:p>
    <w:p w14:paraId="4ED20CB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Johnson, D. W., &amp; Black, K. E. (2023). Collaborative learning in digital environments: A meta-analysis. </w:t>
      </w:r>
      <w:r w:rsidRPr="00C056B8">
        <w:rPr>
          <w:rFonts w:ascii="Arial" w:eastAsia="Tahoma" w:hAnsi="Arial"/>
          <w:bCs/>
          <w:i/>
        </w:rPr>
        <w:t>Journal of Educational Psychology,</w:t>
      </w:r>
      <w:r w:rsidRPr="00C056B8">
        <w:rPr>
          <w:rFonts w:ascii="Arial" w:eastAsia="Tahoma" w:hAnsi="Arial"/>
          <w:bCs/>
        </w:rPr>
        <w:t xml:space="preserve"> 115(2), 238-254.</w:t>
      </w:r>
    </w:p>
    <w:p w14:paraId="6B3F4CD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Johnson, D. W., &amp; Thompson, M. J. (2020). The role of collaboration in the classroom: Insights and outcomes. Educational Psychology, 40(3), 298-310.</w:t>
      </w:r>
    </w:p>
    <w:p w14:paraId="76744F1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Jones, P., &amp; Clark, L. M. (2022). Revisiting the learning styles hypothesis in contemporary education. </w:t>
      </w:r>
      <w:r w:rsidRPr="00C056B8">
        <w:rPr>
          <w:rFonts w:ascii="Arial" w:eastAsia="Tahoma" w:hAnsi="Arial"/>
          <w:bCs/>
          <w:i/>
        </w:rPr>
        <w:t>Journal of Cognitive Education and Psychology,</w:t>
      </w:r>
      <w:r w:rsidRPr="00C056B8">
        <w:rPr>
          <w:rFonts w:ascii="Arial" w:eastAsia="Tahoma" w:hAnsi="Arial"/>
          <w:bCs/>
        </w:rPr>
        <w:t xml:space="preserve"> 21(2), 132-145.</w:t>
      </w:r>
    </w:p>
    <w:p w14:paraId="670BF88E" w14:textId="24F25B9C"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K</w:t>
      </w:r>
      <w:r>
        <w:rPr>
          <w:rFonts w:ascii="Arial" w:eastAsia="Tahoma" w:hAnsi="Arial"/>
          <w:bCs/>
        </w:rPr>
        <w:t>ayalar</w:t>
      </w:r>
      <w:proofErr w:type="spellEnd"/>
      <w:r w:rsidRPr="00C056B8">
        <w:rPr>
          <w:rFonts w:ascii="Arial" w:eastAsia="Tahoma" w:hAnsi="Arial"/>
          <w:bCs/>
        </w:rPr>
        <w:t xml:space="preserve">, F., &amp; </w:t>
      </w:r>
      <w:proofErr w:type="spellStart"/>
      <w:r w:rsidRPr="00C056B8">
        <w:rPr>
          <w:rFonts w:ascii="Arial" w:eastAsia="Tahoma" w:hAnsi="Arial"/>
          <w:bCs/>
        </w:rPr>
        <w:t>K</w:t>
      </w:r>
      <w:r>
        <w:rPr>
          <w:rFonts w:ascii="Arial" w:eastAsia="Tahoma" w:hAnsi="Arial"/>
          <w:bCs/>
        </w:rPr>
        <w:t>ayalar</w:t>
      </w:r>
      <w:proofErr w:type="spellEnd"/>
      <w:r w:rsidRPr="00C056B8">
        <w:rPr>
          <w:rFonts w:ascii="Arial" w:eastAsia="Tahoma" w:hAnsi="Arial"/>
          <w:bCs/>
        </w:rPr>
        <w:t xml:space="preserve">, F. (2017). The effects of auditory learning strategy on learning skills of language learners (students’ views). </w:t>
      </w:r>
      <w:r w:rsidRPr="00C056B8">
        <w:rPr>
          <w:rFonts w:ascii="Arial" w:eastAsia="Tahoma" w:hAnsi="Arial"/>
          <w:bCs/>
          <w:i/>
        </w:rPr>
        <w:t>Journal of Humanities and Social Science,</w:t>
      </w:r>
      <w:r w:rsidRPr="00C056B8">
        <w:rPr>
          <w:rFonts w:ascii="Arial" w:eastAsia="Tahoma" w:hAnsi="Arial"/>
          <w:bCs/>
        </w:rPr>
        <w:t xml:space="preserve"> 22(10), 4-10</w:t>
      </w:r>
    </w:p>
    <w:p w14:paraId="6D525446"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Krätzig</w:t>
      </w:r>
      <w:proofErr w:type="spellEnd"/>
      <w:r w:rsidRPr="00C056B8">
        <w:rPr>
          <w:rFonts w:ascii="Arial" w:eastAsia="Tahoma" w:hAnsi="Arial"/>
          <w:bCs/>
        </w:rPr>
        <w:t xml:space="preserve">, G. P., &amp; </w:t>
      </w:r>
      <w:proofErr w:type="spellStart"/>
      <w:r w:rsidRPr="00C056B8">
        <w:rPr>
          <w:rFonts w:ascii="Arial" w:eastAsia="Tahoma" w:hAnsi="Arial"/>
          <w:bCs/>
        </w:rPr>
        <w:t>Arbuthnott</w:t>
      </w:r>
      <w:proofErr w:type="spellEnd"/>
      <w:r w:rsidRPr="00C056B8">
        <w:rPr>
          <w:rFonts w:ascii="Arial" w:eastAsia="Tahoma" w:hAnsi="Arial"/>
          <w:bCs/>
        </w:rPr>
        <w:t xml:space="preserve">, K. D. (2006). Perceptual learning style and learning proficiency: A test of the hypothesis. </w:t>
      </w:r>
      <w:r w:rsidRPr="00C056B8">
        <w:rPr>
          <w:rFonts w:ascii="Arial" w:eastAsia="Tahoma" w:hAnsi="Arial"/>
          <w:bCs/>
          <w:i/>
        </w:rPr>
        <w:t>Journal of Educational Psychology,</w:t>
      </w:r>
      <w:r w:rsidRPr="00C056B8">
        <w:rPr>
          <w:rFonts w:ascii="Arial" w:eastAsia="Tahoma" w:hAnsi="Arial"/>
          <w:bCs/>
        </w:rPr>
        <w:t xml:space="preserve"> 98(1), 238-246.</w:t>
      </w:r>
    </w:p>
    <w:p w14:paraId="0A77E0BE" w14:textId="54B4F556" w:rsidR="00C056B8" w:rsidRPr="00C056B8" w:rsidRDefault="00C056B8" w:rsidP="00C056B8">
      <w:pPr>
        <w:ind w:left="540" w:hanging="540"/>
        <w:jc w:val="both"/>
        <w:rPr>
          <w:rFonts w:ascii="Arial" w:eastAsia="Tahoma" w:hAnsi="Arial"/>
          <w:bCs/>
        </w:rPr>
      </w:pPr>
      <w:r w:rsidRPr="00C056B8">
        <w:rPr>
          <w:rFonts w:ascii="Arial" w:eastAsia="Tahoma" w:hAnsi="Arial"/>
          <w:bCs/>
        </w:rPr>
        <w:t>K</w:t>
      </w:r>
      <w:r>
        <w:rPr>
          <w:rFonts w:ascii="Arial" w:eastAsia="Tahoma" w:hAnsi="Arial"/>
          <w:bCs/>
        </w:rPr>
        <w:t>halife</w:t>
      </w:r>
      <w:r w:rsidRPr="00C056B8">
        <w:rPr>
          <w:rFonts w:ascii="Arial" w:eastAsia="Tahoma" w:hAnsi="Arial"/>
          <w:bCs/>
        </w:rPr>
        <w:t xml:space="preserve">, G. (2020). Higher Education Students’ Perceived Readiness for </w:t>
      </w:r>
      <w:proofErr w:type="spellStart"/>
      <w:r w:rsidRPr="00C056B8">
        <w:rPr>
          <w:rFonts w:ascii="Arial" w:eastAsia="Tahoma" w:hAnsi="Arial"/>
          <w:bCs/>
        </w:rPr>
        <w:t>ComputerSupported</w:t>
      </w:r>
      <w:proofErr w:type="spellEnd"/>
      <w:r w:rsidRPr="00C056B8">
        <w:rPr>
          <w:rFonts w:ascii="Arial" w:eastAsia="Tahoma" w:hAnsi="Arial"/>
          <w:bCs/>
        </w:rPr>
        <w:t xml:space="preserve"> Collaborative Learning. MDPI. </w:t>
      </w:r>
      <w:hyperlink r:id="rId32" w:history="1">
        <w:r w:rsidRPr="00C056B8">
          <w:rPr>
            <w:rStyle w:val="Hyperlink"/>
            <w:rFonts w:ascii="Arial" w:eastAsia="Tahoma" w:hAnsi="Arial"/>
            <w:bCs/>
            <w:color w:val="auto"/>
          </w:rPr>
          <w:t>https://www.mdpi.com/2414</w:t>
        </w:r>
      </w:hyperlink>
      <w:hyperlink r:id="rId33" w:history="1">
        <w:r w:rsidRPr="00C056B8">
          <w:rPr>
            <w:rStyle w:val="Hyperlink"/>
            <w:rFonts w:ascii="Arial" w:eastAsia="Tahoma" w:hAnsi="Arial"/>
            <w:bCs/>
            <w:color w:val="auto"/>
          </w:rPr>
          <w:t>-</w:t>
        </w:r>
      </w:hyperlink>
      <w:hyperlink r:id="rId34" w:history="1">
        <w:r w:rsidRPr="00C056B8">
          <w:rPr>
            <w:rStyle w:val="Hyperlink"/>
            <w:rFonts w:ascii="Arial" w:eastAsia="Tahoma" w:hAnsi="Arial"/>
            <w:bCs/>
            <w:color w:val="auto"/>
          </w:rPr>
          <w:t>4088/4/2/11.</w:t>
        </w:r>
      </w:hyperlink>
    </w:p>
    <w:p w14:paraId="33F58E4C" w14:textId="24D2A0C5" w:rsidR="00C056B8" w:rsidRPr="00C056B8" w:rsidRDefault="00C056B8" w:rsidP="00C056B8">
      <w:pPr>
        <w:ind w:left="540" w:hanging="540"/>
        <w:jc w:val="both"/>
        <w:rPr>
          <w:rFonts w:ascii="Arial" w:eastAsia="Tahoma" w:hAnsi="Arial"/>
          <w:bCs/>
        </w:rPr>
      </w:pPr>
      <w:r w:rsidRPr="00C056B8">
        <w:rPr>
          <w:rFonts w:ascii="Arial" w:eastAsia="Tahoma" w:hAnsi="Arial"/>
          <w:bCs/>
        </w:rPr>
        <w:t>K</w:t>
      </w:r>
      <w:r>
        <w:rPr>
          <w:rFonts w:ascii="Arial" w:eastAsia="Tahoma" w:hAnsi="Arial"/>
          <w:bCs/>
        </w:rPr>
        <w:t>ohan</w:t>
      </w:r>
      <w:r w:rsidRPr="00C056B8">
        <w:rPr>
          <w:rFonts w:ascii="Arial" w:eastAsia="Tahoma" w:hAnsi="Arial"/>
          <w:bCs/>
        </w:rPr>
        <w:t>, N</w:t>
      </w:r>
      <w:r>
        <w:rPr>
          <w:rFonts w:ascii="Arial" w:eastAsia="Tahoma" w:hAnsi="Arial"/>
          <w:bCs/>
        </w:rPr>
        <w:t>oushin</w:t>
      </w:r>
      <w:r w:rsidRPr="00C056B8">
        <w:rPr>
          <w:rFonts w:ascii="Arial" w:eastAsia="Tahoma" w:hAnsi="Arial"/>
          <w:bCs/>
        </w:rPr>
        <w:t xml:space="preserve">, </w:t>
      </w:r>
      <w:proofErr w:type="spellStart"/>
      <w:r w:rsidRPr="00C056B8">
        <w:rPr>
          <w:rFonts w:ascii="Arial" w:eastAsia="Tahoma" w:hAnsi="Arial"/>
          <w:bCs/>
        </w:rPr>
        <w:t>J</w:t>
      </w:r>
      <w:r>
        <w:rPr>
          <w:rFonts w:ascii="Arial" w:eastAsia="Tahoma" w:hAnsi="Arial"/>
          <w:bCs/>
        </w:rPr>
        <w:t>anatolmakan</w:t>
      </w:r>
      <w:proofErr w:type="spellEnd"/>
      <w:r w:rsidRPr="00C056B8">
        <w:rPr>
          <w:rFonts w:ascii="Arial" w:eastAsia="Tahoma" w:hAnsi="Arial"/>
          <w:bCs/>
        </w:rPr>
        <w:t>, M</w:t>
      </w:r>
      <w:r>
        <w:rPr>
          <w:rFonts w:ascii="Arial" w:eastAsia="Tahoma" w:hAnsi="Arial"/>
          <w:bCs/>
        </w:rPr>
        <w:t>aryam</w:t>
      </w:r>
      <w:r w:rsidRPr="00C056B8">
        <w:rPr>
          <w:rFonts w:ascii="Arial" w:eastAsia="Tahoma" w:hAnsi="Arial"/>
          <w:bCs/>
        </w:rPr>
        <w:t>, R</w:t>
      </w:r>
      <w:r>
        <w:rPr>
          <w:rFonts w:ascii="Arial" w:eastAsia="Tahoma" w:hAnsi="Arial"/>
          <w:bCs/>
        </w:rPr>
        <w:t>ezaei</w:t>
      </w:r>
      <w:r w:rsidRPr="00C056B8">
        <w:rPr>
          <w:rFonts w:ascii="Arial" w:eastAsia="Tahoma" w:hAnsi="Arial"/>
          <w:bCs/>
        </w:rPr>
        <w:t>, M</w:t>
      </w:r>
      <w:r>
        <w:rPr>
          <w:rFonts w:ascii="Arial" w:eastAsia="Tahoma" w:hAnsi="Arial"/>
          <w:bCs/>
        </w:rPr>
        <w:t>ansour</w:t>
      </w:r>
      <w:r w:rsidRPr="00C056B8">
        <w:rPr>
          <w:rFonts w:ascii="Arial" w:eastAsia="Tahoma" w:hAnsi="Arial"/>
          <w:bCs/>
        </w:rPr>
        <w:t xml:space="preserve">, </w:t>
      </w:r>
      <w:proofErr w:type="spellStart"/>
      <w:r w:rsidRPr="00C056B8">
        <w:rPr>
          <w:rFonts w:ascii="Arial" w:eastAsia="Tahoma" w:hAnsi="Arial"/>
          <w:bCs/>
        </w:rPr>
        <w:t>K</w:t>
      </w:r>
      <w:r>
        <w:rPr>
          <w:rFonts w:ascii="Arial" w:eastAsia="Tahoma" w:hAnsi="Arial"/>
          <w:bCs/>
        </w:rPr>
        <w:t>hatony</w:t>
      </w:r>
      <w:proofErr w:type="spellEnd"/>
      <w:r w:rsidRPr="00C056B8">
        <w:rPr>
          <w:rFonts w:ascii="Arial" w:eastAsia="Tahoma" w:hAnsi="Arial"/>
          <w:bCs/>
        </w:rPr>
        <w:t>, A</w:t>
      </w:r>
      <w:r>
        <w:rPr>
          <w:rFonts w:ascii="Arial" w:eastAsia="Tahoma" w:hAnsi="Arial"/>
          <w:bCs/>
        </w:rPr>
        <w:t>liriza</w:t>
      </w:r>
      <w:r w:rsidRPr="00C056B8">
        <w:rPr>
          <w:rFonts w:ascii="Arial" w:eastAsia="Tahoma" w:hAnsi="Arial"/>
          <w:bCs/>
        </w:rPr>
        <w:t xml:space="preserve">, (2021) Relationship between Learning Styles and Academic Performance among Virtual Nursing Students: A Cross-Sectional Study, Education Research International, 2021, 8543052, 6 pages,  </w:t>
      </w:r>
      <w:hyperlink r:id="rId35" w:history="1">
        <w:r w:rsidRPr="00C056B8">
          <w:rPr>
            <w:rStyle w:val="Hyperlink"/>
            <w:rFonts w:ascii="Arial" w:eastAsia="Tahoma" w:hAnsi="Arial"/>
            <w:bCs/>
            <w:color w:val="auto"/>
          </w:rPr>
          <w:t>https://doi.org/10.1155/2021/8543052</w:t>
        </w:r>
      </w:hyperlink>
    </w:p>
    <w:p w14:paraId="6E60D911"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Kolb, A. Y., &amp; Kolb, D. A. (2017). Experiential learning theory as a guide for experiential educators in higher education. Experiential Learning &amp; Teaching in Higher Education, 1(1), 7-44. – </w:t>
      </w:r>
    </w:p>
    <w:p w14:paraId="14744AC1" w14:textId="0E164CB5"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L</w:t>
      </w:r>
      <w:r>
        <w:rPr>
          <w:rFonts w:ascii="Arial" w:eastAsia="Tahoma" w:hAnsi="Arial"/>
          <w:bCs/>
        </w:rPr>
        <w:t>apinig</w:t>
      </w:r>
      <w:proofErr w:type="spellEnd"/>
      <w:r w:rsidRPr="00C056B8">
        <w:rPr>
          <w:rFonts w:ascii="Arial" w:eastAsia="Tahoma" w:hAnsi="Arial"/>
          <w:bCs/>
        </w:rPr>
        <w:t xml:space="preserve"> (2006). Learning Styles and the Academic Performance of Students, Retrieved on March 18, 2021 from </w:t>
      </w:r>
      <w:hyperlink r:id="rId36" w:history="1">
        <w:r w:rsidRPr="00C056B8">
          <w:rPr>
            <w:rStyle w:val="Hyperlink"/>
            <w:rFonts w:ascii="Arial" w:eastAsia="Tahoma" w:hAnsi="Arial"/>
            <w:bCs/>
            <w:color w:val="auto"/>
          </w:rPr>
          <w:t>https://scholar.google.com.google</w:t>
        </w:r>
      </w:hyperlink>
    </w:p>
    <w:p w14:paraId="4C647F0B" w14:textId="78EB97A0" w:rsidR="00C056B8" w:rsidRPr="00C056B8" w:rsidRDefault="00C056B8" w:rsidP="00C056B8">
      <w:pPr>
        <w:ind w:left="540" w:hanging="540"/>
        <w:jc w:val="both"/>
        <w:rPr>
          <w:rFonts w:ascii="Arial" w:eastAsia="Tahoma" w:hAnsi="Arial"/>
          <w:bCs/>
        </w:rPr>
      </w:pPr>
      <w:r w:rsidRPr="00C056B8">
        <w:rPr>
          <w:rFonts w:ascii="Arial" w:eastAsia="Tahoma" w:hAnsi="Arial"/>
          <w:bCs/>
        </w:rPr>
        <w:t>L</w:t>
      </w:r>
      <w:r>
        <w:rPr>
          <w:rFonts w:ascii="Arial" w:eastAsia="Tahoma" w:hAnsi="Arial"/>
          <w:bCs/>
        </w:rPr>
        <w:t>ee</w:t>
      </w:r>
      <w:r w:rsidRPr="00C056B8">
        <w:rPr>
          <w:rFonts w:ascii="Arial" w:eastAsia="Tahoma" w:hAnsi="Arial"/>
          <w:bCs/>
        </w:rPr>
        <w:t>, K. (2021). “Auditory learning styles and language acquisition in elementary students.” Language Learning, 50(2), 215-230.</w:t>
      </w:r>
    </w:p>
    <w:p w14:paraId="466A93ED"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Lethaby</w:t>
      </w:r>
      <w:proofErr w:type="spellEnd"/>
      <w:r w:rsidRPr="00C056B8">
        <w:rPr>
          <w:rFonts w:ascii="Arial" w:eastAsia="Tahoma" w:hAnsi="Arial"/>
          <w:bCs/>
        </w:rPr>
        <w:t>, C., &amp; Mayne, R. (2020). "A critical examination of perceptual learning styles in English language teaching." IRAL International Review of Applied Linguistics in Language Teaching, 58(2), 221-237. Retrieved from De Gruyter</w:t>
      </w:r>
    </w:p>
    <w:p w14:paraId="01B9B72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Lee, H., &amp; Chen, Y. (2022). Visual Learning: Improving Student Performance through Effective Visual Strategies. </w:t>
      </w:r>
      <w:r w:rsidRPr="00C056B8">
        <w:rPr>
          <w:rFonts w:ascii="Arial" w:eastAsia="Tahoma" w:hAnsi="Arial"/>
          <w:bCs/>
          <w:i/>
        </w:rPr>
        <w:t>Journal of Educational Psychology,</w:t>
      </w:r>
      <w:r w:rsidRPr="00C056B8">
        <w:rPr>
          <w:rFonts w:ascii="Arial" w:eastAsia="Tahoma" w:hAnsi="Arial"/>
          <w:bCs/>
        </w:rPr>
        <w:t xml:space="preserve"> 114(2), 365-380).</w:t>
      </w:r>
    </w:p>
    <w:p w14:paraId="4CB414A8"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Lee, M. K., &amp; Thompson, G. H. (2020). Learning analytics in education: A systematic review. Computers in Human Behavior, 104, 106192.</w:t>
      </w:r>
    </w:p>
    <w:p w14:paraId="3389416F"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LittmanOvadia</w:t>
      </w:r>
      <w:proofErr w:type="spellEnd"/>
      <w:r w:rsidRPr="00C056B8">
        <w:rPr>
          <w:rFonts w:ascii="Arial" w:eastAsia="Tahoma" w:hAnsi="Arial"/>
          <w:bCs/>
        </w:rPr>
        <w:t xml:space="preserve"> and Lavy (</w:t>
      </w:r>
      <w:proofErr w:type="gramStart"/>
      <w:r w:rsidRPr="00C056B8">
        <w:rPr>
          <w:rFonts w:ascii="Arial" w:eastAsia="Tahoma" w:hAnsi="Arial"/>
          <w:bCs/>
        </w:rPr>
        <w:t>2015 )</w:t>
      </w:r>
      <w:proofErr w:type="gramEnd"/>
      <w:r w:rsidRPr="00C056B8">
        <w:rPr>
          <w:rFonts w:ascii="Arial" w:eastAsia="Tahoma" w:hAnsi="Arial"/>
          <w:bCs/>
        </w:rPr>
        <w:t>https://www.studocu.com/ph/document/eastern-visayas-state-university/bsed-engligh/academic-performance-of-grade-1649l/51620021</w:t>
      </w:r>
    </w:p>
    <w:p w14:paraId="33A005FC" w14:textId="02C9CD61"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w:t>
      </w:r>
      <w:r>
        <w:rPr>
          <w:rFonts w:ascii="Arial" w:eastAsia="Tahoma" w:hAnsi="Arial"/>
          <w:bCs/>
        </w:rPr>
        <w:t>agulod</w:t>
      </w:r>
      <w:proofErr w:type="spellEnd"/>
      <w:r w:rsidRPr="00C056B8">
        <w:rPr>
          <w:rFonts w:ascii="Arial" w:eastAsia="Tahoma" w:hAnsi="Arial"/>
          <w:bCs/>
        </w:rPr>
        <w:t xml:space="preserve">, G.C. JR. (2017). Creativity Styles and Emotional Intelligence of Filipino Student Teachers: A Search for Congruity. </w:t>
      </w:r>
      <w:r w:rsidRPr="00C056B8">
        <w:rPr>
          <w:rFonts w:ascii="Arial" w:eastAsia="Tahoma" w:hAnsi="Arial"/>
          <w:bCs/>
          <w:i/>
        </w:rPr>
        <w:t>Asia Pacific Journal of Multidisciplinary Research,</w:t>
      </w:r>
      <w:r w:rsidRPr="00C056B8">
        <w:rPr>
          <w:rFonts w:ascii="Arial" w:eastAsia="Tahoma" w:hAnsi="Arial"/>
          <w:bCs/>
        </w:rPr>
        <w:t xml:space="preserve"> 5(1), 175-184. Available at: </w:t>
      </w:r>
      <w:hyperlink r:id="rId37" w:history="1">
        <w:r w:rsidRPr="00C056B8">
          <w:rPr>
            <w:rStyle w:val="Hyperlink"/>
            <w:rFonts w:ascii="Arial" w:eastAsia="Tahoma" w:hAnsi="Arial"/>
            <w:bCs/>
            <w:color w:val="auto"/>
          </w:rPr>
          <w:t>http://www.apjmr.com/wp</w:t>
        </w:r>
      </w:hyperlink>
      <w:hyperlink r:id="rId38" w:history="1">
        <w:r w:rsidRPr="00C056B8">
          <w:rPr>
            <w:rStyle w:val="Hyperlink"/>
            <w:rFonts w:ascii="Arial" w:eastAsia="Tahoma" w:hAnsi="Arial"/>
            <w:bCs/>
            <w:color w:val="auto"/>
          </w:rPr>
          <w:t>-</w:t>
        </w:r>
      </w:hyperlink>
      <w:hyperlink r:id="rId39" w:history="1">
        <w:r w:rsidRPr="00C056B8">
          <w:rPr>
            <w:rStyle w:val="Hyperlink"/>
            <w:rFonts w:ascii="Arial" w:eastAsia="Tahoma" w:hAnsi="Arial"/>
            <w:bCs/>
            <w:color w:val="auto"/>
          </w:rPr>
          <w:t>content/uploads/2017/01/APJMR</w:t>
        </w:r>
      </w:hyperlink>
      <w:hyperlink r:id="rId40" w:history="1"/>
      <w:hyperlink r:id="rId41" w:history="1">
        <w:r w:rsidRPr="00C056B8">
          <w:rPr>
            <w:rStyle w:val="Hyperlink"/>
            <w:rFonts w:ascii="Arial" w:eastAsia="Tahoma" w:hAnsi="Arial"/>
            <w:bCs/>
            <w:color w:val="auto"/>
          </w:rPr>
          <w:t>2017.5.1.20.pdf</w:t>
        </w:r>
      </w:hyperlink>
    </w:p>
    <w:p w14:paraId="55445583" w14:textId="5835046E"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w:t>
      </w:r>
      <w:r>
        <w:rPr>
          <w:rFonts w:ascii="Arial" w:eastAsia="Tahoma" w:hAnsi="Arial"/>
          <w:bCs/>
        </w:rPr>
        <w:t>appadang</w:t>
      </w:r>
      <w:proofErr w:type="spellEnd"/>
      <w:r w:rsidRPr="00C056B8">
        <w:rPr>
          <w:rFonts w:ascii="Arial" w:eastAsia="Tahoma" w:hAnsi="Arial"/>
          <w:bCs/>
        </w:rPr>
        <w:t xml:space="preserve">, A. (2022). Academic Interest Determines </w:t>
      </w:r>
      <w:proofErr w:type="gramStart"/>
      <w:r w:rsidRPr="00C056B8">
        <w:rPr>
          <w:rFonts w:ascii="Arial" w:eastAsia="Tahoma" w:hAnsi="Arial"/>
          <w:bCs/>
        </w:rPr>
        <w:t>The</w:t>
      </w:r>
      <w:proofErr w:type="gramEnd"/>
      <w:r w:rsidRPr="00C056B8">
        <w:rPr>
          <w:rFonts w:ascii="Arial" w:eastAsia="Tahoma" w:hAnsi="Arial"/>
          <w:bCs/>
        </w:rPr>
        <w:t xml:space="preserve"> Academic Performance </w:t>
      </w:r>
      <w:proofErr w:type="gramStart"/>
      <w:r w:rsidRPr="00C056B8">
        <w:rPr>
          <w:rFonts w:ascii="Arial" w:eastAsia="Tahoma" w:hAnsi="Arial"/>
          <w:bCs/>
        </w:rPr>
        <w:t>Of</w:t>
      </w:r>
      <w:proofErr w:type="gramEnd"/>
      <w:r w:rsidRPr="00C056B8">
        <w:rPr>
          <w:rFonts w:ascii="Arial" w:eastAsia="Tahoma" w:hAnsi="Arial"/>
          <w:bCs/>
        </w:rPr>
        <w:t xml:space="preserve"> Undergraduate Accounting Students: Multinomial Logit Evidence. Cogent Business &amp; Management, 9(1).</w:t>
      </w:r>
    </w:p>
    <w:p w14:paraId="39916186" w14:textId="111B94BB" w:rsidR="00C056B8" w:rsidRPr="00C056B8" w:rsidRDefault="00C056B8" w:rsidP="00C056B8">
      <w:pPr>
        <w:ind w:left="540" w:hanging="540"/>
        <w:jc w:val="both"/>
        <w:rPr>
          <w:rFonts w:ascii="Arial" w:eastAsia="Tahoma" w:hAnsi="Arial"/>
          <w:bCs/>
        </w:rPr>
      </w:pPr>
      <w:r w:rsidRPr="00C056B8">
        <w:rPr>
          <w:rFonts w:ascii="Arial" w:eastAsia="Tahoma" w:hAnsi="Arial"/>
          <w:bCs/>
        </w:rPr>
        <w:lastRenderedPageBreak/>
        <w:t>M</w:t>
      </w:r>
      <w:r w:rsidR="003221FD">
        <w:rPr>
          <w:rFonts w:ascii="Arial" w:eastAsia="Tahoma" w:hAnsi="Arial"/>
          <w:bCs/>
        </w:rPr>
        <w:t>archant</w:t>
      </w:r>
      <w:r w:rsidRPr="00C056B8">
        <w:rPr>
          <w:rFonts w:ascii="Arial" w:eastAsia="Tahoma" w:hAnsi="Arial"/>
          <w:bCs/>
        </w:rPr>
        <w:t>, T. (2023). Elementary School Students &amp; Their Attention Spans. Agile Education Market.</w:t>
      </w:r>
    </w:p>
    <w:p w14:paraId="195730D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Maya, J., </w:t>
      </w:r>
      <w:proofErr w:type="spellStart"/>
      <w:r w:rsidRPr="00C056B8">
        <w:rPr>
          <w:rFonts w:ascii="Arial" w:eastAsia="Tahoma" w:hAnsi="Arial"/>
          <w:bCs/>
        </w:rPr>
        <w:t>Luesia</w:t>
      </w:r>
      <w:proofErr w:type="spellEnd"/>
      <w:r w:rsidRPr="00C056B8">
        <w:rPr>
          <w:rFonts w:ascii="Arial" w:eastAsia="Tahoma" w:hAnsi="Arial"/>
          <w:bCs/>
        </w:rPr>
        <w:t>, J. F., &amp; Pérez-Padilla, J. (2021). "The relationship between learning styles and academic performance: Consistency among multiple assessment methods in psychology and education students." Sustainability, 13(6), 3341. Retrieved from MDPI.</w:t>
      </w:r>
    </w:p>
    <w:p w14:paraId="40F975CE"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Magulod</w:t>
      </w:r>
      <w:proofErr w:type="spellEnd"/>
      <w:r w:rsidRPr="00C056B8">
        <w:rPr>
          <w:rFonts w:ascii="Arial" w:eastAsia="Tahoma" w:hAnsi="Arial"/>
          <w:bCs/>
        </w:rPr>
        <w:t xml:space="preserve">, G.C., Jr. (2019). Learning styles, study habits and academic performance of Filipino university students in applied science courses: Implications for instruction. </w:t>
      </w:r>
      <w:r w:rsidRPr="00C056B8">
        <w:rPr>
          <w:rFonts w:ascii="Arial" w:eastAsia="Tahoma" w:hAnsi="Arial"/>
          <w:bCs/>
          <w:i/>
        </w:rPr>
        <w:t>Journal of Technology and Science Education,</w:t>
      </w:r>
      <w:r w:rsidRPr="00C056B8">
        <w:rPr>
          <w:rFonts w:ascii="Arial" w:eastAsia="Tahoma" w:hAnsi="Arial"/>
          <w:bCs/>
        </w:rPr>
        <w:t xml:space="preserve"> 9(2), 184-198. https://doi.org/10.3926/jotse.504</w:t>
      </w:r>
    </w:p>
    <w:p w14:paraId="3D29478A"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Magulod</w:t>
      </w:r>
      <w:proofErr w:type="spellEnd"/>
      <w:r w:rsidRPr="00C056B8">
        <w:rPr>
          <w:rFonts w:ascii="Arial" w:eastAsia="Tahoma" w:hAnsi="Arial"/>
          <w:bCs/>
        </w:rPr>
        <w:t xml:space="preserve">, (2019). https://files.eric.ed.gov/fulltext/EJ1210888.pdf </w:t>
      </w:r>
    </w:p>
    <w:p w14:paraId="73AA3B97" w14:textId="4C2A528D" w:rsidR="00C056B8" w:rsidRPr="00C056B8" w:rsidRDefault="00C056B8" w:rsidP="00C056B8">
      <w:pPr>
        <w:ind w:left="540" w:hanging="540"/>
        <w:jc w:val="both"/>
        <w:rPr>
          <w:rFonts w:ascii="Arial" w:eastAsia="Tahoma" w:hAnsi="Arial"/>
          <w:bCs/>
          <w:iCs/>
        </w:rPr>
      </w:pPr>
      <w:proofErr w:type="spellStart"/>
      <w:r w:rsidRPr="00C056B8">
        <w:rPr>
          <w:rFonts w:ascii="Arial" w:eastAsia="Tahoma" w:hAnsi="Arial"/>
          <w:bCs/>
        </w:rPr>
        <w:t>M</w:t>
      </w:r>
      <w:r w:rsidR="001A4153">
        <w:rPr>
          <w:rFonts w:ascii="Arial" w:eastAsia="Tahoma" w:hAnsi="Arial"/>
          <w:bCs/>
        </w:rPr>
        <w:t>eywr</w:t>
      </w:r>
      <w:proofErr w:type="spellEnd"/>
      <w:r w:rsidRPr="00C056B8">
        <w:rPr>
          <w:rFonts w:ascii="Arial" w:eastAsia="Tahoma" w:hAnsi="Arial"/>
          <w:bCs/>
        </w:rPr>
        <w:t xml:space="preserve">, R. (2019). Advantages of kinesthetic learning in promoting inclusivity in classrooms. </w:t>
      </w:r>
      <w:r w:rsidRPr="00C056B8">
        <w:rPr>
          <w:rFonts w:ascii="Arial" w:eastAsia="Tahoma" w:hAnsi="Arial"/>
          <w:bCs/>
          <w:i/>
          <w:iCs/>
        </w:rPr>
        <w:t xml:space="preserve">Journal of Inclusive Education, </w:t>
      </w:r>
      <w:r w:rsidRPr="00C056B8">
        <w:rPr>
          <w:rFonts w:ascii="Arial" w:eastAsia="Tahoma" w:hAnsi="Arial"/>
          <w:bCs/>
          <w:iCs/>
        </w:rPr>
        <w:t>8(4), 330-345.</w:t>
      </w:r>
    </w:p>
    <w:p w14:paraId="64BD147A"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Miller, A. L., Glover, R. J., &amp; Smith, E. S. (2023). Cognitive flexibility and learning style preferences: An exploration in educational contexts. Learning and Individual Differences, 94, 102095.</w:t>
      </w:r>
    </w:p>
    <w:p w14:paraId="44C779A4" w14:textId="77777777" w:rsidR="00C056B8" w:rsidRPr="00C056B8" w:rsidRDefault="00C056B8" w:rsidP="00C056B8">
      <w:pPr>
        <w:ind w:left="540" w:hanging="540"/>
        <w:jc w:val="both"/>
        <w:rPr>
          <w:rFonts w:ascii="Arial" w:eastAsia="Tahoma" w:hAnsi="Arial"/>
          <w:bCs/>
          <w:i/>
          <w:iCs/>
        </w:rPr>
      </w:pPr>
    </w:p>
    <w:p w14:paraId="339262F1"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Morris, C. J., &amp; Clark, D. R. (2022).</w:t>
      </w:r>
      <w:r w:rsidRPr="00C056B8">
        <w:rPr>
          <w:rFonts w:ascii="Arial" w:eastAsia="Tahoma" w:hAnsi="Arial"/>
          <w:bCs/>
          <w:i/>
          <w:iCs/>
        </w:rPr>
        <w:t xml:space="preserve"> </w:t>
      </w:r>
      <w:r w:rsidRPr="00C056B8">
        <w:rPr>
          <w:rFonts w:ascii="Arial" w:eastAsia="Tahoma" w:hAnsi="Arial"/>
          <w:bCs/>
        </w:rPr>
        <w:t>Beyond learning styles: Exploring the role of motivation and engagement in education. Educational Research Review, 35, 100417.</w:t>
      </w:r>
    </w:p>
    <w:p w14:paraId="11EA93A4" w14:textId="77777777" w:rsidR="00C056B8" w:rsidRPr="00C056B8" w:rsidRDefault="00C056B8" w:rsidP="00C056B8">
      <w:pPr>
        <w:ind w:left="540" w:hanging="540"/>
        <w:jc w:val="both"/>
        <w:rPr>
          <w:rFonts w:ascii="Arial" w:eastAsia="Tahoma" w:hAnsi="Arial"/>
          <w:bCs/>
          <w:i/>
          <w:iCs/>
        </w:rPr>
      </w:pPr>
    </w:p>
    <w:p w14:paraId="6EEA9C86"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Nguyen, T. K., &amp; Patel, A. S. (2023). The intersection of technology and pedagogy in the modern classroom. </w:t>
      </w:r>
      <w:r w:rsidRPr="00C056B8">
        <w:rPr>
          <w:rFonts w:ascii="Arial" w:eastAsia="Tahoma" w:hAnsi="Arial"/>
          <w:bCs/>
          <w:i/>
        </w:rPr>
        <w:t>Journal of Educational Computing Research,</w:t>
      </w:r>
      <w:r w:rsidRPr="00C056B8">
        <w:rPr>
          <w:rFonts w:ascii="Arial" w:eastAsia="Tahoma" w:hAnsi="Arial"/>
          <w:bCs/>
        </w:rPr>
        <w:t xml:space="preserve"> 60(3), 467-482.</w:t>
      </w:r>
    </w:p>
    <w:p w14:paraId="3983ABD4" w14:textId="77777777" w:rsidR="00C056B8" w:rsidRPr="00C056B8" w:rsidRDefault="00C056B8" w:rsidP="00C056B8">
      <w:pPr>
        <w:ind w:left="540" w:hanging="540"/>
        <w:jc w:val="both"/>
        <w:rPr>
          <w:rFonts w:ascii="Arial" w:eastAsia="Tahoma" w:hAnsi="Arial"/>
          <w:bCs/>
        </w:rPr>
      </w:pPr>
    </w:p>
    <w:p w14:paraId="0B63B444" w14:textId="65654348" w:rsidR="00C056B8" w:rsidRPr="00C056B8" w:rsidRDefault="00C056B8" w:rsidP="00C056B8">
      <w:pPr>
        <w:ind w:left="540" w:hanging="540"/>
        <w:jc w:val="both"/>
        <w:rPr>
          <w:rFonts w:ascii="Arial" w:eastAsia="Tahoma" w:hAnsi="Arial"/>
          <w:bCs/>
        </w:rPr>
      </w:pPr>
      <w:r w:rsidRPr="00C056B8">
        <w:rPr>
          <w:rFonts w:ascii="Arial" w:eastAsia="Tahoma" w:hAnsi="Arial"/>
          <w:bCs/>
        </w:rPr>
        <w:t>O</w:t>
      </w:r>
      <w:r w:rsidR="003A4FD7">
        <w:rPr>
          <w:rFonts w:ascii="Arial" w:eastAsia="Tahoma" w:hAnsi="Arial"/>
          <w:bCs/>
        </w:rPr>
        <w:t>lowo</w:t>
      </w:r>
      <w:r w:rsidRPr="00C056B8">
        <w:rPr>
          <w:rFonts w:ascii="Arial" w:eastAsia="Tahoma" w:hAnsi="Arial"/>
          <w:bCs/>
        </w:rPr>
        <w:t>, B. F., A</w:t>
      </w:r>
      <w:r w:rsidR="003A4FD7">
        <w:rPr>
          <w:rFonts w:ascii="Arial" w:eastAsia="Tahoma" w:hAnsi="Arial"/>
          <w:bCs/>
        </w:rPr>
        <w:t>labi</w:t>
      </w:r>
      <w:r w:rsidRPr="00C056B8">
        <w:rPr>
          <w:rFonts w:ascii="Arial" w:eastAsia="Tahoma" w:hAnsi="Arial"/>
          <w:bCs/>
        </w:rPr>
        <w:t xml:space="preserve">, F. O., </w:t>
      </w:r>
      <w:proofErr w:type="spellStart"/>
      <w:r w:rsidRPr="00C056B8">
        <w:rPr>
          <w:rFonts w:ascii="Arial" w:eastAsia="Tahoma" w:hAnsi="Arial"/>
          <w:bCs/>
        </w:rPr>
        <w:t>O</w:t>
      </w:r>
      <w:r w:rsidR="003A4FD7">
        <w:rPr>
          <w:rFonts w:ascii="Arial" w:eastAsia="Tahoma" w:hAnsi="Arial"/>
          <w:bCs/>
        </w:rPr>
        <w:t>kotoni</w:t>
      </w:r>
      <w:proofErr w:type="spellEnd"/>
      <w:r w:rsidRPr="00C056B8">
        <w:rPr>
          <w:rFonts w:ascii="Arial" w:eastAsia="Tahoma" w:hAnsi="Arial"/>
          <w:bCs/>
        </w:rPr>
        <w:t>, C. A., &amp; Y</w:t>
      </w:r>
      <w:r w:rsidR="003A4FD7">
        <w:rPr>
          <w:rFonts w:ascii="Arial" w:eastAsia="Tahoma" w:hAnsi="Arial"/>
          <w:bCs/>
        </w:rPr>
        <w:t>usuf</w:t>
      </w:r>
      <w:r w:rsidRPr="00C056B8">
        <w:rPr>
          <w:rFonts w:ascii="Arial" w:eastAsia="Tahoma" w:hAnsi="Arial"/>
          <w:bCs/>
        </w:rPr>
        <w:t xml:space="preserve">, M. A. (2020). Social media: Online modern tool to enhance secondary schools’ students’ academic performance. </w:t>
      </w:r>
      <w:r w:rsidRPr="00C056B8">
        <w:rPr>
          <w:rFonts w:ascii="Arial" w:eastAsia="Tahoma" w:hAnsi="Arial"/>
          <w:bCs/>
          <w:i/>
        </w:rPr>
        <w:t>International Journal on Studies in Education,</w:t>
      </w:r>
      <w:r w:rsidRPr="00C056B8">
        <w:rPr>
          <w:rFonts w:ascii="Arial" w:eastAsia="Tahoma" w:hAnsi="Arial"/>
          <w:bCs/>
        </w:rPr>
        <w:t xml:space="preserve"> 2(1), 26–35.</w:t>
      </w:r>
    </w:p>
    <w:p w14:paraId="0B075CCA" w14:textId="77777777" w:rsidR="00C056B8" w:rsidRPr="00C056B8" w:rsidRDefault="00C056B8" w:rsidP="00C056B8">
      <w:pPr>
        <w:ind w:left="540" w:hanging="540"/>
        <w:jc w:val="both"/>
        <w:rPr>
          <w:rFonts w:ascii="Arial" w:eastAsia="Tahoma" w:hAnsi="Arial"/>
          <w:bCs/>
        </w:rPr>
      </w:pPr>
    </w:p>
    <w:p w14:paraId="347F5AD2"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Pashler</w:t>
      </w:r>
      <w:proofErr w:type="spellEnd"/>
      <w:r w:rsidRPr="00C056B8">
        <w:rPr>
          <w:rFonts w:ascii="Arial" w:eastAsia="Tahoma" w:hAnsi="Arial"/>
          <w:bCs/>
        </w:rPr>
        <w:t>, H., McDaniel, M., Rohrer, D., &amp; Bjork, R. (2021). Learning Styles: Concepts and Evidence. Psychological Science in the Public Interest, 22(3), 70-105).</w:t>
      </w:r>
      <w:r w:rsidRPr="00C056B8">
        <w:rPr>
          <w:rFonts w:ascii="Arial" w:eastAsia="Tahoma" w:hAnsi="Arial"/>
          <w:bCs/>
        </w:rPr>
        <w:tab/>
      </w:r>
    </w:p>
    <w:p w14:paraId="14CBEEED" w14:textId="77777777" w:rsidR="00C056B8" w:rsidRPr="00C056B8" w:rsidRDefault="00C056B8" w:rsidP="00C056B8">
      <w:pPr>
        <w:ind w:left="540" w:hanging="540"/>
        <w:jc w:val="both"/>
        <w:rPr>
          <w:rFonts w:ascii="Arial" w:eastAsia="Tahoma" w:hAnsi="Arial"/>
          <w:bCs/>
        </w:rPr>
      </w:pPr>
    </w:p>
    <w:p w14:paraId="6E99BC42"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Pashler</w:t>
      </w:r>
      <w:proofErr w:type="spellEnd"/>
      <w:r w:rsidRPr="00C056B8">
        <w:rPr>
          <w:rFonts w:ascii="Arial" w:eastAsia="Tahoma" w:hAnsi="Arial"/>
          <w:bCs/>
        </w:rPr>
        <w:t>, H., McDaniel, M., Rohrer, D., &amp; Bjork, R. (2008). Learning styles: Concepts and evidence. Psychological Science in the Public Interest, 9(3), 105-119.</w:t>
      </w:r>
    </w:p>
    <w:p w14:paraId="1AD818BB" w14:textId="77777777" w:rsidR="00C056B8" w:rsidRPr="00C056B8" w:rsidRDefault="00C056B8" w:rsidP="00C056B8">
      <w:pPr>
        <w:ind w:left="540" w:hanging="540"/>
        <w:jc w:val="both"/>
        <w:rPr>
          <w:rFonts w:ascii="Arial" w:eastAsia="Tahoma" w:hAnsi="Arial"/>
          <w:bCs/>
        </w:rPr>
      </w:pPr>
    </w:p>
    <w:p w14:paraId="6F396F02"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Pashler</w:t>
      </w:r>
      <w:proofErr w:type="spellEnd"/>
      <w:r w:rsidRPr="00C056B8">
        <w:rPr>
          <w:rFonts w:ascii="Arial" w:eastAsia="Tahoma" w:hAnsi="Arial"/>
          <w:bCs/>
        </w:rPr>
        <w:t xml:space="preserve">, H., McDaniel, M., Rohrer, D., &amp; Bjork, R. (2020). Revisiting the learning styles hypothesis: Evidence and implications. Psychological Science in the Public Interest, 21(3), 121-136. </w:t>
      </w:r>
    </w:p>
    <w:p w14:paraId="09649EF5" w14:textId="77777777" w:rsidR="00C056B8" w:rsidRPr="00C056B8" w:rsidRDefault="00C056B8" w:rsidP="00C056B8">
      <w:pPr>
        <w:ind w:left="540" w:hanging="540"/>
        <w:jc w:val="both"/>
        <w:rPr>
          <w:rFonts w:ascii="Arial" w:eastAsia="Tahoma" w:hAnsi="Arial"/>
          <w:bCs/>
        </w:rPr>
      </w:pPr>
    </w:p>
    <w:p w14:paraId="7432E0F6" w14:textId="4DD76577" w:rsidR="00C056B8" w:rsidRPr="00C056B8" w:rsidRDefault="00C056B8" w:rsidP="00C056B8">
      <w:pPr>
        <w:ind w:left="540" w:hanging="540"/>
        <w:jc w:val="both"/>
        <w:rPr>
          <w:rFonts w:ascii="Arial" w:eastAsia="Tahoma" w:hAnsi="Arial"/>
          <w:bCs/>
        </w:rPr>
      </w:pPr>
      <w:r w:rsidRPr="00C056B8">
        <w:rPr>
          <w:rFonts w:ascii="Arial" w:eastAsia="Tahoma" w:hAnsi="Arial"/>
          <w:bCs/>
        </w:rPr>
        <w:t>P</w:t>
      </w:r>
      <w:r w:rsidR="00B23F5E">
        <w:rPr>
          <w:rFonts w:ascii="Arial" w:eastAsia="Tahoma" w:hAnsi="Arial"/>
          <w:bCs/>
        </w:rPr>
        <w:t>atel</w:t>
      </w:r>
      <w:r w:rsidRPr="00C056B8">
        <w:rPr>
          <w:rFonts w:ascii="Arial" w:eastAsia="Tahoma" w:hAnsi="Arial"/>
          <w:bCs/>
        </w:rPr>
        <w:t>, S., &amp; N</w:t>
      </w:r>
      <w:r w:rsidR="00B23F5E">
        <w:rPr>
          <w:rFonts w:ascii="Arial" w:eastAsia="Tahoma" w:hAnsi="Arial"/>
          <w:bCs/>
        </w:rPr>
        <w:t>guyen</w:t>
      </w:r>
      <w:r w:rsidRPr="00C056B8">
        <w:rPr>
          <w:rFonts w:ascii="Arial" w:eastAsia="Tahoma" w:hAnsi="Arial"/>
          <w:bCs/>
        </w:rPr>
        <w:t>, T. (2022). Utilization of kinesthetic learning techniques in language acquisition: Enhancing vocabulary retention and language fluency among young learners. Language Teaching Research, 30(1), 45-60.</w:t>
      </w:r>
    </w:p>
    <w:p w14:paraId="5EED33E7" w14:textId="77777777" w:rsidR="00C056B8" w:rsidRPr="00C056B8" w:rsidRDefault="00C056B8" w:rsidP="00C056B8">
      <w:pPr>
        <w:ind w:left="540" w:hanging="540"/>
        <w:jc w:val="both"/>
        <w:rPr>
          <w:rFonts w:ascii="Arial" w:eastAsia="Tahoma" w:hAnsi="Arial"/>
          <w:bCs/>
        </w:rPr>
      </w:pPr>
    </w:p>
    <w:p w14:paraId="4CED0C8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PHILIPPINE STAR NEWS. (2020). Bored Students </w:t>
      </w:r>
      <w:proofErr w:type="gramStart"/>
      <w:r w:rsidRPr="00C056B8">
        <w:rPr>
          <w:rFonts w:ascii="Arial" w:eastAsia="Tahoma" w:hAnsi="Arial"/>
          <w:bCs/>
        </w:rPr>
        <w:t>With</w:t>
      </w:r>
      <w:proofErr w:type="gramEnd"/>
      <w:r w:rsidRPr="00C056B8">
        <w:rPr>
          <w:rFonts w:ascii="Arial" w:eastAsia="Tahoma" w:hAnsi="Arial"/>
          <w:bCs/>
        </w:rPr>
        <w:t xml:space="preserve"> Too Much Time </w:t>
      </w:r>
      <w:proofErr w:type="gramStart"/>
      <w:r w:rsidRPr="00C056B8">
        <w:rPr>
          <w:rFonts w:ascii="Arial" w:eastAsia="Tahoma" w:hAnsi="Arial"/>
          <w:bCs/>
        </w:rPr>
        <w:t>On</w:t>
      </w:r>
      <w:proofErr w:type="gramEnd"/>
      <w:r w:rsidRPr="00C056B8">
        <w:rPr>
          <w:rFonts w:ascii="Arial" w:eastAsia="Tahoma" w:hAnsi="Arial"/>
          <w:bCs/>
        </w:rPr>
        <w:t xml:space="preserve"> Their Hands. Philippine Star News.</w:t>
      </w:r>
    </w:p>
    <w:p w14:paraId="3D07125A" w14:textId="77777777" w:rsidR="00C056B8" w:rsidRPr="00C056B8" w:rsidRDefault="00C056B8" w:rsidP="00C056B8">
      <w:pPr>
        <w:ind w:left="540" w:hanging="540"/>
        <w:jc w:val="both"/>
        <w:rPr>
          <w:rFonts w:ascii="Arial" w:eastAsia="Tahoma" w:hAnsi="Arial"/>
          <w:bCs/>
        </w:rPr>
      </w:pPr>
    </w:p>
    <w:p w14:paraId="5357E913" w14:textId="7C216956" w:rsidR="00C056B8" w:rsidRPr="00C056B8" w:rsidRDefault="00C056B8" w:rsidP="00C056B8">
      <w:pPr>
        <w:ind w:left="540" w:hanging="540"/>
        <w:jc w:val="both"/>
        <w:rPr>
          <w:rFonts w:ascii="Arial" w:eastAsia="Tahoma" w:hAnsi="Arial"/>
          <w:bCs/>
          <w:i/>
          <w:iCs/>
        </w:rPr>
      </w:pPr>
      <w:proofErr w:type="spellStart"/>
      <w:r w:rsidRPr="00C056B8">
        <w:rPr>
          <w:rFonts w:ascii="Arial" w:eastAsia="Tahoma" w:hAnsi="Arial"/>
          <w:bCs/>
        </w:rPr>
        <w:t>R</w:t>
      </w:r>
      <w:r w:rsidR="00B23F5E">
        <w:rPr>
          <w:rFonts w:ascii="Arial" w:eastAsia="Tahoma" w:hAnsi="Arial"/>
          <w:bCs/>
        </w:rPr>
        <w:t>asto</w:t>
      </w:r>
      <w:proofErr w:type="spellEnd"/>
      <w:r w:rsidRPr="00C056B8">
        <w:rPr>
          <w:rFonts w:ascii="Arial" w:eastAsia="Tahoma" w:hAnsi="Arial"/>
          <w:bCs/>
        </w:rPr>
        <w:t>, R., M</w:t>
      </w:r>
      <w:r w:rsidR="00B23F5E">
        <w:rPr>
          <w:rFonts w:ascii="Arial" w:eastAsia="Tahoma" w:hAnsi="Arial"/>
          <w:bCs/>
        </w:rPr>
        <w:t>uhidin</w:t>
      </w:r>
      <w:r w:rsidRPr="00C056B8">
        <w:rPr>
          <w:rFonts w:ascii="Arial" w:eastAsia="Tahoma" w:hAnsi="Arial"/>
          <w:bCs/>
        </w:rPr>
        <w:t xml:space="preserve">, S. A., </w:t>
      </w:r>
      <w:proofErr w:type="spellStart"/>
      <w:r w:rsidRPr="00C056B8">
        <w:rPr>
          <w:rFonts w:ascii="Arial" w:eastAsia="Tahoma" w:hAnsi="Arial"/>
          <w:bCs/>
        </w:rPr>
        <w:t>I</w:t>
      </w:r>
      <w:r w:rsidR="00B23F5E">
        <w:rPr>
          <w:rFonts w:ascii="Arial" w:eastAsia="Tahoma" w:hAnsi="Arial"/>
          <w:bCs/>
        </w:rPr>
        <w:t>slamy</w:t>
      </w:r>
      <w:proofErr w:type="spellEnd"/>
      <w:r w:rsidRPr="00C056B8">
        <w:rPr>
          <w:rFonts w:ascii="Arial" w:eastAsia="Tahoma" w:hAnsi="Arial"/>
          <w:bCs/>
        </w:rPr>
        <w:t xml:space="preserve">, F. J., &amp; </w:t>
      </w:r>
      <w:proofErr w:type="spellStart"/>
      <w:r w:rsidRPr="00C056B8">
        <w:rPr>
          <w:rFonts w:ascii="Arial" w:eastAsia="Tahoma" w:hAnsi="Arial"/>
          <w:bCs/>
        </w:rPr>
        <w:t>H</w:t>
      </w:r>
      <w:r w:rsidR="00B23F5E">
        <w:rPr>
          <w:rFonts w:ascii="Arial" w:eastAsia="Tahoma" w:hAnsi="Arial"/>
          <w:bCs/>
        </w:rPr>
        <w:t>andayani</w:t>
      </w:r>
      <w:proofErr w:type="spellEnd"/>
      <w:r w:rsidRPr="00C056B8">
        <w:rPr>
          <w:rFonts w:ascii="Arial" w:eastAsia="Tahoma" w:hAnsi="Arial"/>
          <w:bCs/>
        </w:rPr>
        <w:t xml:space="preserve">, D. (2021). The influence of knowledge sharing and competence on academic performance. </w:t>
      </w:r>
      <w:r w:rsidRPr="00C056B8">
        <w:rPr>
          <w:rFonts w:ascii="Arial" w:eastAsia="Tahoma" w:hAnsi="Arial"/>
          <w:bCs/>
          <w:i/>
          <w:iCs/>
        </w:rPr>
        <w:t>Cypriot Journal of Educational Sciences, 16(3), 928–938.</w:t>
      </w:r>
    </w:p>
    <w:p w14:paraId="6E956AB2" w14:textId="77777777" w:rsidR="00C056B8" w:rsidRPr="00C056B8" w:rsidRDefault="00C056B8" w:rsidP="00C056B8">
      <w:pPr>
        <w:ind w:left="540" w:hanging="540"/>
        <w:jc w:val="both"/>
        <w:rPr>
          <w:rFonts w:ascii="Arial" w:eastAsia="Tahoma" w:hAnsi="Arial"/>
          <w:bCs/>
          <w:i/>
          <w:iCs/>
        </w:rPr>
      </w:pPr>
    </w:p>
    <w:p w14:paraId="752B24F9" w14:textId="65FAAC71" w:rsidR="00C056B8" w:rsidRPr="00C056B8" w:rsidRDefault="00C056B8" w:rsidP="00C056B8">
      <w:pPr>
        <w:ind w:left="540" w:hanging="540"/>
        <w:jc w:val="both"/>
        <w:rPr>
          <w:rFonts w:ascii="Arial" w:eastAsia="Tahoma" w:hAnsi="Arial"/>
          <w:bCs/>
          <w:i/>
          <w:iCs/>
        </w:rPr>
      </w:pPr>
      <w:r w:rsidRPr="00C056B8">
        <w:rPr>
          <w:rFonts w:ascii="Arial" w:eastAsia="Tahoma" w:hAnsi="Arial"/>
          <w:bCs/>
        </w:rPr>
        <w:t>R</w:t>
      </w:r>
      <w:r w:rsidR="00B23F5E">
        <w:rPr>
          <w:rFonts w:ascii="Arial" w:eastAsia="Tahoma" w:hAnsi="Arial"/>
          <w:bCs/>
        </w:rPr>
        <w:t>amirez</w:t>
      </w:r>
      <w:r w:rsidRPr="00C056B8">
        <w:rPr>
          <w:rFonts w:ascii="Arial" w:eastAsia="Tahoma" w:hAnsi="Arial"/>
          <w:bCs/>
        </w:rPr>
        <w:t xml:space="preserve">, M. A. (2022). Learning Styles of Students Amidst Pandemic Vis-À-Vis Academic Performance in Science 10: A Basis for Proposed Intervention Plan. </w:t>
      </w:r>
      <w:r w:rsidRPr="00C056B8">
        <w:rPr>
          <w:rFonts w:ascii="Arial" w:eastAsia="Tahoma" w:hAnsi="Arial"/>
          <w:bCs/>
          <w:i/>
          <w:iCs/>
        </w:rPr>
        <w:t xml:space="preserve">International Journal of Multidisciplinary: Applied Business and Education Research, 3(1), 51-55.               </w:t>
      </w:r>
      <w:hyperlink r:id="rId42" w:history="1">
        <w:r w:rsidRPr="00C056B8">
          <w:rPr>
            <w:rStyle w:val="Hyperlink"/>
            <w:rFonts w:ascii="Arial" w:eastAsia="Tahoma" w:hAnsi="Arial"/>
            <w:bCs/>
            <w:i/>
            <w:iCs/>
            <w:color w:val="auto"/>
          </w:rPr>
          <w:t>https://doi.org/10.11594/ijmaber.03.01.06</w:t>
        </w:r>
      </w:hyperlink>
    </w:p>
    <w:p w14:paraId="13365D78" w14:textId="77777777" w:rsidR="00C056B8" w:rsidRPr="00C056B8" w:rsidRDefault="00C056B8" w:rsidP="00C056B8">
      <w:pPr>
        <w:ind w:left="540" w:hanging="540"/>
        <w:jc w:val="both"/>
        <w:rPr>
          <w:rFonts w:ascii="Arial" w:eastAsia="Tahoma" w:hAnsi="Arial"/>
          <w:bCs/>
          <w:i/>
          <w:iCs/>
        </w:rPr>
      </w:pPr>
    </w:p>
    <w:p w14:paraId="27AC858F" w14:textId="181777BB" w:rsidR="00C056B8" w:rsidRPr="00C056B8" w:rsidRDefault="00C056B8" w:rsidP="00C056B8">
      <w:pPr>
        <w:ind w:left="540" w:hanging="540"/>
        <w:jc w:val="both"/>
        <w:rPr>
          <w:rFonts w:ascii="Arial" w:eastAsia="Tahoma" w:hAnsi="Arial"/>
          <w:bCs/>
          <w:iCs/>
        </w:rPr>
      </w:pPr>
      <w:r w:rsidRPr="00C056B8">
        <w:rPr>
          <w:rFonts w:ascii="Arial" w:eastAsia="Tahoma" w:hAnsi="Arial"/>
          <w:bCs/>
        </w:rPr>
        <w:lastRenderedPageBreak/>
        <w:t>R</w:t>
      </w:r>
      <w:r w:rsidR="00B23F5E">
        <w:rPr>
          <w:rFonts w:ascii="Arial" w:eastAsia="Tahoma" w:hAnsi="Arial"/>
          <w:bCs/>
        </w:rPr>
        <w:t>achman</w:t>
      </w:r>
      <w:r w:rsidRPr="00C056B8">
        <w:rPr>
          <w:rFonts w:ascii="Arial" w:eastAsia="Tahoma" w:hAnsi="Arial"/>
          <w:bCs/>
        </w:rPr>
        <w:t xml:space="preserve">, </w:t>
      </w:r>
      <w:proofErr w:type="spellStart"/>
      <w:proofErr w:type="gramStart"/>
      <w:r w:rsidRPr="00C056B8">
        <w:rPr>
          <w:rFonts w:ascii="Arial" w:eastAsia="Tahoma" w:hAnsi="Arial"/>
          <w:bCs/>
        </w:rPr>
        <w:t>D,H</w:t>
      </w:r>
      <w:r w:rsidR="00B23F5E">
        <w:rPr>
          <w:rFonts w:ascii="Arial" w:eastAsia="Tahoma" w:hAnsi="Arial"/>
          <w:bCs/>
        </w:rPr>
        <w:t>aq</w:t>
      </w:r>
      <w:proofErr w:type="spellEnd"/>
      <w:proofErr w:type="gramEnd"/>
      <w:r w:rsidRPr="00C056B8">
        <w:rPr>
          <w:rFonts w:ascii="Arial" w:eastAsia="Tahoma" w:hAnsi="Arial"/>
          <w:bCs/>
        </w:rPr>
        <w:t xml:space="preserve">, </w:t>
      </w:r>
      <w:proofErr w:type="gramStart"/>
      <w:r w:rsidRPr="00C056B8">
        <w:rPr>
          <w:rFonts w:ascii="Arial" w:eastAsia="Tahoma" w:hAnsi="Arial"/>
          <w:bCs/>
        </w:rPr>
        <w:t>A.,</w:t>
      </w:r>
      <w:proofErr w:type="spellStart"/>
      <w:r w:rsidRPr="00C056B8">
        <w:rPr>
          <w:rFonts w:ascii="Arial" w:eastAsia="Tahoma" w:hAnsi="Arial"/>
          <w:bCs/>
        </w:rPr>
        <w:t>P</w:t>
      </w:r>
      <w:r w:rsidR="00B23F5E">
        <w:rPr>
          <w:rFonts w:ascii="Arial" w:eastAsia="Tahoma" w:hAnsi="Arial"/>
          <w:bCs/>
        </w:rPr>
        <w:t>ratama</w:t>
      </w:r>
      <w:proofErr w:type="spellEnd"/>
      <w:proofErr w:type="gramEnd"/>
      <w:r w:rsidRPr="00C056B8">
        <w:rPr>
          <w:rFonts w:ascii="Arial" w:eastAsia="Tahoma" w:hAnsi="Arial"/>
          <w:bCs/>
        </w:rPr>
        <w:t>, R., &amp;</w:t>
      </w:r>
      <w:r w:rsidR="00B23F5E">
        <w:rPr>
          <w:rFonts w:ascii="Arial" w:eastAsia="Tahoma" w:hAnsi="Arial"/>
          <w:bCs/>
        </w:rPr>
        <w:t xml:space="preserve"> </w:t>
      </w:r>
      <w:proofErr w:type="spellStart"/>
      <w:proofErr w:type="gramStart"/>
      <w:r w:rsidRPr="00C056B8">
        <w:rPr>
          <w:rFonts w:ascii="Arial" w:eastAsia="Tahoma" w:hAnsi="Arial"/>
          <w:bCs/>
        </w:rPr>
        <w:t>P</w:t>
      </w:r>
      <w:r w:rsidR="00B23F5E">
        <w:rPr>
          <w:rFonts w:ascii="Arial" w:eastAsia="Tahoma" w:hAnsi="Arial"/>
          <w:bCs/>
        </w:rPr>
        <w:t>rasetyo</w:t>
      </w:r>
      <w:r w:rsidRPr="00C056B8">
        <w:rPr>
          <w:rFonts w:ascii="Arial" w:eastAsia="Tahoma" w:hAnsi="Arial"/>
          <w:bCs/>
        </w:rPr>
        <w:t>,B</w:t>
      </w:r>
      <w:proofErr w:type="spellEnd"/>
      <w:r w:rsidRPr="00C056B8">
        <w:rPr>
          <w:rFonts w:ascii="Arial" w:eastAsia="Tahoma" w:hAnsi="Arial"/>
          <w:bCs/>
        </w:rPr>
        <w:t>.</w:t>
      </w:r>
      <w:proofErr w:type="gramEnd"/>
      <w:r w:rsidRPr="00C056B8">
        <w:rPr>
          <w:rFonts w:ascii="Arial" w:eastAsia="Tahoma" w:hAnsi="Arial"/>
          <w:bCs/>
        </w:rPr>
        <w:t xml:space="preserve"> (2019). The Correlation Study of Students’ Learning Styles and English Achievement. Aditya: </w:t>
      </w:r>
      <w:r w:rsidRPr="00C056B8">
        <w:rPr>
          <w:rFonts w:ascii="Arial" w:eastAsia="Tahoma" w:hAnsi="Arial"/>
          <w:bCs/>
          <w:i/>
          <w:iCs/>
        </w:rPr>
        <w:t>Journal of Teaching and Education,</w:t>
      </w:r>
      <w:r w:rsidRPr="00C056B8">
        <w:rPr>
          <w:rFonts w:ascii="Arial" w:eastAsia="Tahoma" w:hAnsi="Arial"/>
          <w:bCs/>
          <w:iCs/>
        </w:rPr>
        <w:t xml:space="preserve">1(2), 142–150. </w:t>
      </w:r>
      <w:hyperlink r:id="rId43" w:history="1">
        <w:r w:rsidRPr="00C056B8">
          <w:rPr>
            <w:rStyle w:val="Hyperlink"/>
            <w:rFonts w:ascii="Arial" w:eastAsia="Tahoma" w:hAnsi="Arial"/>
            <w:bCs/>
            <w:iCs/>
            <w:color w:val="auto"/>
          </w:rPr>
          <w:t>https://doi.org/10.30650/ajte.v1i2.252</w:t>
        </w:r>
      </w:hyperlink>
    </w:p>
    <w:p w14:paraId="208C84EF" w14:textId="77777777" w:rsidR="00C056B8" w:rsidRPr="00C056B8" w:rsidRDefault="00C056B8" w:rsidP="00C056B8">
      <w:pPr>
        <w:ind w:left="540" w:hanging="540"/>
        <w:jc w:val="both"/>
        <w:rPr>
          <w:rFonts w:ascii="Arial" w:eastAsia="Tahoma" w:hAnsi="Arial"/>
          <w:bCs/>
        </w:rPr>
      </w:pPr>
    </w:p>
    <w:p w14:paraId="49D49153"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Reid, J. M. (1995). Learning Styles in the ESL/EFL Classroom. Heinle &amp; Heinle.</w:t>
      </w:r>
    </w:p>
    <w:p w14:paraId="7AD80872" w14:textId="77777777" w:rsidR="00C056B8" w:rsidRPr="00C056B8" w:rsidRDefault="00C056B8" w:rsidP="00C056B8">
      <w:pPr>
        <w:ind w:left="540" w:hanging="540"/>
        <w:jc w:val="both"/>
        <w:rPr>
          <w:rFonts w:ascii="Arial" w:eastAsia="Tahoma" w:hAnsi="Arial"/>
          <w:bCs/>
        </w:rPr>
      </w:pPr>
    </w:p>
    <w:p w14:paraId="4CC901D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Riener, C., &amp; Willingham, D. (2023). The myth of learning styles. Change: The Magazine of Higher Learning, 45(5), 32-35.</w:t>
      </w:r>
    </w:p>
    <w:p w14:paraId="565760E7" w14:textId="77777777" w:rsidR="00C056B8" w:rsidRPr="00C056B8" w:rsidRDefault="00C056B8" w:rsidP="00C056B8">
      <w:pPr>
        <w:ind w:left="540" w:hanging="540"/>
        <w:jc w:val="both"/>
        <w:rPr>
          <w:rFonts w:ascii="Arial" w:eastAsia="Tahoma" w:hAnsi="Arial"/>
          <w:bCs/>
        </w:rPr>
      </w:pPr>
    </w:p>
    <w:p w14:paraId="712D5DAC"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Rios, J. A., &amp; Vázquez, A. L. (2022). The impact of instructional design on student learning outcomes. Educational Research and Reviews, 17(9), 215-225.</w:t>
      </w:r>
    </w:p>
    <w:p w14:paraId="746F94EE" w14:textId="77777777" w:rsidR="00C056B8" w:rsidRPr="00C056B8" w:rsidRDefault="00C056B8" w:rsidP="00C056B8">
      <w:pPr>
        <w:ind w:left="540" w:hanging="540"/>
        <w:jc w:val="both"/>
        <w:rPr>
          <w:rFonts w:ascii="Arial" w:eastAsia="Tahoma" w:hAnsi="Arial"/>
          <w:bCs/>
        </w:rPr>
      </w:pPr>
    </w:p>
    <w:p w14:paraId="77B15BA1"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Robinson, C., &amp; Adams, T. (2022). The Role of Kinesthetic Learning in Education: A Comprehensive Review. Learning and Motivation, 54, 45-60).</w:t>
      </w:r>
    </w:p>
    <w:p w14:paraId="6A15225A" w14:textId="77777777" w:rsidR="00C056B8" w:rsidRPr="00C056B8" w:rsidRDefault="00C056B8" w:rsidP="00C056B8">
      <w:pPr>
        <w:ind w:left="540" w:hanging="540"/>
        <w:jc w:val="both"/>
        <w:rPr>
          <w:rFonts w:ascii="Arial" w:eastAsia="Tahoma" w:hAnsi="Arial"/>
          <w:bCs/>
        </w:rPr>
      </w:pPr>
    </w:p>
    <w:p w14:paraId="47D3C211" w14:textId="7D83E0C2" w:rsidR="00C056B8" w:rsidRPr="00C056B8" w:rsidRDefault="00C056B8" w:rsidP="00C056B8">
      <w:pPr>
        <w:ind w:left="540" w:hanging="540"/>
        <w:jc w:val="both"/>
        <w:rPr>
          <w:rFonts w:ascii="Arial" w:eastAsia="Tahoma" w:hAnsi="Arial"/>
          <w:bCs/>
        </w:rPr>
      </w:pPr>
      <w:r w:rsidRPr="00C056B8">
        <w:rPr>
          <w:rFonts w:ascii="Arial" w:eastAsia="Tahoma" w:hAnsi="Arial"/>
          <w:bCs/>
          <w:iCs/>
        </w:rPr>
        <w:t>S</w:t>
      </w:r>
      <w:r w:rsidR="00B23F5E">
        <w:rPr>
          <w:rFonts w:ascii="Arial" w:eastAsia="Tahoma" w:hAnsi="Arial"/>
          <w:bCs/>
          <w:iCs/>
        </w:rPr>
        <w:t>auro</w:t>
      </w:r>
      <w:r w:rsidRPr="00C056B8">
        <w:rPr>
          <w:rFonts w:ascii="Arial" w:eastAsia="Tahoma" w:hAnsi="Arial"/>
          <w:bCs/>
          <w:iCs/>
        </w:rPr>
        <w:t xml:space="preserve">, </w:t>
      </w:r>
      <w:r w:rsidR="00B23F5E">
        <w:rPr>
          <w:rFonts w:ascii="Arial" w:eastAsia="Tahoma" w:hAnsi="Arial"/>
          <w:bCs/>
          <w:iCs/>
        </w:rPr>
        <w:t>K</w:t>
      </w:r>
      <w:r w:rsidRPr="00C056B8">
        <w:rPr>
          <w:rFonts w:ascii="Arial" w:eastAsia="Tahoma" w:hAnsi="Arial"/>
          <w:bCs/>
          <w:iCs/>
        </w:rPr>
        <w:t xml:space="preserve">, (2022) </w:t>
      </w:r>
      <w:r w:rsidRPr="00C056B8">
        <w:rPr>
          <w:rFonts w:ascii="Arial" w:eastAsia="Tahoma" w:hAnsi="Arial"/>
          <w:bCs/>
          <w:i/>
        </w:rPr>
        <w:t>"</w:t>
      </w:r>
      <w:r w:rsidRPr="00C056B8">
        <w:rPr>
          <w:rFonts w:ascii="Arial" w:eastAsia="Tahoma" w:hAnsi="Arial"/>
          <w:bCs/>
        </w:rPr>
        <w:t>The effects of incorporating kinesthetic learning on learning outcomes and on-task behavior". Master's Theses. 154.https://digitalcommons.cortland.edu/theses/154</w:t>
      </w:r>
    </w:p>
    <w:p w14:paraId="21C8EB2E" w14:textId="77777777" w:rsidR="00C056B8" w:rsidRPr="00C056B8" w:rsidRDefault="00C056B8" w:rsidP="00C056B8">
      <w:pPr>
        <w:ind w:left="540" w:hanging="540"/>
        <w:jc w:val="both"/>
        <w:rPr>
          <w:rFonts w:ascii="Arial" w:eastAsia="Tahoma" w:hAnsi="Arial"/>
          <w:bCs/>
        </w:rPr>
      </w:pPr>
    </w:p>
    <w:p w14:paraId="33F317DB" w14:textId="77777777" w:rsidR="00C056B8" w:rsidRPr="00C056B8" w:rsidRDefault="00C056B8" w:rsidP="00C056B8">
      <w:pPr>
        <w:ind w:left="540" w:hanging="540"/>
        <w:jc w:val="both"/>
        <w:rPr>
          <w:rFonts w:ascii="Arial" w:eastAsia="Tahoma" w:hAnsi="Arial"/>
          <w:bCs/>
        </w:rPr>
      </w:pPr>
      <w:proofErr w:type="gramStart"/>
      <w:r w:rsidRPr="00C056B8">
        <w:rPr>
          <w:rFonts w:ascii="Arial" w:eastAsia="Tahoma" w:hAnsi="Arial"/>
          <w:bCs/>
        </w:rPr>
        <w:t>Sabagh,(</w:t>
      </w:r>
      <w:proofErr w:type="gramEnd"/>
      <w:r w:rsidRPr="00C056B8">
        <w:rPr>
          <w:rFonts w:ascii="Arial" w:eastAsia="Tahoma" w:hAnsi="Arial"/>
          <w:bCs/>
        </w:rPr>
        <w:t>2017</w:t>
      </w:r>
      <w:proofErr w:type="gramStart"/>
      <w:r w:rsidRPr="00C056B8">
        <w:rPr>
          <w:rFonts w:ascii="Arial" w:eastAsia="Tahoma" w:hAnsi="Arial"/>
          <w:bCs/>
        </w:rPr>
        <w:t>).https://educationaltechnologyjournal.springeropen.com/articles/10.1186/s41239-021-00289-4</w:t>
      </w:r>
      <w:proofErr w:type="gramEnd"/>
    </w:p>
    <w:p w14:paraId="0FE705BA" w14:textId="77777777" w:rsidR="00C056B8" w:rsidRPr="00C056B8" w:rsidRDefault="00C056B8" w:rsidP="00C056B8">
      <w:pPr>
        <w:ind w:left="540" w:hanging="540"/>
        <w:jc w:val="both"/>
        <w:rPr>
          <w:rFonts w:ascii="Arial" w:eastAsia="Tahoma" w:hAnsi="Arial"/>
          <w:bCs/>
        </w:rPr>
      </w:pPr>
    </w:p>
    <w:p w14:paraId="2CD369E4" w14:textId="214B7256" w:rsidR="00C056B8" w:rsidRPr="00C056B8" w:rsidRDefault="00C056B8" w:rsidP="00C056B8">
      <w:pPr>
        <w:ind w:left="540" w:hanging="540"/>
        <w:jc w:val="both"/>
        <w:rPr>
          <w:rFonts w:ascii="Arial" w:eastAsia="Tahoma" w:hAnsi="Arial"/>
          <w:bCs/>
          <w:i/>
          <w:iCs/>
        </w:rPr>
      </w:pPr>
      <w:r w:rsidRPr="00C056B8">
        <w:rPr>
          <w:rFonts w:ascii="Arial" w:eastAsia="Tahoma" w:hAnsi="Arial"/>
          <w:bCs/>
        </w:rPr>
        <w:t>S</w:t>
      </w:r>
      <w:r w:rsidR="00B23F5E">
        <w:rPr>
          <w:rFonts w:ascii="Arial" w:eastAsia="Tahoma" w:hAnsi="Arial"/>
          <w:bCs/>
        </w:rPr>
        <w:t>hahjahan</w:t>
      </w:r>
      <w:r w:rsidRPr="00C056B8">
        <w:rPr>
          <w:rFonts w:ascii="Arial" w:eastAsia="Tahoma" w:hAnsi="Arial"/>
          <w:bCs/>
        </w:rPr>
        <w:t>, M., A</w:t>
      </w:r>
      <w:r w:rsidR="00B23F5E">
        <w:rPr>
          <w:rFonts w:ascii="Arial" w:eastAsia="Tahoma" w:hAnsi="Arial"/>
          <w:bCs/>
        </w:rPr>
        <w:t>hmed</w:t>
      </w:r>
      <w:r w:rsidRPr="00C056B8">
        <w:rPr>
          <w:rFonts w:ascii="Arial" w:eastAsia="Tahoma" w:hAnsi="Arial"/>
          <w:bCs/>
        </w:rPr>
        <w:t>, K., H</w:t>
      </w:r>
      <w:r w:rsidR="00B23F5E">
        <w:rPr>
          <w:rFonts w:ascii="Arial" w:eastAsia="Tahoma" w:hAnsi="Arial"/>
          <w:bCs/>
        </w:rPr>
        <w:t>adrami</w:t>
      </w:r>
      <w:r w:rsidRPr="00C056B8">
        <w:rPr>
          <w:rFonts w:ascii="Arial" w:eastAsia="Tahoma" w:hAnsi="Arial"/>
          <w:bCs/>
        </w:rPr>
        <w:t>, A., I</w:t>
      </w:r>
      <w:r w:rsidR="00B23F5E">
        <w:rPr>
          <w:rFonts w:ascii="Arial" w:eastAsia="Tahoma" w:hAnsi="Arial"/>
          <w:bCs/>
        </w:rPr>
        <w:t>slam</w:t>
      </w:r>
      <w:r w:rsidRPr="00C056B8">
        <w:rPr>
          <w:rFonts w:ascii="Arial" w:eastAsia="Tahoma" w:hAnsi="Arial"/>
          <w:bCs/>
        </w:rPr>
        <w:t>, R., H</w:t>
      </w:r>
      <w:r w:rsidR="00B23F5E">
        <w:rPr>
          <w:rFonts w:ascii="Arial" w:eastAsia="Tahoma" w:hAnsi="Arial"/>
          <w:bCs/>
        </w:rPr>
        <w:t>ossain</w:t>
      </w:r>
      <w:r w:rsidRPr="00C056B8">
        <w:rPr>
          <w:rFonts w:ascii="Arial" w:eastAsia="Tahoma" w:hAnsi="Arial"/>
          <w:bCs/>
        </w:rPr>
        <w:t>, S., &amp; K</w:t>
      </w:r>
      <w:r w:rsidR="00B23F5E">
        <w:rPr>
          <w:rFonts w:ascii="Arial" w:eastAsia="Tahoma" w:hAnsi="Arial"/>
          <w:bCs/>
        </w:rPr>
        <w:t>han</w:t>
      </w:r>
      <w:r w:rsidRPr="00C056B8">
        <w:rPr>
          <w:rFonts w:ascii="Arial" w:eastAsia="Tahoma" w:hAnsi="Arial"/>
          <w:bCs/>
        </w:rPr>
        <w:t xml:space="preserve">, S. (2021). Factors Influencing Poor Academic Performance Among Urban University Students </w:t>
      </w:r>
      <w:proofErr w:type="gramStart"/>
      <w:r w:rsidRPr="00C056B8">
        <w:rPr>
          <w:rFonts w:ascii="Arial" w:eastAsia="Tahoma" w:hAnsi="Arial"/>
          <w:bCs/>
        </w:rPr>
        <w:t>In</w:t>
      </w:r>
      <w:proofErr w:type="gramEnd"/>
      <w:r w:rsidRPr="00C056B8">
        <w:rPr>
          <w:rFonts w:ascii="Arial" w:eastAsia="Tahoma" w:hAnsi="Arial"/>
          <w:bCs/>
        </w:rPr>
        <w:t xml:space="preserve"> Bangladesh. </w:t>
      </w:r>
      <w:r w:rsidRPr="00C056B8">
        <w:rPr>
          <w:rFonts w:ascii="Arial" w:eastAsia="Tahoma" w:hAnsi="Arial"/>
          <w:bCs/>
          <w:i/>
          <w:iCs/>
        </w:rPr>
        <w:t>International Journal of Evaluation and Research in Education (IJERE), Vol. 10, No. 4.</w:t>
      </w:r>
    </w:p>
    <w:p w14:paraId="459227F2" w14:textId="77777777" w:rsidR="00C056B8" w:rsidRPr="00C056B8" w:rsidRDefault="00C056B8" w:rsidP="00C056B8">
      <w:pPr>
        <w:ind w:left="540" w:hanging="540"/>
        <w:jc w:val="both"/>
        <w:rPr>
          <w:rFonts w:ascii="Arial" w:eastAsia="Tahoma" w:hAnsi="Arial"/>
          <w:bCs/>
          <w:i/>
          <w:iCs/>
        </w:rPr>
      </w:pPr>
    </w:p>
    <w:p w14:paraId="131339C5" w14:textId="77777777" w:rsidR="00C056B8" w:rsidRPr="00C056B8" w:rsidRDefault="00C056B8" w:rsidP="00C056B8">
      <w:pPr>
        <w:ind w:left="540" w:hanging="540"/>
        <w:jc w:val="both"/>
        <w:rPr>
          <w:rFonts w:ascii="Arial" w:eastAsia="Tahoma" w:hAnsi="Arial"/>
          <w:bCs/>
        </w:rPr>
      </w:pPr>
      <w:bookmarkStart w:id="0" w:name="_Hlk173493074"/>
      <w:r w:rsidRPr="00C056B8">
        <w:rPr>
          <w:rFonts w:ascii="Arial" w:eastAsia="Tahoma" w:hAnsi="Arial"/>
          <w:bCs/>
        </w:rPr>
        <w:t xml:space="preserve">SIVAKUMAR, R. (2020). Effects of social media on academic performance of the students. </w:t>
      </w:r>
      <w:r w:rsidRPr="00C056B8">
        <w:rPr>
          <w:rFonts w:ascii="Arial" w:eastAsia="Tahoma" w:hAnsi="Arial"/>
          <w:bCs/>
          <w:i/>
          <w:iCs/>
        </w:rPr>
        <w:t>The Online Journal of Distance Education and e-Learning, 8(2), 90</w:t>
      </w:r>
      <w:r w:rsidRPr="00C056B8">
        <w:rPr>
          <w:rFonts w:ascii="Arial" w:eastAsia="Tahoma" w:hAnsi="Arial"/>
          <w:bCs/>
        </w:rPr>
        <w:t>.</w:t>
      </w:r>
    </w:p>
    <w:p w14:paraId="639BFFA6" w14:textId="77777777" w:rsidR="00C056B8" w:rsidRPr="00C056B8" w:rsidRDefault="00C056B8" w:rsidP="00C056B8">
      <w:pPr>
        <w:ind w:left="540" w:hanging="540"/>
        <w:jc w:val="both"/>
        <w:rPr>
          <w:rFonts w:ascii="Arial" w:eastAsia="Tahoma" w:hAnsi="Arial"/>
          <w:bCs/>
        </w:rPr>
      </w:pPr>
    </w:p>
    <w:p w14:paraId="72AB6F46"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Sanders, M., &amp; Bridges, S. (2021). The learning style debate: More than just an academic question. </w:t>
      </w:r>
      <w:r w:rsidRPr="00C056B8">
        <w:rPr>
          <w:rFonts w:ascii="Arial" w:eastAsia="Tahoma" w:hAnsi="Arial"/>
          <w:bCs/>
          <w:i/>
        </w:rPr>
        <w:t xml:space="preserve">Journal of Educational Psychology, </w:t>
      </w:r>
      <w:r w:rsidRPr="00C056B8">
        <w:rPr>
          <w:rFonts w:ascii="Arial" w:eastAsia="Tahoma" w:hAnsi="Arial"/>
          <w:bCs/>
        </w:rPr>
        <w:t>113(4), 780-793.</w:t>
      </w:r>
    </w:p>
    <w:p w14:paraId="35D8C6D1" w14:textId="77777777" w:rsidR="00C056B8" w:rsidRPr="00C056B8" w:rsidRDefault="00C056B8" w:rsidP="00C056B8">
      <w:pPr>
        <w:ind w:left="540" w:hanging="540"/>
        <w:jc w:val="both"/>
        <w:rPr>
          <w:rFonts w:ascii="Arial" w:eastAsia="Tahoma" w:hAnsi="Arial"/>
          <w:bCs/>
        </w:rPr>
      </w:pPr>
    </w:p>
    <w:p w14:paraId="5850197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Sauro, J. (2022). Measuring user experience and learning outcomes in educational technologies. </w:t>
      </w:r>
      <w:r w:rsidRPr="00C056B8">
        <w:rPr>
          <w:rFonts w:ascii="Arial" w:eastAsia="Tahoma" w:hAnsi="Arial"/>
          <w:bCs/>
          <w:i/>
        </w:rPr>
        <w:t>Journal of Usability Studies,</w:t>
      </w:r>
      <w:r w:rsidRPr="00C056B8">
        <w:rPr>
          <w:rFonts w:ascii="Arial" w:eastAsia="Tahoma" w:hAnsi="Arial"/>
          <w:bCs/>
        </w:rPr>
        <w:t xml:space="preserve"> 17(2), 85-100.</w:t>
      </w:r>
    </w:p>
    <w:p w14:paraId="13EDC665" w14:textId="77777777" w:rsidR="00C056B8" w:rsidRPr="00C056B8" w:rsidRDefault="00C056B8" w:rsidP="00C056B8">
      <w:pPr>
        <w:ind w:left="540" w:hanging="540"/>
        <w:jc w:val="both"/>
        <w:rPr>
          <w:rFonts w:ascii="Arial" w:eastAsia="Tahoma" w:hAnsi="Arial"/>
          <w:bCs/>
        </w:rPr>
      </w:pPr>
    </w:p>
    <w:p w14:paraId="23E0D434"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Smith, M. S., Johnson, L. R., &amp; Williams, R. D. (2021). Critical thinking in digital learning environments. </w:t>
      </w:r>
      <w:r w:rsidRPr="00C056B8">
        <w:rPr>
          <w:rFonts w:ascii="Arial" w:eastAsia="Tahoma" w:hAnsi="Arial"/>
          <w:bCs/>
          <w:i/>
        </w:rPr>
        <w:t>Journal of Digital Learning in Teacher Education,</w:t>
      </w:r>
      <w:r w:rsidRPr="00C056B8">
        <w:rPr>
          <w:rFonts w:ascii="Arial" w:eastAsia="Tahoma" w:hAnsi="Arial"/>
          <w:bCs/>
        </w:rPr>
        <w:t xml:space="preserve"> 37(1), 22-34.</w:t>
      </w:r>
    </w:p>
    <w:p w14:paraId="03399B9F" w14:textId="77777777" w:rsidR="00C056B8" w:rsidRPr="00C056B8" w:rsidRDefault="00C056B8" w:rsidP="00C056B8">
      <w:pPr>
        <w:ind w:left="540" w:hanging="540"/>
        <w:jc w:val="both"/>
        <w:rPr>
          <w:rFonts w:ascii="Arial" w:eastAsia="Tahoma" w:hAnsi="Arial"/>
          <w:bCs/>
        </w:rPr>
      </w:pPr>
    </w:p>
    <w:bookmarkEnd w:id="0"/>
    <w:p w14:paraId="5413D63D" w14:textId="0C7CC546" w:rsidR="00C056B8" w:rsidRPr="00C056B8" w:rsidRDefault="00C056B8" w:rsidP="00C056B8">
      <w:pPr>
        <w:ind w:left="540" w:hanging="540"/>
        <w:jc w:val="both"/>
        <w:rPr>
          <w:rFonts w:ascii="Arial" w:eastAsia="Tahoma" w:hAnsi="Arial"/>
          <w:bCs/>
          <w:i/>
          <w:iCs/>
        </w:rPr>
      </w:pPr>
      <w:r w:rsidRPr="00C056B8">
        <w:rPr>
          <w:rFonts w:ascii="Arial" w:eastAsia="Tahoma" w:hAnsi="Arial"/>
          <w:bCs/>
        </w:rPr>
        <w:t>S</w:t>
      </w:r>
      <w:r w:rsidR="00B23F5E">
        <w:rPr>
          <w:rFonts w:ascii="Arial" w:eastAsia="Tahoma" w:hAnsi="Arial"/>
          <w:bCs/>
        </w:rPr>
        <w:t>mith</w:t>
      </w:r>
      <w:r w:rsidRPr="00C056B8">
        <w:rPr>
          <w:rFonts w:ascii="Arial" w:eastAsia="Tahoma" w:hAnsi="Arial"/>
          <w:bCs/>
        </w:rPr>
        <w:t xml:space="preserve">, J. (2023). Adapting kinesthetic learning activities to online education: Innovative approaches for incorporating physical engagement in virtual learning environments. </w:t>
      </w:r>
      <w:r w:rsidRPr="00C056B8">
        <w:rPr>
          <w:rFonts w:ascii="Arial" w:eastAsia="Tahoma" w:hAnsi="Arial"/>
          <w:bCs/>
          <w:i/>
          <w:iCs/>
        </w:rPr>
        <w:t>Journal of Online Learning, 12(2), 78-92</w:t>
      </w:r>
    </w:p>
    <w:p w14:paraId="180EB3D6" w14:textId="77777777" w:rsidR="00C056B8" w:rsidRPr="00C056B8" w:rsidRDefault="00C056B8" w:rsidP="00C056B8">
      <w:pPr>
        <w:ind w:left="540" w:hanging="540"/>
        <w:jc w:val="both"/>
        <w:rPr>
          <w:rFonts w:ascii="Arial" w:eastAsia="Tahoma" w:hAnsi="Arial"/>
          <w:bCs/>
          <w:i/>
          <w:iCs/>
        </w:rPr>
      </w:pPr>
    </w:p>
    <w:p w14:paraId="0715E2C6"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Smith, A., &amp; Jones, B. (2023)</w:t>
      </w:r>
      <w:r w:rsidRPr="00C056B8">
        <w:rPr>
          <w:rFonts w:ascii="Arial" w:eastAsia="Tahoma" w:hAnsi="Arial"/>
          <w:bCs/>
          <w:i/>
          <w:iCs/>
        </w:rPr>
        <w:t xml:space="preserve">. </w:t>
      </w:r>
      <w:r w:rsidRPr="00C056B8">
        <w:rPr>
          <w:rFonts w:ascii="Arial" w:eastAsia="Tahoma" w:hAnsi="Arial"/>
          <w:bCs/>
        </w:rPr>
        <w:t>Incorporating Learning Styles into Instruction: Benefits and Limitations. Teaching and Learning Inquiry, 11(1), 45-60).</w:t>
      </w:r>
    </w:p>
    <w:p w14:paraId="6DA98B16" w14:textId="77777777" w:rsidR="00C056B8" w:rsidRPr="00C056B8" w:rsidRDefault="00C056B8" w:rsidP="00C056B8">
      <w:pPr>
        <w:ind w:left="540" w:hanging="540"/>
        <w:jc w:val="both"/>
        <w:rPr>
          <w:rFonts w:ascii="Arial" w:eastAsia="Tahoma" w:hAnsi="Arial"/>
          <w:bCs/>
          <w:i/>
          <w:iCs/>
        </w:rPr>
      </w:pPr>
    </w:p>
    <w:p w14:paraId="1C49BDEF" w14:textId="7A352A67" w:rsidR="00C056B8" w:rsidRPr="00C056B8" w:rsidRDefault="00C056B8" w:rsidP="00C056B8">
      <w:pPr>
        <w:ind w:left="540" w:hanging="540"/>
        <w:jc w:val="both"/>
        <w:rPr>
          <w:rFonts w:ascii="Arial" w:eastAsia="Tahoma" w:hAnsi="Arial"/>
          <w:bCs/>
          <w:i/>
          <w:iCs/>
        </w:rPr>
      </w:pPr>
      <w:r w:rsidRPr="00C056B8">
        <w:rPr>
          <w:rFonts w:ascii="Arial" w:eastAsia="Tahoma" w:hAnsi="Arial"/>
          <w:bCs/>
        </w:rPr>
        <w:t>S</w:t>
      </w:r>
      <w:r w:rsidR="00B23F5E">
        <w:rPr>
          <w:rFonts w:ascii="Arial" w:eastAsia="Tahoma" w:hAnsi="Arial"/>
          <w:bCs/>
        </w:rPr>
        <w:t>mith</w:t>
      </w:r>
      <w:r w:rsidRPr="00C056B8">
        <w:rPr>
          <w:rFonts w:ascii="Arial" w:eastAsia="Tahoma" w:hAnsi="Arial"/>
          <w:bCs/>
        </w:rPr>
        <w:t xml:space="preserve">, A. (2018). Impact of visual learning preferences on elementary students’ academic performance. </w:t>
      </w:r>
      <w:r w:rsidRPr="00C056B8">
        <w:rPr>
          <w:rFonts w:ascii="Arial" w:eastAsia="Tahoma" w:hAnsi="Arial"/>
          <w:bCs/>
          <w:i/>
          <w:iCs/>
        </w:rPr>
        <w:t>Journal of Educational Psychology, 25(3), 112-127.</w:t>
      </w:r>
    </w:p>
    <w:p w14:paraId="540845E0" w14:textId="77777777" w:rsidR="00C056B8" w:rsidRPr="00C056B8" w:rsidRDefault="00C056B8" w:rsidP="00C056B8">
      <w:pPr>
        <w:ind w:left="540" w:hanging="540"/>
        <w:jc w:val="both"/>
        <w:rPr>
          <w:rFonts w:ascii="Arial" w:eastAsia="Tahoma" w:hAnsi="Arial"/>
          <w:bCs/>
          <w:i/>
          <w:iCs/>
        </w:rPr>
      </w:pPr>
    </w:p>
    <w:p w14:paraId="5C6D8A39" w14:textId="23B8D397" w:rsidR="00C056B8" w:rsidRPr="00C056B8" w:rsidRDefault="00C056B8" w:rsidP="00C056B8">
      <w:pPr>
        <w:ind w:left="540" w:hanging="540"/>
        <w:jc w:val="both"/>
        <w:rPr>
          <w:rFonts w:ascii="Arial" w:eastAsia="Tahoma" w:hAnsi="Arial"/>
          <w:bCs/>
        </w:rPr>
      </w:pPr>
      <w:r w:rsidRPr="00C056B8">
        <w:rPr>
          <w:rFonts w:ascii="Arial" w:eastAsia="Tahoma" w:hAnsi="Arial"/>
          <w:bCs/>
        </w:rPr>
        <w:t>S</w:t>
      </w:r>
      <w:r w:rsidR="00B23F5E">
        <w:rPr>
          <w:rFonts w:ascii="Arial" w:eastAsia="Tahoma" w:hAnsi="Arial"/>
          <w:bCs/>
        </w:rPr>
        <w:t>mith</w:t>
      </w:r>
      <w:r w:rsidRPr="00C056B8">
        <w:rPr>
          <w:rFonts w:ascii="Arial" w:eastAsia="Tahoma" w:hAnsi="Arial"/>
          <w:bCs/>
        </w:rPr>
        <w:t>, J., &amp; B</w:t>
      </w:r>
      <w:r w:rsidR="00B23F5E">
        <w:rPr>
          <w:rFonts w:ascii="Arial" w:eastAsia="Tahoma" w:hAnsi="Arial"/>
          <w:bCs/>
        </w:rPr>
        <w:t>rown</w:t>
      </w:r>
      <w:r w:rsidRPr="00C056B8">
        <w:rPr>
          <w:rFonts w:ascii="Arial" w:eastAsia="Tahoma" w:hAnsi="Arial"/>
          <w:bCs/>
        </w:rPr>
        <w:t>, A. (2018). Adapting to Learning Styles: A Study on the Impact of Personalized Learning in High School Education.</w:t>
      </w:r>
    </w:p>
    <w:p w14:paraId="715CA377" w14:textId="77777777" w:rsidR="00C056B8" w:rsidRPr="00C056B8" w:rsidRDefault="00C056B8" w:rsidP="00C056B8">
      <w:pPr>
        <w:ind w:left="540" w:hanging="540"/>
        <w:jc w:val="both"/>
        <w:rPr>
          <w:rFonts w:ascii="Arial" w:eastAsia="Tahoma" w:hAnsi="Arial"/>
          <w:bCs/>
        </w:rPr>
      </w:pPr>
    </w:p>
    <w:p w14:paraId="09F8089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lastRenderedPageBreak/>
        <w:t xml:space="preserve">Taylor, C. R., Wilson, J. M., &amp; Hernandez, D. P. (2023). Exploring the effectiveness of differentiated instruction in diverse classrooms. </w:t>
      </w:r>
      <w:r w:rsidRPr="00C056B8">
        <w:rPr>
          <w:rFonts w:ascii="Arial" w:eastAsia="Tahoma" w:hAnsi="Arial"/>
          <w:bCs/>
          <w:i/>
        </w:rPr>
        <w:t>Journal of Educational Research,</w:t>
      </w:r>
      <w:r w:rsidRPr="00C056B8">
        <w:rPr>
          <w:rFonts w:ascii="Arial" w:eastAsia="Tahoma" w:hAnsi="Arial"/>
          <w:bCs/>
        </w:rPr>
        <w:t xml:space="preserve"> 117(1), 23-35.</w:t>
      </w:r>
    </w:p>
    <w:p w14:paraId="0B6F3698" w14:textId="77777777" w:rsidR="00C056B8" w:rsidRPr="00C056B8" w:rsidRDefault="00C056B8" w:rsidP="00C056B8">
      <w:pPr>
        <w:ind w:left="540" w:hanging="540"/>
        <w:jc w:val="both"/>
        <w:rPr>
          <w:rFonts w:ascii="Arial" w:eastAsia="Tahoma" w:hAnsi="Arial"/>
          <w:bCs/>
        </w:rPr>
      </w:pPr>
    </w:p>
    <w:p w14:paraId="448E2A9A" w14:textId="7F5E5E3F" w:rsidR="00C056B8" w:rsidRPr="00C056B8" w:rsidRDefault="00C056B8" w:rsidP="00C056B8">
      <w:pPr>
        <w:ind w:left="540" w:hanging="540"/>
        <w:jc w:val="both"/>
        <w:rPr>
          <w:rFonts w:ascii="Arial" w:eastAsia="Tahoma" w:hAnsi="Arial"/>
          <w:bCs/>
        </w:rPr>
      </w:pPr>
      <w:r w:rsidRPr="00C056B8">
        <w:rPr>
          <w:rFonts w:ascii="Arial" w:eastAsia="Tahoma" w:hAnsi="Arial"/>
          <w:bCs/>
        </w:rPr>
        <w:t>S</w:t>
      </w:r>
      <w:r w:rsidR="00B23F5E">
        <w:rPr>
          <w:rFonts w:ascii="Arial" w:eastAsia="Tahoma" w:hAnsi="Arial"/>
          <w:bCs/>
        </w:rPr>
        <w:t>tephen</w:t>
      </w:r>
      <w:r w:rsidRPr="00C056B8">
        <w:rPr>
          <w:rFonts w:ascii="Arial" w:eastAsia="Tahoma" w:hAnsi="Arial"/>
          <w:bCs/>
        </w:rPr>
        <w:t xml:space="preserve">, B. R. E. (2023). The persistence of matching teaching and learning styles: A review of the ubiquity of this neuromyth, predictors of its endorsement, and recommendations to end it. Frontiers in Education, 8(2504-284X). </w:t>
      </w:r>
      <w:hyperlink r:id="rId44" w:history="1">
        <w:r w:rsidRPr="00C056B8">
          <w:rPr>
            <w:rStyle w:val="Hyperlink"/>
            <w:rFonts w:ascii="Arial" w:eastAsia="Tahoma" w:hAnsi="Arial"/>
            <w:bCs/>
            <w:color w:val="auto"/>
          </w:rPr>
          <w:t>https://doi.org/10.3389/feduc.2023.1147498</w:t>
        </w:r>
      </w:hyperlink>
    </w:p>
    <w:p w14:paraId="1D05376E" w14:textId="77777777" w:rsidR="00C056B8" w:rsidRPr="00C056B8" w:rsidRDefault="00C056B8" w:rsidP="00C056B8">
      <w:pPr>
        <w:ind w:left="540" w:hanging="540"/>
        <w:jc w:val="both"/>
        <w:rPr>
          <w:rFonts w:ascii="Arial" w:eastAsia="Tahoma" w:hAnsi="Arial"/>
          <w:bCs/>
        </w:rPr>
      </w:pPr>
    </w:p>
    <w:p w14:paraId="6C2C367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Thompson, (2023) https://www.linkedin.com/pulse/empowering-students-through-art-education-fostering-creativity-kumar</w:t>
      </w:r>
    </w:p>
    <w:p w14:paraId="7733A789" w14:textId="77777777" w:rsidR="00C056B8" w:rsidRPr="00C056B8" w:rsidRDefault="00C056B8" w:rsidP="00C056B8">
      <w:pPr>
        <w:ind w:left="540" w:hanging="540"/>
        <w:jc w:val="both"/>
        <w:rPr>
          <w:rFonts w:ascii="Arial" w:eastAsia="Tahoma" w:hAnsi="Arial"/>
          <w:bCs/>
        </w:rPr>
      </w:pPr>
    </w:p>
    <w:p w14:paraId="13AF2749" w14:textId="4B3247B5"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T</w:t>
      </w:r>
      <w:r w:rsidR="001A4153">
        <w:rPr>
          <w:rFonts w:ascii="Arial" w:eastAsia="Tahoma" w:hAnsi="Arial"/>
          <w:bCs/>
        </w:rPr>
        <w:t>omruk</w:t>
      </w:r>
      <w:proofErr w:type="spellEnd"/>
      <w:r w:rsidRPr="00C056B8">
        <w:rPr>
          <w:rFonts w:ascii="Arial" w:eastAsia="Tahoma" w:hAnsi="Arial"/>
          <w:bCs/>
        </w:rPr>
        <w:t xml:space="preserve">, M., </w:t>
      </w:r>
      <w:proofErr w:type="spellStart"/>
      <w:r w:rsidR="001A4153">
        <w:rPr>
          <w:rFonts w:ascii="Arial" w:eastAsia="Tahoma" w:hAnsi="Arial"/>
          <w:bCs/>
        </w:rPr>
        <w:t>Ilcin</w:t>
      </w:r>
      <w:proofErr w:type="spellEnd"/>
      <w:r w:rsidRPr="00C056B8">
        <w:rPr>
          <w:rFonts w:ascii="Arial" w:eastAsia="Tahoma" w:hAnsi="Arial"/>
          <w:bCs/>
        </w:rPr>
        <w:t xml:space="preserve">, N., </w:t>
      </w:r>
      <w:proofErr w:type="spellStart"/>
      <w:r w:rsidRPr="00C056B8">
        <w:rPr>
          <w:rFonts w:ascii="Arial" w:eastAsia="Tahoma" w:hAnsi="Arial"/>
          <w:bCs/>
        </w:rPr>
        <w:t>Y</w:t>
      </w:r>
      <w:r w:rsidR="001A4153">
        <w:rPr>
          <w:rFonts w:ascii="Arial" w:eastAsia="Tahoma" w:hAnsi="Arial"/>
          <w:bCs/>
        </w:rPr>
        <w:t>esilyapprak</w:t>
      </w:r>
      <w:proofErr w:type="spellEnd"/>
      <w:r w:rsidRPr="00C056B8">
        <w:rPr>
          <w:rFonts w:ascii="Arial" w:eastAsia="Tahoma" w:hAnsi="Arial"/>
          <w:bCs/>
        </w:rPr>
        <w:t xml:space="preserve">, S.S. </w:t>
      </w:r>
      <w:r w:rsidR="001A4153">
        <w:rPr>
          <w:rFonts w:ascii="Arial" w:eastAsia="Tahoma" w:hAnsi="Arial"/>
          <w:bCs/>
        </w:rPr>
        <w:t>et al</w:t>
      </w:r>
      <w:r w:rsidRPr="00C056B8">
        <w:rPr>
          <w:rFonts w:ascii="Arial" w:eastAsia="Tahoma" w:hAnsi="Arial"/>
          <w:bCs/>
        </w:rPr>
        <w:t>.  (2018). The relationship between learning styles and academic performance in TURKISH physiotherapy students. BMC Med Educ 18, 291. https://doi.org/10.1186/s12909-018-1400-2</w:t>
      </w:r>
    </w:p>
    <w:p w14:paraId="4182E061" w14:textId="77777777" w:rsidR="00C056B8" w:rsidRPr="00C056B8" w:rsidRDefault="00C056B8" w:rsidP="00C056B8">
      <w:pPr>
        <w:ind w:left="540" w:hanging="540"/>
        <w:jc w:val="both"/>
        <w:rPr>
          <w:rFonts w:ascii="Arial" w:eastAsia="Tahoma" w:hAnsi="Arial"/>
          <w:bCs/>
        </w:rPr>
      </w:pPr>
    </w:p>
    <w:p w14:paraId="54E6C04E"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Tzachrista</w:t>
      </w:r>
      <w:proofErr w:type="spellEnd"/>
      <w:r w:rsidRPr="00C056B8">
        <w:rPr>
          <w:rFonts w:ascii="Arial" w:eastAsia="Tahoma" w:hAnsi="Arial"/>
          <w:bCs/>
        </w:rPr>
        <w:t xml:space="preserve"> M, </w:t>
      </w:r>
      <w:proofErr w:type="spellStart"/>
      <w:r w:rsidRPr="00C056B8">
        <w:rPr>
          <w:rFonts w:ascii="Arial" w:eastAsia="Tahoma" w:hAnsi="Arial"/>
          <w:bCs/>
        </w:rPr>
        <w:t>Gkintoni</w:t>
      </w:r>
      <w:proofErr w:type="spellEnd"/>
      <w:r w:rsidRPr="00C056B8">
        <w:rPr>
          <w:rFonts w:ascii="Arial" w:eastAsia="Tahoma" w:hAnsi="Arial"/>
          <w:bCs/>
        </w:rPr>
        <w:t xml:space="preserve"> E, </w:t>
      </w:r>
      <w:proofErr w:type="spellStart"/>
      <w:r w:rsidRPr="00C056B8">
        <w:rPr>
          <w:rFonts w:ascii="Arial" w:eastAsia="Tahoma" w:hAnsi="Arial"/>
          <w:bCs/>
        </w:rPr>
        <w:t>Halkiopoulos</w:t>
      </w:r>
      <w:proofErr w:type="spellEnd"/>
      <w:r w:rsidRPr="00C056B8">
        <w:rPr>
          <w:rFonts w:ascii="Arial" w:eastAsia="Tahoma" w:hAnsi="Arial"/>
          <w:bCs/>
        </w:rPr>
        <w:t xml:space="preserve"> C. (2023). Neurocognitive Profile of Creativity in Improving Academic Performance—A Scoping </w:t>
      </w:r>
      <w:proofErr w:type="spellStart"/>
      <w:r w:rsidRPr="00C056B8">
        <w:rPr>
          <w:rFonts w:ascii="Arial" w:eastAsia="Tahoma" w:hAnsi="Arial"/>
          <w:bCs/>
        </w:rPr>
        <w:t>Revew</w:t>
      </w:r>
      <w:proofErr w:type="spellEnd"/>
      <w:r w:rsidRPr="00C056B8">
        <w:rPr>
          <w:rFonts w:ascii="Arial" w:eastAsia="Tahoma" w:hAnsi="Arial"/>
          <w:bCs/>
        </w:rPr>
        <w:t xml:space="preserve">. Education Sciences. 2023; 13(11):1127. https://doi.org/10.3390/educsci13111127  </w:t>
      </w:r>
    </w:p>
    <w:p w14:paraId="336C4CB9" w14:textId="77777777" w:rsidR="00C056B8" w:rsidRPr="00C056B8" w:rsidRDefault="00C056B8" w:rsidP="00C056B8">
      <w:pPr>
        <w:ind w:left="540" w:hanging="540"/>
        <w:jc w:val="both"/>
        <w:rPr>
          <w:rFonts w:ascii="Arial" w:eastAsia="Tahoma" w:hAnsi="Arial"/>
          <w:bCs/>
        </w:rPr>
      </w:pPr>
    </w:p>
    <w:p w14:paraId="5CC82D9F" w14:textId="3BA3084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U</w:t>
      </w:r>
      <w:r w:rsidR="00B23F5E">
        <w:rPr>
          <w:rFonts w:ascii="Arial" w:eastAsia="Tahoma" w:hAnsi="Arial"/>
          <w:bCs/>
        </w:rPr>
        <w:t>lfa</w:t>
      </w:r>
      <w:proofErr w:type="spellEnd"/>
      <w:r w:rsidRPr="00C056B8">
        <w:rPr>
          <w:rFonts w:ascii="Arial" w:eastAsia="Tahoma" w:hAnsi="Arial"/>
          <w:bCs/>
        </w:rPr>
        <w:t xml:space="preserve">, M. (2017). </w:t>
      </w:r>
      <w:proofErr w:type="spellStart"/>
      <w:r w:rsidRPr="00C056B8">
        <w:rPr>
          <w:rFonts w:ascii="Arial" w:eastAsia="Tahoma" w:hAnsi="Arial"/>
          <w:bCs/>
        </w:rPr>
        <w:t>Hubungan</w:t>
      </w:r>
      <w:proofErr w:type="spellEnd"/>
      <w:r w:rsidRPr="00C056B8">
        <w:rPr>
          <w:rFonts w:ascii="Arial" w:eastAsia="Tahoma" w:hAnsi="Arial"/>
          <w:bCs/>
        </w:rPr>
        <w:t xml:space="preserve"> Gaya </w:t>
      </w:r>
      <w:proofErr w:type="spellStart"/>
      <w:r w:rsidRPr="00C056B8">
        <w:rPr>
          <w:rFonts w:ascii="Arial" w:eastAsia="Tahoma" w:hAnsi="Arial"/>
          <w:bCs/>
        </w:rPr>
        <w:t>Belajar</w:t>
      </w:r>
      <w:proofErr w:type="spellEnd"/>
      <w:r w:rsidRPr="00C056B8">
        <w:rPr>
          <w:rFonts w:ascii="Arial" w:eastAsia="Tahoma" w:hAnsi="Arial"/>
          <w:bCs/>
        </w:rPr>
        <w:t xml:space="preserve"> </w:t>
      </w:r>
      <w:proofErr w:type="spellStart"/>
      <w:r w:rsidRPr="00C056B8">
        <w:rPr>
          <w:rFonts w:ascii="Arial" w:eastAsia="Tahoma" w:hAnsi="Arial"/>
          <w:bCs/>
        </w:rPr>
        <w:t>Terhadap</w:t>
      </w:r>
      <w:proofErr w:type="spellEnd"/>
      <w:r w:rsidRPr="00C056B8">
        <w:rPr>
          <w:rFonts w:ascii="Arial" w:eastAsia="Tahoma" w:hAnsi="Arial"/>
          <w:bCs/>
        </w:rPr>
        <w:t xml:space="preserve"> </w:t>
      </w:r>
      <w:proofErr w:type="spellStart"/>
      <w:r w:rsidRPr="00C056B8">
        <w:rPr>
          <w:rFonts w:ascii="Arial" w:eastAsia="Tahoma" w:hAnsi="Arial"/>
          <w:bCs/>
        </w:rPr>
        <w:t>Prestasi</w:t>
      </w:r>
      <w:proofErr w:type="spellEnd"/>
      <w:r w:rsidRPr="00C056B8">
        <w:rPr>
          <w:rFonts w:ascii="Arial" w:eastAsia="Tahoma" w:hAnsi="Arial"/>
          <w:bCs/>
        </w:rPr>
        <w:t xml:space="preserve"> </w:t>
      </w:r>
      <w:proofErr w:type="spellStart"/>
      <w:r w:rsidRPr="00C056B8">
        <w:rPr>
          <w:rFonts w:ascii="Arial" w:eastAsia="Tahoma" w:hAnsi="Arial"/>
          <w:bCs/>
        </w:rPr>
        <w:t>Belajar</w:t>
      </w:r>
      <w:proofErr w:type="spellEnd"/>
      <w:r w:rsidRPr="00C056B8">
        <w:rPr>
          <w:rFonts w:ascii="Arial" w:eastAsia="Tahoma" w:hAnsi="Arial"/>
          <w:bCs/>
        </w:rPr>
        <w:t xml:space="preserve"> </w:t>
      </w:r>
      <w:proofErr w:type="spellStart"/>
      <w:r w:rsidRPr="00C056B8">
        <w:rPr>
          <w:rFonts w:ascii="Arial" w:eastAsia="Tahoma" w:hAnsi="Arial"/>
          <w:bCs/>
        </w:rPr>
        <w:t>Ilmu</w:t>
      </w:r>
      <w:proofErr w:type="spellEnd"/>
      <w:r w:rsidRPr="00C056B8">
        <w:rPr>
          <w:rFonts w:ascii="Arial" w:eastAsia="Tahoma" w:hAnsi="Arial"/>
          <w:bCs/>
        </w:rPr>
        <w:t xml:space="preserve"> </w:t>
      </w:r>
      <w:proofErr w:type="spellStart"/>
      <w:r w:rsidRPr="00C056B8">
        <w:rPr>
          <w:rFonts w:ascii="Arial" w:eastAsia="Tahoma" w:hAnsi="Arial"/>
          <w:bCs/>
        </w:rPr>
        <w:t>Pengetahuan</w:t>
      </w:r>
      <w:proofErr w:type="spellEnd"/>
      <w:r w:rsidRPr="00C056B8">
        <w:rPr>
          <w:rFonts w:ascii="Arial" w:eastAsia="Tahoma" w:hAnsi="Arial"/>
          <w:bCs/>
        </w:rPr>
        <w:t xml:space="preserve"> </w:t>
      </w:r>
      <w:proofErr w:type="spellStart"/>
      <w:r w:rsidRPr="00C056B8">
        <w:rPr>
          <w:rFonts w:ascii="Arial" w:eastAsia="Tahoma" w:hAnsi="Arial"/>
          <w:bCs/>
        </w:rPr>
        <w:t>Sosial</w:t>
      </w:r>
      <w:proofErr w:type="spellEnd"/>
      <w:r w:rsidRPr="00C056B8">
        <w:rPr>
          <w:rFonts w:ascii="Arial" w:eastAsia="Tahoma" w:hAnsi="Arial"/>
          <w:bCs/>
        </w:rPr>
        <w:t xml:space="preserve"> </w:t>
      </w:r>
      <w:proofErr w:type="spellStart"/>
      <w:r w:rsidRPr="00C056B8">
        <w:rPr>
          <w:rFonts w:ascii="Arial" w:eastAsia="Tahoma" w:hAnsi="Arial"/>
          <w:bCs/>
        </w:rPr>
        <w:t>Siswa</w:t>
      </w:r>
      <w:proofErr w:type="spellEnd"/>
      <w:r w:rsidRPr="00C056B8">
        <w:rPr>
          <w:rFonts w:ascii="Arial" w:eastAsia="Tahoma" w:hAnsi="Arial"/>
          <w:bCs/>
        </w:rPr>
        <w:t xml:space="preserve"> </w:t>
      </w:r>
      <w:proofErr w:type="spellStart"/>
      <w:r w:rsidRPr="00C056B8">
        <w:rPr>
          <w:rFonts w:ascii="Arial" w:eastAsia="Tahoma" w:hAnsi="Arial"/>
          <w:bCs/>
        </w:rPr>
        <w:t>Kelas</w:t>
      </w:r>
      <w:proofErr w:type="spellEnd"/>
      <w:r w:rsidRPr="00C056B8">
        <w:rPr>
          <w:rFonts w:ascii="Arial" w:eastAsia="Tahoma" w:hAnsi="Arial"/>
          <w:bCs/>
        </w:rPr>
        <w:t xml:space="preserve"> V Sd Negeri 10 Metro Timur. Universitas Lampung.</w:t>
      </w:r>
    </w:p>
    <w:p w14:paraId="068B137E" w14:textId="77777777" w:rsidR="00C056B8" w:rsidRPr="00C056B8" w:rsidRDefault="00C056B8" w:rsidP="00C056B8">
      <w:pPr>
        <w:ind w:left="540" w:hanging="540"/>
        <w:jc w:val="both"/>
        <w:rPr>
          <w:rFonts w:ascii="Arial" w:eastAsia="Tahoma" w:hAnsi="Arial"/>
          <w:bCs/>
        </w:rPr>
      </w:pPr>
    </w:p>
    <w:p w14:paraId="20777D6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Vandergrift, L. (2007). Recent developments in second and foreign language listening comprehension research. Language Teaching, 40(3), 191-210.</w:t>
      </w:r>
    </w:p>
    <w:p w14:paraId="231192FC" w14:textId="77777777" w:rsidR="00C056B8" w:rsidRPr="00C056B8" w:rsidRDefault="00C056B8" w:rsidP="00C056B8">
      <w:pPr>
        <w:ind w:left="540" w:hanging="540"/>
        <w:jc w:val="both"/>
        <w:rPr>
          <w:rFonts w:ascii="Arial" w:eastAsia="Tahoma" w:hAnsi="Arial"/>
          <w:bCs/>
        </w:rPr>
      </w:pPr>
    </w:p>
    <w:p w14:paraId="74408F7B" w14:textId="1C558BED" w:rsidR="00C056B8" w:rsidRPr="00C056B8" w:rsidRDefault="00C056B8" w:rsidP="00C056B8">
      <w:pPr>
        <w:ind w:left="540" w:hanging="540"/>
        <w:jc w:val="both"/>
        <w:rPr>
          <w:rFonts w:ascii="Arial" w:eastAsia="Tahoma" w:hAnsi="Arial"/>
          <w:bCs/>
        </w:rPr>
      </w:pPr>
      <w:r w:rsidRPr="00C056B8">
        <w:rPr>
          <w:rFonts w:ascii="Arial" w:eastAsia="Tahoma" w:hAnsi="Arial"/>
          <w:bCs/>
        </w:rPr>
        <w:t>W</w:t>
      </w:r>
      <w:r w:rsidR="00B23F5E">
        <w:rPr>
          <w:rFonts w:ascii="Arial" w:eastAsia="Tahoma" w:hAnsi="Arial"/>
          <w:bCs/>
        </w:rPr>
        <w:t>ang</w:t>
      </w:r>
      <w:r w:rsidRPr="00C056B8">
        <w:rPr>
          <w:rFonts w:ascii="Arial" w:eastAsia="Tahoma" w:hAnsi="Arial"/>
          <w:bCs/>
        </w:rPr>
        <w:t>, L., &amp; N</w:t>
      </w:r>
      <w:r w:rsidR="00B23F5E">
        <w:rPr>
          <w:rFonts w:ascii="Arial" w:eastAsia="Tahoma" w:hAnsi="Arial"/>
          <w:bCs/>
        </w:rPr>
        <w:t>guyen</w:t>
      </w:r>
      <w:r w:rsidRPr="00C056B8">
        <w:rPr>
          <w:rFonts w:ascii="Arial" w:eastAsia="Tahoma" w:hAnsi="Arial"/>
          <w:bCs/>
        </w:rPr>
        <w:t>, M. (2019). Assessing the Efficacy of Adaptive Learning Technologies in Aligning Instruction with Individual Learning Styles in Online Education.</w:t>
      </w:r>
    </w:p>
    <w:p w14:paraId="6BCD5BE4" w14:textId="77777777" w:rsidR="00C056B8" w:rsidRPr="00C056B8" w:rsidRDefault="00C056B8" w:rsidP="00C056B8">
      <w:pPr>
        <w:ind w:left="540" w:hanging="540"/>
        <w:jc w:val="both"/>
        <w:rPr>
          <w:rFonts w:ascii="Arial" w:eastAsia="Tahoma" w:hAnsi="Arial"/>
          <w:bCs/>
        </w:rPr>
      </w:pPr>
    </w:p>
    <w:p w14:paraId="404B1D8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Washington (2019) Belief in learning styles myth may be detrimental (apa.org) –</w:t>
      </w:r>
    </w:p>
    <w:p w14:paraId="1CB9C7CD" w14:textId="77777777" w:rsidR="00C056B8" w:rsidRPr="00C056B8" w:rsidRDefault="00C056B8" w:rsidP="00C056B8">
      <w:pPr>
        <w:ind w:left="540" w:hanging="540"/>
        <w:jc w:val="both"/>
        <w:rPr>
          <w:rFonts w:ascii="Arial" w:eastAsia="Tahoma" w:hAnsi="Arial"/>
          <w:bCs/>
        </w:rPr>
      </w:pPr>
    </w:p>
    <w:p w14:paraId="1E32B693"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WGU. (2020). Auditory learning style. Retrieved from https://www.wgu.edu/blog/auditory-learning-style-2021.html</w:t>
      </w:r>
    </w:p>
    <w:p w14:paraId="1A92FA99"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WGU. (2020). The importance of different learning styles. Western Governors University.</w:t>
      </w:r>
    </w:p>
    <w:p w14:paraId="13A48737" w14:textId="77777777" w:rsidR="00C056B8" w:rsidRPr="00C056B8" w:rsidRDefault="00C056B8" w:rsidP="00C056B8">
      <w:pPr>
        <w:ind w:left="540" w:hanging="540"/>
        <w:jc w:val="both"/>
        <w:rPr>
          <w:rFonts w:ascii="Arial" w:eastAsia="Tahoma" w:hAnsi="Arial"/>
          <w:bCs/>
        </w:rPr>
      </w:pPr>
    </w:p>
    <w:p w14:paraId="29E41556"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Wilson, A. B., Peterson, M. A., &amp; Green, S. R. (2021). Gamification in education: A comprehensive review. Educational Technology Research and Development, 69(4), 1505-1530.</w:t>
      </w:r>
    </w:p>
    <w:p w14:paraId="2E133B3E" w14:textId="77777777" w:rsidR="00C056B8" w:rsidRPr="00C056B8" w:rsidRDefault="00C056B8" w:rsidP="00C056B8">
      <w:pPr>
        <w:ind w:left="540" w:hanging="540"/>
        <w:jc w:val="both"/>
        <w:rPr>
          <w:rFonts w:ascii="Arial" w:eastAsia="Tahoma" w:hAnsi="Arial"/>
          <w:bCs/>
        </w:rPr>
      </w:pPr>
    </w:p>
    <w:p w14:paraId="32D47970" w14:textId="40DB61B8" w:rsidR="00C056B8" w:rsidRPr="00C056B8" w:rsidRDefault="00C056B8" w:rsidP="00C056B8">
      <w:pPr>
        <w:ind w:left="540" w:hanging="540"/>
        <w:jc w:val="both"/>
        <w:rPr>
          <w:rFonts w:ascii="Arial" w:eastAsia="Tahoma" w:hAnsi="Arial"/>
          <w:bCs/>
          <w:i/>
          <w:iCs/>
        </w:rPr>
      </w:pPr>
      <w:r w:rsidRPr="00C056B8">
        <w:rPr>
          <w:rFonts w:ascii="Arial" w:eastAsia="Tahoma" w:hAnsi="Arial"/>
          <w:bCs/>
        </w:rPr>
        <w:t>W</w:t>
      </w:r>
      <w:r w:rsidR="00B23F5E">
        <w:rPr>
          <w:rFonts w:ascii="Arial" w:eastAsia="Tahoma" w:hAnsi="Arial"/>
          <w:bCs/>
        </w:rPr>
        <w:t>ulandari</w:t>
      </w:r>
      <w:r w:rsidRPr="00C056B8">
        <w:rPr>
          <w:rFonts w:ascii="Arial" w:eastAsia="Tahoma" w:hAnsi="Arial"/>
          <w:bCs/>
        </w:rPr>
        <w:t xml:space="preserve">, M. I., </w:t>
      </w:r>
      <w:proofErr w:type="spellStart"/>
      <w:proofErr w:type="gramStart"/>
      <w:r w:rsidRPr="00C056B8">
        <w:rPr>
          <w:rFonts w:ascii="Arial" w:eastAsia="Tahoma" w:hAnsi="Arial"/>
          <w:bCs/>
        </w:rPr>
        <w:t>H</w:t>
      </w:r>
      <w:r w:rsidR="00B23F5E">
        <w:rPr>
          <w:rFonts w:ascii="Arial" w:eastAsia="Tahoma" w:hAnsi="Arial"/>
          <w:bCs/>
        </w:rPr>
        <w:t>arahap</w:t>
      </w:r>
      <w:r w:rsidRPr="00C056B8">
        <w:rPr>
          <w:rFonts w:ascii="Arial" w:eastAsia="Tahoma" w:hAnsi="Arial"/>
          <w:bCs/>
        </w:rPr>
        <w:t>,A</w:t>
      </w:r>
      <w:proofErr w:type="spellEnd"/>
      <w:r w:rsidRPr="00C056B8">
        <w:rPr>
          <w:rFonts w:ascii="Arial" w:eastAsia="Tahoma" w:hAnsi="Arial"/>
          <w:bCs/>
        </w:rPr>
        <w:t>.</w:t>
      </w:r>
      <w:proofErr w:type="gramEnd"/>
      <w:r w:rsidRPr="00C056B8">
        <w:rPr>
          <w:rFonts w:ascii="Arial" w:eastAsia="Tahoma" w:hAnsi="Arial"/>
          <w:bCs/>
        </w:rPr>
        <w:t>, &amp;H</w:t>
      </w:r>
      <w:r w:rsidR="00B23F5E">
        <w:rPr>
          <w:rFonts w:ascii="Arial" w:eastAsia="Tahoma" w:hAnsi="Arial"/>
          <w:bCs/>
        </w:rPr>
        <w:t>ati</w:t>
      </w:r>
      <w:r w:rsidRPr="00C056B8">
        <w:rPr>
          <w:rFonts w:ascii="Arial" w:eastAsia="Tahoma" w:hAnsi="Arial"/>
          <w:bCs/>
        </w:rPr>
        <w:t xml:space="preserve">, </w:t>
      </w:r>
      <w:proofErr w:type="gramStart"/>
      <w:r w:rsidRPr="00C056B8">
        <w:rPr>
          <w:rFonts w:ascii="Arial" w:eastAsia="Tahoma" w:hAnsi="Arial"/>
          <w:bCs/>
        </w:rPr>
        <w:t>G.M.(</w:t>
      </w:r>
      <w:proofErr w:type="gramEnd"/>
      <w:r w:rsidRPr="00C056B8">
        <w:rPr>
          <w:rFonts w:ascii="Arial" w:eastAsia="Tahoma" w:hAnsi="Arial"/>
          <w:bCs/>
        </w:rPr>
        <w:t xml:space="preserve">2019). The Analysis of the Students' Listening Learning Style (A Study of the 5th Semester Students at English Education Study Program of Universitas Bengkulu in Academic Year 2018/2019). </w:t>
      </w:r>
      <w:r w:rsidRPr="00C056B8">
        <w:rPr>
          <w:rFonts w:ascii="Arial" w:eastAsia="Tahoma" w:hAnsi="Arial"/>
          <w:bCs/>
          <w:i/>
          <w:iCs/>
        </w:rPr>
        <w:t xml:space="preserve">Journal of English Education and Teaching,3(1),42–52. https://doi.org/10.33369/jeet.3.1.42-52 Halim, </w:t>
      </w:r>
      <w:proofErr w:type="spellStart"/>
      <w:proofErr w:type="gramStart"/>
      <w:r w:rsidRPr="00C056B8">
        <w:rPr>
          <w:rFonts w:ascii="Arial" w:eastAsia="Tahoma" w:hAnsi="Arial"/>
          <w:bCs/>
          <w:i/>
          <w:iCs/>
        </w:rPr>
        <w:t>A.,Wahyuni</w:t>
      </w:r>
      <w:proofErr w:type="gramEnd"/>
      <w:r w:rsidRPr="00C056B8">
        <w:rPr>
          <w:rFonts w:ascii="Arial" w:eastAsia="Tahoma" w:hAnsi="Arial"/>
          <w:bCs/>
          <w:i/>
          <w:iCs/>
        </w:rPr>
        <w:t>,</w:t>
      </w:r>
      <w:proofErr w:type="gramStart"/>
      <w:r w:rsidRPr="00C056B8">
        <w:rPr>
          <w:rFonts w:ascii="Arial" w:eastAsia="Tahoma" w:hAnsi="Arial"/>
          <w:bCs/>
          <w:i/>
          <w:iCs/>
        </w:rPr>
        <w:t>A.,Susanna</w:t>
      </w:r>
      <w:proofErr w:type="spellEnd"/>
      <w:proofErr w:type="gramEnd"/>
      <w:r w:rsidRPr="00C056B8">
        <w:rPr>
          <w:rFonts w:ascii="Arial" w:eastAsia="Tahoma" w:hAnsi="Arial"/>
          <w:bCs/>
          <w:i/>
          <w:iCs/>
        </w:rPr>
        <w:t>, Elisa,</w:t>
      </w:r>
    </w:p>
    <w:p w14:paraId="1C439535" w14:textId="77777777" w:rsidR="00C056B8" w:rsidRPr="00C056B8" w:rsidRDefault="00C056B8" w:rsidP="00C056B8">
      <w:pPr>
        <w:ind w:left="540" w:hanging="540"/>
        <w:jc w:val="both"/>
        <w:rPr>
          <w:rFonts w:ascii="Arial" w:eastAsia="Tahoma" w:hAnsi="Arial"/>
          <w:bCs/>
        </w:rPr>
      </w:pPr>
    </w:p>
    <w:p w14:paraId="67BFCBB9"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Zhang, Y., &amp; Stern, J. (2022). Instructional strategies for promoting deep learning. </w:t>
      </w:r>
      <w:r w:rsidRPr="00C056B8">
        <w:rPr>
          <w:rFonts w:ascii="Arial" w:eastAsia="Tahoma" w:hAnsi="Arial"/>
          <w:bCs/>
          <w:i/>
        </w:rPr>
        <w:t>Journal of Educational Research,</w:t>
      </w:r>
      <w:r w:rsidRPr="00C056B8">
        <w:rPr>
          <w:rFonts w:ascii="Arial" w:eastAsia="Tahoma" w:hAnsi="Arial"/>
          <w:bCs/>
        </w:rPr>
        <w:t xml:space="preserve"> 115(4), 310-322.</w:t>
      </w:r>
    </w:p>
    <w:p w14:paraId="07A7113B" w14:textId="0EB5A79C" w:rsidR="00705486" w:rsidRPr="00705486" w:rsidRDefault="00705486" w:rsidP="00705486">
      <w:pPr>
        <w:ind w:left="540" w:hanging="540"/>
        <w:jc w:val="both"/>
        <w:rPr>
          <w:rFonts w:ascii="Arial" w:eastAsia="Tahoma" w:hAnsi="Arial"/>
          <w:bCs/>
        </w:rPr>
      </w:pPr>
    </w:p>
    <w:sectPr w:rsidR="00705486" w:rsidRPr="00705486" w:rsidSect="00E2674A">
      <w:headerReference w:type="even" r:id="rId45"/>
      <w:headerReference w:type="default" r:id="rId46"/>
      <w:footerReference w:type="default" r:id="rId47"/>
      <w:headerReference w:type="first" r:id="rId4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A120" w14:textId="77777777" w:rsidR="00B8330A" w:rsidRDefault="00B8330A" w:rsidP="00C37E61">
      <w:r>
        <w:separator/>
      </w:r>
    </w:p>
  </w:endnote>
  <w:endnote w:type="continuationSeparator" w:id="0">
    <w:p w14:paraId="1573ED23" w14:textId="77777777" w:rsidR="00B8330A" w:rsidRDefault="00B833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B640" w14:textId="77777777" w:rsidR="00E2674A" w:rsidRDefault="00E2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360E" w14:textId="77777777" w:rsidR="00E2674A" w:rsidRDefault="00E2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7E3B" w14:textId="3F87BDF4" w:rsidR="00DE6F50" w:rsidRPr="00E2674A" w:rsidRDefault="00DE6F50" w:rsidP="00E26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BF77" w14:textId="77777777" w:rsidR="00B8330A" w:rsidRDefault="00B8330A" w:rsidP="00C37E61">
      <w:r>
        <w:separator/>
      </w:r>
    </w:p>
  </w:footnote>
  <w:footnote w:type="continuationSeparator" w:id="0">
    <w:p w14:paraId="49123CE2" w14:textId="77777777" w:rsidR="00B8330A" w:rsidRDefault="00B833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57D3" w14:textId="334A6153" w:rsidR="00E2674A" w:rsidRDefault="00E2674A">
    <w:pPr>
      <w:pStyle w:val="Header"/>
    </w:pPr>
    <w:r>
      <w:rPr>
        <w:noProof/>
      </w:rPr>
      <w:pict w14:anchorId="56EF3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9DBD" w14:textId="45BEEF44" w:rsidR="00E2674A" w:rsidRDefault="00E2674A">
    <w:pPr>
      <w:pStyle w:val="Header"/>
    </w:pPr>
    <w:r>
      <w:rPr>
        <w:noProof/>
      </w:rPr>
      <w:pict w14:anchorId="60C02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397C" w14:textId="3DBC78D6" w:rsidR="00DE6F50" w:rsidRPr="00296529" w:rsidRDefault="00E2674A" w:rsidP="00296529">
    <w:pPr>
      <w:ind w:left="2160"/>
      <w:jc w:val="center"/>
      <w:rPr>
        <w:rFonts w:ascii="Times New Roman" w:eastAsia="Calibri" w:hAnsi="Times New Roman"/>
        <w:i/>
        <w:sz w:val="18"/>
        <w:szCs w:val="22"/>
      </w:rPr>
    </w:pPr>
    <w:r>
      <w:rPr>
        <w:noProof/>
      </w:rPr>
      <w:pict w14:anchorId="30DD8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7FB" w14:textId="65EC8002" w:rsidR="00E2674A" w:rsidRDefault="00E2674A">
    <w:pPr>
      <w:pStyle w:val="Header"/>
    </w:pPr>
    <w:r>
      <w:rPr>
        <w:noProof/>
      </w:rPr>
      <w:pict w14:anchorId="1122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3276" w14:textId="5407850A" w:rsidR="00E2674A" w:rsidRDefault="00E2674A">
    <w:pPr>
      <w:pStyle w:val="Header"/>
    </w:pPr>
    <w:r>
      <w:rPr>
        <w:noProof/>
      </w:rPr>
      <w:pict w14:anchorId="1DF82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CF09" w14:textId="1E3972EF" w:rsidR="00E2674A" w:rsidRDefault="00E2674A">
    <w:pPr>
      <w:pStyle w:val="Header"/>
    </w:pPr>
    <w:r>
      <w:rPr>
        <w:noProof/>
      </w:rPr>
      <w:pict w14:anchorId="49E2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94B"/>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CC90607"/>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D6C23"/>
    <w:multiLevelType w:val="hybridMultilevel"/>
    <w:tmpl w:val="663C9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02B3"/>
    <w:multiLevelType w:val="hybridMultilevel"/>
    <w:tmpl w:val="79A4E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0214E"/>
    <w:multiLevelType w:val="multilevel"/>
    <w:tmpl w:val="EFFE7FCE"/>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10CDE"/>
    <w:multiLevelType w:val="hybridMultilevel"/>
    <w:tmpl w:val="C4BAB1BE"/>
    <w:lvl w:ilvl="0" w:tplc="D8142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579ED"/>
    <w:multiLevelType w:val="hybridMultilevel"/>
    <w:tmpl w:val="FAF2A4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F7228"/>
    <w:multiLevelType w:val="hybridMultilevel"/>
    <w:tmpl w:val="DAB6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856777192">
    <w:abstractNumId w:val="12"/>
  </w:num>
  <w:num w:numId="2" w16cid:durableId="351343349">
    <w:abstractNumId w:val="9"/>
  </w:num>
  <w:num w:numId="3" w16cid:durableId="271281790">
    <w:abstractNumId w:val="1"/>
  </w:num>
  <w:num w:numId="4" w16cid:durableId="1108697609">
    <w:abstractNumId w:val="2"/>
  </w:num>
  <w:num w:numId="5" w16cid:durableId="1060591520">
    <w:abstractNumId w:val="7"/>
  </w:num>
  <w:num w:numId="6" w16cid:durableId="1355839152">
    <w:abstractNumId w:val="6"/>
  </w:num>
  <w:num w:numId="7" w16cid:durableId="604852390">
    <w:abstractNumId w:val="5"/>
  </w:num>
  <w:num w:numId="8" w16cid:durableId="313996230">
    <w:abstractNumId w:val="10"/>
  </w:num>
  <w:num w:numId="9" w16cid:durableId="924921513">
    <w:abstractNumId w:val="4"/>
  </w:num>
  <w:num w:numId="10" w16cid:durableId="759522032">
    <w:abstractNumId w:val="11"/>
  </w:num>
  <w:num w:numId="11" w16cid:durableId="1313024302">
    <w:abstractNumId w:val="0"/>
  </w:num>
  <w:num w:numId="12" w16cid:durableId="2043899046">
    <w:abstractNumId w:val="3"/>
  </w:num>
  <w:num w:numId="13" w16cid:durableId="21994862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251A6"/>
    <w:rsid w:val="00030174"/>
    <w:rsid w:val="00040516"/>
    <w:rsid w:val="00043A1F"/>
    <w:rsid w:val="0004579C"/>
    <w:rsid w:val="000466AB"/>
    <w:rsid w:val="00064727"/>
    <w:rsid w:val="000812DA"/>
    <w:rsid w:val="00083E54"/>
    <w:rsid w:val="0008594A"/>
    <w:rsid w:val="000929CF"/>
    <w:rsid w:val="00093625"/>
    <w:rsid w:val="000965F8"/>
    <w:rsid w:val="000970E9"/>
    <w:rsid w:val="000A23DA"/>
    <w:rsid w:val="000A47FA"/>
    <w:rsid w:val="000A65D3"/>
    <w:rsid w:val="000A7305"/>
    <w:rsid w:val="000A7A12"/>
    <w:rsid w:val="000B0532"/>
    <w:rsid w:val="000B1E33"/>
    <w:rsid w:val="000B345D"/>
    <w:rsid w:val="000B4189"/>
    <w:rsid w:val="000B43B0"/>
    <w:rsid w:val="000D689F"/>
    <w:rsid w:val="000D6B8D"/>
    <w:rsid w:val="000E05F6"/>
    <w:rsid w:val="000E0E2A"/>
    <w:rsid w:val="000E1D50"/>
    <w:rsid w:val="000E3E41"/>
    <w:rsid w:val="000E53AF"/>
    <w:rsid w:val="000E7B7B"/>
    <w:rsid w:val="000E7D62"/>
    <w:rsid w:val="000F1703"/>
    <w:rsid w:val="000F2394"/>
    <w:rsid w:val="00100165"/>
    <w:rsid w:val="00100745"/>
    <w:rsid w:val="00103357"/>
    <w:rsid w:val="00105B4D"/>
    <w:rsid w:val="00105CE3"/>
    <w:rsid w:val="00110B9E"/>
    <w:rsid w:val="00112493"/>
    <w:rsid w:val="00115C1B"/>
    <w:rsid w:val="00123C9F"/>
    <w:rsid w:val="00126190"/>
    <w:rsid w:val="00130F17"/>
    <w:rsid w:val="001320BF"/>
    <w:rsid w:val="00136318"/>
    <w:rsid w:val="00136432"/>
    <w:rsid w:val="001516B7"/>
    <w:rsid w:val="0015295A"/>
    <w:rsid w:val="001532F4"/>
    <w:rsid w:val="0015397B"/>
    <w:rsid w:val="00163BC4"/>
    <w:rsid w:val="00166D4C"/>
    <w:rsid w:val="00172FFF"/>
    <w:rsid w:val="001774F8"/>
    <w:rsid w:val="00177903"/>
    <w:rsid w:val="00182BC1"/>
    <w:rsid w:val="00191062"/>
    <w:rsid w:val="00192B72"/>
    <w:rsid w:val="001A29D8"/>
    <w:rsid w:val="001A4153"/>
    <w:rsid w:val="001A5CAA"/>
    <w:rsid w:val="001A5D93"/>
    <w:rsid w:val="001A6EB0"/>
    <w:rsid w:val="001B0427"/>
    <w:rsid w:val="001B2CF9"/>
    <w:rsid w:val="001B42CC"/>
    <w:rsid w:val="001C29DA"/>
    <w:rsid w:val="001D09E9"/>
    <w:rsid w:val="001D1B44"/>
    <w:rsid w:val="001D3A51"/>
    <w:rsid w:val="001E10D2"/>
    <w:rsid w:val="001E25B4"/>
    <w:rsid w:val="001E2F1D"/>
    <w:rsid w:val="001E44FE"/>
    <w:rsid w:val="001E50C8"/>
    <w:rsid w:val="001F0077"/>
    <w:rsid w:val="001F22D1"/>
    <w:rsid w:val="00200595"/>
    <w:rsid w:val="00200B59"/>
    <w:rsid w:val="00204835"/>
    <w:rsid w:val="00210FD5"/>
    <w:rsid w:val="00212A50"/>
    <w:rsid w:val="00212E2A"/>
    <w:rsid w:val="00214142"/>
    <w:rsid w:val="00216771"/>
    <w:rsid w:val="002177DC"/>
    <w:rsid w:val="002214AB"/>
    <w:rsid w:val="00224FCC"/>
    <w:rsid w:val="00231920"/>
    <w:rsid w:val="0023195C"/>
    <w:rsid w:val="002334BE"/>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971BE"/>
    <w:rsid w:val="002A18AB"/>
    <w:rsid w:val="002B27FB"/>
    <w:rsid w:val="002B4119"/>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21FD"/>
    <w:rsid w:val="00327B77"/>
    <w:rsid w:val="00332D99"/>
    <w:rsid w:val="0033343E"/>
    <w:rsid w:val="003358B2"/>
    <w:rsid w:val="00337D84"/>
    <w:rsid w:val="0034322E"/>
    <w:rsid w:val="00343A77"/>
    <w:rsid w:val="00343EF2"/>
    <w:rsid w:val="00346B55"/>
    <w:rsid w:val="003512C2"/>
    <w:rsid w:val="003558B2"/>
    <w:rsid w:val="0036753B"/>
    <w:rsid w:val="00371FB6"/>
    <w:rsid w:val="00373A25"/>
    <w:rsid w:val="0037487C"/>
    <w:rsid w:val="003763C1"/>
    <w:rsid w:val="00376BBE"/>
    <w:rsid w:val="0037775B"/>
    <w:rsid w:val="00385CE3"/>
    <w:rsid w:val="0039224F"/>
    <w:rsid w:val="003962AF"/>
    <w:rsid w:val="003A15D1"/>
    <w:rsid w:val="003A43A4"/>
    <w:rsid w:val="003A4FD7"/>
    <w:rsid w:val="003A7E18"/>
    <w:rsid w:val="003B2F8B"/>
    <w:rsid w:val="003B4C52"/>
    <w:rsid w:val="003B68F5"/>
    <w:rsid w:val="003C4C86"/>
    <w:rsid w:val="003C527D"/>
    <w:rsid w:val="003C6258"/>
    <w:rsid w:val="003D628D"/>
    <w:rsid w:val="003E2747"/>
    <w:rsid w:val="003E2904"/>
    <w:rsid w:val="003F366A"/>
    <w:rsid w:val="00400EB5"/>
    <w:rsid w:val="00401927"/>
    <w:rsid w:val="0040362E"/>
    <w:rsid w:val="004040AD"/>
    <w:rsid w:val="00404391"/>
    <w:rsid w:val="00405B19"/>
    <w:rsid w:val="004065E6"/>
    <w:rsid w:val="0041027F"/>
    <w:rsid w:val="00412475"/>
    <w:rsid w:val="00414155"/>
    <w:rsid w:val="0042045B"/>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2BE2"/>
    <w:rsid w:val="00467D43"/>
    <w:rsid w:val="00471A80"/>
    <w:rsid w:val="00471B4C"/>
    <w:rsid w:val="004803AF"/>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65B3E"/>
    <w:rsid w:val="00587DCF"/>
    <w:rsid w:val="005A3374"/>
    <w:rsid w:val="005A523D"/>
    <w:rsid w:val="005B50EC"/>
    <w:rsid w:val="005B6488"/>
    <w:rsid w:val="005C4629"/>
    <w:rsid w:val="005C6558"/>
    <w:rsid w:val="005C784C"/>
    <w:rsid w:val="005D0C60"/>
    <w:rsid w:val="005D17F6"/>
    <w:rsid w:val="005D331B"/>
    <w:rsid w:val="005D3EC2"/>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698"/>
    <w:rsid w:val="00686953"/>
    <w:rsid w:val="00687DEA"/>
    <w:rsid w:val="00687E67"/>
    <w:rsid w:val="006967F7"/>
    <w:rsid w:val="00697EA2"/>
    <w:rsid w:val="006A250C"/>
    <w:rsid w:val="006A7FA8"/>
    <w:rsid w:val="006B21D3"/>
    <w:rsid w:val="006B2F35"/>
    <w:rsid w:val="006B57D0"/>
    <w:rsid w:val="006B63A8"/>
    <w:rsid w:val="006B6ED9"/>
    <w:rsid w:val="006C140D"/>
    <w:rsid w:val="006C36CE"/>
    <w:rsid w:val="006C77CB"/>
    <w:rsid w:val="006D30FF"/>
    <w:rsid w:val="006D3E0B"/>
    <w:rsid w:val="006D421F"/>
    <w:rsid w:val="006D46FF"/>
    <w:rsid w:val="006D6940"/>
    <w:rsid w:val="006D6BB1"/>
    <w:rsid w:val="006E441C"/>
    <w:rsid w:val="006E6351"/>
    <w:rsid w:val="006E7C29"/>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917"/>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4BC2"/>
    <w:rsid w:val="00813056"/>
    <w:rsid w:val="0081431A"/>
    <w:rsid w:val="008168F3"/>
    <w:rsid w:val="008171B8"/>
    <w:rsid w:val="0082252A"/>
    <w:rsid w:val="00824947"/>
    <w:rsid w:val="008263A3"/>
    <w:rsid w:val="00830238"/>
    <w:rsid w:val="0083216F"/>
    <w:rsid w:val="00842128"/>
    <w:rsid w:val="00844882"/>
    <w:rsid w:val="00860000"/>
    <w:rsid w:val="008627F6"/>
    <w:rsid w:val="00863BD3"/>
    <w:rsid w:val="00866D66"/>
    <w:rsid w:val="00866ECC"/>
    <w:rsid w:val="008671C6"/>
    <w:rsid w:val="00871180"/>
    <w:rsid w:val="008717E9"/>
    <w:rsid w:val="00872086"/>
    <w:rsid w:val="00875803"/>
    <w:rsid w:val="008766A2"/>
    <w:rsid w:val="0087783E"/>
    <w:rsid w:val="008851FE"/>
    <w:rsid w:val="00895C28"/>
    <w:rsid w:val="00895EC6"/>
    <w:rsid w:val="008A29D8"/>
    <w:rsid w:val="008A7DB0"/>
    <w:rsid w:val="008B459E"/>
    <w:rsid w:val="008B526C"/>
    <w:rsid w:val="008B558B"/>
    <w:rsid w:val="008D3689"/>
    <w:rsid w:val="008E08ED"/>
    <w:rsid w:val="008E0D6C"/>
    <w:rsid w:val="008E13AE"/>
    <w:rsid w:val="008E1506"/>
    <w:rsid w:val="008E67F3"/>
    <w:rsid w:val="008E710C"/>
    <w:rsid w:val="008F69D6"/>
    <w:rsid w:val="00902823"/>
    <w:rsid w:val="00915A47"/>
    <w:rsid w:val="00915CA6"/>
    <w:rsid w:val="00916505"/>
    <w:rsid w:val="00921EA3"/>
    <w:rsid w:val="00927834"/>
    <w:rsid w:val="00927880"/>
    <w:rsid w:val="00933E85"/>
    <w:rsid w:val="00934D74"/>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283B"/>
    <w:rsid w:val="009A3089"/>
    <w:rsid w:val="009A53B5"/>
    <w:rsid w:val="009B3FB9"/>
    <w:rsid w:val="009B66B4"/>
    <w:rsid w:val="009B70F0"/>
    <w:rsid w:val="009C2465"/>
    <w:rsid w:val="009C55B9"/>
    <w:rsid w:val="009C76F7"/>
    <w:rsid w:val="009D35A0"/>
    <w:rsid w:val="009D3FF7"/>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27007"/>
    <w:rsid w:val="00A328C2"/>
    <w:rsid w:val="00A347C0"/>
    <w:rsid w:val="00A51431"/>
    <w:rsid w:val="00A53313"/>
    <w:rsid w:val="00A539AD"/>
    <w:rsid w:val="00A66CC3"/>
    <w:rsid w:val="00A71653"/>
    <w:rsid w:val="00A7351F"/>
    <w:rsid w:val="00A74FA0"/>
    <w:rsid w:val="00A80BF3"/>
    <w:rsid w:val="00A823C2"/>
    <w:rsid w:val="00A85354"/>
    <w:rsid w:val="00A90A61"/>
    <w:rsid w:val="00A926C6"/>
    <w:rsid w:val="00A94063"/>
    <w:rsid w:val="00A94F6E"/>
    <w:rsid w:val="00A9717C"/>
    <w:rsid w:val="00AA197F"/>
    <w:rsid w:val="00AA31D6"/>
    <w:rsid w:val="00AA6219"/>
    <w:rsid w:val="00AA74E0"/>
    <w:rsid w:val="00AB65EC"/>
    <w:rsid w:val="00AB703F"/>
    <w:rsid w:val="00AB7EBB"/>
    <w:rsid w:val="00AC6BB8"/>
    <w:rsid w:val="00AD1329"/>
    <w:rsid w:val="00AD42EE"/>
    <w:rsid w:val="00AD5088"/>
    <w:rsid w:val="00AD5B56"/>
    <w:rsid w:val="00AD6021"/>
    <w:rsid w:val="00AE008F"/>
    <w:rsid w:val="00AE1F6F"/>
    <w:rsid w:val="00AF26A0"/>
    <w:rsid w:val="00AF76D1"/>
    <w:rsid w:val="00B01FCD"/>
    <w:rsid w:val="00B07A9F"/>
    <w:rsid w:val="00B13509"/>
    <w:rsid w:val="00B171C4"/>
    <w:rsid w:val="00B1776C"/>
    <w:rsid w:val="00B20A7B"/>
    <w:rsid w:val="00B23F5E"/>
    <w:rsid w:val="00B26CC5"/>
    <w:rsid w:val="00B313AA"/>
    <w:rsid w:val="00B36B66"/>
    <w:rsid w:val="00B511B7"/>
    <w:rsid w:val="00B51BD5"/>
    <w:rsid w:val="00B52896"/>
    <w:rsid w:val="00B56856"/>
    <w:rsid w:val="00B63364"/>
    <w:rsid w:val="00B6656C"/>
    <w:rsid w:val="00B73A64"/>
    <w:rsid w:val="00B74EA2"/>
    <w:rsid w:val="00B8330A"/>
    <w:rsid w:val="00B8361D"/>
    <w:rsid w:val="00B86163"/>
    <w:rsid w:val="00B8786D"/>
    <w:rsid w:val="00B91ECC"/>
    <w:rsid w:val="00B95236"/>
    <w:rsid w:val="00B96BD9"/>
    <w:rsid w:val="00BA1B01"/>
    <w:rsid w:val="00BA2641"/>
    <w:rsid w:val="00BB1669"/>
    <w:rsid w:val="00BB370F"/>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056B8"/>
    <w:rsid w:val="00C11D26"/>
    <w:rsid w:val="00C166EF"/>
    <w:rsid w:val="00C17EB0"/>
    <w:rsid w:val="00C2186E"/>
    <w:rsid w:val="00C2293B"/>
    <w:rsid w:val="00C26FD3"/>
    <w:rsid w:val="00C27F5F"/>
    <w:rsid w:val="00C30A0F"/>
    <w:rsid w:val="00C37E61"/>
    <w:rsid w:val="00C4354A"/>
    <w:rsid w:val="00C43D45"/>
    <w:rsid w:val="00C4645E"/>
    <w:rsid w:val="00C476F4"/>
    <w:rsid w:val="00C50BAA"/>
    <w:rsid w:val="00C54719"/>
    <w:rsid w:val="00C5541D"/>
    <w:rsid w:val="00C602D2"/>
    <w:rsid w:val="00C61526"/>
    <w:rsid w:val="00C621DB"/>
    <w:rsid w:val="00C630B2"/>
    <w:rsid w:val="00C6430C"/>
    <w:rsid w:val="00C70F1B"/>
    <w:rsid w:val="00C71A47"/>
    <w:rsid w:val="00C74068"/>
    <w:rsid w:val="00C7464C"/>
    <w:rsid w:val="00C81564"/>
    <w:rsid w:val="00C82182"/>
    <w:rsid w:val="00C85588"/>
    <w:rsid w:val="00C858ED"/>
    <w:rsid w:val="00C8629F"/>
    <w:rsid w:val="00C90E4D"/>
    <w:rsid w:val="00C91B73"/>
    <w:rsid w:val="00C928AE"/>
    <w:rsid w:val="00C946E9"/>
    <w:rsid w:val="00C97743"/>
    <w:rsid w:val="00CA0BBB"/>
    <w:rsid w:val="00CC46AB"/>
    <w:rsid w:val="00CD421E"/>
    <w:rsid w:val="00CD6755"/>
    <w:rsid w:val="00CD6856"/>
    <w:rsid w:val="00CD7D4A"/>
    <w:rsid w:val="00CE0089"/>
    <w:rsid w:val="00CE2E7A"/>
    <w:rsid w:val="00CE793C"/>
    <w:rsid w:val="00CF71B2"/>
    <w:rsid w:val="00D049A4"/>
    <w:rsid w:val="00D067B5"/>
    <w:rsid w:val="00D105E4"/>
    <w:rsid w:val="00D14BAB"/>
    <w:rsid w:val="00D173F1"/>
    <w:rsid w:val="00D20D5F"/>
    <w:rsid w:val="00D21AF9"/>
    <w:rsid w:val="00D32CB7"/>
    <w:rsid w:val="00D36369"/>
    <w:rsid w:val="00D426AC"/>
    <w:rsid w:val="00D441DE"/>
    <w:rsid w:val="00D44F60"/>
    <w:rsid w:val="00D4607C"/>
    <w:rsid w:val="00D5136A"/>
    <w:rsid w:val="00D52476"/>
    <w:rsid w:val="00D60562"/>
    <w:rsid w:val="00D61380"/>
    <w:rsid w:val="00D61417"/>
    <w:rsid w:val="00D61F34"/>
    <w:rsid w:val="00D643D5"/>
    <w:rsid w:val="00D64FDA"/>
    <w:rsid w:val="00D6792F"/>
    <w:rsid w:val="00D75B9C"/>
    <w:rsid w:val="00D8295D"/>
    <w:rsid w:val="00D8397F"/>
    <w:rsid w:val="00D85FA7"/>
    <w:rsid w:val="00D90698"/>
    <w:rsid w:val="00D92B78"/>
    <w:rsid w:val="00D93AD7"/>
    <w:rsid w:val="00D959A1"/>
    <w:rsid w:val="00DA3C35"/>
    <w:rsid w:val="00DB1E07"/>
    <w:rsid w:val="00DB7560"/>
    <w:rsid w:val="00DB768D"/>
    <w:rsid w:val="00DC0FB6"/>
    <w:rsid w:val="00DC2A65"/>
    <w:rsid w:val="00DC324D"/>
    <w:rsid w:val="00DC3272"/>
    <w:rsid w:val="00DD5D93"/>
    <w:rsid w:val="00DE15F0"/>
    <w:rsid w:val="00DE5663"/>
    <w:rsid w:val="00DE6F50"/>
    <w:rsid w:val="00DE78AA"/>
    <w:rsid w:val="00E00698"/>
    <w:rsid w:val="00E053D0"/>
    <w:rsid w:val="00E11600"/>
    <w:rsid w:val="00E1330E"/>
    <w:rsid w:val="00E14F66"/>
    <w:rsid w:val="00E157DD"/>
    <w:rsid w:val="00E15994"/>
    <w:rsid w:val="00E22626"/>
    <w:rsid w:val="00E2279A"/>
    <w:rsid w:val="00E26575"/>
    <w:rsid w:val="00E2667C"/>
    <w:rsid w:val="00E2674A"/>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67FFA"/>
    <w:rsid w:val="00E716B7"/>
    <w:rsid w:val="00E73A29"/>
    <w:rsid w:val="00E769F6"/>
    <w:rsid w:val="00E80455"/>
    <w:rsid w:val="00E8407C"/>
    <w:rsid w:val="00E84F3C"/>
    <w:rsid w:val="00E8563D"/>
    <w:rsid w:val="00E91A1A"/>
    <w:rsid w:val="00E92361"/>
    <w:rsid w:val="00E97542"/>
    <w:rsid w:val="00EA012C"/>
    <w:rsid w:val="00EB09EC"/>
    <w:rsid w:val="00EB7C71"/>
    <w:rsid w:val="00EC5DBC"/>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11D1"/>
    <w:rsid w:val="00F63290"/>
    <w:rsid w:val="00F674B3"/>
    <w:rsid w:val="00F71026"/>
    <w:rsid w:val="00F755E4"/>
    <w:rsid w:val="00F76E5D"/>
    <w:rsid w:val="00F77179"/>
    <w:rsid w:val="00F77830"/>
    <w:rsid w:val="00F77D02"/>
    <w:rsid w:val="00F91B86"/>
    <w:rsid w:val="00FA40D3"/>
    <w:rsid w:val="00FA7876"/>
    <w:rsid w:val="00FB0824"/>
    <w:rsid w:val="00FB1131"/>
    <w:rsid w:val="00FB3A86"/>
    <w:rsid w:val="00FB48E6"/>
    <w:rsid w:val="00FC0AAF"/>
    <w:rsid w:val="00FC426F"/>
    <w:rsid w:val="00FC46A7"/>
    <w:rsid w:val="00FD1928"/>
    <w:rsid w:val="00FD36C8"/>
    <w:rsid w:val="00FD6B63"/>
    <w:rsid w:val="00FD753E"/>
    <w:rsid w:val="00FD7818"/>
    <w:rsid w:val="00FE021A"/>
    <w:rsid w:val="00FE1968"/>
    <w:rsid w:val="00FE31C1"/>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E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FB11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162624082">
      <w:bodyDiv w:val="1"/>
      <w:marLeft w:val="0"/>
      <w:marRight w:val="0"/>
      <w:marTop w:val="0"/>
      <w:marBottom w:val="0"/>
      <w:divBdr>
        <w:top w:val="none" w:sz="0" w:space="0" w:color="auto"/>
        <w:left w:val="none" w:sz="0" w:space="0" w:color="auto"/>
        <w:bottom w:val="none" w:sz="0" w:space="0" w:color="auto"/>
        <w:right w:val="none" w:sz="0" w:space="0" w:color="auto"/>
      </w:divBdr>
    </w:div>
    <w:div w:id="168453083">
      <w:bodyDiv w:val="1"/>
      <w:marLeft w:val="0"/>
      <w:marRight w:val="0"/>
      <w:marTop w:val="0"/>
      <w:marBottom w:val="0"/>
      <w:divBdr>
        <w:top w:val="none" w:sz="0" w:space="0" w:color="auto"/>
        <w:left w:val="none" w:sz="0" w:space="0" w:color="auto"/>
        <w:bottom w:val="none" w:sz="0" w:space="0" w:color="auto"/>
        <w:right w:val="none" w:sz="0" w:space="0" w:color="auto"/>
      </w:divBdr>
      <w:divsChild>
        <w:div w:id="1810316029">
          <w:marLeft w:val="0"/>
          <w:marRight w:val="0"/>
          <w:marTop w:val="0"/>
          <w:marBottom w:val="0"/>
          <w:divBdr>
            <w:top w:val="none" w:sz="0" w:space="0" w:color="auto"/>
            <w:left w:val="none" w:sz="0" w:space="0" w:color="auto"/>
            <w:bottom w:val="none" w:sz="0" w:space="0" w:color="auto"/>
            <w:right w:val="none" w:sz="0" w:space="0" w:color="auto"/>
          </w:divBdr>
          <w:divsChild>
            <w:div w:id="1328292629">
              <w:marLeft w:val="0"/>
              <w:marRight w:val="0"/>
              <w:marTop w:val="0"/>
              <w:marBottom w:val="0"/>
              <w:divBdr>
                <w:top w:val="none" w:sz="0" w:space="0" w:color="auto"/>
                <w:left w:val="none" w:sz="0" w:space="0" w:color="auto"/>
                <w:bottom w:val="none" w:sz="0" w:space="0" w:color="auto"/>
                <w:right w:val="none" w:sz="0" w:space="0" w:color="auto"/>
              </w:divBdr>
              <w:divsChild>
                <w:div w:id="993534360">
                  <w:marLeft w:val="0"/>
                  <w:marRight w:val="0"/>
                  <w:marTop w:val="0"/>
                  <w:marBottom w:val="0"/>
                  <w:divBdr>
                    <w:top w:val="none" w:sz="0" w:space="0" w:color="auto"/>
                    <w:left w:val="none" w:sz="0" w:space="0" w:color="auto"/>
                    <w:bottom w:val="none" w:sz="0" w:space="0" w:color="auto"/>
                    <w:right w:val="none" w:sz="0" w:space="0" w:color="auto"/>
                  </w:divBdr>
                  <w:divsChild>
                    <w:div w:id="2065442046">
                      <w:marLeft w:val="0"/>
                      <w:marRight w:val="0"/>
                      <w:marTop w:val="0"/>
                      <w:marBottom w:val="0"/>
                      <w:divBdr>
                        <w:top w:val="none" w:sz="0" w:space="0" w:color="auto"/>
                        <w:left w:val="none" w:sz="0" w:space="0" w:color="auto"/>
                        <w:bottom w:val="none" w:sz="0" w:space="0" w:color="auto"/>
                        <w:right w:val="none" w:sz="0" w:space="0" w:color="auto"/>
                      </w:divBdr>
                      <w:divsChild>
                        <w:div w:id="807744062">
                          <w:marLeft w:val="0"/>
                          <w:marRight w:val="0"/>
                          <w:marTop w:val="0"/>
                          <w:marBottom w:val="0"/>
                          <w:divBdr>
                            <w:top w:val="none" w:sz="0" w:space="0" w:color="auto"/>
                            <w:left w:val="none" w:sz="0" w:space="0" w:color="auto"/>
                            <w:bottom w:val="none" w:sz="0" w:space="0" w:color="auto"/>
                            <w:right w:val="none" w:sz="0" w:space="0" w:color="auto"/>
                          </w:divBdr>
                          <w:divsChild>
                            <w:div w:id="661466016">
                              <w:marLeft w:val="0"/>
                              <w:marRight w:val="0"/>
                              <w:marTop w:val="0"/>
                              <w:marBottom w:val="0"/>
                              <w:divBdr>
                                <w:top w:val="none" w:sz="0" w:space="0" w:color="auto"/>
                                <w:left w:val="none" w:sz="0" w:space="0" w:color="auto"/>
                                <w:bottom w:val="none" w:sz="0" w:space="0" w:color="auto"/>
                                <w:right w:val="none" w:sz="0" w:space="0" w:color="auto"/>
                              </w:divBdr>
                              <w:divsChild>
                                <w:div w:id="231619889">
                                  <w:marLeft w:val="0"/>
                                  <w:marRight w:val="0"/>
                                  <w:marTop w:val="0"/>
                                  <w:marBottom w:val="0"/>
                                  <w:divBdr>
                                    <w:top w:val="none" w:sz="0" w:space="0" w:color="auto"/>
                                    <w:left w:val="none" w:sz="0" w:space="0" w:color="auto"/>
                                    <w:bottom w:val="none" w:sz="0" w:space="0" w:color="auto"/>
                                    <w:right w:val="none" w:sz="0" w:space="0" w:color="auto"/>
                                  </w:divBdr>
                                  <w:divsChild>
                                    <w:div w:id="726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758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0228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1656731">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sChild>
        <w:div w:id="1910922895">
          <w:marLeft w:val="0"/>
          <w:marRight w:val="0"/>
          <w:marTop w:val="0"/>
          <w:marBottom w:val="0"/>
          <w:divBdr>
            <w:top w:val="none" w:sz="0" w:space="0" w:color="auto"/>
            <w:left w:val="none" w:sz="0" w:space="0" w:color="auto"/>
            <w:bottom w:val="none" w:sz="0" w:space="0" w:color="auto"/>
            <w:right w:val="none" w:sz="0" w:space="0" w:color="auto"/>
          </w:divBdr>
          <w:divsChild>
            <w:div w:id="112332117">
              <w:marLeft w:val="0"/>
              <w:marRight w:val="0"/>
              <w:marTop w:val="0"/>
              <w:marBottom w:val="0"/>
              <w:divBdr>
                <w:top w:val="none" w:sz="0" w:space="0" w:color="auto"/>
                <w:left w:val="none" w:sz="0" w:space="0" w:color="auto"/>
                <w:bottom w:val="none" w:sz="0" w:space="0" w:color="auto"/>
                <w:right w:val="none" w:sz="0" w:space="0" w:color="auto"/>
              </w:divBdr>
              <w:divsChild>
                <w:div w:id="52588775">
                  <w:marLeft w:val="0"/>
                  <w:marRight w:val="0"/>
                  <w:marTop w:val="0"/>
                  <w:marBottom w:val="0"/>
                  <w:divBdr>
                    <w:top w:val="none" w:sz="0" w:space="0" w:color="auto"/>
                    <w:left w:val="none" w:sz="0" w:space="0" w:color="auto"/>
                    <w:bottom w:val="none" w:sz="0" w:space="0" w:color="auto"/>
                    <w:right w:val="none" w:sz="0" w:space="0" w:color="auto"/>
                  </w:divBdr>
                  <w:divsChild>
                    <w:div w:id="868297861">
                      <w:marLeft w:val="0"/>
                      <w:marRight w:val="0"/>
                      <w:marTop w:val="0"/>
                      <w:marBottom w:val="0"/>
                      <w:divBdr>
                        <w:top w:val="none" w:sz="0" w:space="0" w:color="auto"/>
                        <w:left w:val="none" w:sz="0" w:space="0" w:color="auto"/>
                        <w:bottom w:val="none" w:sz="0" w:space="0" w:color="auto"/>
                        <w:right w:val="none" w:sz="0" w:space="0" w:color="auto"/>
                      </w:divBdr>
                      <w:divsChild>
                        <w:div w:id="1301883240">
                          <w:marLeft w:val="0"/>
                          <w:marRight w:val="0"/>
                          <w:marTop w:val="0"/>
                          <w:marBottom w:val="0"/>
                          <w:divBdr>
                            <w:top w:val="none" w:sz="0" w:space="0" w:color="auto"/>
                            <w:left w:val="none" w:sz="0" w:space="0" w:color="auto"/>
                            <w:bottom w:val="none" w:sz="0" w:space="0" w:color="auto"/>
                            <w:right w:val="none" w:sz="0" w:space="0" w:color="auto"/>
                          </w:divBdr>
                          <w:divsChild>
                            <w:div w:id="475223682">
                              <w:marLeft w:val="0"/>
                              <w:marRight w:val="0"/>
                              <w:marTop w:val="0"/>
                              <w:marBottom w:val="0"/>
                              <w:divBdr>
                                <w:top w:val="none" w:sz="0" w:space="0" w:color="auto"/>
                                <w:left w:val="none" w:sz="0" w:space="0" w:color="auto"/>
                                <w:bottom w:val="none" w:sz="0" w:space="0" w:color="auto"/>
                                <w:right w:val="none" w:sz="0" w:space="0" w:color="auto"/>
                              </w:divBdr>
                              <w:divsChild>
                                <w:div w:id="1425959364">
                                  <w:marLeft w:val="0"/>
                                  <w:marRight w:val="0"/>
                                  <w:marTop w:val="0"/>
                                  <w:marBottom w:val="0"/>
                                  <w:divBdr>
                                    <w:top w:val="none" w:sz="0" w:space="0" w:color="auto"/>
                                    <w:left w:val="none" w:sz="0" w:space="0" w:color="auto"/>
                                    <w:bottom w:val="none" w:sz="0" w:space="0" w:color="auto"/>
                                    <w:right w:val="none" w:sz="0" w:space="0" w:color="auto"/>
                                  </w:divBdr>
                                  <w:divsChild>
                                    <w:div w:id="7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85">
                          <w:marLeft w:val="0"/>
                          <w:marRight w:val="0"/>
                          <w:marTop w:val="0"/>
                          <w:marBottom w:val="0"/>
                          <w:divBdr>
                            <w:top w:val="none" w:sz="0" w:space="0" w:color="auto"/>
                            <w:left w:val="none" w:sz="0" w:space="0" w:color="auto"/>
                            <w:bottom w:val="none" w:sz="0" w:space="0" w:color="auto"/>
                            <w:right w:val="none" w:sz="0" w:space="0" w:color="auto"/>
                          </w:divBdr>
                          <w:divsChild>
                            <w:div w:id="309939721">
                              <w:marLeft w:val="0"/>
                              <w:marRight w:val="0"/>
                              <w:marTop w:val="0"/>
                              <w:marBottom w:val="0"/>
                              <w:divBdr>
                                <w:top w:val="none" w:sz="0" w:space="0" w:color="auto"/>
                                <w:left w:val="none" w:sz="0" w:space="0" w:color="auto"/>
                                <w:bottom w:val="none" w:sz="0" w:space="0" w:color="auto"/>
                                <w:right w:val="none" w:sz="0" w:space="0" w:color="auto"/>
                              </w:divBdr>
                              <w:divsChild>
                                <w:div w:id="46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75727">
      <w:bodyDiv w:val="1"/>
      <w:marLeft w:val="0"/>
      <w:marRight w:val="0"/>
      <w:marTop w:val="0"/>
      <w:marBottom w:val="0"/>
      <w:divBdr>
        <w:top w:val="none" w:sz="0" w:space="0" w:color="auto"/>
        <w:left w:val="none" w:sz="0" w:space="0" w:color="auto"/>
        <w:bottom w:val="none" w:sz="0" w:space="0" w:color="auto"/>
        <w:right w:val="none" w:sz="0" w:space="0" w:color="auto"/>
      </w:divBdr>
      <w:divsChild>
        <w:div w:id="464198583">
          <w:marLeft w:val="0"/>
          <w:marRight w:val="0"/>
          <w:marTop w:val="0"/>
          <w:marBottom w:val="0"/>
          <w:divBdr>
            <w:top w:val="none" w:sz="0" w:space="0" w:color="auto"/>
            <w:left w:val="none" w:sz="0" w:space="0" w:color="auto"/>
            <w:bottom w:val="none" w:sz="0" w:space="0" w:color="auto"/>
            <w:right w:val="none" w:sz="0" w:space="0" w:color="auto"/>
          </w:divBdr>
          <w:divsChild>
            <w:div w:id="490222529">
              <w:marLeft w:val="0"/>
              <w:marRight w:val="0"/>
              <w:marTop w:val="0"/>
              <w:marBottom w:val="0"/>
              <w:divBdr>
                <w:top w:val="none" w:sz="0" w:space="0" w:color="auto"/>
                <w:left w:val="none" w:sz="0" w:space="0" w:color="auto"/>
                <w:bottom w:val="none" w:sz="0" w:space="0" w:color="auto"/>
                <w:right w:val="none" w:sz="0" w:space="0" w:color="auto"/>
              </w:divBdr>
              <w:divsChild>
                <w:div w:id="139276422">
                  <w:marLeft w:val="0"/>
                  <w:marRight w:val="0"/>
                  <w:marTop w:val="0"/>
                  <w:marBottom w:val="0"/>
                  <w:divBdr>
                    <w:top w:val="none" w:sz="0" w:space="0" w:color="auto"/>
                    <w:left w:val="none" w:sz="0" w:space="0" w:color="auto"/>
                    <w:bottom w:val="none" w:sz="0" w:space="0" w:color="auto"/>
                    <w:right w:val="none" w:sz="0" w:space="0" w:color="auto"/>
                  </w:divBdr>
                  <w:divsChild>
                    <w:div w:id="577903338">
                      <w:marLeft w:val="0"/>
                      <w:marRight w:val="0"/>
                      <w:marTop w:val="0"/>
                      <w:marBottom w:val="0"/>
                      <w:divBdr>
                        <w:top w:val="none" w:sz="0" w:space="0" w:color="auto"/>
                        <w:left w:val="none" w:sz="0" w:space="0" w:color="auto"/>
                        <w:bottom w:val="none" w:sz="0" w:space="0" w:color="auto"/>
                        <w:right w:val="none" w:sz="0" w:space="0" w:color="auto"/>
                      </w:divBdr>
                      <w:divsChild>
                        <w:div w:id="1008942636">
                          <w:marLeft w:val="0"/>
                          <w:marRight w:val="0"/>
                          <w:marTop w:val="0"/>
                          <w:marBottom w:val="0"/>
                          <w:divBdr>
                            <w:top w:val="none" w:sz="0" w:space="0" w:color="auto"/>
                            <w:left w:val="none" w:sz="0" w:space="0" w:color="auto"/>
                            <w:bottom w:val="none" w:sz="0" w:space="0" w:color="auto"/>
                            <w:right w:val="none" w:sz="0" w:space="0" w:color="auto"/>
                          </w:divBdr>
                          <w:divsChild>
                            <w:div w:id="996300374">
                              <w:marLeft w:val="0"/>
                              <w:marRight w:val="0"/>
                              <w:marTop w:val="0"/>
                              <w:marBottom w:val="0"/>
                              <w:divBdr>
                                <w:top w:val="none" w:sz="0" w:space="0" w:color="auto"/>
                                <w:left w:val="none" w:sz="0" w:space="0" w:color="auto"/>
                                <w:bottom w:val="none" w:sz="0" w:space="0" w:color="auto"/>
                                <w:right w:val="none" w:sz="0" w:space="0" w:color="auto"/>
                              </w:divBdr>
                              <w:divsChild>
                                <w:div w:id="454568621">
                                  <w:marLeft w:val="0"/>
                                  <w:marRight w:val="0"/>
                                  <w:marTop w:val="0"/>
                                  <w:marBottom w:val="0"/>
                                  <w:divBdr>
                                    <w:top w:val="none" w:sz="0" w:space="0" w:color="auto"/>
                                    <w:left w:val="none" w:sz="0" w:space="0" w:color="auto"/>
                                    <w:bottom w:val="none" w:sz="0" w:space="0" w:color="auto"/>
                                    <w:right w:val="none" w:sz="0" w:space="0" w:color="auto"/>
                                  </w:divBdr>
                                  <w:divsChild>
                                    <w:div w:id="4124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6436">
                          <w:marLeft w:val="0"/>
                          <w:marRight w:val="0"/>
                          <w:marTop w:val="0"/>
                          <w:marBottom w:val="0"/>
                          <w:divBdr>
                            <w:top w:val="none" w:sz="0" w:space="0" w:color="auto"/>
                            <w:left w:val="none" w:sz="0" w:space="0" w:color="auto"/>
                            <w:bottom w:val="none" w:sz="0" w:space="0" w:color="auto"/>
                            <w:right w:val="none" w:sz="0" w:space="0" w:color="auto"/>
                          </w:divBdr>
                          <w:divsChild>
                            <w:div w:id="1158157805">
                              <w:marLeft w:val="0"/>
                              <w:marRight w:val="0"/>
                              <w:marTop w:val="0"/>
                              <w:marBottom w:val="0"/>
                              <w:divBdr>
                                <w:top w:val="none" w:sz="0" w:space="0" w:color="auto"/>
                                <w:left w:val="none" w:sz="0" w:space="0" w:color="auto"/>
                                <w:bottom w:val="none" w:sz="0" w:space="0" w:color="auto"/>
                                <w:right w:val="none" w:sz="0" w:space="0" w:color="auto"/>
                              </w:divBdr>
                              <w:divsChild>
                                <w:div w:id="107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12449">
      <w:bodyDiv w:val="1"/>
      <w:marLeft w:val="0"/>
      <w:marRight w:val="0"/>
      <w:marTop w:val="0"/>
      <w:marBottom w:val="0"/>
      <w:divBdr>
        <w:top w:val="none" w:sz="0" w:space="0" w:color="auto"/>
        <w:left w:val="none" w:sz="0" w:space="0" w:color="auto"/>
        <w:bottom w:val="none" w:sz="0" w:space="0" w:color="auto"/>
        <w:right w:val="none" w:sz="0" w:space="0" w:color="auto"/>
      </w:divBdr>
    </w:div>
    <w:div w:id="1355839865">
      <w:bodyDiv w:val="1"/>
      <w:marLeft w:val="0"/>
      <w:marRight w:val="0"/>
      <w:marTop w:val="0"/>
      <w:marBottom w:val="0"/>
      <w:divBdr>
        <w:top w:val="none" w:sz="0" w:space="0" w:color="auto"/>
        <w:left w:val="none" w:sz="0" w:space="0" w:color="auto"/>
        <w:bottom w:val="none" w:sz="0" w:space="0" w:color="auto"/>
        <w:right w:val="none" w:sz="0" w:space="0" w:color="auto"/>
      </w:divBdr>
      <w:divsChild>
        <w:div w:id="101924413">
          <w:marLeft w:val="0"/>
          <w:marRight w:val="0"/>
          <w:marTop w:val="0"/>
          <w:marBottom w:val="0"/>
          <w:divBdr>
            <w:top w:val="none" w:sz="0" w:space="0" w:color="auto"/>
            <w:left w:val="none" w:sz="0" w:space="0" w:color="auto"/>
            <w:bottom w:val="none" w:sz="0" w:space="0" w:color="auto"/>
            <w:right w:val="none" w:sz="0" w:space="0" w:color="auto"/>
          </w:divBdr>
          <w:divsChild>
            <w:div w:id="988100118">
              <w:marLeft w:val="0"/>
              <w:marRight w:val="0"/>
              <w:marTop w:val="0"/>
              <w:marBottom w:val="0"/>
              <w:divBdr>
                <w:top w:val="none" w:sz="0" w:space="0" w:color="auto"/>
                <w:left w:val="none" w:sz="0" w:space="0" w:color="auto"/>
                <w:bottom w:val="none" w:sz="0" w:space="0" w:color="auto"/>
                <w:right w:val="none" w:sz="0" w:space="0" w:color="auto"/>
              </w:divBdr>
              <w:divsChild>
                <w:div w:id="1393505489">
                  <w:marLeft w:val="0"/>
                  <w:marRight w:val="0"/>
                  <w:marTop w:val="0"/>
                  <w:marBottom w:val="0"/>
                  <w:divBdr>
                    <w:top w:val="none" w:sz="0" w:space="0" w:color="auto"/>
                    <w:left w:val="none" w:sz="0" w:space="0" w:color="auto"/>
                    <w:bottom w:val="none" w:sz="0" w:space="0" w:color="auto"/>
                    <w:right w:val="none" w:sz="0" w:space="0" w:color="auto"/>
                  </w:divBdr>
                  <w:divsChild>
                    <w:div w:id="851728626">
                      <w:marLeft w:val="0"/>
                      <w:marRight w:val="0"/>
                      <w:marTop w:val="0"/>
                      <w:marBottom w:val="0"/>
                      <w:divBdr>
                        <w:top w:val="none" w:sz="0" w:space="0" w:color="auto"/>
                        <w:left w:val="none" w:sz="0" w:space="0" w:color="auto"/>
                        <w:bottom w:val="none" w:sz="0" w:space="0" w:color="auto"/>
                        <w:right w:val="none" w:sz="0" w:space="0" w:color="auto"/>
                      </w:divBdr>
                      <w:divsChild>
                        <w:div w:id="829756812">
                          <w:marLeft w:val="0"/>
                          <w:marRight w:val="0"/>
                          <w:marTop w:val="0"/>
                          <w:marBottom w:val="0"/>
                          <w:divBdr>
                            <w:top w:val="none" w:sz="0" w:space="0" w:color="auto"/>
                            <w:left w:val="none" w:sz="0" w:space="0" w:color="auto"/>
                            <w:bottom w:val="none" w:sz="0" w:space="0" w:color="auto"/>
                            <w:right w:val="none" w:sz="0" w:space="0" w:color="auto"/>
                          </w:divBdr>
                          <w:divsChild>
                            <w:div w:id="1981380588">
                              <w:marLeft w:val="0"/>
                              <w:marRight w:val="0"/>
                              <w:marTop w:val="0"/>
                              <w:marBottom w:val="0"/>
                              <w:divBdr>
                                <w:top w:val="none" w:sz="0" w:space="0" w:color="auto"/>
                                <w:left w:val="none" w:sz="0" w:space="0" w:color="auto"/>
                                <w:bottom w:val="none" w:sz="0" w:space="0" w:color="auto"/>
                                <w:right w:val="none" w:sz="0" w:space="0" w:color="auto"/>
                              </w:divBdr>
                              <w:divsChild>
                                <w:div w:id="11496428">
                                  <w:marLeft w:val="0"/>
                                  <w:marRight w:val="0"/>
                                  <w:marTop w:val="0"/>
                                  <w:marBottom w:val="0"/>
                                  <w:divBdr>
                                    <w:top w:val="none" w:sz="0" w:space="0" w:color="auto"/>
                                    <w:left w:val="none" w:sz="0" w:space="0" w:color="auto"/>
                                    <w:bottom w:val="none" w:sz="0" w:space="0" w:color="auto"/>
                                    <w:right w:val="none" w:sz="0" w:space="0" w:color="auto"/>
                                  </w:divBdr>
                                  <w:divsChild>
                                    <w:div w:id="1288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7202">
      <w:bodyDiv w:val="1"/>
      <w:marLeft w:val="0"/>
      <w:marRight w:val="0"/>
      <w:marTop w:val="0"/>
      <w:marBottom w:val="0"/>
      <w:divBdr>
        <w:top w:val="none" w:sz="0" w:space="0" w:color="auto"/>
        <w:left w:val="none" w:sz="0" w:space="0" w:color="auto"/>
        <w:bottom w:val="none" w:sz="0" w:space="0" w:color="auto"/>
        <w:right w:val="none" w:sz="0" w:space="0" w:color="auto"/>
      </w:divBdr>
    </w:div>
    <w:div w:id="1577519176">
      <w:bodyDiv w:val="1"/>
      <w:marLeft w:val="0"/>
      <w:marRight w:val="0"/>
      <w:marTop w:val="0"/>
      <w:marBottom w:val="0"/>
      <w:divBdr>
        <w:top w:val="none" w:sz="0" w:space="0" w:color="auto"/>
        <w:left w:val="none" w:sz="0" w:space="0" w:color="auto"/>
        <w:bottom w:val="none" w:sz="0" w:space="0" w:color="auto"/>
        <w:right w:val="none" w:sz="0" w:space="0" w:color="auto"/>
      </w:divBdr>
      <w:divsChild>
        <w:div w:id="28380994">
          <w:marLeft w:val="0"/>
          <w:marRight w:val="0"/>
          <w:marTop w:val="0"/>
          <w:marBottom w:val="0"/>
          <w:divBdr>
            <w:top w:val="none" w:sz="0" w:space="0" w:color="auto"/>
            <w:left w:val="none" w:sz="0" w:space="0" w:color="auto"/>
            <w:bottom w:val="none" w:sz="0" w:space="0" w:color="auto"/>
            <w:right w:val="none" w:sz="0" w:space="0" w:color="auto"/>
          </w:divBdr>
          <w:divsChild>
            <w:div w:id="1807770354">
              <w:marLeft w:val="0"/>
              <w:marRight w:val="0"/>
              <w:marTop w:val="0"/>
              <w:marBottom w:val="0"/>
              <w:divBdr>
                <w:top w:val="none" w:sz="0" w:space="0" w:color="auto"/>
                <w:left w:val="none" w:sz="0" w:space="0" w:color="auto"/>
                <w:bottom w:val="none" w:sz="0" w:space="0" w:color="auto"/>
                <w:right w:val="none" w:sz="0" w:space="0" w:color="auto"/>
              </w:divBdr>
              <w:divsChild>
                <w:div w:id="1389836188">
                  <w:marLeft w:val="0"/>
                  <w:marRight w:val="0"/>
                  <w:marTop w:val="0"/>
                  <w:marBottom w:val="0"/>
                  <w:divBdr>
                    <w:top w:val="none" w:sz="0" w:space="0" w:color="auto"/>
                    <w:left w:val="none" w:sz="0" w:space="0" w:color="auto"/>
                    <w:bottom w:val="none" w:sz="0" w:space="0" w:color="auto"/>
                    <w:right w:val="none" w:sz="0" w:space="0" w:color="auto"/>
                  </w:divBdr>
                  <w:divsChild>
                    <w:div w:id="1375499808">
                      <w:marLeft w:val="0"/>
                      <w:marRight w:val="0"/>
                      <w:marTop w:val="0"/>
                      <w:marBottom w:val="0"/>
                      <w:divBdr>
                        <w:top w:val="none" w:sz="0" w:space="0" w:color="auto"/>
                        <w:left w:val="none" w:sz="0" w:space="0" w:color="auto"/>
                        <w:bottom w:val="none" w:sz="0" w:space="0" w:color="auto"/>
                        <w:right w:val="none" w:sz="0" w:space="0" w:color="auto"/>
                      </w:divBdr>
                      <w:divsChild>
                        <w:div w:id="266542051">
                          <w:marLeft w:val="0"/>
                          <w:marRight w:val="0"/>
                          <w:marTop w:val="0"/>
                          <w:marBottom w:val="0"/>
                          <w:divBdr>
                            <w:top w:val="none" w:sz="0" w:space="0" w:color="auto"/>
                            <w:left w:val="none" w:sz="0" w:space="0" w:color="auto"/>
                            <w:bottom w:val="none" w:sz="0" w:space="0" w:color="auto"/>
                            <w:right w:val="none" w:sz="0" w:space="0" w:color="auto"/>
                          </w:divBdr>
                          <w:divsChild>
                            <w:div w:id="634213766">
                              <w:marLeft w:val="0"/>
                              <w:marRight w:val="0"/>
                              <w:marTop w:val="0"/>
                              <w:marBottom w:val="0"/>
                              <w:divBdr>
                                <w:top w:val="none" w:sz="0" w:space="0" w:color="auto"/>
                                <w:left w:val="none" w:sz="0" w:space="0" w:color="auto"/>
                                <w:bottom w:val="none" w:sz="0" w:space="0" w:color="auto"/>
                                <w:right w:val="none" w:sz="0" w:space="0" w:color="auto"/>
                              </w:divBdr>
                              <w:divsChild>
                                <w:div w:id="1455101744">
                                  <w:marLeft w:val="0"/>
                                  <w:marRight w:val="0"/>
                                  <w:marTop w:val="0"/>
                                  <w:marBottom w:val="0"/>
                                  <w:divBdr>
                                    <w:top w:val="none" w:sz="0" w:space="0" w:color="auto"/>
                                    <w:left w:val="none" w:sz="0" w:space="0" w:color="auto"/>
                                    <w:bottom w:val="none" w:sz="0" w:space="0" w:color="auto"/>
                                    <w:right w:val="none" w:sz="0" w:space="0" w:color="auto"/>
                                  </w:divBdr>
                                  <w:divsChild>
                                    <w:div w:id="1471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35929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7893363">
      <w:bodyDiv w:val="1"/>
      <w:marLeft w:val="0"/>
      <w:marRight w:val="0"/>
      <w:marTop w:val="0"/>
      <w:marBottom w:val="0"/>
      <w:divBdr>
        <w:top w:val="none" w:sz="0" w:space="0" w:color="auto"/>
        <w:left w:val="none" w:sz="0" w:space="0" w:color="auto"/>
        <w:bottom w:val="none" w:sz="0" w:space="0" w:color="auto"/>
        <w:right w:val="none" w:sz="0" w:space="0" w:color="auto"/>
      </w:divBdr>
      <w:divsChild>
        <w:div w:id="165948054">
          <w:marLeft w:val="0"/>
          <w:marRight w:val="0"/>
          <w:marTop w:val="0"/>
          <w:marBottom w:val="0"/>
          <w:divBdr>
            <w:top w:val="none" w:sz="0" w:space="0" w:color="auto"/>
            <w:left w:val="none" w:sz="0" w:space="0" w:color="auto"/>
            <w:bottom w:val="none" w:sz="0" w:space="0" w:color="auto"/>
            <w:right w:val="none" w:sz="0" w:space="0" w:color="auto"/>
          </w:divBdr>
          <w:divsChild>
            <w:div w:id="1326546763">
              <w:marLeft w:val="0"/>
              <w:marRight w:val="0"/>
              <w:marTop w:val="0"/>
              <w:marBottom w:val="0"/>
              <w:divBdr>
                <w:top w:val="none" w:sz="0" w:space="0" w:color="auto"/>
                <w:left w:val="none" w:sz="0" w:space="0" w:color="auto"/>
                <w:bottom w:val="none" w:sz="0" w:space="0" w:color="auto"/>
                <w:right w:val="none" w:sz="0" w:space="0" w:color="auto"/>
              </w:divBdr>
              <w:divsChild>
                <w:div w:id="1701052932">
                  <w:marLeft w:val="0"/>
                  <w:marRight w:val="0"/>
                  <w:marTop w:val="0"/>
                  <w:marBottom w:val="0"/>
                  <w:divBdr>
                    <w:top w:val="none" w:sz="0" w:space="0" w:color="auto"/>
                    <w:left w:val="none" w:sz="0" w:space="0" w:color="auto"/>
                    <w:bottom w:val="none" w:sz="0" w:space="0" w:color="auto"/>
                    <w:right w:val="none" w:sz="0" w:space="0" w:color="auto"/>
                  </w:divBdr>
                  <w:divsChild>
                    <w:div w:id="16824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3572">
          <w:marLeft w:val="0"/>
          <w:marRight w:val="0"/>
          <w:marTop w:val="0"/>
          <w:marBottom w:val="0"/>
          <w:divBdr>
            <w:top w:val="none" w:sz="0" w:space="0" w:color="auto"/>
            <w:left w:val="none" w:sz="0" w:space="0" w:color="auto"/>
            <w:bottom w:val="none" w:sz="0" w:space="0" w:color="auto"/>
            <w:right w:val="none" w:sz="0" w:space="0" w:color="auto"/>
          </w:divBdr>
          <w:divsChild>
            <w:div w:id="1836874762">
              <w:marLeft w:val="0"/>
              <w:marRight w:val="0"/>
              <w:marTop w:val="0"/>
              <w:marBottom w:val="0"/>
              <w:divBdr>
                <w:top w:val="none" w:sz="0" w:space="0" w:color="auto"/>
                <w:left w:val="none" w:sz="0" w:space="0" w:color="auto"/>
                <w:bottom w:val="none" w:sz="0" w:space="0" w:color="auto"/>
                <w:right w:val="none" w:sz="0" w:space="0" w:color="auto"/>
              </w:divBdr>
              <w:divsChild>
                <w:div w:id="315688059">
                  <w:marLeft w:val="0"/>
                  <w:marRight w:val="0"/>
                  <w:marTop w:val="0"/>
                  <w:marBottom w:val="0"/>
                  <w:divBdr>
                    <w:top w:val="none" w:sz="0" w:space="0" w:color="auto"/>
                    <w:left w:val="none" w:sz="0" w:space="0" w:color="auto"/>
                    <w:bottom w:val="none" w:sz="0" w:space="0" w:color="auto"/>
                    <w:right w:val="none" w:sz="0" w:space="0" w:color="auto"/>
                  </w:divBdr>
                  <w:divsChild>
                    <w:div w:id="479229030">
                      <w:marLeft w:val="0"/>
                      <w:marRight w:val="0"/>
                      <w:marTop w:val="0"/>
                      <w:marBottom w:val="0"/>
                      <w:divBdr>
                        <w:top w:val="none" w:sz="0" w:space="0" w:color="auto"/>
                        <w:left w:val="none" w:sz="0" w:space="0" w:color="auto"/>
                        <w:bottom w:val="none" w:sz="0" w:space="0" w:color="auto"/>
                        <w:right w:val="none" w:sz="0" w:space="0" w:color="auto"/>
                      </w:divBdr>
                      <w:divsChild>
                        <w:div w:id="2061123135">
                          <w:marLeft w:val="0"/>
                          <w:marRight w:val="0"/>
                          <w:marTop w:val="0"/>
                          <w:marBottom w:val="0"/>
                          <w:divBdr>
                            <w:top w:val="none" w:sz="0" w:space="0" w:color="auto"/>
                            <w:left w:val="none" w:sz="0" w:space="0" w:color="auto"/>
                            <w:bottom w:val="none" w:sz="0" w:space="0" w:color="auto"/>
                            <w:right w:val="none" w:sz="0" w:space="0" w:color="auto"/>
                          </w:divBdr>
                          <w:divsChild>
                            <w:div w:id="1383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3281">
      <w:bodyDiv w:val="1"/>
      <w:marLeft w:val="0"/>
      <w:marRight w:val="0"/>
      <w:marTop w:val="0"/>
      <w:marBottom w:val="0"/>
      <w:divBdr>
        <w:top w:val="none" w:sz="0" w:space="0" w:color="auto"/>
        <w:left w:val="none" w:sz="0" w:space="0" w:color="auto"/>
        <w:bottom w:val="none" w:sz="0" w:space="0" w:color="auto"/>
        <w:right w:val="none" w:sz="0" w:space="0" w:color="auto"/>
      </w:divBdr>
      <w:divsChild>
        <w:div w:id="371540874">
          <w:marLeft w:val="0"/>
          <w:marRight w:val="0"/>
          <w:marTop w:val="0"/>
          <w:marBottom w:val="0"/>
          <w:divBdr>
            <w:top w:val="none" w:sz="0" w:space="0" w:color="auto"/>
            <w:left w:val="none" w:sz="0" w:space="0" w:color="auto"/>
            <w:bottom w:val="none" w:sz="0" w:space="0" w:color="auto"/>
            <w:right w:val="none" w:sz="0" w:space="0" w:color="auto"/>
          </w:divBdr>
          <w:divsChild>
            <w:div w:id="436096343">
              <w:marLeft w:val="0"/>
              <w:marRight w:val="0"/>
              <w:marTop w:val="0"/>
              <w:marBottom w:val="0"/>
              <w:divBdr>
                <w:top w:val="none" w:sz="0" w:space="0" w:color="auto"/>
                <w:left w:val="none" w:sz="0" w:space="0" w:color="auto"/>
                <w:bottom w:val="none" w:sz="0" w:space="0" w:color="auto"/>
                <w:right w:val="none" w:sz="0" w:space="0" w:color="auto"/>
              </w:divBdr>
              <w:divsChild>
                <w:div w:id="738210376">
                  <w:marLeft w:val="0"/>
                  <w:marRight w:val="0"/>
                  <w:marTop w:val="0"/>
                  <w:marBottom w:val="0"/>
                  <w:divBdr>
                    <w:top w:val="none" w:sz="0" w:space="0" w:color="auto"/>
                    <w:left w:val="none" w:sz="0" w:space="0" w:color="auto"/>
                    <w:bottom w:val="none" w:sz="0" w:space="0" w:color="auto"/>
                    <w:right w:val="none" w:sz="0" w:space="0" w:color="auto"/>
                  </w:divBdr>
                  <w:divsChild>
                    <w:div w:id="18270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0794">
          <w:marLeft w:val="0"/>
          <w:marRight w:val="0"/>
          <w:marTop w:val="0"/>
          <w:marBottom w:val="0"/>
          <w:divBdr>
            <w:top w:val="none" w:sz="0" w:space="0" w:color="auto"/>
            <w:left w:val="none" w:sz="0" w:space="0" w:color="auto"/>
            <w:bottom w:val="none" w:sz="0" w:space="0" w:color="auto"/>
            <w:right w:val="none" w:sz="0" w:space="0" w:color="auto"/>
          </w:divBdr>
          <w:divsChild>
            <w:div w:id="150105649">
              <w:marLeft w:val="0"/>
              <w:marRight w:val="0"/>
              <w:marTop w:val="0"/>
              <w:marBottom w:val="0"/>
              <w:divBdr>
                <w:top w:val="none" w:sz="0" w:space="0" w:color="auto"/>
                <w:left w:val="none" w:sz="0" w:space="0" w:color="auto"/>
                <w:bottom w:val="none" w:sz="0" w:space="0" w:color="auto"/>
                <w:right w:val="none" w:sz="0" w:space="0" w:color="auto"/>
              </w:divBdr>
              <w:divsChild>
                <w:div w:id="736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educ.2021.678692" TargetMode="External"/><Relationship Id="rId26" Type="http://schemas.openxmlformats.org/officeDocument/2006/relationships/hyperlink" Target="https://doi.org/10.1186/s12909-018-%201400-2" TargetMode="External"/><Relationship Id="rId39" Type="http://schemas.openxmlformats.org/officeDocument/2006/relationships/hyperlink" Target="http://www.apjmr.com/wp-content/uploads/2017/01/APJMR-2017.5.1.20.pdf" TargetMode="External"/><Relationship Id="rId3" Type="http://schemas.openxmlformats.org/officeDocument/2006/relationships/styles" Target="styles.xml"/><Relationship Id="rId21" Type="http://schemas.openxmlformats.org/officeDocument/2006/relationships/hyperlink" Target="https://scholarworks.calstate.edu/downloads/d504rn354" TargetMode="External"/><Relationship Id="rId34" Type="http://schemas.openxmlformats.org/officeDocument/2006/relationships/hyperlink" Target="https://www.mdpi.com/2414-4088/4/2/11." TargetMode="External"/><Relationship Id="rId42" Type="http://schemas.openxmlformats.org/officeDocument/2006/relationships/hyperlink" Target="https://doi.org/10.11594/ijmaber.03.01.06"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educ.2021.678692" TargetMode="External"/><Relationship Id="rId25" Type="http://schemas.openxmlformats.org/officeDocument/2006/relationships/hyperlink" Target="https://doi.org/10.1186/s12909-018-%201400-2" TargetMode="External"/><Relationship Id="rId33" Type="http://schemas.openxmlformats.org/officeDocument/2006/relationships/hyperlink" Target="https://www.mdpi.com/2414-4088/4/2/11." TargetMode="External"/><Relationship Id="rId38" Type="http://schemas.openxmlformats.org/officeDocument/2006/relationships/hyperlink" Target="http://www.apjmr.com/wp-content/uploads/2017/01/APJMR-2017.5.1.20.pdf"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590/1807-2577.05118" TargetMode="External"/><Relationship Id="rId20" Type="http://schemas.openxmlformats.org/officeDocument/2006/relationships/hyperlink" Target="https://scholarworks.calstate.edu/downloads/d504rn354" TargetMode="External"/><Relationship Id="rId29" Type="http://schemas.openxmlformats.org/officeDocument/2006/relationships/hyperlink" Target="https://doi.org/10.1186/s12909-018-%201400-2" TargetMode="External"/><Relationship Id="rId41" Type="http://schemas.openxmlformats.org/officeDocument/2006/relationships/hyperlink" Target="http://www.apjmr.com/wp-content/uploads/2017/01/APJMR-2017.5.1.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909" TargetMode="External"/><Relationship Id="rId32" Type="http://schemas.openxmlformats.org/officeDocument/2006/relationships/hyperlink" Target="https://www.mdpi.com/2414-4088/4/2/11." TargetMode="External"/><Relationship Id="rId37" Type="http://schemas.openxmlformats.org/officeDocument/2006/relationships/hyperlink" Target="http://www.apjmr.com/wp-content/uploads/2017/01/APJMR-2017.5.1.20.pdf" TargetMode="External"/><Relationship Id="rId40" Type="http://schemas.openxmlformats.org/officeDocument/2006/relationships/hyperlink" Target="http://www.apjmr.com/wp-content/uploads/2017/01/APJMR-2017.5.1.20.pdf"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590/1807-2577.05118" TargetMode="External"/><Relationship Id="rId23" Type="http://schemas.openxmlformats.org/officeDocument/2006/relationships/hyperlink" Target="https://scholarworks.calstate.edu/downloads/d504rn354" TargetMode="External"/><Relationship Id="rId28" Type="http://schemas.openxmlformats.org/officeDocument/2006/relationships/hyperlink" Target="https://doi.org/10.1186/s12909-018-%201400-2" TargetMode="External"/><Relationship Id="rId36" Type="http://schemas.openxmlformats.org/officeDocument/2006/relationships/hyperlink" Target="https://scholar.google.com.google/"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cholarworks.calstate.edu/downloads/d504rn354" TargetMode="External"/><Relationship Id="rId31" Type="http://schemas.openxmlformats.org/officeDocument/2006/relationships/hyperlink" Target="https://doi.org/10.1186/s12909-018-1400-2" TargetMode="External"/><Relationship Id="rId44" Type="http://schemas.openxmlformats.org/officeDocument/2006/relationships/hyperlink" Target="https://doi.org/10.3389/feduc.2023.11474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90/1807-2577.05118" TargetMode="External"/><Relationship Id="rId22" Type="http://schemas.openxmlformats.org/officeDocument/2006/relationships/hyperlink" Target="https://scholarworks.calstate.edu/downloads/d504rn354" TargetMode="External"/><Relationship Id="rId27" Type="http://schemas.openxmlformats.org/officeDocument/2006/relationships/hyperlink" Target="https://doi.org/10.1186/s12909-018-%201400-2" TargetMode="External"/><Relationship Id="rId30" Type="http://schemas.openxmlformats.org/officeDocument/2006/relationships/hyperlink" Target="https://doi.org/10.1186/s12909-018-%201400-2" TargetMode="External"/><Relationship Id="rId35" Type="http://schemas.openxmlformats.org/officeDocument/2006/relationships/hyperlink" Target="https://doi.org/10.1155/2021/8543052" TargetMode="External"/><Relationship Id="rId43" Type="http://schemas.openxmlformats.org/officeDocument/2006/relationships/hyperlink" Target="https://doi.org/10.30650/ajte.v1i2.252" TargetMode="External"/><Relationship Id="rId48"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A863-CE73-4884-9696-BD7256B9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755</TotalTime>
  <Pages>13</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36</cp:revision>
  <cp:lastPrinted>2025-04-25T00:56:00Z</cp:lastPrinted>
  <dcterms:created xsi:type="dcterms:W3CDTF">2025-05-29T01:27:00Z</dcterms:created>
  <dcterms:modified xsi:type="dcterms:W3CDTF">2025-05-30T09:54:00Z</dcterms:modified>
</cp:coreProperties>
</file>