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5516" w14:textId="77777777" w:rsidR="00E52757" w:rsidRDefault="00E52757" w:rsidP="004A6F92">
      <w:pPr>
        <w:pStyle w:val="NoSpacing"/>
        <w:jc w:val="center"/>
        <w:rPr>
          <w:rFonts w:asciiTheme="majorBidi" w:hAnsiTheme="majorBidi" w:cstheme="majorBidi"/>
          <w:b/>
          <w:bCs/>
          <w:sz w:val="24"/>
          <w:szCs w:val="24"/>
        </w:rPr>
      </w:pPr>
      <w:r w:rsidRPr="00E52757">
        <w:rPr>
          <w:rFonts w:asciiTheme="majorBidi" w:hAnsiTheme="majorBidi" w:cstheme="majorBidi"/>
          <w:b/>
          <w:bCs/>
          <w:sz w:val="24"/>
          <w:szCs w:val="24"/>
        </w:rPr>
        <w:t xml:space="preserve">Original Research Article </w:t>
      </w:r>
    </w:p>
    <w:p w14:paraId="03F3C4B8" w14:textId="77777777" w:rsidR="00E52757" w:rsidRDefault="00E52757" w:rsidP="004A6F92">
      <w:pPr>
        <w:pStyle w:val="NoSpacing"/>
        <w:jc w:val="center"/>
        <w:rPr>
          <w:rFonts w:asciiTheme="majorBidi" w:hAnsiTheme="majorBidi" w:cstheme="majorBidi"/>
          <w:b/>
          <w:bCs/>
          <w:sz w:val="24"/>
          <w:szCs w:val="24"/>
        </w:rPr>
      </w:pPr>
    </w:p>
    <w:p w14:paraId="60876AD9" w14:textId="67640A80" w:rsidR="004A6F92" w:rsidRDefault="004A6F92" w:rsidP="004A6F92">
      <w:pPr>
        <w:pStyle w:val="NoSpacing"/>
        <w:jc w:val="center"/>
        <w:rPr>
          <w:rFonts w:asciiTheme="majorBidi" w:hAnsiTheme="majorBidi" w:cstheme="majorBidi"/>
          <w:b/>
          <w:bCs/>
          <w:sz w:val="24"/>
          <w:szCs w:val="24"/>
          <w:lang w:val="id-ID"/>
        </w:rPr>
      </w:pPr>
      <w:r w:rsidRPr="00B34C08">
        <w:rPr>
          <w:rFonts w:asciiTheme="majorBidi" w:hAnsiTheme="majorBidi" w:cstheme="majorBidi"/>
          <w:b/>
          <w:bCs/>
          <w:sz w:val="24"/>
          <w:szCs w:val="24"/>
        </w:rPr>
        <w:t>Strengthening Teacher Literacy and Numeracy Competencies through Academic Supervision with Interactive Multimedia Empowerment</w:t>
      </w:r>
      <w:r w:rsidR="006463BA">
        <w:rPr>
          <w:rFonts w:asciiTheme="majorBidi" w:hAnsiTheme="majorBidi" w:cstheme="majorBidi"/>
          <w:b/>
          <w:bCs/>
          <w:sz w:val="24"/>
          <w:szCs w:val="24"/>
        </w:rPr>
        <w:t xml:space="preserve"> </w:t>
      </w:r>
      <w:r w:rsidRPr="00B34C08">
        <w:rPr>
          <w:rFonts w:asciiTheme="majorBidi" w:hAnsiTheme="majorBidi" w:cstheme="majorBidi"/>
          <w:b/>
          <w:bCs/>
          <w:sz w:val="24"/>
          <w:szCs w:val="24"/>
        </w:rPr>
        <w:t>(</w:t>
      </w:r>
      <w:r w:rsidRPr="004A6F92">
        <w:rPr>
          <w:rFonts w:asciiTheme="majorBidi" w:hAnsiTheme="majorBidi" w:cstheme="majorBidi"/>
          <w:b/>
          <w:bCs/>
          <w:sz w:val="24"/>
          <w:szCs w:val="24"/>
        </w:rPr>
        <w:t>Preliminary Study; Mapping Teacher Literacy and Numeracy Competencies</w:t>
      </w:r>
      <w:r w:rsidRPr="00B34C08">
        <w:rPr>
          <w:rFonts w:asciiTheme="majorBidi" w:hAnsiTheme="majorBidi" w:cstheme="majorBidi"/>
          <w:b/>
          <w:bCs/>
          <w:sz w:val="24"/>
          <w:szCs w:val="24"/>
        </w:rPr>
        <w:t>)</w:t>
      </w:r>
    </w:p>
    <w:p w14:paraId="461AF61A" w14:textId="77777777" w:rsidR="004A6F92" w:rsidRDefault="004A6F92" w:rsidP="00AD1223">
      <w:pPr>
        <w:pStyle w:val="NoSpacing"/>
        <w:jc w:val="center"/>
        <w:rPr>
          <w:rFonts w:ascii="Times New Roman" w:hAnsi="Times New Roman" w:cs="Times New Roman"/>
          <w:b/>
          <w:bCs/>
          <w:sz w:val="24"/>
          <w:szCs w:val="24"/>
          <w:lang w:val="id-ID"/>
        </w:rPr>
      </w:pPr>
    </w:p>
    <w:p w14:paraId="1360132C" w14:textId="77777777" w:rsidR="004A6F92" w:rsidRDefault="004A6F92" w:rsidP="00AD1223">
      <w:pPr>
        <w:pStyle w:val="NoSpacing"/>
        <w:jc w:val="center"/>
        <w:rPr>
          <w:rFonts w:ascii="Times New Roman" w:hAnsi="Times New Roman" w:cs="Times New Roman"/>
          <w:b/>
          <w:bCs/>
          <w:sz w:val="24"/>
          <w:szCs w:val="24"/>
          <w:lang w:val="id-ID"/>
        </w:rPr>
      </w:pPr>
    </w:p>
    <w:p w14:paraId="5A17EAC6" w14:textId="77777777" w:rsidR="0081367F" w:rsidRDefault="0081367F" w:rsidP="0081367F">
      <w:pPr>
        <w:pStyle w:val="NoSpacing"/>
        <w:jc w:val="right"/>
        <w:rPr>
          <w:rFonts w:ascii="Times New Roman" w:hAnsi="Times New Roman" w:cs="Times New Roman"/>
          <w:b/>
          <w:bCs/>
          <w:sz w:val="24"/>
          <w:szCs w:val="24"/>
          <w:lang w:val="id-ID"/>
        </w:rPr>
      </w:pPr>
    </w:p>
    <w:p w14:paraId="0BE5263E" w14:textId="77777777" w:rsidR="00E74898" w:rsidRDefault="00E74898" w:rsidP="0081367F">
      <w:pPr>
        <w:pStyle w:val="NoSpacing"/>
        <w:jc w:val="right"/>
        <w:rPr>
          <w:rFonts w:ascii="Times New Roman" w:hAnsi="Times New Roman" w:cs="Times New Roman"/>
          <w:b/>
          <w:bCs/>
          <w:sz w:val="24"/>
          <w:szCs w:val="24"/>
          <w:lang w:val="id-ID"/>
        </w:rPr>
      </w:pPr>
    </w:p>
    <w:p w14:paraId="1371F0C7" w14:textId="77777777" w:rsidR="00E74898" w:rsidRPr="0081367F" w:rsidRDefault="00E74898" w:rsidP="0081367F">
      <w:pPr>
        <w:pStyle w:val="NoSpacing"/>
        <w:jc w:val="right"/>
        <w:rPr>
          <w:rFonts w:ascii="Times New Roman" w:hAnsi="Times New Roman" w:cs="Times New Roman"/>
          <w:b/>
          <w:bCs/>
          <w:sz w:val="24"/>
          <w:szCs w:val="24"/>
          <w:lang w:val="id-ID"/>
        </w:rPr>
      </w:pPr>
    </w:p>
    <w:p w14:paraId="629698A0" w14:textId="77777777" w:rsidR="00AD1223" w:rsidRPr="00AD1223" w:rsidRDefault="00AD1223" w:rsidP="00AD1223">
      <w:pPr>
        <w:pStyle w:val="NoSpacing"/>
        <w:rPr>
          <w:rFonts w:ascii="Times New Roman" w:hAnsi="Times New Roman" w:cs="Times New Roman"/>
          <w:b/>
          <w:bCs/>
          <w:sz w:val="24"/>
          <w:szCs w:val="24"/>
          <w:lang w:val="id-ID"/>
        </w:rPr>
      </w:pPr>
      <w:r>
        <w:rPr>
          <w:rFonts w:ascii="Times New Roman" w:hAnsi="Times New Roman" w:cs="Times New Roman"/>
          <w:b/>
          <w:bCs/>
          <w:sz w:val="24"/>
          <w:szCs w:val="24"/>
          <w:lang w:val="id-ID"/>
        </w:rPr>
        <w:t>ABSTRACT</w:t>
      </w:r>
    </w:p>
    <w:p w14:paraId="466A2524" w14:textId="77777777" w:rsidR="00AD1223" w:rsidRDefault="004A6F92" w:rsidP="00AD1223">
      <w:pPr>
        <w:jc w:val="both"/>
        <w:rPr>
          <w:rFonts w:ascii="Times New Roman" w:hAnsi="Times New Roman" w:cs="Times New Roman"/>
          <w:sz w:val="24"/>
          <w:szCs w:val="24"/>
          <w:lang w:val="id-ID"/>
        </w:rPr>
      </w:pPr>
      <w:r w:rsidRPr="00B34C08">
        <w:rPr>
          <w:rFonts w:asciiTheme="majorBidi" w:hAnsiTheme="majorBidi" w:cstheme="majorBidi"/>
          <w:sz w:val="24"/>
          <w:szCs w:val="24"/>
          <w:lang w:val="id-ID"/>
        </w:rPr>
        <w:t>The empowerment of interactive multimedia by supervisors in conducting coaching is one approach in an effort to improve teacher literacy and numeracy competencies. This study uses a descriptive approach aimed at describing teacher literacy and numeracy competencies. The scope of teacher literacy and numeracy includes the learning environment, learning and assessment, and teacher literacy culture. Respondents were determined using a total sampling approach, namely, 60 Elementary School Teacher respondents who were coached by supervisors through an academic supervision approach in literacy and numeracy training activities. Data collection used a Likert scale questionnaire which was answered based on respondent perceptions and analyzed using a descriptive quantitative approach with a percentage formula. The results of the data analysis found that teacher literacy competencies were in the fairly good category with an achievement level of 83.24% and teacher numeracy competencies were in the less good category with an achievement level of 75.16%. Literacy and numeracy training in the implementation of academic supervision has not been supported by interactive multimedia, thus the development of interactive multimedia is a basic need for supervisors that can be used in academic supervision activities in an effort to strengthen the literacy and numeracy competencies of Elementary School Teachers</w:t>
      </w:r>
      <w:r w:rsidR="00AD1223" w:rsidRPr="00AD1223">
        <w:rPr>
          <w:rFonts w:ascii="Times New Roman" w:hAnsi="Times New Roman" w:cs="Times New Roman"/>
          <w:sz w:val="24"/>
          <w:szCs w:val="24"/>
          <w:lang w:val="id-ID"/>
        </w:rPr>
        <w:t>.</w:t>
      </w:r>
    </w:p>
    <w:p w14:paraId="711FA8F2" w14:textId="77777777" w:rsidR="009F5471" w:rsidRDefault="009F5471" w:rsidP="004A6F92">
      <w:pPr>
        <w:ind w:left="1134" w:hanging="1134"/>
        <w:jc w:val="both"/>
        <w:rPr>
          <w:rFonts w:ascii="Times New Roman" w:hAnsi="Times New Roman" w:cs="Times New Roman"/>
          <w:i/>
          <w:iCs/>
          <w:sz w:val="24"/>
          <w:szCs w:val="24"/>
          <w:lang w:val="id-ID"/>
        </w:rPr>
      </w:pPr>
      <w:r w:rsidRPr="009F5471">
        <w:rPr>
          <w:rFonts w:ascii="Times New Roman" w:hAnsi="Times New Roman" w:cs="Times New Roman"/>
          <w:b/>
          <w:bCs/>
          <w:i/>
          <w:iCs/>
          <w:sz w:val="24"/>
          <w:szCs w:val="24"/>
          <w:lang w:val="id-ID"/>
        </w:rPr>
        <w:t>Keywords:</w:t>
      </w:r>
      <w:r w:rsidRPr="009F5471">
        <w:rPr>
          <w:rFonts w:ascii="Times New Roman" w:hAnsi="Times New Roman" w:cs="Times New Roman"/>
          <w:i/>
          <w:iCs/>
          <w:sz w:val="24"/>
          <w:szCs w:val="24"/>
          <w:lang w:val="id-ID"/>
        </w:rPr>
        <w:t xml:space="preserve"> Strengthening</w:t>
      </w:r>
      <w:r w:rsidR="004A6F92">
        <w:rPr>
          <w:rFonts w:ascii="Times New Roman" w:hAnsi="Times New Roman" w:cs="Times New Roman"/>
          <w:i/>
          <w:iCs/>
          <w:sz w:val="24"/>
          <w:szCs w:val="24"/>
          <w:lang w:val="id-ID"/>
        </w:rPr>
        <w:t>;</w:t>
      </w:r>
      <w:r w:rsidRPr="009F5471">
        <w:rPr>
          <w:rFonts w:ascii="Times New Roman" w:hAnsi="Times New Roman" w:cs="Times New Roman"/>
          <w:i/>
          <w:iCs/>
          <w:sz w:val="24"/>
          <w:szCs w:val="24"/>
          <w:lang w:val="id-ID"/>
        </w:rPr>
        <w:t xml:space="preserve"> Competence Teacher Literacy and Numeracy; Academic Supervision; Interactive Multimedia</w:t>
      </w:r>
    </w:p>
    <w:p w14:paraId="66A14811" w14:textId="77777777" w:rsidR="004A6F92" w:rsidRDefault="004A6F92" w:rsidP="004A6F92">
      <w:pPr>
        <w:ind w:left="1134" w:hanging="1134"/>
        <w:jc w:val="both"/>
        <w:rPr>
          <w:rFonts w:ascii="Times New Roman" w:hAnsi="Times New Roman" w:cs="Times New Roman"/>
          <w:sz w:val="24"/>
          <w:szCs w:val="24"/>
          <w:lang w:val="id-ID"/>
        </w:rPr>
      </w:pPr>
    </w:p>
    <w:p w14:paraId="5456B3A1" w14:textId="77777777" w:rsidR="004A6F92" w:rsidRDefault="004A6F92" w:rsidP="004A6F92">
      <w:pPr>
        <w:ind w:left="1134" w:hanging="1134"/>
        <w:jc w:val="both"/>
        <w:rPr>
          <w:rFonts w:ascii="Times New Roman" w:hAnsi="Times New Roman" w:cs="Times New Roman"/>
          <w:sz w:val="24"/>
          <w:szCs w:val="24"/>
          <w:lang w:val="id-ID"/>
        </w:rPr>
      </w:pPr>
    </w:p>
    <w:p w14:paraId="1D360035" w14:textId="77777777" w:rsidR="004A6F92" w:rsidRDefault="004A6F92" w:rsidP="004A6F92">
      <w:pPr>
        <w:ind w:left="1134" w:hanging="1134"/>
        <w:jc w:val="both"/>
        <w:rPr>
          <w:rFonts w:ascii="Times New Roman" w:hAnsi="Times New Roman" w:cs="Times New Roman"/>
          <w:sz w:val="24"/>
          <w:szCs w:val="24"/>
          <w:lang w:val="id-ID"/>
        </w:rPr>
      </w:pPr>
    </w:p>
    <w:p w14:paraId="3BB2A721" w14:textId="77777777" w:rsidR="004A6F92" w:rsidRDefault="004A6F92" w:rsidP="004A6F92">
      <w:pPr>
        <w:ind w:left="1134" w:hanging="1134"/>
        <w:jc w:val="both"/>
        <w:rPr>
          <w:rFonts w:ascii="Times New Roman" w:hAnsi="Times New Roman" w:cs="Times New Roman"/>
          <w:sz w:val="24"/>
          <w:szCs w:val="24"/>
          <w:lang w:val="id-ID"/>
        </w:rPr>
      </w:pPr>
    </w:p>
    <w:p w14:paraId="4FC26777" w14:textId="471DAF94" w:rsidR="004A6F92" w:rsidRDefault="003217E1" w:rsidP="004A6F92">
      <w:pPr>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Introdction </w:t>
      </w:r>
    </w:p>
    <w:p w14:paraId="70082F32" w14:textId="77777777" w:rsidR="00F041EC" w:rsidRDefault="00F041EC" w:rsidP="00123D55">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Teachers with high literacy and numeracy skills are more open to innovating and adapting in learning. Analysis of literacy and numeracy competencies of teachers in elementary schools is very important to find out the extent to which teachers' competence in these two aspect</w:t>
      </w:r>
      <w:r w:rsidR="00123D55">
        <w:rPr>
          <w:rFonts w:ascii="Times New Roman" w:hAnsi="Times New Roman" w:cs="Times New Roman"/>
          <w:sz w:val="24"/>
          <w:szCs w:val="24"/>
          <w:lang w:val="id-ID"/>
        </w:rPr>
        <w:t xml:space="preserve">s can </w:t>
      </w:r>
      <w:r w:rsidR="00123D55">
        <w:rPr>
          <w:rFonts w:ascii="Times New Roman" w:hAnsi="Times New Roman" w:cs="Times New Roman"/>
          <w:sz w:val="24"/>
          <w:szCs w:val="24"/>
          <w:lang w:val="id-ID"/>
        </w:rPr>
        <w:lastRenderedPageBreak/>
        <w:t>support educational goals</w:t>
      </w:r>
      <w:r w:rsidR="00123D55">
        <w:rPr>
          <w:rFonts w:ascii="Times New Roman" w:eastAsia="Times New Roman" w:hAnsi="Times New Roman" w:cs="Times New Roman"/>
          <w:sz w:val="24"/>
          <w:szCs w:val="24"/>
        </w:rPr>
        <w:t xml:space="preserve">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rPr>
        <w:instrText>ADDIN CSL_CITATION {"citationItems":[{"id":"ITEM-1","itemData":{"author":[{"dropping-particle":"","family":"Purnomo","given":"Yoppy Wahyu","non-dropping-particle":"","parse-names":false,"suffix":""},{"dropping-particle":"","family":"Prananto","given":"Irfan Wahyu","non-dropping-particle":"","parse-names":false,"suffix":""},{"dropping-particle":"","family":"Sayekti","given":"Octavian Muning","non-dropping-particle":"","parse-names":false,"suffix":""},{"dropping-particle":"","family":"Sulistyani","given":"Nawang","non-dropping-particle":"","parse-names":false,"suffix":""}],"id":"ITEM-1","issue":"5","issued":{"date-parts":[["2024"]]},"page":"4-10","title":"PENDAMPINGAN PENYUSUNAN MILIEU PRAKTIK MENGAJAR GURU BERBASIS RISET UNTUK MENINGKATKAN KEMAMPUAN","type":"article-journal","volume":"8"},"uris":["http://www.mendeley.com/documents/?uuid=650f2803-de61-488b-93cd-987bfc56d564"]}],"mendeley":{"formattedCitation":"(Purnomo et al., 2024)","manualFormatting":"(Purnomo et al, 2024)","plainTextFormattedCitation":"(Purnomo et al., 2024)","previouslyFormattedCitation":"(Purnomo et al., 2024)"},"properties":{"noteIndex":0},"schema":"https://github.com/citation-style-language/schema/raw/master/csl-citation.json"}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Pr>
          <w:rFonts w:ascii="Times New Roman" w:eastAsia="Times New Roman" w:hAnsi="Times New Roman" w:cs="Times New Roman"/>
          <w:noProof/>
          <w:sz w:val="24"/>
          <w:szCs w:val="24"/>
        </w:rPr>
        <w:t>(Purnomo et al, 2024</w:t>
      </w:r>
      <w:r w:rsidR="00123D55">
        <w:rPr>
          <w:rFonts w:ascii="Times New Roman" w:eastAsia="Times New Roman" w:hAnsi="Times New Roman" w:cs="Times New Roman"/>
          <w:sz w:val="24"/>
          <w:szCs w:val="24"/>
        </w:rPr>
        <w:fldChar w:fldCharType="end"/>
      </w:r>
      <w:r w:rsidR="00123D55">
        <w:rPr>
          <w:rFonts w:ascii="Times New Roman" w:eastAsia="Times New Roman" w:hAnsi="Times New Roman" w:cs="Times New Roman"/>
          <w:sz w:val="24"/>
          <w:szCs w:val="24"/>
          <w:lang w:val="id-ID"/>
        </w:rPr>
        <w:t>;</w:t>
      </w:r>
      <w:r w:rsidR="00123D55">
        <w:rPr>
          <w:rFonts w:ascii="Times New Roman" w:eastAsia="Times New Roman" w:hAnsi="Times New Roman" w:cs="Times New Roman"/>
          <w:sz w:val="24"/>
          <w:szCs w:val="24"/>
        </w:rPr>
        <w:t xml:space="preserve">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rPr>
        <w:instrText>ADDIN CSL_CITATION {"citationItems":[{"id":"ITEM-1","itemData":{"author":[{"dropping-particle":"","family":"Sinaga","given":"Maria Elisabet","non-dropping-particle":"","parse-names":false,"suffix":""},{"dropping-particle":"","family":"Simanjorang","given":"Mangaratua M","non-dropping-particle":"","parse-names":false,"suffix":""}],"id":"ITEM-1","issue":"2","issued":{"date-parts":[["2024"]]},"page":"178-186","title":"YANG MENGIMPLEMENTASIKAN KURIKULUM MERDEKA ANALYSIS OF THE NUMERACY LITERACY ABILITY OF PARMAKSIAN 1 PUBLIC HIGH SCHOOL STUDENTS WHO IMPLEMENT THE INDEPENDENT CURRICULUM","type":"article-journal","volume":"10"},"uris":["http://www.mendeley.com/documents/?uuid=0ac3fd2c-de65-48f4-9663-04d158339c3d"]}],"mendeley":{"formattedCitation":"(Sinaga &amp; Simanjorang, 2024)","plainTextFormattedCitation":"(Sinaga &amp; Simanjorang, 2024)","previouslyFormattedCitation":"(Sinaga &amp; Simanjorang, 2024)"},"properties":{"noteIndex":0},"schema":"https://github.com/citation-style-language/schema/raw/master/csl-citation.json"}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Pr>
          <w:rFonts w:ascii="Times New Roman" w:eastAsia="Times New Roman" w:hAnsi="Times New Roman" w:cs="Times New Roman"/>
          <w:noProof/>
          <w:sz w:val="24"/>
          <w:szCs w:val="24"/>
        </w:rPr>
        <w:t>Sinaga &amp; Simanjorang, 2024)</w:t>
      </w:r>
      <w:r w:rsidR="00123D55">
        <w:rPr>
          <w:rFonts w:ascii="Times New Roman" w:eastAsia="Times New Roman" w:hAnsi="Times New Roman" w:cs="Times New Roman"/>
          <w:sz w:val="24"/>
          <w:szCs w:val="24"/>
        </w:rPr>
        <w:fldChar w:fldCharType="end"/>
      </w:r>
      <w:r w:rsidR="00123D55">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Literacy is a basic ability in responding to problems in the development and implementation of learning. With literacy skills, teachers can assist students to access, use, interpret and communicate knowledge through various texts according to the needs of students Teachers who have high literacy skills can more easily teach reading and writing skills in an effective method </w:t>
      </w:r>
      <w:r w:rsidR="00123D55">
        <w:rPr>
          <w:rFonts w:ascii="Times New Roman" w:eastAsia="Times New Roman" w:hAnsi="Times New Roman" w:cs="Times New Roman"/>
          <w:sz w:val="24"/>
          <w:szCs w:val="24"/>
        </w:rPr>
        <w:fldChar w:fldCharType="begin" w:fldLock="1"/>
      </w:r>
      <w:r w:rsidR="00123D55">
        <w:rPr>
          <w:rFonts w:ascii="Times New Roman" w:eastAsia="Times New Roman" w:hAnsi="Times New Roman" w:cs="Times New Roman"/>
          <w:sz w:val="24"/>
          <w:szCs w:val="24"/>
          <w:lang w:val="id-ID"/>
        </w:rPr>
        <w:instrText>ADDIN CSL_CITATION {"citationItems":[{"id":"ITEM-1","itemData":{"abstract":"Belakangan ini Batu Urip di tetapkan sebagai kampung budaya oleh pemerintah kota Lubuklinggau hal ini di karenakan Batu Urip merupakan penduduk atau masyarakat asli pribumi kota Lubuklinggau. Batu Urip mempunyai ragam tradisi turun temurun sejak nenek moyang samapai saat ini diantaranya tradisi sedekah rame, mandi kasai, senjang, berejong, bepanton, nandai, tari, naek yang kule dan permainan tradisonal. Permainan tradisional yang dimiliki mayarakat Batu Urip sangat beragam bentuk permainannya, diantaranya teropa hayak, pana teropa, satulage, betu goreng, ijat kemeleng, beteng, pistol bolo, rekek, beranyot batang pisang, nyoknyen, taji ijat dian, boor, tekar, yekye, bedak ijat para, balap ban, bedel bolo, balap ope, bras, pistol ayo, layang-layang, bedel pelpa pisang, wayang, yakyun, mbukmbang, geseng, yoyok, coket, moyen betu dan masih ada beberapa permainan yang lainnya. Pengabdian ini dilaksanakan berbagai tahapan yang pertama memberikan arahan kepada anak-anak yang nantinya di jadikan sebagai sampel dalam pendokumentasian, kemudian menjelaskan dan memberi materi permainan yang akan di dokumentasikan. Lalu mempraktekan permainan yang akan di dokumentasikan. Kami berharap setiap orang dan dari setiap wilayah di Indonesia ikut andil dalam melestarikan budaya peninggalan berupa permainan rakyat dan olahraga tradisional disetiap daerah","author":[{"dropping-particle":"","family":"Syafutra","given":"Wawan","non-dropping-particle":"","parse-names":false,"suffix":""},{"dropping-particle":"","family":"Remora","given":"Hengky","non-dropping-particle":"","parse-names":false,"suffix":""},{"dropping-particle":"","family":"Sovensi","given":"Ever","non-dropping-particle":"","parse-names":false,"suffix":""}],"container-title":"Jurnal Pengabdian Pendidikan Masyarakat (JPPM)","id":"ITEM-1","issue":"2","issued":{"date-parts":[["2022"]]},"page":"108-118","title":"Jurnal Pengabdian Pendidikan Masyarakat ( JPPM ) Jurnal Pengabdian Pendidikan Masyarakat ( JPPM )","type":"article-journal","volume":"3"},"uris":["http://www.mendeley.com/documents/?uuid=5690a507-4db5-4076-8878-5d92f570948d"]}],"mendeley":{"formattedCitation":"(Syafutra et al., 2022)","plainTextFormattedCitation":"(Syafutra et al., 2022)","previouslyFormattedCitation":"(Syafutra et al., 2022)"},"properties":{"noteIndex":0},"schema":"https://github.com/citation-style-language/schema/raw/master/csl-citation.json"}</w:instrText>
      </w:r>
      <w:r w:rsidR="00123D55">
        <w:rPr>
          <w:rFonts w:ascii="Times New Roman" w:eastAsia="Times New Roman" w:hAnsi="Times New Roman" w:cs="Times New Roman"/>
          <w:sz w:val="24"/>
          <w:szCs w:val="24"/>
        </w:rPr>
        <w:fldChar w:fldCharType="separate"/>
      </w:r>
      <w:r w:rsidR="00123D55" w:rsidRPr="00C90233">
        <w:rPr>
          <w:rFonts w:ascii="Times New Roman" w:eastAsia="Times New Roman" w:hAnsi="Times New Roman" w:cs="Times New Roman"/>
          <w:noProof/>
          <w:sz w:val="24"/>
          <w:szCs w:val="24"/>
          <w:lang w:val="id-ID"/>
        </w:rPr>
        <w:t>(Syafutra et al., 2022)</w:t>
      </w:r>
      <w:r w:rsidR="00123D55">
        <w:rPr>
          <w:rFonts w:ascii="Times New Roman" w:eastAsia="Times New Roman" w:hAnsi="Times New Roman" w:cs="Times New Roman"/>
          <w:sz w:val="24"/>
          <w:szCs w:val="24"/>
        </w:rPr>
        <w:fldChar w:fldCharType="end"/>
      </w:r>
      <w:r w:rsidR="00123D55" w:rsidRPr="00C90233">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While numeracy is a skill related to counting and measuring, </w:t>
      </w:r>
      <w:r w:rsidR="00123D55">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DOI":"10.47709/educendikia.v2i02.1606","author":[{"dropping-particle":"","family":"Widiastuti","given":"Desi","non-dropping-particle":"","parse-names":false,"suffix":""},{"dropping-particle":"","family":"Ahmad","given":"Mulyadiprana","non-dropping-particle":"","parse-names":false,"suffix":""},{"dropping-particle":"","family":"Nugraha","given":"Akhmad","non-dropping-particle":"","parse-names":false,"suffix":""}],"container-title":"Edu Cendikia: Jurnal Ilmiah Kependidikan","id":"ITEM-1","issue":"02","issued":{"date-parts":[["2022"]]},"page":"248–257","title":"Pembelajaran berbasis literasi dan numerasi di kelas IV sekolah dasar","type":"article-journal","volume":"2"},"uris":["http://www.mendeley.com/documents/?uuid=f534d4e3-6a24-4871-99b0-af268c3b67a1"]}],"mendeley":{"formattedCitation":"(Widiastuti et al., 2022)","plainTextFormattedCitation":"(Widiastuti et al., 2022)","previouslyFormattedCitation":"(Widiastuti et al., 2022)"},"properties":{"noteIndex":0},"schema":"https://github.com/citation-style-language/schema/raw/master/csl-citation.json"}</w:instrText>
      </w:r>
      <w:r w:rsidR="00123D55">
        <w:rPr>
          <w:rFonts w:ascii="Times New Roman" w:eastAsia="Times New Roman" w:hAnsi="Times New Roman" w:cs="Times New Roman"/>
          <w:sz w:val="24"/>
          <w:szCs w:val="24"/>
          <w:lang w:val="id-ID"/>
        </w:rPr>
        <w:fldChar w:fldCharType="separate"/>
      </w:r>
      <w:r w:rsidR="00123D55" w:rsidRPr="0035260E">
        <w:rPr>
          <w:rFonts w:ascii="Times New Roman" w:eastAsia="Times New Roman" w:hAnsi="Times New Roman" w:cs="Times New Roman"/>
          <w:noProof/>
          <w:sz w:val="24"/>
          <w:szCs w:val="24"/>
          <w:lang w:val="id-ID"/>
        </w:rPr>
        <w:t>(Widiastuti et al., 2022)</w:t>
      </w:r>
      <w:r w:rsidR="00123D55">
        <w:rPr>
          <w:rFonts w:ascii="Times New Roman" w:eastAsia="Times New Roman" w:hAnsi="Times New Roman" w:cs="Times New Roman"/>
          <w:sz w:val="24"/>
          <w:szCs w:val="24"/>
          <w:lang w:val="id-ID"/>
        </w:rPr>
        <w:fldChar w:fldCharType="end"/>
      </w:r>
      <w:r w:rsidR="00123D55">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Teachers' numeracy skills are the ability to think with a conceptual approach, procedures, facts and tools to solve problems numerically with various types of contexts relevant to the needs of students, </w:t>
      </w:r>
      <w:r w:rsidR="00123D55">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ISBN":"9786239562533","author":[{"dropping-particle":"","family":"Dewayani","given":"S","non-dropping-particle":"","parse-names":false,"suffix":""},{"dropping-particle":"","family":"Retnaningdyah","given":"P","non-dropping-particle":"","parse-names":false,"suffix":""},{"dropping-particle":"","family":"Susanti","given":"D.","non-dropping-particle":"","parse-names":false,"suffix":""},{"dropping-particle":"","family":"Antoro","given":"B","non-dropping-particle":"","parse-names":false,"suffix":""}],"id":"ITEM-1","issued":{"date-parts":[["2021"]]},"number-of-pages":"25-28","title":"Panduan Penguatan Literasi &amp; Numerisasi Di Sekolah","type":"book"},"uris":["http://www.mendeley.com/documents/?uuid=357764c6-ca62-4da9-8bcf-e516441f840d"]},{"id":"ITEM-2","itemData":{"DOI":"10.31004/basicedu.v5i5.1341","author":[{"dropping-particle":"","family":"Maghfiroh","given":"Fadhilah Lailatul","non-dropping-particle":"","parse-names":false,"suffix":""},{"dropping-particle":"","family":"Amin","given":"Siti Maghfirotun","non-dropping-particle":"","parse-names":false,"suffix":""},{"dropping-particle":"","family":"Ibrahim","given":"Muslimin","non-dropping-particle":"","parse-names":false,"suffix":""},{"dropping-particle":"","family":"Hartatik","given":"Sri","non-dropping-particle":"","parse-names":false,"suffix":""}],"container-title":"Jurnal Basicedu","id":"ITEM-2","issue":"5","issued":{"date-parts":[["2021"]]},"page":"3342–3351","title":"Keefektifan Pendekatan Pendidikan Matematika Realistik Indonesia terhadap Kemampuan Literasi Numerasi Siswa di Sekolah Dasar","type":"article-journal","volume":"5"},"uris":["http://www.mendeley.com/documents/?uuid=2096d967-1ca4-4aa4-8b79-06a2a66ba8e7"]}],"mendeley":{"formattedCitation":"(Dewayani et al., 2021; Maghfiroh et al., 2021)","plainTextFormattedCitation":"(Dewayani et al., 2021; Maghfiroh et al., 2021)","previouslyFormattedCitation":"(Dewayani et al., 2021; Maghfiroh et al., 2021)"},"properties":{"noteIndex":0},"schema":"https://github.com/citation-style-language/schema/raw/master/csl-citation.json"}</w:instrText>
      </w:r>
      <w:r w:rsidR="00123D55">
        <w:rPr>
          <w:rFonts w:ascii="Times New Roman" w:eastAsia="Times New Roman" w:hAnsi="Times New Roman" w:cs="Times New Roman"/>
          <w:sz w:val="24"/>
          <w:szCs w:val="24"/>
          <w:lang w:val="id-ID"/>
        </w:rPr>
        <w:fldChar w:fldCharType="separate"/>
      </w:r>
      <w:r w:rsidR="00123D55" w:rsidRPr="0035260E">
        <w:rPr>
          <w:rFonts w:ascii="Times New Roman" w:eastAsia="Times New Roman" w:hAnsi="Times New Roman" w:cs="Times New Roman"/>
          <w:noProof/>
          <w:sz w:val="24"/>
          <w:szCs w:val="24"/>
          <w:lang w:val="id-ID"/>
        </w:rPr>
        <w:t>(Dewayani et al., 2021; Maghfiroh et al., 2021)</w:t>
      </w:r>
      <w:r w:rsidR="00123D55">
        <w:rPr>
          <w:rFonts w:ascii="Times New Roman" w:eastAsia="Times New Roman" w:hAnsi="Times New Roman" w:cs="Times New Roman"/>
          <w:sz w:val="24"/>
          <w:szCs w:val="24"/>
          <w:lang w:val="id-ID"/>
        </w:rPr>
        <w:fldChar w:fldCharType="end"/>
      </w:r>
      <w:r w:rsidR="00123D55">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Numeracy skills are very important because they are closely related to community life, </w:t>
      </w:r>
      <w:r w:rsidR="00123D55" w:rsidRPr="007A6956">
        <w:rPr>
          <w:rFonts w:ascii="Times New Roman" w:eastAsia="Times New Roman" w:hAnsi="Times New Roman" w:cs="Times New Roman"/>
          <w:sz w:val="24"/>
          <w:szCs w:val="24"/>
          <w:lang w:val="id-ID"/>
        </w:rPr>
        <w:fldChar w:fldCharType="begin" w:fldLock="1"/>
      </w:r>
      <w:r w:rsidR="00123D55">
        <w:rPr>
          <w:rFonts w:ascii="Times New Roman" w:eastAsia="Times New Roman" w:hAnsi="Times New Roman" w:cs="Times New Roman"/>
          <w:sz w:val="24"/>
          <w:szCs w:val="24"/>
          <w:lang w:val="id-ID"/>
        </w:rPr>
        <w:instrText>ADDIN CSL_CITATION {"citationItems":[{"id":"ITEM-1","itemData":{"author":[{"dropping-particle":"","family":"Nurjanah","given":"Maya","non-dropping-particle":"","parse-names":false,"suffix":""},{"dropping-particle":"","family":"Dewi","given":"Diah Tara","non-dropping-particle":"","parse-names":false,"suffix":""},{"dropping-particle":"","family":"Fathan","given":"Kukuh Maulana","non-dropping-particle":"Al","parse-names":false,"suffix":""},{"dropping-particle":"","family":"Mawardini","given":"Intan Dewi","non-dropping-particle":"","parse-names":false,"suffix":""}],"container-title":"Muallimuna: Jurnal Madrasah Ibtidaiyah","id":"ITEM-1","issue":"2","issued":{"date-parts":[["2022"]]},"page":"87-98","title":"Literasi numerasi dalam pembelajaran tematik siswa kelas 3 SD/MI","type":"article-journal","volume":"7"},"uris":["http://www.mendeley.com/documents/?uuid=9427c0b0-2dfa-422f-a3f0-66aa4039477b"]},{"id":"ITEM-2","itemData":{"author":[{"dropping-particle":"","family":"Munahefi","given":"Detalia Noriza","non-dropping-particle":"","parse-names":false,"suffix":""},{"dropping-particle":"","family":"Lestari","given":"Firdha Dwi","non-dropping-particle":"","parse-names":false,"suffix":""},{"dropping-particle":"","family":"Mashuri","given":"Mashuri","non-dropping-particle":"","parse-names":false,"suffix":""},{"dropping-particle":"","family":"Kharisudin","given":"Iqbal","non-dropping-particle":"","parse-names":false,"suffix":""}],"container-title":"PRISMA, Prosiding Seminar Nasional Matematika","id":"ITEM-2","issued":{"date-parts":[["2023"]]},"page":"663-669","title":"Pengembangan kemampuan literasi numerasi melalui pembelajaran tematik terintegrasi berbasis proyek","type":"paper-conference","volume":"6"},"uris":["http://www.mendeley.com/documents/?uuid=4b7e5d32-51fa-4dfc-a552-b3f5897821c2"]}],"mendeley":{"formattedCitation":"(Munahefi et al., 2023; Nurjanah et al., 2022)","plainTextFormattedCitation":"(Munahefi et al., 2023; Nurjanah et al., 2022)","previouslyFormattedCitation":"(Munahefi et al., 2023; Nurjanah et al., 2022)"},"properties":{"noteIndex":0},"schema":"https://github.com/citation-style-language/schema/raw/master/csl-citation.json"}</w:instrText>
      </w:r>
      <w:r w:rsidR="00123D55" w:rsidRPr="007A6956">
        <w:rPr>
          <w:rFonts w:ascii="Times New Roman" w:eastAsia="Times New Roman" w:hAnsi="Times New Roman" w:cs="Times New Roman"/>
          <w:sz w:val="24"/>
          <w:szCs w:val="24"/>
          <w:lang w:val="id-ID"/>
        </w:rPr>
        <w:fldChar w:fldCharType="separate"/>
      </w:r>
      <w:r w:rsidR="00123D55" w:rsidRPr="007204F6">
        <w:rPr>
          <w:rFonts w:ascii="Times New Roman" w:eastAsia="Times New Roman" w:hAnsi="Times New Roman" w:cs="Times New Roman"/>
          <w:noProof/>
          <w:sz w:val="24"/>
          <w:szCs w:val="24"/>
          <w:lang w:val="id-ID"/>
        </w:rPr>
        <w:t>(Munahefi et al., 2023; Nurjanah et al., 2022)</w:t>
      </w:r>
      <w:r w:rsidR="00123D55" w:rsidRPr="007A6956">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With numeracy skills, teachers can carry out numerically-oriented learning critically by engaging attention to the relationships that exist in the field of knowledge and exploring ways to overcome learning problems that are carried out into empowering experiences.</w:t>
      </w:r>
    </w:p>
    <w:p w14:paraId="050791BF" w14:textId="77777777"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Literacy and numeracy competencies are two important aspects that must be possessed by every teacher</w:t>
      </w:r>
      <w:r w:rsidR="002F5EEA">
        <w:rPr>
          <w:rFonts w:ascii="Times New Roman" w:hAnsi="Times New Roman" w:cs="Times New Roman"/>
          <w:sz w:val="24"/>
          <w:szCs w:val="24"/>
          <w:lang w:val="id-ID"/>
        </w:rPr>
        <w:t xml:space="preserve">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{"citationItems":[{"id":"ITEM-1","itemData":{"DOI":"10.53769/jai.v4i2.726","author":[{"dropping-particle":"","family":"Murtafiah","given":"Wasilatul","non-dropping-particle":"","parse-names":false,"suffix":""},{"dropping-particle":"","family":"Pratiwi","given":"Cerianing Putri","non-dropping-particle":"","parse-names":false,"suffix":""},{"dropping-particle":"","family":"Listiani","given":"Iva Yuni","non-dropping-particle":"","parse-names":false,"suffix":""},{"dropping-particle":"","family":"Krisdiana","given":"Ika","non-dropping-particle":"","parse-names":false,"suffix":""},{"dropping-particle":"","family":"Setyansah","given":"Reza Kusuma","non-dropping-particle":"","parse-names":false,"suffix":""},{"dropping-particle":"","family":"Masfingatin","given":"Titin","non-dropping-particle":"","parse-names":false,"suffix":""}],"container-title":"Jurnal Abdimas Indonesia","id":"ITEM-1","issue":"2","issued":{"date-parts":[["2024"]]},"page":"430-443","title":"Pendampingan Guru Dalam Mengembangkan Kemampuan Literasi Dan Numerasi Peserta Didik Di SDN Kebon 1","type":"article-journal","volume":"4"},"uris":["http://www.mendeley.com/documents/?uuid=570dc39a-d73b-4cc0-8ca9-bac0a1a05e3b"]}],"mendeley":{"formattedCitation":"(Murtafiah et al., 2024)","plainTextFormattedCitation":"(Murtafiah et al., 2024)","previouslyFormattedCitation":"(Murtafiah et al., 2024)"},"properties":{"noteIndex":0},"schema":"https://github.com/citation-style-language/schema/raw/master/csl-citation.json"}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(Murtafiah et al., 2024)</w:t>
      </w:r>
      <w:r w:rsidR="002F5EEA">
        <w:rPr>
          <w:rFonts w:ascii="Times New Roman" w:eastAsia="Times New Roman" w:hAnsi="Times New Roman" w:cs="Times New Roman"/>
          <w:sz w:val="24"/>
          <w:szCs w:val="24"/>
          <w:lang w:val="id-ID"/>
        </w:rPr>
        <w:fldChar w:fldCharType="end"/>
      </w:r>
      <w:r w:rsidR="002F5EEA">
        <w:rPr>
          <w:rFonts w:ascii="Times New Roman" w:eastAsia="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especially elementary school teachers, in order to improve the quality of education. Teachers who have literacy and numeracy skills can recognize the varied needs of students and provide appropriate support in developing students' potential. Literacy and numeracy competencies can affect the student learning process more optimally </w:t>
      </w:r>
      <w:r w:rsidR="002F5EEA">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rPr>
        <w:instrText>ADDIN CSL_CITATION {"citationItems":[{"id":"ITEM-1","itemData":{"author":[{"dropping-particle":"","family":"Mea","given":"Firmina","non-dropping-particle":"","parse-names":false,"suffix":""},{"dropping-particle":"","family":"Tinggi","given":"Sekolah","non-dropping-particle":"","parse-names":false,"suffix":""},{"dropping-particle":"","family":"Kristen","given":"Agama","non-dropping-particle":"","parse-names":false,"suffix":""},{"dropping-particle":"","family":"Bangsa","given":"Anak","non-dropping-particle":"","parse-names":false,"suffix":""},{"dropping-particle":"","family":"Guru","given":"Kreativitas","non-dropping-particle":"","parse-names":false,"suffix":""},{"dropping-particle":"","family":"Guru","given":"Inovasi","non-dropping-particle":"","parse-names":false,"suffix":""},{"dropping-particle":"","family":"Dinamis","given":"Kelas","non-dropping-particle":"","parse-names":false,"suffix":""}],"id":"ITEM-1","issue":"3","issued":{"date-parts":[["2024"]]},"page":"252-275","title":"KREATIVITAS DAN INOVASI GURU DALAM MENCIPTAKAN","type":"article-journal","volume":"4"},"uris":["http://www.mendeley.com/documents/?uuid=7b6c8413-f7f9-497f-a8f0-1487c7205ba1"]}],"mendeley":{"formattedCitation":"(Mea et al., 2024)","plainTextFormattedCitation":"(Mea et al., 2024)","previouslyFormattedCitation":"(Mea et al., 2024)"},"properties":{"noteIndex":0},"schema":"https://github.com/citation-style-language/schema/raw/master/csl-citation.json"}</w:instrText>
      </w:r>
      <w:r w:rsidR="002F5EEA">
        <w:rPr>
          <w:rFonts w:ascii="Times New Roman" w:eastAsia="Times New Roman" w:hAnsi="Times New Roman" w:cs="Times New Roman"/>
          <w:sz w:val="24"/>
          <w:szCs w:val="24"/>
        </w:rPr>
        <w:fldChar w:fldCharType="separate"/>
      </w:r>
      <w:r w:rsidR="002F5EEA">
        <w:rPr>
          <w:rFonts w:ascii="Times New Roman" w:eastAsia="Times New Roman" w:hAnsi="Times New Roman" w:cs="Times New Roman"/>
          <w:noProof/>
          <w:sz w:val="24"/>
          <w:szCs w:val="24"/>
        </w:rPr>
        <w:t>(Mea et al., 2024)</w:t>
      </w:r>
      <w:r w:rsidR="002F5EEA">
        <w:rPr>
          <w:rFonts w:ascii="Times New Roman" w:eastAsia="Times New Roman" w:hAnsi="Times New Roman" w:cs="Times New Roman"/>
          <w:sz w:val="24"/>
          <w:szCs w:val="24"/>
        </w:rPr>
        <w:fldChar w:fldCharType="end"/>
      </w:r>
      <w:r w:rsidRPr="00F041EC">
        <w:rPr>
          <w:rFonts w:ascii="Times New Roman" w:hAnsi="Times New Roman" w:cs="Times New Roman"/>
          <w:sz w:val="24"/>
          <w:szCs w:val="24"/>
          <w:lang w:val="id-ID"/>
        </w:rPr>
        <w:t>. Teachers can understand the development of students and use relevant learning methods and provide assistance to students who have learning difficulties.</w:t>
      </w:r>
    </w:p>
    <w:p w14:paraId="0E6EF42D" w14:textId="77777777"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 xml:space="preserve">The problem that occurs is that teachers have difficulty determining differences in students' cognitive levels,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10.5281/zenodo.4659018","author":[{"dropping-particle":"","family":"Winarti","given":"Winarti","non-dropping-particle":"","parse-names":false,"suffix":""},{"dropping-particle":"","family":"Hairida","given":"Hairida","non-dropping-particle":"","parse-names":false,"suffix":""},{"dropping-particle":"","family":"Lestari","given":"Ira","non-dropping-particle":"","parse-names":false,"suffix":""}],"container-title":"Jurnal Ilmiah Wahana Pendidikan","id":"ITEM-1","issue":"2","issued":{"date-parts":[["2021"]]},"page":"108-115","title":"Deskripsi Kemampuan Guru Membuat Soal Berdasarkan Pada Kurikulum 2013 di Sekolah Menengah Atas Kabupaten Landak","type":"article-journal","volume":"7"},"uris":["http://www.mendeley.com/documents/?uuid=ca75e666-584d-4df8-aa02-b79da0b8febf"]}],"mendeley":{"formattedCitation":"(Winarti et al., 2021)","plainTextFormattedCitation":"(Winarti et al., 2021)","previouslyFormattedCitation":"(Winarti et al., 2021)"},"properties":{"noteIndex":0},"schema":"https://github.com/citation-style-language/schema/raw/master/csl-citation.json"}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(Winarti et al., 2021)</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Some teachers are still unable to compile literacy and numeracy questions,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DOI":"10.47709/educendikia.v2i02.1587","author":[{"dropping-particle":"","family":"Ardellea","given":"Fiona","non-dropping-particle":"","parse-names":false,"suffix":""},{"dropping-particle":"","family":"Hamdu","given":"Ghullam","non-dropping-particle":"","parse-names":false,"suffix":""}],"container-title":"Edu Cendikia: Jurnal Ilmiah Kependidikan","id":"ITEM-1","issue":"02","issued":{"date-parts":[["2022"]]},"page":"220–227","title":"Pentingnya Kemampuan Guru Sekolah Dasar dalam Mengembangkan Soal Tes Literasi dan Numerasi Berbasis Education for Sustainable Development (ESD)","type":"article-journal","volume":"2"},"uris":["http://www.mendeley.com/documents/?uuid=2636f4e4-5bac-498e-a3ee-33f4281723d5"]}],"mendeley":{"formattedCitation":"(Ardellea &amp; Hamdu, 2022)","plainTextFormattedCitation":"(Ardellea &amp; Hamdu, 2022)","previouslyFormattedCitation":"(Ardellea &amp; Hamdu, 2022)"},"properties":{"noteIndex":0},"schema":"https://github.com/citation-style-language/schema/raw/master/csl-citation.json"}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(Ardellea &amp; Hamdu, 2022)</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Teachers' literacy and numeracy skills are included in the learning loss category, </w:t>
      </w:r>
      <w:r w:rsidR="002F5EEA">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{"citationItems":[{"id":"ITEM-1","itemData":{"author":[{"dropping-particle":"","family":"Salvia","given":"Nayla Ziva","non-dropping-particle":"","parse-names":false,"suffix":""},{"dropping-particle":"","family":"Sabrina","given":"Fadya Putri","non-dropping-particle":"","parse-names":false,"suffix":""},{"dropping-particle":"","family":"Maula","given":"Ismilah","non-dropping-particle":"","parse-names":false,"suffix":""}],"container-title":"ProSANDIKA UNIKAL (Prosiding Seminar Nasional Pendidikan Matematika Universitas Pekalongan)","id":"ITEM-1","issue":"1","issued":{"date-parts":[["2022"]]},"page":"351-360","title":"Analisis kemampuan literasi numerasi peserta didik ditinjau dari kecemasan matematika","type":"paper-conference","volume":"3"},"uris":["http://www.mendeley.com/documents/?uuid=171666a7-e0a1-410f-aae5-7eb41074f3f2"]},{"id":"ITEM-2","itemData":{"DOI":"10.20961/dedikasi.v6i1.78975","abstract":"&lt;p&gt;This paper aims to describe the implementation of strengthening literacy and&lt;br /&gt;numeracy competencies in the city of Serang and Pandeglang district. The&lt;br /&gt;subjects of dedication, namely SDN Banjarwangi and SDN Purut were chosen&lt;br /&gt;as partners because they have the potential for the majority of teachers to&lt;br /&gt;have high motivation and awareness to develop their potential and&lt;br /&gt;professionalism. The method of implementing community service is carried&lt;br /&gt;out through four stages, including 1) Preparation, which is carried out to&lt;br /&gt;prepare for the implementation of community service. 2) Implementation, this&lt;br /&gt;stage is carried out through training/workshop activities for teachers in&lt;br /&gt;selected elementary schools. 3) Assistance, this stage is carried out by forming&lt;br /&gt;a group team and assisting the service participants. and 4) Reporting, this stage&lt;br /&gt;is carried out by the team by compiling a report on the implementation of the&lt;br /&gt;service. The results of this community service activity include&lt;br /&gt;training/workshop activities and mentoring that can provide knowledge and&lt;br /&gt;experience in improving literacy and numeracy professional competence as&lt;br /&gt;well as skills in developing literacy and numeracy-based learning tools suitable&lt;br /&gt;for learning for elementary school students.&lt;/p&gt;","author":[{"dropping-particle":"","family":"Andriana","given":"Encep","non-dropping-particle":"","parse-names":false,"suffix":""},{"dropping-particle":"","family":"Yuliana","given":"Rina","non-dropping-particle":"","parse-names":false,"suffix":""},{"dropping-particle":"","family":"Yandari","given":"Indhira Asih Vivi","non-dropping-particle":"","parse-names":false,"suffix":""}],"container-title":"DEDIKASI: Community Service Reports","id":"ITEM-2","issue":"1","issued":{"date-parts":[["2023"]]},"page":"27-36","title":"Penguatan Kompetensi Literasi dan Numerasi Guru Sekolah Dasar di Kabupaten Pandeglang dan Kota Serang Banten","type":"article-journal","volume":"6"},"uris":["http://www.mendeley.com/documents/?uuid=ce9adf57-1e56-4bec-8340-4e8a40dc5f95"]}],"mendeley":{"formattedCitation":"(Andriana et al., 2023; Salvia et al., 2022)","plainTextFormattedCitation":"(Andriana et al., 2023; Salvia et al., 2022)","previouslyFormattedCitation":"(Andriana et al., 2023; Salvia et al., 2022)"},"properties":{"noteIndex":0},"schema":"https://github.com/citation-style-language/schema/raw/master/csl-citation.json"}</w:instrText>
      </w:r>
      <w:r w:rsidR="002F5EEA">
        <w:rPr>
          <w:rFonts w:ascii="Times New Roman" w:eastAsia="Times New Roman" w:hAnsi="Times New Roman" w:cs="Times New Roman"/>
          <w:sz w:val="24"/>
          <w:szCs w:val="24"/>
          <w:lang w:val="id-ID"/>
        </w:rPr>
        <w:fldChar w:fldCharType="separate"/>
      </w:r>
      <w:r w:rsidR="002F5EEA" w:rsidRPr="0035260E">
        <w:rPr>
          <w:rFonts w:ascii="Times New Roman" w:eastAsia="Times New Roman" w:hAnsi="Times New Roman" w:cs="Times New Roman"/>
          <w:noProof/>
          <w:sz w:val="24"/>
          <w:szCs w:val="24"/>
          <w:lang w:val="id-ID"/>
        </w:rPr>
        <w:t>(Andriana et al., 2023; Salvia et al., 2022)</w:t>
      </w:r>
      <w:r w:rsidR="002F5EEA">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The problem of teachers' literacy and numeracy skills has an impact on teachers' ability to observe learning developments and provide assistance for students who have learning difficulties and has an impact on teachers' ability to develop innovative and effective teaching methods so as to affect the education system in a sustainable manner.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{"citationItems":[{"id":"ITEM-1","itemData":{"abstract":"Belakangan ini Batu Urip di tetapkan sebagai kampung budaya oleh pemerintah kota Lubuklinggau hal ini di karenakan Batu Urip merupakan penduduk atau masyarakat asli pribumi kota Lubuklinggau. Batu Urip mempunyai ragam tradisi turun temurun sejak nenek moyang samapai saat ini diantaranya tradisi sedekah rame, mandi kasai, senjang, berejong, bepanton, nandai, tari, naek yang kule dan permainan tradisonal. Permainan tradisional yang dimiliki mayarakat Batu Urip sangat beragam bentuk permainannya, diantaranya teropa hayak, pana teropa, satulage, betu goreng, ijat kemeleng, beteng, pistol bolo, rekek, beranyot batang pisang, nyoknyen, taji ijat dian, boor, tekar, yekye, bedak ijat para, balap ban, bedel bolo, balap ope, bras, pistol ayo, layang-layang, bedel pelpa pisang, wayang, yakyun, mbukmbang, geseng, yoyok, coket, moyen betu dan masih ada beberapa permainan yang lainnya. Pengabdian ini dilaksanakan berbagai tahapan yang pertama memberikan arahan kepada anak-anak yang nantinya di jadikan sebagai sampel dalam pendokumentasian, kemudian menjelaskan dan memberi materi permainan yang akan di dokumentasikan. Lalu mempraktekan permainan yang akan di dokumentasikan. Kami berharap setiap orang dan dari setiap wilayah di Indonesia ikut andil dalam melestarikan budaya peninggalan berupa permainan rakyat dan olahraga tradisional disetiap daerah","author":[{"dropping-particle":"","family":"Syafutra","given":"Wawan","non-dropping-particle":"","parse-names":false,"suffix":""},{"dropping-particle":"","family":"Remora","given":"Hengky","non-dropping-particle":"","parse-names":false,"suffix":""},{"dropping-particle":"","family":"Sovensi","given":"Ever","non-dropping-particle":"","parse-names":false,"suffix":""}],"container-title":"Jurnal Pengabdian Pendidikan Masyarakat (JPPM)","id":"ITEM-1","issue":"2","issued":{"date-parts":[["2022"]]},"page":"108-118","title":"Jurnal Pengabdian Pendidikan Masyarakat ( JPPM ) Jurnal Pengabdian Pendidikan Masyarakat ( JPPM )","type":"article-journal","volume":"3"},"uris":["http://www.mendeley.com/documents/?uuid=5690a507-4db5-4076-8878-5d92f570948d"]}],"mendeley":{"formattedCitation":"(Syafutra et al., 2022)","plainTextFormattedCitation":"(Syafutra et al., 2022)","previouslyFormattedCitation":"(Syafutra et al., 2022)"},"properties":{"noteIndex":0},"schema":"https://github.com/citation-style-language/schema/raw/master/csl-citation.json"}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(Syafutra et al., 2022)</w:t>
      </w:r>
      <w:r w:rsidR="002F5EEA" w:rsidRPr="00E70036">
        <w:rPr>
          <w:rFonts w:ascii="Times New Roman" w:eastAsia="Times New Roman" w:hAnsi="Times New Roman" w:cs="Times New Roman"/>
          <w:sz w:val="24"/>
          <w:szCs w:val="24"/>
        </w:rPr>
        <w:fldChar w:fldCharType="end"/>
      </w:r>
      <w:r w:rsidR="002F5EEA">
        <w:rPr>
          <w:rFonts w:ascii="Times New Roman" w:eastAsia="Times New Roman" w:hAnsi="Times New Roman" w:cs="Times New Roman"/>
          <w:sz w:val="24"/>
          <w:szCs w:val="24"/>
          <w:lang w:val="id-ID"/>
        </w:rPr>
        <w:t>;</w:t>
      </w:r>
      <w:r w:rsidR="002F5EEA" w:rsidRPr="00E70036">
        <w:rPr>
          <w:rFonts w:ascii="Times New Roman" w:eastAsia="Times New Roman" w:hAnsi="Times New Roman" w:cs="Times New Roman"/>
          <w:sz w:val="24"/>
          <w:szCs w:val="24"/>
          <w:lang w:val="id-ID"/>
        </w:rPr>
        <w:t xml:space="preserve">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{"citationItems":[{"id":"ITEM-1","itemData":{"DOI":"10.20961/dedikasi.v6i1.78975","abstract":"&lt;p&gt;This paper aims to describe the implementation of strengthening literacy and&lt;br /&gt;numeracy competencies in the city of Serang and Pandeglang district. The&lt;br /&gt;subjects of dedication, namely SDN Banjarwangi and SDN Purut were chosen&lt;br /&gt;as partners because they have the potential for the majority of teachers to&lt;br /&gt;have high motivation and awareness to develop their potential and&lt;br /&gt;professionalism. The method of implementing community service is carried&lt;br /&gt;out through four stages, including 1) Preparation, which is carried out to&lt;br /&gt;prepare for the implementation of community service. 2) Implementation, this&lt;br /&gt;stage is carried out through training/workshop activities for teachers in&lt;br /&gt;selected elementary schools. 3) Assistance, this stage is carried out by forming&lt;br /&gt;a group team and assisting the service participants. and 4) Reporting, this stage&lt;br /&gt;is carried out by the team by compiling a report on the implementation of the&lt;br /&gt;service. The results of this community service activity include&lt;br /&gt;training/workshop activities and mentoring that can provide knowledge and&lt;br /&gt;experience in improving literacy and numeracy professional competence as&lt;br /&gt;well as skills in developing literacy and numeracy-based learning tools suitable&lt;br /&gt;for learning for elementary school students.&lt;/p&gt;","author":[{"dropping-particle":"","family":"Andriana","given":"Encep","non-dropping-particle":"","parse-names":false,"suffix":""},{"dropping-particle":"","family":"Yuliana","given":"Rina","non-dropping-particle":"","parse-names":false,"suffix":""},{"dropping-particle":"","family":"Yandari","given":"Indhira Asih Vivi","non-dropping-particle":"","parse-names":false,"suffix":""}],"container-title":"DEDIKASI: Community Service Reports","id":"ITEM-1","issue":"1","issued":{"date-parts":[["2023"]]},"page":"27-36","title":"Penguatan Kompetensi Literasi dan Numerasi Guru Sekolah Dasar di Kabupaten Pandeglang dan Kota Serang Banten","type":"article-journal","volume":"6"},"uris":["http://www.mendeley.com/documents/?uuid=ce9adf57-1e56-4bec-8340-4e8a40dc5f95"]}],"mendeley":{"formattedCitation":"(Andriana et al., 2023)","plainTextFormattedCitation":"(Andriana et al., 2023)","previouslyFormattedCitation":"(Andriana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(Andriana et al., 2023)</w:t>
      </w:r>
      <w:r w:rsidR="002F5EEA">
        <w:rPr>
          <w:rFonts w:ascii="Times New Roman" w:hAnsi="Times New Roman" w:cs="Times New Roman"/>
          <w:sz w:val="24"/>
          <w:szCs w:val="24"/>
          <w:lang w:val="id-ID"/>
        </w:rPr>
        <w:fldChar w:fldCharType="end"/>
      </w:r>
      <w:r w:rsidR="002F5EEA">
        <w:rPr>
          <w:rFonts w:ascii="Times New Roman" w:hAnsi="Times New Roman" w:cs="Times New Roman"/>
          <w:sz w:val="24"/>
          <w:szCs w:val="24"/>
          <w:lang w:val="id-ID"/>
        </w:rPr>
        <w:t>;</w:t>
      </w:r>
      <w:r w:rsidR="002F5EEA" w:rsidRPr="00E70036">
        <w:rPr>
          <w:rFonts w:ascii="Times New Roman" w:eastAsia="Times New Roman" w:hAnsi="Times New Roman" w:cs="Times New Roman"/>
          <w:sz w:val="24"/>
          <w:szCs w:val="24"/>
          <w:lang w:val="id-ID"/>
        </w:rPr>
        <w:t xml:space="preserve">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{"citationItems":[{"id":"ITEM-1","itemData":{"author":[{"dropping-particle":"","family":"Purnomo","given":"Yoppy Wahyu","non-dropping-particle":"","parse-names":false,"suffix":""},{"dropping-particle":"","family":"Prananto","given":"Irfan Wahyu","non-dropping-particle":"","parse-names":false,"suffix":""},{"dropping-particle":"","family":"Sayekti","given":"Octavian Muning","non-dropping-particle":"","parse-names":false,"suffix":""},{"dropping-particle":"","family":"Sulistyani","given":"Nawang","non-dropping-particle":"","parse-names":false,"suffix":""}],"id":"ITEM-1","issue":"5","issued":{"date-parts":[["2024"]]},"page":"4-10","title":"PENDAMPINGAN PENYUSUNAN MILIEU PRAKTIK MENGAJAR GURU BERBASIS RISET UNTUK MENINGKATKAN KEMAMPUAN","type":"article-journal","volume":"8"},"uris":["http://www.mendeley.com/documents/?uuid=650f2803-de61-488b-93cd-987bfc56d564"]}],"mendeley":{"formattedCitation":"(Purnomo et al., 2024)","plainTextFormattedCitation":"(Purnomo et al., 2024)","previouslyFormattedCitation":"(Purnomo et al., 2024)"},"properties":{"noteIndex":0},"schema":"https://github.com/citation-style-language/schema/raw/master/csl-citation.json"}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(Purnomo et al., 2024)</w:t>
      </w:r>
      <w:r w:rsidR="002F5EEA" w:rsidRPr="00E70036">
        <w:rPr>
          <w:rFonts w:ascii="Times New Roman" w:eastAsia="Times New Roman" w:hAnsi="Times New Roman" w:cs="Times New Roman"/>
          <w:sz w:val="24"/>
          <w:szCs w:val="24"/>
        </w:rPr>
        <w:fldChar w:fldCharType="end"/>
      </w:r>
      <w:r w:rsidR="002F5EEA" w:rsidRPr="00E70036">
        <w:rPr>
          <w:rFonts w:ascii="Times New Roman" w:eastAsia="Times New Roman" w:hAnsi="Times New Roman" w:cs="Times New Roman"/>
          <w:sz w:val="24"/>
          <w:szCs w:val="24"/>
          <w:lang w:val="id-ID"/>
        </w:rPr>
        <w:t xml:space="preserve">; </w:t>
      </w:r>
      <w:r w:rsidR="002F5EEA" w:rsidRPr="00E70036">
        <w:rPr>
          <w:rFonts w:ascii="Times New Roman" w:eastAsia="Times New Roman" w:hAnsi="Times New Roman" w:cs="Times New Roman"/>
          <w:sz w:val="24"/>
          <w:szCs w:val="24"/>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{"citationItems":[{"id":"ITEM-1","itemData":{"author":[{"dropping-particle":"","family":"Sinaga","given":"Maria Elisabet","non-dropping-particle":"","parse-names":false,"suffix":""},{"dropping-particle":"","family":"Simanjorang","given":"Mangaratua M","non-dropping-particle":"","parse-names":false,"suffix":""}],"id":"ITEM-1","issue":"2","issued":{"date-parts":[["2024"]]},"page":"178-186","title":"YANG MENGIMPLEMENTASIKAN KURIKULUM MERDEKA ANALYSIS OF THE NUMERACY LITERACY ABILITY OF PARMAKSIAN 1 PUBLIC HIGH SCHOOL STUDENTS WHO IMPLEMENT THE INDEPENDENT CURRICULUM","type":"article-journal","volume":"10"},"uris":["http://www.mendeley.com/documents/?uuid=0ac3fd2c-de65-48f4-9663-04d158339c3d"]}],"mendeley":{"formattedCitation":"(Sinaga &amp; Simanjorang, 2024)","plainTextFormattedCitation":"(Sinaga &amp; Simanjorang, 2024)","previouslyFormattedCitation":"(Sinaga &amp; Simanjorang, 2024)"},"properties":{"noteIndex":0},"schema":"https://github.com/citation-style-language/schema/raw/master/csl-citation.json"}</w:instrText>
      </w:r>
      <w:r w:rsidR="002F5EEA" w:rsidRPr="00E70036">
        <w:rPr>
          <w:rFonts w:ascii="Times New Roman" w:eastAsia="Times New Roman" w:hAnsi="Times New Roman" w:cs="Times New Roman"/>
          <w:sz w:val="24"/>
          <w:szCs w:val="24"/>
        </w:rPr>
        <w:fldChar w:fldCharType="separate"/>
      </w:r>
      <w:r w:rsidR="002F5EEA" w:rsidRPr="00E70036">
        <w:rPr>
          <w:rFonts w:ascii="Times New Roman" w:eastAsia="Times New Roman" w:hAnsi="Times New Roman" w:cs="Times New Roman"/>
          <w:noProof/>
          <w:sz w:val="24"/>
          <w:szCs w:val="24"/>
          <w:lang w:val="id-ID"/>
        </w:rPr>
        <w:t>(Sinaga &amp; Simanjorang, 2024)</w:t>
      </w:r>
      <w:r w:rsidR="002F5EEA" w:rsidRPr="00E70036">
        <w:rPr>
          <w:rFonts w:ascii="Times New Roman" w:eastAsia="Times New Roman" w:hAnsi="Times New Roman" w:cs="Times New Roman"/>
          <w:sz w:val="24"/>
          <w:szCs w:val="24"/>
        </w:rPr>
        <w:fldChar w:fldCharType="end"/>
      </w:r>
      <w:r w:rsidR="002F5EEA" w:rsidRPr="00E70036">
        <w:rPr>
          <w:rFonts w:ascii="Times New Roman" w:eastAsia="Times New Roman" w:hAnsi="Times New Roman" w:cs="Times New Roman"/>
          <w:sz w:val="24"/>
          <w:szCs w:val="24"/>
          <w:lang w:val="id-ID"/>
        </w:rPr>
        <w:t>.</w:t>
      </w:r>
    </w:p>
    <w:p w14:paraId="519A2722" w14:textId="77777777" w:rsidR="00F041EC" w:rsidRPr="002F5EEA"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 xml:space="preserve">Accelerating the recovery  of teachers' literacy and numeracy skills in primary schools is very important, </w:t>
      </w:r>
      <w:r w:rsidR="002F5EEA" w:rsidRPr="007A6956">
        <w:rPr>
          <w:rFonts w:ascii="Times New Roman" w:eastAsia="Times New Roman" w:hAnsi="Times New Roman" w:cs="Times New Roman"/>
          <w:sz w:val="24"/>
          <w:szCs w:val="24"/>
          <w:lang w:val="id-ID"/>
        </w:rPr>
        <w:fldChar w:fldCharType="begin" w:fldLock="1"/>
      </w:r>
      <w:r w:rsidR="002F5EEA">
        <w:rPr>
          <w:rFonts w:ascii="Times New Roman" w:eastAsia="Times New Roman" w:hAnsi="Times New Roman" w:cs="Times New Roman"/>
          <w:sz w:val="24"/>
          <w:szCs w:val="24"/>
          <w:lang w:val="id-ID"/>
        </w:rPr>
        <w:instrText>ADDIN CSL_CITATION {"citationItems":[{"id":"ITEM-1","itemData":{"author":[{"dropping-particle":"","family":"Musoffa","given":"Musoffa","non-dropping-particle":"","parse-names":false,"suffix":""}],"container-title":"Journal of Islamic Education","id":"ITEM-1","issue":"1","issued":{"date-parts":[["2022"]]},"page":"63-80","title":"Learning loss dan penurunan kompetensi literasi dan numerasi siswa sekolah dasar (SD) di kecamatan Cikeusik, kabupaten Pandeglang, Banten","type":"article-journal","volume":"4"},"uris":["http://www.mendeley.com/documents/?uuid=88d059a2-8747-4fc9-bb98-232b54eeb96f"]},{"id":"ITEM-2","itemData":{"DOI":"10.47709/educendikia.v2i02.1587","author":[{"dropping-particle":"","family":"Ardellea","given":"Fiona","non-dropping-particle":"","parse-names":false,"suffix":""},{"dropping-particle":"","family":"Hamdu","given":"Ghullam","non-dropping-particle":"","parse-names":false,"suffix":""}],"container-title":"Edu Cendikia: Jurnal Ilmiah Kependidikan","id":"ITEM-2","issue":"02","issued":{"date-parts":[["2022"]]},"page":"220–227","title":"Pentingnya Kemampuan Guru Sekolah Dasar dalam Mengembangkan Soal Tes Literasi dan Numerasi Berbasis Education for Sustainable Development (ESD)","type":"article-journal","volume":"2"},"uris":["http://www.mendeley.com/documents/?uuid=2636f4e4-5bac-498e-a3ee-33f4281723d5"]},{"id":"ITEM-3","itemData":{"author":[{"dropping-particle":"","family":"Susanti","given":"Lusi","non-dropping-particle":"","parse-names":false,"suffix":""},{"dropping-particle":"","family":"Gistituati","given":"Nurhizrah","non-dropping-particle":"","parse-names":false,"suffix":""},{"dropping-particle":"","family":"Anisah","given":"Anisah","non-dropping-particle":"","parse-names":false,"suffix":""},{"dropping-particle":"","family":"Widiawati","given":"Widiawati","non-dropping-particle":"","parse-names":false,"suffix":""}],"container-title":"Jurnal Abdi Masyarakat","id":"ITEM-3","issue":"1","issued":{"date-parts":[["2024"]]},"page":"276-296","title":"STRATEGI PENINGKATAN LITERASI NUMERASI BERBASIS DIGITAL BAGI GURU SD SESUAI TUNTUTAN KURIKULUM MERDEKA","type":"article-journal","volume":"8"},"uris":["http://www.mendeley.com/documents/?uuid=ae98dc20-df5d-4ca6-9d76-1e3fe20f6b9e"]}],"mendeley":{"formattedCitation":"(Ardellea &amp; Hamdu, 2022; Musoffa, 2022; Susanti et al., 2024)","plainTextFormattedCitation":"(Ardellea &amp; Hamdu, 2022; Musoffa, 2022; Susanti et al., 2024)","previouslyFormattedCitation":"(Ardellea &amp; Hamdu, 2022; Musoffa, 2022; Susanti et al., 2024)"},"properties":{"noteIndex":0},"schema":"https://github.com/citation-style-language/schema/raw/master/csl-citation.json"}</w:instrText>
      </w:r>
      <w:r w:rsidR="002F5EEA" w:rsidRPr="007A6956">
        <w:rPr>
          <w:rFonts w:ascii="Times New Roman" w:eastAsia="Times New Roman" w:hAnsi="Times New Roman" w:cs="Times New Roman"/>
          <w:sz w:val="24"/>
          <w:szCs w:val="24"/>
          <w:lang w:val="id-ID"/>
        </w:rPr>
        <w:fldChar w:fldCharType="separate"/>
      </w:r>
      <w:r w:rsidR="002F5EEA" w:rsidRPr="007A6956">
        <w:rPr>
          <w:rFonts w:ascii="Times New Roman" w:eastAsia="Times New Roman" w:hAnsi="Times New Roman" w:cs="Times New Roman"/>
          <w:noProof/>
          <w:sz w:val="24"/>
          <w:szCs w:val="24"/>
          <w:lang w:val="id-ID"/>
        </w:rPr>
        <w:t>(Ardellea &amp; Hamdu, 2022; Musoffa, 2022; Susanti et al., 2024)</w:t>
      </w:r>
      <w:r w:rsidR="002F5EEA" w:rsidRPr="007A6956">
        <w:rPr>
          <w:rFonts w:ascii="Times New Roman" w:eastAsia="Times New Roman" w:hAnsi="Times New Roman" w:cs="Times New Roman"/>
          <w:sz w:val="24"/>
          <w:szCs w:val="24"/>
          <w:lang w:val="id-ID"/>
        </w:rPr>
        <w:fldChar w:fldCharType="end"/>
      </w:r>
      <w:r w:rsidR="002F5EEA">
        <w:rPr>
          <w:rFonts w:ascii="Times New Roman" w:eastAsia="Times New Roman" w:hAnsi="Times New Roman" w:cs="Times New Roman"/>
          <w:sz w:val="24"/>
          <w:szCs w:val="24"/>
          <w:lang w:val="id-ID"/>
        </w:rPr>
        <w:t>.</w:t>
      </w:r>
      <w:r w:rsidRPr="00F041EC">
        <w:rPr>
          <w:rFonts w:ascii="Times New Roman" w:hAnsi="Times New Roman" w:cs="Times New Roman"/>
          <w:sz w:val="24"/>
          <w:szCs w:val="24"/>
          <w:lang w:val="id-ID"/>
        </w:rPr>
        <w:t xml:space="preserve"> The main challenge faced by teachers in improving literacy and numeracy skills is that it is not enough to get in-depth and continuous training to be able to help them develop more effective teaching methods</w:t>
      </w:r>
      <w:r w:rsidR="002F5EEA">
        <w:rPr>
          <w:rFonts w:ascii="Times New Roman" w:hAnsi="Times New Roman" w:cs="Times New Roman"/>
          <w:sz w:val="24"/>
          <w:szCs w:val="24"/>
          <w:lang w:val="id-ID"/>
        </w:rPr>
        <w:t xml:space="preserve">, </w:t>
      </w:r>
      <w:r w:rsidR="002F5EEA">
        <w:rPr>
          <w:rFonts w:ascii="Times New Roman" w:hAnsi="Times New Roman" w:cs="Times New Roman"/>
          <w:sz w:val="24"/>
          <w:szCs w:val="24"/>
        </w:rPr>
        <w:fldChar w:fldCharType="begin" w:fldLock="1"/>
      </w:r>
      <w:r w:rsidR="002F5EEA">
        <w:rPr>
          <w:rFonts w:ascii="Times New Roman" w:hAnsi="Times New Roman" w:cs="Times New Roman"/>
          <w:sz w:val="24"/>
          <w:szCs w:val="24"/>
          <w:lang w:val="id-ID"/>
        </w:rPr>
        <w:instrText>ADDIN CSL_CITATION {"citationItems":[{"id":"ITEM-1","itemData":{"DOI":"10.31539/alignment.v5i2.4157","ISSN":"2598-0742","abstract":"This research is a Research and development (R&amp;D) located in Wattan Soppeng Regency. The background of this research is the importance of continuous training to improve the competence of professional school/madrasah supervisors in Wattan Soppeng Regency. The main problem in this research and development is how to develop an effective training model, valid, practical, useful for improving the competence of school/madrasah supervisorsThe research objective is to produce and apply an effective lesson study-based training model product to increase the competence of school/madrasah supervisors. The benefit of the research is as a reference to be used as the basis for a continuous training program for school/madrasah supervisors. training  model Research using the procedure Borg &amp; Gall (2003) which consists of three stages of development, namely pre-development, development and post-development. conduct product designs on leadership models which are then validated, conduct limited trials and wider tests, and observe model implementation in Wattan Soppeng Regency.The research objective is to produce and apply an effective lesson study-based training model product to increase the competence of school/madrasah supervisors. The benefit of the research is as a reference to be used as the basis for a continuous training program for school/madrasah supervisors. training model Research using the procedure Borg &amp; Gall (2003) which consists of three stages of development, namely pre-development, development and post-development. conduct product designs on leadership models which are then validated, conduct limited trials and wider tests, and observe model implementation in Wattansoppeng RegencyThe data were analyzed by qualitative descriptive, quantitative techniques and inferential analysis tests to see the significance of the effectiveness of the model, the target was school/madrasah supervisors consisting of 30 school/madrasah supervisors. The results of the implementation of the model, it can be concluded that the implementation of MPB2LSKP-SM has proven to be able to improve the ability of school/madrasah supervisors, therefore MPB2LSKP-SM is effective to be used in an effort to increase the competence of school/madrasah supervisors or the MPB2LSKP-SM model shows significant effectiveness.\r  \r Keywords: Continuing Training Model, Lesson Study, Competence Improvement of School/Madrasah Supervisors","author":[{"dropping-particle":"","family":"Nurochmah","given":"Andi","non-dropping-particle":"","parse-names":false,"suffix":""},{"dropping-particle":"","family":"Mappincara","given":"Andi","non-dropping-particle":"","parse-names":false,"suffix":""}],"container-title":"Journal Of Administration and Educational Management (ALIGNMENT)","id":"ITEM-1","issue":"2","issued":{"date-parts":[["2022"]]},"page":"227-240","title":"Pengembangan Model Pelatihan Berkelanjutan Berbasis Lesson Study untuk Meningkatkan Kompetisi Pengawas Sekolah/Madrasah","type":"article-journal","volume":"5"},"uris":["http://www.mendeley.com/documents/?uuid=07424dd2-2402-4ce7-974a-6b7a280386a3"]}],"mendeley":{"formattedCitation":"(Nurochmah &amp; Mappincara, 2022)","plainTextFormattedCitation":"(Nurochmah &amp; Mappincara, 2022)","previouslyFormattedCitation":"(Nurochmah &amp; Mappincara, 2022)"},"properties":{"noteIndex":0},"schema":"https://github.com/citation-style-language/schema/raw/master/csl-citation.json"}</w:instrText>
      </w:r>
      <w:r w:rsidR="002F5EEA">
        <w:rPr>
          <w:rFonts w:ascii="Times New Roman" w:hAnsi="Times New Roman" w:cs="Times New Roman"/>
          <w:sz w:val="24"/>
          <w:szCs w:val="24"/>
        </w:rPr>
        <w:fldChar w:fldCharType="separate"/>
      </w:r>
      <w:r w:rsidR="002F5EEA" w:rsidRPr="00D34EAD">
        <w:rPr>
          <w:rFonts w:ascii="Times New Roman" w:hAnsi="Times New Roman" w:cs="Times New Roman"/>
          <w:noProof/>
          <w:sz w:val="24"/>
          <w:szCs w:val="24"/>
          <w:lang w:val="id-ID"/>
        </w:rPr>
        <w:t>(Nurochmah &amp; Mappincara, 2022)</w:t>
      </w:r>
      <w:r w:rsidR="002F5EEA">
        <w:rPr>
          <w:rFonts w:ascii="Times New Roman" w:hAnsi="Times New Roman" w:cs="Times New Roman"/>
          <w:sz w:val="24"/>
          <w:szCs w:val="24"/>
        </w:rPr>
        <w:fldChar w:fldCharType="end"/>
      </w:r>
      <w:r w:rsidR="002F5EEA">
        <w:rPr>
          <w:rFonts w:ascii="Times New Roman" w:hAnsi="Times New Roman" w:cs="Times New Roman"/>
          <w:sz w:val="24"/>
          <w:szCs w:val="24"/>
          <w:lang w:val="id-ID"/>
        </w:rPr>
        <w:t>.</w:t>
      </w:r>
      <w:r w:rsidRPr="00F041EC">
        <w:rPr>
          <w:rFonts w:ascii="Times New Roman" w:hAnsi="Times New Roman" w:cs="Times New Roman"/>
          <w:sz w:val="24"/>
          <w:szCs w:val="24"/>
          <w:lang w:val="id-ID"/>
        </w:rPr>
        <w:t xml:space="preserve"> Literacy preparation programs and courses have a limited focus,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{"citationItems":[{"id":"ITEM-1","itemData":{"DOI":"10.1177/08884064251326573","abstract":" Many special education teachers (SETs) report feeling unprepared to meet the language and literacy needs of emergent multilingual learners (EMLs). As such, it is important to consider the role of teacher educators, whose knowledge is related to their teacher candidates’ knowledge. Therefore, we have conducted a survey study investigating SET educators’ knowledge, experiences, and confidence regarding EMLs; their perceptions of the value of preparing SET candidates to support EMLs’ language and literacy development; the extent to which they incorporate EML content into literacy coursework; and the ways in which EML content is related to several factors, including teacher educators’ knowledge. Our study revealed that preparation programs and accompanying literacy courses often have a limited focus on EMLs. Although this focus is unrelated to respondents’ knowledge, experiences, and perceived value, it is correlated with their confidence and program requirements. We discuss practical implications and areas for future research based on these findings. ","author":[{"dropping-particle":"","family":"Shelton","given":"Alexandra","non-dropping-particle":"","parse-names":false,"suffix":""},{"dropping-particle":"","family":"Hogan","given":"Erin","non-dropping-particle":"","parse-names":false,"suffix":""},{"dropping-particle":"","family":"Fu","given":"Yang","non-dropping-particle":"","parse-names":false,"suffix":""}],"container-title":"Teacher Education and Special Education","id":"ITEM-1","issue":"2","issued":{"date-parts":[["2025"]]},"page":"145-162","title":"Special Education Teacher Educators’ Focus on Emergent Multilingual Learners in Preservice Literacy Courses","type":"article-journal","volume":"48"},"uris":["http://www.mendeley.com/documents/?uuid=99521168-df4c-45f6-a0da-bf0bd754b375"]}],"mendeley":{"formattedCitation":"(Shelton et al., 2025)","plainTextFormattedCitation":"(Shelton et al., 2025)","previouslyFormattedCitation":"(Shelton et al., 2025)"},"properties":{"noteIndex":0},"schema":"https://github.com/citation-style-language/schema/raw/master/csl-citation.json"}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(Shelton et al., 2025)</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This happens due to limited access to quality training and limited resources </w:t>
      </w:r>
      <w:r w:rsidR="002F5EEA" w:rsidRPr="00E70036">
        <w:rPr>
          <w:rFonts w:ascii="Times New Roman" w:hAnsi="Times New Roman" w:cs="Times New Roman"/>
          <w:sz w:val="24"/>
          <w:szCs w:val="24"/>
        </w:rPr>
        <w:fldChar w:fldCharType="begin" w:fldLock="1"/>
      </w:r>
      <w:r w:rsidR="002F5EEA">
        <w:rPr>
          <w:rFonts w:ascii="Times New Roman" w:hAnsi="Times New Roman" w:cs="Times New Roman"/>
          <w:sz w:val="24"/>
          <w:szCs w:val="24"/>
          <w:lang w:val="id-ID"/>
        </w:rPr>
        <w:instrText>ADDIN CSL_CITATION {"citationItems":[{"id":"ITEM-1","itemData":{"author":[{"dropping-particle":"","family":"Janawati","given":"Desak Putu Anom","non-dropping-particle":"","parse-names":false,"suffix":""}],"container-title":"Jurnal Ilmu Pengetahuan Naratif","id":"ITEM-1","issue":"4","issued":{"date-parts":[["2024"]]},"page":"351-363","title":"Analisis Implementasi Pojok Baca Dalam Mendukung Gerakan Literasi Sekolah Di SDN 3 Kawan","type":"article-journal","volume":"05"},"uris":["http://www.mendeley.com/documents/?uuid=0a616138-a7e0-4a1f-865a-9a0176933a38"]}],"mendeley":{"formattedCitation":"(Janawati, 2024)","plainTextFormattedCitation":"(Janawati, 2024)","previouslyFormattedCitation":"(Janawati, 2024)"},"properties":{"noteIndex":0},"schema":"https://github.com/citation-style-language/schema/raw/master/csl-citation.json"}</w:instrText>
      </w:r>
      <w:r w:rsidR="002F5EEA" w:rsidRPr="00E70036">
        <w:rPr>
          <w:rFonts w:ascii="Times New Roman" w:hAnsi="Times New Roman" w:cs="Times New Roman"/>
          <w:sz w:val="24"/>
          <w:szCs w:val="24"/>
        </w:rPr>
        <w:fldChar w:fldCharType="separate"/>
      </w:r>
      <w:r w:rsidR="002F5EEA" w:rsidRPr="00E70036">
        <w:rPr>
          <w:rFonts w:ascii="Times New Roman" w:hAnsi="Times New Roman" w:cs="Times New Roman"/>
          <w:noProof/>
          <w:sz w:val="24"/>
          <w:szCs w:val="24"/>
          <w:lang w:val="id-ID"/>
        </w:rPr>
        <w:t>(Janawati, 2024)</w:t>
      </w:r>
      <w:r w:rsidR="002F5EEA" w:rsidRPr="00E70036">
        <w:rPr>
          <w:rFonts w:ascii="Times New Roman" w:hAnsi="Times New Roman" w:cs="Times New Roman"/>
          <w:sz w:val="24"/>
          <w:szCs w:val="24"/>
        </w:rPr>
        <w:fldChar w:fldCharType="end"/>
      </w:r>
      <w:r w:rsidR="002F5EEA">
        <w:rPr>
          <w:rFonts w:ascii="Times New Roman" w:hAnsi="Times New Roman" w:cs="Times New Roman"/>
          <w:sz w:val="24"/>
          <w:szCs w:val="24"/>
          <w:lang w:val="id-ID"/>
        </w:rPr>
        <w:t>.</w:t>
      </w:r>
    </w:p>
    <w:p w14:paraId="21DC1374" w14:textId="77777777" w:rsidR="00F041EC" w:rsidRDefault="00F041EC" w:rsidP="002F5EEA">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 xml:space="preserve">A number of institutions/agencies, especially educational institutions, have provided teacher literacy and numeracy training programs both offline and online, as an effort to maintain the </w:t>
      </w:r>
      <w:r w:rsidRPr="00F041EC">
        <w:rPr>
          <w:rFonts w:ascii="Times New Roman" w:hAnsi="Times New Roman" w:cs="Times New Roman"/>
          <w:sz w:val="24"/>
          <w:szCs w:val="24"/>
          <w:lang w:val="id-ID"/>
        </w:rPr>
        <w:lastRenderedPageBreak/>
        <w:t xml:space="preserve">curriculum in line with the needs of educational progress,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{"citationItems":[{"id":"ITEM-1","itemData":{"author":[{"dropping-particle":"","family":"Zulkifli","given":"","non-dropping-particle":"","parse-names":false,"suffix":""},{"dropping-particle":"","family":"Ho","given":"Pham Vu Phi","non-dropping-particle":"","parse-names":false,"suffix":""},{"dropping-particle":"","family":"Sholeh","given":"Muh. Ibnu","non-dropping-particle":"","parse-names":false,"suffix":""},{"dropping-particle":"","family":"Sahri","given":"","non-dropping-particle":"","parse-names":false,"suffix":""}],"container-title":"Tarbawi Junal Keilmuan Manajemen Pendidikan","id":"ITEM-1","issued":{"date-parts":[["2023"]]},"title":"Enhancing Student Achievement in Senior High School through Curriculum Management in Indonesia","type":"article-journal"},"uris":["http://www.mendeley.com/documents/?uuid=97bf3192-8591-423d-a22c-fbe68bebd191"]}],"mendeley":{"formattedCitation":"(Zulkifli et al., 2023)","plainTextFormattedCitation":"(Zulkifli et al., 2023)","previouslyFormattedCitation":"(Zulkifli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(Zulkifli et al.,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but in general, these training programs are still carried out conventionally using lecture and discussion methods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Marlena","given":"Leni","non-dropping-particle":"","parse-names":false,"suffix":""},{"dropping-particle":"","family":"Wahidin","given":"Wahidin","non-dropping-particle":"","parse-names":false,"suffix":""},{"dropping-particle":"","family":"Azizah","given":"Ummu Salma","non-dropping-particle":"Al","parse-names":false,"suffix":""}],"container-title":"Jumat Pendidikan: Jurnal Pengabdian Masyarakat","id":"ITEM-1","issue":"3","issued":{"date-parts":[["2022"]]},"page":"151-155","title":"Pelatihan Kompetensi Literasi dan Numerasi Guru sebagai Penguatan Menghadapi Kurikulum Merdeka","type":"article-journal","volume":"3"},"uris":["http://www.mendeley.com/documents/?uuid=eaf5659c-cb4c-4e20-b81e-9763d27d2afd"]}],"mendeley":{"formattedCitation":"(Marlena et al., 2022)","plainTextFormattedCitation":"(Marlena et al., 2022)","previouslyFormattedCitation":"(Marlena et al., 2022)"},"properties":{"noteIndex":0},"schema":"https://github.com/citation-style-language/schema/raw/master/csl-citation.json"}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(Marlena et al., 2022)</w:t>
      </w:r>
      <w:r w:rsidR="002F5EEA">
        <w:rPr>
          <w:rFonts w:ascii="Times New Roman" w:hAnsi="Times New Roman" w:cs="Times New Roman"/>
          <w:sz w:val="24"/>
          <w:szCs w:val="24"/>
          <w:lang w:val="id-ID"/>
        </w:rPr>
        <w:fldChar w:fldCharType="end"/>
      </w:r>
      <w:r w:rsidR="002F5EEA">
        <w:rPr>
          <w:rFonts w:ascii="Times New Roman" w:hAnsi="Times New Roman" w:cs="Times New Roman"/>
          <w:sz w:val="24"/>
          <w:szCs w:val="24"/>
          <w:lang w:val="id-ID"/>
        </w:rPr>
        <w:t xml:space="preserve"> </w:t>
      </w:r>
      <w:r w:rsidRPr="00F041EC">
        <w:rPr>
          <w:rFonts w:ascii="Times New Roman" w:hAnsi="Times New Roman" w:cs="Times New Roman"/>
          <w:sz w:val="24"/>
          <w:szCs w:val="24"/>
          <w:lang w:val="id-ID"/>
        </w:rPr>
        <w:t xml:space="preserve">has not been supported by relevant media, especially information technology media. For this reason, supervisors need attention in improving teacher competence,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{"citationItems":[{"id":"ITEM-1","itemData":{"author":[{"dropping-particle":"","family":"Apriliya","given":"Nurul","non-dropping-particle":"","parse-names":false,"suffix":""},{"dropping-particle":"","family":"M","given":"Soedjono Kurniawan","non-dropping-particle":"","parse-names":false,"suffix":""}],"id":"ITEM-1","issued":{"date-parts":[["2024"]]},"title":"PERAN PENDAMPINGAN KEPALA SEKOLAH DALAM MENINGKATKAN KUALITAS PEMBELAJARAN MELALUI KOMUNITAS BELAJAR DI SDN KALONGAN 01","type":"article-journal","volume":"09"},"uris":["http://www.mendeley.com/documents/?uuid=d94da54a-5646-404e-81f0-040cd6d2fbf1"]}],"mendeley":{"formattedCitation":"(Apriliya &amp; M, 2024)","plainTextFormattedCitation":"(Apriliya &amp; M, 2024)","previouslyFormattedCitation":"(Apriliya &amp; M, 2024)"},"properties":{"noteIndex":0},"schema":"https://github.com/citation-style-language/schema/raw/master/csl-citation.json"}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(Apriliya &amp; M, 2024)</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by providing fun and useful rocks for teachers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{"citationItems":[{"id":"ITEM-1","itemData":{"author":[{"dropping-particle":"","family":"Yusuf","given":"Muhammad","non-dropping-particle":"","parse-names":false,"suffix":""}],"container-title":"Management of Education: Jurnal Manajemen Pendidikan Islam","id":"ITEM-1","issue":"1","issued":{"date-parts":[["2023"]]},"page":"75-86","title":"Supervisi Kepala Sekolah Dalam Meningkatkan Profesional Guru Di Smpn 2 Alalak Barito Kuala","type":"article-journal","volume":"9"},"uris":["http://www.mendeley.com/documents/?uuid=7d394aa6-54ab-4a49-84d3-d9e84a651aa4"]}],"mendeley":{"formattedCitation":"(Yusuf, 2023)","plainTextFormattedCitation":"(Yusuf, 2023)","previouslyFormattedCitation":"(Yusuf,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(Yusuf,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Providing assistance to improve teachers' literacy and numeracy competence can be done through quality and continuous training activities with relevant multimedia support. Comprehensive teacher training can improve quality,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{"citationItems":[{"id":"ITEM-1","itemData":{"DOI":"10.9734/ajess/2025/v51i21782","author":[{"dropping-particle":"","family":"Apelehin","given":"Adeniyi Adebowale","non-dropping-particle":"","parse-names":false,"suffix":""},{"dropping-particle":"","family":"Ajuluchukwu","given":"Pius","non-dropping-particle":"","parse-names":false,"suffix":""},{"dropping-particle":"","family":"Okonkwo","given":"Chioma Angela","non-dropping-particle":"","parse-names":false,"suffix":""},{"dropping-particle":"","family":"Enahore","given":"Imohiosen Cyril","non-dropping-particle":"","parse-names":false,"suffix":""},{"dropping-particle":"","family":"Iguma","given":"Dorothy Ruth","non-dropping-particle":"","parse-names":false,"suffix":""}],"container-title":"Asian Journal of Education and Social Studies","id":"ITEM-1","issue":"2","issued":{"date-parts":[["2025"]]},"page":"244–255","title":"Enhancing Teacher Training for Social Improvement in Education: Innovative Approaches and Best Practices","type":"article-journal","volume":"51"},"uris":["http://www.mendeley.com/documents/?uuid=6e2d3737-91d8-48dc-89b4-690a05a68871"]}],"mendeley":{"formattedCitation":"(Apelehin et al., 2025)","plainTextFormattedCitation":"(Apelehin et al., 2025)","previouslyFormattedCitation":"(Apelehin et al., 2025)"},"properties":{"noteIndex":0},"schema":"https://github.com/citation-style-language/schema/raw/master/csl-citation.json"}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(Apelehin et al., 2025)</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The relevance of training to needs can support meaningful learning experiences, </w:t>
      </w:r>
      <w:r w:rsidR="002F5EEA">
        <w:rPr>
          <w:rFonts w:ascii="Times New Roman" w:hAnsi="Times New Roman" w:cs="Times New Roman"/>
          <w:sz w:val="24"/>
          <w:szCs w:val="24"/>
          <w:lang w:val="id-ID"/>
        </w:rPr>
        <w:fldChar w:fldCharType="begin" w:fldLock="1"/>
      </w:r>
      <w:r w:rsidR="002F5EEA">
        <w:rPr>
          <w:rFonts w:ascii="Times New Roman" w:hAnsi="Times New Roman" w:cs="Times New Roman"/>
          <w:sz w:val="24"/>
          <w:szCs w:val="24"/>
          <w:lang w:val="id-ID"/>
        </w:rPr>
        <w:instrText>ADDIN CSL_CITATION {"citationItems":[{"id":"ITEM-1","itemData":{"author":[{"dropping-particle":"","family":"Yulastri","given":"Weni","non-dropping-particle":"","parse-names":false,"suffix":""},{"dropping-particle":"","family":"Zulfa","given":"Zulfa","non-dropping-particle":"","parse-names":false,"suffix":""},{"dropping-particle":"","family":"Juliardi","given":"Budi","non-dropping-particle":"","parse-names":false,"suffix":""},{"dropping-particle":"","family":"Zulkifli","given":"Zulkifli","non-dropping-particle":"","parse-names":false,"suffix":""},{"dropping-particle":"","family":"Rudagi","given":"Reindy","non-dropping-particle":"","parse-names":false,"suffix":""},{"dropping-particle":"","family":"Yulmiati","given":"Yulmiati","non-dropping-particle":"","parse-names":false,"suffix":""}],"container-title":"Journal of Pragmatics and Discourse Research","id":"ITEM-1","issue":"1","issued":{"date-parts":[["2023"]]},"page":"111-121","title":"Development of educational professional learning materials based on cultural discourse in higher education","type":"article-journal","volume":"3"},"uris":["http://www.mendeley.com/documents/?uuid=fb86e01d-81d1-4c3b-850e-02dd4438ea03"]}],"mendeley":{"formattedCitation":"(Yulastri et al., 2023)","plainTextFormattedCitation":"(Yulastri et al., 2023)","previouslyFormattedCitation":"(Yulastri et al., 2023)"},"properties":{"noteIndex":0},"schema":"https://github.com/citation-style-language/schema/raw/master/csl-citation.json"}</w:instrText>
      </w:r>
      <w:r w:rsidR="002F5EEA">
        <w:rPr>
          <w:rFonts w:ascii="Times New Roman" w:hAnsi="Times New Roman" w:cs="Times New Roman"/>
          <w:sz w:val="24"/>
          <w:szCs w:val="24"/>
          <w:lang w:val="id-ID"/>
        </w:rPr>
        <w:fldChar w:fldCharType="separate"/>
      </w:r>
      <w:r w:rsidR="002F5EEA" w:rsidRPr="0035260E">
        <w:rPr>
          <w:rFonts w:ascii="Times New Roman" w:hAnsi="Times New Roman" w:cs="Times New Roman"/>
          <w:noProof/>
          <w:sz w:val="24"/>
          <w:szCs w:val="24"/>
          <w:lang w:val="id-ID"/>
        </w:rPr>
        <w:t>(Yulastri et al., 2023)</w:t>
      </w:r>
      <w:r w:rsidR="002F5EEA">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This should be the main concern for supervisors in fostering literacy and numeracy competencies for teachers.</w:t>
      </w:r>
    </w:p>
    <w:p w14:paraId="12E3034A" w14:textId="77777777" w:rsidR="00F041EC" w:rsidRDefault="00F041EC" w:rsidP="00760498">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Many studies have ended in the conclusion that supervisors can provide training to improve teachers' literacy and numeracy skills through academic supervision activities. Supervisors play a role in improving teacher competence so that meaningful learning is created</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{"citationItems":[{"id":"ITEM-1","itemData":{"author":[{"dropping-particle":"","family":"Dwikurnaningsih","given":"Yari","non-dropping-particle":"","parse-names":false,"suffix":""}],"container-title":"JMSP (Jurnal Manajemen Dan Supervisi Pendidikan)","id":"ITEM-1","issue":"3","issued":{"date-parts":[["2020"]]},"page":"182-190","title":"Implementasi supervisi akademik di lembaga pendidikan anak usia dini","type":"article-journal","volume":"4"},"uris":["http://www.mendeley.com/documents/?uuid=a90e6b98-0710-4501-b4c0-ba76962e49ab"]},{"id":"ITEM-2","itemData":{"author":[{"dropping-particle":"","family":"Sudargini","given":"Yuli","non-dropping-particle":"","parse-names":false,"suffix":""}],"container-title":"Journal of Industrial Engineering \\&amp; Management Research","id":"ITEM-2","issue":"6","issued":{"date-parts":[["2021"]]},"page":"13-21","title":"Peran Supervisi Akademik dan Motivasi Kerja Terhadap Peningkatan kompetensi Guru SMA Negeri di Pati","type":"article-journal","volume":"2"},"uris":["http://www.mendeley.com/documents/?uuid=2b501a50-b39a-4f3b-bf70-47548292de81"]},{"id":"ITEM-3","itemData":{"DOI":"10.23887/jear.v6i1.44468","author":[{"dropping-particle":"","family":"Marheni","given":"Made Sri","non-dropping-particle":"","parse-names":false,"suffix":""}],"container-title":"Journal of Education Action Research","id":"ITEM-3","issue":"1","issued":{"date-parts":[["2022"]]},"page":"1–7","title":"Meningkatkan Kemampuan Guru Menyusun RPP melalui Supervisi Akademik Berkelanjutan","type":"article-journal","volume":"6"},"uris":["http://www.mendeley.com/documents/?uuid=0891cf91-b837-4a04-b9a0-2353dc12de3d"]},{"id":"ITEM-4","itemData":{"DOI":"10.54371/jiip.v5i6.653","author":[{"dropping-particle":"","family":"Musyadad","given":"Vina Febiani","non-dropping-particle":"","parse-names":false,"suffix":""},{"dropping-particle":"","family":"Hanafiah","given":"Hanafiah","non-dropping-particle":"","parse-names":false,"suffix":""},{"dropping-particle":"","family":"Tanjung","given":"Rahman","non-dropping-particle":"","parse-names":false,"suffix":""},{"dropping-particle":"","family":"Arifudin","given":"Opan","non-dropping-particle":"","parse-names":false,"suffix":""}],"container-title":"JIIP - Jurnal Ilmiah Ilmu Pendidikan","id":"ITEM-4","issue":"6","issued":{"date-parts":[["2022"]]},"page":"1936-1941","title":"Supervisi Akademik untuk Meningkatkan Motivasi Kerja Guru dalam Membuat Perangkat Pembelajaran","type":"article-journal","volume":"5"},"uris":["http://www.mendeley.com/documents/?uuid=cce8fe32-2e6f-4777-89d1-1a9b39e30d36"]}],"mendeley":{"formattedCitation":"(Dwikurnaningsih, 2020; Marheni, 2022; Musyadad et al., 2022; Sudargini, 2021)","plainTextFormattedCitation":"(Dwikurnaningsih, 2020; Marheni, 2022; Musyadad et al., 2022; Sudargini, 2021)","previouslyFormattedCitation":"(Dwikurnaningsih, 2020; Marheni, 2022; Musyadad et al., 2022; Sudargini, 2021)"},"properties":{"noteIndex":0},"schema":"https://github.com/citation-style-language/schema/raw/master/csl-citation.json"}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35260E">
        <w:rPr>
          <w:rFonts w:ascii="Times New Roman" w:eastAsia="Times New Roman" w:hAnsi="Times New Roman" w:cs="Times New Roman"/>
          <w:noProof/>
          <w:sz w:val="24"/>
          <w:szCs w:val="24"/>
          <w:lang w:val="id-ID"/>
        </w:rPr>
        <w:t>(Dwikurnaningsih, 2020; Marheni, 2022; Musyadad et al., 2022; Sudargini, 2021)</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Academic supervision is a continuous process to improve the quality of education, </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author":[{"dropping-particle":"","family":"Susilo","given":"Ismaya","non-dropping-particle":"","parse-names":false,"suffix":""},{"dropping-particle":"","family":"Aditya","given":"Erik","non-dropping-particle":"","parse-names":false,"suffix":""},{"dropping-particle":"","family":"Zamroni","given":"Edris","non-dropping-particle":"","parse-names":false,"suffix":""},{"dropping-particle":"","family":"Muliana","given":"Lily","non-dropping-particle":"","parse-names":false,"suffix":""}],"container-title":"ICCCM Journal of Social Sciences and Humanities","id":"ITEM-1","issue":"5","issued":{"date-parts":[["2024"]]},"page":"27-32","title":"The Influence of School-Based Management and Academic Supervision towards the Professionalism of Junior High School Teachers","type":"article-journal","volume":"3"},"uris":["http://www.mendeley.com/documents/?uuid=e5f8c527-19c8-442c-8d83-00a34902e729"]}],"mendeley":{"formattedCitation":"(Susilo et al., 2024)","plainTextFormattedCitation":"(Susilo et al., 2024)","previouslyFormattedCitation":"(Susilo et al., 2024)"},"properties":{"noteIndex":0},"schema":"https://github.com/citation-style-language/schema/raw/master/csl-citation.json"}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0B265C">
        <w:rPr>
          <w:rFonts w:ascii="Times New Roman" w:eastAsia="Times New Roman" w:hAnsi="Times New Roman" w:cs="Times New Roman"/>
          <w:noProof/>
          <w:sz w:val="24"/>
          <w:szCs w:val="24"/>
          <w:lang w:val="id-ID"/>
        </w:rPr>
        <w:t>(Susilo et al., 2024)</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Improving the quality of learning through the development of teacher professionalism is a process of academic supervision, </w:t>
      </w:r>
      <w:r w:rsidR="00760498">
        <w:rPr>
          <w:rFonts w:ascii="Times New Roman" w:eastAsia="Times New Roman" w:hAnsi="Times New Roman" w:cs="Times New Roman"/>
          <w:sz w:val="24"/>
          <w:szCs w:val="24"/>
          <w:lang w:val="id-ID"/>
        </w:rPr>
        <w:fldChar w:fldCharType="begin" w:fldLock="1"/>
      </w:r>
      <w:r w:rsidR="00760498">
        <w:rPr>
          <w:rFonts w:ascii="Times New Roman" w:eastAsia="Times New Roman" w:hAnsi="Times New Roman" w:cs="Times New Roman"/>
          <w:sz w:val="24"/>
          <w:szCs w:val="24"/>
          <w:lang w:val="id-ID"/>
        </w:rPr>
        <w:instrText>ADDIN CSL_CITATION {"citationItems":[{"id":"ITEM-1","itemData":{"DOI":"10.23887/jpiundiksha.v13i1.64443","ISSN":"2303-288X","abstract":"Tujuan penelitian ini adalah untuk mengetahui (1) Pelaksanaan supervisi akademik dan layanan pendidikan di lingkungan SD Kecamatan Astana Anyar Kota Bandung; (2) pengaruh supervisi akademik terhadap peningkatan kualitas layanan pendidikan. Penelitian ini menggunakan pendekatan kuantitatif dengan menggunakan teknik sampling probability sampling dan dilakukan pengambilan sampel menggunakan simple random sampling. Subyek penelitian ini adalah guru SD di lingkungan Kecamatan Astana Anyar Kota Bandung. Kategori sekolah dipilih sekolah menengah pertama negeri dan swasta. Instrumen yang digunakan dalam penelitian ini adalah pedoman wawancara, angket dan juga observasi. Pengumpulan data dikembangkan berupa instrumen angket untuk menguji kebenaran dan kesesuaian indikator supervise akademik dan layanan Pendidikan. Kemudian dilihat gambaran kecenderungan rata-rata dari masing-masing variabel. Berdasarkan hasil penelitian menunjukkan bahwa (1) pelaksanaan supervisi akademik dan layanan Pendidikan sudah dilakukan dengan sangat baik dengan hasil perhitungan Weight Mean Score (WMS) secara keseluruhan dimensi sangat tinggi untuk variabel supervisi akademik nilai skor rata-rata sebesar 3,85 atau setara dengan nilai 96,25, kemudian untuk variabel layanan Pendidikan nilai skor rata-rata sebesar 3,91 atau setara dengan nilai 97,75. (2) Program supervisi akademik berpengaruh signifikan terhadap peningkatan kualitas layanan Pendidikan dengan uji regresi linear nilai korelasi yaitu sebesar 0,762. Kemudian diperoleh koefisien determinasi sebesar 0,580 yang mengandung pengertian bahwa pengaruh Akademik terhadap Layanan Pendidikan adalah sebesar 58%.","author":[{"dropping-particle":"","family":"Husni","given":"Husni Hamdani","non-dropping-particle":"","parse-names":false,"suffix":""},{"dropping-particle":"","family":"Aan","given":"Aan Komariah","non-dropping-particle":"","parse-names":false,"suffix":""},{"dropping-particle":"","family":"Dedy","given":"Dedy Achmad Kurniady","non-dropping-particle":"","parse-names":false,"suffix":""}],"container-title":"JPI (Jurnal Pendidikan Indonesia)","id":"ITEM-1","issue":"1","issued":{"date-parts":[["2024"]]},"page":"173-179","title":"Optimalisasi Supervisi Akademik Untuk Meningkatkan Kualitas Layanan Pendidikan","type":"article-journal","volume":"13"},"uris":["http://www.mendeley.com/documents/?uuid=4f263085-8f2b-4828-97bf-52d627a2336c"]},{"id":"ITEM-2","itemData":{"author":[{"dropping-particle":"","family":"Suryani","given":"Yeni","non-dropping-particle":"","parse-names":false,"suffix":""},{"dropping-particle":"","family":"Yuliejantiningsih","given":"Yovitha","non-dropping-particle":"","parse-names":false,"suffix":""},{"dropping-particle":"","family":"others","given":"","non-dropping-particle":"","parse-names":false,"suffix":""}],"container-title":"Pendas: Jurnal Ilmiah Pendidikan Dasar","id":"ITEM-2","issue":"01","issued":{"date-parts":[["2025"]]},"page":"221-235","title":"PENGARUH SUPERVISI AKADEMIK, KOMPETENSI PEDAGOGIK GURU DAN BUDAYA SEKOLAH RAMAH ANAK TERHADAP KUALITAS PEMBELAJARAN","type":"article-journal","volume":"10"},"uris":["http://www.mendeley.com/documents/?uuid=6d9f1c85-68f2-421b-9986-2490264e3d85"]}],"mendeley":{"formattedCitation":"(Husni et al., 2024; Suryani et al., 2025)","plainTextFormattedCitation":"(Husni et al., 2024; Suryani et al., 2025)","previouslyFormattedCitation":"(Husni et al., 2024; Suryani et al., 2025)"},"properties":{"noteIndex":0},"schema":"https://github.com/citation-style-language/schema/raw/master/csl-citation.json"}</w:instrText>
      </w:r>
      <w:r w:rsidR="00760498">
        <w:rPr>
          <w:rFonts w:ascii="Times New Roman" w:eastAsia="Times New Roman" w:hAnsi="Times New Roman" w:cs="Times New Roman"/>
          <w:sz w:val="24"/>
          <w:szCs w:val="24"/>
          <w:lang w:val="id-ID"/>
        </w:rPr>
        <w:fldChar w:fldCharType="separate"/>
      </w:r>
      <w:r w:rsidR="00760498" w:rsidRPr="000B265C">
        <w:rPr>
          <w:rFonts w:ascii="Times New Roman" w:eastAsia="Times New Roman" w:hAnsi="Times New Roman" w:cs="Times New Roman"/>
          <w:noProof/>
          <w:sz w:val="24"/>
          <w:szCs w:val="24"/>
          <w:lang w:val="id-ID"/>
        </w:rPr>
        <w:t>(Husni et al., 2024; Suryani et al., 2025)</w:t>
      </w:r>
      <w:r w:rsidR="00760498">
        <w:rPr>
          <w:rFonts w:ascii="Times New Roman" w:eastAsia="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Thus, it can be understood that throughacademic supervision, the development of teachers' literacy and numeracy  competencies can be carried out with the empowerment of interactive multimedia by supervisors. Interactive multimedia is the transmission of data and manipulation of all forms of information, processed in the form of digital data that allows users to interact directly.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{"citationItems":[{"id":"ITEM-1","itemData":{"author":[{"dropping-particle":"","family":"Zulqadri","given":"Dewanto Muhammad","non-dropping-particle":"","parse-names":false,"suffix":""},{"dropping-particle":"","family":"Nurgiyantoro","given":"Burhan","non-dropping-particle":"","parse-names":false,"suffix":""},{"dropping-particle":"","family":"others","given":"","non-dropping-particle":"","parse-names":false,"suffix":""}],"container-title":"JURNAL IPTEKKOM Jurnal Ilmu Pengetahuan \\&amp; Teknologi Informasi","id":"ITEM-1","issue":"1","issued":{"date-parts":[["2023"]]},"page":"103-120","title":"Pengembangan multimedia interaktif berbasis web untuk meningkatkan literasi budaya dan literasi digital siswa kelas V SD/MI","type":"article-journal","volume":"25"},"uris":["http://www.mendeley.com/documents/?uuid=ca574201-2db3-43e8-9282-88cbf1473ff8"]}],"mendeley":{"formattedCitation":"(Zulqadri et al., 2023)","plainTextFormattedCitation":"(Zulqadri et al., 2023)","previouslyFormattedCitation":"(Zulqadri et al., 2023)"},"properties":{"noteIndex":0},"schema":"https://github.com/citation-style-language/schema/raw/master/csl-citation.json"}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(Zulqadri et al., 2023)</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Collaborative learning through digital platforms allows for the creation of shared content and interactive discussions so as to improve literacy skills</w:t>
      </w:r>
      <w:r w:rsidR="00760498">
        <w:rPr>
          <w:rFonts w:ascii="Times New Roman" w:hAnsi="Times New Roman" w:cs="Times New Roman"/>
          <w:sz w:val="24"/>
          <w:szCs w:val="24"/>
          <w:lang w:val="id-ID"/>
        </w:rPr>
        <w:t xml:space="preserve">,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10.9734/ajess/2025/v51i31834","author":[{"dropping-particle":"","family":"Anastasopoulou","given":"Eleni","non-dropping-particle":"","parse-names":false,"suffix":""},{"dropping-particle":"","family":"Konstantina","given":"Gkika","non-dropping-particle":"","parse-names":false,"suffix":""},{"dropping-particle":"","family":"Ioanna","given":"Schoina","non-dropping-particle":"","parse-names":false,"suffix":""},{"dropping-particle":"","family":"Travlou","given":"Chrysi","non-dropping-particle":"","parse-names":false,"suffix":""},{"dropping-particle":"","family":"Evangelia","given":"Mitroyanni","non-dropping-particle":"","parse-names":false,"suffix":""},{"dropping-particle":"","family":"Lyrintzi","given":"Theofania","non-dropping-particle":"","parse-names":false,"suffix":""},{"dropping-particle":"","family":"Lyrintzi","given":"Maria","non-dropping-particle":"","parse-names":false,"suffix":""}],"container-title":"Asian Journal of Education and Social Studies","id":"ITEM-1","issue":"3","issued":{"date-parts":[["2025"]]},"page":"386–396","title":"Use of New Technologies in Primary Education","type":"article-journal","volume":"51"},"uris":["http://www.mendeley.com/documents/?uuid=0284946d-018c-439a-ae08-5d6197820edf"]}],"mendeley":{"formattedCitation":"(Anastasopoulou et al., 2025)","plainTextFormattedCitation":"(Anastasopoulou et al., 2025)","previouslyFormattedCitation":"(Anastasopoulou et al., 2025)"},"properties":{"noteIndex":0},"schema":"https://github.com/citation-style-language/schema/raw/master/csl-citation.json"}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w:t>
      </w:r>
      <w:r w:rsidR="00760498">
        <w:rPr>
          <w:rFonts w:ascii="Times New Roman" w:hAnsi="Times New Roman" w:cs="Times New Roman"/>
          <w:noProof/>
          <w:sz w:val="24"/>
          <w:szCs w:val="24"/>
          <w:lang w:val="id-ID"/>
        </w:rPr>
        <w:t xml:space="preserve">Khumalo MA., 2025; </w:t>
      </w:r>
      <w:r w:rsidR="00760498" w:rsidRPr="000B265C">
        <w:rPr>
          <w:rFonts w:ascii="Times New Roman" w:hAnsi="Times New Roman" w:cs="Times New Roman"/>
          <w:noProof/>
          <w:sz w:val="24"/>
          <w:szCs w:val="24"/>
          <w:lang w:val="id-ID"/>
        </w:rPr>
        <w:t>Anastasopoulou et al., 2025)</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Proper academic supervision affects teachers' teaching ability to improve student achievement,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{"citationItems":[{"id":"ITEM-1","itemData":{"DOI":"10.9734/ajess/2021/v14i330359","author":[{"dropping-particle":"","family":"Alam","given":"Md. Jahangir","non-dropping-particle":"","parse-names":false,"suffix":""},{"dropping-particle":"","family":"Haque","given":"A K M Mahmudul","non-dropping-particle":"","parse-names":false,"suffix":""},{"dropping-particle":"","family":"Banu","given":"Akter","non-dropping-particle":"","parse-names":false,"suffix":""}],"container-title":"Asian Journal of Education and Social Studies","id":"ITEM-1","issue":"4","issued":{"date-parts":[["2021"]]},"page":"1–12","title":"Academic Supervision for Improving Quality Education in Primary Schools of Bangladesh: Concept, Issues and Implications","type":"article-journal","volume":"14"},"uris":["http://www.mendeley.com/documents/?uuid=d6eb9966-19dc-41e4-a2a4-f83dd176ac17"]}],"mendeley":{"formattedCitation":"(Alam et al., 2021)","plainTextFormattedCitation":"(Alam et al., 2021)","previouslyFormattedCitation":"(Alam et al., 2021)"},"properties":{"noteIndex":0},"schema":"https://github.com/citation-style-language/schema/raw/master/csl-citation.json"}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(Alam et al., 2021)</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 xml:space="preserve">. Supervisors can interact directly with teachers using interactive multimedia. The role of academic supervision in building interaction with teachers is a key component in improving teacher competence effectively. </w:t>
      </w:r>
      <w:r w:rsidR="00760498">
        <w:rPr>
          <w:rFonts w:ascii="Times New Roman" w:hAnsi="Times New Roman" w:cs="Times New Roman"/>
          <w:sz w:val="24"/>
          <w:szCs w:val="24"/>
          <w:lang w:val="id-ID"/>
        </w:rPr>
        <w:fldChar w:fldCharType="begin" w:fldLock="1"/>
      </w:r>
      <w:r w:rsidR="00760498">
        <w:rPr>
          <w:rFonts w:ascii="Times New Roman" w:hAnsi="Times New Roman" w:cs="Times New Roman"/>
          <w:sz w:val="24"/>
          <w:szCs w:val="24"/>
          <w:lang w:val="id-ID"/>
        </w:rPr>
        <w:instrText>ADDIN CSL_CITATION {"citationItems":[{"id":"ITEM-1","itemData":{"DOI":"10.2991/assehr.k.220108.034","ISBN":"978-94-6239-518-3","ISSN":"2352-5398","author":[{"dropping-particle":"","family":"Jaenam","given":"Jaenam","non-dropping-particle":"","parse-names":false,"suffix":""},{"dropping-particle":"","family":"Zulkifli","given":"Zulkifli","non-dropping-particle":"","parse-names":false,"suffix":""}],"container-title":"Proceedings of the Annual Civic Education Conference (ACEC 2021)","id":"ITEM-1","issued":{"date-parts":[["2022"]]},"page":"191-195","publisher":"Atlantis Press","title":"Supervision of Learning in Online Learning Perspective in the Pandemic Era of Covid 19","type":"paper-conference"},"uris":["http://www.mendeley.com/documents/?uuid=387b5de4-a00f-4bee-a2ec-cf9c6614074f"]}],"mendeley":{"formattedCitation":"(Jaenam &amp; Zulkifli, 2022)","plainTextFormattedCitation":"(Jaenam &amp; Zulkifli, 2022)","previouslyFormattedCitation":"(Jaenam &amp; Zulkifli, 2022)"},"properties":{"noteIndex":0},"schema":"https://github.com/citation-style-language/schema/raw/master/csl-citation.json"}</w:instrText>
      </w:r>
      <w:r w:rsidR="00760498">
        <w:rPr>
          <w:rFonts w:ascii="Times New Roman" w:hAnsi="Times New Roman" w:cs="Times New Roman"/>
          <w:sz w:val="24"/>
          <w:szCs w:val="24"/>
          <w:lang w:val="id-ID"/>
        </w:rPr>
        <w:fldChar w:fldCharType="separate"/>
      </w:r>
      <w:r w:rsidR="00760498" w:rsidRPr="000B265C">
        <w:rPr>
          <w:rFonts w:ascii="Times New Roman" w:hAnsi="Times New Roman" w:cs="Times New Roman"/>
          <w:noProof/>
          <w:sz w:val="24"/>
          <w:szCs w:val="24"/>
          <w:lang w:val="id-ID"/>
        </w:rPr>
        <w:t>(Jaenam &amp; Zulkifli, 2022)</w:t>
      </w:r>
      <w:r w:rsidR="00760498">
        <w:rPr>
          <w:rFonts w:ascii="Times New Roman" w:hAnsi="Times New Roman" w:cs="Times New Roman"/>
          <w:sz w:val="24"/>
          <w:szCs w:val="24"/>
          <w:lang w:val="id-ID"/>
        </w:rPr>
        <w:fldChar w:fldCharType="end"/>
      </w:r>
      <w:r w:rsidRPr="00F041EC">
        <w:rPr>
          <w:rFonts w:ascii="Times New Roman" w:hAnsi="Times New Roman" w:cs="Times New Roman"/>
          <w:sz w:val="24"/>
          <w:szCs w:val="24"/>
          <w:lang w:val="id-ID"/>
        </w:rPr>
        <w:t>.</w:t>
      </w:r>
    </w:p>
    <w:p w14:paraId="2A01DF90" w14:textId="77777777" w:rsidR="004A6F92" w:rsidRDefault="00F041EC" w:rsidP="004A6F92">
      <w:pPr>
        <w:ind w:firstLine="426"/>
        <w:jc w:val="both"/>
        <w:rPr>
          <w:rFonts w:ascii="Times New Roman" w:hAnsi="Times New Roman" w:cs="Times New Roman"/>
          <w:sz w:val="24"/>
          <w:szCs w:val="24"/>
          <w:lang w:val="id-ID"/>
        </w:rPr>
      </w:pPr>
      <w:r w:rsidRPr="00F041EC">
        <w:rPr>
          <w:rFonts w:ascii="Times New Roman" w:hAnsi="Times New Roman" w:cs="Times New Roman"/>
          <w:sz w:val="24"/>
          <w:szCs w:val="24"/>
          <w:lang w:val="id-ID"/>
        </w:rPr>
        <w:t>One of the solutions to address this problem is the development of interactive multimedia that can be used by supervisors in providing training to improve literacy and numeracy competencies for teachers. This study aims to describe the level of literacy and numeracy competence of elementary school teachers as the basis for the importance of developing interactive multimedia that will be used by supervisors in academic supervision activities.</w:t>
      </w:r>
    </w:p>
    <w:p w14:paraId="24EA5B33" w14:textId="77777777" w:rsidR="003629DE" w:rsidRDefault="003629DE" w:rsidP="004A6F92">
      <w:pPr>
        <w:ind w:firstLine="426"/>
        <w:jc w:val="both"/>
        <w:rPr>
          <w:rFonts w:ascii="Times New Roman" w:hAnsi="Times New Roman" w:cs="Times New Roman"/>
          <w:sz w:val="24"/>
          <w:szCs w:val="24"/>
          <w:lang w:val="id-ID"/>
        </w:rPr>
      </w:pPr>
    </w:p>
    <w:p w14:paraId="4DB97CBB" w14:textId="77777777" w:rsidR="003629DE" w:rsidRDefault="003629DE" w:rsidP="004A6F92">
      <w:pPr>
        <w:ind w:firstLine="426"/>
        <w:jc w:val="both"/>
        <w:rPr>
          <w:rFonts w:ascii="Times New Roman" w:hAnsi="Times New Roman" w:cs="Times New Roman"/>
          <w:sz w:val="24"/>
          <w:szCs w:val="24"/>
          <w:lang w:val="id-ID"/>
        </w:rPr>
      </w:pPr>
    </w:p>
    <w:p w14:paraId="5FF2FD87" w14:textId="77777777" w:rsidR="003629DE" w:rsidRDefault="003629DE" w:rsidP="004A6F92">
      <w:pPr>
        <w:ind w:firstLine="426"/>
        <w:jc w:val="both"/>
        <w:rPr>
          <w:rFonts w:ascii="Times New Roman" w:hAnsi="Times New Roman" w:cs="Times New Roman"/>
          <w:sz w:val="24"/>
          <w:szCs w:val="24"/>
          <w:lang w:val="id-ID"/>
        </w:rPr>
      </w:pPr>
    </w:p>
    <w:p w14:paraId="07F51DF4" w14:textId="77777777" w:rsidR="00EF6EE8" w:rsidRPr="00EF6EE8" w:rsidRDefault="00EF6EE8" w:rsidP="00EF6EE8">
      <w:pPr>
        <w:jc w:val="both"/>
        <w:rPr>
          <w:rFonts w:ascii="Times New Roman" w:hAnsi="Times New Roman" w:cs="Times New Roman"/>
          <w:b/>
          <w:bCs/>
          <w:sz w:val="24"/>
          <w:szCs w:val="24"/>
          <w:lang w:val="id-ID"/>
        </w:rPr>
      </w:pPr>
      <w:r w:rsidRPr="00EF6EE8">
        <w:rPr>
          <w:rFonts w:ascii="Times New Roman" w:hAnsi="Times New Roman" w:cs="Times New Roman"/>
          <w:b/>
          <w:bCs/>
          <w:sz w:val="24"/>
          <w:szCs w:val="24"/>
          <w:lang w:val="id-ID"/>
        </w:rPr>
        <w:t>METHODOLOGY</w:t>
      </w:r>
    </w:p>
    <w:p w14:paraId="618AE16C"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lastRenderedPageBreak/>
        <w:t xml:space="preserve">This research uses a descriptive approach, it is intended to describe systematically and in detail certain characteristics related to natural and engineering phenomena that have occurred or are occurring. </w:t>
      </w:r>
      <w:r w:rsidR="00527118">
        <w:rPr>
          <w:rFonts w:ascii="Times New Roman" w:hAnsi="Times New Roman" w:cs="Times New Roman"/>
          <w:sz w:val="24"/>
          <w:szCs w:val="24"/>
          <w:lang w:val="id-ID"/>
        </w:rPr>
        <w:t>(Zulkifli, et al. 2024)</w:t>
      </w:r>
      <w:r w:rsidRPr="00EF6EE8">
        <w:rPr>
          <w:rFonts w:ascii="Times New Roman" w:hAnsi="Times New Roman" w:cs="Times New Roman"/>
          <w:sz w:val="24"/>
          <w:szCs w:val="24"/>
          <w:lang w:val="id-ID"/>
        </w:rPr>
        <w:t>. The mapping of literacy and numeracy competencies of elementary school teachers is the object of this research as a guideline in the development of interactive multimedia that will be used by supervisors in academic supervision activities to strengthen teachers' literacy and numeracy competencies.</w:t>
      </w:r>
    </w:p>
    <w:p w14:paraId="27F6C686"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t xml:space="preserve">The population of this study is Elementary School Teachers of Cluster One of Kecamata V Koto Kampung Dalam, Padang Pariaman Regency, which totals 60 teachers. This research sample was determined through the study of population research with consideration because the population was less than 100 </w:t>
      </w:r>
      <w:r w:rsidR="00527118" w:rsidRPr="00834EE0">
        <w:rPr>
          <w:rFonts w:ascii="Times New Roman" w:hAnsi="Times New Roman" w:cs="Times New Roman"/>
          <w:sz w:val="24"/>
          <w:szCs w:val="24"/>
          <w:lang w:val="id-ID"/>
        </w:rPr>
        <w:fldChar w:fldCharType="begin" w:fldLock="1"/>
      </w:r>
      <w:r w:rsidR="00527118">
        <w:rPr>
          <w:rFonts w:ascii="Times New Roman" w:hAnsi="Times New Roman" w:cs="Times New Roman"/>
          <w:sz w:val="24"/>
          <w:szCs w:val="24"/>
          <w:lang w:val="id-ID"/>
        </w:rPr>
        <w:instrText>ADDIN CSL_CITATION {"citationItems":[{"id":"ITEM-1","itemData":{"author":[{"dropping-particle":"","family":"Arikunto","given":"Suharsimi","non-dropping-particle":"","parse-names":false,"suffix":""}],"container-title":"Bumi aksara","id":"ITEM-1","issue":"2","issued":{"date-parts":[["2006"]]},"page":"2-3","title":"Prosedur penelitian tindakan kelas","type":"article-journal","volume":"136"},"uris":["http://www.mendeley.com/documents/?uuid=5fca7d76-745a-4039-af39-ab404613804d"]}],"mendeley":{"formattedCitation":"(Arikunto, 2006)","plainTextFormattedCitation":"(Arikunto, 2006)","previouslyFormattedCitation":"(Arikunto, 2006)"},"properties":{"noteIndex":0},"schema":"https://github.com/citation-style-language/schema/raw/master/csl-citation.json"}</w:instrText>
      </w:r>
      <w:r w:rsidR="00527118" w:rsidRPr="00834EE0">
        <w:rPr>
          <w:rFonts w:ascii="Times New Roman" w:hAnsi="Times New Roman" w:cs="Times New Roman"/>
          <w:sz w:val="24"/>
          <w:szCs w:val="24"/>
          <w:lang w:val="id-ID"/>
        </w:rPr>
        <w:fldChar w:fldCharType="separate"/>
      </w:r>
      <w:r w:rsidR="00527118" w:rsidRPr="00834EE0">
        <w:rPr>
          <w:rFonts w:ascii="Times New Roman" w:hAnsi="Times New Roman" w:cs="Times New Roman"/>
          <w:noProof/>
          <w:sz w:val="24"/>
          <w:szCs w:val="24"/>
          <w:lang w:val="id-ID"/>
        </w:rPr>
        <w:t>(Arikunto, 2006)</w:t>
      </w:r>
      <w:r w:rsidR="00527118" w:rsidRPr="00834EE0">
        <w:rPr>
          <w:rFonts w:ascii="Times New Roman" w:hAnsi="Times New Roman" w:cs="Times New Roman"/>
          <w:sz w:val="24"/>
          <w:szCs w:val="24"/>
          <w:lang w:val="id-ID"/>
        </w:rPr>
        <w:fldChar w:fldCharType="end"/>
      </w:r>
      <w:r w:rsidRPr="00EF6EE8">
        <w:rPr>
          <w:rFonts w:ascii="Times New Roman" w:hAnsi="Times New Roman" w:cs="Times New Roman"/>
          <w:sz w:val="24"/>
          <w:szCs w:val="24"/>
          <w:lang w:val="id-ID"/>
        </w:rPr>
        <w:t xml:space="preserve"> The entire population (60) was the respondents in this study. Data were collected using a likert scale questionnaire with alternative answers of Very Good (SB), Good (B), Quite Good (CB), Not Good (KB) and Not Good (TB). The respondent filled out the questionnaire by listing one of the alternative answers that was considered close to the questionnaire statement, filling out the questionnaire was carried out by the respondent through the googleform link.</w:t>
      </w:r>
    </w:p>
    <w:p w14:paraId="412AD7CC" w14:textId="77777777" w:rsidR="00EF6EE8" w:rsidRDefault="00EF6EE8" w:rsidP="00527118">
      <w:pPr>
        <w:ind w:firstLine="426"/>
        <w:jc w:val="both"/>
        <w:rPr>
          <w:rFonts w:ascii="Times New Roman" w:hAnsi="Times New Roman" w:cs="Times New Roman"/>
          <w:sz w:val="24"/>
          <w:szCs w:val="24"/>
          <w:lang w:val="id-ID"/>
        </w:rPr>
      </w:pPr>
      <w:r w:rsidRPr="00EF6EE8">
        <w:rPr>
          <w:rFonts w:ascii="Times New Roman" w:hAnsi="Times New Roman" w:cs="Times New Roman"/>
          <w:sz w:val="24"/>
          <w:szCs w:val="24"/>
          <w:lang w:val="id-ID"/>
        </w:rPr>
        <w:t xml:space="preserve">Data analysis was carried out using a percentage approach assisted by the SPSS program. The criteria for measuring the percentage of literacy and numeracy ability of teachers use two approaches. Teachers' literacy and numeracy competencies are positive if the total score obtained by the respondents from the questionnaire &gt; the total mean, and it is said to be negative if the total score obtained by the respondents from the questionnaire &lt; the total mean. to determine the scale of teachers' literacy and numeracy competency levels using a formula </w:t>
      </w:r>
      <w:r w:rsidR="00527118">
        <w:rPr>
          <w:rFonts w:ascii="Times New Roman" w:hAnsi="Times New Roman" w:cs="Times New Roman"/>
          <w:sz w:val="24"/>
          <w:szCs w:val="24"/>
          <w:lang w:val="id-ID"/>
        </w:rPr>
        <w:fldChar w:fldCharType="begin" w:fldLock="1"/>
      </w:r>
      <w:r w:rsidR="00527118">
        <w:rPr>
          <w:rFonts w:ascii="Times New Roman" w:hAnsi="Times New Roman" w:cs="Times New Roman"/>
          <w:sz w:val="24"/>
          <w:szCs w:val="24"/>
          <w:lang w:val="id-ID"/>
        </w:rPr>
        <w:instrText>ADDIN CSL_CITATION {"citationItems":[{"id":"ITEM-1","itemData":{"author":[{"dropping-particle":"","family":"Sugiyono","given":"Dr","non-dropping-particle":"","parse-names":false,"suffix":""}],"id":"ITEM-1","issued":{"date-parts":[["2013"]]},"publisher":"Alfabeta","title":"Metode penelitian pendidikan pendekatan kuantitatif, kualitatif dan R\\&amp;D","type":"article-journal"},"uris":["http://www.mendeley.com/documents/?uuid=7f20f32c-25a6-4db0-b446-3eefbedfe256"]}],"mendeley":{"formattedCitation":"(Sugiyono, 2013)","plainTextFormattedCitation":"(Sugiyono, 2013)","previouslyFormattedCitation":"(Sugiyono, 2013)"},"properties":{"noteIndex":0},"schema":"https://github.com/citation-style-language/schema/raw/master/csl-citation.json"}</w:instrText>
      </w:r>
      <w:r w:rsidR="00527118">
        <w:rPr>
          <w:rFonts w:ascii="Times New Roman" w:hAnsi="Times New Roman" w:cs="Times New Roman"/>
          <w:sz w:val="24"/>
          <w:szCs w:val="24"/>
          <w:lang w:val="id-ID"/>
        </w:rPr>
        <w:fldChar w:fldCharType="separate"/>
      </w:r>
      <w:r w:rsidR="00527118" w:rsidRPr="00834EE0">
        <w:rPr>
          <w:rFonts w:ascii="Times New Roman" w:hAnsi="Times New Roman" w:cs="Times New Roman"/>
          <w:noProof/>
          <w:sz w:val="24"/>
          <w:szCs w:val="24"/>
          <w:lang w:val="id-ID"/>
        </w:rPr>
        <w:t>(Sugiyono, 2013)</w:t>
      </w:r>
      <w:r w:rsidR="00527118">
        <w:rPr>
          <w:rFonts w:ascii="Times New Roman" w:hAnsi="Times New Roman" w:cs="Times New Roman"/>
          <w:sz w:val="24"/>
          <w:szCs w:val="24"/>
          <w:lang w:val="id-ID"/>
        </w:rPr>
        <w:fldChar w:fldCharType="end"/>
      </w:r>
      <w:r w:rsidRPr="00EF6EE8">
        <w:rPr>
          <w:rFonts w:ascii="Times New Roman" w:hAnsi="Times New Roman" w:cs="Times New Roman"/>
          <w:sz w:val="24"/>
          <w:szCs w:val="24"/>
          <w:lang w:val="id-ID"/>
        </w:rPr>
        <w:t>.</w:t>
      </w:r>
    </w:p>
    <w:p w14:paraId="23A59423" w14:textId="77777777" w:rsidR="00EF6EE8" w:rsidRDefault="00EF6EE8" w:rsidP="00EF6EE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 </w:t>
      </w:r>
      <m:oMath>
        <m:f>
          <m:fPr>
            <m:ctrlPr>
              <w:rPr>
                <w:rFonts w:ascii="Cambria Math" w:hAnsi="Cambria Math" w:cs="Times New Roman"/>
                <w:sz w:val="24"/>
                <w:szCs w:val="24"/>
                <w:lang w:val="id-ID"/>
              </w:rPr>
            </m:ctrlPr>
          </m:fPr>
          <m:num>
            <m:r>
              <w:rPr>
                <w:rFonts w:ascii="Cambria Math" w:hAnsi="Cambria Math" w:cs="Times New Roman"/>
                <w:sz w:val="24"/>
                <w:szCs w:val="24"/>
                <w:lang w:val="id-ID"/>
              </w:rPr>
              <m:t>⅀Score</m:t>
            </m:r>
          </m:num>
          <m:den>
            <m:r>
              <w:rPr>
                <w:rFonts w:ascii="Cambria Math" w:hAnsi="Cambria Math" w:cs="Times New Roman"/>
                <w:sz w:val="24"/>
                <w:szCs w:val="24"/>
                <w:lang w:val="id-ID"/>
              </w:rPr>
              <m:t>⅀Ideal Score</m:t>
            </m:r>
          </m:den>
        </m:f>
        <m:r>
          <w:rPr>
            <w:rFonts w:ascii="Cambria Math" w:hAnsi="Cambria Math" w:cs="Times New Roman"/>
            <w:sz w:val="24"/>
            <w:szCs w:val="24"/>
            <w:lang w:val="id-ID"/>
          </w:rPr>
          <m:t>X 100%</m:t>
        </m:r>
      </m:oMath>
    </w:p>
    <w:p w14:paraId="2230D331" w14:textId="6323770A" w:rsidR="00EF6EE8" w:rsidRDefault="005713FF" w:rsidP="00EF6EE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Table 1-</w:t>
      </w:r>
      <w:r w:rsidR="00EF6EE8" w:rsidRPr="00EF6EE8">
        <w:rPr>
          <w:rFonts w:ascii="Times New Roman" w:hAnsi="Times New Roman" w:cs="Times New Roman"/>
          <w:sz w:val="24"/>
          <w:szCs w:val="24"/>
          <w:lang w:val="id-ID"/>
        </w:rPr>
        <w:t>The scale achievement criteria</w:t>
      </w:r>
      <w:r w:rsidR="00EF6EE8">
        <w:rPr>
          <w:rFonts w:ascii="Times New Roman" w:hAnsi="Times New Roman" w:cs="Times New Roman"/>
          <w:sz w:val="24"/>
          <w:szCs w:val="24"/>
          <w:lang w:val="id-ID"/>
        </w:rPr>
        <w:t>:</w:t>
      </w:r>
    </w:p>
    <w:tbl>
      <w:tblPr>
        <w:tblStyle w:val="TableGrid"/>
        <w:tblW w:w="0" w:type="auto"/>
        <w:tblInd w:w="108" w:type="dxa"/>
        <w:tblLook w:val="04A0" w:firstRow="1" w:lastRow="0" w:firstColumn="1" w:lastColumn="0" w:noHBand="0" w:noVBand="1"/>
      </w:tblPr>
      <w:tblGrid>
        <w:gridCol w:w="1526"/>
        <w:gridCol w:w="1701"/>
      </w:tblGrid>
      <w:tr w:rsidR="00EF6EE8" w14:paraId="02375108" w14:textId="77777777" w:rsidTr="00EF6EE8">
        <w:tc>
          <w:tcPr>
            <w:tcW w:w="1526" w:type="dxa"/>
          </w:tcPr>
          <w:p w14:paraId="4622B56C" w14:textId="77777777" w:rsidR="00EF6EE8" w:rsidRPr="009274C1" w:rsidRDefault="00EF6EE8" w:rsidP="00F53E65">
            <w:pPr>
              <w:pStyle w:val="BodyText"/>
              <w:jc w:val="center"/>
              <w:rPr>
                <w:b/>
                <w:bCs/>
                <w:lang w:val="id-ID"/>
              </w:rPr>
            </w:pPr>
            <w:r>
              <w:rPr>
                <w:b/>
                <w:bCs/>
                <w:lang w:val="id-ID"/>
              </w:rPr>
              <w:t>Weight</w:t>
            </w:r>
          </w:p>
        </w:tc>
        <w:tc>
          <w:tcPr>
            <w:tcW w:w="1701" w:type="dxa"/>
          </w:tcPr>
          <w:p w14:paraId="3C96DA09" w14:textId="77777777" w:rsidR="00EF6EE8" w:rsidRPr="009274C1" w:rsidRDefault="00EF6EE8" w:rsidP="00F53E65">
            <w:pPr>
              <w:pStyle w:val="BodyText"/>
              <w:jc w:val="center"/>
              <w:rPr>
                <w:b/>
                <w:bCs/>
                <w:lang w:val="id-ID"/>
              </w:rPr>
            </w:pPr>
            <w:r>
              <w:rPr>
                <w:b/>
                <w:bCs/>
                <w:lang w:val="id-ID"/>
              </w:rPr>
              <w:t>Category</w:t>
            </w:r>
          </w:p>
        </w:tc>
      </w:tr>
      <w:tr w:rsidR="00EF6EE8" w14:paraId="5A7035CF" w14:textId="77777777" w:rsidTr="00EF6EE8">
        <w:tc>
          <w:tcPr>
            <w:tcW w:w="1526" w:type="dxa"/>
          </w:tcPr>
          <w:p w14:paraId="1F2C5781" w14:textId="77777777" w:rsidR="00EF6EE8" w:rsidRDefault="00EF6EE8" w:rsidP="00F53E65">
            <w:pPr>
              <w:pStyle w:val="BodyText"/>
              <w:rPr>
                <w:lang w:val="id-ID"/>
              </w:rPr>
            </w:pPr>
            <w:r>
              <w:rPr>
                <w:lang w:val="id-ID"/>
              </w:rPr>
              <w:t>91-100</w:t>
            </w:r>
          </w:p>
        </w:tc>
        <w:tc>
          <w:tcPr>
            <w:tcW w:w="1701" w:type="dxa"/>
          </w:tcPr>
          <w:p w14:paraId="0325C12B" w14:textId="77777777" w:rsidR="00EF6EE8" w:rsidRDefault="00EF6EE8" w:rsidP="00F53E65">
            <w:pPr>
              <w:pStyle w:val="BodyText"/>
              <w:rPr>
                <w:lang w:val="id-ID"/>
              </w:rPr>
            </w:pPr>
            <w:r>
              <w:rPr>
                <w:lang w:val="id-ID"/>
              </w:rPr>
              <w:t>Excellent</w:t>
            </w:r>
          </w:p>
        </w:tc>
      </w:tr>
      <w:tr w:rsidR="00EF6EE8" w14:paraId="5B2C2521" w14:textId="77777777" w:rsidTr="00EF6EE8">
        <w:tc>
          <w:tcPr>
            <w:tcW w:w="1526" w:type="dxa"/>
          </w:tcPr>
          <w:p w14:paraId="1DCD1FF8" w14:textId="77777777" w:rsidR="00EF6EE8" w:rsidRDefault="00EF6EE8" w:rsidP="00F53E65">
            <w:pPr>
              <w:pStyle w:val="BodyText"/>
              <w:rPr>
                <w:lang w:val="id-ID"/>
              </w:rPr>
            </w:pPr>
            <w:r>
              <w:rPr>
                <w:lang w:val="id-ID"/>
              </w:rPr>
              <w:t>86-90</w:t>
            </w:r>
          </w:p>
        </w:tc>
        <w:tc>
          <w:tcPr>
            <w:tcW w:w="1701" w:type="dxa"/>
          </w:tcPr>
          <w:p w14:paraId="6150286F" w14:textId="77777777" w:rsidR="00EF6EE8" w:rsidRDefault="00EF6EE8" w:rsidP="00F53E65">
            <w:pPr>
              <w:pStyle w:val="BodyText"/>
              <w:rPr>
                <w:lang w:val="id-ID"/>
              </w:rPr>
            </w:pPr>
            <w:r>
              <w:rPr>
                <w:lang w:val="id-ID"/>
              </w:rPr>
              <w:t>Good</w:t>
            </w:r>
          </w:p>
        </w:tc>
      </w:tr>
      <w:tr w:rsidR="00EF6EE8" w14:paraId="1311F9A4" w14:textId="77777777" w:rsidTr="00EF6EE8">
        <w:tc>
          <w:tcPr>
            <w:tcW w:w="1526" w:type="dxa"/>
          </w:tcPr>
          <w:p w14:paraId="47995807" w14:textId="77777777" w:rsidR="00EF6EE8" w:rsidRDefault="00EF6EE8" w:rsidP="00F53E65">
            <w:pPr>
              <w:pStyle w:val="BodyText"/>
              <w:rPr>
                <w:lang w:val="id-ID"/>
              </w:rPr>
            </w:pPr>
            <w:r>
              <w:rPr>
                <w:lang w:val="id-ID"/>
              </w:rPr>
              <w:t>76-85</w:t>
            </w:r>
          </w:p>
        </w:tc>
        <w:tc>
          <w:tcPr>
            <w:tcW w:w="1701" w:type="dxa"/>
          </w:tcPr>
          <w:p w14:paraId="60D2D3BE" w14:textId="77777777" w:rsidR="00EF6EE8" w:rsidRDefault="00D14FD9" w:rsidP="00D14FD9">
            <w:pPr>
              <w:pStyle w:val="BodyText"/>
              <w:rPr>
                <w:lang w:val="id-ID"/>
              </w:rPr>
            </w:pPr>
            <w:r>
              <w:rPr>
                <w:lang w:val="id-ID"/>
              </w:rPr>
              <w:t>Pretty Good</w:t>
            </w:r>
          </w:p>
        </w:tc>
      </w:tr>
      <w:tr w:rsidR="00EF6EE8" w14:paraId="03FDD450" w14:textId="77777777" w:rsidTr="00EF6EE8">
        <w:tc>
          <w:tcPr>
            <w:tcW w:w="1526" w:type="dxa"/>
          </w:tcPr>
          <w:p w14:paraId="33A2C559" w14:textId="77777777" w:rsidR="00EF6EE8" w:rsidRDefault="00EF6EE8" w:rsidP="00F53E65">
            <w:pPr>
              <w:pStyle w:val="BodyText"/>
              <w:rPr>
                <w:lang w:val="id-ID"/>
              </w:rPr>
            </w:pPr>
            <w:r>
              <w:rPr>
                <w:lang w:val="id-ID"/>
              </w:rPr>
              <w:t>66-75</w:t>
            </w:r>
          </w:p>
        </w:tc>
        <w:tc>
          <w:tcPr>
            <w:tcW w:w="1701" w:type="dxa"/>
          </w:tcPr>
          <w:p w14:paraId="0679A6BA" w14:textId="77777777" w:rsidR="00EF6EE8" w:rsidRDefault="00D14FD9" w:rsidP="00F53E65">
            <w:pPr>
              <w:pStyle w:val="BodyText"/>
              <w:rPr>
                <w:lang w:val="id-ID"/>
              </w:rPr>
            </w:pPr>
            <w:r>
              <w:rPr>
                <w:lang w:val="id-ID"/>
              </w:rPr>
              <w:t>Not Good</w:t>
            </w:r>
          </w:p>
        </w:tc>
      </w:tr>
      <w:tr w:rsidR="00EF6EE8" w14:paraId="1E2ABE5E" w14:textId="77777777" w:rsidTr="00EF6EE8">
        <w:tc>
          <w:tcPr>
            <w:tcW w:w="1526" w:type="dxa"/>
          </w:tcPr>
          <w:p w14:paraId="3BC6B104" w14:textId="77777777" w:rsidR="00EF6EE8" w:rsidRDefault="00EF6EE8" w:rsidP="00F53E65">
            <w:pPr>
              <w:pStyle w:val="BodyText"/>
              <w:rPr>
                <w:lang w:val="id-ID"/>
              </w:rPr>
            </w:pPr>
            <w:r>
              <w:rPr>
                <w:lang w:val="id-ID"/>
              </w:rPr>
              <w:t>&lt;46-55</w:t>
            </w:r>
          </w:p>
        </w:tc>
        <w:tc>
          <w:tcPr>
            <w:tcW w:w="1701" w:type="dxa"/>
          </w:tcPr>
          <w:p w14:paraId="5081C9E2" w14:textId="77777777" w:rsidR="00EF6EE8" w:rsidRDefault="00D14FD9" w:rsidP="00F53E65">
            <w:pPr>
              <w:pStyle w:val="BodyText"/>
              <w:rPr>
                <w:lang w:val="id-ID"/>
              </w:rPr>
            </w:pPr>
            <w:r>
              <w:rPr>
                <w:lang w:val="id-ID"/>
              </w:rPr>
              <w:t>Bad</w:t>
            </w:r>
          </w:p>
        </w:tc>
      </w:tr>
    </w:tbl>
    <w:p w14:paraId="68D5D8C3" w14:textId="77777777" w:rsidR="00EF6EE8" w:rsidRDefault="00EF6EE8" w:rsidP="00EF6EE8">
      <w:pPr>
        <w:jc w:val="both"/>
        <w:rPr>
          <w:rFonts w:ascii="Times New Roman" w:hAnsi="Times New Roman" w:cs="Times New Roman"/>
          <w:sz w:val="24"/>
          <w:szCs w:val="24"/>
          <w:lang w:val="id-ID"/>
        </w:rPr>
      </w:pPr>
    </w:p>
    <w:p w14:paraId="6EE9AF04" w14:textId="77777777" w:rsidR="003629DE" w:rsidRDefault="003629DE" w:rsidP="00EF6EE8">
      <w:pPr>
        <w:jc w:val="both"/>
        <w:rPr>
          <w:rFonts w:ascii="Times New Roman" w:hAnsi="Times New Roman" w:cs="Times New Roman"/>
          <w:sz w:val="24"/>
          <w:szCs w:val="24"/>
          <w:lang w:val="id-ID"/>
        </w:rPr>
      </w:pPr>
    </w:p>
    <w:p w14:paraId="15EC282A" w14:textId="77777777" w:rsidR="003629DE" w:rsidRDefault="003629DE" w:rsidP="00EF6EE8">
      <w:pPr>
        <w:jc w:val="both"/>
        <w:rPr>
          <w:rFonts w:ascii="Times New Roman" w:hAnsi="Times New Roman" w:cs="Times New Roman"/>
          <w:sz w:val="24"/>
          <w:szCs w:val="24"/>
          <w:lang w:val="id-ID"/>
        </w:rPr>
      </w:pPr>
    </w:p>
    <w:p w14:paraId="1FCD828A" w14:textId="77777777" w:rsidR="003629DE" w:rsidRDefault="003629DE" w:rsidP="00EF6EE8">
      <w:pPr>
        <w:jc w:val="both"/>
        <w:rPr>
          <w:rFonts w:ascii="Times New Roman" w:hAnsi="Times New Roman" w:cs="Times New Roman"/>
          <w:sz w:val="24"/>
          <w:szCs w:val="24"/>
          <w:lang w:val="id-ID"/>
        </w:rPr>
      </w:pPr>
    </w:p>
    <w:p w14:paraId="2A15B336" w14:textId="77777777" w:rsidR="003629DE" w:rsidRDefault="003629DE" w:rsidP="00EF6EE8">
      <w:pPr>
        <w:jc w:val="both"/>
        <w:rPr>
          <w:rFonts w:ascii="Times New Roman" w:hAnsi="Times New Roman" w:cs="Times New Roman"/>
          <w:sz w:val="24"/>
          <w:szCs w:val="24"/>
          <w:lang w:val="id-ID"/>
        </w:rPr>
      </w:pPr>
    </w:p>
    <w:p w14:paraId="1D88F89C" w14:textId="77777777" w:rsidR="003629DE" w:rsidRPr="0023618A" w:rsidRDefault="003629DE" w:rsidP="00EF6EE8">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t>RESULTS OF RESEARCH AND DISCUSSION</w:t>
      </w:r>
    </w:p>
    <w:p w14:paraId="2AB631EB" w14:textId="77777777" w:rsidR="003629DE" w:rsidRPr="0023618A" w:rsidRDefault="003629DE" w:rsidP="00EF6EE8">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lastRenderedPageBreak/>
        <w:t>Results</w:t>
      </w:r>
    </w:p>
    <w:p w14:paraId="2AA5D585" w14:textId="77777777" w:rsidR="007E6055" w:rsidRDefault="007E6055" w:rsidP="007E6055">
      <w:pPr>
        <w:ind w:firstLine="426"/>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 xml:space="preserve">  The empirical data described in this study is related to the identification of literacy and numeracy competencies of teachers. The identification of teachers' literacy and numeracy competencies includes aspects of the learning environment, learning and assessment, and cultural aspects of teacher literacy and numeracy.  </w:t>
      </w:r>
    </w:p>
    <w:p w14:paraId="36FD1E4B" w14:textId="77777777" w:rsidR="007E6055" w:rsidRDefault="007E6055" w:rsidP="007E6055">
      <w:pPr>
        <w:pStyle w:val="ListParagraph"/>
        <w:numPr>
          <w:ilvl w:val="0"/>
          <w:numId w:val="1"/>
        </w:numPr>
        <w:ind w:left="284" w:hanging="284"/>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Teacher Literacy Competence</w:t>
      </w:r>
    </w:p>
    <w:p w14:paraId="277FE7F5" w14:textId="77777777" w:rsidR="007E6055" w:rsidRDefault="007E6055" w:rsidP="007E6055">
      <w:pPr>
        <w:pStyle w:val="ListParagraph"/>
        <w:ind w:left="284" w:firstLine="436"/>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The findings of the research on the aspect of teacher literacy competence from three sub-variables, namely, learning environment, learning and assessment, and the cultural aspect of teacher literacy can be presented in table 2 below.</w:t>
      </w:r>
    </w:p>
    <w:p w14:paraId="70F26B22" w14:textId="77777777" w:rsidR="007E6055" w:rsidRPr="007E6055" w:rsidRDefault="007E6055" w:rsidP="007E6055">
      <w:pPr>
        <w:pStyle w:val="NoSpacing"/>
        <w:ind w:firstLine="284"/>
        <w:rPr>
          <w:rFonts w:ascii="Times New Roman" w:hAnsi="Times New Roman" w:cs="Times New Roman"/>
          <w:b/>
          <w:bCs/>
          <w:sz w:val="24"/>
          <w:szCs w:val="24"/>
          <w:lang w:val="id-ID"/>
        </w:rPr>
      </w:pPr>
      <w:r w:rsidRPr="007E6055">
        <w:rPr>
          <w:rFonts w:ascii="Times New Roman" w:hAnsi="Times New Roman" w:cs="Times New Roman"/>
          <w:b/>
          <w:bCs/>
          <w:sz w:val="24"/>
          <w:szCs w:val="24"/>
          <w:lang w:val="id-ID"/>
        </w:rPr>
        <w:t>Table 2. Competence Teacher Literacy</w:t>
      </w:r>
    </w:p>
    <w:tbl>
      <w:tblPr>
        <w:tblStyle w:val="TableGrid"/>
        <w:tblW w:w="7371" w:type="dxa"/>
        <w:tblInd w:w="392" w:type="dxa"/>
        <w:tblLook w:val="04A0" w:firstRow="1" w:lastRow="0" w:firstColumn="1" w:lastColumn="0" w:noHBand="0" w:noVBand="1"/>
      </w:tblPr>
      <w:tblGrid>
        <w:gridCol w:w="2410"/>
        <w:gridCol w:w="1275"/>
        <w:gridCol w:w="2268"/>
        <w:gridCol w:w="1418"/>
      </w:tblGrid>
      <w:tr w:rsidR="007E6055" w14:paraId="77D34409" w14:textId="77777777" w:rsidTr="007E6055">
        <w:tc>
          <w:tcPr>
            <w:tcW w:w="2410" w:type="dxa"/>
          </w:tcPr>
          <w:p w14:paraId="1F04DBFC" w14:textId="77777777" w:rsidR="007E6055" w:rsidRPr="00B94274" w:rsidRDefault="007E6055" w:rsidP="00F53E65">
            <w:pPr>
              <w:pStyle w:val="BodyText"/>
              <w:jc w:val="center"/>
              <w:rPr>
                <w:b/>
                <w:bCs/>
                <w:lang w:val="id-ID"/>
              </w:rPr>
            </w:pPr>
            <w:r w:rsidRPr="00B94274">
              <w:rPr>
                <w:b/>
                <w:bCs/>
                <w:lang w:val="id-ID"/>
              </w:rPr>
              <w:t>Indicator</w:t>
            </w:r>
          </w:p>
        </w:tc>
        <w:tc>
          <w:tcPr>
            <w:tcW w:w="1275" w:type="dxa"/>
          </w:tcPr>
          <w:p w14:paraId="187803ED" w14:textId="77777777" w:rsidR="007E6055" w:rsidRPr="00B94274" w:rsidRDefault="007E6055" w:rsidP="00F53E65">
            <w:pPr>
              <w:pStyle w:val="BodyText"/>
              <w:jc w:val="center"/>
              <w:rPr>
                <w:b/>
                <w:bCs/>
                <w:lang w:val="id-ID"/>
              </w:rPr>
            </w:pPr>
            <w:r w:rsidRPr="00B94274">
              <w:rPr>
                <w:b/>
                <w:bCs/>
                <w:lang w:val="id-ID"/>
              </w:rPr>
              <w:t>Average</w:t>
            </w:r>
          </w:p>
        </w:tc>
        <w:tc>
          <w:tcPr>
            <w:tcW w:w="2268" w:type="dxa"/>
          </w:tcPr>
          <w:p w14:paraId="4F3B6979" w14:textId="77777777" w:rsidR="007E6055" w:rsidRPr="00B94274" w:rsidRDefault="007E6055" w:rsidP="00F53E65">
            <w:pPr>
              <w:pStyle w:val="BodyText"/>
              <w:jc w:val="center"/>
              <w:rPr>
                <w:b/>
                <w:bCs/>
                <w:lang w:val="id-ID"/>
              </w:rPr>
            </w:pPr>
            <w:r w:rsidRPr="00B94274">
              <w:rPr>
                <w:b/>
                <w:bCs/>
                <w:lang w:val="id-ID"/>
              </w:rPr>
              <w:t>Achievement (%)</w:t>
            </w:r>
          </w:p>
        </w:tc>
        <w:tc>
          <w:tcPr>
            <w:tcW w:w="1418" w:type="dxa"/>
          </w:tcPr>
          <w:p w14:paraId="354A20A6" w14:textId="77777777" w:rsidR="007E6055" w:rsidRPr="00B94274" w:rsidRDefault="007E6055" w:rsidP="00F53E65">
            <w:pPr>
              <w:pStyle w:val="BodyText"/>
              <w:jc w:val="center"/>
              <w:rPr>
                <w:b/>
                <w:bCs/>
                <w:lang w:val="id-ID"/>
              </w:rPr>
            </w:pPr>
            <w:r w:rsidRPr="00B94274">
              <w:rPr>
                <w:b/>
                <w:bCs/>
                <w:lang w:val="id-ID"/>
              </w:rPr>
              <w:t>Category</w:t>
            </w:r>
          </w:p>
        </w:tc>
      </w:tr>
      <w:tr w:rsidR="007E6055" w14:paraId="301B35F4" w14:textId="77777777" w:rsidTr="007E6055">
        <w:tc>
          <w:tcPr>
            <w:tcW w:w="2410" w:type="dxa"/>
          </w:tcPr>
          <w:p w14:paraId="7EE61543" w14:textId="77777777" w:rsidR="007E6055" w:rsidRPr="003155B8" w:rsidRDefault="007E6055" w:rsidP="00F53E65">
            <w:pPr>
              <w:pStyle w:val="BodyText"/>
              <w:rPr>
                <w:sz w:val="22"/>
                <w:szCs w:val="22"/>
                <w:lang w:val="id-ID"/>
              </w:rPr>
            </w:pPr>
            <w:r w:rsidRPr="003155B8">
              <w:rPr>
                <w:sz w:val="22"/>
                <w:szCs w:val="22"/>
                <w:lang w:val="id-ID"/>
              </w:rPr>
              <w:t>Learning environment</w:t>
            </w:r>
          </w:p>
        </w:tc>
        <w:tc>
          <w:tcPr>
            <w:tcW w:w="1275" w:type="dxa"/>
          </w:tcPr>
          <w:p w14:paraId="5BCA9F41" w14:textId="77777777" w:rsidR="007E6055" w:rsidRPr="003155B8" w:rsidRDefault="007E6055"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4,11</w:t>
            </w:r>
          </w:p>
        </w:tc>
        <w:tc>
          <w:tcPr>
            <w:tcW w:w="2268" w:type="dxa"/>
          </w:tcPr>
          <w:p w14:paraId="074C5A75" w14:textId="77777777" w:rsidR="007E6055" w:rsidRPr="003155B8" w:rsidRDefault="007E6055"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82</w:t>
            </w:r>
          </w:p>
        </w:tc>
        <w:tc>
          <w:tcPr>
            <w:tcW w:w="1418" w:type="dxa"/>
          </w:tcPr>
          <w:p w14:paraId="1736E5D1" w14:textId="77777777" w:rsidR="007E6055" w:rsidRPr="003155B8" w:rsidRDefault="007E6055" w:rsidP="00F53E65">
            <w:pPr>
              <w:pStyle w:val="BodyText"/>
              <w:jc w:val="center"/>
              <w:rPr>
                <w:sz w:val="22"/>
                <w:szCs w:val="22"/>
                <w:lang w:val="id-ID"/>
              </w:rPr>
            </w:pPr>
            <w:r w:rsidRPr="003155B8">
              <w:rPr>
                <w:sz w:val="22"/>
                <w:szCs w:val="22"/>
                <w:lang w:val="id-ID"/>
              </w:rPr>
              <w:t>Pretty Good</w:t>
            </w:r>
          </w:p>
        </w:tc>
      </w:tr>
      <w:tr w:rsidR="007E6055" w14:paraId="511D64EC" w14:textId="77777777" w:rsidTr="007E6055">
        <w:tc>
          <w:tcPr>
            <w:tcW w:w="2410" w:type="dxa"/>
          </w:tcPr>
          <w:p w14:paraId="1EF19FDE" w14:textId="77777777" w:rsidR="007E6055" w:rsidRPr="003155B8" w:rsidRDefault="007E6055" w:rsidP="00F53E65">
            <w:pPr>
              <w:pStyle w:val="BodyText"/>
              <w:rPr>
                <w:sz w:val="22"/>
                <w:szCs w:val="22"/>
                <w:lang w:val="id-ID"/>
              </w:rPr>
            </w:pPr>
            <w:r w:rsidRPr="003155B8">
              <w:rPr>
                <w:sz w:val="22"/>
                <w:szCs w:val="22"/>
                <w:lang w:val="id-ID"/>
              </w:rPr>
              <w:t>Learningand assessment</w:t>
            </w:r>
          </w:p>
        </w:tc>
        <w:tc>
          <w:tcPr>
            <w:tcW w:w="1275" w:type="dxa"/>
          </w:tcPr>
          <w:p w14:paraId="368ED367" w14:textId="77777777" w:rsidR="007E6055" w:rsidRPr="003155B8" w:rsidRDefault="007E6055"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4,44</w:t>
            </w:r>
          </w:p>
        </w:tc>
        <w:tc>
          <w:tcPr>
            <w:tcW w:w="2268" w:type="dxa"/>
          </w:tcPr>
          <w:p w14:paraId="2050E266" w14:textId="77777777" w:rsidR="007E6055" w:rsidRPr="003155B8" w:rsidRDefault="007E6055"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88,79</w:t>
            </w:r>
          </w:p>
        </w:tc>
        <w:tc>
          <w:tcPr>
            <w:tcW w:w="1418" w:type="dxa"/>
          </w:tcPr>
          <w:p w14:paraId="5A0A1D93" w14:textId="77777777" w:rsidR="007E6055" w:rsidRPr="003155B8" w:rsidRDefault="007E6055"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Good</w:t>
            </w:r>
          </w:p>
        </w:tc>
      </w:tr>
      <w:tr w:rsidR="007E6055" w14:paraId="4BF11DFA" w14:textId="77777777" w:rsidTr="007E6055">
        <w:tc>
          <w:tcPr>
            <w:tcW w:w="2410" w:type="dxa"/>
          </w:tcPr>
          <w:p w14:paraId="6FB58760" w14:textId="77777777" w:rsidR="007E6055" w:rsidRPr="003155B8" w:rsidRDefault="007E6055" w:rsidP="00F53E65">
            <w:pPr>
              <w:pStyle w:val="BodyText"/>
              <w:rPr>
                <w:sz w:val="22"/>
                <w:szCs w:val="22"/>
                <w:lang w:val="id-ID"/>
              </w:rPr>
            </w:pPr>
            <w:r w:rsidRPr="003155B8">
              <w:rPr>
                <w:sz w:val="22"/>
                <w:szCs w:val="22"/>
                <w:lang w:val="id-ID"/>
              </w:rPr>
              <w:t>Teacher literacy culture</w:t>
            </w:r>
          </w:p>
        </w:tc>
        <w:tc>
          <w:tcPr>
            <w:tcW w:w="1275" w:type="dxa"/>
          </w:tcPr>
          <w:p w14:paraId="22175F52" w14:textId="77777777" w:rsidR="007E6055" w:rsidRPr="003155B8" w:rsidRDefault="007E6055"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3,95</w:t>
            </w:r>
          </w:p>
        </w:tc>
        <w:tc>
          <w:tcPr>
            <w:tcW w:w="2268" w:type="dxa"/>
          </w:tcPr>
          <w:p w14:paraId="75B08090" w14:textId="77777777" w:rsidR="007E6055" w:rsidRPr="003155B8" w:rsidRDefault="007E6055"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78,93</w:t>
            </w:r>
          </w:p>
        </w:tc>
        <w:tc>
          <w:tcPr>
            <w:tcW w:w="1418" w:type="dxa"/>
          </w:tcPr>
          <w:p w14:paraId="0F4101DC" w14:textId="77777777" w:rsidR="007E6055" w:rsidRPr="003155B8" w:rsidRDefault="007E6055"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Pretty Good</w:t>
            </w:r>
          </w:p>
        </w:tc>
      </w:tr>
      <w:tr w:rsidR="007E6055" w:rsidRPr="00B94274" w14:paraId="2A515262" w14:textId="77777777" w:rsidTr="007E6055">
        <w:tc>
          <w:tcPr>
            <w:tcW w:w="2410" w:type="dxa"/>
          </w:tcPr>
          <w:p w14:paraId="7C17DD7A" w14:textId="77777777" w:rsidR="007E6055" w:rsidRPr="003155B8" w:rsidRDefault="007E6055" w:rsidP="007E6055">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Total Grade Point Average</w:t>
            </w:r>
          </w:p>
        </w:tc>
        <w:tc>
          <w:tcPr>
            <w:tcW w:w="1275" w:type="dxa"/>
          </w:tcPr>
          <w:p w14:paraId="3A989379" w14:textId="77777777" w:rsidR="007E6055" w:rsidRPr="003155B8" w:rsidRDefault="007E6055" w:rsidP="00F53E65">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4,16</w:t>
            </w:r>
          </w:p>
        </w:tc>
        <w:tc>
          <w:tcPr>
            <w:tcW w:w="2268" w:type="dxa"/>
          </w:tcPr>
          <w:p w14:paraId="0A5E5011" w14:textId="77777777" w:rsidR="007E6055" w:rsidRPr="003155B8" w:rsidRDefault="007E6055" w:rsidP="00F53E65">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83,24</w:t>
            </w:r>
          </w:p>
        </w:tc>
        <w:tc>
          <w:tcPr>
            <w:tcW w:w="1418" w:type="dxa"/>
          </w:tcPr>
          <w:p w14:paraId="5F325E1C" w14:textId="77777777" w:rsidR="007E6055" w:rsidRPr="003155B8" w:rsidRDefault="007E6055" w:rsidP="00F53E65">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Pretty Good</w:t>
            </w:r>
          </w:p>
        </w:tc>
      </w:tr>
    </w:tbl>
    <w:p w14:paraId="0CD236E5" w14:textId="77777777" w:rsidR="007E6055" w:rsidRDefault="007E6055" w:rsidP="007E6055">
      <w:pPr>
        <w:pStyle w:val="ListParagraph"/>
        <w:ind w:left="284" w:firstLine="436"/>
        <w:jc w:val="both"/>
        <w:rPr>
          <w:rFonts w:ascii="Times New Roman" w:hAnsi="Times New Roman" w:cs="Times New Roman"/>
          <w:sz w:val="24"/>
          <w:szCs w:val="24"/>
          <w:lang w:val="id-ID"/>
        </w:rPr>
      </w:pPr>
      <w:r w:rsidRPr="007E6055">
        <w:rPr>
          <w:rFonts w:ascii="Times New Roman" w:hAnsi="Times New Roman" w:cs="Times New Roman"/>
          <w:sz w:val="24"/>
          <w:szCs w:val="24"/>
          <w:lang w:val="id-ID"/>
        </w:rPr>
        <w:t>In table 2 above, it shows that the level of teacher literacy competence from each of these indicators has two indicators at the level of achievement of the category that is quite good, namely the learning environment with an average score of 4.11 at an achievement level of 82%, and the teacher literacy culture indicator has an average score of 3.95 at an achievement level of 78.93%. Meanwhile, the learning and assessment indicators were in the good category with an average score of 4.44 with an achievement rate of 88.79%. In general, of the three sub-variables of literacy competency of elementary school teachers with an average score of 4.16 and a percentage achievement rate of 83.24%, they are in the category of quite good. For more details, it can be described based on each indicator as follows:</w:t>
      </w:r>
    </w:p>
    <w:p w14:paraId="7790B8FE" w14:textId="77777777" w:rsidR="007E6055" w:rsidRDefault="007E6055" w:rsidP="003155B8">
      <w:pPr>
        <w:pStyle w:val="ListParagraph"/>
        <w:numPr>
          <w:ilvl w:val="0"/>
          <w:numId w:val="2"/>
        </w:numPr>
        <w:ind w:left="567" w:hanging="283"/>
        <w:jc w:val="both"/>
        <w:rPr>
          <w:rFonts w:ascii="Times New Roman" w:hAnsi="Times New Roman" w:cs="Times New Roman"/>
          <w:sz w:val="24"/>
          <w:szCs w:val="24"/>
          <w:lang w:val="id-ID"/>
        </w:rPr>
      </w:pPr>
      <w:r w:rsidRPr="003155B8">
        <w:rPr>
          <w:rFonts w:ascii="Times New Roman" w:hAnsi="Times New Roman" w:cs="Times New Roman"/>
          <w:sz w:val="24"/>
          <w:szCs w:val="24"/>
          <w:lang w:val="id-ID"/>
        </w:rPr>
        <w:t>Learning Environment</w:t>
      </w:r>
    </w:p>
    <w:p w14:paraId="0615E542" w14:textId="77777777" w:rsidR="003155B8" w:rsidRPr="003155B8" w:rsidRDefault="003155B8" w:rsidP="003155B8">
      <w:pPr>
        <w:pStyle w:val="NoSpacing"/>
        <w:ind w:firstLine="567"/>
        <w:rPr>
          <w:rFonts w:asciiTheme="majorBidi" w:hAnsiTheme="majorBidi" w:cstheme="majorBidi"/>
          <w:b/>
          <w:bCs/>
          <w:sz w:val="24"/>
          <w:szCs w:val="24"/>
          <w:lang w:val="id-ID"/>
        </w:rPr>
      </w:pPr>
      <w:r w:rsidRPr="003155B8">
        <w:rPr>
          <w:rFonts w:asciiTheme="majorBidi" w:hAnsiTheme="majorBidi" w:cstheme="majorBidi"/>
          <w:b/>
          <w:bCs/>
          <w:sz w:val="24"/>
          <w:szCs w:val="24"/>
          <w:lang w:val="id-ID"/>
        </w:rPr>
        <w:t>Table 3. Environmental Management Skills</w:t>
      </w:r>
    </w:p>
    <w:tbl>
      <w:tblPr>
        <w:tblStyle w:val="TableGrid"/>
        <w:tblW w:w="7371" w:type="dxa"/>
        <w:tblInd w:w="675" w:type="dxa"/>
        <w:tblLook w:val="04A0" w:firstRow="1" w:lastRow="0" w:firstColumn="1" w:lastColumn="0" w:noHBand="0" w:noVBand="1"/>
      </w:tblPr>
      <w:tblGrid>
        <w:gridCol w:w="2410"/>
        <w:gridCol w:w="1275"/>
        <w:gridCol w:w="2268"/>
        <w:gridCol w:w="1418"/>
      </w:tblGrid>
      <w:tr w:rsidR="003155B8" w14:paraId="6A1C88F9" w14:textId="77777777" w:rsidTr="00F53E65">
        <w:tc>
          <w:tcPr>
            <w:tcW w:w="2410" w:type="dxa"/>
          </w:tcPr>
          <w:p w14:paraId="1108C78E" w14:textId="77777777" w:rsidR="003155B8" w:rsidRPr="00B94274" w:rsidRDefault="003155B8" w:rsidP="00F53E65">
            <w:pPr>
              <w:pStyle w:val="BodyText"/>
              <w:jc w:val="center"/>
              <w:rPr>
                <w:b/>
                <w:bCs/>
                <w:lang w:val="id-ID"/>
              </w:rPr>
            </w:pPr>
            <w:r w:rsidRPr="00B94274">
              <w:rPr>
                <w:b/>
                <w:bCs/>
                <w:lang w:val="id-ID"/>
              </w:rPr>
              <w:t>Indicator</w:t>
            </w:r>
          </w:p>
        </w:tc>
        <w:tc>
          <w:tcPr>
            <w:tcW w:w="1275" w:type="dxa"/>
          </w:tcPr>
          <w:p w14:paraId="18DC5D5E" w14:textId="77777777" w:rsidR="003155B8" w:rsidRPr="00B94274" w:rsidRDefault="003155B8" w:rsidP="00F53E65">
            <w:pPr>
              <w:pStyle w:val="BodyText"/>
              <w:jc w:val="center"/>
              <w:rPr>
                <w:b/>
                <w:bCs/>
                <w:lang w:val="id-ID"/>
              </w:rPr>
            </w:pPr>
            <w:r w:rsidRPr="00B94274">
              <w:rPr>
                <w:b/>
                <w:bCs/>
                <w:lang w:val="id-ID"/>
              </w:rPr>
              <w:t>Average</w:t>
            </w:r>
          </w:p>
        </w:tc>
        <w:tc>
          <w:tcPr>
            <w:tcW w:w="2268" w:type="dxa"/>
          </w:tcPr>
          <w:p w14:paraId="58F69D43" w14:textId="77777777" w:rsidR="003155B8" w:rsidRPr="00B94274" w:rsidRDefault="003155B8" w:rsidP="00F53E65">
            <w:pPr>
              <w:pStyle w:val="BodyText"/>
              <w:jc w:val="center"/>
              <w:rPr>
                <w:b/>
                <w:bCs/>
                <w:lang w:val="id-ID"/>
              </w:rPr>
            </w:pPr>
            <w:r w:rsidRPr="00B94274">
              <w:rPr>
                <w:b/>
                <w:bCs/>
                <w:lang w:val="id-ID"/>
              </w:rPr>
              <w:t>Achievement (%)</w:t>
            </w:r>
          </w:p>
        </w:tc>
        <w:tc>
          <w:tcPr>
            <w:tcW w:w="1418" w:type="dxa"/>
          </w:tcPr>
          <w:p w14:paraId="07FC0370" w14:textId="77777777" w:rsidR="003155B8" w:rsidRPr="00B94274" w:rsidRDefault="003155B8" w:rsidP="00F53E65">
            <w:pPr>
              <w:pStyle w:val="BodyText"/>
              <w:jc w:val="center"/>
              <w:rPr>
                <w:b/>
                <w:bCs/>
                <w:lang w:val="id-ID"/>
              </w:rPr>
            </w:pPr>
            <w:r w:rsidRPr="00B94274">
              <w:rPr>
                <w:b/>
                <w:bCs/>
                <w:lang w:val="id-ID"/>
              </w:rPr>
              <w:t>Category</w:t>
            </w:r>
          </w:p>
        </w:tc>
      </w:tr>
      <w:tr w:rsidR="003155B8" w14:paraId="501B7F9C" w14:textId="77777777" w:rsidTr="00F53E65">
        <w:tc>
          <w:tcPr>
            <w:tcW w:w="2410" w:type="dxa"/>
          </w:tcPr>
          <w:p w14:paraId="63BF9584" w14:textId="77777777" w:rsidR="003155B8" w:rsidRPr="003155B8" w:rsidRDefault="003155B8" w:rsidP="00F53E65">
            <w:pPr>
              <w:pStyle w:val="BodyText"/>
              <w:rPr>
                <w:sz w:val="22"/>
                <w:szCs w:val="22"/>
                <w:lang w:val="id-ID"/>
              </w:rPr>
            </w:pPr>
            <w:r w:rsidRPr="003155B8">
              <w:rPr>
                <w:sz w:val="22"/>
                <w:szCs w:val="22"/>
                <w:lang w:val="id-ID"/>
              </w:rPr>
              <w:t>Understanding strategy</w:t>
            </w:r>
          </w:p>
        </w:tc>
        <w:tc>
          <w:tcPr>
            <w:tcW w:w="1275" w:type="dxa"/>
          </w:tcPr>
          <w:p w14:paraId="47D7D9B8" w14:textId="77777777" w:rsidR="003155B8" w:rsidRPr="003155B8" w:rsidRDefault="003155B8" w:rsidP="00F53E65">
            <w:pPr>
              <w:pStyle w:val="BodyText"/>
              <w:jc w:val="center"/>
              <w:rPr>
                <w:sz w:val="22"/>
                <w:szCs w:val="22"/>
                <w:lang w:val="id-ID"/>
              </w:rPr>
            </w:pPr>
            <w:r w:rsidRPr="003155B8">
              <w:rPr>
                <w:sz w:val="22"/>
                <w:szCs w:val="22"/>
                <w:lang w:val="id-ID"/>
              </w:rPr>
              <w:t>3,95</w:t>
            </w:r>
          </w:p>
        </w:tc>
        <w:tc>
          <w:tcPr>
            <w:tcW w:w="2268" w:type="dxa"/>
          </w:tcPr>
          <w:p w14:paraId="3EC84FD8" w14:textId="77777777" w:rsidR="003155B8" w:rsidRPr="003155B8" w:rsidRDefault="003155B8" w:rsidP="00F53E65">
            <w:pPr>
              <w:pStyle w:val="BodyText"/>
              <w:jc w:val="center"/>
              <w:rPr>
                <w:sz w:val="22"/>
                <w:szCs w:val="22"/>
                <w:lang w:val="id-ID"/>
              </w:rPr>
            </w:pPr>
            <w:r w:rsidRPr="003155B8">
              <w:rPr>
                <w:sz w:val="22"/>
                <w:szCs w:val="22"/>
                <w:lang w:val="id-ID"/>
              </w:rPr>
              <w:t>79,09</w:t>
            </w:r>
          </w:p>
        </w:tc>
        <w:tc>
          <w:tcPr>
            <w:tcW w:w="1418" w:type="dxa"/>
          </w:tcPr>
          <w:p w14:paraId="25ABEFCE" w14:textId="77777777" w:rsidR="003155B8" w:rsidRPr="003155B8" w:rsidRDefault="003155B8" w:rsidP="003155B8">
            <w:pPr>
              <w:pStyle w:val="BodyText"/>
              <w:rPr>
                <w:sz w:val="22"/>
                <w:szCs w:val="22"/>
                <w:lang w:val="id-ID"/>
              </w:rPr>
            </w:pPr>
            <w:r w:rsidRPr="003155B8">
              <w:rPr>
                <w:sz w:val="22"/>
                <w:szCs w:val="22"/>
                <w:lang w:val="id-ID"/>
              </w:rPr>
              <w:t>Pretty Good</w:t>
            </w:r>
          </w:p>
        </w:tc>
      </w:tr>
      <w:tr w:rsidR="003155B8" w14:paraId="15B53C3B" w14:textId="77777777" w:rsidTr="00F53E65">
        <w:tc>
          <w:tcPr>
            <w:tcW w:w="2410" w:type="dxa"/>
          </w:tcPr>
          <w:p w14:paraId="49FB7257" w14:textId="77777777" w:rsidR="003155B8" w:rsidRPr="003155B8" w:rsidRDefault="003155B8" w:rsidP="00F53E65">
            <w:pPr>
              <w:pStyle w:val="BodyText"/>
              <w:rPr>
                <w:sz w:val="22"/>
                <w:szCs w:val="22"/>
                <w:lang w:val="id-ID"/>
              </w:rPr>
            </w:pPr>
            <w:r w:rsidRPr="003155B8">
              <w:rPr>
                <w:sz w:val="22"/>
                <w:szCs w:val="22"/>
                <w:lang w:val="id-ID"/>
              </w:rPr>
              <w:t xml:space="preserve">Management </w:t>
            </w:r>
          </w:p>
        </w:tc>
        <w:tc>
          <w:tcPr>
            <w:tcW w:w="1275" w:type="dxa"/>
            <w:vAlign w:val="center"/>
          </w:tcPr>
          <w:p w14:paraId="4E5E584F" w14:textId="77777777" w:rsidR="003155B8" w:rsidRPr="003155B8" w:rsidRDefault="003155B8" w:rsidP="00F53E65">
            <w:pPr>
              <w:pStyle w:val="BodyText"/>
              <w:jc w:val="center"/>
              <w:rPr>
                <w:sz w:val="22"/>
                <w:szCs w:val="22"/>
                <w:lang w:val="id-ID"/>
              </w:rPr>
            </w:pPr>
            <w:r w:rsidRPr="003155B8">
              <w:rPr>
                <w:sz w:val="22"/>
                <w:szCs w:val="22"/>
                <w:lang w:val="id-ID"/>
              </w:rPr>
              <w:t>3,82</w:t>
            </w:r>
          </w:p>
        </w:tc>
        <w:tc>
          <w:tcPr>
            <w:tcW w:w="2268" w:type="dxa"/>
            <w:vAlign w:val="bottom"/>
          </w:tcPr>
          <w:p w14:paraId="146EAD56" w14:textId="77777777" w:rsidR="003155B8" w:rsidRPr="003155B8" w:rsidRDefault="003155B8" w:rsidP="00F53E65">
            <w:pPr>
              <w:pStyle w:val="BodyText"/>
              <w:jc w:val="center"/>
              <w:rPr>
                <w:sz w:val="22"/>
                <w:szCs w:val="22"/>
                <w:lang w:val="id-ID"/>
              </w:rPr>
            </w:pPr>
            <w:r w:rsidRPr="003155B8">
              <w:rPr>
                <w:sz w:val="22"/>
                <w:szCs w:val="22"/>
                <w:lang w:val="id-ID"/>
              </w:rPr>
              <w:t>76,36</w:t>
            </w:r>
          </w:p>
        </w:tc>
        <w:tc>
          <w:tcPr>
            <w:tcW w:w="1418" w:type="dxa"/>
          </w:tcPr>
          <w:p w14:paraId="74FC7F86" w14:textId="77777777" w:rsidR="003155B8" w:rsidRPr="003155B8" w:rsidRDefault="003155B8" w:rsidP="003155B8">
            <w:pPr>
              <w:pStyle w:val="BodyText"/>
              <w:rPr>
                <w:sz w:val="22"/>
                <w:szCs w:val="22"/>
                <w:lang w:val="id-ID"/>
              </w:rPr>
            </w:pPr>
            <w:r w:rsidRPr="003155B8">
              <w:rPr>
                <w:sz w:val="22"/>
                <w:szCs w:val="22"/>
                <w:lang w:val="id-ID"/>
              </w:rPr>
              <w:t>Pretty Good</w:t>
            </w:r>
          </w:p>
        </w:tc>
      </w:tr>
      <w:tr w:rsidR="003155B8" w14:paraId="5692A92C" w14:textId="77777777" w:rsidTr="00F53E65">
        <w:tc>
          <w:tcPr>
            <w:tcW w:w="2410" w:type="dxa"/>
          </w:tcPr>
          <w:p w14:paraId="64D46358" w14:textId="77777777" w:rsidR="003155B8" w:rsidRPr="003155B8" w:rsidRDefault="003155B8" w:rsidP="00F53E65">
            <w:pPr>
              <w:pStyle w:val="BodyText"/>
              <w:rPr>
                <w:sz w:val="22"/>
                <w:szCs w:val="22"/>
                <w:lang w:val="id-ID"/>
              </w:rPr>
            </w:pPr>
            <w:r w:rsidRPr="003155B8">
              <w:rPr>
                <w:sz w:val="22"/>
                <w:szCs w:val="22"/>
                <w:lang w:val="id-ID"/>
              </w:rPr>
              <w:t>Planning to make amends</w:t>
            </w:r>
          </w:p>
        </w:tc>
        <w:tc>
          <w:tcPr>
            <w:tcW w:w="1275" w:type="dxa"/>
          </w:tcPr>
          <w:p w14:paraId="42F424D9" w14:textId="77777777" w:rsidR="003155B8" w:rsidRPr="003155B8" w:rsidRDefault="003155B8"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3,71</w:t>
            </w:r>
          </w:p>
        </w:tc>
        <w:tc>
          <w:tcPr>
            <w:tcW w:w="2268" w:type="dxa"/>
          </w:tcPr>
          <w:p w14:paraId="2B3678AB" w14:textId="77777777" w:rsidR="003155B8" w:rsidRPr="003155B8" w:rsidRDefault="003155B8"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74,28</w:t>
            </w:r>
          </w:p>
        </w:tc>
        <w:tc>
          <w:tcPr>
            <w:tcW w:w="1418" w:type="dxa"/>
          </w:tcPr>
          <w:p w14:paraId="63BFF7CF"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Not Good</w:t>
            </w:r>
          </w:p>
        </w:tc>
      </w:tr>
      <w:tr w:rsidR="003155B8" w14:paraId="09B0B35E" w14:textId="77777777" w:rsidTr="00F53E65">
        <w:tc>
          <w:tcPr>
            <w:tcW w:w="2410" w:type="dxa"/>
          </w:tcPr>
          <w:p w14:paraId="5370E92E" w14:textId="77777777" w:rsidR="003155B8" w:rsidRPr="003155B8" w:rsidRDefault="003155B8" w:rsidP="00F53E65">
            <w:pPr>
              <w:pStyle w:val="ListParagraph"/>
              <w:ind w:left="0"/>
              <w:jc w:val="both"/>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Collaborate</w:t>
            </w:r>
          </w:p>
        </w:tc>
        <w:tc>
          <w:tcPr>
            <w:tcW w:w="1275" w:type="dxa"/>
          </w:tcPr>
          <w:p w14:paraId="2DAE6EA4" w14:textId="77777777" w:rsidR="003155B8" w:rsidRPr="003155B8" w:rsidRDefault="003155B8"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4,40</w:t>
            </w:r>
          </w:p>
        </w:tc>
        <w:tc>
          <w:tcPr>
            <w:tcW w:w="2268" w:type="dxa"/>
          </w:tcPr>
          <w:p w14:paraId="17D756C2" w14:textId="77777777" w:rsidR="003155B8" w:rsidRPr="003155B8" w:rsidRDefault="003155B8"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88,05</w:t>
            </w:r>
          </w:p>
        </w:tc>
        <w:tc>
          <w:tcPr>
            <w:tcW w:w="1418" w:type="dxa"/>
          </w:tcPr>
          <w:p w14:paraId="3B280766"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Good</w:t>
            </w:r>
          </w:p>
        </w:tc>
      </w:tr>
      <w:tr w:rsidR="003155B8" w14:paraId="1170322F" w14:textId="77777777" w:rsidTr="00F53E65">
        <w:tc>
          <w:tcPr>
            <w:tcW w:w="2410" w:type="dxa"/>
          </w:tcPr>
          <w:p w14:paraId="5ADDD26C" w14:textId="77777777" w:rsidR="003155B8" w:rsidRPr="003155B8" w:rsidRDefault="003155B8" w:rsidP="00F53E65">
            <w:pPr>
              <w:pStyle w:val="ListParagraph"/>
              <w:ind w:left="0"/>
              <w:jc w:val="both"/>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Mentoring colleagues</w:t>
            </w:r>
          </w:p>
        </w:tc>
        <w:tc>
          <w:tcPr>
            <w:tcW w:w="1275" w:type="dxa"/>
          </w:tcPr>
          <w:p w14:paraId="0ADE58B2" w14:textId="77777777" w:rsidR="003155B8" w:rsidRPr="003155B8" w:rsidRDefault="003155B8"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4,61</w:t>
            </w:r>
          </w:p>
        </w:tc>
        <w:tc>
          <w:tcPr>
            <w:tcW w:w="2268" w:type="dxa"/>
          </w:tcPr>
          <w:p w14:paraId="0EFD67E1" w14:textId="77777777" w:rsidR="003155B8" w:rsidRPr="003155B8" w:rsidRDefault="003155B8" w:rsidP="00F53E65">
            <w:pPr>
              <w:pStyle w:val="ListParagraph"/>
              <w:ind w:left="0"/>
              <w:jc w:val="center"/>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92,23</w:t>
            </w:r>
          </w:p>
        </w:tc>
        <w:tc>
          <w:tcPr>
            <w:tcW w:w="1418" w:type="dxa"/>
          </w:tcPr>
          <w:p w14:paraId="2A86D398" w14:textId="77777777" w:rsidR="003155B8" w:rsidRPr="003155B8" w:rsidRDefault="003155B8" w:rsidP="003155B8">
            <w:pPr>
              <w:pStyle w:val="ListParagraph"/>
              <w:ind w:left="0"/>
              <w:outlineLvl w:val="2"/>
              <w:rPr>
                <w:rFonts w:ascii="Times New Roman" w:hAnsi="Times New Roman" w:cs="Times New Roman"/>
                <w:sz w:val="22"/>
                <w:szCs w:val="22"/>
                <w:lang w:val="id-ID"/>
              </w:rPr>
            </w:pPr>
            <w:r w:rsidRPr="003155B8">
              <w:rPr>
                <w:rFonts w:ascii="Times New Roman" w:hAnsi="Times New Roman" w:cs="Times New Roman"/>
                <w:sz w:val="22"/>
                <w:szCs w:val="22"/>
                <w:lang w:val="id-ID"/>
              </w:rPr>
              <w:t>Excellent</w:t>
            </w:r>
          </w:p>
        </w:tc>
      </w:tr>
      <w:tr w:rsidR="003155B8" w:rsidRPr="00B94274" w14:paraId="2BC75E36" w14:textId="77777777" w:rsidTr="00F53E65">
        <w:tc>
          <w:tcPr>
            <w:tcW w:w="2410" w:type="dxa"/>
          </w:tcPr>
          <w:p w14:paraId="1841DEE3" w14:textId="77777777" w:rsidR="003155B8" w:rsidRPr="003155B8" w:rsidRDefault="003155B8" w:rsidP="003155B8">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Total Grade Point Average</w:t>
            </w:r>
          </w:p>
        </w:tc>
        <w:tc>
          <w:tcPr>
            <w:tcW w:w="1275" w:type="dxa"/>
          </w:tcPr>
          <w:p w14:paraId="32106B94" w14:textId="77777777" w:rsidR="003155B8" w:rsidRPr="003155B8" w:rsidRDefault="003155B8" w:rsidP="00F53E65">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4,11</w:t>
            </w:r>
          </w:p>
        </w:tc>
        <w:tc>
          <w:tcPr>
            <w:tcW w:w="2268" w:type="dxa"/>
          </w:tcPr>
          <w:p w14:paraId="3AFBE0B0" w14:textId="77777777" w:rsidR="003155B8" w:rsidRPr="003155B8" w:rsidRDefault="003155B8" w:rsidP="00F53E65">
            <w:pPr>
              <w:pStyle w:val="ListParagraph"/>
              <w:ind w:left="0"/>
              <w:jc w:val="center"/>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82</w:t>
            </w:r>
          </w:p>
        </w:tc>
        <w:tc>
          <w:tcPr>
            <w:tcW w:w="1418" w:type="dxa"/>
          </w:tcPr>
          <w:p w14:paraId="6BE78432" w14:textId="77777777" w:rsidR="003155B8" w:rsidRPr="003155B8" w:rsidRDefault="003155B8" w:rsidP="003155B8">
            <w:pPr>
              <w:pStyle w:val="ListParagraph"/>
              <w:ind w:left="0"/>
              <w:outlineLvl w:val="2"/>
              <w:rPr>
                <w:rFonts w:ascii="Times New Roman" w:hAnsi="Times New Roman" w:cs="Times New Roman"/>
                <w:b/>
                <w:bCs/>
                <w:sz w:val="22"/>
                <w:szCs w:val="22"/>
                <w:lang w:val="id-ID"/>
              </w:rPr>
            </w:pPr>
            <w:r w:rsidRPr="003155B8">
              <w:rPr>
                <w:rFonts w:ascii="Times New Roman" w:hAnsi="Times New Roman" w:cs="Times New Roman"/>
                <w:b/>
                <w:bCs/>
                <w:sz w:val="22"/>
                <w:szCs w:val="22"/>
                <w:lang w:val="id-ID"/>
              </w:rPr>
              <w:t>Pretty Good</w:t>
            </w:r>
          </w:p>
        </w:tc>
      </w:tr>
    </w:tbl>
    <w:p w14:paraId="1A7614C3" w14:textId="77777777" w:rsidR="003155B8" w:rsidRDefault="003155B8" w:rsidP="003155B8">
      <w:pPr>
        <w:pStyle w:val="ListParagraph"/>
        <w:ind w:left="644"/>
        <w:jc w:val="both"/>
        <w:rPr>
          <w:rFonts w:ascii="Times New Roman" w:hAnsi="Times New Roman" w:cs="Times New Roman"/>
          <w:sz w:val="24"/>
          <w:szCs w:val="24"/>
          <w:lang w:val="id-ID"/>
        </w:rPr>
      </w:pPr>
    </w:p>
    <w:p w14:paraId="3F0739D5" w14:textId="77777777" w:rsidR="003155B8" w:rsidRDefault="003155B8" w:rsidP="003155B8">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41D7B970" wp14:editId="0BF1C94B">
            <wp:extent cx="4659464" cy="2655735"/>
            <wp:effectExtent l="0" t="0" r="2730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4274AD" w14:textId="77777777" w:rsidR="003155B8" w:rsidRDefault="00DA23D2" w:rsidP="003155B8">
      <w:pPr>
        <w:pStyle w:val="ListParagraph"/>
        <w:ind w:left="644"/>
        <w:jc w:val="both"/>
        <w:rPr>
          <w:rFonts w:ascii="Times New Roman" w:hAnsi="Times New Roman" w:cs="Times New Roman"/>
          <w:sz w:val="24"/>
          <w:szCs w:val="24"/>
          <w:lang w:val="id-ID"/>
        </w:rPr>
      </w:pPr>
      <w:r w:rsidRPr="00DA23D2">
        <w:rPr>
          <w:rFonts w:ascii="Times New Roman" w:hAnsi="Times New Roman" w:cs="Times New Roman"/>
          <w:sz w:val="24"/>
          <w:szCs w:val="24"/>
          <w:lang w:val="id-ID"/>
        </w:rPr>
        <w:t>Diagram 1. Environmental Management Skills</w:t>
      </w:r>
    </w:p>
    <w:p w14:paraId="7782D195" w14:textId="77777777" w:rsidR="00DA23D2" w:rsidRDefault="00DA23D2" w:rsidP="00DA23D2">
      <w:pPr>
        <w:pStyle w:val="ListParagraph"/>
        <w:ind w:left="644" w:firstLine="490"/>
        <w:jc w:val="both"/>
        <w:rPr>
          <w:rFonts w:ascii="Times New Roman" w:hAnsi="Times New Roman" w:cs="Times New Roman"/>
          <w:sz w:val="24"/>
          <w:szCs w:val="24"/>
          <w:lang w:val="id-ID"/>
        </w:rPr>
      </w:pPr>
      <w:r w:rsidRPr="00DA23D2">
        <w:rPr>
          <w:rFonts w:ascii="Times New Roman" w:hAnsi="Times New Roman" w:cs="Times New Roman"/>
          <w:sz w:val="24"/>
          <w:szCs w:val="24"/>
          <w:lang w:val="id-ID"/>
        </w:rPr>
        <w:t>Based on table 3 and diagram 1 above, it shows that the skills of managing the learning environment of each of the indicators include indicators of guiding peers to manage the environment that have been achieved in the very good category with an average score of 4.61 at an achievement level of 92.23%, the indicator of collaborating to create an environment in the good category with an average value of 4.40 at an achievement level of 88.05%, the indicator of designing and improving environmental management is in the category of Not good with an average score of 3.71 at an achievement rate of 74.28%. Meanwhile, the other three indicators are in the category of being quite good, namely indicators of understanding environmental management strategies with an average score of 3.95 at an achievement rate of 79.09%, and managing the environment with an average score of 3.82 at an achievement rate of 76.36%. Overall, teacher literacy competencies in the indicator of skills in managing the learning environment with an average score of 4.1 and a percentage achievement rate of 82% are in the category of quite good.</w:t>
      </w:r>
    </w:p>
    <w:p w14:paraId="70AF3EEE" w14:textId="77777777" w:rsidR="00DA23D2" w:rsidRPr="003155B8" w:rsidRDefault="00DA23D2" w:rsidP="00DA23D2">
      <w:pPr>
        <w:pStyle w:val="ListParagraph"/>
        <w:ind w:left="644" w:firstLine="490"/>
        <w:jc w:val="both"/>
        <w:rPr>
          <w:rFonts w:ascii="Times New Roman" w:hAnsi="Times New Roman" w:cs="Times New Roman"/>
          <w:sz w:val="24"/>
          <w:szCs w:val="24"/>
          <w:lang w:val="id-ID"/>
        </w:rPr>
      </w:pPr>
      <w:r w:rsidRPr="00DA23D2">
        <w:rPr>
          <w:rFonts w:ascii="Times New Roman" w:hAnsi="Times New Roman" w:cs="Times New Roman"/>
          <w:sz w:val="24"/>
          <w:szCs w:val="24"/>
          <w:lang w:val="id-ID"/>
        </w:rPr>
        <w:t>From the description above, it appears that of the five indicators of teachers' skills in managing the environment, only the indicator of guiding colleagues to manage the environment has been achieved in the very good category, and the indicator of collaborating to create an environment that has been achieved in the good category. Meanwhile, other indicators, in general, the level of achievement in the category is quite good. This means that each teacher is skilled enough to manage a multimodal text-rich environment to foster students' interest and literacy skills. Thus, it can be stated that teachers' literacy competencies in the indicator of skills in managing the learning environment are in the category of quite good.</w:t>
      </w:r>
    </w:p>
    <w:p w14:paraId="0E0E2FC4" w14:textId="77777777" w:rsidR="003155B8" w:rsidRDefault="00D830C7" w:rsidP="00D830C7">
      <w:pPr>
        <w:pStyle w:val="ListParagraph"/>
        <w:numPr>
          <w:ilvl w:val="0"/>
          <w:numId w:val="2"/>
        </w:numPr>
        <w:jc w:val="both"/>
        <w:rPr>
          <w:rFonts w:ascii="Times New Roman" w:hAnsi="Times New Roman" w:cs="Times New Roman"/>
          <w:sz w:val="24"/>
          <w:szCs w:val="24"/>
          <w:lang w:val="id-ID"/>
        </w:rPr>
      </w:pPr>
      <w:r w:rsidRPr="00D830C7">
        <w:rPr>
          <w:rFonts w:ascii="Times New Roman" w:hAnsi="Times New Roman" w:cs="Times New Roman"/>
          <w:sz w:val="24"/>
          <w:szCs w:val="24"/>
          <w:lang w:val="id-ID"/>
        </w:rPr>
        <w:t>Learning and assessment</w:t>
      </w:r>
    </w:p>
    <w:p w14:paraId="514B3D0E" w14:textId="77777777" w:rsidR="00D830C7" w:rsidRDefault="00D830C7" w:rsidP="00D830C7">
      <w:pPr>
        <w:pStyle w:val="ListParagraph"/>
        <w:ind w:left="644"/>
        <w:jc w:val="both"/>
        <w:rPr>
          <w:rFonts w:ascii="Times New Roman" w:hAnsi="Times New Roman" w:cs="Times New Roman"/>
          <w:sz w:val="24"/>
          <w:szCs w:val="24"/>
          <w:lang w:val="id-ID"/>
        </w:rPr>
      </w:pPr>
      <w:r w:rsidRPr="00D830C7">
        <w:rPr>
          <w:rFonts w:ascii="Times New Roman" w:hAnsi="Times New Roman" w:cs="Times New Roman"/>
          <w:sz w:val="24"/>
          <w:szCs w:val="24"/>
          <w:lang w:val="id-ID"/>
        </w:rPr>
        <w:t>Table 4. Learning Design and Assessment Skills</w:t>
      </w:r>
    </w:p>
    <w:tbl>
      <w:tblPr>
        <w:tblStyle w:val="TableGrid"/>
        <w:tblW w:w="7371" w:type="dxa"/>
        <w:tblInd w:w="675" w:type="dxa"/>
        <w:tblLook w:val="04A0" w:firstRow="1" w:lastRow="0" w:firstColumn="1" w:lastColumn="0" w:noHBand="0" w:noVBand="1"/>
      </w:tblPr>
      <w:tblGrid>
        <w:gridCol w:w="2410"/>
        <w:gridCol w:w="1275"/>
        <w:gridCol w:w="2268"/>
        <w:gridCol w:w="1418"/>
      </w:tblGrid>
      <w:tr w:rsidR="00D830C7" w14:paraId="567F29E6" w14:textId="77777777" w:rsidTr="00F53E65">
        <w:tc>
          <w:tcPr>
            <w:tcW w:w="2410" w:type="dxa"/>
          </w:tcPr>
          <w:p w14:paraId="4E722D88" w14:textId="77777777" w:rsidR="00D830C7" w:rsidRPr="00B94274" w:rsidRDefault="00D830C7" w:rsidP="00F53E65">
            <w:pPr>
              <w:pStyle w:val="BodyText"/>
              <w:jc w:val="center"/>
              <w:rPr>
                <w:b/>
                <w:bCs/>
                <w:lang w:val="id-ID"/>
              </w:rPr>
            </w:pPr>
            <w:r w:rsidRPr="00B94274">
              <w:rPr>
                <w:b/>
                <w:bCs/>
                <w:lang w:val="id-ID"/>
              </w:rPr>
              <w:lastRenderedPageBreak/>
              <w:t>Indicator</w:t>
            </w:r>
          </w:p>
        </w:tc>
        <w:tc>
          <w:tcPr>
            <w:tcW w:w="1275" w:type="dxa"/>
          </w:tcPr>
          <w:p w14:paraId="0D49A662" w14:textId="77777777" w:rsidR="00D830C7" w:rsidRPr="00B94274" w:rsidRDefault="00D830C7" w:rsidP="00F53E65">
            <w:pPr>
              <w:pStyle w:val="BodyText"/>
              <w:jc w:val="center"/>
              <w:rPr>
                <w:b/>
                <w:bCs/>
                <w:lang w:val="id-ID"/>
              </w:rPr>
            </w:pPr>
            <w:r w:rsidRPr="00B94274">
              <w:rPr>
                <w:b/>
                <w:bCs/>
                <w:lang w:val="id-ID"/>
              </w:rPr>
              <w:t>Average</w:t>
            </w:r>
          </w:p>
        </w:tc>
        <w:tc>
          <w:tcPr>
            <w:tcW w:w="2268" w:type="dxa"/>
          </w:tcPr>
          <w:p w14:paraId="5D80A743" w14:textId="77777777" w:rsidR="00D830C7" w:rsidRPr="00B94274" w:rsidRDefault="00D830C7" w:rsidP="00F53E65">
            <w:pPr>
              <w:pStyle w:val="BodyText"/>
              <w:jc w:val="center"/>
              <w:rPr>
                <w:b/>
                <w:bCs/>
                <w:lang w:val="id-ID"/>
              </w:rPr>
            </w:pPr>
            <w:r w:rsidRPr="00B94274">
              <w:rPr>
                <w:b/>
                <w:bCs/>
                <w:lang w:val="id-ID"/>
              </w:rPr>
              <w:t>Achievement (%)</w:t>
            </w:r>
          </w:p>
        </w:tc>
        <w:tc>
          <w:tcPr>
            <w:tcW w:w="1418" w:type="dxa"/>
          </w:tcPr>
          <w:p w14:paraId="2B9D8EE1" w14:textId="77777777" w:rsidR="00D830C7" w:rsidRPr="00B94274" w:rsidRDefault="00D830C7" w:rsidP="00F53E65">
            <w:pPr>
              <w:pStyle w:val="BodyText"/>
              <w:jc w:val="center"/>
              <w:rPr>
                <w:b/>
                <w:bCs/>
                <w:lang w:val="id-ID"/>
              </w:rPr>
            </w:pPr>
            <w:r w:rsidRPr="00B94274">
              <w:rPr>
                <w:b/>
                <w:bCs/>
                <w:lang w:val="id-ID"/>
              </w:rPr>
              <w:t>Category</w:t>
            </w:r>
          </w:p>
        </w:tc>
      </w:tr>
      <w:tr w:rsidR="00D830C7" w14:paraId="111E6320" w14:textId="77777777" w:rsidTr="00F53E65">
        <w:tc>
          <w:tcPr>
            <w:tcW w:w="2410" w:type="dxa"/>
          </w:tcPr>
          <w:p w14:paraId="6777466D" w14:textId="77777777" w:rsidR="00D830C7" w:rsidRPr="0026648E" w:rsidRDefault="00D830C7" w:rsidP="00F53E65">
            <w:pPr>
              <w:pStyle w:val="BodyText"/>
              <w:rPr>
                <w:sz w:val="22"/>
                <w:szCs w:val="22"/>
                <w:lang w:val="id-ID"/>
              </w:rPr>
            </w:pPr>
            <w:r w:rsidRPr="00D830C7">
              <w:rPr>
                <w:sz w:val="22"/>
                <w:szCs w:val="22"/>
                <w:lang w:val="id-ID"/>
              </w:rPr>
              <w:t>Understanding of implementing</w:t>
            </w:r>
          </w:p>
        </w:tc>
        <w:tc>
          <w:tcPr>
            <w:tcW w:w="1275" w:type="dxa"/>
          </w:tcPr>
          <w:p w14:paraId="65D5B6AF" w14:textId="77777777" w:rsidR="00D830C7" w:rsidRPr="0026648E" w:rsidRDefault="00D830C7" w:rsidP="00F53E65">
            <w:pPr>
              <w:pStyle w:val="BodyText"/>
              <w:jc w:val="center"/>
              <w:rPr>
                <w:sz w:val="22"/>
                <w:szCs w:val="22"/>
                <w:lang w:val="id-ID"/>
              </w:rPr>
            </w:pPr>
            <w:r>
              <w:rPr>
                <w:sz w:val="22"/>
                <w:szCs w:val="22"/>
                <w:lang w:val="id-ID"/>
              </w:rPr>
              <w:t>4,72</w:t>
            </w:r>
          </w:p>
        </w:tc>
        <w:tc>
          <w:tcPr>
            <w:tcW w:w="2268" w:type="dxa"/>
          </w:tcPr>
          <w:p w14:paraId="52CE57C7" w14:textId="77777777" w:rsidR="00D830C7" w:rsidRPr="0026648E" w:rsidRDefault="00D830C7" w:rsidP="00F53E65">
            <w:pPr>
              <w:pStyle w:val="BodyText"/>
              <w:jc w:val="center"/>
              <w:rPr>
                <w:sz w:val="22"/>
                <w:szCs w:val="22"/>
                <w:lang w:val="id-ID"/>
              </w:rPr>
            </w:pPr>
            <w:r w:rsidRPr="0026648E">
              <w:rPr>
                <w:sz w:val="22"/>
                <w:szCs w:val="22"/>
                <w:lang w:val="id-ID"/>
              </w:rPr>
              <w:t>9</w:t>
            </w:r>
            <w:r>
              <w:rPr>
                <w:sz w:val="22"/>
                <w:szCs w:val="22"/>
                <w:lang w:val="id-ID"/>
              </w:rPr>
              <w:t>4</w:t>
            </w:r>
            <w:r w:rsidRPr="0026648E">
              <w:rPr>
                <w:sz w:val="22"/>
                <w:szCs w:val="22"/>
                <w:lang w:val="id-ID"/>
              </w:rPr>
              <w:t>,</w:t>
            </w:r>
            <w:r>
              <w:rPr>
                <w:sz w:val="22"/>
                <w:szCs w:val="22"/>
                <w:lang w:val="id-ID"/>
              </w:rPr>
              <w:t>37</w:t>
            </w:r>
          </w:p>
        </w:tc>
        <w:tc>
          <w:tcPr>
            <w:tcW w:w="1418" w:type="dxa"/>
          </w:tcPr>
          <w:p w14:paraId="510A3EF7" w14:textId="77777777" w:rsidR="00D830C7" w:rsidRPr="00D830C7" w:rsidRDefault="00D830C7" w:rsidP="00D830C7">
            <w:pPr>
              <w:pStyle w:val="BodyText"/>
              <w:rPr>
                <w:sz w:val="22"/>
                <w:szCs w:val="22"/>
                <w:lang w:val="id-ID"/>
              </w:rPr>
            </w:pPr>
            <w:r w:rsidRPr="00D830C7">
              <w:rPr>
                <w:sz w:val="22"/>
                <w:szCs w:val="22"/>
                <w:lang w:val="id-ID"/>
              </w:rPr>
              <w:t>Excellent</w:t>
            </w:r>
          </w:p>
        </w:tc>
      </w:tr>
      <w:tr w:rsidR="00D830C7" w14:paraId="1473C9BC" w14:textId="77777777" w:rsidTr="00F53E65">
        <w:tc>
          <w:tcPr>
            <w:tcW w:w="2410" w:type="dxa"/>
          </w:tcPr>
          <w:p w14:paraId="55CD6A7C" w14:textId="77777777" w:rsidR="00D830C7" w:rsidRPr="0026648E" w:rsidRDefault="00D830C7" w:rsidP="00F53E65">
            <w:pPr>
              <w:pStyle w:val="BodyText"/>
              <w:rPr>
                <w:sz w:val="22"/>
                <w:szCs w:val="22"/>
                <w:lang w:val="id-ID"/>
              </w:rPr>
            </w:pPr>
            <w:r w:rsidRPr="00D830C7">
              <w:rPr>
                <w:sz w:val="22"/>
                <w:szCs w:val="22"/>
                <w:lang w:val="id-ID"/>
              </w:rPr>
              <w:t>Implementing strategies</w:t>
            </w:r>
          </w:p>
        </w:tc>
        <w:tc>
          <w:tcPr>
            <w:tcW w:w="1275" w:type="dxa"/>
            <w:vAlign w:val="center"/>
          </w:tcPr>
          <w:p w14:paraId="447B092A" w14:textId="77777777" w:rsidR="00D830C7" w:rsidRPr="0026648E" w:rsidRDefault="00D830C7" w:rsidP="00F53E65">
            <w:pPr>
              <w:pStyle w:val="BodyText"/>
              <w:jc w:val="center"/>
              <w:rPr>
                <w:sz w:val="22"/>
                <w:szCs w:val="22"/>
                <w:lang w:val="id-ID"/>
              </w:rPr>
            </w:pPr>
            <w:r>
              <w:rPr>
                <w:sz w:val="22"/>
                <w:szCs w:val="22"/>
                <w:lang w:val="id-ID"/>
              </w:rPr>
              <w:t>4,31</w:t>
            </w:r>
          </w:p>
        </w:tc>
        <w:tc>
          <w:tcPr>
            <w:tcW w:w="2268" w:type="dxa"/>
            <w:vAlign w:val="bottom"/>
          </w:tcPr>
          <w:p w14:paraId="3F1B5C3C" w14:textId="77777777" w:rsidR="00D830C7" w:rsidRPr="0026648E" w:rsidRDefault="00D830C7" w:rsidP="00F53E65">
            <w:pPr>
              <w:pStyle w:val="BodyText"/>
              <w:jc w:val="center"/>
              <w:rPr>
                <w:sz w:val="22"/>
                <w:szCs w:val="22"/>
                <w:lang w:val="id-ID"/>
              </w:rPr>
            </w:pPr>
            <w:r>
              <w:rPr>
                <w:sz w:val="22"/>
                <w:szCs w:val="22"/>
                <w:lang w:val="id-ID"/>
              </w:rPr>
              <w:t>86,21</w:t>
            </w:r>
          </w:p>
        </w:tc>
        <w:tc>
          <w:tcPr>
            <w:tcW w:w="1418" w:type="dxa"/>
          </w:tcPr>
          <w:p w14:paraId="17AE4AAF" w14:textId="77777777" w:rsidR="00D830C7" w:rsidRPr="00D830C7" w:rsidRDefault="00D830C7" w:rsidP="00D830C7">
            <w:pPr>
              <w:pStyle w:val="BodyText"/>
              <w:rPr>
                <w:sz w:val="22"/>
                <w:szCs w:val="22"/>
                <w:lang w:val="id-ID"/>
              </w:rPr>
            </w:pPr>
            <w:r w:rsidRPr="00D830C7">
              <w:rPr>
                <w:sz w:val="22"/>
                <w:szCs w:val="22"/>
                <w:lang w:val="id-ID"/>
              </w:rPr>
              <w:t>Good</w:t>
            </w:r>
          </w:p>
        </w:tc>
      </w:tr>
      <w:tr w:rsidR="00D830C7" w14:paraId="4C19A1AF" w14:textId="77777777" w:rsidTr="00F53E65">
        <w:tc>
          <w:tcPr>
            <w:tcW w:w="2410" w:type="dxa"/>
          </w:tcPr>
          <w:p w14:paraId="390EE094" w14:textId="77777777" w:rsidR="00D830C7" w:rsidRPr="0026648E" w:rsidRDefault="00D830C7" w:rsidP="00F53E65">
            <w:pPr>
              <w:pStyle w:val="BodyText"/>
              <w:rPr>
                <w:sz w:val="22"/>
                <w:szCs w:val="22"/>
                <w:lang w:val="id-ID"/>
              </w:rPr>
            </w:pPr>
            <w:r>
              <w:rPr>
                <w:sz w:val="22"/>
                <w:szCs w:val="22"/>
                <w:lang w:val="id-ID"/>
              </w:rPr>
              <w:t>Evaluate</w:t>
            </w:r>
          </w:p>
        </w:tc>
        <w:tc>
          <w:tcPr>
            <w:tcW w:w="1275" w:type="dxa"/>
          </w:tcPr>
          <w:p w14:paraId="0ACA58D9" w14:textId="77777777" w:rsidR="00D830C7" w:rsidRPr="0026648E" w:rsidRDefault="00D830C7"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4,83</w:t>
            </w:r>
          </w:p>
        </w:tc>
        <w:tc>
          <w:tcPr>
            <w:tcW w:w="2268" w:type="dxa"/>
          </w:tcPr>
          <w:p w14:paraId="0FBF3076" w14:textId="77777777" w:rsidR="00D830C7" w:rsidRPr="0026648E" w:rsidRDefault="00D830C7"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96</w:t>
            </w:r>
            <w:r w:rsidRPr="0026648E">
              <w:rPr>
                <w:rFonts w:ascii="Times New Roman" w:hAnsi="Times New Roman" w:cs="Times New Roman"/>
                <w:lang w:val="id-ID"/>
              </w:rPr>
              <w:t>,</w:t>
            </w:r>
            <w:r>
              <w:rPr>
                <w:rFonts w:ascii="Times New Roman" w:hAnsi="Times New Roman" w:cs="Times New Roman"/>
                <w:lang w:val="id-ID"/>
              </w:rPr>
              <w:t>54</w:t>
            </w:r>
          </w:p>
        </w:tc>
        <w:tc>
          <w:tcPr>
            <w:tcW w:w="1418" w:type="dxa"/>
          </w:tcPr>
          <w:p w14:paraId="34B2D81D"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Excellent</w:t>
            </w:r>
          </w:p>
        </w:tc>
      </w:tr>
      <w:tr w:rsidR="00D830C7" w14:paraId="0926DEBC" w14:textId="77777777" w:rsidTr="00F53E65">
        <w:tc>
          <w:tcPr>
            <w:tcW w:w="2410" w:type="dxa"/>
          </w:tcPr>
          <w:p w14:paraId="0E5C858D" w14:textId="77777777" w:rsidR="00D830C7" w:rsidRPr="0026648E" w:rsidRDefault="00D830C7" w:rsidP="00F53E65">
            <w:pPr>
              <w:pStyle w:val="ListParagraph"/>
              <w:ind w:left="0"/>
              <w:jc w:val="both"/>
              <w:outlineLvl w:val="2"/>
              <w:rPr>
                <w:rFonts w:ascii="Times New Roman" w:hAnsi="Times New Roman" w:cs="Times New Roman"/>
                <w:lang w:val="id-ID"/>
              </w:rPr>
            </w:pPr>
            <w:r w:rsidRPr="003155B8">
              <w:rPr>
                <w:rFonts w:ascii="Times New Roman" w:hAnsi="Times New Roman" w:cs="Times New Roman"/>
                <w:sz w:val="22"/>
                <w:szCs w:val="22"/>
                <w:lang w:val="id-ID"/>
              </w:rPr>
              <w:t>Collaborate</w:t>
            </w:r>
          </w:p>
        </w:tc>
        <w:tc>
          <w:tcPr>
            <w:tcW w:w="1275" w:type="dxa"/>
          </w:tcPr>
          <w:p w14:paraId="0E7C36EF" w14:textId="77777777" w:rsidR="00D830C7" w:rsidRPr="0026648E" w:rsidRDefault="00D830C7"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3,92</w:t>
            </w:r>
          </w:p>
        </w:tc>
        <w:tc>
          <w:tcPr>
            <w:tcW w:w="2268" w:type="dxa"/>
          </w:tcPr>
          <w:p w14:paraId="4E5437F4" w14:textId="77777777" w:rsidR="00D830C7" w:rsidRPr="0026648E" w:rsidRDefault="00D830C7"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78</w:t>
            </w:r>
            <w:r w:rsidRPr="0026648E">
              <w:rPr>
                <w:rFonts w:ascii="Times New Roman" w:hAnsi="Times New Roman" w:cs="Times New Roman"/>
                <w:lang w:val="id-ID"/>
              </w:rPr>
              <w:t>,</w:t>
            </w:r>
            <w:r>
              <w:rPr>
                <w:rFonts w:ascii="Times New Roman" w:hAnsi="Times New Roman" w:cs="Times New Roman"/>
                <w:lang w:val="id-ID"/>
              </w:rPr>
              <w:t>33</w:t>
            </w:r>
          </w:p>
        </w:tc>
        <w:tc>
          <w:tcPr>
            <w:tcW w:w="1418" w:type="dxa"/>
          </w:tcPr>
          <w:p w14:paraId="0FF37046"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D830C7" w14:paraId="759EF77F" w14:textId="77777777" w:rsidTr="00F53E65">
        <w:tc>
          <w:tcPr>
            <w:tcW w:w="2410" w:type="dxa"/>
          </w:tcPr>
          <w:p w14:paraId="333B99B4" w14:textId="77777777" w:rsidR="00D830C7" w:rsidRPr="0026648E" w:rsidRDefault="00D830C7" w:rsidP="00F53E65">
            <w:pPr>
              <w:pStyle w:val="ListParagraph"/>
              <w:ind w:left="0"/>
              <w:jc w:val="both"/>
              <w:outlineLvl w:val="2"/>
              <w:rPr>
                <w:rFonts w:ascii="Times New Roman" w:hAnsi="Times New Roman" w:cs="Times New Roman"/>
                <w:lang w:val="id-ID"/>
              </w:rPr>
            </w:pPr>
            <w:r w:rsidRPr="00D830C7">
              <w:rPr>
                <w:rFonts w:ascii="Times New Roman" w:hAnsi="Times New Roman" w:cs="Times New Roman"/>
                <w:lang w:val="id-ID"/>
              </w:rPr>
              <w:t>Mentoring colleagues</w:t>
            </w:r>
          </w:p>
        </w:tc>
        <w:tc>
          <w:tcPr>
            <w:tcW w:w="1275" w:type="dxa"/>
          </w:tcPr>
          <w:p w14:paraId="10846C34" w14:textId="77777777" w:rsidR="00D830C7" w:rsidRPr="0026648E" w:rsidRDefault="00D830C7"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4,43</w:t>
            </w:r>
          </w:p>
        </w:tc>
        <w:tc>
          <w:tcPr>
            <w:tcW w:w="2268" w:type="dxa"/>
          </w:tcPr>
          <w:p w14:paraId="4337CA40" w14:textId="77777777" w:rsidR="00D830C7" w:rsidRPr="0026648E" w:rsidRDefault="00D830C7"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88,52</w:t>
            </w:r>
          </w:p>
        </w:tc>
        <w:tc>
          <w:tcPr>
            <w:tcW w:w="1418" w:type="dxa"/>
          </w:tcPr>
          <w:p w14:paraId="4E56DE67" w14:textId="77777777" w:rsidR="00D830C7" w:rsidRPr="00D830C7" w:rsidRDefault="00D830C7" w:rsidP="00D830C7">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Good</w:t>
            </w:r>
          </w:p>
        </w:tc>
      </w:tr>
      <w:tr w:rsidR="00D830C7" w:rsidRPr="00B94274" w14:paraId="644716B4" w14:textId="77777777" w:rsidTr="00F53E65">
        <w:tc>
          <w:tcPr>
            <w:tcW w:w="2410" w:type="dxa"/>
          </w:tcPr>
          <w:p w14:paraId="6E89BA6C" w14:textId="77777777" w:rsidR="00D830C7" w:rsidRPr="0026648E" w:rsidRDefault="00D830C7" w:rsidP="00D830C7">
            <w:pPr>
              <w:pStyle w:val="ListParagraph"/>
              <w:ind w:left="0"/>
              <w:outlineLvl w:val="2"/>
              <w:rPr>
                <w:rFonts w:ascii="Times New Roman" w:hAnsi="Times New Roman" w:cs="Times New Roman"/>
                <w:b/>
                <w:bCs/>
                <w:lang w:val="id-ID"/>
              </w:rPr>
            </w:pPr>
            <w:r w:rsidRPr="003155B8">
              <w:rPr>
                <w:rFonts w:ascii="Times New Roman" w:hAnsi="Times New Roman" w:cs="Times New Roman"/>
                <w:b/>
                <w:bCs/>
                <w:sz w:val="22"/>
                <w:szCs w:val="22"/>
                <w:lang w:val="id-ID"/>
              </w:rPr>
              <w:t>Total Grade Point Average</w:t>
            </w:r>
          </w:p>
        </w:tc>
        <w:tc>
          <w:tcPr>
            <w:tcW w:w="1275" w:type="dxa"/>
          </w:tcPr>
          <w:p w14:paraId="34C1A1AB" w14:textId="77777777" w:rsidR="00D830C7" w:rsidRPr="0026648E" w:rsidRDefault="00D830C7" w:rsidP="00F53E65">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4,44</w:t>
            </w:r>
          </w:p>
        </w:tc>
        <w:tc>
          <w:tcPr>
            <w:tcW w:w="2268" w:type="dxa"/>
          </w:tcPr>
          <w:p w14:paraId="0363EE46" w14:textId="77777777" w:rsidR="00D830C7" w:rsidRPr="0026648E" w:rsidRDefault="00D830C7" w:rsidP="00F53E65">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88,79</w:t>
            </w:r>
          </w:p>
        </w:tc>
        <w:tc>
          <w:tcPr>
            <w:tcW w:w="1418" w:type="dxa"/>
          </w:tcPr>
          <w:p w14:paraId="2BB89C0B" w14:textId="77777777" w:rsidR="00D830C7" w:rsidRPr="00D830C7" w:rsidRDefault="00D830C7" w:rsidP="00D830C7">
            <w:pPr>
              <w:pStyle w:val="ListParagraph"/>
              <w:ind w:left="0"/>
              <w:outlineLvl w:val="2"/>
              <w:rPr>
                <w:rFonts w:ascii="Times New Roman" w:hAnsi="Times New Roman" w:cs="Times New Roman"/>
                <w:b/>
                <w:bCs/>
                <w:sz w:val="22"/>
                <w:szCs w:val="22"/>
                <w:lang w:val="id-ID"/>
              </w:rPr>
            </w:pPr>
            <w:r w:rsidRPr="00D830C7">
              <w:rPr>
                <w:rFonts w:ascii="Times New Roman" w:hAnsi="Times New Roman" w:cs="Times New Roman"/>
                <w:b/>
                <w:bCs/>
                <w:sz w:val="22"/>
                <w:szCs w:val="22"/>
                <w:lang w:val="id-ID"/>
              </w:rPr>
              <w:t>Good</w:t>
            </w:r>
          </w:p>
        </w:tc>
      </w:tr>
    </w:tbl>
    <w:p w14:paraId="163EE6E3" w14:textId="77777777" w:rsidR="00D830C7" w:rsidRDefault="00D830C7" w:rsidP="00D830C7">
      <w:pPr>
        <w:pStyle w:val="ListParagraph"/>
        <w:ind w:left="644"/>
        <w:jc w:val="both"/>
        <w:rPr>
          <w:rFonts w:ascii="Times New Roman" w:hAnsi="Times New Roman" w:cs="Times New Roman"/>
          <w:sz w:val="24"/>
          <w:szCs w:val="24"/>
          <w:lang w:val="id-ID"/>
        </w:rPr>
      </w:pPr>
    </w:p>
    <w:p w14:paraId="062C50BC" w14:textId="77777777" w:rsidR="002F5866" w:rsidRDefault="002F5866" w:rsidP="00D830C7">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55C40049" wp14:editId="5B4BD9A5">
            <wp:extent cx="4658264" cy="3105509"/>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21ED99" w14:textId="77777777" w:rsidR="00B73A39" w:rsidRDefault="00B73A39" w:rsidP="00D830C7">
      <w:pPr>
        <w:pStyle w:val="ListParagraph"/>
        <w:ind w:left="644"/>
        <w:jc w:val="both"/>
        <w:rPr>
          <w:rFonts w:ascii="Times New Roman" w:hAnsi="Times New Roman" w:cs="Times New Roman"/>
          <w:b/>
          <w:bCs/>
          <w:sz w:val="24"/>
          <w:szCs w:val="24"/>
          <w:lang w:val="id-ID"/>
        </w:rPr>
      </w:pPr>
      <w:r w:rsidRPr="00B73A39">
        <w:rPr>
          <w:rFonts w:ascii="Times New Roman" w:hAnsi="Times New Roman" w:cs="Times New Roman"/>
          <w:b/>
          <w:bCs/>
          <w:sz w:val="24"/>
          <w:szCs w:val="24"/>
          <w:lang w:val="id-ID"/>
        </w:rPr>
        <w:t>Diagram 2. Learning Design and Assessment Skills</w:t>
      </w:r>
    </w:p>
    <w:p w14:paraId="49A4F45A" w14:textId="77777777" w:rsidR="00B73A39" w:rsidRDefault="00B73A39" w:rsidP="00B73A39">
      <w:pPr>
        <w:pStyle w:val="ListParagraph"/>
        <w:ind w:left="644" w:firstLine="490"/>
        <w:jc w:val="both"/>
        <w:rPr>
          <w:rFonts w:ascii="Times New Roman" w:hAnsi="Times New Roman" w:cs="Times New Roman"/>
          <w:sz w:val="24"/>
          <w:szCs w:val="24"/>
          <w:lang w:val="id-ID"/>
        </w:rPr>
      </w:pPr>
      <w:r w:rsidRPr="00B73A39">
        <w:rPr>
          <w:rFonts w:ascii="Times New Roman" w:hAnsi="Times New Roman" w:cs="Times New Roman"/>
          <w:sz w:val="24"/>
          <w:szCs w:val="24"/>
          <w:lang w:val="id-ID"/>
        </w:rPr>
        <w:t>Based on table 4 and diagram 2 above, it shows that the learning and assessment ability of each of the indicators there are indicators of understanding of implementation have been achieved in the very good category with an average score of 4.72 at an achievement rate of 94.37%, indicators of implementing strategies in the good category with an average score of 4.31 at an achievement rate of 86.54%, evaluation indicators are in the very good category with an average score of 4.83 at an achievement rate of 96.54%, The indicator collaborated in the Good category with an average score of 3.92 at an achievement rate of 78.33%, and the indicator guided colleagues  in the Good category with an average score of 4.43 at an achievement rate of 88.79</w:t>
      </w:r>
      <w:r>
        <w:rPr>
          <w:rFonts w:ascii="Times New Roman" w:hAnsi="Times New Roman" w:cs="Times New Roman"/>
          <w:sz w:val="24"/>
          <w:szCs w:val="24"/>
          <w:lang w:val="id-ID"/>
        </w:rPr>
        <w:t>%</w:t>
      </w:r>
      <w:r w:rsidRPr="00B73A39">
        <w:rPr>
          <w:rFonts w:ascii="Times New Roman" w:hAnsi="Times New Roman" w:cs="Times New Roman"/>
          <w:sz w:val="24"/>
          <w:szCs w:val="24"/>
          <w:lang w:val="id-ID"/>
        </w:rPr>
        <w:t>. In general, the level of achievement of teachers' literacy skills in learning and assessment indicators with an average score of 4.44 and a percentage achievement rate of 88.79% is in the good category.</w:t>
      </w:r>
    </w:p>
    <w:p w14:paraId="583EFE94" w14:textId="77777777" w:rsidR="00B73A39" w:rsidRPr="00B73A39" w:rsidRDefault="00B73A39" w:rsidP="00B73A39">
      <w:pPr>
        <w:pStyle w:val="ListParagraph"/>
        <w:ind w:left="644" w:firstLine="490"/>
        <w:jc w:val="both"/>
        <w:rPr>
          <w:rFonts w:ascii="Times New Roman" w:hAnsi="Times New Roman" w:cs="Times New Roman"/>
          <w:sz w:val="24"/>
          <w:szCs w:val="24"/>
          <w:lang w:val="id-ID"/>
        </w:rPr>
      </w:pPr>
      <w:r w:rsidRPr="00B73A39">
        <w:rPr>
          <w:rFonts w:ascii="Times New Roman" w:hAnsi="Times New Roman" w:cs="Times New Roman"/>
          <w:sz w:val="24"/>
          <w:szCs w:val="24"/>
          <w:lang w:val="id-ID"/>
        </w:rPr>
        <w:t xml:space="preserve">From the description above, there are two indicators that have been achieved in the very good category, namely implementing strategies and evaluating learning and assessment. Meanwhile, the other two indicators have been achieved in the good category, </w:t>
      </w:r>
      <w:r w:rsidRPr="00B73A39">
        <w:rPr>
          <w:rFonts w:ascii="Times New Roman" w:hAnsi="Times New Roman" w:cs="Times New Roman"/>
          <w:sz w:val="24"/>
          <w:szCs w:val="24"/>
          <w:lang w:val="id-ID"/>
        </w:rPr>
        <w:lastRenderedPageBreak/>
        <w:t>namely the skills of implementing strategies and guiding colleagues. Then there is an indicator of collaborating with colleagues achieved in the category of quite good. This shows that each teacher is skilled in designing learning and assessments that focus on improving students' literacy skills.</w:t>
      </w:r>
    </w:p>
    <w:p w14:paraId="03B96476" w14:textId="77777777" w:rsidR="00D830C7" w:rsidRDefault="00786975" w:rsidP="00786975">
      <w:pPr>
        <w:pStyle w:val="ListParagraph"/>
        <w:numPr>
          <w:ilvl w:val="0"/>
          <w:numId w:val="2"/>
        </w:numPr>
        <w:jc w:val="both"/>
        <w:rPr>
          <w:rFonts w:ascii="Times New Roman" w:hAnsi="Times New Roman" w:cs="Times New Roman"/>
          <w:sz w:val="24"/>
          <w:szCs w:val="24"/>
          <w:lang w:val="id-ID"/>
        </w:rPr>
      </w:pPr>
      <w:r w:rsidRPr="00786975">
        <w:rPr>
          <w:rFonts w:ascii="Times New Roman" w:hAnsi="Times New Roman" w:cs="Times New Roman"/>
          <w:sz w:val="24"/>
          <w:szCs w:val="24"/>
          <w:lang w:val="id-ID"/>
        </w:rPr>
        <w:t>Teacher literacy culture</w:t>
      </w:r>
    </w:p>
    <w:p w14:paraId="7A4FBD88" w14:textId="77777777" w:rsidR="00786975" w:rsidRPr="00786975" w:rsidRDefault="00786975" w:rsidP="00786975">
      <w:pPr>
        <w:pStyle w:val="NoSpacing"/>
        <w:ind w:firstLine="567"/>
        <w:rPr>
          <w:rFonts w:ascii="Times New Roman" w:hAnsi="Times New Roman" w:cs="Times New Roman"/>
          <w:b/>
          <w:bCs/>
          <w:sz w:val="24"/>
          <w:szCs w:val="24"/>
          <w:lang w:val="id-ID"/>
        </w:rPr>
      </w:pPr>
      <w:r w:rsidRPr="00786975">
        <w:rPr>
          <w:rFonts w:ascii="Times New Roman" w:hAnsi="Times New Roman" w:cs="Times New Roman"/>
          <w:b/>
          <w:bCs/>
          <w:sz w:val="24"/>
          <w:szCs w:val="24"/>
          <w:lang w:val="id-ID"/>
        </w:rPr>
        <w:t>Table 5. Learning Design and Assessment Skills</w:t>
      </w:r>
    </w:p>
    <w:tbl>
      <w:tblPr>
        <w:tblStyle w:val="TableGrid"/>
        <w:tblW w:w="7371" w:type="dxa"/>
        <w:tblInd w:w="675" w:type="dxa"/>
        <w:tblLook w:val="04A0" w:firstRow="1" w:lastRow="0" w:firstColumn="1" w:lastColumn="0" w:noHBand="0" w:noVBand="1"/>
      </w:tblPr>
      <w:tblGrid>
        <w:gridCol w:w="2410"/>
        <w:gridCol w:w="1275"/>
        <w:gridCol w:w="2127"/>
        <w:gridCol w:w="1559"/>
      </w:tblGrid>
      <w:tr w:rsidR="00786975" w14:paraId="17D21BE6" w14:textId="77777777" w:rsidTr="00F53E65">
        <w:tc>
          <w:tcPr>
            <w:tcW w:w="2410" w:type="dxa"/>
          </w:tcPr>
          <w:p w14:paraId="60271339" w14:textId="77777777" w:rsidR="00786975" w:rsidRPr="00B94274" w:rsidRDefault="00786975" w:rsidP="00F53E65">
            <w:pPr>
              <w:pStyle w:val="BodyText"/>
              <w:jc w:val="center"/>
              <w:rPr>
                <w:b/>
                <w:bCs/>
                <w:lang w:val="id-ID"/>
              </w:rPr>
            </w:pPr>
            <w:r w:rsidRPr="00B94274">
              <w:rPr>
                <w:b/>
                <w:bCs/>
                <w:lang w:val="id-ID"/>
              </w:rPr>
              <w:t>Indicator</w:t>
            </w:r>
          </w:p>
        </w:tc>
        <w:tc>
          <w:tcPr>
            <w:tcW w:w="1275" w:type="dxa"/>
          </w:tcPr>
          <w:p w14:paraId="5619659F" w14:textId="77777777" w:rsidR="00786975" w:rsidRPr="00B94274" w:rsidRDefault="00786975" w:rsidP="00F53E65">
            <w:pPr>
              <w:pStyle w:val="BodyText"/>
              <w:jc w:val="center"/>
              <w:rPr>
                <w:b/>
                <w:bCs/>
                <w:lang w:val="id-ID"/>
              </w:rPr>
            </w:pPr>
            <w:r w:rsidRPr="00B94274">
              <w:rPr>
                <w:b/>
                <w:bCs/>
                <w:lang w:val="id-ID"/>
              </w:rPr>
              <w:t>Average</w:t>
            </w:r>
          </w:p>
        </w:tc>
        <w:tc>
          <w:tcPr>
            <w:tcW w:w="2127" w:type="dxa"/>
          </w:tcPr>
          <w:p w14:paraId="275C5E87" w14:textId="77777777" w:rsidR="00786975" w:rsidRPr="00B94274" w:rsidRDefault="00786975" w:rsidP="00F53E65">
            <w:pPr>
              <w:pStyle w:val="BodyText"/>
              <w:jc w:val="center"/>
              <w:rPr>
                <w:b/>
                <w:bCs/>
                <w:lang w:val="id-ID"/>
              </w:rPr>
            </w:pPr>
            <w:r w:rsidRPr="00B94274">
              <w:rPr>
                <w:b/>
                <w:bCs/>
                <w:lang w:val="id-ID"/>
              </w:rPr>
              <w:t>Achievement (%)</w:t>
            </w:r>
          </w:p>
        </w:tc>
        <w:tc>
          <w:tcPr>
            <w:tcW w:w="1559" w:type="dxa"/>
          </w:tcPr>
          <w:p w14:paraId="1DA32BC0" w14:textId="77777777" w:rsidR="00786975" w:rsidRPr="00B94274" w:rsidRDefault="00786975" w:rsidP="00F53E65">
            <w:pPr>
              <w:pStyle w:val="BodyText"/>
              <w:jc w:val="center"/>
              <w:rPr>
                <w:b/>
                <w:bCs/>
                <w:lang w:val="id-ID"/>
              </w:rPr>
            </w:pPr>
            <w:r w:rsidRPr="00B94274">
              <w:rPr>
                <w:b/>
                <w:bCs/>
                <w:lang w:val="id-ID"/>
              </w:rPr>
              <w:t>Category</w:t>
            </w:r>
          </w:p>
        </w:tc>
      </w:tr>
      <w:tr w:rsidR="003E7365" w14:paraId="1E357CC5" w14:textId="77777777" w:rsidTr="00F53E65">
        <w:tc>
          <w:tcPr>
            <w:tcW w:w="2410" w:type="dxa"/>
          </w:tcPr>
          <w:p w14:paraId="72851467" w14:textId="77777777" w:rsidR="003E7365" w:rsidRPr="0026648E" w:rsidRDefault="003E7365" w:rsidP="00F53E65">
            <w:pPr>
              <w:pStyle w:val="BodyText"/>
              <w:rPr>
                <w:sz w:val="22"/>
                <w:szCs w:val="22"/>
                <w:lang w:val="id-ID"/>
              </w:rPr>
            </w:pPr>
            <w:r w:rsidRPr="003E7365">
              <w:rPr>
                <w:sz w:val="22"/>
                <w:szCs w:val="22"/>
                <w:lang w:val="id-ID"/>
              </w:rPr>
              <w:t>Understanding the importance of activities</w:t>
            </w:r>
          </w:p>
        </w:tc>
        <w:tc>
          <w:tcPr>
            <w:tcW w:w="1275" w:type="dxa"/>
          </w:tcPr>
          <w:p w14:paraId="766CA90D" w14:textId="77777777" w:rsidR="003E7365" w:rsidRPr="0026648E" w:rsidRDefault="003E7365" w:rsidP="00F53E65">
            <w:pPr>
              <w:pStyle w:val="BodyText"/>
              <w:jc w:val="center"/>
              <w:rPr>
                <w:sz w:val="22"/>
                <w:szCs w:val="22"/>
                <w:lang w:val="id-ID"/>
              </w:rPr>
            </w:pPr>
            <w:r>
              <w:rPr>
                <w:sz w:val="22"/>
                <w:szCs w:val="22"/>
                <w:lang w:val="id-ID"/>
              </w:rPr>
              <w:t>4,66</w:t>
            </w:r>
          </w:p>
        </w:tc>
        <w:tc>
          <w:tcPr>
            <w:tcW w:w="2127" w:type="dxa"/>
          </w:tcPr>
          <w:p w14:paraId="419E5ED2" w14:textId="77777777" w:rsidR="003E7365" w:rsidRPr="0026648E" w:rsidRDefault="003E7365" w:rsidP="00F53E65">
            <w:pPr>
              <w:pStyle w:val="BodyText"/>
              <w:jc w:val="center"/>
              <w:rPr>
                <w:sz w:val="22"/>
                <w:szCs w:val="22"/>
                <w:lang w:val="id-ID"/>
              </w:rPr>
            </w:pPr>
            <w:r>
              <w:rPr>
                <w:sz w:val="22"/>
                <w:szCs w:val="22"/>
                <w:lang w:val="id-ID"/>
              </w:rPr>
              <w:t>93</w:t>
            </w:r>
            <w:r w:rsidRPr="0026648E">
              <w:rPr>
                <w:sz w:val="22"/>
                <w:szCs w:val="22"/>
                <w:lang w:val="id-ID"/>
              </w:rPr>
              <w:t>,</w:t>
            </w:r>
            <w:r>
              <w:rPr>
                <w:sz w:val="22"/>
                <w:szCs w:val="22"/>
                <w:lang w:val="id-ID"/>
              </w:rPr>
              <w:t>25</w:t>
            </w:r>
          </w:p>
        </w:tc>
        <w:tc>
          <w:tcPr>
            <w:tcW w:w="1559" w:type="dxa"/>
          </w:tcPr>
          <w:p w14:paraId="73A864F2" w14:textId="77777777" w:rsidR="003E7365" w:rsidRPr="00D830C7" w:rsidRDefault="003E7365" w:rsidP="00F53E65">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Excellent</w:t>
            </w:r>
          </w:p>
        </w:tc>
      </w:tr>
      <w:tr w:rsidR="003E7365" w14:paraId="068AFA8A" w14:textId="77777777" w:rsidTr="00F53E65">
        <w:tc>
          <w:tcPr>
            <w:tcW w:w="2410" w:type="dxa"/>
          </w:tcPr>
          <w:p w14:paraId="050057EE" w14:textId="77777777" w:rsidR="003E7365" w:rsidRPr="0026648E" w:rsidRDefault="003E7365" w:rsidP="00F53E65">
            <w:pPr>
              <w:pStyle w:val="BodyText"/>
              <w:rPr>
                <w:sz w:val="22"/>
                <w:szCs w:val="22"/>
                <w:lang w:val="id-ID"/>
              </w:rPr>
            </w:pPr>
            <w:r w:rsidRPr="003E7365">
              <w:rPr>
                <w:sz w:val="22"/>
                <w:szCs w:val="22"/>
                <w:lang w:val="id-ID"/>
              </w:rPr>
              <w:t>Doing activities</w:t>
            </w:r>
          </w:p>
        </w:tc>
        <w:tc>
          <w:tcPr>
            <w:tcW w:w="1275" w:type="dxa"/>
            <w:vAlign w:val="center"/>
          </w:tcPr>
          <w:p w14:paraId="7939E813" w14:textId="77777777" w:rsidR="003E7365" w:rsidRPr="0026648E" w:rsidRDefault="003E7365" w:rsidP="00F53E65">
            <w:pPr>
              <w:pStyle w:val="BodyText"/>
              <w:jc w:val="center"/>
              <w:rPr>
                <w:sz w:val="22"/>
                <w:szCs w:val="22"/>
                <w:lang w:val="id-ID"/>
              </w:rPr>
            </w:pPr>
            <w:r>
              <w:rPr>
                <w:sz w:val="22"/>
                <w:szCs w:val="22"/>
                <w:lang w:val="id-ID"/>
              </w:rPr>
              <w:t>3,83</w:t>
            </w:r>
          </w:p>
        </w:tc>
        <w:tc>
          <w:tcPr>
            <w:tcW w:w="2127" w:type="dxa"/>
            <w:vAlign w:val="bottom"/>
          </w:tcPr>
          <w:p w14:paraId="3D891DF5" w14:textId="77777777" w:rsidR="003E7365" w:rsidRPr="0026648E" w:rsidRDefault="003E7365" w:rsidP="00F53E65">
            <w:pPr>
              <w:pStyle w:val="BodyText"/>
              <w:jc w:val="center"/>
              <w:rPr>
                <w:sz w:val="22"/>
                <w:szCs w:val="22"/>
                <w:lang w:val="id-ID"/>
              </w:rPr>
            </w:pPr>
            <w:r>
              <w:rPr>
                <w:sz w:val="22"/>
                <w:szCs w:val="22"/>
                <w:lang w:val="id-ID"/>
              </w:rPr>
              <w:t>76,64</w:t>
            </w:r>
          </w:p>
        </w:tc>
        <w:tc>
          <w:tcPr>
            <w:tcW w:w="1559" w:type="dxa"/>
          </w:tcPr>
          <w:p w14:paraId="504F1FFD" w14:textId="77777777" w:rsidR="003E7365" w:rsidRPr="00D830C7" w:rsidRDefault="003E7365" w:rsidP="00F53E65">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14:paraId="42699B01" w14:textId="77777777" w:rsidTr="00F53E65">
        <w:tc>
          <w:tcPr>
            <w:tcW w:w="2410" w:type="dxa"/>
          </w:tcPr>
          <w:p w14:paraId="1CBA3A81" w14:textId="77777777" w:rsidR="003E7365" w:rsidRPr="0026648E" w:rsidRDefault="003E7365" w:rsidP="00F53E65">
            <w:pPr>
              <w:pStyle w:val="BodyText"/>
              <w:rPr>
                <w:sz w:val="22"/>
                <w:szCs w:val="22"/>
                <w:lang w:val="id-ID"/>
              </w:rPr>
            </w:pPr>
            <w:r w:rsidRPr="003E7365">
              <w:rPr>
                <w:sz w:val="22"/>
                <w:szCs w:val="22"/>
                <w:lang w:val="id-ID"/>
              </w:rPr>
              <w:t>Using results</w:t>
            </w:r>
          </w:p>
        </w:tc>
        <w:tc>
          <w:tcPr>
            <w:tcW w:w="1275" w:type="dxa"/>
          </w:tcPr>
          <w:p w14:paraId="2F632D72" w14:textId="77777777" w:rsidR="003E7365" w:rsidRPr="0026648E" w:rsidRDefault="003E7365"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3,85</w:t>
            </w:r>
          </w:p>
        </w:tc>
        <w:tc>
          <w:tcPr>
            <w:tcW w:w="2127" w:type="dxa"/>
          </w:tcPr>
          <w:p w14:paraId="0AD34C4E" w14:textId="77777777" w:rsidR="003E7365" w:rsidRPr="0026648E" w:rsidRDefault="003E7365"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76</w:t>
            </w:r>
            <w:r w:rsidRPr="0026648E">
              <w:rPr>
                <w:rFonts w:ascii="Times New Roman" w:hAnsi="Times New Roman" w:cs="Times New Roman"/>
                <w:lang w:val="id-ID"/>
              </w:rPr>
              <w:t>,</w:t>
            </w:r>
            <w:r>
              <w:rPr>
                <w:rFonts w:ascii="Times New Roman" w:hAnsi="Times New Roman" w:cs="Times New Roman"/>
                <w:lang w:val="id-ID"/>
              </w:rPr>
              <w:t>92</w:t>
            </w:r>
          </w:p>
        </w:tc>
        <w:tc>
          <w:tcPr>
            <w:tcW w:w="1559" w:type="dxa"/>
          </w:tcPr>
          <w:p w14:paraId="6722F04D" w14:textId="77777777" w:rsidR="003E7365" w:rsidRPr="00D830C7" w:rsidRDefault="003E7365" w:rsidP="00F53E65">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14:paraId="4F5FA3A9" w14:textId="77777777" w:rsidTr="00F53E65">
        <w:tc>
          <w:tcPr>
            <w:tcW w:w="2410" w:type="dxa"/>
          </w:tcPr>
          <w:p w14:paraId="686C57D1" w14:textId="77777777" w:rsidR="003E7365" w:rsidRPr="0026648E" w:rsidRDefault="003E7365" w:rsidP="00F53E65">
            <w:pPr>
              <w:pStyle w:val="ListParagraph"/>
              <w:ind w:left="0"/>
              <w:jc w:val="both"/>
              <w:outlineLvl w:val="2"/>
              <w:rPr>
                <w:rFonts w:ascii="Times New Roman" w:hAnsi="Times New Roman" w:cs="Times New Roman"/>
                <w:lang w:val="id-ID"/>
              </w:rPr>
            </w:pPr>
            <w:r w:rsidRPr="003155B8">
              <w:rPr>
                <w:rFonts w:ascii="Times New Roman" w:hAnsi="Times New Roman" w:cs="Times New Roman"/>
                <w:sz w:val="22"/>
                <w:szCs w:val="22"/>
                <w:lang w:val="id-ID"/>
              </w:rPr>
              <w:t>Collaborate</w:t>
            </w:r>
          </w:p>
        </w:tc>
        <w:tc>
          <w:tcPr>
            <w:tcW w:w="1275" w:type="dxa"/>
          </w:tcPr>
          <w:p w14:paraId="1F71E0B1" w14:textId="77777777" w:rsidR="003E7365" w:rsidRPr="0026648E" w:rsidRDefault="003E7365"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3,45</w:t>
            </w:r>
          </w:p>
        </w:tc>
        <w:tc>
          <w:tcPr>
            <w:tcW w:w="2127" w:type="dxa"/>
          </w:tcPr>
          <w:p w14:paraId="6EC5B220" w14:textId="77777777" w:rsidR="003E7365" w:rsidRPr="0026648E" w:rsidRDefault="003E7365"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68</w:t>
            </w:r>
            <w:r w:rsidRPr="0026648E">
              <w:rPr>
                <w:rFonts w:ascii="Times New Roman" w:hAnsi="Times New Roman" w:cs="Times New Roman"/>
                <w:lang w:val="id-ID"/>
              </w:rPr>
              <w:t>,</w:t>
            </w:r>
            <w:r>
              <w:rPr>
                <w:rFonts w:ascii="Times New Roman" w:hAnsi="Times New Roman" w:cs="Times New Roman"/>
                <w:lang w:val="id-ID"/>
              </w:rPr>
              <w:t>99</w:t>
            </w:r>
          </w:p>
        </w:tc>
        <w:tc>
          <w:tcPr>
            <w:tcW w:w="1559" w:type="dxa"/>
          </w:tcPr>
          <w:p w14:paraId="314F6EEF" w14:textId="77777777" w:rsidR="003E7365" w:rsidRPr="0026648E" w:rsidRDefault="003E7365" w:rsidP="003E7365">
            <w:pPr>
              <w:pStyle w:val="ListParagraph"/>
              <w:ind w:left="0"/>
              <w:outlineLvl w:val="2"/>
              <w:rPr>
                <w:rFonts w:ascii="Times New Roman" w:hAnsi="Times New Roman" w:cs="Times New Roman"/>
                <w:lang w:val="id-ID"/>
              </w:rPr>
            </w:pPr>
            <w:r>
              <w:rPr>
                <w:rFonts w:ascii="Times New Roman" w:hAnsi="Times New Roman" w:cs="Times New Roman"/>
                <w:lang w:val="id-ID"/>
              </w:rPr>
              <w:t>Not Good</w:t>
            </w:r>
          </w:p>
        </w:tc>
      </w:tr>
      <w:tr w:rsidR="003E7365" w14:paraId="4066FEA6" w14:textId="77777777" w:rsidTr="00F53E65">
        <w:tc>
          <w:tcPr>
            <w:tcW w:w="2410" w:type="dxa"/>
          </w:tcPr>
          <w:p w14:paraId="23166642" w14:textId="77777777" w:rsidR="003E7365" w:rsidRPr="0026648E" w:rsidRDefault="003E7365" w:rsidP="00F53E65">
            <w:pPr>
              <w:pStyle w:val="ListParagraph"/>
              <w:ind w:left="0"/>
              <w:jc w:val="both"/>
              <w:outlineLvl w:val="2"/>
              <w:rPr>
                <w:rFonts w:ascii="Times New Roman" w:hAnsi="Times New Roman" w:cs="Times New Roman"/>
                <w:lang w:val="id-ID"/>
              </w:rPr>
            </w:pPr>
            <w:r w:rsidRPr="00D830C7">
              <w:rPr>
                <w:rFonts w:ascii="Times New Roman" w:hAnsi="Times New Roman" w:cs="Times New Roman"/>
                <w:lang w:val="id-ID"/>
              </w:rPr>
              <w:t>Mentoring colleagues</w:t>
            </w:r>
          </w:p>
        </w:tc>
        <w:tc>
          <w:tcPr>
            <w:tcW w:w="1275" w:type="dxa"/>
          </w:tcPr>
          <w:p w14:paraId="2D5DBFFA" w14:textId="77777777" w:rsidR="003E7365" w:rsidRPr="0026648E" w:rsidRDefault="003E7365"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3,94</w:t>
            </w:r>
          </w:p>
        </w:tc>
        <w:tc>
          <w:tcPr>
            <w:tcW w:w="2127" w:type="dxa"/>
          </w:tcPr>
          <w:p w14:paraId="009AB709" w14:textId="77777777" w:rsidR="003E7365" w:rsidRPr="0026648E" w:rsidRDefault="003E7365" w:rsidP="00F53E65">
            <w:pPr>
              <w:pStyle w:val="ListParagraph"/>
              <w:ind w:left="0"/>
              <w:jc w:val="center"/>
              <w:outlineLvl w:val="2"/>
              <w:rPr>
                <w:rFonts w:ascii="Times New Roman" w:hAnsi="Times New Roman" w:cs="Times New Roman"/>
                <w:lang w:val="id-ID"/>
              </w:rPr>
            </w:pPr>
            <w:r>
              <w:rPr>
                <w:rFonts w:ascii="Times New Roman" w:hAnsi="Times New Roman" w:cs="Times New Roman"/>
                <w:lang w:val="id-ID"/>
              </w:rPr>
              <w:t>78,86</w:t>
            </w:r>
          </w:p>
        </w:tc>
        <w:tc>
          <w:tcPr>
            <w:tcW w:w="1559" w:type="dxa"/>
          </w:tcPr>
          <w:p w14:paraId="4A6C863F" w14:textId="77777777" w:rsidR="003E7365" w:rsidRPr="00D830C7" w:rsidRDefault="003E7365" w:rsidP="00F53E65">
            <w:pPr>
              <w:pStyle w:val="ListParagraph"/>
              <w:ind w:left="0"/>
              <w:outlineLvl w:val="2"/>
              <w:rPr>
                <w:rFonts w:ascii="Times New Roman" w:hAnsi="Times New Roman" w:cs="Times New Roman"/>
                <w:sz w:val="22"/>
                <w:szCs w:val="22"/>
                <w:lang w:val="id-ID"/>
              </w:rPr>
            </w:pPr>
            <w:r w:rsidRPr="00D830C7">
              <w:rPr>
                <w:rFonts w:ascii="Times New Roman" w:hAnsi="Times New Roman" w:cs="Times New Roman"/>
                <w:sz w:val="22"/>
                <w:szCs w:val="22"/>
                <w:lang w:val="id-ID"/>
              </w:rPr>
              <w:t>Pretty Good</w:t>
            </w:r>
          </w:p>
        </w:tc>
      </w:tr>
      <w:tr w:rsidR="003E7365" w:rsidRPr="00B94274" w14:paraId="31742E44" w14:textId="77777777" w:rsidTr="00F53E65">
        <w:tc>
          <w:tcPr>
            <w:tcW w:w="2410" w:type="dxa"/>
          </w:tcPr>
          <w:p w14:paraId="4A43EA7D" w14:textId="77777777" w:rsidR="003E7365" w:rsidRPr="0026648E" w:rsidRDefault="003E7365" w:rsidP="00F53E65">
            <w:pPr>
              <w:pStyle w:val="ListParagraph"/>
              <w:ind w:left="0"/>
              <w:outlineLvl w:val="2"/>
              <w:rPr>
                <w:rFonts w:ascii="Times New Roman" w:hAnsi="Times New Roman" w:cs="Times New Roman"/>
                <w:b/>
                <w:bCs/>
                <w:lang w:val="id-ID"/>
              </w:rPr>
            </w:pPr>
            <w:r w:rsidRPr="003155B8">
              <w:rPr>
                <w:rFonts w:ascii="Times New Roman" w:hAnsi="Times New Roman" w:cs="Times New Roman"/>
                <w:b/>
                <w:bCs/>
                <w:sz w:val="22"/>
                <w:szCs w:val="22"/>
                <w:lang w:val="id-ID"/>
              </w:rPr>
              <w:t>Total Grade Point Average</w:t>
            </w:r>
          </w:p>
        </w:tc>
        <w:tc>
          <w:tcPr>
            <w:tcW w:w="1275" w:type="dxa"/>
          </w:tcPr>
          <w:p w14:paraId="2A87A27D" w14:textId="77777777" w:rsidR="003E7365" w:rsidRPr="0026648E" w:rsidRDefault="003E7365" w:rsidP="00F53E65">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3,95</w:t>
            </w:r>
          </w:p>
        </w:tc>
        <w:tc>
          <w:tcPr>
            <w:tcW w:w="2127" w:type="dxa"/>
          </w:tcPr>
          <w:p w14:paraId="30717086" w14:textId="77777777" w:rsidR="003E7365" w:rsidRPr="0026648E" w:rsidRDefault="003E7365" w:rsidP="00F53E65">
            <w:pPr>
              <w:pStyle w:val="ListParagraph"/>
              <w:ind w:left="0"/>
              <w:jc w:val="center"/>
              <w:outlineLvl w:val="2"/>
              <w:rPr>
                <w:rFonts w:ascii="Times New Roman" w:hAnsi="Times New Roman" w:cs="Times New Roman"/>
                <w:b/>
                <w:bCs/>
                <w:lang w:val="id-ID"/>
              </w:rPr>
            </w:pPr>
            <w:r>
              <w:rPr>
                <w:rFonts w:ascii="Times New Roman" w:hAnsi="Times New Roman" w:cs="Times New Roman"/>
                <w:b/>
                <w:bCs/>
                <w:lang w:val="id-ID"/>
              </w:rPr>
              <w:t>78,93</w:t>
            </w:r>
          </w:p>
        </w:tc>
        <w:tc>
          <w:tcPr>
            <w:tcW w:w="1559" w:type="dxa"/>
          </w:tcPr>
          <w:p w14:paraId="0AF699BA" w14:textId="77777777" w:rsidR="003E7365" w:rsidRPr="003E7365" w:rsidRDefault="003E7365" w:rsidP="00F53E65">
            <w:pPr>
              <w:pStyle w:val="ListParagraph"/>
              <w:ind w:left="0"/>
              <w:outlineLvl w:val="2"/>
              <w:rPr>
                <w:rFonts w:ascii="Times New Roman" w:hAnsi="Times New Roman" w:cs="Times New Roman"/>
                <w:b/>
                <w:bCs/>
                <w:sz w:val="22"/>
                <w:szCs w:val="22"/>
                <w:lang w:val="id-ID"/>
              </w:rPr>
            </w:pPr>
            <w:r w:rsidRPr="003E7365">
              <w:rPr>
                <w:rFonts w:ascii="Times New Roman" w:hAnsi="Times New Roman" w:cs="Times New Roman"/>
                <w:b/>
                <w:bCs/>
                <w:sz w:val="22"/>
                <w:szCs w:val="22"/>
                <w:lang w:val="id-ID"/>
              </w:rPr>
              <w:t>Pretty Good</w:t>
            </w:r>
          </w:p>
        </w:tc>
      </w:tr>
    </w:tbl>
    <w:p w14:paraId="511FBB4C" w14:textId="77777777" w:rsidR="00786975" w:rsidRDefault="00786975" w:rsidP="00786975">
      <w:pPr>
        <w:pStyle w:val="ListParagraph"/>
        <w:ind w:left="644"/>
        <w:jc w:val="both"/>
        <w:rPr>
          <w:rFonts w:ascii="Times New Roman" w:hAnsi="Times New Roman" w:cs="Times New Roman"/>
          <w:sz w:val="24"/>
          <w:szCs w:val="24"/>
          <w:lang w:val="id-ID"/>
        </w:rPr>
      </w:pPr>
    </w:p>
    <w:p w14:paraId="49612F38" w14:textId="77777777" w:rsidR="003E7365" w:rsidRDefault="003E7365" w:rsidP="00786975">
      <w:pPr>
        <w:pStyle w:val="ListParagraph"/>
        <w:ind w:left="644"/>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07E962B7" wp14:editId="1F7CBCCE">
            <wp:extent cx="4667416" cy="2934031"/>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5D64AA" w14:textId="77777777" w:rsidR="003E7365" w:rsidRPr="003E7365" w:rsidRDefault="003E7365" w:rsidP="00786975">
      <w:pPr>
        <w:pStyle w:val="ListParagraph"/>
        <w:ind w:left="644"/>
        <w:jc w:val="both"/>
        <w:rPr>
          <w:rFonts w:ascii="Times New Roman" w:hAnsi="Times New Roman" w:cs="Times New Roman"/>
          <w:b/>
          <w:bCs/>
          <w:sz w:val="24"/>
          <w:szCs w:val="24"/>
          <w:lang w:val="id-ID"/>
        </w:rPr>
      </w:pPr>
      <w:r w:rsidRPr="003E7365">
        <w:rPr>
          <w:rFonts w:ascii="Times New Roman" w:hAnsi="Times New Roman" w:cs="Times New Roman"/>
          <w:b/>
          <w:bCs/>
          <w:sz w:val="24"/>
          <w:szCs w:val="24"/>
          <w:lang w:val="id-ID"/>
        </w:rPr>
        <w:t>Diagram 3. Teacher Literacy Culture</w:t>
      </w:r>
    </w:p>
    <w:p w14:paraId="09EBA820" w14:textId="77777777" w:rsidR="003E7365" w:rsidRDefault="003E7365" w:rsidP="003E7365">
      <w:pPr>
        <w:pStyle w:val="ListParagraph"/>
        <w:ind w:left="644" w:firstLine="490"/>
        <w:jc w:val="both"/>
        <w:rPr>
          <w:rFonts w:ascii="Times New Roman" w:hAnsi="Times New Roman" w:cs="Times New Roman"/>
          <w:sz w:val="24"/>
          <w:szCs w:val="24"/>
          <w:lang w:val="id-ID"/>
        </w:rPr>
      </w:pPr>
      <w:r w:rsidRPr="003E7365">
        <w:rPr>
          <w:rFonts w:ascii="Times New Roman" w:hAnsi="Times New Roman" w:cs="Times New Roman"/>
          <w:sz w:val="24"/>
          <w:szCs w:val="24"/>
          <w:lang w:val="id-ID"/>
        </w:rPr>
        <w:t xml:space="preserve">Based on table 5 and diagram 3 above, it shows that the culture of teacher literacy in each indicator is an indicator of understanding the importance of literacy activities that have been achieved in the very good category with an average score of 4.72 at an achievement rate of 94.37%, the indicator of doing activities in the category is quite good with an average score of 3.83 at an achievement rate of 76.64%, the indicator using the results is in the very good category with an average score of 3.85 at an achievement rate of 76.92%, The indicator collaborated in the poor category with an average score of 3.45 at an achievement rate of 68.99%, and the indicator guided colleagues in the category was quite good with an average score of 3.94 at an achievement rate of 78.86%. Overall, the </w:t>
      </w:r>
      <w:r w:rsidRPr="003E7365">
        <w:rPr>
          <w:rFonts w:ascii="Times New Roman" w:hAnsi="Times New Roman" w:cs="Times New Roman"/>
          <w:sz w:val="24"/>
          <w:szCs w:val="24"/>
          <w:lang w:val="id-ID"/>
        </w:rPr>
        <w:lastRenderedPageBreak/>
        <w:t>achievement rate of teacher literacy culture with an average score of 3.95 and a percentage achievement rate of 78.93% is in the category of quite good.</w:t>
      </w:r>
    </w:p>
    <w:p w14:paraId="309D895A" w14:textId="77777777" w:rsidR="003E7365" w:rsidRPr="003155B8" w:rsidRDefault="003E7365" w:rsidP="003E7365">
      <w:pPr>
        <w:pStyle w:val="ListParagraph"/>
        <w:ind w:left="644" w:firstLine="490"/>
        <w:jc w:val="both"/>
        <w:rPr>
          <w:rFonts w:ascii="Times New Roman" w:hAnsi="Times New Roman" w:cs="Times New Roman"/>
          <w:sz w:val="24"/>
          <w:szCs w:val="24"/>
          <w:lang w:val="id-ID"/>
        </w:rPr>
      </w:pPr>
      <w:r w:rsidRPr="003E7365">
        <w:rPr>
          <w:rFonts w:ascii="Times New Roman" w:hAnsi="Times New Roman" w:cs="Times New Roman"/>
          <w:sz w:val="24"/>
          <w:szCs w:val="24"/>
          <w:lang w:val="id-ID"/>
        </w:rPr>
        <w:t>From the description above, there is one indicator that has been achieved in the very good category, namely the understanding of the importance of literacy activities. Then one indicator of the level of achievement is not good, namely collaborating with colleagues. Meanwhile, the other three indicators, the level of achievement is in the category of quite good, namely, carrying out activities, using results and guiding colleagues. Thus, it can be stated that the literacy culture of teachers in fostering the habit of accessing, processing, interpreting, and criticizing information from various sources, as well as presenting ideas effectively through multimodal texts is in a fairly good category.</w:t>
      </w:r>
    </w:p>
    <w:p w14:paraId="26AAFE3D" w14:textId="77777777" w:rsidR="007E6055" w:rsidRDefault="00A8253A" w:rsidP="00A8253A">
      <w:pPr>
        <w:pStyle w:val="ListParagraph"/>
        <w:numPr>
          <w:ilvl w:val="0"/>
          <w:numId w:val="1"/>
        </w:numPr>
        <w:jc w:val="both"/>
        <w:rPr>
          <w:rFonts w:ascii="Times New Roman" w:hAnsi="Times New Roman" w:cs="Times New Roman"/>
          <w:sz w:val="24"/>
          <w:szCs w:val="24"/>
          <w:lang w:val="id-ID"/>
        </w:rPr>
      </w:pPr>
      <w:r w:rsidRPr="00A8253A">
        <w:rPr>
          <w:rFonts w:ascii="Times New Roman" w:hAnsi="Times New Roman" w:cs="Times New Roman"/>
          <w:sz w:val="24"/>
          <w:szCs w:val="24"/>
          <w:lang w:val="id-ID"/>
        </w:rPr>
        <w:t>Teacher Numeracy Competence</w:t>
      </w:r>
    </w:p>
    <w:p w14:paraId="08E83B03" w14:textId="77777777" w:rsidR="00A8253A" w:rsidRDefault="00A8253A" w:rsidP="00A8253A">
      <w:pPr>
        <w:pStyle w:val="ListParagraph"/>
        <w:ind w:firstLine="556"/>
        <w:jc w:val="both"/>
        <w:rPr>
          <w:rFonts w:ascii="Times New Roman" w:hAnsi="Times New Roman" w:cs="Times New Roman"/>
          <w:sz w:val="24"/>
          <w:szCs w:val="24"/>
          <w:lang w:val="id-ID"/>
        </w:rPr>
      </w:pPr>
      <w:r w:rsidRPr="00A8253A">
        <w:rPr>
          <w:rFonts w:ascii="Times New Roman" w:hAnsi="Times New Roman" w:cs="Times New Roman"/>
          <w:sz w:val="24"/>
          <w:szCs w:val="24"/>
          <w:lang w:val="id-ID"/>
        </w:rPr>
        <w:t>Research findings on the aspects of teacher numeracy competence from three sub-variables, namely, learning environment, learning and assessment, and the cultural aspect of teacher numeracy can be presented in the following table 6.</w:t>
      </w:r>
    </w:p>
    <w:p w14:paraId="502C9531" w14:textId="77777777" w:rsidR="00A8253A" w:rsidRPr="00A8253A" w:rsidRDefault="00A8253A" w:rsidP="00A8253A">
      <w:pPr>
        <w:pStyle w:val="NoSpacing"/>
        <w:ind w:firstLine="709"/>
        <w:rPr>
          <w:rFonts w:ascii="Times New Roman" w:hAnsi="Times New Roman" w:cs="Times New Roman"/>
          <w:b/>
          <w:bCs/>
          <w:sz w:val="24"/>
          <w:szCs w:val="24"/>
          <w:lang w:val="id-ID"/>
        </w:rPr>
      </w:pPr>
      <w:r w:rsidRPr="00A8253A">
        <w:rPr>
          <w:rFonts w:ascii="Times New Roman" w:hAnsi="Times New Roman" w:cs="Times New Roman"/>
          <w:b/>
          <w:bCs/>
          <w:sz w:val="24"/>
          <w:szCs w:val="24"/>
          <w:lang w:val="id-ID"/>
        </w:rPr>
        <w:t>Table 6. Teacher Numeracy Competencies</w:t>
      </w:r>
    </w:p>
    <w:tbl>
      <w:tblPr>
        <w:tblStyle w:val="TableGrid"/>
        <w:tblW w:w="7762" w:type="dxa"/>
        <w:tblInd w:w="817" w:type="dxa"/>
        <w:tblLook w:val="04A0" w:firstRow="1" w:lastRow="0" w:firstColumn="1" w:lastColumn="0" w:noHBand="0" w:noVBand="1"/>
      </w:tblPr>
      <w:tblGrid>
        <w:gridCol w:w="2801"/>
        <w:gridCol w:w="1134"/>
        <w:gridCol w:w="1985"/>
        <w:gridCol w:w="1842"/>
      </w:tblGrid>
      <w:tr w:rsidR="00A8253A" w14:paraId="640A7994" w14:textId="77777777" w:rsidTr="00A8253A">
        <w:tc>
          <w:tcPr>
            <w:tcW w:w="2801" w:type="dxa"/>
          </w:tcPr>
          <w:p w14:paraId="59644DFE" w14:textId="77777777" w:rsidR="00A8253A" w:rsidRPr="004665EF" w:rsidRDefault="00A8253A" w:rsidP="00F53E65">
            <w:pPr>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Indicator</w:t>
            </w:r>
          </w:p>
        </w:tc>
        <w:tc>
          <w:tcPr>
            <w:tcW w:w="1134" w:type="dxa"/>
          </w:tcPr>
          <w:p w14:paraId="7810F744" w14:textId="77777777" w:rsidR="00A8253A" w:rsidRPr="004665EF" w:rsidRDefault="00A8253A" w:rsidP="00F53E65">
            <w:pPr>
              <w:ind w:firstLine="40"/>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Average</w:t>
            </w:r>
          </w:p>
        </w:tc>
        <w:tc>
          <w:tcPr>
            <w:tcW w:w="1985" w:type="dxa"/>
          </w:tcPr>
          <w:p w14:paraId="3DEADE6B" w14:textId="77777777" w:rsidR="00A8253A" w:rsidRPr="004665EF" w:rsidRDefault="00A8253A" w:rsidP="00F53E65">
            <w:pPr>
              <w:ind w:firstLine="33"/>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Achievement(%)</w:t>
            </w:r>
          </w:p>
        </w:tc>
        <w:tc>
          <w:tcPr>
            <w:tcW w:w="1842" w:type="dxa"/>
          </w:tcPr>
          <w:p w14:paraId="76638C4E" w14:textId="77777777" w:rsidR="00A8253A" w:rsidRPr="004665EF" w:rsidRDefault="00A8253A" w:rsidP="00F53E65">
            <w:pPr>
              <w:ind w:firstLine="14"/>
              <w:jc w:val="center"/>
              <w:rPr>
                <w:rFonts w:ascii="Times New Roman" w:hAnsi="Times New Roman" w:cs="Times New Roman"/>
                <w:b/>
                <w:bCs/>
                <w:sz w:val="24"/>
                <w:szCs w:val="24"/>
                <w:lang w:val="id-ID"/>
              </w:rPr>
            </w:pPr>
            <w:r w:rsidRPr="004665EF">
              <w:rPr>
                <w:rFonts w:ascii="Times New Roman" w:hAnsi="Times New Roman" w:cs="Times New Roman"/>
                <w:b/>
                <w:bCs/>
                <w:sz w:val="24"/>
                <w:szCs w:val="24"/>
                <w:lang w:val="id-ID"/>
              </w:rPr>
              <w:t>Category</w:t>
            </w:r>
          </w:p>
        </w:tc>
      </w:tr>
      <w:tr w:rsidR="00A8253A" w14:paraId="4C0AC475" w14:textId="77777777" w:rsidTr="00A8253A">
        <w:tc>
          <w:tcPr>
            <w:tcW w:w="2801" w:type="dxa"/>
          </w:tcPr>
          <w:p w14:paraId="00E71CAE" w14:textId="77777777" w:rsidR="00A8253A" w:rsidRPr="0026648E" w:rsidRDefault="00A8253A" w:rsidP="00F53E65">
            <w:pPr>
              <w:pStyle w:val="BodyText"/>
              <w:rPr>
                <w:sz w:val="22"/>
                <w:szCs w:val="22"/>
                <w:lang w:val="id-ID"/>
              </w:rPr>
            </w:pPr>
            <w:r w:rsidRPr="00A8253A">
              <w:rPr>
                <w:lang w:val="id-ID"/>
              </w:rPr>
              <w:t>Learning environment</w:t>
            </w:r>
          </w:p>
        </w:tc>
        <w:tc>
          <w:tcPr>
            <w:tcW w:w="1134" w:type="dxa"/>
          </w:tcPr>
          <w:p w14:paraId="3D43E0A1" w14:textId="77777777" w:rsidR="00A8253A" w:rsidRPr="004665EF" w:rsidRDefault="00A8253A" w:rsidP="00F53E65">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3,</w:t>
            </w:r>
            <w:r>
              <w:rPr>
                <w:rFonts w:ascii="Times New Roman" w:hAnsi="Times New Roman" w:cs="Times New Roman"/>
                <w:sz w:val="24"/>
                <w:szCs w:val="24"/>
                <w:lang w:val="id-ID"/>
              </w:rPr>
              <w:t>76</w:t>
            </w:r>
          </w:p>
        </w:tc>
        <w:tc>
          <w:tcPr>
            <w:tcW w:w="1985" w:type="dxa"/>
          </w:tcPr>
          <w:p w14:paraId="700D5AC7" w14:textId="77777777" w:rsidR="00A8253A" w:rsidRPr="004665EF" w:rsidRDefault="00A8253A" w:rsidP="00F53E65">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7</w:t>
            </w:r>
            <w:r>
              <w:rPr>
                <w:rFonts w:ascii="Times New Roman" w:hAnsi="Times New Roman" w:cs="Times New Roman"/>
                <w:sz w:val="24"/>
                <w:szCs w:val="24"/>
                <w:lang w:val="id-ID"/>
              </w:rPr>
              <w:t>5</w:t>
            </w:r>
            <w:r w:rsidRPr="004665EF">
              <w:rPr>
                <w:rFonts w:ascii="Times New Roman" w:hAnsi="Times New Roman" w:cs="Times New Roman"/>
                <w:sz w:val="24"/>
                <w:szCs w:val="24"/>
                <w:lang w:val="id-ID"/>
              </w:rPr>
              <w:t>,</w:t>
            </w:r>
            <w:r>
              <w:rPr>
                <w:rFonts w:ascii="Times New Roman" w:hAnsi="Times New Roman" w:cs="Times New Roman"/>
                <w:sz w:val="24"/>
                <w:szCs w:val="24"/>
                <w:lang w:val="id-ID"/>
              </w:rPr>
              <w:t>12</w:t>
            </w:r>
          </w:p>
        </w:tc>
        <w:tc>
          <w:tcPr>
            <w:tcW w:w="1842" w:type="dxa"/>
          </w:tcPr>
          <w:p w14:paraId="4B6064E0" w14:textId="77777777" w:rsidR="00A8253A" w:rsidRPr="004665EF" w:rsidRDefault="00A8253A" w:rsidP="00F53E65">
            <w:pPr>
              <w:pStyle w:val="ListParagraph"/>
              <w:ind w:left="0"/>
              <w:jc w:val="both"/>
              <w:outlineLvl w:val="2"/>
              <w:rPr>
                <w:rFonts w:ascii="Times New Roman" w:hAnsi="Times New Roman" w:cs="Times New Roman"/>
                <w:sz w:val="24"/>
                <w:szCs w:val="24"/>
                <w:lang w:val="id-ID"/>
              </w:rPr>
            </w:pPr>
            <w:r>
              <w:rPr>
                <w:rFonts w:ascii="Times New Roman" w:hAnsi="Times New Roman" w:cs="Times New Roman"/>
                <w:sz w:val="24"/>
                <w:szCs w:val="24"/>
                <w:lang w:val="id-ID"/>
              </w:rPr>
              <w:t>Not Good</w:t>
            </w:r>
          </w:p>
        </w:tc>
      </w:tr>
      <w:tr w:rsidR="00A8253A" w14:paraId="6213AA5F" w14:textId="77777777" w:rsidTr="00A8253A">
        <w:tc>
          <w:tcPr>
            <w:tcW w:w="2801" w:type="dxa"/>
          </w:tcPr>
          <w:p w14:paraId="541FA999" w14:textId="77777777" w:rsidR="00A8253A" w:rsidRPr="0026648E" w:rsidRDefault="00A8253A" w:rsidP="00F53E65">
            <w:pPr>
              <w:pStyle w:val="BodyText"/>
              <w:rPr>
                <w:sz w:val="22"/>
                <w:szCs w:val="22"/>
                <w:lang w:val="id-ID"/>
              </w:rPr>
            </w:pPr>
            <w:r w:rsidRPr="00A8253A">
              <w:rPr>
                <w:sz w:val="22"/>
                <w:szCs w:val="22"/>
                <w:lang w:val="id-ID"/>
              </w:rPr>
              <w:t>Learningand assessment</w:t>
            </w:r>
          </w:p>
        </w:tc>
        <w:tc>
          <w:tcPr>
            <w:tcW w:w="1134" w:type="dxa"/>
          </w:tcPr>
          <w:p w14:paraId="5DBA3E67" w14:textId="77777777" w:rsidR="00A8253A" w:rsidRPr="004665EF" w:rsidRDefault="00A8253A" w:rsidP="00F53E65">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3,9</w:t>
            </w:r>
            <w:r>
              <w:rPr>
                <w:rFonts w:ascii="Times New Roman" w:hAnsi="Times New Roman" w:cs="Times New Roman"/>
                <w:sz w:val="24"/>
                <w:szCs w:val="24"/>
                <w:lang w:val="id-ID"/>
              </w:rPr>
              <w:t>5</w:t>
            </w:r>
          </w:p>
        </w:tc>
        <w:tc>
          <w:tcPr>
            <w:tcW w:w="1985" w:type="dxa"/>
          </w:tcPr>
          <w:p w14:paraId="4CF8DDDE" w14:textId="77777777" w:rsidR="00A8253A" w:rsidRPr="004665EF" w:rsidRDefault="00A8253A" w:rsidP="00F53E65">
            <w:pPr>
              <w:pStyle w:val="ListParagraph"/>
              <w:ind w:left="0"/>
              <w:jc w:val="center"/>
              <w:outlineLvl w:val="2"/>
              <w:rPr>
                <w:rFonts w:ascii="Times New Roman" w:hAnsi="Times New Roman" w:cs="Times New Roman"/>
                <w:sz w:val="24"/>
                <w:szCs w:val="24"/>
                <w:lang w:val="id-ID"/>
              </w:rPr>
            </w:pPr>
            <w:r>
              <w:rPr>
                <w:rFonts w:ascii="Times New Roman" w:hAnsi="Times New Roman" w:cs="Times New Roman"/>
                <w:sz w:val="24"/>
                <w:szCs w:val="24"/>
                <w:lang w:val="id-ID"/>
              </w:rPr>
              <w:t>78,22</w:t>
            </w:r>
          </w:p>
        </w:tc>
        <w:tc>
          <w:tcPr>
            <w:tcW w:w="1842" w:type="dxa"/>
          </w:tcPr>
          <w:p w14:paraId="02646F6F" w14:textId="77777777" w:rsidR="00A8253A" w:rsidRPr="004665EF" w:rsidRDefault="00354F75" w:rsidP="00F53E65">
            <w:pPr>
              <w:pStyle w:val="ListParagraph"/>
              <w:ind w:left="0"/>
              <w:jc w:val="both"/>
              <w:outlineLvl w:val="2"/>
              <w:rPr>
                <w:rFonts w:ascii="Times New Roman" w:hAnsi="Times New Roman" w:cs="Times New Roman"/>
                <w:sz w:val="24"/>
                <w:szCs w:val="24"/>
                <w:lang w:val="id-ID"/>
              </w:rPr>
            </w:pPr>
            <w:r w:rsidRPr="00D830C7">
              <w:rPr>
                <w:rFonts w:ascii="Times New Roman" w:hAnsi="Times New Roman" w:cs="Times New Roman"/>
                <w:sz w:val="22"/>
                <w:szCs w:val="22"/>
                <w:lang w:val="id-ID"/>
              </w:rPr>
              <w:t>Pretty Good</w:t>
            </w:r>
          </w:p>
        </w:tc>
      </w:tr>
      <w:tr w:rsidR="00354F75" w14:paraId="46C37213" w14:textId="77777777" w:rsidTr="00A8253A">
        <w:tc>
          <w:tcPr>
            <w:tcW w:w="2801" w:type="dxa"/>
          </w:tcPr>
          <w:p w14:paraId="277BEF6F" w14:textId="77777777" w:rsidR="00354F75" w:rsidRPr="0026648E" w:rsidRDefault="00354F75" w:rsidP="00F53E65">
            <w:pPr>
              <w:pStyle w:val="BodyText"/>
              <w:rPr>
                <w:sz w:val="22"/>
                <w:szCs w:val="22"/>
                <w:lang w:val="id-ID"/>
              </w:rPr>
            </w:pPr>
            <w:r w:rsidRPr="00A8253A">
              <w:rPr>
                <w:lang w:val="id-ID"/>
              </w:rPr>
              <w:t>Teacher numeracy culture</w:t>
            </w:r>
          </w:p>
        </w:tc>
        <w:tc>
          <w:tcPr>
            <w:tcW w:w="1134" w:type="dxa"/>
          </w:tcPr>
          <w:p w14:paraId="589D3589" w14:textId="77777777" w:rsidR="00354F75" w:rsidRPr="004665EF" w:rsidRDefault="00354F75" w:rsidP="00F53E65">
            <w:pPr>
              <w:pStyle w:val="ListParagraph"/>
              <w:ind w:left="0"/>
              <w:jc w:val="center"/>
              <w:outlineLvl w:val="2"/>
              <w:rPr>
                <w:rFonts w:ascii="Times New Roman" w:hAnsi="Times New Roman" w:cs="Times New Roman"/>
                <w:sz w:val="24"/>
                <w:szCs w:val="24"/>
                <w:lang w:val="id-ID"/>
              </w:rPr>
            </w:pPr>
            <w:r>
              <w:rPr>
                <w:rFonts w:ascii="Times New Roman" w:hAnsi="Times New Roman" w:cs="Times New Roman"/>
                <w:sz w:val="24"/>
                <w:szCs w:val="24"/>
                <w:lang w:val="id-ID"/>
              </w:rPr>
              <w:t>3,61</w:t>
            </w:r>
          </w:p>
        </w:tc>
        <w:tc>
          <w:tcPr>
            <w:tcW w:w="1985" w:type="dxa"/>
          </w:tcPr>
          <w:p w14:paraId="221BBC29" w14:textId="77777777" w:rsidR="00354F75" w:rsidRPr="004665EF" w:rsidRDefault="00354F75" w:rsidP="00F53E65">
            <w:pPr>
              <w:pStyle w:val="ListParagraph"/>
              <w:ind w:left="0"/>
              <w:jc w:val="center"/>
              <w:outlineLvl w:val="2"/>
              <w:rPr>
                <w:rFonts w:ascii="Times New Roman" w:hAnsi="Times New Roman" w:cs="Times New Roman"/>
                <w:sz w:val="24"/>
                <w:szCs w:val="24"/>
                <w:lang w:val="id-ID"/>
              </w:rPr>
            </w:pPr>
            <w:r w:rsidRPr="004665EF">
              <w:rPr>
                <w:rFonts w:ascii="Times New Roman" w:hAnsi="Times New Roman" w:cs="Times New Roman"/>
                <w:sz w:val="24"/>
                <w:szCs w:val="24"/>
                <w:lang w:val="id-ID"/>
              </w:rPr>
              <w:t>7</w:t>
            </w:r>
            <w:r>
              <w:rPr>
                <w:rFonts w:ascii="Times New Roman" w:hAnsi="Times New Roman" w:cs="Times New Roman"/>
                <w:sz w:val="24"/>
                <w:szCs w:val="24"/>
                <w:lang w:val="id-ID"/>
              </w:rPr>
              <w:t>2,13</w:t>
            </w:r>
          </w:p>
        </w:tc>
        <w:tc>
          <w:tcPr>
            <w:tcW w:w="1842" w:type="dxa"/>
          </w:tcPr>
          <w:p w14:paraId="1D0E403F" w14:textId="77777777" w:rsidR="00354F75" w:rsidRDefault="00354F75">
            <w:r w:rsidRPr="005B012F">
              <w:rPr>
                <w:rFonts w:ascii="Times New Roman" w:hAnsi="Times New Roman" w:cs="Times New Roman"/>
                <w:sz w:val="24"/>
                <w:szCs w:val="24"/>
                <w:lang w:val="id-ID"/>
              </w:rPr>
              <w:t>Not Good</w:t>
            </w:r>
          </w:p>
        </w:tc>
      </w:tr>
      <w:tr w:rsidR="00354F75" w14:paraId="7343FEFA" w14:textId="77777777" w:rsidTr="00A8253A">
        <w:tc>
          <w:tcPr>
            <w:tcW w:w="2801" w:type="dxa"/>
          </w:tcPr>
          <w:p w14:paraId="52FC1DCA" w14:textId="77777777" w:rsidR="00354F75" w:rsidRPr="003A2258" w:rsidRDefault="00354F75" w:rsidP="00F53E65">
            <w:pPr>
              <w:pStyle w:val="ListParagraph"/>
              <w:ind w:left="0"/>
              <w:jc w:val="both"/>
              <w:outlineLvl w:val="2"/>
              <w:rPr>
                <w:rFonts w:ascii="Times New Roman" w:hAnsi="Times New Roman" w:cs="Times New Roman"/>
                <w:b/>
                <w:bCs/>
                <w:sz w:val="24"/>
                <w:szCs w:val="24"/>
                <w:lang w:val="id-ID"/>
              </w:rPr>
            </w:pPr>
            <w:r w:rsidRPr="003155B8">
              <w:rPr>
                <w:rFonts w:ascii="Times New Roman" w:hAnsi="Times New Roman" w:cs="Times New Roman"/>
                <w:b/>
                <w:bCs/>
                <w:sz w:val="22"/>
                <w:szCs w:val="22"/>
                <w:lang w:val="id-ID"/>
              </w:rPr>
              <w:t>Total Grade Point Average</w:t>
            </w:r>
          </w:p>
        </w:tc>
        <w:tc>
          <w:tcPr>
            <w:tcW w:w="1134" w:type="dxa"/>
          </w:tcPr>
          <w:p w14:paraId="2D0FB4E3" w14:textId="77777777" w:rsidR="00354F75" w:rsidRPr="003A2258" w:rsidRDefault="00354F75" w:rsidP="00F53E65">
            <w:pPr>
              <w:pStyle w:val="ListParagraph"/>
              <w:ind w:left="0"/>
              <w:jc w:val="center"/>
              <w:outlineLvl w:val="2"/>
              <w:rPr>
                <w:rFonts w:ascii="Times New Roman" w:hAnsi="Times New Roman" w:cs="Times New Roman"/>
                <w:b/>
                <w:bCs/>
                <w:sz w:val="24"/>
                <w:szCs w:val="24"/>
                <w:lang w:val="id-ID"/>
              </w:rPr>
            </w:pPr>
            <w:r w:rsidRPr="003A2258">
              <w:rPr>
                <w:rFonts w:ascii="Times New Roman" w:hAnsi="Times New Roman" w:cs="Times New Roman"/>
                <w:b/>
                <w:bCs/>
                <w:sz w:val="24"/>
                <w:szCs w:val="24"/>
                <w:lang w:val="id-ID"/>
              </w:rPr>
              <w:t>3,76</w:t>
            </w:r>
          </w:p>
        </w:tc>
        <w:tc>
          <w:tcPr>
            <w:tcW w:w="1985" w:type="dxa"/>
          </w:tcPr>
          <w:p w14:paraId="4E9B2E86" w14:textId="77777777" w:rsidR="00354F75" w:rsidRPr="003A2258" w:rsidRDefault="00354F75" w:rsidP="00F53E65">
            <w:pPr>
              <w:pStyle w:val="ListParagraph"/>
              <w:ind w:left="0"/>
              <w:jc w:val="center"/>
              <w:outlineLvl w:val="2"/>
              <w:rPr>
                <w:rFonts w:ascii="Times New Roman" w:hAnsi="Times New Roman" w:cs="Times New Roman"/>
                <w:b/>
                <w:bCs/>
                <w:sz w:val="24"/>
                <w:szCs w:val="24"/>
                <w:lang w:val="id-ID"/>
              </w:rPr>
            </w:pPr>
            <w:r>
              <w:rPr>
                <w:rFonts w:ascii="Times New Roman" w:hAnsi="Times New Roman" w:cs="Times New Roman"/>
                <w:b/>
                <w:bCs/>
                <w:sz w:val="24"/>
                <w:szCs w:val="24"/>
                <w:lang w:val="id-ID"/>
              </w:rPr>
              <w:t>75,16</w:t>
            </w:r>
          </w:p>
        </w:tc>
        <w:tc>
          <w:tcPr>
            <w:tcW w:w="1842" w:type="dxa"/>
          </w:tcPr>
          <w:p w14:paraId="32549E27" w14:textId="77777777" w:rsidR="00354F75" w:rsidRPr="00354F75" w:rsidRDefault="00354F75">
            <w:pPr>
              <w:rPr>
                <w:b/>
                <w:bCs/>
              </w:rPr>
            </w:pPr>
            <w:r w:rsidRPr="00354F75">
              <w:rPr>
                <w:rFonts w:ascii="Times New Roman" w:hAnsi="Times New Roman" w:cs="Times New Roman"/>
                <w:b/>
                <w:bCs/>
                <w:sz w:val="24"/>
                <w:szCs w:val="24"/>
                <w:lang w:val="id-ID"/>
              </w:rPr>
              <w:t>Not Good</w:t>
            </w:r>
          </w:p>
        </w:tc>
      </w:tr>
    </w:tbl>
    <w:p w14:paraId="1299C199" w14:textId="77777777" w:rsidR="003629DE" w:rsidRDefault="00354F75" w:rsidP="00354F75">
      <w:pPr>
        <w:pStyle w:val="ListParagraph"/>
        <w:ind w:firstLine="556"/>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In table 6 above, it shows that the level of teacher numeracy competence from each of these indicators has two indicators at the achievement level of the poor category, namely the learning environment with an average score of 3.76 at an achievement level of 75.12%, and the teacher numeracy culture indicator with an average score of 3.95 at an achievement level of 78.22%. Meanwhile, the learning and assessment indicators are in the category of quite good with an average score of 3.61 with an achievement rate of 72.13%. In general, of the three sub-variables of teacher numeracy competence with an average score of 3.76 and a percentage achievement rate of 75.16%, they are in the poor category. For more details, it can be described based on each indicator as follows:</w:t>
      </w:r>
    </w:p>
    <w:p w14:paraId="2FA4B8F7" w14:textId="77777777" w:rsidR="00354F75" w:rsidRDefault="00354F75" w:rsidP="00354F75">
      <w:pPr>
        <w:pStyle w:val="ListParagraph"/>
        <w:numPr>
          <w:ilvl w:val="0"/>
          <w:numId w:val="3"/>
        </w:numPr>
        <w:ind w:left="993" w:hanging="284"/>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Learning Environment</w:t>
      </w:r>
    </w:p>
    <w:p w14:paraId="5D589FEA" w14:textId="77777777" w:rsidR="00354F75" w:rsidRDefault="00354F75" w:rsidP="00354F75">
      <w:pPr>
        <w:pStyle w:val="ListParagraph"/>
        <w:numPr>
          <w:ilvl w:val="0"/>
          <w:numId w:val="4"/>
        </w:numPr>
        <w:ind w:left="1276" w:hanging="283"/>
        <w:jc w:val="both"/>
        <w:rPr>
          <w:rFonts w:ascii="Times New Roman" w:hAnsi="Times New Roman" w:cs="Times New Roman"/>
          <w:sz w:val="24"/>
          <w:szCs w:val="24"/>
          <w:lang w:val="id-ID"/>
        </w:rPr>
      </w:pPr>
      <w:r w:rsidRPr="00354F75">
        <w:rPr>
          <w:rFonts w:ascii="Times New Roman" w:hAnsi="Times New Roman" w:cs="Times New Roman"/>
          <w:sz w:val="24"/>
          <w:szCs w:val="24"/>
          <w:lang w:val="id-ID"/>
        </w:rPr>
        <w:t>Numeracy knowledge and experience possessed by students</w:t>
      </w:r>
    </w:p>
    <w:p w14:paraId="2BFBB916" w14:textId="77777777" w:rsidR="00354F75" w:rsidRPr="00354F75" w:rsidRDefault="00354F75" w:rsidP="00354F75">
      <w:pPr>
        <w:pStyle w:val="NoSpacing"/>
        <w:ind w:firstLine="1276"/>
        <w:rPr>
          <w:rFonts w:ascii="Times New Roman" w:hAnsi="Times New Roman" w:cs="Times New Roman"/>
          <w:b/>
          <w:bCs/>
          <w:sz w:val="24"/>
          <w:szCs w:val="24"/>
          <w:lang w:val="id-ID"/>
        </w:rPr>
      </w:pPr>
      <w:r w:rsidRPr="00354F75">
        <w:rPr>
          <w:rFonts w:ascii="Times New Roman" w:hAnsi="Times New Roman" w:cs="Times New Roman"/>
          <w:b/>
          <w:bCs/>
          <w:sz w:val="24"/>
          <w:szCs w:val="24"/>
          <w:lang w:val="id-ID"/>
        </w:rPr>
        <w:t>Table 7. Students' Numeracy Knowledge and Experience</w:t>
      </w:r>
    </w:p>
    <w:tbl>
      <w:tblPr>
        <w:tblStyle w:val="TableGrid"/>
        <w:tblW w:w="7371" w:type="dxa"/>
        <w:tblInd w:w="1384" w:type="dxa"/>
        <w:tblLook w:val="04A0" w:firstRow="1" w:lastRow="0" w:firstColumn="1" w:lastColumn="0" w:noHBand="0" w:noVBand="1"/>
      </w:tblPr>
      <w:tblGrid>
        <w:gridCol w:w="2410"/>
        <w:gridCol w:w="1275"/>
        <w:gridCol w:w="2268"/>
        <w:gridCol w:w="1418"/>
      </w:tblGrid>
      <w:tr w:rsidR="00354F75" w14:paraId="05B6E0C3" w14:textId="77777777" w:rsidTr="00354F75">
        <w:tc>
          <w:tcPr>
            <w:tcW w:w="2410" w:type="dxa"/>
          </w:tcPr>
          <w:p w14:paraId="72F85C1A" w14:textId="77777777" w:rsidR="00354F75" w:rsidRPr="00B94274" w:rsidRDefault="00354F75" w:rsidP="00F53E65">
            <w:pPr>
              <w:pStyle w:val="BodyText"/>
              <w:jc w:val="center"/>
              <w:rPr>
                <w:b/>
                <w:bCs/>
                <w:lang w:val="id-ID"/>
              </w:rPr>
            </w:pPr>
            <w:r w:rsidRPr="00B94274">
              <w:rPr>
                <w:b/>
                <w:bCs/>
                <w:lang w:val="id-ID"/>
              </w:rPr>
              <w:t>Indicator</w:t>
            </w:r>
          </w:p>
        </w:tc>
        <w:tc>
          <w:tcPr>
            <w:tcW w:w="1275" w:type="dxa"/>
          </w:tcPr>
          <w:p w14:paraId="3CF24CDA" w14:textId="77777777" w:rsidR="00354F75" w:rsidRPr="00B94274" w:rsidRDefault="00354F75" w:rsidP="00F53E65">
            <w:pPr>
              <w:pStyle w:val="BodyText"/>
              <w:jc w:val="center"/>
              <w:rPr>
                <w:b/>
                <w:bCs/>
                <w:lang w:val="id-ID"/>
              </w:rPr>
            </w:pPr>
            <w:r w:rsidRPr="00B94274">
              <w:rPr>
                <w:b/>
                <w:bCs/>
                <w:lang w:val="id-ID"/>
              </w:rPr>
              <w:t>Average</w:t>
            </w:r>
          </w:p>
        </w:tc>
        <w:tc>
          <w:tcPr>
            <w:tcW w:w="2268" w:type="dxa"/>
          </w:tcPr>
          <w:p w14:paraId="367B2754" w14:textId="77777777" w:rsidR="00354F75" w:rsidRPr="00B94274" w:rsidRDefault="00354F75" w:rsidP="00F53E65">
            <w:pPr>
              <w:pStyle w:val="BodyText"/>
              <w:jc w:val="center"/>
              <w:rPr>
                <w:b/>
                <w:bCs/>
                <w:lang w:val="id-ID"/>
              </w:rPr>
            </w:pPr>
            <w:r w:rsidRPr="00B94274">
              <w:rPr>
                <w:b/>
                <w:bCs/>
                <w:lang w:val="id-ID"/>
              </w:rPr>
              <w:t>Achievement (%)</w:t>
            </w:r>
          </w:p>
        </w:tc>
        <w:tc>
          <w:tcPr>
            <w:tcW w:w="1418" w:type="dxa"/>
          </w:tcPr>
          <w:p w14:paraId="2DA09D14" w14:textId="77777777" w:rsidR="00354F75" w:rsidRPr="00B94274" w:rsidRDefault="00354F75" w:rsidP="00F53E65">
            <w:pPr>
              <w:pStyle w:val="BodyText"/>
              <w:jc w:val="center"/>
              <w:rPr>
                <w:b/>
                <w:bCs/>
                <w:lang w:val="id-ID"/>
              </w:rPr>
            </w:pPr>
            <w:r w:rsidRPr="00B94274">
              <w:rPr>
                <w:b/>
                <w:bCs/>
                <w:lang w:val="id-ID"/>
              </w:rPr>
              <w:t>Category</w:t>
            </w:r>
          </w:p>
        </w:tc>
      </w:tr>
      <w:tr w:rsidR="00354F75" w14:paraId="67E067AF" w14:textId="77777777" w:rsidTr="00354F75">
        <w:tc>
          <w:tcPr>
            <w:tcW w:w="2410" w:type="dxa"/>
          </w:tcPr>
          <w:p w14:paraId="53D939CF" w14:textId="77777777" w:rsidR="00354F75" w:rsidRPr="00354F75" w:rsidRDefault="00354F75">
            <w:pPr>
              <w:pStyle w:val="BodyText"/>
              <w:rPr>
                <w:sz w:val="22"/>
                <w:szCs w:val="22"/>
              </w:rPr>
            </w:pPr>
            <w:r w:rsidRPr="00354F75">
              <w:rPr>
                <w:sz w:val="22"/>
                <w:szCs w:val="22"/>
              </w:rPr>
              <w:t xml:space="preserve">Understand </w:t>
            </w:r>
          </w:p>
        </w:tc>
        <w:tc>
          <w:tcPr>
            <w:tcW w:w="1275" w:type="dxa"/>
          </w:tcPr>
          <w:p w14:paraId="4F8B910A" w14:textId="77777777" w:rsidR="00354F75" w:rsidRPr="00354F75" w:rsidRDefault="00354F75">
            <w:pPr>
              <w:pStyle w:val="BodyText"/>
              <w:jc w:val="center"/>
              <w:rPr>
                <w:sz w:val="22"/>
                <w:szCs w:val="22"/>
              </w:rPr>
            </w:pPr>
            <w:r w:rsidRPr="00354F75">
              <w:rPr>
                <w:sz w:val="22"/>
                <w:szCs w:val="22"/>
              </w:rPr>
              <w:t>3,52</w:t>
            </w:r>
          </w:p>
        </w:tc>
        <w:tc>
          <w:tcPr>
            <w:tcW w:w="2268" w:type="dxa"/>
          </w:tcPr>
          <w:p w14:paraId="38481A7A" w14:textId="77777777" w:rsidR="00354F75" w:rsidRPr="00354F75" w:rsidRDefault="00354F75">
            <w:pPr>
              <w:pStyle w:val="BodyText"/>
              <w:jc w:val="center"/>
              <w:rPr>
                <w:sz w:val="22"/>
                <w:szCs w:val="22"/>
              </w:rPr>
            </w:pPr>
            <w:r w:rsidRPr="00354F75">
              <w:rPr>
                <w:sz w:val="22"/>
                <w:szCs w:val="22"/>
              </w:rPr>
              <w:t>70,32</w:t>
            </w:r>
          </w:p>
        </w:tc>
        <w:tc>
          <w:tcPr>
            <w:tcW w:w="1418" w:type="dxa"/>
          </w:tcPr>
          <w:p w14:paraId="412C9F19" w14:textId="77777777" w:rsidR="00354F75" w:rsidRPr="00354F75" w:rsidRDefault="00354F75">
            <w:pPr>
              <w:pStyle w:val="BodyText"/>
              <w:jc w:val="center"/>
              <w:rPr>
                <w:sz w:val="22"/>
                <w:szCs w:val="22"/>
              </w:rPr>
            </w:pPr>
            <w:r w:rsidRPr="00354F75">
              <w:rPr>
                <w:sz w:val="22"/>
                <w:szCs w:val="22"/>
              </w:rPr>
              <w:t>Not Good</w:t>
            </w:r>
          </w:p>
        </w:tc>
      </w:tr>
      <w:tr w:rsidR="00354F75" w14:paraId="18B166CE" w14:textId="77777777" w:rsidTr="00354F75">
        <w:tc>
          <w:tcPr>
            <w:tcW w:w="2410" w:type="dxa"/>
          </w:tcPr>
          <w:p w14:paraId="26F68A1B" w14:textId="77777777" w:rsidR="00354F75" w:rsidRPr="00354F75" w:rsidRDefault="00354F75">
            <w:pPr>
              <w:pStyle w:val="BodyText"/>
              <w:rPr>
                <w:sz w:val="22"/>
                <w:szCs w:val="22"/>
              </w:rPr>
            </w:pPr>
            <w:r w:rsidRPr="00354F75">
              <w:rPr>
                <w:sz w:val="22"/>
                <w:szCs w:val="22"/>
              </w:rPr>
              <w:t xml:space="preserve">Use </w:t>
            </w:r>
          </w:p>
        </w:tc>
        <w:tc>
          <w:tcPr>
            <w:tcW w:w="1275" w:type="dxa"/>
            <w:vAlign w:val="center"/>
          </w:tcPr>
          <w:p w14:paraId="5B1CE601" w14:textId="77777777" w:rsidR="00354F75" w:rsidRPr="00354F75" w:rsidRDefault="00354F75">
            <w:pPr>
              <w:pStyle w:val="BodyText"/>
              <w:jc w:val="center"/>
              <w:rPr>
                <w:sz w:val="22"/>
                <w:szCs w:val="22"/>
              </w:rPr>
            </w:pPr>
            <w:r w:rsidRPr="00354F75">
              <w:rPr>
                <w:sz w:val="22"/>
                <w:szCs w:val="22"/>
              </w:rPr>
              <w:t>4,37</w:t>
            </w:r>
          </w:p>
        </w:tc>
        <w:tc>
          <w:tcPr>
            <w:tcW w:w="2268" w:type="dxa"/>
            <w:vAlign w:val="bottom"/>
          </w:tcPr>
          <w:p w14:paraId="7EB0970A" w14:textId="77777777" w:rsidR="00354F75" w:rsidRPr="00354F75" w:rsidRDefault="00354F75">
            <w:pPr>
              <w:pStyle w:val="BodyText"/>
              <w:jc w:val="center"/>
              <w:rPr>
                <w:sz w:val="22"/>
                <w:szCs w:val="22"/>
              </w:rPr>
            </w:pPr>
            <w:r w:rsidRPr="00354F75">
              <w:rPr>
                <w:sz w:val="22"/>
                <w:szCs w:val="22"/>
              </w:rPr>
              <w:t>87,43</w:t>
            </w:r>
          </w:p>
        </w:tc>
        <w:tc>
          <w:tcPr>
            <w:tcW w:w="1418" w:type="dxa"/>
          </w:tcPr>
          <w:p w14:paraId="579F634D" w14:textId="77777777" w:rsidR="00354F75" w:rsidRPr="00354F75" w:rsidRDefault="00354F75">
            <w:pPr>
              <w:pStyle w:val="BodyText"/>
              <w:jc w:val="center"/>
              <w:rPr>
                <w:sz w:val="22"/>
                <w:szCs w:val="22"/>
              </w:rPr>
            </w:pPr>
            <w:r w:rsidRPr="00354F75">
              <w:rPr>
                <w:sz w:val="22"/>
                <w:szCs w:val="22"/>
              </w:rPr>
              <w:t>Good</w:t>
            </w:r>
          </w:p>
        </w:tc>
      </w:tr>
      <w:tr w:rsidR="00354F75" w14:paraId="41879899" w14:textId="77777777" w:rsidTr="00354F75">
        <w:tc>
          <w:tcPr>
            <w:tcW w:w="2410" w:type="dxa"/>
          </w:tcPr>
          <w:p w14:paraId="68C19A8A" w14:textId="77777777" w:rsidR="00354F75" w:rsidRPr="00354F75" w:rsidRDefault="00354F75">
            <w:pPr>
              <w:pStyle w:val="BodyText"/>
              <w:rPr>
                <w:sz w:val="22"/>
                <w:szCs w:val="22"/>
              </w:rPr>
            </w:pPr>
            <w:r w:rsidRPr="00354F75">
              <w:rPr>
                <w:sz w:val="22"/>
                <w:szCs w:val="22"/>
              </w:rPr>
              <w:t xml:space="preserve">Evaluate </w:t>
            </w:r>
          </w:p>
        </w:tc>
        <w:tc>
          <w:tcPr>
            <w:tcW w:w="1275" w:type="dxa"/>
          </w:tcPr>
          <w:p w14:paraId="665298B1"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4,13</w:t>
            </w:r>
          </w:p>
        </w:tc>
        <w:tc>
          <w:tcPr>
            <w:tcW w:w="2268" w:type="dxa"/>
          </w:tcPr>
          <w:p w14:paraId="09B8A21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82,64</w:t>
            </w:r>
          </w:p>
        </w:tc>
        <w:tc>
          <w:tcPr>
            <w:tcW w:w="1418" w:type="dxa"/>
          </w:tcPr>
          <w:p w14:paraId="0B2FBD8E"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Pretty Good</w:t>
            </w:r>
          </w:p>
        </w:tc>
      </w:tr>
      <w:tr w:rsidR="00354F75" w14:paraId="722C9B21" w14:textId="77777777" w:rsidTr="00354F75">
        <w:tc>
          <w:tcPr>
            <w:tcW w:w="2410" w:type="dxa"/>
          </w:tcPr>
          <w:p w14:paraId="09F5FF46" w14:textId="77777777" w:rsidR="00354F75" w:rsidRPr="00354F75" w:rsidRDefault="00354F75">
            <w:pPr>
              <w:pStyle w:val="ListParagraph"/>
              <w:ind w:left="0"/>
              <w:rPr>
                <w:sz w:val="22"/>
                <w:szCs w:val="22"/>
              </w:rPr>
            </w:pPr>
            <w:r w:rsidRPr="00354F75">
              <w:rPr>
                <w:rFonts w:ascii="Times New Roman" w:hAnsi="Times New Roman" w:cs="Times New Roman"/>
                <w:sz w:val="22"/>
                <w:szCs w:val="22"/>
              </w:rPr>
              <w:t>Collaborate identify</w:t>
            </w:r>
          </w:p>
        </w:tc>
        <w:tc>
          <w:tcPr>
            <w:tcW w:w="1275" w:type="dxa"/>
          </w:tcPr>
          <w:p w14:paraId="3D4EE42A"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3,84</w:t>
            </w:r>
          </w:p>
        </w:tc>
        <w:tc>
          <w:tcPr>
            <w:tcW w:w="2268" w:type="dxa"/>
          </w:tcPr>
          <w:p w14:paraId="169400E4"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76,87</w:t>
            </w:r>
          </w:p>
        </w:tc>
        <w:tc>
          <w:tcPr>
            <w:tcW w:w="1418" w:type="dxa"/>
          </w:tcPr>
          <w:p w14:paraId="46F2F84E"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Pretty Good</w:t>
            </w:r>
          </w:p>
        </w:tc>
      </w:tr>
      <w:tr w:rsidR="00354F75" w14:paraId="69D09375" w14:textId="77777777" w:rsidTr="00354F75">
        <w:tc>
          <w:tcPr>
            <w:tcW w:w="2410" w:type="dxa"/>
          </w:tcPr>
          <w:p w14:paraId="3448362D" w14:textId="77777777" w:rsidR="00354F75" w:rsidRPr="00354F75" w:rsidRDefault="00354F75">
            <w:pPr>
              <w:pStyle w:val="ListParagraph"/>
              <w:ind w:left="0"/>
              <w:rPr>
                <w:sz w:val="22"/>
                <w:szCs w:val="22"/>
              </w:rPr>
            </w:pPr>
            <w:r w:rsidRPr="00354F75">
              <w:rPr>
                <w:rFonts w:ascii="Times New Roman" w:hAnsi="Times New Roman" w:cs="Times New Roman"/>
                <w:sz w:val="22"/>
                <w:szCs w:val="22"/>
              </w:rPr>
              <w:t>Guiding colleagues using</w:t>
            </w:r>
          </w:p>
        </w:tc>
        <w:tc>
          <w:tcPr>
            <w:tcW w:w="1275" w:type="dxa"/>
          </w:tcPr>
          <w:p w14:paraId="5153397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3,38</w:t>
            </w:r>
          </w:p>
        </w:tc>
        <w:tc>
          <w:tcPr>
            <w:tcW w:w="2268" w:type="dxa"/>
          </w:tcPr>
          <w:p w14:paraId="00D11B6C"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67,51</w:t>
            </w:r>
          </w:p>
        </w:tc>
        <w:tc>
          <w:tcPr>
            <w:tcW w:w="1418" w:type="dxa"/>
          </w:tcPr>
          <w:p w14:paraId="7115BBBF" w14:textId="77777777" w:rsidR="00354F75" w:rsidRPr="00354F75" w:rsidRDefault="00354F75">
            <w:pPr>
              <w:pStyle w:val="ListParagraph"/>
              <w:ind w:left="0"/>
              <w:jc w:val="center"/>
              <w:rPr>
                <w:sz w:val="22"/>
                <w:szCs w:val="22"/>
              </w:rPr>
            </w:pPr>
            <w:r w:rsidRPr="00354F75">
              <w:rPr>
                <w:rFonts w:ascii="Times New Roman" w:hAnsi="Times New Roman" w:cs="Times New Roman"/>
                <w:sz w:val="22"/>
                <w:szCs w:val="22"/>
              </w:rPr>
              <w:t>Not Good</w:t>
            </w:r>
          </w:p>
        </w:tc>
      </w:tr>
      <w:tr w:rsidR="00354F75" w:rsidRPr="00B94274" w14:paraId="1FF3DED7" w14:textId="77777777" w:rsidTr="00354F75">
        <w:tc>
          <w:tcPr>
            <w:tcW w:w="2410" w:type="dxa"/>
          </w:tcPr>
          <w:p w14:paraId="01B5EBAA" w14:textId="77777777" w:rsidR="00354F75" w:rsidRPr="00354F75" w:rsidRDefault="00354F75" w:rsidP="00354F75">
            <w:pPr>
              <w:pStyle w:val="ListParagraph"/>
              <w:ind w:left="0"/>
              <w:rPr>
                <w:sz w:val="22"/>
                <w:szCs w:val="22"/>
              </w:rPr>
            </w:pPr>
            <w:r w:rsidRPr="00354F75">
              <w:rPr>
                <w:rFonts w:ascii="Times New Roman" w:hAnsi="Times New Roman" w:cs="Times New Roman"/>
                <w:b/>
                <w:bCs/>
                <w:sz w:val="22"/>
                <w:szCs w:val="22"/>
              </w:rPr>
              <w:t>Total Grade Point Average</w:t>
            </w:r>
          </w:p>
        </w:tc>
        <w:tc>
          <w:tcPr>
            <w:tcW w:w="1275" w:type="dxa"/>
          </w:tcPr>
          <w:p w14:paraId="3B1E8B69"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3,85</w:t>
            </w:r>
          </w:p>
        </w:tc>
        <w:tc>
          <w:tcPr>
            <w:tcW w:w="2268" w:type="dxa"/>
          </w:tcPr>
          <w:p w14:paraId="1DD70CE5"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76,95</w:t>
            </w:r>
          </w:p>
        </w:tc>
        <w:tc>
          <w:tcPr>
            <w:tcW w:w="1418" w:type="dxa"/>
          </w:tcPr>
          <w:p w14:paraId="5E167E30" w14:textId="77777777" w:rsidR="00354F75" w:rsidRPr="00354F75" w:rsidRDefault="00354F75">
            <w:pPr>
              <w:pStyle w:val="ListParagraph"/>
              <w:ind w:left="0"/>
              <w:jc w:val="center"/>
              <w:rPr>
                <w:sz w:val="22"/>
                <w:szCs w:val="22"/>
              </w:rPr>
            </w:pPr>
            <w:r w:rsidRPr="00354F75">
              <w:rPr>
                <w:rFonts w:ascii="Times New Roman" w:hAnsi="Times New Roman" w:cs="Times New Roman"/>
                <w:b/>
                <w:bCs/>
                <w:sz w:val="22"/>
                <w:szCs w:val="22"/>
              </w:rPr>
              <w:t>Pretty Good</w:t>
            </w:r>
          </w:p>
        </w:tc>
      </w:tr>
    </w:tbl>
    <w:p w14:paraId="69B8AB0E" w14:textId="77777777" w:rsidR="00354F75" w:rsidRDefault="00F56343" w:rsidP="00354F75">
      <w:pPr>
        <w:pStyle w:val="ListParagraph"/>
        <w:ind w:left="1276"/>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0F63F8C4" wp14:editId="094B2716">
            <wp:extent cx="4691269" cy="3204376"/>
            <wp:effectExtent l="0" t="0" r="14605"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8726D4" w14:textId="77777777" w:rsidR="00F56343" w:rsidRPr="00F56343" w:rsidRDefault="00F56343" w:rsidP="00354F75">
      <w:pPr>
        <w:pStyle w:val="ListParagraph"/>
        <w:ind w:left="1276"/>
        <w:jc w:val="both"/>
        <w:rPr>
          <w:rFonts w:ascii="Times New Roman" w:hAnsi="Times New Roman" w:cs="Times New Roman"/>
          <w:b/>
          <w:bCs/>
          <w:sz w:val="24"/>
          <w:szCs w:val="24"/>
          <w:lang w:val="id-ID"/>
        </w:rPr>
      </w:pPr>
      <w:r w:rsidRPr="00F56343">
        <w:rPr>
          <w:rFonts w:ascii="Times New Roman" w:hAnsi="Times New Roman" w:cs="Times New Roman"/>
          <w:b/>
          <w:bCs/>
          <w:sz w:val="24"/>
          <w:szCs w:val="24"/>
          <w:lang w:val="id-ID"/>
        </w:rPr>
        <w:t>Diagram 4. Environmental Management Skills</w:t>
      </w:r>
    </w:p>
    <w:p w14:paraId="17E97EB1" w14:textId="77777777" w:rsidR="00F56343" w:rsidRDefault="00F56343" w:rsidP="00F56343">
      <w:pPr>
        <w:pStyle w:val="ListParagraph"/>
        <w:ind w:left="1276" w:firstLine="567"/>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Based on table 7 and diagram 4 above, it shows that the skills to manage the learning environment are in the components of numeracy knowledge and experience possessed by students. In each indicator, it was found that understanding students' numeracy knowledge and experience was achieved in the less good category with an average value of 3.52 at an achievement level of 70.32%, the indicator of using students' numeracy knowledge and experience was in the good category with an average value of 4.37 at an achievement level of 87.43%, the indicator of evaluating students' numeracy knowledge and experience was in the fairly good category with an average value of 4.13 at an achievement level of 82.64%, the indicator of collaborating with colleagues in identifying students' numeracy knowledge and experience was in the fairly good category with an average value of 3.84 at an achievement level of 76.87%, and the indicator of guiding colleagues in using students' numeracy knowledge and experience was in the fairly good category with an average value of 3.38 at an achievement level of 67.51%. Overall, teachers' literacy skills in the indicator of skills in managing learning environments with an average value of 3.85 and a percentage achievement level of 76.95% are in the fairly good category.</w:t>
      </w:r>
    </w:p>
    <w:p w14:paraId="73AE0086" w14:textId="77777777" w:rsidR="00F56343" w:rsidRPr="00F56343" w:rsidRDefault="00F56343" w:rsidP="00F56343">
      <w:pPr>
        <w:pStyle w:val="ListParagraph"/>
        <w:ind w:left="1276" w:firstLine="567"/>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 xml:space="preserve">From the description above, it appears that the learning environment consists of five indicators of numeracy knowledge and experience owned by students, only indicators of using numeracy knowledge and experience owned by participants who have achieved in the good category. Meanwhile, the indicators evaluate and collaborate with   peers in identifying the numeracy knowledge and experience  brought  by students with their achievement level in the category is quite good. </w:t>
      </w:r>
      <w:r w:rsidRPr="00F56343">
        <w:rPr>
          <w:rFonts w:ascii="Times New Roman" w:hAnsi="Times New Roman" w:cs="Times New Roman"/>
          <w:sz w:val="24"/>
          <w:szCs w:val="24"/>
          <w:lang w:val="id-ID"/>
        </w:rPr>
        <w:lastRenderedPageBreak/>
        <w:t>Then in other indicators, it is in poor achievement. This means that the ability of elementary school teachers about the learning environment on the components of numeracy knowledge and experience that students have is in the category of quite good.</w:t>
      </w:r>
    </w:p>
    <w:p w14:paraId="755705AB" w14:textId="77777777" w:rsidR="00354F75" w:rsidRDefault="00F56343" w:rsidP="00F56343">
      <w:pPr>
        <w:pStyle w:val="ListParagraph"/>
        <w:numPr>
          <w:ilvl w:val="0"/>
          <w:numId w:val="4"/>
        </w:numPr>
        <w:ind w:left="1276" w:hanging="283"/>
        <w:jc w:val="both"/>
        <w:rPr>
          <w:rFonts w:ascii="Times New Roman" w:hAnsi="Times New Roman" w:cs="Times New Roman"/>
          <w:sz w:val="24"/>
          <w:szCs w:val="24"/>
          <w:lang w:val="id-ID"/>
        </w:rPr>
      </w:pPr>
      <w:r w:rsidRPr="00F56343">
        <w:rPr>
          <w:rFonts w:ascii="Times New Roman" w:hAnsi="Times New Roman" w:cs="Times New Roman"/>
          <w:sz w:val="24"/>
          <w:szCs w:val="24"/>
          <w:lang w:val="id-ID"/>
        </w:rPr>
        <w:t>A learning environment   (physical, social,  emotional, and intellectual) that  supports numeracy learning and mindset</w:t>
      </w:r>
    </w:p>
    <w:p w14:paraId="26816E07" w14:textId="77777777" w:rsidR="006F0C84" w:rsidRDefault="006F0C84" w:rsidP="00F56343">
      <w:pPr>
        <w:pStyle w:val="NoSpacing"/>
        <w:ind w:firstLine="1276"/>
        <w:rPr>
          <w:rFonts w:asciiTheme="majorBidi" w:hAnsiTheme="majorBidi" w:cstheme="majorBidi"/>
          <w:b/>
          <w:bCs/>
          <w:sz w:val="24"/>
          <w:szCs w:val="24"/>
          <w:lang w:val="id-ID"/>
        </w:rPr>
      </w:pPr>
      <w:r w:rsidRPr="006F0C84">
        <w:rPr>
          <w:rFonts w:asciiTheme="majorBidi" w:hAnsiTheme="majorBidi" w:cstheme="majorBidi"/>
          <w:b/>
          <w:bCs/>
          <w:sz w:val="24"/>
          <w:szCs w:val="24"/>
          <w:lang w:val="id-ID"/>
        </w:rPr>
        <w:t>Table 8. Learning Environments tha</w:t>
      </w:r>
      <w:r>
        <w:rPr>
          <w:rFonts w:asciiTheme="majorBidi" w:hAnsiTheme="majorBidi" w:cstheme="majorBidi"/>
          <w:b/>
          <w:bCs/>
          <w:sz w:val="24"/>
          <w:szCs w:val="24"/>
          <w:lang w:val="id-ID"/>
        </w:rPr>
        <w:t>t Support Numeracy Learning and</w:t>
      </w:r>
    </w:p>
    <w:p w14:paraId="4E66D497" w14:textId="77777777" w:rsidR="00F56343" w:rsidRPr="00F56343" w:rsidRDefault="006F0C84" w:rsidP="006F0C84">
      <w:pPr>
        <w:pStyle w:val="NoSpacing"/>
        <w:ind w:firstLine="2127"/>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Pr="006F0C84">
        <w:rPr>
          <w:rFonts w:asciiTheme="majorBidi" w:hAnsiTheme="majorBidi" w:cstheme="majorBidi"/>
          <w:b/>
          <w:bCs/>
          <w:sz w:val="24"/>
          <w:szCs w:val="24"/>
          <w:lang w:val="id-ID"/>
        </w:rPr>
        <w:t>Mindset</w:t>
      </w:r>
    </w:p>
    <w:tbl>
      <w:tblPr>
        <w:tblStyle w:val="TableGrid"/>
        <w:tblW w:w="7370" w:type="dxa"/>
        <w:tblInd w:w="1384" w:type="dxa"/>
        <w:tblLook w:val="04A0" w:firstRow="1" w:lastRow="0" w:firstColumn="1" w:lastColumn="0" w:noHBand="0" w:noVBand="1"/>
      </w:tblPr>
      <w:tblGrid>
        <w:gridCol w:w="2410"/>
        <w:gridCol w:w="1275"/>
        <w:gridCol w:w="2126"/>
        <w:gridCol w:w="1559"/>
      </w:tblGrid>
      <w:tr w:rsidR="00F56343" w14:paraId="3F7EC576" w14:textId="77777777" w:rsidTr="00F56343">
        <w:tc>
          <w:tcPr>
            <w:tcW w:w="2410" w:type="dxa"/>
          </w:tcPr>
          <w:p w14:paraId="59F67AB9" w14:textId="77777777" w:rsidR="00F56343" w:rsidRPr="00B94274" w:rsidRDefault="00F56343" w:rsidP="00F53E65">
            <w:pPr>
              <w:pStyle w:val="BodyText"/>
              <w:jc w:val="center"/>
              <w:rPr>
                <w:b/>
                <w:bCs/>
                <w:lang w:val="id-ID"/>
              </w:rPr>
            </w:pPr>
            <w:r w:rsidRPr="00B94274">
              <w:rPr>
                <w:b/>
                <w:bCs/>
                <w:lang w:val="id-ID"/>
              </w:rPr>
              <w:t>Indicator</w:t>
            </w:r>
          </w:p>
        </w:tc>
        <w:tc>
          <w:tcPr>
            <w:tcW w:w="1275" w:type="dxa"/>
          </w:tcPr>
          <w:p w14:paraId="5FCEEB30" w14:textId="77777777" w:rsidR="00F56343" w:rsidRPr="00B94274" w:rsidRDefault="00F56343" w:rsidP="00F53E65">
            <w:pPr>
              <w:pStyle w:val="BodyText"/>
              <w:jc w:val="center"/>
              <w:rPr>
                <w:b/>
                <w:bCs/>
                <w:lang w:val="id-ID"/>
              </w:rPr>
            </w:pPr>
            <w:r w:rsidRPr="00B94274">
              <w:rPr>
                <w:b/>
                <w:bCs/>
                <w:lang w:val="id-ID"/>
              </w:rPr>
              <w:t>Average</w:t>
            </w:r>
          </w:p>
        </w:tc>
        <w:tc>
          <w:tcPr>
            <w:tcW w:w="2126" w:type="dxa"/>
          </w:tcPr>
          <w:p w14:paraId="2021846E" w14:textId="77777777" w:rsidR="00F56343" w:rsidRPr="00B94274" w:rsidRDefault="00F56343" w:rsidP="00F53E65">
            <w:pPr>
              <w:pStyle w:val="BodyText"/>
              <w:jc w:val="center"/>
              <w:rPr>
                <w:b/>
                <w:bCs/>
                <w:lang w:val="id-ID"/>
              </w:rPr>
            </w:pPr>
            <w:r w:rsidRPr="00B94274">
              <w:rPr>
                <w:b/>
                <w:bCs/>
                <w:lang w:val="id-ID"/>
              </w:rPr>
              <w:t>Achievement (%)</w:t>
            </w:r>
          </w:p>
        </w:tc>
        <w:tc>
          <w:tcPr>
            <w:tcW w:w="1559" w:type="dxa"/>
          </w:tcPr>
          <w:p w14:paraId="40E22A55" w14:textId="77777777" w:rsidR="00F56343" w:rsidRPr="00B94274" w:rsidRDefault="00F56343" w:rsidP="00F53E65">
            <w:pPr>
              <w:pStyle w:val="BodyText"/>
              <w:jc w:val="center"/>
              <w:rPr>
                <w:b/>
                <w:bCs/>
                <w:lang w:val="id-ID"/>
              </w:rPr>
            </w:pPr>
            <w:r w:rsidRPr="00B94274">
              <w:rPr>
                <w:b/>
                <w:bCs/>
                <w:lang w:val="id-ID"/>
              </w:rPr>
              <w:t>Category</w:t>
            </w:r>
          </w:p>
        </w:tc>
      </w:tr>
      <w:tr w:rsidR="00F56343" w14:paraId="235B6C44" w14:textId="77777777" w:rsidTr="00F56343">
        <w:tc>
          <w:tcPr>
            <w:tcW w:w="2410" w:type="dxa"/>
          </w:tcPr>
          <w:p w14:paraId="7D6A1DC0" w14:textId="77777777" w:rsidR="00F56343" w:rsidRPr="00F56343" w:rsidRDefault="00F56343">
            <w:pPr>
              <w:pStyle w:val="BodyText"/>
              <w:rPr>
                <w:sz w:val="22"/>
                <w:szCs w:val="22"/>
              </w:rPr>
            </w:pPr>
            <w:r w:rsidRPr="00F56343">
              <w:rPr>
                <w:sz w:val="22"/>
                <w:szCs w:val="22"/>
              </w:rPr>
              <w:t xml:space="preserve">Understand </w:t>
            </w:r>
          </w:p>
        </w:tc>
        <w:tc>
          <w:tcPr>
            <w:tcW w:w="1275" w:type="dxa"/>
          </w:tcPr>
          <w:p w14:paraId="6B043F71" w14:textId="77777777" w:rsidR="00F56343" w:rsidRPr="00F56343" w:rsidRDefault="00F56343">
            <w:pPr>
              <w:pStyle w:val="BodyText"/>
              <w:jc w:val="center"/>
              <w:rPr>
                <w:sz w:val="22"/>
                <w:szCs w:val="22"/>
              </w:rPr>
            </w:pPr>
            <w:r w:rsidRPr="00F56343">
              <w:rPr>
                <w:sz w:val="22"/>
                <w:szCs w:val="22"/>
              </w:rPr>
              <w:t>3,59</w:t>
            </w:r>
          </w:p>
        </w:tc>
        <w:tc>
          <w:tcPr>
            <w:tcW w:w="2126" w:type="dxa"/>
          </w:tcPr>
          <w:p w14:paraId="1D02B316" w14:textId="77777777" w:rsidR="00F56343" w:rsidRPr="00F56343" w:rsidRDefault="00F56343">
            <w:pPr>
              <w:pStyle w:val="BodyText"/>
              <w:jc w:val="center"/>
              <w:rPr>
                <w:sz w:val="22"/>
                <w:szCs w:val="22"/>
              </w:rPr>
            </w:pPr>
            <w:r w:rsidRPr="00F56343">
              <w:rPr>
                <w:sz w:val="22"/>
                <w:szCs w:val="22"/>
              </w:rPr>
              <w:t>71,76</w:t>
            </w:r>
          </w:p>
        </w:tc>
        <w:tc>
          <w:tcPr>
            <w:tcW w:w="1559" w:type="dxa"/>
          </w:tcPr>
          <w:p w14:paraId="0B9D0F2A" w14:textId="77777777" w:rsidR="00F56343" w:rsidRPr="00F56343" w:rsidRDefault="00F56343" w:rsidP="00F56343">
            <w:pPr>
              <w:pStyle w:val="BodyText"/>
              <w:rPr>
                <w:sz w:val="22"/>
                <w:szCs w:val="22"/>
              </w:rPr>
            </w:pPr>
            <w:r w:rsidRPr="00F56343">
              <w:rPr>
                <w:sz w:val="22"/>
                <w:szCs w:val="22"/>
              </w:rPr>
              <w:t>Not Good</w:t>
            </w:r>
          </w:p>
        </w:tc>
      </w:tr>
      <w:tr w:rsidR="00F56343" w14:paraId="25293BE2" w14:textId="77777777" w:rsidTr="00F56343">
        <w:tc>
          <w:tcPr>
            <w:tcW w:w="2410" w:type="dxa"/>
          </w:tcPr>
          <w:p w14:paraId="0555346A" w14:textId="77777777" w:rsidR="00F56343" w:rsidRPr="00F56343" w:rsidRDefault="00F56343">
            <w:pPr>
              <w:pStyle w:val="BodyText"/>
              <w:rPr>
                <w:sz w:val="22"/>
                <w:szCs w:val="22"/>
              </w:rPr>
            </w:pPr>
            <w:r w:rsidRPr="00F56343">
              <w:rPr>
                <w:sz w:val="22"/>
                <w:szCs w:val="22"/>
              </w:rPr>
              <w:t xml:space="preserve">Apply </w:t>
            </w:r>
          </w:p>
        </w:tc>
        <w:tc>
          <w:tcPr>
            <w:tcW w:w="1275" w:type="dxa"/>
            <w:vAlign w:val="center"/>
          </w:tcPr>
          <w:p w14:paraId="30C87377" w14:textId="77777777" w:rsidR="00F56343" w:rsidRPr="00F56343" w:rsidRDefault="00F56343">
            <w:pPr>
              <w:pStyle w:val="BodyText"/>
              <w:jc w:val="center"/>
              <w:rPr>
                <w:sz w:val="22"/>
                <w:szCs w:val="22"/>
              </w:rPr>
            </w:pPr>
            <w:r w:rsidRPr="00F56343">
              <w:rPr>
                <w:sz w:val="22"/>
                <w:szCs w:val="22"/>
              </w:rPr>
              <w:t>3,37</w:t>
            </w:r>
          </w:p>
        </w:tc>
        <w:tc>
          <w:tcPr>
            <w:tcW w:w="2126" w:type="dxa"/>
            <w:vAlign w:val="bottom"/>
          </w:tcPr>
          <w:p w14:paraId="15027579" w14:textId="77777777" w:rsidR="00F56343" w:rsidRPr="00F56343" w:rsidRDefault="00F56343">
            <w:pPr>
              <w:pStyle w:val="BodyText"/>
              <w:jc w:val="center"/>
              <w:rPr>
                <w:sz w:val="22"/>
                <w:szCs w:val="22"/>
              </w:rPr>
            </w:pPr>
            <w:r w:rsidRPr="00F56343">
              <w:rPr>
                <w:sz w:val="22"/>
                <w:szCs w:val="22"/>
              </w:rPr>
              <w:t>67,42</w:t>
            </w:r>
          </w:p>
        </w:tc>
        <w:tc>
          <w:tcPr>
            <w:tcW w:w="1559" w:type="dxa"/>
          </w:tcPr>
          <w:p w14:paraId="1A616340" w14:textId="77777777" w:rsidR="00F56343" w:rsidRPr="00F56343" w:rsidRDefault="00F56343" w:rsidP="00F56343">
            <w:pPr>
              <w:pStyle w:val="BodyText"/>
              <w:rPr>
                <w:sz w:val="22"/>
                <w:szCs w:val="22"/>
              </w:rPr>
            </w:pPr>
            <w:r w:rsidRPr="00F56343">
              <w:rPr>
                <w:sz w:val="22"/>
                <w:szCs w:val="22"/>
              </w:rPr>
              <w:t>Not Good</w:t>
            </w:r>
          </w:p>
        </w:tc>
      </w:tr>
      <w:tr w:rsidR="00F56343" w14:paraId="6816037F" w14:textId="77777777" w:rsidTr="00F56343">
        <w:tc>
          <w:tcPr>
            <w:tcW w:w="2410" w:type="dxa"/>
          </w:tcPr>
          <w:p w14:paraId="39EB1855" w14:textId="77777777" w:rsidR="00F56343" w:rsidRPr="00F56343" w:rsidRDefault="00F56343">
            <w:pPr>
              <w:pStyle w:val="BodyText"/>
              <w:rPr>
                <w:sz w:val="22"/>
                <w:szCs w:val="22"/>
              </w:rPr>
            </w:pPr>
            <w:r w:rsidRPr="00F56343">
              <w:rPr>
                <w:sz w:val="22"/>
                <w:szCs w:val="22"/>
              </w:rPr>
              <w:t xml:space="preserve">Evaluate </w:t>
            </w:r>
          </w:p>
        </w:tc>
        <w:tc>
          <w:tcPr>
            <w:tcW w:w="1275" w:type="dxa"/>
          </w:tcPr>
          <w:p w14:paraId="0B113672"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4,33</w:t>
            </w:r>
          </w:p>
        </w:tc>
        <w:tc>
          <w:tcPr>
            <w:tcW w:w="2126" w:type="dxa"/>
          </w:tcPr>
          <w:p w14:paraId="2E62646B"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84,50</w:t>
            </w:r>
          </w:p>
        </w:tc>
        <w:tc>
          <w:tcPr>
            <w:tcW w:w="1559" w:type="dxa"/>
          </w:tcPr>
          <w:p w14:paraId="0FB32EC5"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Pretty Good</w:t>
            </w:r>
          </w:p>
        </w:tc>
      </w:tr>
      <w:tr w:rsidR="00F56343" w14:paraId="4EBDAFA5" w14:textId="77777777" w:rsidTr="00F56343">
        <w:tc>
          <w:tcPr>
            <w:tcW w:w="2410" w:type="dxa"/>
          </w:tcPr>
          <w:p w14:paraId="2F91075D" w14:textId="77777777" w:rsidR="00F56343" w:rsidRPr="00F56343" w:rsidRDefault="00F56343">
            <w:pPr>
              <w:pStyle w:val="ListParagraph"/>
              <w:ind w:left="0"/>
              <w:rPr>
                <w:sz w:val="22"/>
                <w:szCs w:val="22"/>
              </w:rPr>
            </w:pPr>
            <w:r w:rsidRPr="00F56343">
              <w:rPr>
                <w:rFonts w:ascii="Times New Roman" w:hAnsi="Times New Roman" w:cs="Times New Roman"/>
                <w:sz w:val="22"/>
                <w:szCs w:val="22"/>
              </w:rPr>
              <w:t>Collaborate identify</w:t>
            </w:r>
          </w:p>
        </w:tc>
        <w:tc>
          <w:tcPr>
            <w:tcW w:w="1275" w:type="dxa"/>
          </w:tcPr>
          <w:p w14:paraId="69D447A9"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3,35</w:t>
            </w:r>
          </w:p>
        </w:tc>
        <w:tc>
          <w:tcPr>
            <w:tcW w:w="2126" w:type="dxa"/>
          </w:tcPr>
          <w:p w14:paraId="0FCE062C"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66,93</w:t>
            </w:r>
          </w:p>
        </w:tc>
        <w:tc>
          <w:tcPr>
            <w:tcW w:w="1559" w:type="dxa"/>
          </w:tcPr>
          <w:p w14:paraId="6DCF8F69"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Not Good</w:t>
            </w:r>
          </w:p>
        </w:tc>
      </w:tr>
      <w:tr w:rsidR="00F56343" w14:paraId="7F776943" w14:textId="77777777" w:rsidTr="00F56343">
        <w:tc>
          <w:tcPr>
            <w:tcW w:w="2410" w:type="dxa"/>
          </w:tcPr>
          <w:p w14:paraId="5E083A8F" w14:textId="77777777" w:rsidR="00F56343" w:rsidRPr="00F56343" w:rsidRDefault="00F56343">
            <w:pPr>
              <w:pStyle w:val="ListParagraph"/>
              <w:ind w:left="0"/>
              <w:rPr>
                <w:sz w:val="22"/>
                <w:szCs w:val="22"/>
              </w:rPr>
            </w:pPr>
            <w:r w:rsidRPr="00F56343">
              <w:rPr>
                <w:rFonts w:ascii="Times New Roman" w:hAnsi="Times New Roman" w:cs="Times New Roman"/>
                <w:sz w:val="22"/>
                <w:szCs w:val="22"/>
              </w:rPr>
              <w:t>Guiding colleagues using</w:t>
            </w:r>
          </w:p>
        </w:tc>
        <w:tc>
          <w:tcPr>
            <w:tcW w:w="1275" w:type="dxa"/>
          </w:tcPr>
          <w:p w14:paraId="7CBB762F"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3,79</w:t>
            </w:r>
          </w:p>
        </w:tc>
        <w:tc>
          <w:tcPr>
            <w:tcW w:w="2126" w:type="dxa"/>
          </w:tcPr>
          <w:p w14:paraId="3EB1DB0A" w14:textId="77777777" w:rsidR="00F56343" w:rsidRPr="00F56343" w:rsidRDefault="00F56343">
            <w:pPr>
              <w:pStyle w:val="ListParagraph"/>
              <w:ind w:left="0"/>
              <w:jc w:val="center"/>
              <w:rPr>
                <w:sz w:val="22"/>
                <w:szCs w:val="22"/>
              </w:rPr>
            </w:pPr>
            <w:r w:rsidRPr="00F56343">
              <w:rPr>
                <w:rFonts w:ascii="Times New Roman" w:hAnsi="Times New Roman" w:cs="Times New Roman"/>
                <w:sz w:val="22"/>
                <w:szCs w:val="22"/>
              </w:rPr>
              <w:t>75,77</w:t>
            </w:r>
          </w:p>
        </w:tc>
        <w:tc>
          <w:tcPr>
            <w:tcW w:w="1559" w:type="dxa"/>
          </w:tcPr>
          <w:p w14:paraId="482CF31D" w14:textId="77777777" w:rsidR="00F56343" w:rsidRPr="00F56343" w:rsidRDefault="00F56343" w:rsidP="00F56343">
            <w:pPr>
              <w:pStyle w:val="ListParagraph"/>
              <w:ind w:left="0"/>
              <w:rPr>
                <w:sz w:val="22"/>
                <w:szCs w:val="22"/>
              </w:rPr>
            </w:pPr>
            <w:r w:rsidRPr="00F56343">
              <w:rPr>
                <w:rFonts w:ascii="Times New Roman" w:hAnsi="Times New Roman" w:cs="Times New Roman"/>
                <w:sz w:val="22"/>
                <w:szCs w:val="22"/>
              </w:rPr>
              <w:t>Not Good</w:t>
            </w:r>
          </w:p>
        </w:tc>
      </w:tr>
      <w:tr w:rsidR="00F56343" w:rsidRPr="00B94274" w14:paraId="30C9B204" w14:textId="77777777" w:rsidTr="00F56343">
        <w:tc>
          <w:tcPr>
            <w:tcW w:w="2410" w:type="dxa"/>
          </w:tcPr>
          <w:p w14:paraId="230E255B" w14:textId="77777777" w:rsidR="00F56343" w:rsidRPr="00F56343" w:rsidRDefault="00F56343" w:rsidP="00F56343">
            <w:pPr>
              <w:pStyle w:val="ListParagraph"/>
              <w:ind w:left="0"/>
              <w:rPr>
                <w:sz w:val="22"/>
                <w:szCs w:val="22"/>
              </w:rPr>
            </w:pPr>
            <w:r w:rsidRPr="00F56343">
              <w:rPr>
                <w:rFonts w:ascii="Times New Roman" w:hAnsi="Times New Roman" w:cs="Times New Roman"/>
                <w:b/>
                <w:bCs/>
                <w:sz w:val="22"/>
                <w:szCs w:val="22"/>
              </w:rPr>
              <w:t>Total Grade Point Average</w:t>
            </w:r>
          </w:p>
        </w:tc>
        <w:tc>
          <w:tcPr>
            <w:tcW w:w="1275" w:type="dxa"/>
          </w:tcPr>
          <w:p w14:paraId="70BBCAD4" w14:textId="77777777" w:rsidR="00F56343" w:rsidRPr="00F56343" w:rsidRDefault="00F56343">
            <w:pPr>
              <w:pStyle w:val="ListParagraph"/>
              <w:ind w:left="0"/>
              <w:jc w:val="center"/>
              <w:rPr>
                <w:sz w:val="22"/>
                <w:szCs w:val="22"/>
              </w:rPr>
            </w:pPr>
            <w:r w:rsidRPr="00F56343">
              <w:rPr>
                <w:rFonts w:ascii="Times New Roman" w:hAnsi="Times New Roman" w:cs="Times New Roman"/>
                <w:b/>
                <w:bCs/>
                <w:sz w:val="22"/>
                <w:szCs w:val="22"/>
              </w:rPr>
              <w:t>3,67</w:t>
            </w:r>
          </w:p>
        </w:tc>
        <w:tc>
          <w:tcPr>
            <w:tcW w:w="2126" w:type="dxa"/>
          </w:tcPr>
          <w:p w14:paraId="6F611EC0" w14:textId="77777777" w:rsidR="00F56343" w:rsidRPr="00F56343" w:rsidRDefault="00F56343">
            <w:pPr>
              <w:pStyle w:val="ListParagraph"/>
              <w:ind w:left="0"/>
              <w:jc w:val="center"/>
              <w:rPr>
                <w:sz w:val="22"/>
                <w:szCs w:val="22"/>
              </w:rPr>
            </w:pPr>
            <w:r w:rsidRPr="00F56343">
              <w:rPr>
                <w:rFonts w:ascii="Times New Roman" w:hAnsi="Times New Roman" w:cs="Times New Roman"/>
                <w:b/>
                <w:bCs/>
                <w:sz w:val="22"/>
                <w:szCs w:val="22"/>
              </w:rPr>
              <w:t>73,28</w:t>
            </w:r>
          </w:p>
        </w:tc>
        <w:tc>
          <w:tcPr>
            <w:tcW w:w="1559" w:type="dxa"/>
          </w:tcPr>
          <w:p w14:paraId="7BE58FC7" w14:textId="77777777" w:rsidR="00F56343" w:rsidRPr="00F56343" w:rsidRDefault="00F56343" w:rsidP="00F56343">
            <w:pPr>
              <w:pStyle w:val="ListParagraph"/>
              <w:ind w:left="0"/>
              <w:rPr>
                <w:sz w:val="22"/>
                <w:szCs w:val="22"/>
              </w:rPr>
            </w:pPr>
            <w:r w:rsidRPr="00F56343">
              <w:rPr>
                <w:rFonts w:ascii="Times New Roman" w:hAnsi="Times New Roman" w:cs="Times New Roman"/>
                <w:b/>
                <w:bCs/>
                <w:sz w:val="22"/>
                <w:szCs w:val="22"/>
              </w:rPr>
              <w:t>Not Good</w:t>
            </w:r>
          </w:p>
        </w:tc>
      </w:tr>
    </w:tbl>
    <w:p w14:paraId="44BF0C82" w14:textId="77777777" w:rsidR="00F56343" w:rsidRDefault="00F56343" w:rsidP="00F56343">
      <w:pPr>
        <w:pStyle w:val="ListParagraph"/>
        <w:ind w:left="1276"/>
        <w:jc w:val="both"/>
        <w:rPr>
          <w:rFonts w:ascii="Times New Roman" w:hAnsi="Times New Roman" w:cs="Times New Roman"/>
          <w:sz w:val="24"/>
          <w:szCs w:val="24"/>
          <w:lang w:val="id-ID"/>
        </w:rPr>
      </w:pPr>
    </w:p>
    <w:p w14:paraId="704FB4E2" w14:textId="77777777" w:rsidR="006F0C84" w:rsidRDefault="006F0C84" w:rsidP="00F56343">
      <w:pPr>
        <w:pStyle w:val="ListParagraph"/>
        <w:ind w:left="1276"/>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23272D18" wp14:editId="30F9AABE">
            <wp:extent cx="4675367" cy="3069203"/>
            <wp:effectExtent l="0" t="0" r="11430"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DB4441" w14:textId="77777777" w:rsidR="00193679" w:rsidRDefault="00193679" w:rsidP="00193679">
      <w:pPr>
        <w:pStyle w:val="NoSpacing"/>
        <w:ind w:firstLine="1276"/>
        <w:rPr>
          <w:rFonts w:asciiTheme="majorBidi" w:hAnsiTheme="majorBidi" w:cstheme="majorBidi"/>
          <w:b/>
          <w:bCs/>
          <w:sz w:val="24"/>
          <w:szCs w:val="24"/>
          <w:lang w:val="id-ID"/>
        </w:rPr>
      </w:pPr>
      <w:r>
        <w:rPr>
          <w:rFonts w:ascii="Times New Roman" w:hAnsi="Times New Roman" w:cs="Times New Roman"/>
          <w:b/>
          <w:bCs/>
          <w:sz w:val="24"/>
          <w:szCs w:val="24"/>
          <w:lang w:val="id-ID"/>
        </w:rPr>
        <w:t>Diagram 5</w:t>
      </w:r>
      <w:r w:rsidRPr="00F56343">
        <w:rPr>
          <w:rFonts w:ascii="Times New Roman" w:hAnsi="Times New Roman" w:cs="Times New Roman"/>
          <w:b/>
          <w:bCs/>
          <w:sz w:val="24"/>
          <w:szCs w:val="24"/>
          <w:lang w:val="id-ID"/>
        </w:rPr>
        <w:t>.</w:t>
      </w:r>
      <w:r>
        <w:rPr>
          <w:rFonts w:ascii="Times New Roman" w:hAnsi="Times New Roman" w:cs="Times New Roman"/>
          <w:b/>
          <w:bCs/>
          <w:sz w:val="24"/>
          <w:szCs w:val="24"/>
          <w:lang w:val="id-ID"/>
        </w:rPr>
        <w:t xml:space="preserve"> </w:t>
      </w:r>
      <w:r w:rsidRPr="006F0C84">
        <w:rPr>
          <w:rFonts w:asciiTheme="majorBidi" w:hAnsiTheme="majorBidi" w:cstheme="majorBidi"/>
          <w:b/>
          <w:bCs/>
          <w:sz w:val="24"/>
          <w:szCs w:val="24"/>
          <w:lang w:val="id-ID"/>
        </w:rPr>
        <w:t>Learning Environments tha</w:t>
      </w:r>
      <w:r>
        <w:rPr>
          <w:rFonts w:asciiTheme="majorBidi" w:hAnsiTheme="majorBidi" w:cstheme="majorBidi"/>
          <w:b/>
          <w:bCs/>
          <w:sz w:val="24"/>
          <w:szCs w:val="24"/>
          <w:lang w:val="id-ID"/>
        </w:rPr>
        <w:t>t Support Numeracy Learning and</w:t>
      </w:r>
    </w:p>
    <w:p w14:paraId="42D638B8" w14:textId="77777777" w:rsidR="005F5945" w:rsidRPr="00193679" w:rsidRDefault="00193679" w:rsidP="00193679">
      <w:pPr>
        <w:pStyle w:val="NoSpacing"/>
        <w:ind w:firstLine="2552"/>
        <w:rPr>
          <w:rFonts w:asciiTheme="majorBidi" w:hAnsiTheme="majorBidi" w:cstheme="majorBidi"/>
          <w:b/>
          <w:bCs/>
          <w:sz w:val="24"/>
          <w:szCs w:val="24"/>
          <w:lang w:val="id-ID"/>
        </w:rPr>
      </w:pPr>
      <w:r w:rsidRPr="00193679">
        <w:rPr>
          <w:rFonts w:asciiTheme="majorBidi" w:hAnsiTheme="majorBidi" w:cstheme="majorBidi"/>
          <w:b/>
          <w:bCs/>
          <w:sz w:val="24"/>
          <w:szCs w:val="24"/>
          <w:lang w:val="id-ID"/>
        </w:rPr>
        <w:t>Mindset</w:t>
      </w:r>
    </w:p>
    <w:p w14:paraId="2F4AD325" w14:textId="77777777" w:rsidR="004139A5" w:rsidRDefault="004139A5" w:rsidP="004139A5">
      <w:pPr>
        <w:pStyle w:val="ListParagraph"/>
        <w:ind w:left="1276" w:firstLine="567"/>
        <w:jc w:val="both"/>
        <w:rPr>
          <w:rFonts w:ascii="Times New Roman" w:hAnsi="Times New Roman" w:cs="Times New Roman"/>
          <w:sz w:val="24"/>
          <w:szCs w:val="24"/>
          <w:lang w:val="id-ID"/>
        </w:rPr>
      </w:pPr>
      <w:r w:rsidRPr="004139A5">
        <w:rPr>
          <w:rFonts w:ascii="Times New Roman" w:hAnsi="Times New Roman" w:cs="Times New Roman"/>
          <w:sz w:val="24"/>
          <w:szCs w:val="24"/>
          <w:lang w:val="id-ID"/>
        </w:rPr>
        <w:t xml:space="preserve">Based on table 8 and diagram 5 above, it shows that the skills of managing the learning environment in the components of the learning environment (physical, social, emotional, and intellectual) that support numeracy learning and mindset that in each indicator the level of achievement is in the category of less than good except for the component of evaluating the learning environment (physical, social, emotional, and intellectual) that supports numeracy learning and mindset is in the </w:t>
      </w:r>
      <w:r w:rsidRPr="004139A5">
        <w:rPr>
          <w:rFonts w:ascii="Times New Roman" w:hAnsi="Times New Roman" w:cs="Times New Roman"/>
          <w:sz w:val="24"/>
          <w:szCs w:val="24"/>
          <w:lang w:val="id-ID"/>
        </w:rPr>
        <w:lastRenderedPageBreak/>
        <w:t xml:space="preserve">category of quite good with an average value of 4.33 and a percentage achievement level of 84.50%. Overall, the ability of Elementary School Teachers in this component is in the category of less than good with an average value of 3.67 at an achievement level of 74.38%. </w:t>
      </w:r>
    </w:p>
    <w:p w14:paraId="64930649" w14:textId="77777777" w:rsidR="00354F75" w:rsidRPr="004139A5" w:rsidRDefault="004139A5" w:rsidP="004139A5">
      <w:pPr>
        <w:pStyle w:val="ListParagraph"/>
        <w:ind w:left="1276" w:firstLine="567"/>
        <w:jc w:val="both"/>
        <w:rPr>
          <w:rFonts w:ascii="Times New Roman" w:hAnsi="Times New Roman" w:cs="Times New Roman"/>
          <w:sz w:val="24"/>
          <w:szCs w:val="24"/>
          <w:lang w:val="id-ID"/>
        </w:rPr>
      </w:pPr>
      <w:r w:rsidRPr="004139A5">
        <w:rPr>
          <w:rFonts w:ascii="Times New Roman" w:hAnsi="Times New Roman" w:cs="Times New Roman"/>
          <w:sz w:val="24"/>
          <w:szCs w:val="24"/>
          <w:lang w:val="id-ID"/>
        </w:rPr>
        <w:t>Thus, it can be described that the competence of Elementary School Teachers in the learning environment indicator in the components of numeracy knowledge and experience possessed by students, and the learning environment (physical, social, emotional, and intellectual) that supports numeracy learning and mindset with an average value of 3.76 at an achievement level of 75.12% is in the category of less than good</w:t>
      </w:r>
      <w:r>
        <w:rPr>
          <w:rFonts w:ascii="Times New Roman" w:hAnsi="Times New Roman" w:cs="Times New Roman"/>
          <w:sz w:val="24"/>
          <w:szCs w:val="24"/>
          <w:lang w:val="id-ID"/>
        </w:rPr>
        <w:t xml:space="preserve">. </w:t>
      </w:r>
    </w:p>
    <w:p w14:paraId="7765022C" w14:textId="77777777" w:rsidR="00354F75" w:rsidRDefault="00193679" w:rsidP="00193679">
      <w:pPr>
        <w:pStyle w:val="ListParagraph"/>
        <w:numPr>
          <w:ilvl w:val="0"/>
          <w:numId w:val="3"/>
        </w:numPr>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Learning and assessment</w:t>
      </w:r>
    </w:p>
    <w:p w14:paraId="79114226" w14:textId="77777777" w:rsidR="00193679" w:rsidRPr="00193679" w:rsidRDefault="00193679" w:rsidP="00193679">
      <w:pPr>
        <w:pStyle w:val="NoSpacing"/>
        <w:ind w:firstLine="709"/>
        <w:rPr>
          <w:rFonts w:ascii="Times New Roman" w:hAnsi="Times New Roman" w:cs="Times New Roman"/>
          <w:b/>
          <w:bCs/>
          <w:sz w:val="24"/>
          <w:szCs w:val="24"/>
          <w:lang w:val="id-ID"/>
        </w:rPr>
      </w:pPr>
      <w:r w:rsidRPr="00193679">
        <w:rPr>
          <w:rFonts w:ascii="Times New Roman" w:hAnsi="Times New Roman" w:cs="Times New Roman"/>
          <w:b/>
          <w:bCs/>
          <w:sz w:val="24"/>
          <w:szCs w:val="24"/>
          <w:lang w:val="id-ID"/>
        </w:rPr>
        <w:t>Table 9. Learning and Assessment</w:t>
      </w:r>
    </w:p>
    <w:tbl>
      <w:tblPr>
        <w:tblStyle w:val="TableGrid"/>
        <w:tblW w:w="7371" w:type="dxa"/>
        <w:tblInd w:w="817" w:type="dxa"/>
        <w:tblLook w:val="04A0" w:firstRow="1" w:lastRow="0" w:firstColumn="1" w:lastColumn="0" w:noHBand="0" w:noVBand="1"/>
      </w:tblPr>
      <w:tblGrid>
        <w:gridCol w:w="2410"/>
        <w:gridCol w:w="1275"/>
        <w:gridCol w:w="2127"/>
        <w:gridCol w:w="1559"/>
      </w:tblGrid>
      <w:tr w:rsidR="00193679" w14:paraId="3BD18509" w14:textId="77777777" w:rsidTr="00193679">
        <w:tc>
          <w:tcPr>
            <w:tcW w:w="2410" w:type="dxa"/>
          </w:tcPr>
          <w:p w14:paraId="2623A8DD" w14:textId="77777777" w:rsidR="00193679" w:rsidRPr="00B94274" w:rsidRDefault="00193679" w:rsidP="00F53E65">
            <w:pPr>
              <w:pStyle w:val="BodyText"/>
              <w:jc w:val="center"/>
              <w:rPr>
                <w:b/>
                <w:bCs/>
                <w:lang w:val="id-ID"/>
              </w:rPr>
            </w:pPr>
            <w:r w:rsidRPr="00B94274">
              <w:rPr>
                <w:b/>
                <w:bCs/>
                <w:lang w:val="id-ID"/>
              </w:rPr>
              <w:t>Indicator</w:t>
            </w:r>
          </w:p>
        </w:tc>
        <w:tc>
          <w:tcPr>
            <w:tcW w:w="1275" w:type="dxa"/>
          </w:tcPr>
          <w:p w14:paraId="4111DFE8" w14:textId="77777777" w:rsidR="00193679" w:rsidRPr="00B94274" w:rsidRDefault="00193679" w:rsidP="00F53E65">
            <w:pPr>
              <w:pStyle w:val="BodyText"/>
              <w:jc w:val="center"/>
              <w:rPr>
                <w:b/>
                <w:bCs/>
                <w:lang w:val="id-ID"/>
              </w:rPr>
            </w:pPr>
            <w:r w:rsidRPr="00B94274">
              <w:rPr>
                <w:b/>
                <w:bCs/>
                <w:lang w:val="id-ID"/>
              </w:rPr>
              <w:t>Average</w:t>
            </w:r>
          </w:p>
        </w:tc>
        <w:tc>
          <w:tcPr>
            <w:tcW w:w="2127" w:type="dxa"/>
          </w:tcPr>
          <w:p w14:paraId="65C794E8" w14:textId="77777777" w:rsidR="00193679" w:rsidRPr="00B94274" w:rsidRDefault="00193679" w:rsidP="00F53E65">
            <w:pPr>
              <w:pStyle w:val="BodyText"/>
              <w:jc w:val="center"/>
              <w:rPr>
                <w:b/>
                <w:bCs/>
                <w:lang w:val="id-ID"/>
              </w:rPr>
            </w:pPr>
            <w:r w:rsidRPr="00B94274">
              <w:rPr>
                <w:b/>
                <w:bCs/>
                <w:lang w:val="id-ID"/>
              </w:rPr>
              <w:t>Achievement (%)</w:t>
            </w:r>
          </w:p>
        </w:tc>
        <w:tc>
          <w:tcPr>
            <w:tcW w:w="1559" w:type="dxa"/>
          </w:tcPr>
          <w:p w14:paraId="34A86904" w14:textId="77777777" w:rsidR="00193679" w:rsidRPr="00B94274" w:rsidRDefault="00193679" w:rsidP="00F53E65">
            <w:pPr>
              <w:pStyle w:val="BodyText"/>
              <w:jc w:val="center"/>
              <w:rPr>
                <w:b/>
                <w:bCs/>
                <w:lang w:val="id-ID"/>
              </w:rPr>
            </w:pPr>
            <w:r w:rsidRPr="00B94274">
              <w:rPr>
                <w:b/>
                <w:bCs/>
                <w:lang w:val="id-ID"/>
              </w:rPr>
              <w:t>Category</w:t>
            </w:r>
          </w:p>
        </w:tc>
      </w:tr>
      <w:tr w:rsidR="00193679" w14:paraId="0990BB6F" w14:textId="77777777" w:rsidTr="00193679">
        <w:tc>
          <w:tcPr>
            <w:tcW w:w="2410" w:type="dxa"/>
          </w:tcPr>
          <w:p w14:paraId="6FE98827" w14:textId="77777777" w:rsidR="00193679" w:rsidRPr="00193679" w:rsidRDefault="00193679">
            <w:pPr>
              <w:pStyle w:val="BodyText"/>
              <w:rPr>
                <w:sz w:val="22"/>
                <w:szCs w:val="22"/>
              </w:rPr>
            </w:pPr>
            <w:r w:rsidRPr="00193679">
              <w:rPr>
                <w:color w:val="404040"/>
                <w:spacing w:val="-8"/>
                <w:sz w:val="22"/>
                <w:szCs w:val="22"/>
              </w:rPr>
              <w:t>Opportunities</w:t>
            </w:r>
            <w:r w:rsidRPr="00193679">
              <w:rPr>
                <w:color w:val="404040"/>
                <w:spacing w:val="-29"/>
                <w:sz w:val="22"/>
                <w:szCs w:val="22"/>
              </w:rPr>
              <w:t xml:space="preserve"> </w:t>
            </w:r>
            <w:r w:rsidRPr="00193679">
              <w:rPr>
                <w:color w:val="404040"/>
                <w:spacing w:val="-8"/>
                <w:sz w:val="22"/>
                <w:szCs w:val="22"/>
              </w:rPr>
              <w:t xml:space="preserve">and </w:t>
            </w:r>
            <w:r w:rsidRPr="00193679">
              <w:rPr>
                <w:color w:val="404040"/>
                <w:sz w:val="22"/>
                <w:szCs w:val="22"/>
              </w:rPr>
              <w:t>demands</w:t>
            </w:r>
            <w:r w:rsidRPr="00193679">
              <w:rPr>
                <w:color w:val="404040"/>
                <w:spacing w:val="-12"/>
                <w:sz w:val="22"/>
                <w:szCs w:val="22"/>
              </w:rPr>
              <w:t xml:space="preserve"> </w:t>
            </w:r>
          </w:p>
        </w:tc>
        <w:tc>
          <w:tcPr>
            <w:tcW w:w="1275" w:type="dxa"/>
          </w:tcPr>
          <w:p w14:paraId="6D1930DC" w14:textId="77777777" w:rsidR="00193679" w:rsidRPr="00193679" w:rsidRDefault="00193679">
            <w:pPr>
              <w:pStyle w:val="BodyText"/>
              <w:jc w:val="center"/>
              <w:rPr>
                <w:sz w:val="22"/>
                <w:szCs w:val="22"/>
              </w:rPr>
            </w:pPr>
            <w:r w:rsidRPr="00193679">
              <w:rPr>
                <w:sz w:val="22"/>
                <w:szCs w:val="22"/>
              </w:rPr>
              <w:t>3,19</w:t>
            </w:r>
          </w:p>
        </w:tc>
        <w:tc>
          <w:tcPr>
            <w:tcW w:w="2127" w:type="dxa"/>
          </w:tcPr>
          <w:p w14:paraId="7A7448F3" w14:textId="77777777" w:rsidR="00193679" w:rsidRPr="00193679" w:rsidRDefault="00193679">
            <w:pPr>
              <w:pStyle w:val="BodyText"/>
              <w:jc w:val="center"/>
              <w:rPr>
                <w:sz w:val="22"/>
                <w:szCs w:val="22"/>
              </w:rPr>
            </w:pPr>
            <w:r w:rsidRPr="00193679">
              <w:rPr>
                <w:sz w:val="22"/>
                <w:szCs w:val="22"/>
              </w:rPr>
              <w:t>63,76</w:t>
            </w:r>
          </w:p>
        </w:tc>
        <w:tc>
          <w:tcPr>
            <w:tcW w:w="1559" w:type="dxa"/>
          </w:tcPr>
          <w:p w14:paraId="5A1F9B2C" w14:textId="77777777" w:rsidR="00193679" w:rsidRPr="00193679" w:rsidRDefault="00193679" w:rsidP="00193679">
            <w:pPr>
              <w:pStyle w:val="BodyText"/>
              <w:rPr>
                <w:sz w:val="22"/>
                <w:szCs w:val="22"/>
              </w:rPr>
            </w:pPr>
            <w:r w:rsidRPr="00193679">
              <w:rPr>
                <w:sz w:val="22"/>
                <w:szCs w:val="22"/>
              </w:rPr>
              <w:t>Not Good</w:t>
            </w:r>
          </w:p>
        </w:tc>
      </w:tr>
      <w:tr w:rsidR="00193679" w14:paraId="4BA09B15" w14:textId="77777777" w:rsidTr="00193679">
        <w:tc>
          <w:tcPr>
            <w:tcW w:w="2410" w:type="dxa"/>
          </w:tcPr>
          <w:p w14:paraId="107339A4" w14:textId="77777777" w:rsidR="00193679" w:rsidRPr="00193679" w:rsidRDefault="00193679">
            <w:pPr>
              <w:pStyle w:val="BodyText"/>
              <w:rPr>
                <w:sz w:val="22"/>
                <w:szCs w:val="22"/>
              </w:rPr>
            </w:pPr>
            <w:r w:rsidRPr="00193679">
              <w:rPr>
                <w:color w:val="404040"/>
                <w:spacing w:val="-2"/>
                <w:sz w:val="22"/>
                <w:szCs w:val="22"/>
              </w:rPr>
              <w:t xml:space="preserve">Learning plan </w:t>
            </w:r>
          </w:p>
        </w:tc>
        <w:tc>
          <w:tcPr>
            <w:tcW w:w="1275" w:type="dxa"/>
            <w:vAlign w:val="center"/>
          </w:tcPr>
          <w:p w14:paraId="2F76F16A" w14:textId="77777777" w:rsidR="00193679" w:rsidRPr="00193679" w:rsidRDefault="00193679">
            <w:pPr>
              <w:pStyle w:val="BodyText"/>
              <w:jc w:val="center"/>
              <w:rPr>
                <w:sz w:val="22"/>
                <w:szCs w:val="22"/>
              </w:rPr>
            </w:pPr>
            <w:r w:rsidRPr="00193679">
              <w:rPr>
                <w:sz w:val="22"/>
                <w:szCs w:val="22"/>
              </w:rPr>
              <w:t>4,09</w:t>
            </w:r>
          </w:p>
        </w:tc>
        <w:tc>
          <w:tcPr>
            <w:tcW w:w="2127" w:type="dxa"/>
            <w:vAlign w:val="bottom"/>
          </w:tcPr>
          <w:p w14:paraId="01184920" w14:textId="77777777" w:rsidR="00193679" w:rsidRPr="00193679" w:rsidRDefault="00193679">
            <w:pPr>
              <w:pStyle w:val="BodyText"/>
              <w:jc w:val="center"/>
              <w:rPr>
                <w:sz w:val="22"/>
                <w:szCs w:val="22"/>
              </w:rPr>
            </w:pPr>
            <w:r w:rsidRPr="00193679">
              <w:rPr>
                <w:sz w:val="22"/>
                <w:szCs w:val="22"/>
              </w:rPr>
              <w:t>81,88</w:t>
            </w:r>
          </w:p>
        </w:tc>
        <w:tc>
          <w:tcPr>
            <w:tcW w:w="1559" w:type="dxa"/>
          </w:tcPr>
          <w:p w14:paraId="1BBA0D65" w14:textId="77777777" w:rsidR="00193679" w:rsidRPr="00193679" w:rsidRDefault="00193679" w:rsidP="00193679">
            <w:pPr>
              <w:pStyle w:val="BodyText"/>
              <w:rPr>
                <w:sz w:val="22"/>
                <w:szCs w:val="22"/>
              </w:rPr>
            </w:pPr>
            <w:r w:rsidRPr="00193679">
              <w:rPr>
                <w:sz w:val="22"/>
                <w:szCs w:val="22"/>
              </w:rPr>
              <w:t>Pretty Good</w:t>
            </w:r>
          </w:p>
        </w:tc>
      </w:tr>
      <w:tr w:rsidR="00193679" w14:paraId="36F8ED55" w14:textId="77777777" w:rsidTr="00193679">
        <w:tc>
          <w:tcPr>
            <w:tcW w:w="2410" w:type="dxa"/>
          </w:tcPr>
          <w:p w14:paraId="6B6A4D3B" w14:textId="77777777" w:rsidR="00193679" w:rsidRPr="00193679" w:rsidRDefault="00193679">
            <w:pPr>
              <w:pStyle w:val="BodyText"/>
              <w:rPr>
                <w:sz w:val="22"/>
                <w:szCs w:val="22"/>
              </w:rPr>
            </w:pPr>
            <w:r w:rsidRPr="00193679">
              <w:rPr>
                <w:color w:val="404040"/>
                <w:spacing w:val="-2"/>
                <w:sz w:val="22"/>
                <w:szCs w:val="22"/>
              </w:rPr>
              <w:t>Implementation of learning</w:t>
            </w:r>
          </w:p>
        </w:tc>
        <w:tc>
          <w:tcPr>
            <w:tcW w:w="1275" w:type="dxa"/>
          </w:tcPr>
          <w:p w14:paraId="6821B56F"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4,43</w:t>
            </w:r>
          </w:p>
        </w:tc>
        <w:tc>
          <w:tcPr>
            <w:tcW w:w="2127" w:type="dxa"/>
          </w:tcPr>
          <w:p w14:paraId="703A5DD4"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88,53</w:t>
            </w:r>
          </w:p>
        </w:tc>
        <w:tc>
          <w:tcPr>
            <w:tcW w:w="1559" w:type="dxa"/>
          </w:tcPr>
          <w:p w14:paraId="0A2E8D8C"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Good</w:t>
            </w:r>
          </w:p>
        </w:tc>
      </w:tr>
      <w:tr w:rsidR="00193679" w14:paraId="3E163023" w14:textId="77777777" w:rsidTr="00193679">
        <w:tc>
          <w:tcPr>
            <w:tcW w:w="2410" w:type="dxa"/>
          </w:tcPr>
          <w:p w14:paraId="06B59592"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Assessment (cognitive and noncognitive) </w:t>
            </w:r>
          </w:p>
        </w:tc>
        <w:tc>
          <w:tcPr>
            <w:tcW w:w="1275" w:type="dxa"/>
          </w:tcPr>
          <w:p w14:paraId="7F37C4A6"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3,93</w:t>
            </w:r>
          </w:p>
        </w:tc>
        <w:tc>
          <w:tcPr>
            <w:tcW w:w="2127" w:type="dxa"/>
          </w:tcPr>
          <w:p w14:paraId="19800081"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78,69</w:t>
            </w:r>
          </w:p>
        </w:tc>
        <w:tc>
          <w:tcPr>
            <w:tcW w:w="1559" w:type="dxa"/>
          </w:tcPr>
          <w:p w14:paraId="5EA0136D"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r w:rsidR="00193679" w:rsidRPr="00B94274" w14:paraId="416C9FC0" w14:textId="77777777" w:rsidTr="00193679">
        <w:tc>
          <w:tcPr>
            <w:tcW w:w="2410" w:type="dxa"/>
          </w:tcPr>
          <w:p w14:paraId="74418BF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Total Grade Point Average</w:t>
            </w:r>
          </w:p>
        </w:tc>
        <w:tc>
          <w:tcPr>
            <w:tcW w:w="1275" w:type="dxa"/>
          </w:tcPr>
          <w:p w14:paraId="11A4BB50"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3,95</w:t>
            </w:r>
          </w:p>
        </w:tc>
        <w:tc>
          <w:tcPr>
            <w:tcW w:w="2127" w:type="dxa"/>
          </w:tcPr>
          <w:p w14:paraId="77B2A155"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78,22</w:t>
            </w:r>
          </w:p>
        </w:tc>
        <w:tc>
          <w:tcPr>
            <w:tcW w:w="1559" w:type="dxa"/>
          </w:tcPr>
          <w:p w14:paraId="1AE43FB4"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bl>
    <w:p w14:paraId="7F396DE6" w14:textId="77777777" w:rsidR="00193679" w:rsidRDefault="00193679" w:rsidP="00193679">
      <w:pPr>
        <w:pStyle w:val="ListParagraph"/>
        <w:jc w:val="both"/>
        <w:rPr>
          <w:rFonts w:ascii="Times New Roman" w:hAnsi="Times New Roman" w:cs="Times New Roman"/>
          <w:sz w:val="24"/>
          <w:szCs w:val="24"/>
          <w:lang w:val="id-ID"/>
        </w:rPr>
      </w:pPr>
    </w:p>
    <w:p w14:paraId="593A18FF" w14:textId="77777777" w:rsidR="00193679" w:rsidRDefault="00193679" w:rsidP="00193679">
      <w:pPr>
        <w:pStyle w:val="ListParagraph"/>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7517F743" wp14:editId="3375C70B">
            <wp:extent cx="4675367" cy="3021495"/>
            <wp:effectExtent l="0" t="0" r="1143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DDE600" w14:textId="77777777" w:rsidR="00193679" w:rsidRDefault="00193679" w:rsidP="00193679">
      <w:pPr>
        <w:pStyle w:val="ListParagraph"/>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Diagram 6</w:t>
      </w:r>
      <w:r w:rsidRPr="00F56343">
        <w:rPr>
          <w:rFonts w:ascii="Times New Roman" w:hAnsi="Times New Roman" w:cs="Times New Roman"/>
          <w:b/>
          <w:bCs/>
          <w:sz w:val="24"/>
          <w:szCs w:val="24"/>
          <w:lang w:val="id-ID"/>
        </w:rPr>
        <w:t>.</w:t>
      </w:r>
      <w:r w:rsidRPr="00193679">
        <w:rPr>
          <w:rFonts w:ascii="Times New Roman" w:hAnsi="Times New Roman" w:cs="Times New Roman"/>
          <w:b/>
          <w:bCs/>
          <w:sz w:val="24"/>
          <w:szCs w:val="24"/>
          <w:lang w:val="id-ID"/>
        </w:rPr>
        <w:t xml:space="preserve"> Learning and Assessment</w:t>
      </w:r>
    </w:p>
    <w:p w14:paraId="6FCD4F09" w14:textId="77777777" w:rsidR="00193679" w:rsidRDefault="00193679" w:rsidP="00193679">
      <w:pPr>
        <w:pStyle w:val="ListParagraph"/>
        <w:ind w:firstLine="556"/>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 xml:space="preserve">Based on table 9 and diagram 6 above, it shows that learning and assessment in the opportunity and demand component was achieved in the poor category with an average </w:t>
      </w:r>
      <w:r w:rsidRPr="00193679">
        <w:rPr>
          <w:rFonts w:ascii="Times New Roman" w:hAnsi="Times New Roman" w:cs="Times New Roman"/>
          <w:sz w:val="24"/>
          <w:szCs w:val="24"/>
          <w:lang w:val="id-ID"/>
        </w:rPr>
        <w:lastRenderedPageBreak/>
        <w:t>score of 3.19 at an achievement level of 63.76%, the learning design indicator in the category was quite good with an average score of 4.08 at an achievement level of 81.88%, the learning implementation indicator was in the good category with an average score of 4.43 at an achievement level of 88.53%, and assessment indicators (cognitive and non-cognitive) in the category are quite good with an average score of 3.93 at an achievement rate of 78.69%, In general, the achievement rate of teachers' numeracy skills in the learning and assessment indicators with an average score of 3.95 and a percentage achievement rate of 78.22% is in the category of quite good.</w:t>
      </w:r>
    </w:p>
    <w:p w14:paraId="325DFF96" w14:textId="77777777" w:rsidR="00193679" w:rsidRPr="00193679" w:rsidRDefault="00193679" w:rsidP="00193679">
      <w:pPr>
        <w:pStyle w:val="ListParagraph"/>
        <w:ind w:firstLine="556"/>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From the description above, there is one indicator that is not achieved, namely opportunities and demands. Meanwhile, the other two indicators have been achieved in the category of quite good, namely r learning plan and asession (cognitive and non-cognitive). Then there are indicators achieved in the good category, namely theimplementation of learning. This shows that each teacher has quite good abilities in the aspect of learning and numeracy assessment across subjects .</w:t>
      </w:r>
    </w:p>
    <w:p w14:paraId="5B22E5F2" w14:textId="77777777" w:rsidR="00193679" w:rsidRDefault="00193679" w:rsidP="00193679">
      <w:pPr>
        <w:pStyle w:val="ListParagraph"/>
        <w:numPr>
          <w:ilvl w:val="0"/>
          <w:numId w:val="3"/>
        </w:numPr>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 xml:space="preserve">Teacher numeracy culture  </w:t>
      </w:r>
    </w:p>
    <w:p w14:paraId="64DC678D" w14:textId="77777777" w:rsidR="00193679" w:rsidRPr="00193679" w:rsidRDefault="00193679" w:rsidP="00193679">
      <w:pPr>
        <w:pStyle w:val="NoSpacing"/>
        <w:ind w:firstLine="709"/>
        <w:rPr>
          <w:rFonts w:ascii="Times New Roman" w:hAnsi="Times New Roman" w:cs="Times New Roman"/>
          <w:b/>
          <w:bCs/>
          <w:sz w:val="24"/>
          <w:szCs w:val="24"/>
          <w:lang w:val="id-ID"/>
        </w:rPr>
      </w:pPr>
      <w:r w:rsidRPr="00193679">
        <w:rPr>
          <w:rFonts w:ascii="Times New Roman" w:hAnsi="Times New Roman" w:cs="Times New Roman"/>
          <w:b/>
          <w:bCs/>
          <w:sz w:val="24"/>
          <w:szCs w:val="24"/>
          <w:lang w:val="id-ID"/>
        </w:rPr>
        <w:t>Table 10. Teacher Numeracy Culture</w:t>
      </w:r>
    </w:p>
    <w:tbl>
      <w:tblPr>
        <w:tblStyle w:val="TableGrid"/>
        <w:tblW w:w="7371" w:type="dxa"/>
        <w:tblInd w:w="817" w:type="dxa"/>
        <w:tblLook w:val="04A0" w:firstRow="1" w:lastRow="0" w:firstColumn="1" w:lastColumn="0" w:noHBand="0" w:noVBand="1"/>
      </w:tblPr>
      <w:tblGrid>
        <w:gridCol w:w="2410"/>
        <w:gridCol w:w="1275"/>
        <w:gridCol w:w="2127"/>
        <w:gridCol w:w="1559"/>
      </w:tblGrid>
      <w:tr w:rsidR="00193679" w14:paraId="2B8D1BB7" w14:textId="77777777" w:rsidTr="00193679">
        <w:tc>
          <w:tcPr>
            <w:tcW w:w="2410" w:type="dxa"/>
          </w:tcPr>
          <w:p w14:paraId="767D88FA" w14:textId="77777777" w:rsidR="00193679" w:rsidRPr="00B94274" w:rsidRDefault="00193679" w:rsidP="00F53E65">
            <w:pPr>
              <w:pStyle w:val="BodyText"/>
              <w:jc w:val="center"/>
              <w:rPr>
                <w:b/>
                <w:bCs/>
                <w:lang w:val="id-ID"/>
              </w:rPr>
            </w:pPr>
            <w:r w:rsidRPr="00B94274">
              <w:rPr>
                <w:b/>
                <w:bCs/>
                <w:lang w:val="id-ID"/>
              </w:rPr>
              <w:t>Indicator</w:t>
            </w:r>
          </w:p>
        </w:tc>
        <w:tc>
          <w:tcPr>
            <w:tcW w:w="1275" w:type="dxa"/>
          </w:tcPr>
          <w:p w14:paraId="48FCC938" w14:textId="77777777" w:rsidR="00193679" w:rsidRPr="00B94274" w:rsidRDefault="00193679" w:rsidP="00F53E65">
            <w:pPr>
              <w:pStyle w:val="BodyText"/>
              <w:jc w:val="center"/>
              <w:rPr>
                <w:b/>
                <w:bCs/>
                <w:lang w:val="id-ID"/>
              </w:rPr>
            </w:pPr>
            <w:r w:rsidRPr="00B94274">
              <w:rPr>
                <w:b/>
                <w:bCs/>
                <w:lang w:val="id-ID"/>
              </w:rPr>
              <w:t>Average</w:t>
            </w:r>
          </w:p>
        </w:tc>
        <w:tc>
          <w:tcPr>
            <w:tcW w:w="2127" w:type="dxa"/>
          </w:tcPr>
          <w:p w14:paraId="24C0407D" w14:textId="77777777" w:rsidR="00193679" w:rsidRPr="00B94274" w:rsidRDefault="00193679" w:rsidP="00F53E65">
            <w:pPr>
              <w:pStyle w:val="BodyText"/>
              <w:jc w:val="center"/>
              <w:rPr>
                <w:b/>
                <w:bCs/>
                <w:lang w:val="id-ID"/>
              </w:rPr>
            </w:pPr>
            <w:r w:rsidRPr="00B94274">
              <w:rPr>
                <w:b/>
                <w:bCs/>
                <w:lang w:val="id-ID"/>
              </w:rPr>
              <w:t>Achievement (%)</w:t>
            </w:r>
          </w:p>
        </w:tc>
        <w:tc>
          <w:tcPr>
            <w:tcW w:w="1559" w:type="dxa"/>
          </w:tcPr>
          <w:p w14:paraId="7E76B866" w14:textId="77777777" w:rsidR="00193679" w:rsidRPr="00B94274" w:rsidRDefault="00193679" w:rsidP="00F53E65">
            <w:pPr>
              <w:pStyle w:val="BodyText"/>
              <w:jc w:val="center"/>
              <w:rPr>
                <w:b/>
                <w:bCs/>
                <w:lang w:val="id-ID"/>
              </w:rPr>
            </w:pPr>
            <w:r w:rsidRPr="00B94274">
              <w:rPr>
                <w:b/>
                <w:bCs/>
                <w:lang w:val="id-ID"/>
              </w:rPr>
              <w:t>Category</w:t>
            </w:r>
          </w:p>
        </w:tc>
      </w:tr>
      <w:tr w:rsidR="00193679" w14:paraId="49609758" w14:textId="77777777" w:rsidTr="00193679">
        <w:tc>
          <w:tcPr>
            <w:tcW w:w="2410" w:type="dxa"/>
          </w:tcPr>
          <w:p w14:paraId="5F6CFC4B" w14:textId="77777777" w:rsidR="00193679" w:rsidRPr="00193679" w:rsidRDefault="00193679">
            <w:pPr>
              <w:pStyle w:val="BodyText"/>
              <w:rPr>
                <w:sz w:val="22"/>
                <w:szCs w:val="22"/>
              </w:rPr>
            </w:pPr>
            <w:r w:rsidRPr="00193679">
              <w:rPr>
                <w:color w:val="404040"/>
                <w:spacing w:val="-8"/>
                <w:sz w:val="22"/>
                <w:szCs w:val="22"/>
              </w:rPr>
              <w:t xml:space="preserve">Understanding the mindset </w:t>
            </w:r>
          </w:p>
        </w:tc>
        <w:tc>
          <w:tcPr>
            <w:tcW w:w="1275" w:type="dxa"/>
          </w:tcPr>
          <w:p w14:paraId="7317A7A7" w14:textId="77777777" w:rsidR="00193679" w:rsidRPr="00193679" w:rsidRDefault="00193679">
            <w:pPr>
              <w:pStyle w:val="BodyText"/>
              <w:jc w:val="center"/>
              <w:rPr>
                <w:sz w:val="22"/>
                <w:szCs w:val="22"/>
              </w:rPr>
            </w:pPr>
            <w:r w:rsidRPr="00193679">
              <w:rPr>
                <w:sz w:val="22"/>
                <w:szCs w:val="22"/>
              </w:rPr>
              <w:t>2,70</w:t>
            </w:r>
          </w:p>
        </w:tc>
        <w:tc>
          <w:tcPr>
            <w:tcW w:w="2127" w:type="dxa"/>
          </w:tcPr>
          <w:p w14:paraId="6D87ACC6" w14:textId="77777777" w:rsidR="00193679" w:rsidRPr="00193679" w:rsidRDefault="00193679">
            <w:pPr>
              <w:pStyle w:val="BodyText"/>
              <w:jc w:val="center"/>
              <w:rPr>
                <w:sz w:val="22"/>
                <w:szCs w:val="22"/>
              </w:rPr>
            </w:pPr>
            <w:r w:rsidRPr="00193679">
              <w:rPr>
                <w:sz w:val="22"/>
                <w:szCs w:val="22"/>
              </w:rPr>
              <w:t>53,93</w:t>
            </w:r>
          </w:p>
        </w:tc>
        <w:tc>
          <w:tcPr>
            <w:tcW w:w="1559" w:type="dxa"/>
          </w:tcPr>
          <w:p w14:paraId="08FC128E" w14:textId="77777777" w:rsidR="00193679" w:rsidRPr="00193679" w:rsidRDefault="00193679" w:rsidP="00193679">
            <w:pPr>
              <w:pStyle w:val="BodyText"/>
              <w:rPr>
                <w:sz w:val="22"/>
                <w:szCs w:val="22"/>
              </w:rPr>
            </w:pPr>
            <w:r w:rsidRPr="00193679">
              <w:rPr>
                <w:sz w:val="22"/>
                <w:szCs w:val="22"/>
              </w:rPr>
              <w:t>Bad</w:t>
            </w:r>
          </w:p>
        </w:tc>
      </w:tr>
      <w:tr w:rsidR="00193679" w14:paraId="2FC6A9FD" w14:textId="77777777" w:rsidTr="00193679">
        <w:tc>
          <w:tcPr>
            <w:tcW w:w="2410" w:type="dxa"/>
          </w:tcPr>
          <w:p w14:paraId="199AE8EE" w14:textId="77777777" w:rsidR="00193679" w:rsidRPr="00193679" w:rsidRDefault="00193679">
            <w:pPr>
              <w:pStyle w:val="BodyText"/>
              <w:rPr>
                <w:sz w:val="22"/>
                <w:szCs w:val="22"/>
              </w:rPr>
            </w:pPr>
            <w:r w:rsidRPr="00193679">
              <w:rPr>
                <w:color w:val="404040"/>
                <w:spacing w:val="-2"/>
                <w:sz w:val="22"/>
                <w:szCs w:val="22"/>
              </w:rPr>
              <w:t xml:space="preserve">Implementing learning strategies </w:t>
            </w:r>
          </w:p>
        </w:tc>
        <w:tc>
          <w:tcPr>
            <w:tcW w:w="1275" w:type="dxa"/>
            <w:vAlign w:val="center"/>
          </w:tcPr>
          <w:p w14:paraId="66E6C3C2" w14:textId="77777777" w:rsidR="00193679" w:rsidRPr="00193679" w:rsidRDefault="00193679">
            <w:pPr>
              <w:pStyle w:val="BodyText"/>
              <w:jc w:val="center"/>
              <w:rPr>
                <w:sz w:val="22"/>
                <w:szCs w:val="22"/>
              </w:rPr>
            </w:pPr>
            <w:r w:rsidRPr="00193679">
              <w:rPr>
                <w:sz w:val="22"/>
                <w:szCs w:val="22"/>
              </w:rPr>
              <w:t>3,57</w:t>
            </w:r>
          </w:p>
        </w:tc>
        <w:tc>
          <w:tcPr>
            <w:tcW w:w="2127" w:type="dxa"/>
            <w:vAlign w:val="bottom"/>
          </w:tcPr>
          <w:p w14:paraId="3DF0C663" w14:textId="77777777" w:rsidR="00193679" w:rsidRPr="00193679" w:rsidRDefault="00193679">
            <w:pPr>
              <w:pStyle w:val="BodyText"/>
              <w:jc w:val="center"/>
              <w:rPr>
                <w:sz w:val="22"/>
                <w:szCs w:val="22"/>
              </w:rPr>
            </w:pPr>
            <w:r w:rsidRPr="00193679">
              <w:rPr>
                <w:sz w:val="22"/>
                <w:szCs w:val="22"/>
              </w:rPr>
              <w:t>71,32</w:t>
            </w:r>
          </w:p>
        </w:tc>
        <w:tc>
          <w:tcPr>
            <w:tcW w:w="1559" w:type="dxa"/>
          </w:tcPr>
          <w:p w14:paraId="58F7A6CB" w14:textId="77777777" w:rsidR="00193679" w:rsidRPr="00193679" w:rsidRDefault="00193679" w:rsidP="00193679">
            <w:pPr>
              <w:pStyle w:val="BodyText"/>
              <w:rPr>
                <w:sz w:val="22"/>
                <w:szCs w:val="22"/>
              </w:rPr>
            </w:pPr>
            <w:r w:rsidRPr="00193679">
              <w:rPr>
                <w:sz w:val="22"/>
                <w:szCs w:val="22"/>
              </w:rPr>
              <w:t>Not Good</w:t>
            </w:r>
          </w:p>
        </w:tc>
      </w:tr>
      <w:tr w:rsidR="00193679" w14:paraId="61F8E40C" w14:textId="77777777" w:rsidTr="00193679">
        <w:tc>
          <w:tcPr>
            <w:tcW w:w="2410" w:type="dxa"/>
          </w:tcPr>
          <w:p w14:paraId="73742C7E" w14:textId="77777777" w:rsidR="00193679" w:rsidRPr="00193679" w:rsidRDefault="00193679">
            <w:pPr>
              <w:pStyle w:val="BodyText"/>
              <w:rPr>
                <w:sz w:val="22"/>
                <w:szCs w:val="22"/>
              </w:rPr>
            </w:pPr>
            <w:r w:rsidRPr="00193679">
              <w:rPr>
                <w:color w:val="404040"/>
                <w:spacing w:val="-2"/>
                <w:sz w:val="22"/>
                <w:szCs w:val="22"/>
              </w:rPr>
              <w:t>Evaluate learning strategies</w:t>
            </w:r>
          </w:p>
        </w:tc>
        <w:tc>
          <w:tcPr>
            <w:tcW w:w="1275" w:type="dxa"/>
          </w:tcPr>
          <w:p w14:paraId="4ADBD8F5"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3,34</w:t>
            </w:r>
          </w:p>
        </w:tc>
        <w:tc>
          <w:tcPr>
            <w:tcW w:w="2127" w:type="dxa"/>
          </w:tcPr>
          <w:p w14:paraId="6F1EFA28"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66,76</w:t>
            </w:r>
          </w:p>
        </w:tc>
        <w:tc>
          <w:tcPr>
            <w:tcW w:w="1559" w:type="dxa"/>
          </w:tcPr>
          <w:p w14:paraId="126FB17E"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Not Good</w:t>
            </w:r>
          </w:p>
        </w:tc>
      </w:tr>
      <w:tr w:rsidR="00193679" w14:paraId="2802B016" w14:textId="77777777" w:rsidTr="00193679">
        <w:tc>
          <w:tcPr>
            <w:tcW w:w="2410" w:type="dxa"/>
          </w:tcPr>
          <w:p w14:paraId="24517FD2"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Collaborate with colleagues </w:t>
            </w:r>
          </w:p>
        </w:tc>
        <w:tc>
          <w:tcPr>
            <w:tcW w:w="1275" w:type="dxa"/>
          </w:tcPr>
          <w:p w14:paraId="65A15E7F"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4,61</w:t>
            </w:r>
          </w:p>
        </w:tc>
        <w:tc>
          <w:tcPr>
            <w:tcW w:w="2127" w:type="dxa"/>
          </w:tcPr>
          <w:p w14:paraId="7AB32BB7"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92,20</w:t>
            </w:r>
          </w:p>
        </w:tc>
        <w:tc>
          <w:tcPr>
            <w:tcW w:w="1559" w:type="dxa"/>
          </w:tcPr>
          <w:p w14:paraId="46A0F5CE"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Excellent</w:t>
            </w:r>
          </w:p>
        </w:tc>
      </w:tr>
      <w:tr w:rsidR="00193679" w14:paraId="55B17224" w14:textId="77777777" w:rsidTr="00193679">
        <w:tc>
          <w:tcPr>
            <w:tcW w:w="2410" w:type="dxa"/>
          </w:tcPr>
          <w:p w14:paraId="0A2A0414" w14:textId="77777777" w:rsidR="00193679" w:rsidRPr="00193679" w:rsidRDefault="00193679">
            <w:pPr>
              <w:pStyle w:val="ListParagraph"/>
              <w:ind w:left="0"/>
              <w:rPr>
                <w:sz w:val="22"/>
                <w:szCs w:val="22"/>
              </w:rPr>
            </w:pPr>
            <w:r w:rsidRPr="00193679">
              <w:rPr>
                <w:rFonts w:ascii="Times New Roman" w:hAnsi="Times New Roman" w:cs="Times New Roman"/>
                <w:sz w:val="22"/>
                <w:szCs w:val="22"/>
              </w:rPr>
              <w:t xml:space="preserve">Mentoring colleagues </w:t>
            </w:r>
          </w:p>
        </w:tc>
        <w:tc>
          <w:tcPr>
            <w:tcW w:w="1275" w:type="dxa"/>
          </w:tcPr>
          <w:p w14:paraId="08EB1CB4"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3,83</w:t>
            </w:r>
          </w:p>
        </w:tc>
        <w:tc>
          <w:tcPr>
            <w:tcW w:w="2127" w:type="dxa"/>
          </w:tcPr>
          <w:p w14:paraId="3EB8EA06" w14:textId="77777777" w:rsidR="00193679" w:rsidRPr="00193679" w:rsidRDefault="00193679">
            <w:pPr>
              <w:pStyle w:val="ListParagraph"/>
              <w:ind w:left="0"/>
              <w:jc w:val="center"/>
              <w:rPr>
                <w:sz w:val="22"/>
                <w:szCs w:val="22"/>
              </w:rPr>
            </w:pPr>
            <w:r w:rsidRPr="00193679">
              <w:rPr>
                <w:rFonts w:ascii="Times New Roman" w:hAnsi="Times New Roman" w:cs="Times New Roman"/>
                <w:sz w:val="22"/>
                <w:szCs w:val="22"/>
              </w:rPr>
              <w:t>76,44</w:t>
            </w:r>
          </w:p>
        </w:tc>
        <w:tc>
          <w:tcPr>
            <w:tcW w:w="1559" w:type="dxa"/>
          </w:tcPr>
          <w:p w14:paraId="56F6D0B4" w14:textId="77777777" w:rsidR="00193679" w:rsidRPr="00193679" w:rsidRDefault="00193679" w:rsidP="00193679">
            <w:pPr>
              <w:pStyle w:val="ListParagraph"/>
              <w:ind w:left="0"/>
              <w:rPr>
                <w:sz w:val="22"/>
                <w:szCs w:val="22"/>
              </w:rPr>
            </w:pPr>
            <w:r w:rsidRPr="00193679">
              <w:rPr>
                <w:rFonts w:ascii="Times New Roman" w:hAnsi="Times New Roman" w:cs="Times New Roman"/>
                <w:sz w:val="22"/>
                <w:szCs w:val="22"/>
              </w:rPr>
              <w:t>Pretty Good</w:t>
            </w:r>
          </w:p>
        </w:tc>
      </w:tr>
      <w:tr w:rsidR="00193679" w:rsidRPr="00B94274" w14:paraId="2C0F08E1" w14:textId="77777777" w:rsidTr="00193679">
        <w:tc>
          <w:tcPr>
            <w:tcW w:w="2410" w:type="dxa"/>
          </w:tcPr>
          <w:p w14:paraId="1374A65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Total Grade Point Average</w:t>
            </w:r>
          </w:p>
        </w:tc>
        <w:tc>
          <w:tcPr>
            <w:tcW w:w="1275" w:type="dxa"/>
          </w:tcPr>
          <w:p w14:paraId="7D1F5570"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3,61</w:t>
            </w:r>
          </w:p>
        </w:tc>
        <w:tc>
          <w:tcPr>
            <w:tcW w:w="2127" w:type="dxa"/>
          </w:tcPr>
          <w:p w14:paraId="361D9C1B" w14:textId="77777777" w:rsidR="00193679" w:rsidRPr="00193679" w:rsidRDefault="00193679">
            <w:pPr>
              <w:pStyle w:val="ListParagraph"/>
              <w:ind w:left="0"/>
              <w:jc w:val="center"/>
              <w:rPr>
                <w:sz w:val="22"/>
                <w:szCs w:val="22"/>
              </w:rPr>
            </w:pPr>
            <w:r w:rsidRPr="00193679">
              <w:rPr>
                <w:rFonts w:ascii="Times New Roman" w:hAnsi="Times New Roman" w:cs="Times New Roman"/>
                <w:b/>
                <w:bCs/>
                <w:sz w:val="22"/>
                <w:szCs w:val="22"/>
              </w:rPr>
              <w:t>72,13</w:t>
            </w:r>
          </w:p>
        </w:tc>
        <w:tc>
          <w:tcPr>
            <w:tcW w:w="1559" w:type="dxa"/>
          </w:tcPr>
          <w:p w14:paraId="28FA795F" w14:textId="77777777" w:rsidR="00193679" w:rsidRPr="00193679" w:rsidRDefault="00193679" w:rsidP="00193679">
            <w:pPr>
              <w:pStyle w:val="ListParagraph"/>
              <w:ind w:left="0"/>
              <w:rPr>
                <w:sz w:val="22"/>
                <w:szCs w:val="22"/>
              </w:rPr>
            </w:pPr>
            <w:r w:rsidRPr="00193679">
              <w:rPr>
                <w:rFonts w:ascii="Times New Roman" w:hAnsi="Times New Roman" w:cs="Times New Roman"/>
                <w:b/>
                <w:bCs/>
                <w:sz w:val="22"/>
                <w:szCs w:val="22"/>
              </w:rPr>
              <w:t>Not Good</w:t>
            </w:r>
          </w:p>
        </w:tc>
      </w:tr>
    </w:tbl>
    <w:p w14:paraId="57D471A2" w14:textId="77777777" w:rsidR="00193679" w:rsidRDefault="00193679" w:rsidP="00193679">
      <w:pPr>
        <w:pStyle w:val="ListParagraph"/>
        <w:jc w:val="both"/>
        <w:rPr>
          <w:rFonts w:ascii="Times New Roman" w:hAnsi="Times New Roman" w:cs="Times New Roman"/>
          <w:sz w:val="24"/>
          <w:szCs w:val="24"/>
          <w:lang w:val="id-ID"/>
        </w:rPr>
      </w:pPr>
    </w:p>
    <w:p w14:paraId="0C184226" w14:textId="77777777" w:rsidR="00193679" w:rsidRDefault="00193679" w:rsidP="00193679">
      <w:pPr>
        <w:pStyle w:val="ListParagraph"/>
        <w:jc w:val="both"/>
        <w:rPr>
          <w:rFonts w:ascii="Times New Roman" w:hAnsi="Times New Roman" w:cs="Times New Roman"/>
          <w:sz w:val="24"/>
          <w:szCs w:val="24"/>
          <w:lang w:val="id-ID"/>
        </w:rPr>
      </w:pPr>
      <w:r>
        <w:rPr>
          <w:rFonts w:ascii="Times New Roman" w:eastAsia="Times New Roman" w:hAnsi="Times New Roman" w:cs="Times New Roman"/>
          <w:noProof/>
          <w:sz w:val="24"/>
          <w:szCs w:val="24"/>
        </w:rPr>
        <w:lastRenderedPageBreak/>
        <w:drawing>
          <wp:inline distT="0" distB="0" distL="0" distR="0" wp14:anchorId="4861B4A8" wp14:editId="675C6BB1">
            <wp:extent cx="4675367" cy="3101009"/>
            <wp:effectExtent l="0" t="0" r="11430"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0CB51A" w14:textId="376EC43B" w:rsidR="00C857EE" w:rsidRPr="009F5295" w:rsidRDefault="00C857EE" w:rsidP="00863E30">
      <w:pPr>
        <w:pStyle w:val="ListParagraph"/>
        <w:jc w:val="both"/>
        <w:rPr>
          <w:rFonts w:ascii="Times New Roman" w:hAnsi="Times New Roman" w:cs="Times New Roman"/>
          <w:sz w:val="24"/>
          <w:szCs w:val="24"/>
          <w:lang w:val="en-GB"/>
        </w:rPr>
      </w:pPr>
      <w:r w:rsidRPr="00C857EE">
        <w:rPr>
          <w:rFonts w:ascii="Times New Roman" w:hAnsi="Times New Roman" w:cs="Times New Roman"/>
          <w:sz w:val="24"/>
          <w:szCs w:val="24"/>
          <w:lang w:val="id-ID"/>
        </w:rPr>
        <w:t>diagram 7</w:t>
      </w:r>
      <w:r>
        <w:rPr>
          <w:rFonts w:ascii="Times New Roman" w:hAnsi="Times New Roman" w:cs="Times New Roman"/>
          <w:sz w:val="24"/>
          <w:szCs w:val="24"/>
          <w:lang w:val="id-ID"/>
        </w:rPr>
        <w:t xml:space="preserve">- </w:t>
      </w:r>
      <w:r w:rsidR="009F5295">
        <w:rPr>
          <w:rFonts w:ascii="Times New Roman" w:hAnsi="Times New Roman" w:cs="Times New Roman"/>
          <w:sz w:val="24"/>
          <w:szCs w:val="24"/>
          <w:lang w:val="en-GB"/>
        </w:rPr>
        <w:t>Teacher Numeracy Culture</w:t>
      </w:r>
    </w:p>
    <w:p w14:paraId="19AE6DAB" w14:textId="33F4812F" w:rsidR="00193679" w:rsidRDefault="00193679" w:rsidP="00863E30">
      <w:pPr>
        <w:pStyle w:val="ListParagraph"/>
        <w:jc w:val="both"/>
        <w:rPr>
          <w:rFonts w:ascii="Times New Roman" w:hAnsi="Times New Roman" w:cs="Times New Roman"/>
          <w:sz w:val="24"/>
          <w:szCs w:val="24"/>
          <w:lang w:val="id-ID"/>
        </w:rPr>
      </w:pPr>
      <w:r w:rsidRPr="00193679">
        <w:rPr>
          <w:rFonts w:ascii="Times New Roman" w:hAnsi="Times New Roman" w:cs="Times New Roman"/>
          <w:sz w:val="24"/>
          <w:szCs w:val="24"/>
          <w:lang w:val="id-ID"/>
        </w:rPr>
        <w:t>Based on table 10 and diagram 7 above, it shows that the teacher's literacy culture in the component of understanding the mindset is achieved in the bad category with an average score of 2.70 at an achievement level of 53.93%, the indicator of implementing learning strategies in the poor category with an average score of 3.57 at an achievement level of 71.32%, the indicator evaluating learning strategies is in the poor category with an average score of 3.34 at an achievement level of 66.76%, and indicator Bof collaboration with peers is in the very good category with an average score of 4.61 at an achievement rate of 92.20%, and the   indicator of guiding peers is in the category of quite good with an average score of 3.83 at an achievement rate of 76.44%. In general, the achievement rate of teachers' numeracy skills in the literacy culture indicator with an average score of 3.61 and a percentage achievement rate of 72.13% is in the poor category.</w:t>
      </w:r>
      <w:r w:rsidR="00863E30">
        <w:rPr>
          <w:rFonts w:ascii="Times New Roman" w:hAnsi="Times New Roman" w:cs="Times New Roman"/>
          <w:sz w:val="24"/>
          <w:szCs w:val="24"/>
          <w:lang w:val="id-ID"/>
        </w:rPr>
        <w:t xml:space="preserve"> </w:t>
      </w:r>
      <w:r w:rsidRPr="00193679">
        <w:rPr>
          <w:rFonts w:ascii="Times New Roman" w:hAnsi="Times New Roman" w:cs="Times New Roman"/>
          <w:sz w:val="24"/>
          <w:szCs w:val="24"/>
          <w:lang w:val="id-ID"/>
        </w:rPr>
        <w:t>From the description above, the indicators  of collaborating with  colleagues have been achieved very well. As for other indicators, the level of achievement is below average. This shows that teachers lack numeracy cultural skills.</w:t>
      </w:r>
    </w:p>
    <w:p w14:paraId="53B205FF" w14:textId="77777777" w:rsidR="0023618A" w:rsidRDefault="0023618A" w:rsidP="0023618A">
      <w:pPr>
        <w:jc w:val="both"/>
        <w:rPr>
          <w:rFonts w:ascii="Times New Roman" w:hAnsi="Times New Roman" w:cs="Times New Roman"/>
          <w:b/>
          <w:bCs/>
          <w:sz w:val="24"/>
          <w:szCs w:val="24"/>
          <w:lang w:val="id-ID"/>
        </w:rPr>
      </w:pPr>
      <w:r w:rsidRPr="0023618A">
        <w:rPr>
          <w:rFonts w:ascii="Times New Roman" w:hAnsi="Times New Roman" w:cs="Times New Roman"/>
          <w:b/>
          <w:bCs/>
          <w:sz w:val="24"/>
          <w:szCs w:val="24"/>
          <w:lang w:val="id-ID"/>
        </w:rPr>
        <w:t>Discussion</w:t>
      </w:r>
    </w:p>
    <w:p w14:paraId="6F9CEF69" w14:textId="77777777"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The results of the study show that the level of literacy and numeracy  competence of elementary school  teachers is in the low category, where the level of teacher literacy competence in the category is quite good, with an achievement rate of 83.24%, and the level of teacher numeracy competence in the category is not good, the level of achievement is 75.16%. This shows that efforts to improve teachers' literacy and numeracy competencies  have not yielded optimal results and need to be improved.</w:t>
      </w:r>
    </w:p>
    <w:p w14:paraId="72997EEF" w14:textId="77777777" w:rsidR="0023618A" w:rsidRDefault="0023618A" w:rsidP="00BB6689">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lastRenderedPageBreak/>
        <w:t xml:space="preserve">The results of the study also show that the  teacher's literacy  competence has two indicators at the level of achievement of the category that is quite good, namely the learning environment with an average score of 4.11 at an achievement level of 82%, and the teacher literacy culture indicator with an average score of 3.95 at an achievement level of 78.93%. The learning and assessment indicators are in the good category with an average score of 4.44 with an achievement rate of 88.79%. Teacher numeracy competence From each of these indicators, there are two indicators at the achievement level of the poor category, namely the learning environment with an average score of 3.76 at an achievement level of 75.12%, and the teacher numeracy culture indicator with an average score of 3.95 at an achievement level of 78.22%. The learning and assessment indicators are in the category of quite good with an average score of 3.61 with an achievement rate of 72.13%. Teachers as the main component in providing quality learning services are required to have literacy and numeracy competencies. Teacher literacy and numeracy competence is a basic ability to respond to a problem in the development and implementation of learning. In the framework of teacher literacy and numeracy competencies </w:t>
      </w:r>
      <w:r w:rsidR="00BB6689">
        <w:rPr>
          <w:rFonts w:ascii="Times New Roman" w:eastAsia="Times New Roman" w:hAnsi="Times New Roman" w:cs="Times New Roman"/>
          <w:sz w:val="24"/>
          <w:szCs w:val="24"/>
          <w:lang w:val="id-ID"/>
        </w:rPr>
        <w:fldChar w:fldCharType="begin" w:fldLock="1"/>
      </w:r>
      <w:r w:rsidR="00BB6689">
        <w:rPr>
          <w:rFonts w:ascii="Times New Roman" w:eastAsia="Times New Roman" w:hAnsi="Times New Roman" w:cs="Times New Roman"/>
          <w:sz w:val="24"/>
          <w:szCs w:val="24"/>
          <w:lang w:val="id-ID"/>
        </w:rPr>
        <w:instrText>ADDIN CSL_CITATION {"citationItems":[{"id":"ITEM-1","itemData":{"author":[{"dropping-particle":"","family":"Kemendikbudristek","given":"","non-dropping-particle":"","parse-names":false,"suffix":""}],"container-title":"Direktorat Jendral Guru dan Tenaga Kependidikan","id":"ITEM-1","issued":{"date-parts":[["2022"]]},"title":"Kerangka Kompetensi Literasi dan Numerasi Guru SD Dikdas","type":"article-journal"},"uris":["http://www.mendeley.com/documents/?uuid=59ec1df3-d3ad-4618-b872-5d113d42a6a6"]}],"mendeley":{"formattedCitation":"(Kemendikbudristek, 2022)","plainTextFormattedCitation":"(Kemendikbudristek, 2022)","previouslyFormattedCitation":"(Kemendikbudristek, 2022)"},"properties":{"noteIndex":0},"schema":"https://github.com/citation-style-language/schema/raw/master/csl-citation.json"}</w:instrText>
      </w:r>
      <w:r w:rsidR="00BB6689">
        <w:rPr>
          <w:rFonts w:ascii="Times New Roman" w:eastAsia="Times New Roman" w:hAnsi="Times New Roman" w:cs="Times New Roman"/>
          <w:sz w:val="24"/>
          <w:szCs w:val="24"/>
          <w:lang w:val="id-ID"/>
        </w:rPr>
        <w:fldChar w:fldCharType="separate"/>
      </w:r>
      <w:r w:rsidR="00BB6689" w:rsidRPr="0076638B">
        <w:rPr>
          <w:rFonts w:ascii="Times New Roman" w:eastAsia="Times New Roman" w:hAnsi="Times New Roman" w:cs="Times New Roman"/>
          <w:noProof/>
          <w:sz w:val="24"/>
          <w:szCs w:val="24"/>
          <w:lang w:val="id-ID"/>
        </w:rPr>
        <w:t>(Kemendikbudristek, 2022)</w:t>
      </w:r>
      <w:r w:rsidR="00BB6689">
        <w:rPr>
          <w:rFonts w:ascii="Times New Roman" w:eastAsia="Times New Roman" w:hAnsi="Times New Roman" w:cs="Times New Roman"/>
          <w:sz w:val="24"/>
          <w:szCs w:val="24"/>
          <w:lang w:val="id-ID"/>
        </w:rPr>
        <w:fldChar w:fldCharType="end"/>
      </w:r>
      <w:r w:rsidRPr="0023618A">
        <w:rPr>
          <w:rFonts w:ascii="Times New Roman" w:hAnsi="Times New Roman" w:cs="Times New Roman"/>
          <w:sz w:val="24"/>
          <w:szCs w:val="24"/>
          <w:lang w:val="id-ID"/>
        </w:rPr>
        <w:t>, it is stated that teachers' literacy and numeracy skills include the ability to manage the learning environment, teacher literacy culture, and the ability to implement learning and assessment.</w:t>
      </w:r>
    </w:p>
    <w:p w14:paraId="05A79755" w14:textId="77777777"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Teacher literacy culture in the aspect of teacher literacy ability is a teacher's ability to cultivate the habit of accessing, processing, interpreting, and criticizing information from various sources, as well as presenting ideas effectively through multimodal texts. Meanwhile, in the aspect of numeracy, the teacher's numeracy culture is an ability for teachers to build a numeracy mindset and a culture of critical orientation in numeracy, both for educators and students. Teachers need to cultivate a numeracy culture to be able to understand, apply, evaluate and collaborate as well as guide peers in developing numeracy learning strategies that support the numeracy mindset and critical orientation culture of students. A number of institutions/agencies, especially educational institutions, have provided teacher literacy and numeracy training programs both offline and online, as an effort to maintain the curriculum in line with the needs of educational progress, (Zulkifli et al., 2023), but in general, these training programs are still carried out conventionally using lecture and discussion methods (Marlena et al., 2022)) has not been supported by relevant media, especially information technology media. For this reason, supervisors need attention in improving teacher competence, (Apriliya &amp; M, 2024) by providing fun and useful rocks for teachers (Yusuf, 2023). Providing assistance to improve teachers' literacy and numeracy competence can be done through quality and continuous training activities with relevant multimedia support. Comprehensive teacher training can improve quality, (Apelehin et al., 2025). The relevance of training to needs can support meaningful learning experiences, (Yulastri et al., 2023). This should be the main concern for supervisors in fostering literacy and numeracy competencies for teachers.</w:t>
      </w:r>
    </w:p>
    <w:p w14:paraId="096538C7" w14:textId="77777777" w:rsidR="0023618A" w:rsidRDefault="0023618A" w:rsidP="0023618A">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 xml:space="preserve">Supervisors can provide training to improve teachers' literacy and numeracy skills through academic supervision activities. The learning environment in the context of teachers' literacy </w:t>
      </w:r>
      <w:r w:rsidRPr="0023618A">
        <w:rPr>
          <w:rFonts w:ascii="Times New Roman" w:hAnsi="Times New Roman" w:cs="Times New Roman"/>
          <w:sz w:val="24"/>
          <w:szCs w:val="24"/>
          <w:lang w:val="id-ID"/>
        </w:rPr>
        <w:lastRenderedPageBreak/>
        <w:t xml:space="preserve">skills is a skill of teachers managing a multimodal text-rich environment to foster students' interest and literacy skills. Teachers need to foster a fun and text-rich learning environment, give appreciation to students' activities and interests in reading and writing activities, integrate literacy activities with literacy activities (listening, speaking, and storytelling), and strengthening multimodal text-based learning in accordance with the characteristics and needs of students, (Ministry of Education and Culture, 2022).. In the context of numeracy, the learning environment is an ability in the aspects of numeracy knowledge and experience that students have, and the learning environment in physical aspects such as social, emotional, and intellectual that supports learning and numeracy mindset. Supervisors play a role in improving teacher competence so that meaningful learning is created, (Dwikurnaningsih, 2020; Marheni, 2022; Musyadad et al., 2022; Sudargini, 2021). Academic supervision is a continuous process to improve the quality of education, (Susilo et al., 2024). Improving the quality of learning through the development of teacher professionalism is a process of academic supervision, (Husni et al., 2024; Suryani et al., 2025). Thus, it can be understood that throughacademic supervision, the development of teachers' literacy and numeracy  competencies can be carried out with the empowerment of interactive multimedia by supervisors. </w:t>
      </w:r>
    </w:p>
    <w:p w14:paraId="0B3FD3CF" w14:textId="77777777" w:rsidR="0023618A" w:rsidRDefault="0023618A" w:rsidP="00220A88">
      <w:pPr>
        <w:ind w:firstLine="567"/>
        <w:jc w:val="both"/>
        <w:rPr>
          <w:rFonts w:ascii="Times New Roman" w:hAnsi="Times New Roman" w:cs="Times New Roman"/>
          <w:sz w:val="24"/>
          <w:szCs w:val="24"/>
          <w:lang w:val="id-ID"/>
        </w:rPr>
      </w:pPr>
      <w:r w:rsidRPr="0023618A">
        <w:rPr>
          <w:rFonts w:ascii="Times New Roman" w:hAnsi="Times New Roman" w:cs="Times New Roman"/>
          <w:sz w:val="24"/>
          <w:szCs w:val="24"/>
          <w:lang w:val="id-ID"/>
        </w:rPr>
        <w:t>Interactive multimedia is the transmission of data and manipulation of all forms of information, processed in the form of digital data that allows users to interact directly. (Zulqadri et al., 2023). Collaborative learning through digital platforms allows for the creation of shared content and interactive discussions so as to improve literacy skills, (Khumalo MA., 2025; Anastasopoulou et al., 2025). Proper academic supervision affects teachers' teaching ability to improve student achievement, (Alam et al., 2021). Supervisors can interact directly with teachers using interactive multimedia. The role of academic supervision in building interaction with teachers is a key component in improving teacher competence effectiv</w:t>
      </w:r>
      <w:r w:rsidR="00220A88">
        <w:rPr>
          <w:rFonts w:ascii="Times New Roman" w:hAnsi="Times New Roman" w:cs="Times New Roman"/>
          <w:sz w:val="24"/>
          <w:szCs w:val="24"/>
          <w:lang w:val="id-ID"/>
        </w:rPr>
        <w:t>ely. (Jaenam &amp; Zulkifli, 2022).</w:t>
      </w:r>
      <w:r w:rsidRPr="0023618A">
        <w:rPr>
          <w:rFonts w:ascii="Times New Roman" w:hAnsi="Times New Roman" w:cs="Times New Roman"/>
          <w:sz w:val="24"/>
          <w:szCs w:val="24"/>
          <w:lang w:val="id-ID"/>
        </w:rPr>
        <w:t xml:space="preserve"> Teachers' literacy skills in learning and assessment are teachers' skills in designing learning and assessment that focus on improving students' literacy skills. Meanwhile, learning and assessment skills in aspen numeracy are an opportunity and demand to learn numeracy across subjects, and assessments that provide opportunities to demonstrate numeracy knowledge through various strategies </w:t>
      </w:r>
      <w:r w:rsidR="00220A88">
        <w:rPr>
          <w:rFonts w:ascii="Times New Roman" w:eastAsia="Times New Roman" w:hAnsi="Times New Roman" w:cs="Times New Roman"/>
          <w:sz w:val="24"/>
          <w:szCs w:val="24"/>
          <w:lang w:val="id-ID"/>
        </w:rPr>
        <w:fldChar w:fldCharType="begin" w:fldLock="1"/>
      </w:r>
      <w:r w:rsidR="00220A88">
        <w:rPr>
          <w:rFonts w:ascii="Times New Roman" w:eastAsia="Times New Roman" w:hAnsi="Times New Roman" w:cs="Times New Roman"/>
          <w:sz w:val="24"/>
          <w:szCs w:val="24"/>
          <w:lang w:val="id-ID"/>
        </w:rPr>
        <w:instrText>ADDIN CSL_CITATION {"citationItems":[{"id":"ITEM-1","itemData":{"author":[{"dropping-particle":"","family":"Kemendikbudristek","given":"","non-dropping-particle":"","parse-names":false,"suffix":""}],"container-title":"Direktorat Jendral Guru dan Tenaga Kependidikan","id":"ITEM-1","issued":{"date-parts":[["2022"]]},"title":"Kerangka Kompetensi Literasi dan Numerasi Guru SD Dikdas","type":"article-journal"},"uris":["http://www.mendeley.com/documents/?uuid=59ec1df3-d3ad-4618-b872-5d113d42a6a6"]}],"mendeley":{"formattedCitation":"(Kemendikbudristek, 2022)","plainTextFormattedCitation":"(Kemendikbudristek, 2022)","previouslyFormattedCitation":"(Kemendikbudristek, 2022)"},"properties":{"noteIndex":0},"schema":"https://github.com/citation-style-language/schema/raw/master/csl-citation.json"}</w:instrText>
      </w:r>
      <w:r w:rsidR="00220A88">
        <w:rPr>
          <w:rFonts w:ascii="Times New Roman" w:eastAsia="Times New Roman" w:hAnsi="Times New Roman" w:cs="Times New Roman"/>
          <w:sz w:val="24"/>
          <w:szCs w:val="24"/>
          <w:lang w:val="id-ID"/>
        </w:rPr>
        <w:fldChar w:fldCharType="separate"/>
      </w:r>
      <w:r w:rsidR="00220A88" w:rsidRPr="0076638B">
        <w:rPr>
          <w:rFonts w:ascii="Times New Roman" w:eastAsia="Times New Roman" w:hAnsi="Times New Roman" w:cs="Times New Roman"/>
          <w:noProof/>
          <w:sz w:val="24"/>
          <w:szCs w:val="24"/>
          <w:lang w:val="id-ID"/>
        </w:rPr>
        <w:t>(Kemendikbudristek, 2022)</w:t>
      </w:r>
      <w:r w:rsidR="00220A88">
        <w:rPr>
          <w:rFonts w:ascii="Times New Roman" w:eastAsia="Times New Roman" w:hAnsi="Times New Roman" w:cs="Times New Roman"/>
          <w:sz w:val="24"/>
          <w:szCs w:val="24"/>
          <w:lang w:val="id-ID"/>
        </w:rPr>
        <w:fldChar w:fldCharType="end"/>
      </w:r>
      <w:r w:rsidR="00220A88">
        <w:rPr>
          <w:rFonts w:ascii="Times New Roman" w:eastAsia="Times New Roman" w:hAnsi="Times New Roman" w:cs="Times New Roman"/>
          <w:sz w:val="24"/>
          <w:szCs w:val="24"/>
          <w:lang w:val="id-ID"/>
        </w:rPr>
        <w:t>.</w:t>
      </w:r>
      <w:r w:rsidRPr="0023618A">
        <w:rPr>
          <w:rFonts w:ascii="Times New Roman" w:hAnsi="Times New Roman" w:cs="Times New Roman"/>
          <w:sz w:val="24"/>
          <w:szCs w:val="24"/>
          <w:lang w:val="id-ID"/>
        </w:rPr>
        <w:t xml:space="preserve"> The foundation for the development of teacher literacy and numeracy competencies is a description of teacher competency criteria which is affirmed into a competency model category with dimensions of professional knowledge, professional learning practices and professional development. It is further stated that teachers' literacy and numeracy competencies are the ability of teachers to assist students in accessing, using, interpreting and communicating knowledge through various texts as needed</w:t>
      </w:r>
      <w:r w:rsidR="00220A88">
        <w:rPr>
          <w:rFonts w:ascii="Times New Roman" w:hAnsi="Times New Roman" w:cs="Times New Roman"/>
          <w:sz w:val="24"/>
          <w:szCs w:val="24"/>
          <w:lang w:val="id-ID"/>
        </w:rPr>
        <w:t>.</w:t>
      </w:r>
    </w:p>
    <w:p w14:paraId="2AAD5171" w14:textId="77777777" w:rsidR="00220A88" w:rsidRPr="00220A88" w:rsidRDefault="00220A88" w:rsidP="00220A88">
      <w:pPr>
        <w:jc w:val="both"/>
        <w:rPr>
          <w:rFonts w:ascii="Times New Roman" w:hAnsi="Times New Roman" w:cs="Times New Roman"/>
          <w:b/>
          <w:bCs/>
          <w:sz w:val="24"/>
          <w:szCs w:val="24"/>
          <w:lang w:val="id-ID"/>
        </w:rPr>
      </w:pPr>
      <w:r w:rsidRPr="00220A88">
        <w:rPr>
          <w:rFonts w:ascii="Times New Roman" w:hAnsi="Times New Roman" w:cs="Times New Roman"/>
          <w:b/>
          <w:bCs/>
          <w:sz w:val="24"/>
          <w:szCs w:val="24"/>
          <w:lang w:val="id-ID"/>
        </w:rPr>
        <w:t>CONCLUSION</w:t>
      </w:r>
    </w:p>
    <w:p w14:paraId="561A1A17" w14:textId="77777777" w:rsidR="00220A88" w:rsidRDefault="00220A88" w:rsidP="00220A88">
      <w:pPr>
        <w:ind w:firstLine="567"/>
        <w:jc w:val="both"/>
        <w:rPr>
          <w:rFonts w:ascii="Times New Roman" w:hAnsi="Times New Roman" w:cs="Times New Roman"/>
          <w:sz w:val="24"/>
          <w:szCs w:val="24"/>
          <w:lang w:val="id-ID"/>
        </w:rPr>
      </w:pPr>
      <w:r w:rsidRPr="00220A88">
        <w:rPr>
          <w:rFonts w:ascii="Times New Roman" w:hAnsi="Times New Roman" w:cs="Times New Roman"/>
          <w:sz w:val="24"/>
          <w:szCs w:val="24"/>
          <w:lang w:val="id-ID"/>
        </w:rPr>
        <w:t xml:space="preserve">The mapping results showed that  teachers  ' literacy competencies were in the category of quite good with an achievement rate of 83.24%. Meanwhile, the teacher's numeracy competence is not good with an achievement rate of 75.16%. Strengthening teachers' literacy and numeracy competencies can be done through academic supervision, especially in the form of training </w:t>
      </w:r>
      <w:r w:rsidRPr="00220A88">
        <w:rPr>
          <w:rFonts w:ascii="Times New Roman" w:hAnsi="Times New Roman" w:cs="Times New Roman"/>
          <w:sz w:val="24"/>
          <w:szCs w:val="24"/>
          <w:lang w:val="id-ID"/>
        </w:rPr>
        <w:lastRenderedPageBreak/>
        <w:t>activities with interactive multimedia empowerment. The development of interactive multimedia that will be used in academic supervision activities to improve  teachers' literacy and numeracy competencies by supervisors is urgently needed.</w:t>
      </w:r>
    </w:p>
    <w:p w14:paraId="7151F0C6" w14:textId="77777777" w:rsidR="00E74898" w:rsidRDefault="00E74898" w:rsidP="00972F4E">
      <w:pPr>
        <w:spacing w:after="0" w:line="240" w:lineRule="auto"/>
        <w:jc w:val="both"/>
        <w:rPr>
          <w:rFonts w:ascii="Times New Roman" w:eastAsia="Times New Roman" w:hAnsi="Times New Roman" w:cs="Times New Roman"/>
          <w:b/>
          <w:bCs/>
          <w:sz w:val="24"/>
          <w:szCs w:val="24"/>
          <w:lang w:val="id-ID"/>
        </w:rPr>
      </w:pPr>
    </w:p>
    <w:p w14:paraId="4267CD7B" w14:textId="5F378E10" w:rsidR="00972F4E" w:rsidRPr="00972F4E" w:rsidRDefault="00972F4E" w:rsidP="00972F4E">
      <w:pPr>
        <w:spacing w:after="0" w:line="24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REFERENCES</w:t>
      </w:r>
    </w:p>
    <w:p w14:paraId="2342BB75"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eastAsia="Times New Roman" w:hAnsi="Times New Roman" w:cs="Times New Roman"/>
          <w:b/>
          <w:bCs/>
          <w:sz w:val="24"/>
          <w:szCs w:val="24"/>
        </w:rPr>
        <w:fldChar w:fldCharType="begin" w:fldLock="1"/>
      </w:r>
      <w:r>
        <w:rPr>
          <w:rFonts w:ascii="Times New Roman" w:eastAsia="Times New Roman" w:hAnsi="Times New Roman" w:cs="Times New Roman"/>
          <w:b/>
          <w:bCs/>
          <w:sz w:val="24"/>
          <w:szCs w:val="24"/>
        </w:rPr>
        <w:instrText xml:space="preserve">ADDIN Mendeley Bibliography CSL_BIBLIOGRAPHY </w:instrText>
      </w:r>
      <w:r>
        <w:rPr>
          <w:rFonts w:ascii="Times New Roman" w:eastAsia="Times New Roman" w:hAnsi="Times New Roman" w:cs="Times New Roman"/>
          <w:b/>
          <w:bCs/>
          <w:sz w:val="24"/>
          <w:szCs w:val="24"/>
        </w:rPr>
        <w:fldChar w:fldCharType="separate"/>
      </w:r>
      <w:r w:rsidRPr="007204F6">
        <w:rPr>
          <w:rFonts w:ascii="Times New Roman" w:hAnsi="Times New Roman" w:cs="Times New Roman"/>
          <w:noProof/>
          <w:sz w:val="24"/>
        </w:rPr>
        <w:t xml:space="preserve">Alam, M. J., Haque, A. K. M. M., &amp; Banu, A. (2021). Academic Supervision for Improving Quality Education in Primary Schools of Bangladesh: Concept, Issues and Implications.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14</w:t>
      </w:r>
      <w:r w:rsidRPr="007204F6">
        <w:rPr>
          <w:rFonts w:ascii="Times New Roman" w:hAnsi="Times New Roman" w:cs="Times New Roman"/>
          <w:noProof/>
          <w:sz w:val="24"/>
        </w:rPr>
        <w:t>(4), 1–12. https://doi.org/10.9734/ajess/2021/v14i330359</w:t>
      </w:r>
    </w:p>
    <w:p w14:paraId="521E2DD3"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Anastasopoulou, E., Konstantina, G., Ioanna, S., Travlou, C., Evangelia, M., Lyrintzi, T., &amp; Lyrintzi, M. (2025). Use of New Technologies in Primary Education.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51</w:t>
      </w:r>
      <w:r w:rsidRPr="007204F6">
        <w:rPr>
          <w:rFonts w:ascii="Times New Roman" w:hAnsi="Times New Roman" w:cs="Times New Roman"/>
          <w:noProof/>
          <w:sz w:val="24"/>
        </w:rPr>
        <w:t>(3), 386–396. https://doi.org/10.9734/ajess/2025/v51i31834</w:t>
      </w:r>
    </w:p>
    <w:p w14:paraId="43DC659E" w14:textId="77777777" w:rsidR="002E5C1F" w:rsidRDefault="002E5C1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Andriana, E., Yuliana, R., &amp; Yandari, I. A. V. (2023). Strengthening Literacy and Numeracy Competencies of Elementary School Teachers in Pandeglang Regency and Serang City, Banten. DEDICATION: Community Service Reports, 6(1), 27–36.</w:t>
      </w:r>
    </w:p>
    <w:p w14:paraId="6AD0EBF0" w14:textId="623C7188"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https://doi.org/10.20961/dedikasi.v6i1.78975</w:t>
      </w:r>
    </w:p>
    <w:p w14:paraId="6BF852CA"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Apelehin, A. A., Ajuluchukwu, P., Okonkwo, C. A., Enahore, I. C., &amp; Iguma, D. R. (2025). Enhancing Teacher Training for Social Improvement in Education: Innovative Approaches and Best Practices. </w:t>
      </w:r>
      <w:r w:rsidRPr="007204F6">
        <w:rPr>
          <w:rFonts w:ascii="Times New Roman" w:hAnsi="Times New Roman" w:cs="Times New Roman"/>
          <w:i/>
          <w:iCs/>
          <w:noProof/>
          <w:sz w:val="24"/>
        </w:rPr>
        <w:t>Asian Journal of Education and Social Studies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51</w:t>
      </w:r>
      <w:r w:rsidRPr="007204F6">
        <w:rPr>
          <w:rFonts w:ascii="Times New Roman" w:hAnsi="Times New Roman" w:cs="Times New Roman"/>
          <w:noProof/>
          <w:sz w:val="24"/>
        </w:rPr>
        <w:t>(2), 244–255. https://doi.org/10.9734/ajess/2025/v51i21782</w:t>
      </w:r>
    </w:p>
    <w:p w14:paraId="7ED6D325" w14:textId="77777777" w:rsidR="002E5C1F" w:rsidRDefault="002E5C1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Apriliya, N., &amp; M, S. K. (2024). THE ROLE OF PRINCIPAL GUIDANCE IN IMPROVING LEARNING QUALITY THROUGH LEARNING COMMUNITY AT SDN KALONGAN 01. 09.</w:t>
      </w:r>
    </w:p>
    <w:p w14:paraId="65A780F5" w14:textId="77777777" w:rsidR="002E5C1F" w:rsidRDefault="002E5C1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2E5C1F">
        <w:rPr>
          <w:rFonts w:ascii="Times New Roman" w:hAnsi="Times New Roman" w:cs="Times New Roman"/>
          <w:noProof/>
          <w:sz w:val="24"/>
        </w:rPr>
        <w:t>Ardellea, F., &amp; Hamdu, G. (2022). The Importance of Elementary School Teachers' Ability in Developing Literacy and Numeracy Test Questions Based on Education for Sustainable Development (ESD). Edu Cendikia: Scientific Journal of Education, 2(02), 220–227. https://doi.org/10.47709/educendikia.v2i02.1587</w:t>
      </w:r>
    </w:p>
    <w:p w14:paraId="48396843" w14:textId="77777777" w:rsidR="004C05FF" w:rsidRPr="004C05FF" w:rsidRDefault="004C05FF" w:rsidP="004C05FF">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Arikunto, S. (2006). Classroom action research procedures. Bumi Aksara, 136(2), 2–3.</w:t>
      </w:r>
    </w:p>
    <w:p w14:paraId="2FE68225" w14:textId="77777777" w:rsidR="004C05FF" w:rsidRDefault="004C05FF" w:rsidP="004C05FF">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Dewayani, S., Retnaningdyah, P., Susanti, D., &amp; Antoro, B. (2021). Literacy &amp; Numeracy Strengthening Guidelines in Schools. https://repositori.kemdikbud.go.id/22599/1/Panduan_Penguatan_Literasi_dan_Numerasi_di_Sekolah_bf1426239f.pdf</w:t>
      </w:r>
    </w:p>
    <w:p w14:paraId="4AB94DFA" w14:textId="77777777" w:rsidR="004C05FF" w:rsidRDefault="004C05F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Dwikurnaningsih, Y. (2020). Implementation of academic supervision in early childhood education institutions. JMSP (Journal of Educational Management and Supervision), 4(3), 182–190.</w:t>
      </w:r>
    </w:p>
    <w:p w14:paraId="02FAD738" w14:textId="77777777" w:rsidR="004C05FF" w:rsidRDefault="004C05FF"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4C05FF">
        <w:rPr>
          <w:rFonts w:ascii="Times New Roman" w:hAnsi="Times New Roman" w:cs="Times New Roman"/>
          <w:noProof/>
          <w:sz w:val="24"/>
        </w:rPr>
        <w:t>Husni, H. H., Aan, A. K., &amp; Dedy, D. A. K. (2024). Optimizing Academic Supervision to Improve the Quality of Educational Services. JPI (Jurnal Pendidikan Indonesia), 13(1), 173–179. https://doi.org/10.23887/jpiundiksha.v13i1.64443</w:t>
      </w:r>
    </w:p>
    <w:p w14:paraId="3E82B65C" w14:textId="1E38C56E"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Jaenam, J., &amp; Zulkifli, Z. (2022). Supervision of Learning in Online Learning Perspective in the Pandemic Era of Covid 19. </w:t>
      </w:r>
      <w:r w:rsidRPr="007204F6">
        <w:rPr>
          <w:rFonts w:ascii="Times New Roman" w:hAnsi="Times New Roman" w:cs="Times New Roman"/>
          <w:i/>
          <w:iCs/>
          <w:noProof/>
          <w:sz w:val="24"/>
        </w:rPr>
        <w:t>Proceedings of the Annual Civic Education Conference (ACEC 2021)</w:t>
      </w:r>
      <w:r w:rsidRPr="007204F6">
        <w:rPr>
          <w:rFonts w:ascii="Times New Roman" w:hAnsi="Times New Roman" w:cs="Times New Roman"/>
          <w:noProof/>
          <w:sz w:val="24"/>
        </w:rPr>
        <w:t>, 191–195. https://doi.org/10.2991/assehr.k.220108.034</w:t>
      </w:r>
    </w:p>
    <w:p w14:paraId="6C64D471" w14:textId="77777777" w:rsidR="00C826A3" w:rsidRPr="00C826A3" w:rsidRDefault="00C826A3" w:rsidP="00C826A3">
      <w:pPr>
        <w:widowControl w:val="0"/>
        <w:autoSpaceDE w:val="0"/>
        <w:autoSpaceDN w:val="0"/>
        <w:adjustRightInd w:val="0"/>
        <w:spacing w:after="0" w:line="240" w:lineRule="auto"/>
        <w:ind w:left="480" w:hanging="480"/>
        <w:rPr>
          <w:rFonts w:ascii="Times New Roman" w:hAnsi="Times New Roman" w:cs="Times New Roman"/>
          <w:noProof/>
          <w:sz w:val="24"/>
        </w:rPr>
      </w:pPr>
      <w:r w:rsidRPr="00C826A3">
        <w:rPr>
          <w:rFonts w:ascii="Times New Roman" w:hAnsi="Times New Roman" w:cs="Times New Roman"/>
          <w:noProof/>
          <w:sz w:val="24"/>
        </w:rPr>
        <w:t>Janawati, D. P. A. (2024). Analysis of the Implementation of Reading Corners in Supporting the School Literacy Movement at SDN 3 Kawan. Journal of Narrative Science, 05(4), 351–363.</w:t>
      </w:r>
    </w:p>
    <w:p w14:paraId="7783411B" w14:textId="77777777" w:rsidR="00C826A3" w:rsidRDefault="00C826A3" w:rsidP="00C826A3">
      <w:pPr>
        <w:widowControl w:val="0"/>
        <w:autoSpaceDE w:val="0"/>
        <w:autoSpaceDN w:val="0"/>
        <w:adjustRightInd w:val="0"/>
        <w:spacing w:after="0" w:line="240" w:lineRule="auto"/>
        <w:ind w:left="480" w:hanging="480"/>
        <w:rPr>
          <w:rFonts w:ascii="Times New Roman" w:hAnsi="Times New Roman" w:cs="Times New Roman"/>
          <w:noProof/>
          <w:sz w:val="24"/>
        </w:rPr>
      </w:pPr>
      <w:r w:rsidRPr="00C826A3">
        <w:rPr>
          <w:rFonts w:ascii="Times New Roman" w:hAnsi="Times New Roman" w:cs="Times New Roman"/>
          <w:noProof/>
          <w:sz w:val="24"/>
        </w:rPr>
        <w:t xml:space="preserve">Ministry of Education, Culture, Research and Technology. (2022). Literacy and Numeracy </w:t>
      </w:r>
      <w:r w:rsidRPr="00C826A3">
        <w:rPr>
          <w:rFonts w:ascii="Times New Roman" w:hAnsi="Times New Roman" w:cs="Times New Roman"/>
          <w:noProof/>
          <w:sz w:val="24"/>
        </w:rPr>
        <w:lastRenderedPageBreak/>
        <w:t>Competency Framework for Elementary School Teachers. Directorate General of Teachers and Education Personnel.</w:t>
      </w:r>
    </w:p>
    <w:p w14:paraId="0977A7D6" w14:textId="1947EE07" w:rsidR="00972F4E" w:rsidRPr="00316374" w:rsidRDefault="00972F4E" w:rsidP="00C826A3">
      <w:pPr>
        <w:widowControl w:val="0"/>
        <w:autoSpaceDE w:val="0"/>
        <w:autoSpaceDN w:val="0"/>
        <w:adjustRightInd w:val="0"/>
        <w:spacing w:after="0" w:line="240" w:lineRule="auto"/>
        <w:ind w:left="480" w:hanging="480"/>
        <w:rPr>
          <w:rFonts w:ascii="Times New Roman" w:hAnsi="Times New Roman" w:cs="Times New Roman"/>
          <w:noProof/>
          <w:sz w:val="24"/>
          <w:lang w:val="id-ID"/>
        </w:rPr>
      </w:pPr>
      <w:r>
        <w:rPr>
          <w:rFonts w:ascii="Times New Roman" w:hAnsi="Times New Roman" w:cs="Times New Roman"/>
          <w:noProof/>
          <w:sz w:val="24"/>
          <w:lang w:val="id-ID"/>
        </w:rPr>
        <w:t xml:space="preserve">Khumalo MA. (2025). </w:t>
      </w:r>
      <w:r w:rsidRPr="00316374">
        <w:rPr>
          <w:rFonts w:ascii="Times New Roman" w:hAnsi="Times New Roman" w:cs="Times New Roman"/>
          <w:noProof/>
          <w:sz w:val="24"/>
          <w:lang w:val="id-ID"/>
        </w:rPr>
        <w:t>Enhancing Digital Literacy for Learners in Inclusive Primary and Secondary Education in Lesotho</w:t>
      </w:r>
      <w:r>
        <w:rPr>
          <w:rFonts w:ascii="Times New Roman" w:hAnsi="Times New Roman" w:cs="Times New Roman"/>
          <w:noProof/>
          <w:sz w:val="24"/>
          <w:lang w:val="id-ID"/>
        </w:rPr>
        <w:t xml:space="preserve">. </w:t>
      </w:r>
      <w:r w:rsidRPr="00316374">
        <w:rPr>
          <w:rFonts w:ascii="Times New Roman" w:hAnsi="Times New Roman" w:cs="Times New Roman"/>
          <w:sz w:val="24"/>
          <w:szCs w:val="24"/>
        </w:rPr>
        <w:t>European Journal of Education and Pedagogy (EJ-EDU)</w:t>
      </w:r>
      <w:r>
        <w:rPr>
          <w:rFonts w:ascii="Times New Roman" w:hAnsi="Times New Roman" w:cs="Times New Roman"/>
          <w:sz w:val="24"/>
          <w:szCs w:val="24"/>
          <w:lang w:val="id-ID"/>
        </w:rPr>
        <w:t xml:space="preserve">, 6(2), 12-21. </w:t>
      </w:r>
      <w:hyperlink r:id="rId14" w:history="1">
        <w:r w:rsidRPr="00316374">
          <w:rPr>
            <w:rStyle w:val="Hyperlink"/>
          </w:rPr>
          <w:t xml:space="preserve">10.24018/ejedu.2025.6.2.928 </w:t>
        </w:r>
      </w:hyperlink>
    </w:p>
    <w:p w14:paraId="3A998D1A"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Maghfiroh, F. L., Amin, S. M., Ibrahim, M., &amp; Hartatik, S. (2021). The Effectiveness of the Indonesian Realistic Mathematics Education Approach on Students' Numeracy Literacy Skills in Elementary Schools. Basicedu Journal, 5(5), 3342–3351. https://doi.org/10.31004/basicedu.v5i5.1341</w:t>
      </w:r>
    </w:p>
    <w:p w14:paraId="4C76132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Marheni, M. S. (2022). Improving Teachers' Ability to Prepare Lesson Plans through Continuous Academic Supervision. Journal of Education Action Research, 6(1), 1–7. https://doi.org/10.23887/jear.v6i1.44468</w:t>
      </w:r>
    </w:p>
    <w:p w14:paraId="492C6D1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Marlena, L., Wahidin, W., &amp; Al Azizah, U. S. (2022). Teacher Literacy and Numeracy Competency Training as Strengthening in Facing the Independent Curriculum. Friday Education: Community Service Journal, 3(3), 151–155.</w:t>
      </w:r>
    </w:p>
    <w:p w14:paraId="49D040BD"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Mea, F., Tinggi, S., Kristen, A., Bangsa, A., Guru, K., Guru, I., &amp; Dinamis, K. (2024). TEACHER CREATIVITY AND INNOVATION IN CREATING. 4(3), 252–275.</w:t>
      </w:r>
    </w:p>
    <w:p w14:paraId="5F389971"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Munahefi, D. N., Lestari, F. D., Mashuri, M., &amp; Kharisudin, I. (2023). Development of numeracy literacy skills through integrated thematic learning based on projects. PRISMA, Proceedings of the National Mathematics Seminar, 6, 663–669</w:t>
      </w:r>
    </w:p>
    <w:p w14:paraId="15E573AE" w14:textId="59564F99"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w:t>
      </w:r>
    </w:p>
    <w:p w14:paraId="7CB3326D" w14:textId="77777777" w:rsidR="009A1802" w:rsidRDefault="009A1802"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Murtafiah, W., Pratiwi, C. P., Listiani, I. Y., Krisdiana, I., Setyansah, R. K., &amp; Masfingatin, T. (2024). Teacher Assistance in Developing Literacy and Numeracy Skills of Students at SDN Kebon 1. Jurnal Abdimas Indonesia, 4(2), 430–443. https://doi.org/10.53769/jai.v4i2.726</w:t>
      </w:r>
    </w:p>
    <w:p w14:paraId="136F3779" w14:textId="77777777" w:rsidR="009A1802" w:rsidRPr="009A1802"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Musoffa, M. (2022). Learning loss and decreased literacy and numeracy competencies of elementary school students in Cikeusik sub-district, Pandeglang district, Banten. Journal of Islamic Education, 4(1), 63–80.</w:t>
      </w:r>
    </w:p>
    <w:p w14:paraId="2CAFE4D1" w14:textId="77777777" w:rsidR="009A1802" w:rsidRPr="009A1802"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Musyadad, V. F., Hanafiah, H., Tanjung, R., &amp; Arifudin, O. (2022). Academic Supervision to Improve Teachers' Work Motivation in Making Learning Tools. JIIP - Scientific Journal of Educational Sciences, 5(6), 1936–1941. https://doi.org/10.54371/jiip.v5i6.653</w:t>
      </w:r>
    </w:p>
    <w:p w14:paraId="3F10EFDB" w14:textId="72E9E0D1" w:rsidR="00972F4E" w:rsidRPr="007204F6" w:rsidRDefault="009A1802" w:rsidP="009A1802">
      <w:pPr>
        <w:widowControl w:val="0"/>
        <w:autoSpaceDE w:val="0"/>
        <w:autoSpaceDN w:val="0"/>
        <w:adjustRightInd w:val="0"/>
        <w:spacing w:after="0" w:line="240" w:lineRule="auto"/>
        <w:ind w:left="480" w:hanging="480"/>
        <w:rPr>
          <w:rFonts w:ascii="Times New Roman" w:hAnsi="Times New Roman" w:cs="Times New Roman"/>
          <w:noProof/>
          <w:sz w:val="24"/>
        </w:rPr>
      </w:pPr>
      <w:r w:rsidRPr="009A1802">
        <w:rPr>
          <w:rFonts w:ascii="Times New Roman" w:hAnsi="Times New Roman" w:cs="Times New Roman"/>
          <w:noProof/>
          <w:sz w:val="24"/>
        </w:rPr>
        <w:t>Nurjanah, M., Dewi, D. T., Al Fathan, K. M., &amp; Mawardini, I. D. (2022). Numeracy literacy in thematic learning of grade 3 elementary school/MI students. Muallimuna: Journal of Elementary Schools, 7(2), 87–98.</w:t>
      </w:r>
    </w:p>
    <w:p w14:paraId="5FF80B21"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Nurochmah, A., &amp; Mappincara, A. (2022). Development of a Lesson Study-Based Continuous Training Model to Improve School/Madrasah Supervisor Competition. Journal Of Administration and Educational Management (ALIGNMENT), 5(2), 227–240. https://doi.org/10.31539/alignment.v5i2.4157</w:t>
      </w:r>
    </w:p>
    <w:p w14:paraId="09782648" w14:textId="77777777" w:rsid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Purnomo, Y. W., Prananto, I. W., Sayekti, O. M., &amp; Sulistyani, N. (2024). GUIDANCE IN THE COMPILATION OF RESEARCH-BASED TEACHERS' TEACHING PRACTICE MILIEU TO IMPROVE ABILITY. 8(5), 4–10.</w:t>
      </w:r>
    </w:p>
    <w:p w14:paraId="390A611A" w14:textId="77777777" w:rsidR="006B2A38" w:rsidRDefault="006B2A38"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Salvia, N. Z., Sabrina, F. P., &amp; Maula, I. (2022). Analysis of students' numeracy literacy abilities in terms of mathematics anxiety. ProSANDIKA UNIKAL (Proceedings of the National Seminar on Mathematics Education, Pekalongan University), 3(1), 351–360.</w:t>
      </w:r>
    </w:p>
    <w:p w14:paraId="4B8ACCD8" w14:textId="7AEEDFBD"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Shelton, A., Hogan, E., &amp; Fu, Y. (2025). Special Education Teacher Educators’ Focus on Emergent Multilingual Learners in Preservice Literacy Courses. </w:t>
      </w:r>
      <w:r w:rsidRPr="007204F6">
        <w:rPr>
          <w:rFonts w:ascii="Times New Roman" w:hAnsi="Times New Roman" w:cs="Times New Roman"/>
          <w:i/>
          <w:iCs/>
          <w:noProof/>
          <w:sz w:val="24"/>
        </w:rPr>
        <w:t xml:space="preserve">Teacher Education and </w:t>
      </w:r>
      <w:r w:rsidRPr="007204F6">
        <w:rPr>
          <w:rFonts w:ascii="Times New Roman" w:hAnsi="Times New Roman" w:cs="Times New Roman"/>
          <w:i/>
          <w:iCs/>
          <w:noProof/>
          <w:sz w:val="24"/>
        </w:rPr>
        <w:lastRenderedPageBreak/>
        <w:t>Special Education</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48</w:t>
      </w:r>
      <w:r w:rsidRPr="007204F6">
        <w:rPr>
          <w:rFonts w:ascii="Times New Roman" w:hAnsi="Times New Roman" w:cs="Times New Roman"/>
          <w:noProof/>
          <w:sz w:val="24"/>
        </w:rPr>
        <w:t>(2), 145–162. https://doi.org/10.1177/08884064251326573</w:t>
      </w:r>
    </w:p>
    <w:p w14:paraId="26E16458"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Sinaga, M. E., &amp; Simanjorang, M. M. (2024). </w:t>
      </w:r>
      <w:r w:rsidRPr="007204F6">
        <w:rPr>
          <w:rFonts w:ascii="Times New Roman" w:hAnsi="Times New Roman" w:cs="Times New Roman"/>
          <w:i/>
          <w:iCs/>
          <w:noProof/>
          <w:sz w:val="24"/>
        </w:rPr>
        <w:t>YANG MENGIMPLEMENTASIKAN KURIKULUM MERDEKA ANALYSIS OF THE NUMERACY LITERACY ABILITY OF PARMAKSIAN 1 PUBLIC HIGH SCHOOL STUDENTS WHO IMPLEMENT THE INDEPENDENT CURRICULUM</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10</w:t>
      </w:r>
      <w:r w:rsidRPr="007204F6">
        <w:rPr>
          <w:rFonts w:ascii="Times New Roman" w:hAnsi="Times New Roman" w:cs="Times New Roman"/>
          <w:noProof/>
          <w:sz w:val="24"/>
        </w:rPr>
        <w:t>(2), 178–186.</w:t>
      </w:r>
    </w:p>
    <w:p w14:paraId="238B53E2"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Sudargini, Y. (2021). The Role of Academic Supervision and Work Motivation in Improving the Competence of State Senior High School Teachers in Pati. Journal of Industrial Engineering \&amp; Management Research, 2(6), 13–21.</w:t>
      </w:r>
    </w:p>
    <w:p w14:paraId="331DCA30" w14:textId="77777777" w:rsidR="006B2A38" w:rsidRPr="006B2A38"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Sugiyono, D. (2013). Quantitative, qualitative and R\&amp;D educational research methods.</w:t>
      </w:r>
    </w:p>
    <w:p w14:paraId="1559A48A" w14:textId="18E2590C" w:rsidR="00972F4E"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r w:rsidRPr="006B2A38">
        <w:rPr>
          <w:rFonts w:ascii="Times New Roman" w:hAnsi="Times New Roman" w:cs="Times New Roman"/>
          <w:noProof/>
          <w:sz w:val="24"/>
        </w:rPr>
        <w:t>Suryani, Y., Yuliejantiningsih, Y., &amp; others. (2025). THE EFFECT OF ACADEMIC SUPERVISION, TEACHER PEDAGOGIC COMPETENCY AND CHILD-FRIENDLY SCHOOL CULTURE ON LEARNING QUALITY. Pendas: Scientific Journal of Elementary Education, 10(01), 221–235.</w:t>
      </w:r>
    </w:p>
    <w:p w14:paraId="26FF1625" w14:textId="77777777" w:rsidR="006B2A38" w:rsidRPr="007204F6" w:rsidRDefault="006B2A38" w:rsidP="006B2A38">
      <w:pPr>
        <w:widowControl w:val="0"/>
        <w:autoSpaceDE w:val="0"/>
        <w:autoSpaceDN w:val="0"/>
        <w:adjustRightInd w:val="0"/>
        <w:spacing w:after="0" w:line="240" w:lineRule="auto"/>
        <w:ind w:left="480" w:hanging="480"/>
        <w:rPr>
          <w:rFonts w:ascii="Times New Roman" w:hAnsi="Times New Roman" w:cs="Times New Roman"/>
          <w:noProof/>
          <w:sz w:val="24"/>
        </w:rPr>
      </w:pPr>
    </w:p>
    <w:p w14:paraId="06293C67"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Susanti, L., Gistituati, N., Anisah, A., &amp; Widiawati, W. (2024). DIGITAL-BASED NUMERATION LITERACY IMPROVEMENT STRATEGIES FOR PRIMARY EDUCATIONAL TEACHERS ACCORDING TO THE DEMANDS OF THE INDEPENDENT CURRICULUM. Journal of Community Service, 8(1), 276–296</w:t>
      </w:r>
    </w:p>
    <w:p w14:paraId="2B09F529" w14:textId="27586BB8"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w:t>
      </w:r>
    </w:p>
    <w:p w14:paraId="380EF41F"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Susilo, I., Aditya, E., Zamroni, E., &amp; Muliana, L. (2024). The Influence of School-Based Management and Academic Supervision towards the Professionalism of Junior High School Teachers. </w:t>
      </w:r>
      <w:r w:rsidRPr="007204F6">
        <w:rPr>
          <w:rFonts w:ascii="Times New Roman" w:hAnsi="Times New Roman" w:cs="Times New Roman"/>
          <w:i/>
          <w:iCs/>
          <w:noProof/>
          <w:sz w:val="24"/>
        </w:rPr>
        <w:t>ICCCM Journal of Social Sciences and Humanities</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(5), 27–32.</w:t>
      </w:r>
    </w:p>
    <w:p w14:paraId="30B81504" w14:textId="77777777"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Syafutra, W., Remora, H., &amp; Sovensi, E. (2022). Jurnal Pengabdian Pendidikan Masyarakat ( JPPM ) Jurnal Pengabdian Pendidikan Masyarakat ( JPPM ). </w:t>
      </w:r>
      <w:r w:rsidRPr="007204F6">
        <w:rPr>
          <w:rFonts w:ascii="Times New Roman" w:hAnsi="Times New Roman" w:cs="Times New Roman"/>
          <w:i/>
          <w:iCs/>
          <w:noProof/>
          <w:sz w:val="24"/>
        </w:rPr>
        <w:t>Jurnal Pengabdian Pendidikan Masyarakat (JPPM)</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(2), 108–118.</w:t>
      </w:r>
    </w:p>
    <w:p w14:paraId="0807CD08"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Widiastuti, D., Ahmad, M., &amp; Nugraha, A. (2022). Literacy and numeracy-based learning in grade IV of elementary school. Edu Cendikia: Scientific Journal of Education, 2(02), 248–257. https://doi.org/10.47709/educendikia.v2i02.1606</w:t>
      </w:r>
    </w:p>
    <w:p w14:paraId="0A4C9769" w14:textId="77777777" w:rsidR="00653BAB" w:rsidRDefault="00653BAB"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653BAB">
        <w:rPr>
          <w:rFonts w:ascii="Times New Roman" w:hAnsi="Times New Roman" w:cs="Times New Roman"/>
          <w:noProof/>
          <w:sz w:val="24"/>
        </w:rPr>
        <w:t>Winarti, W., Hairida, H., &amp; Lestari, I. (2021). Description of Teachers' Ability to Create Questions Based on the 2013 Curriculum in Senior High Schools in Landak Regency. Wahana Pendidikan Scientific Journal, 7(2), 108–115. https://doi.org/10.5281/zenodo.4659018</w:t>
      </w:r>
    </w:p>
    <w:p w14:paraId="5F9554FC" w14:textId="5C1AC6E1"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Yulastri, W., Zulfa, Z., Juliardi, B., Zulkifli, Z., Rudagi, R., &amp; Yulmiati, Y. (2023). Development of educational professional learning materials based on cultural discourse in higher education. </w:t>
      </w:r>
      <w:r w:rsidRPr="007204F6">
        <w:rPr>
          <w:rFonts w:ascii="Times New Roman" w:hAnsi="Times New Roman" w:cs="Times New Roman"/>
          <w:i/>
          <w:iCs/>
          <w:noProof/>
          <w:sz w:val="24"/>
        </w:rPr>
        <w:t>Journal of Pragmatics and Discourse Research</w:t>
      </w:r>
      <w:r w:rsidRPr="007204F6">
        <w:rPr>
          <w:rFonts w:ascii="Times New Roman" w:hAnsi="Times New Roman" w:cs="Times New Roman"/>
          <w:noProof/>
          <w:sz w:val="24"/>
        </w:rPr>
        <w:t xml:space="preserve">, </w:t>
      </w:r>
      <w:r w:rsidRPr="007204F6">
        <w:rPr>
          <w:rFonts w:ascii="Times New Roman" w:hAnsi="Times New Roman" w:cs="Times New Roman"/>
          <w:i/>
          <w:iCs/>
          <w:noProof/>
          <w:sz w:val="24"/>
        </w:rPr>
        <w:t>3</w:t>
      </w:r>
      <w:r w:rsidRPr="007204F6">
        <w:rPr>
          <w:rFonts w:ascii="Times New Roman" w:hAnsi="Times New Roman" w:cs="Times New Roman"/>
          <w:noProof/>
          <w:sz w:val="24"/>
        </w:rPr>
        <w:t>(1), 111–121.</w:t>
      </w:r>
    </w:p>
    <w:p w14:paraId="51A176FF" w14:textId="77777777" w:rsidR="00F34C60" w:rsidRDefault="00F34C60"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F34C60">
        <w:rPr>
          <w:rFonts w:ascii="Times New Roman" w:hAnsi="Times New Roman" w:cs="Times New Roman"/>
          <w:noProof/>
          <w:sz w:val="24"/>
        </w:rPr>
        <w:t>Yusuf, M. (2023). Principal Supervision in Improving Teacher Professionalism at Smpn 2 Alalak Barito Kuala. Management of Education: Jurnal Manajemen Pendidikan Islam, 9(1), 75–86.</w:t>
      </w:r>
    </w:p>
    <w:p w14:paraId="7C2E69A9" w14:textId="7CCCA34B" w:rsidR="00972F4E" w:rsidRPr="007204F6" w:rsidRDefault="00972F4E" w:rsidP="00972F4E">
      <w:pPr>
        <w:widowControl w:val="0"/>
        <w:autoSpaceDE w:val="0"/>
        <w:autoSpaceDN w:val="0"/>
        <w:adjustRightInd w:val="0"/>
        <w:spacing w:after="0" w:line="240" w:lineRule="auto"/>
        <w:ind w:left="480" w:hanging="480"/>
        <w:rPr>
          <w:rFonts w:ascii="Times New Roman" w:hAnsi="Times New Roman" w:cs="Times New Roman"/>
          <w:noProof/>
          <w:sz w:val="24"/>
        </w:rPr>
      </w:pPr>
      <w:r w:rsidRPr="007204F6">
        <w:rPr>
          <w:rFonts w:ascii="Times New Roman" w:hAnsi="Times New Roman" w:cs="Times New Roman"/>
          <w:noProof/>
          <w:sz w:val="24"/>
        </w:rPr>
        <w:t xml:space="preserve">Zulkifli, Ho, P. V. P., Sholeh, M. I., &amp; Sahri. (2023). Enhancing Student Achievement in Senior High School through Curriculum Management in Indonesia. </w:t>
      </w:r>
      <w:r w:rsidRPr="007204F6">
        <w:rPr>
          <w:rFonts w:ascii="Times New Roman" w:hAnsi="Times New Roman" w:cs="Times New Roman"/>
          <w:i/>
          <w:iCs/>
          <w:noProof/>
          <w:sz w:val="24"/>
        </w:rPr>
        <w:t>Tarbawi Junal Keilmuan Manajemen Pendidikan</w:t>
      </w:r>
      <w:r w:rsidRPr="007204F6">
        <w:rPr>
          <w:rFonts w:ascii="Times New Roman" w:hAnsi="Times New Roman" w:cs="Times New Roman"/>
          <w:noProof/>
          <w:sz w:val="24"/>
        </w:rPr>
        <w:t>.</w:t>
      </w:r>
    </w:p>
    <w:p w14:paraId="4362D6D0" w14:textId="34D786F1" w:rsidR="00972F4E" w:rsidRPr="0023618A" w:rsidRDefault="00F34C60" w:rsidP="00F34C60">
      <w:pPr>
        <w:widowControl w:val="0"/>
        <w:autoSpaceDE w:val="0"/>
        <w:autoSpaceDN w:val="0"/>
        <w:adjustRightInd w:val="0"/>
        <w:spacing w:after="0" w:line="240" w:lineRule="auto"/>
        <w:ind w:left="480" w:hanging="480"/>
        <w:rPr>
          <w:rFonts w:ascii="Times New Roman" w:hAnsi="Times New Roman" w:cs="Times New Roman"/>
          <w:sz w:val="24"/>
          <w:szCs w:val="24"/>
          <w:lang w:val="id-ID"/>
        </w:rPr>
      </w:pPr>
      <w:r w:rsidRPr="00F34C60">
        <w:rPr>
          <w:rFonts w:ascii="Times New Roman" w:hAnsi="Times New Roman" w:cs="Times New Roman"/>
          <w:noProof/>
          <w:sz w:val="24"/>
        </w:rPr>
        <w:t>Zulqadri, D. M., Nurgiyantoro, B., &amp; others. (2023). Development of web-based interactive multimedia to improve cultural literacy and digital literacy of grade V elementary school/Islamic elementary school students. JOURNAL IPTEKKOM Journal of Science &amp; Information Technology, 25(1), 103–120.</w:t>
      </w:r>
      <w:r w:rsidR="00972F4E">
        <w:rPr>
          <w:rFonts w:ascii="Times New Roman" w:eastAsia="Times New Roman" w:hAnsi="Times New Roman" w:cs="Times New Roman"/>
          <w:b/>
          <w:bCs/>
          <w:sz w:val="24"/>
          <w:szCs w:val="24"/>
        </w:rPr>
        <w:fldChar w:fldCharType="end"/>
      </w:r>
    </w:p>
    <w:sectPr w:rsidR="00972F4E" w:rsidRPr="0023618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57348" w14:textId="77777777" w:rsidR="00D83EBA" w:rsidRDefault="00D83EBA" w:rsidP="00E74898">
      <w:pPr>
        <w:spacing w:after="0" w:line="240" w:lineRule="auto"/>
      </w:pPr>
      <w:r>
        <w:separator/>
      </w:r>
    </w:p>
  </w:endnote>
  <w:endnote w:type="continuationSeparator" w:id="0">
    <w:p w14:paraId="564D0DD1" w14:textId="77777777" w:rsidR="00D83EBA" w:rsidRDefault="00D83EBA" w:rsidP="00E7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58F4" w14:textId="77777777" w:rsidR="00E74898" w:rsidRDefault="00E7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58C0" w14:textId="77777777" w:rsidR="00E74898" w:rsidRDefault="00E74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09DD" w14:textId="77777777" w:rsidR="00E74898" w:rsidRDefault="00E7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7695" w14:textId="77777777" w:rsidR="00D83EBA" w:rsidRDefault="00D83EBA" w:rsidP="00E74898">
      <w:pPr>
        <w:spacing w:after="0" w:line="240" w:lineRule="auto"/>
      </w:pPr>
      <w:r>
        <w:separator/>
      </w:r>
    </w:p>
  </w:footnote>
  <w:footnote w:type="continuationSeparator" w:id="0">
    <w:p w14:paraId="5D5CFAA7" w14:textId="77777777" w:rsidR="00D83EBA" w:rsidRDefault="00D83EBA" w:rsidP="00E7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F610" w14:textId="3348264F" w:rsidR="00E74898" w:rsidRDefault="00E74898">
    <w:pPr>
      <w:pStyle w:val="Header"/>
    </w:pPr>
    <w:r>
      <w:rPr>
        <w:noProof/>
      </w:rPr>
      <w:pict w14:anchorId="3D3EF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97D5" w14:textId="34934859" w:rsidR="00E74898" w:rsidRDefault="00E74898">
    <w:pPr>
      <w:pStyle w:val="Header"/>
    </w:pPr>
    <w:r>
      <w:rPr>
        <w:noProof/>
      </w:rPr>
      <w:pict w14:anchorId="7E0F8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A05B" w14:textId="71BD0722" w:rsidR="00E74898" w:rsidRDefault="00E74898">
    <w:pPr>
      <w:pStyle w:val="Header"/>
    </w:pPr>
    <w:r>
      <w:rPr>
        <w:noProof/>
      </w:rPr>
      <w:pict w14:anchorId="316B0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7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C2C"/>
    <w:multiLevelType w:val="hybridMultilevel"/>
    <w:tmpl w:val="D2BADA3A"/>
    <w:lvl w:ilvl="0" w:tplc="90DE0D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29C3BA4"/>
    <w:multiLevelType w:val="hybridMultilevel"/>
    <w:tmpl w:val="85DE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207A8"/>
    <w:multiLevelType w:val="hybridMultilevel"/>
    <w:tmpl w:val="EEE203B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73EA2D1B"/>
    <w:multiLevelType w:val="hybridMultilevel"/>
    <w:tmpl w:val="46FA7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575317">
    <w:abstractNumId w:val="1"/>
  </w:num>
  <w:num w:numId="2" w16cid:durableId="1890265414">
    <w:abstractNumId w:val="0"/>
  </w:num>
  <w:num w:numId="3" w16cid:durableId="1064332592">
    <w:abstractNumId w:val="3"/>
  </w:num>
  <w:num w:numId="4" w16cid:durableId="29112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3trC0MDOyNDExNjBQ0lEKTi0uzszPAykwrAUAIz4HmywAAAA="/>
  </w:docVars>
  <w:rsids>
    <w:rsidRoot w:val="00AD1223"/>
    <w:rsid w:val="00123D55"/>
    <w:rsid w:val="00193679"/>
    <w:rsid w:val="00220A88"/>
    <w:rsid w:val="0023618A"/>
    <w:rsid w:val="002E5C1F"/>
    <w:rsid w:val="002F5866"/>
    <w:rsid w:val="002F5EEA"/>
    <w:rsid w:val="00307A5E"/>
    <w:rsid w:val="003155B8"/>
    <w:rsid w:val="003217E1"/>
    <w:rsid w:val="00354F75"/>
    <w:rsid w:val="003629DE"/>
    <w:rsid w:val="003E7365"/>
    <w:rsid w:val="004139A5"/>
    <w:rsid w:val="00432649"/>
    <w:rsid w:val="00452D7D"/>
    <w:rsid w:val="004A6F92"/>
    <w:rsid w:val="004C05FF"/>
    <w:rsid w:val="00527118"/>
    <w:rsid w:val="005713FF"/>
    <w:rsid w:val="005E09F0"/>
    <w:rsid w:val="005F5945"/>
    <w:rsid w:val="006244E5"/>
    <w:rsid w:val="006463BA"/>
    <w:rsid w:val="00653BAB"/>
    <w:rsid w:val="006A5E5F"/>
    <w:rsid w:val="006B2A38"/>
    <w:rsid w:val="006F0C84"/>
    <w:rsid w:val="00760498"/>
    <w:rsid w:val="00786975"/>
    <w:rsid w:val="007E6055"/>
    <w:rsid w:val="0081367F"/>
    <w:rsid w:val="00863E30"/>
    <w:rsid w:val="008862EA"/>
    <w:rsid w:val="008B0735"/>
    <w:rsid w:val="00940840"/>
    <w:rsid w:val="00972F4E"/>
    <w:rsid w:val="009A1802"/>
    <w:rsid w:val="009F5295"/>
    <w:rsid w:val="009F5471"/>
    <w:rsid w:val="00A8253A"/>
    <w:rsid w:val="00AA3240"/>
    <w:rsid w:val="00AD1223"/>
    <w:rsid w:val="00B73A39"/>
    <w:rsid w:val="00BB4FBF"/>
    <w:rsid w:val="00BB6689"/>
    <w:rsid w:val="00BE46C8"/>
    <w:rsid w:val="00C826A3"/>
    <w:rsid w:val="00C857EE"/>
    <w:rsid w:val="00D14FD9"/>
    <w:rsid w:val="00D830C7"/>
    <w:rsid w:val="00D83EBA"/>
    <w:rsid w:val="00DA23D2"/>
    <w:rsid w:val="00E52757"/>
    <w:rsid w:val="00E74898"/>
    <w:rsid w:val="00EF6EE8"/>
    <w:rsid w:val="00F041EC"/>
    <w:rsid w:val="00F1235C"/>
    <w:rsid w:val="00F34C60"/>
    <w:rsid w:val="00F56343"/>
    <w:rsid w:val="00F97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4B2C"/>
  <w15:docId w15:val="{93BD779C-F4E3-4F2D-9D8E-FA1F79F6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223"/>
    <w:pPr>
      <w:spacing w:after="0" w:line="240" w:lineRule="auto"/>
    </w:pPr>
  </w:style>
  <w:style w:type="paragraph" w:styleId="BodyText">
    <w:name w:val="Body Text"/>
    <w:basedOn w:val="Normal"/>
    <w:link w:val="BodyTextChar"/>
    <w:uiPriority w:val="99"/>
    <w:unhideWhenUsed/>
    <w:qFormat/>
    <w:rsid w:val="00EF6EE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F6EE8"/>
    <w:rPr>
      <w:rFonts w:ascii="Times New Roman" w:eastAsia="Times New Roman" w:hAnsi="Times New Roman" w:cs="Times New Roman"/>
      <w:sz w:val="24"/>
      <w:szCs w:val="24"/>
    </w:rPr>
  </w:style>
  <w:style w:type="table" w:styleId="TableGrid">
    <w:name w:val="Table Grid"/>
    <w:basedOn w:val="TableNormal"/>
    <w:uiPriority w:val="39"/>
    <w:rsid w:val="00EF6EE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E8"/>
    <w:rPr>
      <w:rFonts w:ascii="Tahoma" w:hAnsi="Tahoma" w:cs="Tahoma"/>
      <w:sz w:val="16"/>
      <w:szCs w:val="16"/>
    </w:rPr>
  </w:style>
  <w:style w:type="paragraph" w:styleId="ListParagraph">
    <w:name w:val="List Paragraph"/>
    <w:basedOn w:val="Normal"/>
    <w:uiPriority w:val="34"/>
    <w:qFormat/>
    <w:rsid w:val="007E6055"/>
    <w:pPr>
      <w:ind w:left="720"/>
      <w:contextualSpacing/>
    </w:pPr>
  </w:style>
  <w:style w:type="character" w:styleId="Hyperlink">
    <w:name w:val="Hyperlink"/>
    <w:basedOn w:val="DefaultParagraphFont"/>
    <w:uiPriority w:val="99"/>
    <w:unhideWhenUsed/>
    <w:rsid w:val="00972F4E"/>
    <w:rPr>
      <w:color w:val="0000FF"/>
      <w:u w:val="single"/>
    </w:rPr>
  </w:style>
  <w:style w:type="character" w:customStyle="1" w:styleId="UnresolvedMention1">
    <w:name w:val="Unresolved Mention1"/>
    <w:basedOn w:val="DefaultParagraphFont"/>
    <w:uiPriority w:val="99"/>
    <w:semiHidden/>
    <w:unhideWhenUsed/>
    <w:rsid w:val="005713FF"/>
    <w:rPr>
      <w:color w:val="605E5C"/>
      <w:shd w:val="clear" w:color="auto" w:fill="E1DFDD"/>
    </w:rPr>
  </w:style>
  <w:style w:type="paragraph" w:styleId="Header">
    <w:name w:val="header"/>
    <w:basedOn w:val="Normal"/>
    <w:link w:val="HeaderChar"/>
    <w:uiPriority w:val="99"/>
    <w:unhideWhenUsed/>
    <w:rsid w:val="00E7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98"/>
  </w:style>
  <w:style w:type="paragraph" w:styleId="Footer">
    <w:name w:val="footer"/>
    <w:basedOn w:val="Normal"/>
    <w:link w:val="FooterChar"/>
    <w:uiPriority w:val="99"/>
    <w:unhideWhenUsed/>
    <w:rsid w:val="00E7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745948">
      <w:bodyDiv w:val="1"/>
      <w:marLeft w:val="0"/>
      <w:marRight w:val="0"/>
      <w:marTop w:val="0"/>
      <w:marBottom w:val="0"/>
      <w:divBdr>
        <w:top w:val="none" w:sz="0" w:space="0" w:color="auto"/>
        <w:left w:val="none" w:sz="0" w:space="0" w:color="auto"/>
        <w:bottom w:val="none" w:sz="0" w:space="0" w:color="auto"/>
        <w:right w:val="none" w:sz="0" w:space="0" w:color="auto"/>
      </w:divBdr>
      <w:divsChild>
        <w:div w:id="1644499822">
          <w:marLeft w:val="0"/>
          <w:marRight w:val="0"/>
          <w:marTop w:val="0"/>
          <w:marBottom w:val="0"/>
          <w:divBdr>
            <w:top w:val="none" w:sz="0" w:space="0" w:color="auto"/>
            <w:left w:val="none" w:sz="0" w:space="0" w:color="auto"/>
            <w:bottom w:val="none" w:sz="0" w:space="0" w:color="auto"/>
            <w:right w:val="none" w:sz="0" w:space="0" w:color="auto"/>
          </w:divBdr>
          <w:divsChild>
            <w:div w:id="1393961432">
              <w:marLeft w:val="0"/>
              <w:marRight w:val="0"/>
              <w:marTop w:val="0"/>
              <w:marBottom w:val="0"/>
              <w:divBdr>
                <w:top w:val="none" w:sz="0" w:space="0" w:color="auto"/>
                <w:left w:val="none" w:sz="0" w:space="0" w:color="auto"/>
                <w:bottom w:val="none" w:sz="0" w:space="0" w:color="auto"/>
                <w:right w:val="none" w:sz="0" w:space="0" w:color="auto"/>
              </w:divBdr>
              <w:divsChild>
                <w:div w:id="496186797">
                  <w:marLeft w:val="0"/>
                  <w:marRight w:val="0"/>
                  <w:marTop w:val="0"/>
                  <w:marBottom w:val="0"/>
                  <w:divBdr>
                    <w:top w:val="none" w:sz="0" w:space="0" w:color="auto"/>
                    <w:left w:val="none" w:sz="0" w:space="0" w:color="auto"/>
                    <w:bottom w:val="none" w:sz="0" w:space="0" w:color="auto"/>
                    <w:right w:val="none" w:sz="0" w:space="0" w:color="auto"/>
                  </w:divBdr>
                  <w:divsChild>
                    <w:div w:id="581988768">
                      <w:marLeft w:val="0"/>
                      <w:marRight w:val="0"/>
                      <w:marTop w:val="0"/>
                      <w:marBottom w:val="0"/>
                      <w:divBdr>
                        <w:top w:val="none" w:sz="0" w:space="0" w:color="auto"/>
                        <w:left w:val="none" w:sz="0" w:space="0" w:color="auto"/>
                        <w:bottom w:val="none" w:sz="0" w:space="0" w:color="auto"/>
                        <w:right w:val="none" w:sz="0" w:space="0" w:color="auto"/>
                      </w:divBdr>
                    </w:div>
                    <w:div w:id="684209503">
                      <w:marLeft w:val="0"/>
                      <w:marRight w:val="0"/>
                      <w:marTop w:val="0"/>
                      <w:marBottom w:val="0"/>
                      <w:divBdr>
                        <w:top w:val="none" w:sz="0" w:space="0" w:color="auto"/>
                        <w:left w:val="none" w:sz="0" w:space="0" w:color="auto"/>
                        <w:bottom w:val="none" w:sz="0" w:space="0" w:color="auto"/>
                        <w:right w:val="none" w:sz="0" w:space="0" w:color="auto"/>
                      </w:divBdr>
                    </w:div>
                    <w:div w:id="122776080">
                      <w:marLeft w:val="0"/>
                      <w:marRight w:val="0"/>
                      <w:marTop w:val="0"/>
                      <w:marBottom w:val="0"/>
                      <w:divBdr>
                        <w:top w:val="none" w:sz="0" w:space="0" w:color="auto"/>
                        <w:left w:val="none" w:sz="0" w:space="0" w:color="auto"/>
                        <w:bottom w:val="none" w:sz="0" w:space="0" w:color="auto"/>
                        <w:right w:val="none" w:sz="0" w:space="0" w:color="auto"/>
                      </w:divBdr>
                    </w:div>
                    <w:div w:id="2353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0562">
          <w:marLeft w:val="0"/>
          <w:marRight w:val="0"/>
          <w:marTop w:val="0"/>
          <w:marBottom w:val="0"/>
          <w:divBdr>
            <w:top w:val="none" w:sz="0" w:space="0" w:color="auto"/>
            <w:left w:val="none" w:sz="0" w:space="0" w:color="auto"/>
            <w:bottom w:val="none" w:sz="0" w:space="0" w:color="auto"/>
            <w:right w:val="none" w:sz="0" w:space="0" w:color="auto"/>
          </w:divBdr>
          <w:divsChild>
            <w:div w:id="1829588620">
              <w:marLeft w:val="0"/>
              <w:marRight w:val="0"/>
              <w:marTop w:val="0"/>
              <w:marBottom w:val="0"/>
              <w:divBdr>
                <w:top w:val="none" w:sz="0" w:space="0" w:color="auto"/>
                <w:left w:val="none" w:sz="0" w:space="0" w:color="auto"/>
                <w:bottom w:val="none" w:sz="0" w:space="0" w:color="auto"/>
                <w:right w:val="none" w:sz="0" w:space="0" w:color="auto"/>
              </w:divBdr>
              <w:divsChild>
                <w:div w:id="247546410">
                  <w:marLeft w:val="0"/>
                  <w:marRight w:val="0"/>
                  <w:marTop w:val="0"/>
                  <w:marBottom w:val="0"/>
                  <w:divBdr>
                    <w:top w:val="none" w:sz="0" w:space="0" w:color="auto"/>
                    <w:left w:val="none" w:sz="0" w:space="0" w:color="auto"/>
                    <w:bottom w:val="none" w:sz="0" w:space="0" w:color="auto"/>
                    <w:right w:val="none" w:sz="0" w:space="0" w:color="auto"/>
                  </w:divBdr>
                  <w:divsChild>
                    <w:div w:id="2038114737">
                      <w:marLeft w:val="0"/>
                      <w:marRight w:val="0"/>
                      <w:marTop w:val="0"/>
                      <w:marBottom w:val="0"/>
                      <w:divBdr>
                        <w:top w:val="none" w:sz="0" w:space="0" w:color="auto"/>
                        <w:left w:val="none" w:sz="0" w:space="0" w:color="auto"/>
                        <w:bottom w:val="none" w:sz="0" w:space="0" w:color="auto"/>
                        <w:right w:val="none" w:sz="0" w:space="0" w:color="auto"/>
                      </w:divBdr>
                      <w:divsChild>
                        <w:div w:id="1832479684">
                          <w:marLeft w:val="0"/>
                          <w:marRight w:val="0"/>
                          <w:marTop w:val="0"/>
                          <w:marBottom w:val="0"/>
                          <w:divBdr>
                            <w:top w:val="none" w:sz="0" w:space="0" w:color="auto"/>
                            <w:left w:val="none" w:sz="0" w:space="0" w:color="auto"/>
                            <w:bottom w:val="none" w:sz="0" w:space="0" w:color="auto"/>
                            <w:right w:val="none" w:sz="0" w:space="0" w:color="auto"/>
                          </w:divBdr>
                          <w:divsChild>
                            <w:div w:id="18702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02801">
          <w:marLeft w:val="0"/>
          <w:marRight w:val="0"/>
          <w:marTop w:val="0"/>
          <w:marBottom w:val="0"/>
          <w:divBdr>
            <w:top w:val="none" w:sz="0" w:space="0" w:color="auto"/>
            <w:left w:val="none" w:sz="0" w:space="0" w:color="auto"/>
            <w:bottom w:val="none" w:sz="0" w:space="0" w:color="auto"/>
            <w:right w:val="none" w:sz="0" w:space="0" w:color="auto"/>
          </w:divBdr>
          <w:divsChild>
            <w:div w:id="1216505010">
              <w:marLeft w:val="0"/>
              <w:marRight w:val="0"/>
              <w:marTop w:val="0"/>
              <w:marBottom w:val="0"/>
              <w:divBdr>
                <w:top w:val="none" w:sz="0" w:space="0" w:color="auto"/>
                <w:left w:val="none" w:sz="0" w:space="0" w:color="auto"/>
                <w:bottom w:val="none" w:sz="0" w:space="0" w:color="auto"/>
                <w:right w:val="none" w:sz="0" w:space="0" w:color="auto"/>
              </w:divBdr>
              <w:divsChild>
                <w:div w:id="917978465">
                  <w:marLeft w:val="0"/>
                  <w:marRight w:val="0"/>
                  <w:marTop w:val="0"/>
                  <w:marBottom w:val="0"/>
                  <w:divBdr>
                    <w:top w:val="none" w:sz="0" w:space="0" w:color="auto"/>
                    <w:left w:val="none" w:sz="0" w:space="0" w:color="auto"/>
                    <w:bottom w:val="none" w:sz="0" w:space="0" w:color="auto"/>
                    <w:right w:val="none" w:sz="0" w:space="0" w:color="auto"/>
                  </w:divBdr>
                  <w:divsChild>
                    <w:div w:id="1281185201">
                      <w:marLeft w:val="0"/>
                      <w:marRight w:val="0"/>
                      <w:marTop w:val="0"/>
                      <w:marBottom w:val="0"/>
                      <w:divBdr>
                        <w:top w:val="none" w:sz="0" w:space="0" w:color="auto"/>
                        <w:left w:val="none" w:sz="0" w:space="0" w:color="auto"/>
                        <w:bottom w:val="none" w:sz="0" w:space="0" w:color="auto"/>
                        <w:right w:val="none" w:sz="0" w:space="0" w:color="auto"/>
                      </w:divBdr>
                    </w:div>
                    <w:div w:id="2024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202">
          <w:marLeft w:val="0"/>
          <w:marRight w:val="0"/>
          <w:marTop w:val="0"/>
          <w:marBottom w:val="0"/>
          <w:divBdr>
            <w:top w:val="none" w:sz="0" w:space="0" w:color="auto"/>
            <w:left w:val="none" w:sz="0" w:space="0" w:color="auto"/>
            <w:bottom w:val="none" w:sz="0" w:space="0" w:color="auto"/>
            <w:right w:val="none" w:sz="0" w:space="0" w:color="auto"/>
          </w:divBdr>
          <w:divsChild>
            <w:div w:id="1874996079">
              <w:marLeft w:val="0"/>
              <w:marRight w:val="0"/>
              <w:marTop w:val="0"/>
              <w:marBottom w:val="0"/>
              <w:divBdr>
                <w:top w:val="none" w:sz="0" w:space="0" w:color="auto"/>
                <w:left w:val="none" w:sz="0" w:space="0" w:color="auto"/>
                <w:bottom w:val="none" w:sz="0" w:space="0" w:color="auto"/>
                <w:right w:val="none" w:sz="0" w:space="0" w:color="auto"/>
              </w:divBdr>
              <w:divsChild>
                <w:div w:id="1039744724">
                  <w:marLeft w:val="0"/>
                  <w:marRight w:val="0"/>
                  <w:marTop w:val="0"/>
                  <w:marBottom w:val="0"/>
                  <w:divBdr>
                    <w:top w:val="none" w:sz="0" w:space="0" w:color="auto"/>
                    <w:left w:val="none" w:sz="0" w:space="0" w:color="auto"/>
                    <w:bottom w:val="none" w:sz="0" w:space="0" w:color="auto"/>
                    <w:right w:val="none" w:sz="0" w:space="0" w:color="auto"/>
                  </w:divBdr>
                  <w:divsChild>
                    <w:div w:id="432752640">
                      <w:marLeft w:val="0"/>
                      <w:marRight w:val="0"/>
                      <w:marTop w:val="0"/>
                      <w:marBottom w:val="0"/>
                      <w:divBdr>
                        <w:top w:val="none" w:sz="0" w:space="0" w:color="auto"/>
                        <w:left w:val="none" w:sz="0" w:space="0" w:color="auto"/>
                        <w:bottom w:val="none" w:sz="0" w:space="0" w:color="auto"/>
                        <w:right w:val="none" w:sz="0" w:space="0" w:color="auto"/>
                      </w:divBdr>
                      <w:divsChild>
                        <w:div w:id="2083408955">
                          <w:marLeft w:val="0"/>
                          <w:marRight w:val="0"/>
                          <w:marTop w:val="0"/>
                          <w:marBottom w:val="0"/>
                          <w:divBdr>
                            <w:top w:val="none" w:sz="0" w:space="0" w:color="auto"/>
                            <w:left w:val="none" w:sz="0" w:space="0" w:color="auto"/>
                            <w:bottom w:val="none" w:sz="0" w:space="0" w:color="auto"/>
                            <w:right w:val="none" w:sz="0" w:space="0" w:color="auto"/>
                          </w:divBdr>
                          <w:divsChild>
                            <w:div w:id="2010908372">
                              <w:marLeft w:val="0"/>
                              <w:marRight w:val="0"/>
                              <w:marTop w:val="0"/>
                              <w:marBottom w:val="0"/>
                              <w:divBdr>
                                <w:top w:val="none" w:sz="0" w:space="0" w:color="auto"/>
                                <w:left w:val="none" w:sz="0" w:space="0" w:color="auto"/>
                                <w:bottom w:val="none" w:sz="0" w:space="0" w:color="auto"/>
                                <w:right w:val="none" w:sz="0" w:space="0" w:color="auto"/>
                              </w:divBdr>
                              <w:divsChild>
                                <w:div w:id="1712263326">
                                  <w:marLeft w:val="0"/>
                                  <w:marRight w:val="0"/>
                                  <w:marTop w:val="0"/>
                                  <w:marBottom w:val="0"/>
                                  <w:divBdr>
                                    <w:top w:val="none" w:sz="0" w:space="0" w:color="auto"/>
                                    <w:left w:val="none" w:sz="0" w:space="0" w:color="auto"/>
                                    <w:bottom w:val="none" w:sz="0" w:space="0" w:color="auto"/>
                                    <w:right w:val="none" w:sz="0" w:space="0" w:color="auto"/>
                                  </w:divBdr>
                                  <w:divsChild>
                                    <w:div w:id="871190236">
                                      <w:marLeft w:val="0"/>
                                      <w:marRight w:val="0"/>
                                      <w:marTop w:val="0"/>
                                      <w:marBottom w:val="0"/>
                                      <w:divBdr>
                                        <w:top w:val="none" w:sz="0" w:space="0" w:color="auto"/>
                                        <w:left w:val="none" w:sz="0" w:space="0" w:color="auto"/>
                                        <w:bottom w:val="none" w:sz="0" w:space="0" w:color="auto"/>
                                        <w:right w:val="none" w:sz="0" w:space="0" w:color="auto"/>
                                      </w:divBdr>
                                      <w:divsChild>
                                        <w:div w:id="15867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593143">
          <w:marLeft w:val="0"/>
          <w:marRight w:val="0"/>
          <w:marTop w:val="0"/>
          <w:marBottom w:val="0"/>
          <w:divBdr>
            <w:top w:val="none" w:sz="0" w:space="0" w:color="auto"/>
            <w:left w:val="none" w:sz="0" w:space="0" w:color="auto"/>
            <w:bottom w:val="none" w:sz="0" w:space="0" w:color="auto"/>
            <w:right w:val="none" w:sz="0" w:space="0" w:color="auto"/>
          </w:divBdr>
        </w:div>
        <w:div w:id="1751148143">
          <w:marLeft w:val="0"/>
          <w:marRight w:val="0"/>
          <w:marTop w:val="0"/>
          <w:marBottom w:val="0"/>
          <w:divBdr>
            <w:top w:val="none" w:sz="0" w:space="0" w:color="auto"/>
            <w:left w:val="none" w:sz="0" w:space="0" w:color="auto"/>
            <w:bottom w:val="none" w:sz="0" w:space="0" w:color="auto"/>
            <w:right w:val="none" w:sz="0" w:space="0" w:color="auto"/>
          </w:divBdr>
        </w:div>
        <w:div w:id="1695495016">
          <w:marLeft w:val="0"/>
          <w:marRight w:val="0"/>
          <w:marTop w:val="0"/>
          <w:marBottom w:val="0"/>
          <w:divBdr>
            <w:top w:val="none" w:sz="0" w:space="0" w:color="auto"/>
            <w:left w:val="none" w:sz="0" w:space="0" w:color="auto"/>
            <w:bottom w:val="none" w:sz="0" w:space="0" w:color="auto"/>
            <w:right w:val="none" w:sz="0" w:space="0" w:color="auto"/>
          </w:divBdr>
        </w:div>
        <w:div w:id="1298609037">
          <w:marLeft w:val="0"/>
          <w:marRight w:val="0"/>
          <w:marTop w:val="0"/>
          <w:marBottom w:val="0"/>
          <w:divBdr>
            <w:top w:val="none" w:sz="0" w:space="0" w:color="auto"/>
            <w:left w:val="none" w:sz="0" w:space="0" w:color="auto"/>
            <w:bottom w:val="none" w:sz="0" w:space="0" w:color="auto"/>
            <w:right w:val="none" w:sz="0" w:space="0" w:color="auto"/>
          </w:divBdr>
        </w:div>
        <w:div w:id="542525640">
          <w:marLeft w:val="0"/>
          <w:marRight w:val="0"/>
          <w:marTop w:val="0"/>
          <w:marBottom w:val="0"/>
          <w:divBdr>
            <w:top w:val="none" w:sz="0" w:space="0" w:color="auto"/>
            <w:left w:val="none" w:sz="0" w:space="0" w:color="auto"/>
            <w:bottom w:val="none" w:sz="0" w:space="0" w:color="auto"/>
            <w:right w:val="none" w:sz="0" w:space="0" w:color="auto"/>
          </w:divBdr>
        </w:div>
        <w:div w:id="353189413">
          <w:marLeft w:val="0"/>
          <w:marRight w:val="0"/>
          <w:marTop w:val="0"/>
          <w:marBottom w:val="0"/>
          <w:divBdr>
            <w:top w:val="none" w:sz="0" w:space="0" w:color="auto"/>
            <w:left w:val="none" w:sz="0" w:space="0" w:color="auto"/>
            <w:bottom w:val="none" w:sz="0" w:space="0" w:color="auto"/>
            <w:right w:val="none" w:sz="0" w:space="0" w:color="auto"/>
          </w:divBdr>
        </w:div>
        <w:div w:id="80297271">
          <w:marLeft w:val="0"/>
          <w:marRight w:val="0"/>
          <w:marTop w:val="0"/>
          <w:marBottom w:val="0"/>
          <w:divBdr>
            <w:top w:val="none" w:sz="0" w:space="0" w:color="auto"/>
            <w:left w:val="none" w:sz="0" w:space="0" w:color="auto"/>
            <w:bottom w:val="none" w:sz="0" w:space="0" w:color="auto"/>
            <w:right w:val="none" w:sz="0" w:space="0" w:color="auto"/>
          </w:divBdr>
        </w:div>
        <w:div w:id="446000598">
          <w:marLeft w:val="0"/>
          <w:marRight w:val="0"/>
          <w:marTop w:val="0"/>
          <w:marBottom w:val="0"/>
          <w:divBdr>
            <w:top w:val="none" w:sz="0" w:space="0" w:color="auto"/>
            <w:left w:val="none" w:sz="0" w:space="0" w:color="auto"/>
            <w:bottom w:val="none" w:sz="0" w:space="0" w:color="auto"/>
            <w:right w:val="none" w:sz="0" w:space="0" w:color="auto"/>
          </w:divBdr>
          <w:divsChild>
            <w:div w:id="2092581917">
              <w:marLeft w:val="0"/>
              <w:marRight w:val="0"/>
              <w:marTop w:val="0"/>
              <w:marBottom w:val="0"/>
              <w:divBdr>
                <w:top w:val="none" w:sz="0" w:space="0" w:color="auto"/>
                <w:left w:val="none" w:sz="0" w:space="0" w:color="auto"/>
                <w:bottom w:val="none" w:sz="0" w:space="0" w:color="auto"/>
                <w:right w:val="none" w:sz="0" w:space="0" w:color="auto"/>
              </w:divBdr>
              <w:divsChild>
                <w:div w:id="1368094495">
                  <w:marLeft w:val="0"/>
                  <w:marRight w:val="0"/>
                  <w:marTop w:val="0"/>
                  <w:marBottom w:val="0"/>
                  <w:divBdr>
                    <w:top w:val="none" w:sz="0" w:space="0" w:color="auto"/>
                    <w:left w:val="none" w:sz="0" w:space="0" w:color="auto"/>
                    <w:bottom w:val="none" w:sz="0" w:space="0" w:color="auto"/>
                    <w:right w:val="none" w:sz="0" w:space="0" w:color="auto"/>
                  </w:divBdr>
                  <w:divsChild>
                    <w:div w:id="1045568152">
                      <w:marLeft w:val="0"/>
                      <w:marRight w:val="0"/>
                      <w:marTop w:val="0"/>
                      <w:marBottom w:val="0"/>
                      <w:divBdr>
                        <w:top w:val="none" w:sz="0" w:space="0" w:color="auto"/>
                        <w:left w:val="none" w:sz="0" w:space="0" w:color="auto"/>
                        <w:bottom w:val="none" w:sz="0" w:space="0" w:color="auto"/>
                        <w:right w:val="none" w:sz="0" w:space="0" w:color="auto"/>
                      </w:divBdr>
                      <w:divsChild>
                        <w:div w:id="690911689">
                          <w:marLeft w:val="0"/>
                          <w:marRight w:val="0"/>
                          <w:marTop w:val="0"/>
                          <w:marBottom w:val="0"/>
                          <w:divBdr>
                            <w:top w:val="none" w:sz="0" w:space="0" w:color="auto"/>
                            <w:left w:val="none" w:sz="0" w:space="0" w:color="auto"/>
                            <w:bottom w:val="none" w:sz="0" w:space="0" w:color="auto"/>
                            <w:right w:val="none" w:sz="0" w:space="0" w:color="auto"/>
                          </w:divBdr>
                          <w:divsChild>
                            <w:div w:id="2002343409">
                              <w:marLeft w:val="0"/>
                              <w:marRight w:val="0"/>
                              <w:marTop w:val="0"/>
                              <w:marBottom w:val="0"/>
                              <w:divBdr>
                                <w:top w:val="none" w:sz="0" w:space="0" w:color="auto"/>
                                <w:left w:val="none" w:sz="0" w:space="0" w:color="auto"/>
                                <w:bottom w:val="none" w:sz="0" w:space="0" w:color="auto"/>
                                <w:right w:val="none" w:sz="0" w:space="0" w:color="auto"/>
                              </w:divBdr>
                              <w:divsChild>
                                <w:div w:id="1602294882">
                                  <w:marLeft w:val="0"/>
                                  <w:marRight w:val="0"/>
                                  <w:marTop w:val="0"/>
                                  <w:marBottom w:val="0"/>
                                  <w:divBdr>
                                    <w:top w:val="none" w:sz="0" w:space="0" w:color="auto"/>
                                    <w:left w:val="none" w:sz="0" w:space="0" w:color="auto"/>
                                    <w:bottom w:val="none" w:sz="0" w:space="0" w:color="auto"/>
                                    <w:right w:val="none" w:sz="0" w:space="0" w:color="auto"/>
                                  </w:divBdr>
                                  <w:divsChild>
                                    <w:div w:id="1308436996">
                                      <w:marLeft w:val="0"/>
                                      <w:marRight w:val="0"/>
                                      <w:marTop w:val="0"/>
                                      <w:marBottom w:val="0"/>
                                      <w:divBdr>
                                        <w:top w:val="none" w:sz="0" w:space="0" w:color="auto"/>
                                        <w:left w:val="none" w:sz="0" w:space="0" w:color="auto"/>
                                        <w:bottom w:val="none" w:sz="0" w:space="0" w:color="auto"/>
                                        <w:right w:val="none" w:sz="0" w:space="0" w:color="auto"/>
                                      </w:divBdr>
                                      <w:divsChild>
                                        <w:div w:id="1389839630">
                                          <w:marLeft w:val="0"/>
                                          <w:marRight w:val="0"/>
                                          <w:marTop w:val="0"/>
                                          <w:marBottom w:val="0"/>
                                          <w:divBdr>
                                            <w:top w:val="none" w:sz="0" w:space="0" w:color="auto"/>
                                            <w:left w:val="none" w:sz="0" w:space="0" w:color="auto"/>
                                            <w:bottom w:val="none" w:sz="0" w:space="0" w:color="auto"/>
                                            <w:right w:val="none" w:sz="0" w:space="0" w:color="auto"/>
                                          </w:divBdr>
                                          <w:divsChild>
                                            <w:div w:id="1307129825">
                                              <w:marLeft w:val="0"/>
                                              <w:marRight w:val="0"/>
                                              <w:marTop w:val="0"/>
                                              <w:marBottom w:val="0"/>
                                              <w:divBdr>
                                                <w:top w:val="none" w:sz="0" w:space="0" w:color="auto"/>
                                                <w:left w:val="none" w:sz="0" w:space="0" w:color="auto"/>
                                                <w:bottom w:val="none" w:sz="0" w:space="0" w:color="auto"/>
                                                <w:right w:val="none" w:sz="0" w:space="0" w:color="auto"/>
                                              </w:divBdr>
                                              <w:divsChild>
                                                <w:div w:id="144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24018/ejedu.2025.6.2.92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id-ID"/>
              <a:t>Achievement (%)</a:t>
            </a:r>
            <a:r>
              <a:rPr lang="en-US"/>
              <a:t>   </a:t>
            </a:r>
          </a:p>
        </c:rich>
      </c:tx>
      <c:overlay val="0"/>
    </c:title>
    <c:autoTitleDeleted val="0"/>
    <c:plotArea>
      <c:layout/>
      <c:barChart>
        <c:barDir val="col"/>
        <c:grouping val="stacked"/>
        <c:varyColors val="0"/>
        <c:ser>
          <c:idx val="0"/>
          <c:order val="0"/>
          <c:tx>
            <c:strRef>
              <c:f>Sheet1!$B$1</c:f>
              <c:strCache>
                <c:ptCount val="1"/>
                <c:pt idx="0">
                  <c:v>Learning Environment Indicators </c:v>
                </c:pt>
              </c:strCache>
            </c:strRef>
          </c:tx>
          <c:invertIfNegative val="0"/>
          <c:cat>
            <c:numRef>
              <c:f>Sheet1!$A$2:$A$7</c:f>
              <c:numCache>
                <c:formatCode>General</c:formatCode>
                <c:ptCount val="6"/>
                <c:pt idx="0">
                  <c:v>1</c:v>
                </c:pt>
                <c:pt idx="1">
                  <c:v>2</c:v>
                </c:pt>
                <c:pt idx="2">
                  <c:v>3</c:v>
                </c:pt>
                <c:pt idx="3">
                  <c:v>4</c:v>
                </c:pt>
                <c:pt idx="4">
                  <c:v>5</c:v>
                </c:pt>
              </c:numCache>
            </c:numRef>
          </c:cat>
          <c:val>
            <c:numRef>
              <c:f>Sheet1!$B$2:$B$7</c:f>
              <c:numCache>
                <c:formatCode>General</c:formatCode>
                <c:ptCount val="6"/>
                <c:pt idx="0">
                  <c:v>79.09</c:v>
                </c:pt>
                <c:pt idx="1">
                  <c:v>76.36</c:v>
                </c:pt>
                <c:pt idx="2">
                  <c:v>74.28</c:v>
                </c:pt>
                <c:pt idx="3">
                  <c:v>88.05</c:v>
                </c:pt>
                <c:pt idx="4">
                  <c:v>92.23</c:v>
                </c:pt>
              </c:numCache>
            </c:numRef>
          </c:val>
          <c:extLst>
            <c:ext xmlns:c16="http://schemas.microsoft.com/office/drawing/2014/chart" uri="{C3380CC4-5D6E-409C-BE32-E72D297353CC}">
              <c16:uniqueId val="{00000000-E924-4D0C-B4A1-78C7B530DAAF}"/>
            </c:ext>
          </c:extLst>
        </c:ser>
        <c:dLbls>
          <c:showLegendKey val="0"/>
          <c:showVal val="0"/>
          <c:showCatName val="0"/>
          <c:showSerName val="0"/>
          <c:showPercent val="0"/>
          <c:showBubbleSize val="0"/>
        </c:dLbls>
        <c:gapWidth val="75"/>
        <c:overlap val="100"/>
        <c:axId val="254628992"/>
        <c:axId val="15667200"/>
      </c:barChart>
      <c:catAx>
        <c:axId val="254628992"/>
        <c:scaling>
          <c:orientation val="minMax"/>
        </c:scaling>
        <c:delete val="0"/>
        <c:axPos val="b"/>
        <c:numFmt formatCode="General" sourceLinked="1"/>
        <c:majorTickMark val="none"/>
        <c:minorTickMark val="none"/>
        <c:tickLblPos val="nextTo"/>
        <c:crossAx val="15667200"/>
        <c:crosses val="autoZero"/>
        <c:auto val="1"/>
        <c:lblAlgn val="ctr"/>
        <c:lblOffset val="100"/>
        <c:noMultiLvlLbl val="0"/>
      </c:catAx>
      <c:valAx>
        <c:axId val="15667200"/>
        <c:scaling>
          <c:orientation val="minMax"/>
        </c:scaling>
        <c:delete val="0"/>
        <c:axPos val="l"/>
        <c:majorGridlines/>
        <c:numFmt formatCode="General" sourceLinked="1"/>
        <c:majorTickMark val="none"/>
        <c:minorTickMark val="none"/>
        <c:tickLblPos val="nextTo"/>
        <c:crossAx val="25462899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Capaian (%)</a:t>
            </a:r>
            <a:endParaRPr lang="en-US"/>
          </a:p>
        </c:rich>
      </c:tx>
      <c:overlay val="0"/>
    </c:title>
    <c:autoTitleDeleted val="0"/>
    <c:plotArea>
      <c:layout/>
      <c:barChart>
        <c:barDir val="col"/>
        <c:grouping val="stacked"/>
        <c:varyColors val="0"/>
        <c:ser>
          <c:idx val="0"/>
          <c:order val="0"/>
          <c:tx>
            <c:strRef>
              <c:f>Sheet1!$B$1</c:f>
              <c:strCache>
                <c:ptCount val="1"/>
                <c:pt idx="0">
                  <c:v>Learning Design and Assessment Skills</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94.37</c:v>
                </c:pt>
                <c:pt idx="1">
                  <c:v>86.21</c:v>
                </c:pt>
                <c:pt idx="2">
                  <c:v>96.54</c:v>
                </c:pt>
                <c:pt idx="3">
                  <c:v>78.33</c:v>
                </c:pt>
                <c:pt idx="4">
                  <c:v>88.52</c:v>
                </c:pt>
              </c:numCache>
            </c:numRef>
          </c:val>
          <c:extLst>
            <c:ext xmlns:c16="http://schemas.microsoft.com/office/drawing/2014/chart" uri="{C3380CC4-5D6E-409C-BE32-E72D297353CC}">
              <c16:uniqueId val="{00000000-11A4-4001-86D5-A1E9C6D4C5C0}"/>
            </c:ext>
          </c:extLst>
        </c:ser>
        <c:dLbls>
          <c:showLegendKey val="0"/>
          <c:showVal val="0"/>
          <c:showCatName val="0"/>
          <c:showSerName val="0"/>
          <c:showPercent val="0"/>
          <c:showBubbleSize val="0"/>
        </c:dLbls>
        <c:gapWidth val="75"/>
        <c:overlap val="100"/>
        <c:axId val="15688064"/>
        <c:axId val="15689600"/>
      </c:barChart>
      <c:catAx>
        <c:axId val="15688064"/>
        <c:scaling>
          <c:orientation val="minMax"/>
        </c:scaling>
        <c:delete val="0"/>
        <c:axPos val="b"/>
        <c:numFmt formatCode="General" sourceLinked="1"/>
        <c:majorTickMark val="none"/>
        <c:minorTickMark val="none"/>
        <c:tickLblPos val="nextTo"/>
        <c:crossAx val="15689600"/>
        <c:crosses val="autoZero"/>
        <c:auto val="1"/>
        <c:lblAlgn val="ctr"/>
        <c:lblOffset val="100"/>
        <c:noMultiLvlLbl val="0"/>
      </c:catAx>
      <c:valAx>
        <c:axId val="15689600"/>
        <c:scaling>
          <c:orientation val="minMax"/>
        </c:scaling>
        <c:delete val="0"/>
        <c:axPos val="l"/>
        <c:majorGridlines/>
        <c:numFmt formatCode="General" sourceLinked="1"/>
        <c:majorTickMark val="none"/>
        <c:minorTickMark val="none"/>
        <c:tickLblPos val="nextTo"/>
        <c:spPr>
          <a:ln w="9525">
            <a:noFill/>
          </a:ln>
        </c:spPr>
        <c:crossAx val="1568806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Teacher Literacy Culture Indicators</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93.25</c:v>
                </c:pt>
                <c:pt idx="1">
                  <c:v>76.64</c:v>
                </c:pt>
                <c:pt idx="2">
                  <c:v>76.92</c:v>
                </c:pt>
                <c:pt idx="3">
                  <c:v>68.989999999999995</c:v>
                </c:pt>
                <c:pt idx="4">
                  <c:v>78.86</c:v>
                </c:pt>
              </c:numCache>
            </c:numRef>
          </c:val>
          <c:extLst>
            <c:ext xmlns:c16="http://schemas.microsoft.com/office/drawing/2014/chart" uri="{C3380CC4-5D6E-409C-BE32-E72D297353CC}">
              <c16:uniqueId val="{00000000-FB98-421C-A57D-1DC7BAF8F9B3}"/>
            </c:ext>
          </c:extLst>
        </c:ser>
        <c:dLbls>
          <c:showLegendKey val="0"/>
          <c:showVal val="0"/>
          <c:showCatName val="0"/>
          <c:showSerName val="0"/>
          <c:showPercent val="0"/>
          <c:showBubbleSize val="0"/>
        </c:dLbls>
        <c:gapWidth val="75"/>
        <c:overlap val="100"/>
        <c:axId val="15747328"/>
        <c:axId val="15749120"/>
      </c:barChart>
      <c:catAx>
        <c:axId val="15747328"/>
        <c:scaling>
          <c:orientation val="minMax"/>
        </c:scaling>
        <c:delete val="0"/>
        <c:axPos val="b"/>
        <c:numFmt formatCode="General" sourceLinked="1"/>
        <c:majorTickMark val="none"/>
        <c:minorTickMark val="none"/>
        <c:tickLblPos val="nextTo"/>
        <c:crossAx val="15749120"/>
        <c:crosses val="autoZero"/>
        <c:auto val="1"/>
        <c:lblAlgn val="ctr"/>
        <c:lblOffset val="100"/>
        <c:noMultiLvlLbl val="0"/>
      </c:catAx>
      <c:valAx>
        <c:axId val="15749120"/>
        <c:scaling>
          <c:orientation val="minMax"/>
        </c:scaling>
        <c:delete val="0"/>
        <c:axPos val="l"/>
        <c:majorGridlines/>
        <c:numFmt formatCode="General" sourceLinked="1"/>
        <c:majorTickMark val="none"/>
        <c:minorTickMark val="none"/>
        <c:tickLblPos val="nextTo"/>
        <c:crossAx val="1574732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clustered"/>
        <c:varyColors val="0"/>
        <c:ser>
          <c:idx val="0"/>
          <c:order val="0"/>
          <c:tx>
            <c:strRef>
              <c:f>Sheet1!$B$1</c:f>
              <c:strCache>
                <c:ptCount val="1"/>
                <c:pt idx="0">
                  <c:v>Students' Numeracy Knowledge and Experience</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70.319999999999993</c:v>
                </c:pt>
                <c:pt idx="1">
                  <c:v>87.43</c:v>
                </c:pt>
                <c:pt idx="2">
                  <c:v>82.64</c:v>
                </c:pt>
                <c:pt idx="3">
                  <c:v>76.87</c:v>
                </c:pt>
                <c:pt idx="4">
                  <c:v>67.510000000000005</c:v>
                </c:pt>
              </c:numCache>
            </c:numRef>
          </c:val>
          <c:extLst>
            <c:ext xmlns:c16="http://schemas.microsoft.com/office/drawing/2014/chart" uri="{C3380CC4-5D6E-409C-BE32-E72D297353CC}">
              <c16:uniqueId val="{00000000-2C26-4856-8A1D-D44DD90501BA}"/>
            </c:ext>
          </c:extLst>
        </c:ser>
        <c:dLbls>
          <c:showLegendKey val="0"/>
          <c:showVal val="0"/>
          <c:showCatName val="0"/>
          <c:showSerName val="0"/>
          <c:showPercent val="0"/>
          <c:showBubbleSize val="0"/>
        </c:dLbls>
        <c:gapWidth val="75"/>
        <c:overlap val="-25"/>
        <c:axId val="15769984"/>
        <c:axId val="15771520"/>
      </c:barChart>
      <c:catAx>
        <c:axId val="15769984"/>
        <c:scaling>
          <c:orientation val="minMax"/>
        </c:scaling>
        <c:delete val="0"/>
        <c:axPos val="b"/>
        <c:numFmt formatCode="General" sourceLinked="1"/>
        <c:majorTickMark val="none"/>
        <c:minorTickMark val="none"/>
        <c:tickLblPos val="nextTo"/>
        <c:crossAx val="15771520"/>
        <c:crosses val="autoZero"/>
        <c:auto val="1"/>
        <c:lblAlgn val="ctr"/>
        <c:lblOffset val="100"/>
        <c:noMultiLvlLbl val="0"/>
      </c:catAx>
      <c:valAx>
        <c:axId val="15771520"/>
        <c:scaling>
          <c:orientation val="minMax"/>
        </c:scaling>
        <c:delete val="0"/>
        <c:axPos val="l"/>
        <c:majorGridlines/>
        <c:numFmt formatCode="General" sourceLinked="1"/>
        <c:majorTickMark val="none"/>
        <c:minorTickMark val="none"/>
        <c:tickLblPos val="nextTo"/>
        <c:spPr>
          <a:ln w="9525">
            <a:noFill/>
          </a:ln>
        </c:spPr>
        <c:crossAx val="15769984"/>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Learning Environments that Support Numeracy Learning and mindset</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67.42</c:v>
                </c:pt>
                <c:pt idx="2">
                  <c:v>84.5</c:v>
                </c:pt>
                <c:pt idx="3">
                  <c:v>66.930000000000007</c:v>
                </c:pt>
                <c:pt idx="4">
                  <c:v>75.77</c:v>
                </c:pt>
              </c:numCache>
            </c:numRef>
          </c:val>
          <c:extLst>
            <c:ext xmlns:c16="http://schemas.microsoft.com/office/drawing/2014/chart" uri="{C3380CC4-5D6E-409C-BE32-E72D297353CC}">
              <c16:uniqueId val="{00000000-58C7-4B11-AD5C-38685F1C9CA2}"/>
            </c:ext>
          </c:extLst>
        </c:ser>
        <c:dLbls>
          <c:showLegendKey val="0"/>
          <c:showVal val="0"/>
          <c:showCatName val="0"/>
          <c:showSerName val="0"/>
          <c:showPercent val="0"/>
          <c:showBubbleSize val="0"/>
        </c:dLbls>
        <c:gapWidth val="75"/>
        <c:overlap val="100"/>
        <c:axId val="15780096"/>
        <c:axId val="15822848"/>
      </c:barChart>
      <c:catAx>
        <c:axId val="15780096"/>
        <c:scaling>
          <c:orientation val="minMax"/>
        </c:scaling>
        <c:delete val="0"/>
        <c:axPos val="b"/>
        <c:numFmt formatCode="General" sourceLinked="1"/>
        <c:majorTickMark val="none"/>
        <c:minorTickMark val="none"/>
        <c:tickLblPos val="nextTo"/>
        <c:crossAx val="15822848"/>
        <c:crosses val="autoZero"/>
        <c:auto val="1"/>
        <c:lblAlgn val="ctr"/>
        <c:lblOffset val="100"/>
        <c:noMultiLvlLbl val="0"/>
      </c:catAx>
      <c:valAx>
        <c:axId val="15822848"/>
        <c:scaling>
          <c:orientation val="minMax"/>
        </c:scaling>
        <c:delete val="0"/>
        <c:axPos val="l"/>
        <c:majorGridlines/>
        <c:numFmt formatCode="General" sourceLinked="1"/>
        <c:majorTickMark val="none"/>
        <c:minorTickMark val="none"/>
        <c:tickLblPos val="nextTo"/>
        <c:crossAx val="1578009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a:t>Achievement (%)</a:t>
            </a:r>
            <a:endParaRPr lang="en-US"/>
          </a:p>
        </c:rich>
      </c:tx>
      <c:overlay val="0"/>
    </c:title>
    <c:autoTitleDeleted val="0"/>
    <c:plotArea>
      <c:layout/>
      <c:barChart>
        <c:barDir val="col"/>
        <c:grouping val="stacked"/>
        <c:varyColors val="0"/>
        <c:ser>
          <c:idx val="0"/>
          <c:order val="0"/>
          <c:tx>
            <c:strRef>
              <c:f>Sheet1!$B$1</c:f>
              <c:strCache>
                <c:ptCount val="1"/>
                <c:pt idx="0">
                  <c:v>Learning and Assessment</c:v>
                </c:pt>
              </c:strCache>
            </c:strRef>
          </c:tx>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63.76</c:v>
                </c:pt>
                <c:pt idx="1">
                  <c:v>81.88</c:v>
                </c:pt>
                <c:pt idx="2">
                  <c:v>88.53</c:v>
                </c:pt>
                <c:pt idx="3">
                  <c:v>78.69</c:v>
                </c:pt>
              </c:numCache>
            </c:numRef>
          </c:val>
          <c:extLst>
            <c:ext xmlns:c16="http://schemas.microsoft.com/office/drawing/2014/chart" uri="{C3380CC4-5D6E-409C-BE32-E72D297353CC}">
              <c16:uniqueId val="{00000000-C42C-4909-92ED-D089F654B2D3}"/>
            </c:ext>
          </c:extLst>
        </c:ser>
        <c:dLbls>
          <c:showLegendKey val="0"/>
          <c:showVal val="0"/>
          <c:showCatName val="0"/>
          <c:showSerName val="0"/>
          <c:showPercent val="0"/>
          <c:showBubbleSize val="0"/>
        </c:dLbls>
        <c:gapWidth val="75"/>
        <c:overlap val="100"/>
        <c:axId val="15847808"/>
        <c:axId val="15849344"/>
      </c:barChart>
      <c:catAx>
        <c:axId val="15847808"/>
        <c:scaling>
          <c:orientation val="minMax"/>
        </c:scaling>
        <c:delete val="0"/>
        <c:axPos val="b"/>
        <c:numFmt formatCode="General" sourceLinked="1"/>
        <c:majorTickMark val="none"/>
        <c:minorTickMark val="none"/>
        <c:tickLblPos val="nextTo"/>
        <c:crossAx val="15849344"/>
        <c:crosses val="autoZero"/>
        <c:auto val="1"/>
        <c:lblAlgn val="ctr"/>
        <c:lblOffset val="100"/>
        <c:noMultiLvlLbl val="0"/>
      </c:catAx>
      <c:valAx>
        <c:axId val="15849344"/>
        <c:scaling>
          <c:orientation val="minMax"/>
        </c:scaling>
        <c:delete val="0"/>
        <c:axPos val="l"/>
        <c:majorGridlines/>
        <c:numFmt formatCode="General" sourceLinked="1"/>
        <c:majorTickMark val="none"/>
        <c:minorTickMark val="none"/>
        <c:tickLblPos val="nextTo"/>
        <c:crossAx val="1584780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baseline="0"/>
              <a:t>Achievement (%)</a:t>
            </a:r>
            <a:endParaRPr lang="en-US"/>
          </a:p>
        </c:rich>
      </c:tx>
      <c:overlay val="0"/>
    </c:title>
    <c:autoTitleDeleted val="0"/>
    <c:plotArea>
      <c:layout/>
      <c:barChart>
        <c:barDir val="col"/>
        <c:grouping val="stacked"/>
        <c:varyColors val="0"/>
        <c:ser>
          <c:idx val="0"/>
          <c:order val="0"/>
          <c:tx>
            <c:strRef>
              <c:f>Sheet1!$B$1</c:f>
              <c:strCache>
                <c:ptCount val="1"/>
                <c:pt idx="0">
                  <c:v>Teacher Numeracy Culture</c:v>
                </c:pt>
              </c:strCache>
            </c:strRef>
          </c:tx>
          <c:invertIfNegative val="0"/>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53.93</c:v>
                </c:pt>
                <c:pt idx="1">
                  <c:v>71.319999999999993</c:v>
                </c:pt>
                <c:pt idx="2">
                  <c:v>66.760000000000005</c:v>
                </c:pt>
                <c:pt idx="3">
                  <c:v>92.2</c:v>
                </c:pt>
                <c:pt idx="4">
                  <c:v>76.44</c:v>
                </c:pt>
              </c:numCache>
            </c:numRef>
          </c:val>
          <c:extLst>
            <c:ext xmlns:c16="http://schemas.microsoft.com/office/drawing/2014/chart" uri="{C3380CC4-5D6E-409C-BE32-E72D297353CC}">
              <c16:uniqueId val="{00000000-860D-42A2-9368-8EFCDE8F815A}"/>
            </c:ext>
          </c:extLst>
        </c:ser>
        <c:dLbls>
          <c:showLegendKey val="0"/>
          <c:showVal val="0"/>
          <c:showCatName val="0"/>
          <c:showSerName val="0"/>
          <c:showPercent val="0"/>
          <c:showBubbleSize val="0"/>
        </c:dLbls>
        <c:gapWidth val="75"/>
        <c:overlap val="100"/>
        <c:axId val="15894784"/>
        <c:axId val="15900672"/>
      </c:barChart>
      <c:catAx>
        <c:axId val="15894784"/>
        <c:scaling>
          <c:orientation val="minMax"/>
        </c:scaling>
        <c:delete val="0"/>
        <c:axPos val="b"/>
        <c:numFmt formatCode="General" sourceLinked="1"/>
        <c:majorTickMark val="none"/>
        <c:minorTickMark val="none"/>
        <c:tickLblPos val="nextTo"/>
        <c:crossAx val="15900672"/>
        <c:crosses val="autoZero"/>
        <c:auto val="1"/>
        <c:lblAlgn val="ctr"/>
        <c:lblOffset val="100"/>
        <c:noMultiLvlLbl val="0"/>
      </c:catAx>
      <c:valAx>
        <c:axId val="15900672"/>
        <c:scaling>
          <c:orientation val="minMax"/>
        </c:scaling>
        <c:delete val="0"/>
        <c:axPos val="l"/>
        <c:majorGridlines/>
        <c:numFmt formatCode="General" sourceLinked="1"/>
        <c:majorTickMark val="none"/>
        <c:minorTickMark val="none"/>
        <c:tickLblPos val="nextTo"/>
        <c:spPr>
          <a:ln w="9525">
            <a:noFill/>
          </a:ln>
        </c:spPr>
        <c:crossAx val="1589478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19</Pages>
  <Words>15281</Words>
  <Characters>87104</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Editor-22</cp:lastModifiedBy>
  <cp:revision>33</cp:revision>
  <dcterms:created xsi:type="dcterms:W3CDTF">2025-04-16T02:01:00Z</dcterms:created>
  <dcterms:modified xsi:type="dcterms:W3CDTF">2025-05-27T07:56:00Z</dcterms:modified>
</cp:coreProperties>
</file>