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90C84" w14:textId="77777777" w:rsidR="009525FC" w:rsidRDefault="009525FC" w:rsidP="00BC1A01">
      <w:pPr>
        <w:spacing w:after="0" w:line="480" w:lineRule="auto"/>
        <w:jc w:val="center"/>
        <w:rPr>
          <w:rFonts w:eastAsiaTheme="minorHAnsi" w:cs="Times New Roman"/>
          <w:b/>
          <w:bCs/>
          <w:sz w:val="22"/>
          <w:lang w:val="en-GB" w:eastAsia="en-US"/>
        </w:rPr>
      </w:pPr>
      <w:r w:rsidRPr="009525FC">
        <w:rPr>
          <w:rFonts w:eastAsiaTheme="minorHAnsi" w:cs="Times New Roman"/>
          <w:b/>
          <w:bCs/>
          <w:sz w:val="22"/>
          <w:lang w:val="en-GB" w:eastAsia="en-US"/>
        </w:rPr>
        <w:t>Original Research Article</w:t>
      </w:r>
    </w:p>
    <w:p w14:paraId="3C86B157" w14:textId="77777777" w:rsidR="009525FC" w:rsidRDefault="009525FC" w:rsidP="00BC1A01">
      <w:pPr>
        <w:spacing w:after="0" w:line="480" w:lineRule="auto"/>
        <w:jc w:val="center"/>
        <w:rPr>
          <w:rFonts w:eastAsiaTheme="minorHAnsi" w:cs="Times New Roman"/>
          <w:b/>
          <w:bCs/>
          <w:sz w:val="22"/>
          <w:lang w:val="en-GB" w:eastAsia="en-US"/>
        </w:rPr>
      </w:pPr>
    </w:p>
    <w:p w14:paraId="70F52D6F" w14:textId="6C420A01" w:rsidR="00D573B7" w:rsidRPr="00BC1A01" w:rsidRDefault="00EB64AE" w:rsidP="00BC1A01">
      <w:pPr>
        <w:spacing w:after="0" w:line="480" w:lineRule="auto"/>
        <w:jc w:val="center"/>
        <w:rPr>
          <w:rFonts w:eastAsiaTheme="minorHAnsi" w:cs="Times New Roman"/>
          <w:b/>
          <w:bCs/>
          <w:sz w:val="22"/>
          <w:lang w:val="en-GB" w:eastAsia="en-US"/>
        </w:rPr>
      </w:pPr>
      <w:r w:rsidRPr="00BC1A01">
        <w:rPr>
          <w:rFonts w:eastAsiaTheme="minorHAnsi" w:cs="Times New Roman"/>
          <w:b/>
          <w:bCs/>
          <w:sz w:val="22"/>
          <w:lang w:val="en-GB" w:eastAsia="en-US"/>
        </w:rPr>
        <w:t xml:space="preserve">Effects </w:t>
      </w:r>
      <w:r w:rsidR="00BC1A01" w:rsidRPr="00BC1A01">
        <w:rPr>
          <w:rFonts w:eastAsiaTheme="minorHAnsi" w:cs="Times New Roman"/>
          <w:b/>
          <w:bCs/>
          <w:sz w:val="22"/>
          <w:lang w:val="en-GB" w:eastAsia="en-US"/>
        </w:rPr>
        <w:t xml:space="preserve">of Employee Motivation on Land Service Delivery by the </w:t>
      </w:r>
      <w:r w:rsidRPr="00BC1A01">
        <w:rPr>
          <w:rFonts w:eastAsiaTheme="minorHAnsi" w:cs="Times New Roman"/>
          <w:b/>
          <w:bCs/>
          <w:sz w:val="22"/>
          <w:lang w:val="en-GB" w:eastAsia="en-US"/>
        </w:rPr>
        <w:t xml:space="preserve">Lands Commission </w:t>
      </w:r>
      <w:r w:rsidR="00BC1A01" w:rsidRPr="00BC1A01">
        <w:rPr>
          <w:rFonts w:eastAsiaTheme="minorHAnsi" w:cs="Times New Roman"/>
          <w:b/>
          <w:bCs/>
          <w:sz w:val="22"/>
          <w:lang w:val="en-GB" w:eastAsia="en-US"/>
        </w:rPr>
        <w:t xml:space="preserve">of </w:t>
      </w:r>
      <w:r w:rsidRPr="00BC1A01">
        <w:rPr>
          <w:rFonts w:eastAsiaTheme="minorHAnsi" w:cs="Times New Roman"/>
          <w:b/>
          <w:bCs/>
          <w:sz w:val="22"/>
          <w:lang w:val="en-GB" w:eastAsia="en-US"/>
        </w:rPr>
        <w:t>Ghana</w:t>
      </w:r>
    </w:p>
    <w:p w14:paraId="1D3251DF" w14:textId="517BCDED" w:rsidR="00987856" w:rsidRPr="00BC1A01" w:rsidRDefault="00BC1A01" w:rsidP="00B20C4D">
      <w:pPr>
        <w:spacing w:after="0" w:line="480" w:lineRule="auto"/>
        <w:rPr>
          <w:rFonts w:eastAsia="Calibri" w:cs="Times New Roman"/>
          <w:b/>
          <w:bCs/>
          <w:kern w:val="0"/>
          <w:sz w:val="20"/>
          <w:szCs w:val="20"/>
          <w:lang w:eastAsia="en-US"/>
          <w14:ligatures w14:val="none"/>
        </w:rPr>
      </w:pPr>
      <w:r w:rsidRPr="00BC1A01">
        <w:rPr>
          <w:rFonts w:eastAsia="Calibri" w:cs="Times New Roman"/>
          <w:b/>
          <w:bCs/>
          <w:kern w:val="0"/>
          <w:sz w:val="20"/>
          <w:szCs w:val="20"/>
          <w:lang w:eastAsia="en-US"/>
          <w14:ligatures w14:val="none"/>
        </w:rPr>
        <w:t>ABSTRACT</w:t>
      </w:r>
    </w:p>
    <w:p w14:paraId="268B3747" w14:textId="1597E5A0" w:rsidR="00326433" w:rsidRPr="00BC1A01" w:rsidRDefault="00326433" w:rsidP="00B20C4D">
      <w:pPr>
        <w:spacing w:after="0" w:line="480" w:lineRule="auto"/>
        <w:rPr>
          <w:rFonts w:cs="Times New Roman"/>
          <w:sz w:val="20"/>
          <w:szCs w:val="20"/>
        </w:rPr>
      </w:pPr>
      <w:r w:rsidRPr="00BC1A01">
        <w:rPr>
          <w:rFonts w:eastAsia="Calibri" w:cs="Times New Roman"/>
          <w:kern w:val="0"/>
          <w:sz w:val="20"/>
          <w:szCs w:val="20"/>
          <w:lang w:eastAsia="en-US"/>
          <w14:ligatures w14:val="none"/>
        </w:rPr>
        <w:t xml:space="preserve">This </w:t>
      </w:r>
      <w:r w:rsidR="0052309F" w:rsidRPr="00BC1A01">
        <w:rPr>
          <w:rFonts w:eastAsia="Calibri" w:cs="Times New Roman"/>
          <w:kern w:val="0"/>
          <w:sz w:val="20"/>
          <w:szCs w:val="20"/>
          <w:lang w:eastAsia="en-US"/>
          <w14:ligatures w14:val="none"/>
        </w:rPr>
        <w:t>paper</w:t>
      </w:r>
      <w:r w:rsidRPr="00BC1A01">
        <w:rPr>
          <w:rFonts w:eastAsia="Calibri" w:cs="Times New Roman"/>
          <w:kern w:val="0"/>
          <w:sz w:val="20"/>
          <w:szCs w:val="20"/>
          <w:lang w:eastAsia="en-US"/>
          <w14:ligatures w14:val="none"/>
        </w:rPr>
        <w:t xml:space="preserve"> </w:t>
      </w:r>
      <w:r w:rsidR="0052309F" w:rsidRPr="00BC1A01">
        <w:rPr>
          <w:rFonts w:eastAsia="Calibri" w:cs="Times New Roman"/>
          <w:kern w:val="0"/>
          <w:sz w:val="20"/>
          <w:szCs w:val="20"/>
          <w:lang w:eastAsia="en-US"/>
          <w14:ligatures w14:val="none"/>
        </w:rPr>
        <w:t>examines</w:t>
      </w:r>
      <w:r w:rsidRPr="00BC1A01">
        <w:rPr>
          <w:rFonts w:eastAsia="Calibri" w:cs="Times New Roman"/>
          <w:kern w:val="0"/>
          <w:sz w:val="20"/>
          <w:szCs w:val="20"/>
          <w:lang w:eastAsia="en-US"/>
          <w14:ligatures w14:val="none"/>
        </w:rPr>
        <w:t xml:space="preserve"> how intrinsic and extrinsic motivation impact </w:t>
      </w:r>
      <w:r w:rsidR="0052309F" w:rsidRPr="00BC1A01">
        <w:rPr>
          <w:rFonts w:eastAsia="Calibri" w:cs="Times New Roman"/>
          <w:kern w:val="0"/>
          <w:sz w:val="20"/>
          <w:szCs w:val="20"/>
          <w:lang w:eastAsia="en-US"/>
          <w14:ligatures w14:val="none"/>
        </w:rPr>
        <w:t>the</w:t>
      </w:r>
      <w:r w:rsidRPr="00BC1A01">
        <w:rPr>
          <w:rFonts w:eastAsia="Calibri" w:cs="Times New Roman"/>
          <w:kern w:val="0"/>
          <w:sz w:val="20"/>
          <w:szCs w:val="20"/>
          <w:lang w:eastAsia="en-US"/>
          <w14:ligatures w14:val="none"/>
        </w:rPr>
        <w:t xml:space="preserve"> se</w:t>
      </w:r>
      <w:bookmarkStart w:id="0" w:name="_GoBack"/>
      <w:bookmarkEnd w:id="0"/>
      <w:r w:rsidRPr="00BC1A01">
        <w:rPr>
          <w:rFonts w:eastAsia="Calibri" w:cs="Times New Roman"/>
          <w:kern w:val="0"/>
          <w:sz w:val="20"/>
          <w:szCs w:val="20"/>
          <w:lang w:eastAsia="en-US"/>
          <w14:ligatures w14:val="none"/>
        </w:rPr>
        <w:t xml:space="preserve">rvices provided by the Lands Commission and the moderating role of internal and external land administration reforms on service delivery. The study </w:t>
      </w:r>
      <w:r w:rsidR="00793C4A" w:rsidRPr="00BC1A01">
        <w:rPr>
          <w:rFonts w:eastAsia="Calibri" w:cs="Times New Roman"/>
          <w:kern w:val="0"/>
          <w:sz w:val="20"/>
          <w:szCs w:val="20"/>
          <w:lang w:eastAsia="en-US"/>
          <w14:ligatures w14:val="none"/>
        </w:rPr>
        <w:t>adopted</w:t>
      </w:r>
      <w:r w:rsidRPr="00BC1A01">
        <w:rPr>
          <w:rFonts w:eastAsia="Calibri" w:cs="Times New Roman"/>
          <w:kern w:val="0"/>
          <w:sz w:val="20"/>
          <w:szCs w:val="20"/>
          <w:lang w:eastAsia="en-US"/>
          <w14:ligatures w14:val="none"/>
        </w:rPr>
        <w:t xml:space="preserve"> </w:t>
      </w:r>
      <w:r w:rsidR="00793C4A" w:rsidRPr="00BC1A01">
        <w:rPr>
          <w:rFonts w:eastAsia="Calibri" w:cs="Times New Roman"/>
          <w:kern w:val="0"/>
          <w:sz w:val="20"/>
          <w:szCs w:val="20"/>
          <w:lang w:eastAsia="en-US"/>
          <w14:ligatures w14:val="none"/>
        </w:rPr>
        <w:t xml:space="preserve">a </w:t>
      </w:r>
      <w:r w:rsidRPr="00BC1A01">
        <w:rPr>
          <w:rFonts w:eastAsia="Calibri" w:cs="Times New Roman"/>
          <w:kern w:val="0"/>
          <w:sz w:val="20"/>
          <w:szCs w:val="20"/>
          <w:lang w:eastAsia="en-US"/>
          <w14:ligatures w14:val="none"/>
        </w:rPr>
        <w:t xml:space="preserve">quantitative approach utilizing explanatory research. </w:t>
      </w:r>
      <w:r w:rsidR="00793C4A" w:rsidRPr="00BC1A01">
        <w:rPr>
          <w:rFonts w:eastAsia="Calibri" w:cs="Times New Roman"/>
          <w:kern w:val="0"/>
          <w:sz w:val="20"/>
          <w:szCs w:val="20"/>
          <w:lang w:eastAsia="en-US"/>
          <w14:ligatures w14:val="none"/>
        </w:rPr>
        <w:t>Data was collected through questionnaires, and SPSS was used for analysis</w:t>
      </w:r>
      <w:r w:rsidR="0052309F" w:rsidRPr="00BC1A01">
        <w:rPr>
          <w:rFonts w:eastAsia="Calibri" w:cs="Times New Roman"/>
          <w:kern w:val="0"/>
          <w:sz w:val="20"/>
          <w:szCs w:val="20"/>
          <w:lang w:eastAsia="en-US"/>
          <w14:ligatures w14:val="none"/>
        </w:rPr>
        <w:t>.</w:t>
      </w:r>
      <w:r w:rsidRPr="00BC1A01">
        <w:rPr>
          <w:rFonts w:eastAsia="Calibri" w:cs="Times New Roman"/>
          <w:kern w:val="0"/>
          <w:sz w:val="20"/>
          <w:szCs w:val="20"/>
          <w:lang w:eastAsia="en-US"/>
          <w14:ligatures w14:val="none"/>
        </w:rPr>
        <w:t xml:space="preserve"> The results </w:t>
      </w:r>
      <w:r w:rsidR="0052309F" w:rsidRPr="00BC1A01">
        <w:rPr>
          <w:rFonts w:eastAsia="Calibri" w:cs="Times New Roman"/>
          <w:kern w:val="0"/>
          <w:sz w:val="20"/>
          <w:szCs w:val="20"/>
          <w:lang w:eastAsia="en-US"/>
          <w14:ligatures w14:val="none"/>
        </w:rPr>
        <w:t>reveal</w:t>
      </w:r>
      <w:r w:rsidRPr="00BC1A01">
        <w:rPr>
          <w:rFonts w:eastAsia="Calibri" w:cs="Times New Roman"/>
          <w:kern w:val="0"/>
          <w:sz w:val="20"/>
          <w:szCs w:val="20"/>
          <w:lang w:eastAsia="en-US"/>
          <w14:ligatures w14:val="none"/>
        </w:rPr>
        <w:t xml:space="preserve"> </w:t>
      </w:r>
      <w:r w:rsidR="0052309F" w:rsidRPr="00BC1A01">
        <w:rPr>
          <w:rFonts w:eastAsia="Calibri" w:cs="Times New Roman"/>
          <w:kern w:val="0"/>
          <w:sz w:val="20"/>
          <w:szCs w:val="20"/>
          <w:lang w:eastAsia="en-US"/>
          <w14:ligatures w14:val="none"/>
        </w:rPr>
        <w:t xml:space="preserve">a </w:t>
      </w:r>
      <w:r w:rsidRPr="00BC1A01">
        <w:rPr>
          <w:rFonts w:eastAsia="Calibri" w:cs="Times New Roman"/>
          <w:kern w:val="0"/>
          <w:sz w:val="20"/>
          <w:szCs w:val="20"/>
          <w:lang w:eastAsia="en-US"/>
          <w14:ligatures w14:val="none"/>
        </w:rPr>
        <w:t xml:space="preserve">significant positive relationship between intrinsic and extrinsic motivation and service delivery. Relating to the moderating hypothesis, </w:t>
      </w:r>
      <w:r w:rsidRPr="00BC1A01">
        <w:rPr>
          <w:rFonts w:eastAsia="Times New Roman" w:cs="Times New Roman"/>
          <w:sz w:val="20"/>
          <w:szCs w:val="20"/>
        </w:rPr>
        <w:t>internal reforms moderated the positive relationship between intrinsic motivation and service delivery</w:t>
      </w:r>
      <w:r w:rsidRPr="00BC1A01">
        <w:rPr>
          <w:rFonts w:eastAsia="Calibri" w:cs="Times New Roman"/>
          <w:kern w:val="0"/>
          <w:sz w:val="20"/>
          <w:szCs w:val="20"/>
          <w:lang w:eastAsia="en-US"/>
          <w14:ligatures w14:val="none"/>
        </w:rPr>
        <w:t xml:space="preserve">. </w:t>
      </w:r>
      <w:r w:rsidR="00793C4A" w:rsidRPr="00BC1A01">
        <w:rPr>
          <w:rFonts w:eastAsia="Calibri" w:cs="Times New Roman"/>
          <w:kern w:val="0"/>
          <w:sz w:val="20"/>
          <w:szCs w:val="20"/>
          <w:lang w:eastAsia="en-US"/>
          <w14:ligatures w14:val="none"/>
        </w:rPr>
        <w:t xml:space="preserve">Recommendations include </w:t>
      </w:r>
      <w:r w:rsidR="00793C4A" w:rsidRPr="00BC1A01">
        <w:rPr>
          <w:rFonts w:eastAsia="Times New Roman" w:cs="Times New Roman"/>
          <w:bCs/>
          <w:sz w:val="20"/>
          <w:szCs w:val="20"/>
        </w:rPr>
        <w:t>prioritizing employee motivation, enhancing systems through ICT integration</w:t>
      </w:r>
      <w:r w:rsidR="00793C4A" w:rsidRPr="00BC1A01">
        <w:rPr>
          <w:rFonts w:cs="Times New Roman"/>
          <w:sz w:val="20"/>
          <w:szCs w:val="20"/>
        </w:rPr>
        <w:t xml:space="preserve">, and </w:t>
      </w:r>
      <w:r w:rsidR="00BC1A01">
        <w:rPr>
          <w:rFonts w:cs="Times New Roman"/>
          <w:sz w:val="20"/>
          <w:szCs w:val="20"/>
        </w:rPr>
        <w:t xml:space="preserve">providing </w:t>
      </w:r>
      <w:r w:rsidR="00793C4A" w:rsidRPr="00BC1A01">
        <w:rPr>
          <w:rFonts w:eastAsia="Times New Roman" w:cs="Times New Roman"/>
          <w:bCs/>
          <w:sz w:val="20"/>
          <w:szCs w:val="20"/>
        </w:rPr>
        <w:t xml:space="preserve">adequate financial and technical resources. </w:t>
      </w:r>
    </w:p>
    <w:p w14:paraId="45D4709D" w14:textId="14A72C47" w:rsidR="00326433" w:rsidRPr="00BC1A01" w:rsidRDefault="00326433" w:rsidP="00B20C4D">
      <w:pPr>
        <w:spacing w:after="0" w:line="480" w:lineRule="auto"/>
        <w:rPr>
          <w:rFonts w:eastAsia="Calibri" w:cs="Times New Roman"/>
          <w:iCs/>
          <w:kern w:val="0"/>
          <w:sz w:val="20"/>
          <w:szCs w:val="20"/>
          <w:lang w:eastAsia="en-US"/>
          <w14:ligatures w14:val="none"/>
        </w:rPr>
      </w:pPr>
      <w:r w:rsidRPr="00BC1A01">
        <w:rPr>
          <w:rFonts w:eastAsia="Calibri" w:cs="Times New Roman"/>
          <w:b/>
          <w:kern w:val="0"/>
          <w:sz w:val="20"/>
          <w:szCs w:val="20"/>
          <w:lang w:eastAsia="en-US"/>
          <w14:ligatures w14:val="none"/>
        </w:rPr>
        <w:t>Keywords:</w:t>
      </w:r>
      <w:r w:rsidRPr="00BC1A01">
        <w:rPr>
          <w:rFonts w:eastAsia="Calibri" w:cs="Times New Roman"/>
          <w:kern w:val="0"/>
          <w:sz w:val="20"/>
          <w:szCs w:val="20"/>
          <w:lang w:eastAsia="en-US"/>
          <w14:ligatures w14:val="none"/>
        </w:rPr>
        <w:t xml:space="preserve"> </w:t>
      </w:r>
      <w:r w:rsidR="00D573B7" w:rsidRPr="00BC1A01">
        <w:rPr>
          <w:rFonts w:eastAsia="Calibri" w:cs="Times New Roman"/>
          <w:kern w:val="0"/>
          <w:sz w:val="20"/>
          <w:szCs w:val="20"/>
          <w:lang w:eastAsia="en-US"/>
          <w14:ligatures w14:val="none"/>
        </w:rPr>
        <w:t>Land</w:t>
      </w:r>
      <w:r w:rsidRPr="00BC1A01">
        <w:rPr>
          <w:rFonts w:eastAsia="Calibri" w:cs="Times New Roman"/>
          <w:iCs/>
          <w:kern w:val="0"/>
          <w:sz w:val="20"/>
          <w:szCs w:val="20"/>
          <w:lang w:eastAsia="en-US"/>
          <w14:ligatures w14:val="none"/>
        </w:rPr>
        <w:t xml:space="preserve"> Service Delivery, </w:t>
      </w:r>
      <w:r w:rsidR="002B06E3" w:rsidRPr="00BC1A01">
        <w:rPr>
          <w:rFonts w:eastAsia="Calibri" w:cs="Times New Roman"/>
          <w:iCs/>
          <w:kern w:val="0"/>
          <w:sz w:val="20"/>
          <w:szCs w:val="20"/>
          <w:lang w:eastAsia="en-US"/>
          <w14:ligatures w14:val="none"/>
        </w:rPr>
        <w:t xml:space="preserve">Lands Commission, Land Administration Reforms, </w:t>
      </w:r>
      <w:r w:rsidR="00D573B7" w:rsidRPr="00BC1A01">
        <w:rPr>
          <w:rFonts w:eastAsia="Calibri" w:cs="Times New Roman"/>
          <w:iCs/>
          <w:kern w:val="0"/>
          <w:sz w:val="20"/>
          <w:szCs w:val="20"/>
          <w:lang w:eastAsia="en-US"/>
          <w14:ligatures w14:val="none"/>
        </w:rPr>
        <w:t>Intrinsic motivation, Extrinsic m</w:t>
      </w:r>
      <w:r w:rsidRPr="00BC1A01">
        <w:rPr>
          <w:rFonts w:eastAsia="Calibri" w:cs="Times New Roman"/>
          <w:iCs/>
          <w:kern w:val="0"/>
          <w:sz w:val="20"/>
          <w:szCs w:val="20"/>
          <w:lang w:eastAsia="en-US"/>
          <w14:ligatures w14:val="none"/>
        </w:rPr>
        <w:t>otivation</w:t>
      </w:r>
    </w:p>
    <w:p w14:paraId="48E91DD0" w14:textId="3DB8F793" w:rsidR="00326433" w:rsidRPr="00BC1A01" w:rsidRDefault="00326433" w:rsidP="00B20C4D">
      <w:pPr>
        <w:spacing w:after="0" w:line="480" w:lineRule="auto"/>
        <w:rPr>
          <w:rFonts w:eastAsiaTheme="minorHAnsi" w:cs="Times New Roman"/>
          <w:sz w:val="20"/>
          <w:szCs w:val="20"/>
          <w:lang w:eastAsia="en-US"/>
        </w:rPr>
      </w:pPr>
    </w:p>
    <w:p w14:paraId="78B4AF40" w14:textId="77777777" w:rsidR="00326433" w:rsidRPr="00BC1A01" w:rsidRDefault="00326433" w:rsidP="00B20C4D">
      <w:pPr>
        <w:spacing w:after="0" w:line="480" w:lineRule="auto"/>
        <w:rPr>
          <w:rFonts w:eastAsiaTheme="minorHAnsi" w:cs="Times New Roman"/>
          <w:sz w:val="20"/>
          <w:szCs w:val="20"/>
          <w:lang w:eastAsia="en-US"/>
        </w:rPr>
      </w:pPr>
    </w:p>
    <w:p w14:paraId="0507A158" w14:textId="77777777" w:rsidR="00326433" w:rsidRPr="00BC1A01" w:rsidRDefault="00326433" w:rsidP="00B20C4D">
      <w:pPr>
        <w:spacing w:after="0" w:line="480" w:lineRule="auto"/>
        <w:rPr>
          <w:rFonts w:eastAsiaTheme="minorHAnsi" w:cs="Times New Roman"/>
          <w:sz w:val="20"/>
          <w:szCs w:val="20"/>
          <w:lang w:eastAsia="en-US"/>
        </w:rPr>
      </w:pPr>
    </w:p>
    <w:p w14:paraId="1AAA7FB4" w14:textId="15E07C82" w:rsidR="00531F30" w:rsidRPr="00BC1A01" w:rsidRDefault="00BC1A01" w:rsidP="00B20C4D">
      <w:pPr>
        <w:pStyle w:val="ListParagraph"/>
        <w:numPr>
          <w:ilvl w:val="0"/>
          <w:numId w:val="3"/>
        </w:numPr>
        <w:spacing w:line="480" w:lineRule="auto"/>
        <w:rPr>
          <w:rFonts w:cs="Times New Roman"/>
          <w:b/>
          <w:bCs/>
          <w:sz w:val="22"/>
        </w:rPr>
      </w:pPr>
      <w:r w:rsidRPr="00BC1A01">
        <w:rPr>
          <w:rFonts w:cs="Times New Roman"/>
          <w:b/>
          <w:bCs/>
          <w:sz w:val="22"/>
        </w:rPr>
        <w:t xml:space="preserve">INTRODUCTION </w:t>
      </w:r>
    </w:p>
    <w:p w14:paraId="34F82238" w14:textId="17E13506" w:rsidR="004520B9" w:rsidRPr="00BC1A01" w:rsidRDefault="00A765C5" w:rsidP="00B20C4D">
      <w:pPr>
        <w:spacing w:after="0" w:line="480" w:lineRule="auto"/>
        <w:rPr>
          <w:rFonts w:eastAsia="Times New Roman" w:cs="Times New Roman"/>
          <w:kern w:val="0"/>
          <w:sz w:val="20"/>
          <w:szCs w:val="20"/>
          <w:lang w:eastAsia="en-US"/>
          <w14:ligatures w14:val="none"/>
        </w:rPr>
      </w:pPr>
      <w:bookmarkStart w:id="1" w:name="_Hlk182303928"/>
      <w:r w:rsidRPr="00BC1A01">
        <w:rPr>
          <w:rFonts w:eastAsia="Calibri" w:cs="Times New Roman"/>
          <w:bCs/>
          <w:kern w:val="0"/>
          <w:sz w:val="20"/>
          <w:szCs w:val="20"/>
          <w:lang w:eastAsia="en-US"/>
          <w14:ligatures w14:val="none"/>
        </w:rPr>
        <w:t xml:space="preserve">Employee motivation is one of the main concerns of organizational behavior </w:t>
      </w:r>
      <w:r w:rsidR="0080019A" w:rsidRPr="00BC1A01">
        <w:rPr>
          <w:rFonts w:eastAsia="Calibri" w:cs="Times New Roman"/>
          <w:bCs/>
          <w:kern w:val="0"/>
          <w:sz w:val="20"/>
          <w:szCs w:val="20"/>
          <w:lang w:eastAsia="en-US"/>
          <w14:ligatures w14:val="none"/>
        </w:rPr>
        <w:t xml:space="preserve">in </w:t>
      </w:r>
      <w:r w:rsidR="001D08EF" w:rsidRPr="00BC1A01">
        <w:rPr>
          <w:rFonts w:eastAsia="Calibri" w:cs="Times New Roman"/>
          <w:bCs/>
          <w:kern w:val="0"/>
          <w:sz w:val="20"/>
          <w:szCs w:val="20"/>
          <w:lang w:eastAsia="en-US"/>
          <w14:ligatures w14:val="none"/>
        </w:rPr>
        <w:t xml:space="preserve">Africa and </w:t>
      </w:r>
      <w:r w:rsidRPr="00BC1A01">
        <w:rPr>
          <w:rFonts w:eastAsia="Calibri" w:cs="Times New Roman"/>
          <w:bCs/>
          <w:kern w:val="0"/>
          <w:sz w:val="20"/>
          <w:szCs w:val="20"/>
          <w:lang w:eastAsia="en-US"/>
          <w14:ligatures w14:val="none"/>
        </w:rPr>
        <w:t xml:space="preserve">worldwide. </w:t>
      </w:r>
      <w:r w:rsidR="00C11EB5" w:rsidRPr="00BC1A01">
        <w:rPr>
          <w:rFonts w:eastAsia="Calibri" w:cs="Times New Roman"/>
          <w:bCs/>
          <w:kern w:val="0"/>
          <w:sz w:val="20"/>
          <w:szCs w:val="20"/>
          <w:lang w:eastAsia="en-US"/>
          <w14:ligatures w14:val="none"/>
        </w:rPr>
        <w:t xml:space="preserve">According to </w:t>
      </w:r>
      <w:proofErr w:type="spellStart"/>
      <w:r w:rsidR="00C11EB5" w:rsidRPr="00BC1A01">
        <w:rPr>
          <w:rFonts w:eastAsia="Times New Roman" w:cs="Times New Roman"/>
          <w:kern w:val="0"/>
          <w:sz w:val="20"/>
          <w:szCs w:val="20"/>
          <w:lang w:eastAsia="en-US"/>
          <w14:ligatures w14:val="none"/>
        </w:rPr>
        <w:t>Dorta</w:t>
      </w:r>
      <w:proofErr w:type="spellEnd"/>
      <w:r w:rsidR="00C11EB5" w:rsidRPr="00BC1A01">
        <w:rPr>
          <w:rFonts w:eastAsia="Times New Roman" w:cs="Times New Roman"/>
          <w:kern w:val="0"/>
          <w:sz w:val="20"/>
          <w:szCs w:val="20"/>
          <w:lang w:eastAsia="en-US"/>
          <w14:ligatures w14:val="none"/>
        </w:rPr>
        <w:t>-Afonso et al. (2021), employee commitment and behavior are heavily influenced by motivation, a key psychological trait that boosts performance.</w:t>
      </w:r>
      <w:bookmarkStart w:id="2" w:name="_Hlk182310714"/>
      <w:r w:rsidR="00244EE7" w:rsidRPr="00BC1A01">
        <w:rPr>
          <w:rFonts w:eastAsia="Times New Roman" w:cs="Times New Roman"/>
          <w:kern w:val="0"/>
          <w:sz w:val="20"/>
          <w:szCs w:val="20"/>
          <w:lang w:eastAsia="en-US"/>
          <w14:ligatures w14:val="none"/>
        </w:rPr>
        <w:t xml:space="preserve"> </w:t>
      </w:r>
      <w:r w:rsidR="00C91F45" w:rsidRPr="00BC1A01">
        <w:rPr>
          <w:rFonts w:eastAsia="Times New Roman" w:cs="Times New Roman"/>
          <w:kern w:val="0"/>
          <w:sz w:val="20"/>
          <w:szCs w:val="20"/>
          <w:lang w:eastAsia="en-US"/>
          <w14:ligatures w14:val="none"/>
        </w:rPr>
        <w:t xml:space="preserve">It </w:t>
      </w:r>
      <w:r w:rsidR="00244EE7" w:rsidRPr="00BC1A01">
        <w:rPr>
          <w:rFonts w:eastAsia="Times New Roman" w:cs="Times New Roman"/>
          <w:kern w:val="0"/>
          <w:sz w:val="20"/>
          <w:szCs w:val="20"/>
          <w:lang w:eastAsia="en-US"/>
          <w14:ligatures w14:val="none"/>
        </w:rPr>
        <w:t xml:space="preserve">determines </w:t>
      </w:r>
      <w:r w:rsidR="00244EE7" w:rsidRPr="00BC1A01">
        <w:rPr>
          <w:rFonts w:eastAsia="Calibri" w:cs="Times New Roman"/>
          <w:kern w:val="0"/>
          <w:sz w:val="20"/>
          <w:szCs w:val="20"/>
          <w:lang w:eastAsia="en-US"/>
          <w14:ligatures w14:val="none"/>
        </w:rPr>
        <w:t xml:space="preserve">service efficiency and effectiveness in most institutions. </w:t>
      </w:r>
      <w:r w:rsidR="00C11EB5" w:rsidRPr="00BC1A01">
        <w:rPr>
          <w:rFonts w:eastAsia="Calibri" w:cs="Times New Roman"/>
          <w:bCs/>
          <w:kern w:val="0"/>
          <w:sz w:val="20"/>
          <w:szCs w:val="20"/>
          <w:lang w:eastAsia="en-US"/>
          <w14:ligatures w14:val="none"/>
        </w:rPr>
        <w:t>Motivation can be described as a driving force behind human action towards certain goals with sustained effort</w:t>
      </w:r>
      <w:bookmarkEnd w:id="2"/>
      <w:r w:rsidR="00107F27" w:rsidRPr="00BC1A01">
        <w:rPr>
          <w:rFonts w:eastAsia="Calibri" w:cs="Times New Roman"/>
          <w:bCs/>
          <w:kern w:val="0"/>
          <w:sz w:val="20"/>
          <w:szCs w:val="20"/>
          <w:lang w:eastAsia="en-US"/>
          <w14:ligatures w14:val="none"/>
        </w:rPr>
        <w:t>,</w:t>
      </w:r>
      <w:r w:rsidR="00C11EB5" w:rsidRPr="00BC1A01">
        <w:rPr>
          <w:rFonts w:eastAsia="Calibri" w:cs="Times New Roman"/>
          <w:bCs/>
          <w:kern w:val="0"/>
          <w:sz w:val="20"/>
          <w:szCs w:val="20"/>
          <w:lang w:eastAsia="en-US"/>
          <w14:ligatures w14:val="none"/>
        </w:rPr>
        <w:t xml:space="preserve"> </w:t>
      </w:r>
      <w:r w:rsidR="00F11EA7" w:rsidRPr="00BC1A01">
        <w:rPr>
          <w:rFonts w:eastAsia="Calibri" w:cs="Times New Roman"/>
          <w:bCs/>
          <w:kern w:val="0"/>
          <w:sz w:val="20"/>
          <w:szCs w:val="20"/>
          <w:lang w:eastAsia="en-US"/>
          <w14:ligatures w14:val="none"/>
        </w:rPr>
        <w:t>thus,</w:t>
      </w:r>
      <w:r w:rsidR="00C11EB5" w:rsidRPr="00BC1A01">
        <w:rPr>
          <w:rFonts w:eastAsia="Calibri" w:cs="Times New Roman"/>
          <w:bCs/>
          <w:kern w:val="0"/>
          <w:sz w:val="20"/>
          <w:szCs w:val="20"/>
          <w:lang w:eastAsia="en-US"/>
          <w14:ligatures w14:val="none"/>
        </w:rPr>
        <w:t xml:space="preserve"> what makes an individual act or keep on acting. It contains various components</w:t>
      </w:r>
      <w:r w:rsidR="00107F27" w:rsidRPr="00BC1A01">
        <w:rPr>
          <w:rFonts w:eastAsia="Calibri" w:cs="Times New Roman"/>
          <w:bCs/>
          <w:kern w:val="0"/>
          <w:sz w:val="20"/>
          <w:szCs w:val="20"/>
          <w:lang w:eastAsia="en-US"/>
          <w14:ligatures w14:val="none"/>
        </w:rPr>
        <w:t>:</w:t>
      </w:r>
      <w:r w:rsidR="00C11EB5" w:rsidRPr="00BC1A01">
        <w:rPr>
          <w:rFonts w:eastAsia="Calibri" w:cs="Times New Roman"/>
          <w:bCs/>
          <w:kern w:val="0"/>
          <w:sz w:val="20"/>
          <w:szCs w:val="20"/>
          <w:lang w:eastAsia="en-US"/>
          <w14:ligatures w14:val="none"/>
        </w:rPr>
        <w:t xml:space="preserve"> intrinsic motivation that comes from within oneself</w:t>
      </w:r>
      <w:r w:rsidR="00107F27" w:rsidRPr="00BC1A01">
        <w:rPr>
          <w:rFonts w:eastAsia="Calibri" w:cs="Times New Roman"/>
          <w:bCs/>
          <w:kern w:val="0"/>
          <w:sz w:val="20"/>
          <w:szCs w:val="20"/>
          <w:lang w:eastAsia="en-US"/>
          <w14:ligatures w14:val="none"/>
        </w:rPr>
        <w:t>,</w:t>
      </w:r>
      <w:r w:rsidR="00C11EB5" w:rsidRPr="00BC1A01">
        <w:rPr>
          <w:rFonts w:eastAsia="Calibri" w:cs="Times New Roman"/>
          <w:bCs/>
          <w:kern w:val="0"/>
          <w:sz w:val="20"/>
          <w:szCs w:val="20"/>
          <w:lang w:eastAsia="en-US"/>
          <w14:ligatures w14:val="none"/>
        </w:rPr>
        <w:t xml:space="preserve"> like self-satisfaction or fulfillment</w:t>
      </w:r>
      <w:r w:rsidR="00107F27" w:rsidRPr="00BC1A01">
        <w:rPr>
          <w:rFonts w:eastAsia="Calibri" w:cs="Times New Roman"/>
          <w:bCs/>
          <w:kern w:val="0"/>
          <w:sz w:val="20"/>
          <w:szCs w:val="20"/>
          <w:lang w:eastAsia="en-US"/>
          <w14:ligatures w14:val="none"/>
        </w:rPr>
        <w:t>,</w:t>
      </w:r>
      <w:r w:rsidR="00C11EB5" w:rsidRPr="00BC1A01">
        <w:rPr>
          <w:rFonts w:eastAsia="Calibri" w:cs="Times New Roman"/>
          <w:bCs/>
          <w:kern w:val="0"/>
          <w:sz w:val="20"/>
          <w:szCs w:val="20"/>
          <w:lang w:eastAsia="en-US"/>
          <w14:ligatures w14:val="none"/>
        </w:rPr>
        <w:t xml:space="preserve"> and extrinsic motivation that results from external rewards such as money paid for salaries and bonuses given out among others (Ryan</w:t>
      </w:r>
      <w:r w:rsidR="00EB6D3F">
        <w:rPr>
          <w:rFonts w:eastAsia="Calibri" w:cs="Times New Roman"/>
          <w:bCs/>
          <w:kern w:val="0"/>
          <w:sz w:val="20"/>
          <w:szCs w:val="20"/>
          <w:lang w:eastAsia="en-US"/>
          <w14:ligatures w14:val="none"/>
        </w:rPr>
        <w:t xml:space="preserve"> &amp; Deci</w:t>
      </w:r>
      <w:r w:rsidR="00C11EB5" w:rsidRPr="00BC1A01">
        <w:rPr>
          <w:rFonts w:eastAsia="Calibri" w:cs="Times New Roman"/>
          <w:bCs/>
          <w:kern w:val="0"/>
          <w:sz w:val="20"/>
          <w:szCs w:val="20"/>
          <w:lang w:eastAsia="en-US"/>
          <w14:ligatures w14:val="none"/>
        </w:rPr>
        <w:t>, 20</w:t>
      </w:r>
      <w:r w:rsidR="00EB6D3F">
        <w:rPr>
          <w:rFonts w:eastAsia="Calibri" w:cs="Times New Roman"/>
          <w:bCs/>
          <w:kern w:val="0"/>
          <w:sz w:val="20"/>
          <w:szCs w:val="20"/>
          <w:lang w:eastAsia="en-US"/>
          <w14:ligatures w14:val="none"/>
        </w:rPr>
        <w:t>17</w:t>
      </w:r>
      <w:r w:rsidR="00C11EB5" w:rsidRPr="00BC1A01">
        <w:rPr>
          <w:rFonts w:eastAsia="Calibri" w:cs="Times New Roman"/>
          <w:bCs/>
          <w:kern w:val="0"/>
          <w:sz w:val="20"/>
          <w:szCs w:val="20"/>
          <w:lang w:eastAsia="en-US"/>
          <w14:ligatures w14:val="none"/>
        </w:rPr>
        <w:t xml:space="preserve">). When faced with tasks involving creativity and problem-solving abilities, people should be intrinsically motivated because it leads them to be more </w:t>
      </w:r>
      <w:r w:rsidR="00C11EB5" w:rsidRPr="00BC1A01">
        <w:rPr>
          <w:rFonts w:eastAsia="Calibri" w:cs="Times New Roman"/>
          <w:bCs/>
          <w:kern w:val="0"/>
          <w:sz w:val="20"/>
          <w:szCs w:val="20"/>
          <w:lang w:eastAsia="en-US"/>
          <w14:ligatures w14:val="none"/>
        </w:rPr>
        <w:lastRenderedPageBreak/>
        <w:t>committed than ever before</w:t>
      </w:r>
      <w:r w:rsidR="00107F27" w:rsidRPr="00BC1A01">
        <w:rPr>
          <w:rFonts w:eastAsia="Calibri" w:cs="Times New Roman"/>
          <w:bCs/>
          <w:kern w:val="0"/>
          <w:sz w:val="20"/>
          <w:szCs w:val="20"/>
          <w:lang w:eastAsia="en-US"/>
          <w14:ligatures w14:val="none"/>
        </w:rPr>
        <w:t>,</w:t>
      </w:r>
      <w:r w:rsidR="00C11EB5" w:rsidRPr="00BC1A01">
        <w:rPr>
          <w:rFonts w:eastAsia="Calibri" w:cs="Times New Roman"/>
          <w:bCs/>
          <w:kern w:val="0"/>
          <w:sz w:val="20"/>
          <w:szCs w:val="20"/>
          <w:lang w:eastAsia="en-US"/>
          <w14:ligatures w14:val="none"/>
        </w:rPr>
        <w:t xml:space="preserve"> according to </w:t>
      </w:r>
      <w:r w:rsidR="00EB6D3F" w:rsidRPr="00BC1A01">
        <w:rPr>
          <w:rFonts w:eastAsia="Calibri" w:cs="Times New Roman"/>
          <w:bCs/>
          <w:kern w:val="0"/>
          <w:sz w:val="20"/>
          <w:szCs w:val="20"/>
          <w:lang w:eastAsia="en-US"/>
          <w14:ligatures w14:val="none"/>
        </w:rPr>
        <w:t>Ryan</w:t>
      </w:r>
      <w:r w:rsidR="00EB6D3F">
        <w:rPr>
          <w:rFonts w:eastAsia="Calibri" w:cs="Times New Roman"/>
          <w:bCs/>
          <w:kern w:val="0"/>
          <w:sz w:val="20"/>
          <w:szCs w:val="20"/>
          <w:lang w:eastAsia="en-US"/>
          <w14:ligatures w14:val="none"/>
        </w:rPr>
        <w:t xml:space="preserve"> &amp; Deci </w:t>
      </w:r>
      <w:r w:rsidR="00C11EB5" w:rsidRPr="00BC1A01">
        <w:rPr>
          <w:rFonts w:eastAsia="Calibri" w:cs="Times New Roman"/>
          <w:bCs/>
          <w:kern w:val="0"/>
          <w:sz w:val="20"/>
          <w:szCs w:val="20"/>
          <w:lang w:eastAsia="en-US"/>
          <w14:ligatures w14:val="none"/>
        </w:rPr>
        <w:t>(20</w:t>
      </w:r>
      <w:r w:rsidR="00EB6D3F">
        <w:rPr>
          <w:rFonts w:eastAsia="Calibri" w:cs="Times New Roman"/>
          <w:bCs/>
          <w:kern w:val="0"/>
          <w:sz w:val="20"/>
          <w:szCs w:val="20"/>
          <w:lang w:eastAsia="en-US"/>
          <w14:ligatures w14:val="none"/>
        </w:rPr>
        <w:t>17</w:t>
      </w:r>
      <w:r w:rsidR="00C11EB5" w:rsidRPr="00BC1A01">
        <w:rPr>
          <w:rFonts w:eastAsia="Calibri" w:cs="Times New Roman"/>
          <w:bCs/>
          <w:kern w:val="0"/>
          <w:sz w:val="20"/>
          <w:szCs w:val="20"/>
          <w:lang w:eastAsia="en-US"/>
          <w14:ligatures w14:val="none"/>
        </w:rPr>
        <w:t>)</w:t>
      </w:r>
      <w:r w:rsidR="009F1FA7" w:rsidRPr="00BC1A01">
        <w:rPr>
          <w:rFonts w:eastAsia="Times New Roman" w:cs="Times New Roman"/>
          <w:kern w:val="0"/>
          <w:sz w:val="20"/>
          <w:szCs w:val="20"/>
          <w:lang w:eastAsia="en-US"/>
          <w14:ligatures w14:val="none"/>
        </w:rPr>
        <w:t xml:space="preserve">. </w:t>
      </w:r>
      <w:bookmarkEnd w:id="1"/>
      <w:proofErr w:type="spellStart"/>
      <w:r w:rsidR="001336FD" w:rsidRPr="00BC1A01">
        <w:rPr>
          <w:rFonts w:eastAsia="Times New Roman" w:cs="Times New Roman"/>
          <w:kern w:val="0"/>
          <w:sz w:val="20"/>
          <w:szCs w:val="20"/>
          <w:lang w:eastAsia="en-US"/>
          <w14:ligatures w14:val="none"/>
        </w:rPr>
        <w:t>Parmenas</w:t>
      </w:r>
      <w:proofErr w:type="spellEnd"/>
      <w:r w:rsidR="001336FD" w:rsidRPr="00BC1A01">
        <w:rPr>
          <w:rFonts w:eastAsia="Times New Roman" w:cs="Times New Roman"/>
          <w:kern w:val="0"/>
          <w:sz w:val="20"/>
          <w:szCs w:val="20"/>
          <w:lang w:eastAsia="en-US"/>
          <w14:ligatures w14:val="none"/>
        </w:rPr>
        <w:t xml:space="preserve"> (2022) noted that </w:t>
      </w:r>
      <w:r w:rsidR="009F1FA7" w:rsidRPr="00BC1A01">
        <w:rPr>
          <w:rFonts w:eastAsia="Times New Roman" w:cs="Times New Roman"/>
          <w:kern w:val="0"/>
          <w:sz w:val="20"/>
          <w:szCs w:val="20"/>
          <w:lang w:eastAsia="en-US"/>
          <w14:ligatures w14:val="none"/>
        </w:rPr>
        <w:t>effective motivational strategies can improve staff engagement levels</w:t>
      </w:r>
      <w:r w:rsidR="00107F27" w:rsidRPr="00BC1A01">
        <w:rPr>
          <w:rFonts w:eastAsia="Times New Roman" w:cs="Times New Roman"/>
          <w:kern w:val="0"/>
          <w:sz w:val="20"/>
          <w:szCs w:val="20"/>
          <w:lang w:eastAsia="en-US"/>
          <w14:ligatures w14:val="none"/>
        </w:rPr>
        <w:t>,</w:t>
      </w:r>
      <w:r w:rsidR="009F1FA7" w:rsidRPr="00BC1A01">
        <w:rPr>
          <w:rFonts w:eastAsia="Times New Roman" w:cs="Times New Roman"/>
          <w:kern w:val="0"/>
          <w:sz w:val="20"/>
          <w:szCs w:val="20"/>
          <w:lang w:eastAsia="en-US"/>
          <w14:ligatures w14:val="none"/>
        </w:rPr>
        <w:t xml:space="preserve"> which drive organizational performance. </w:t>
      </w:r>
      <w:r w:rsidR="001D1D80" w:rsidRPr="001D1D80">
        <w:rPr>
          <w:rFonts w:cs="Times New Roman"/>
          <w:sz w:val="20"/>
          <w:szCs w:val="20"/>
        </w:rPr>
        <w:t>Ullah</w:t>
      </w:r>
      <w:r w:rsidR="00C91F45" w:rsidRPr="00BC1A01">
        <w:rPr>
          <w:rFonts w:eastAsia="Times New Roman" w:cs="Times New Roman"/>
          <w:kern w:val="0"/>
          <w:sz w:val="20"/>
          <w:szCs w:val="20"/>
          <w:lang w:eastAsia="en-US"/>
          <w14:ligatures w14:val="none"/>
        </w:rPr>
        <w:t xml:space="preserve"> (201</w:t>
      </w:r>
      <w:r w:rsidR="001D1D80">
        <w:rPr>
          <w:rFonts w:eastAsia="Times New Roman" w:cs="Times New Roman"/>
          <w:kern w:val="0"/>
          <w:sz w:val="20"/>
          <w:szCs w:val="20"/>
          <w:lang w:eastAsia="en-US"/>
          <w14:ligatures w14:val="none"/>
        </w:rPr>
        <w:t>2</w:t>
      </w:r>
      <w:r w:rsidR="00C91F45" w:rsidRPr="00BC1A01">
        <w:rPr>
          <w:rFonts w:eastAsia="Times New Roman" w:cs="Times New Roman"/>
          <w:kern w:val="0"/>
          <w:sz w:val="20"/>
          <w:szCs w:val="20"/>
          <w:lang w:eastAsia="en-US"/>
          <w14:ligatures w14:val="none"/>
        </w:rPr>
        <w:t xml:space="preserve">) </w:t>
      </w:r>
      <w:r w:rsidR="001336FD" w:rsidRPr="00BC1A01">
        <w:rPr>
          <w:rFonts w:eastAsia="Times New Roman" w:cs="Times New Roman"/>
          <w:kern w:val="0"/>
          <w:sz w:val="20"/>
          <w:szCs w:val="20"/>
          <w:lang w:eastAsia="en-US"/>
          <w14:ligatures w14:val="none"/>
        </w:rPr>
        <w:t>also revealed</w:t>
      </w:r>
      <w:r w:rsidR="00C91F45" w:rsidRPr="00BC1A01">
        <w:rPr>
          <w:rFonts w:eastAsia="Times New Roman" w:cs="Times New Roman"/>
          <w:kern w:val="0"/>
          <w:sz w:val="20"/>
          <w:szCs w:val="20"/>
          <w:lang w:eastAsia="en-US"/>
          <w14:ligatures w14:val="none"/>
        </w:rPr>
        <w:t xml:space="preserve"> that s</w:t>
      </w:r>
      <w:r w:rsidR="009F1FA7" w:rsidRPr="00BC1A01">
        <w:rPr>
          <w:rFonts w:eastAsia="Times New Roman" w:cs="Times New Roman"/>
          <w:kern w:val="0"/>
          <w:sz w:val="20"/>
          <w:szCs w:val="20"/>
          <w:lang w:eastAsia="en-US"/>
          <w14:ligatures w14:val="none"/>
        </w:rPr>
        <w:t xml:space="preserve">ervice delivery determines the extent of value customers get out of their interactions with providers. </w:t>
      </w:r>
    </w:p>
    <w:p w14:paraId="3E3A73B0" w14:textId="55F6C982" w:rsidR="00F11EA7" w:rsidRPr="00BC1A01" w:rsidRDefault="004520B9" w:rsidP="00B20C4D">
      <w:pPr>
        <w:spacing w:after="0" w:line="480" w:lineRule="auto"/>
        <w:rPr>
          <w:rFonts w:cs="Times New Roman"/>
          <w:sz w:val="20"/>
          <w:szCs w:val="20"/>
        </w:rPr>
      </w:pPr>
      <w:r w:rsidRPr="00BC1A01">
        <w:rPr>
          <w:rFonts w:cs="Times New Roman"/>
          <w:sz w:val="20"/>
          <w:szCs w:val="20"/>
        </w:rPr>
        <w:t>Land is one of the most fundamental resources for socio-economic development. It serves as the foundation for shelter, agriculture, industry, and infrastructure</w:t>
      </w:r>
      <w:r w:rsidR="00EB6D3F">
        <w:rPr>
          <w:rFonts w:cs="Times New Roman"/>
          <w:sz w:val="20"/>
          <w:szCs w:val="20"/>
        </w:rPr>
        <w:t>,</w:t>
      </w:r>
      <w:r w:rsidRPr="00BC1A01">
        <w:rPr>
          <w:rFonts w:cs="Times New Roman"/>
          <w:sz w:val="20"/>
          <w:szCs w:val="20"/>
        </w:rPr>
        <w:t xml:space="preserve"> and is essential for </w:t>
      </w:r>
      <w:r w:rsidR="001842FB" w:rsidRPr="00BC1A01">
        <w:rPr>
          <w:rFonts w:cs="Times New Roman"/>
          <w:sz w:val="20"/>
          <w:szCs w:val="20"/>
        </w:rPr>
        <w:t xml:space="preserve">the </w:t>
      </w:r>
      <w:r w:rsidRPr="00BC1A01">
        <w:rPr>
          <w:rFonts w:cs="Times New Roman"/>
          <w:sz w:val="20"/>
          <w:szCs w:val="20"/>
        </w:rPr>
        <w:t>realization of numerous social, economic, and environmental functions. From a socio-economic perspective, the land provides the basis for food production, housing, and industrial activities, thereby playing a critical role in poverty reduction, economic growth, and overall human development (Deininger</w:t>
      </w:r>
      <w:r w:rsidR="003F1714">
        <w:rPr>
          <w:rFonts w:cs="Times New Roman"/>
          <w:sz w:val="20"/>
          <w:szCs w:val="20"/>
        </w:rPr>
        <w:t>,</w:t>
      </w:r>
      <w:r w:rsidRPr="00BC1A01">
        <w:rPr>
          <w:rFonts w:cs="Times New Roman"/>
          <w:sz w:val="20"/>
          <w:szCs w:val="20"/>
        </w:rPr>
        <w:t xml:space="preserve"> 200</w:t>
      </w:r>
      <w:r w:rsidR="003F1714">
        <w:rPr>
          <w:rFonts w:cs="Times New Roman"/>
          <w:sz w:val="20"/>
          <w:szCs w:val="20"/>
        </w:rPr>
        <w:t>3</w:t>
      </w:r>
      <w:r w:rsidRPr="00BC1A01">
        <w:rPr>
          <w:rFonts w:cs="Times New Roman"/>
          <w:sz w:val="20"/>
          <w:szCs w:val="20"/>
        </w:rPr>
        <w:t>)</w:t>
      </w:r>
      <w:r w:rsidR="00F11EA7" w:rsidRPr="00BC1A01">
        <w:rPr>
          <w:rFonts w:cs="Times New Roman"/>
          <w:sz w:val="20"/>
          <w:szCs w:val="20"/>
        </w:rPr>
        <w:t>.</w:t>
      </w:r>
    </w:p>
    <w:p w14:paraId="17979B7E" w14:textId="77777777" w:rsidR="00F11EA7" w:rsidRPr="00BC1A01" w:rsidRDefault="004520B9" w:rsidP="00B20C4D">
      <w:pPr>
        <w:spacing w:after="0" w:line="480" w:lineRule="auto"/>
        <w:rPr>
          <w:rFonts w:cs="Times New Roman"/>
          <w:sz w:val="20"/>
          <w:szCs w:val="20"/>
        </w:rPr>
      </w:pPr>
      <w:r w:rsidRPr="00BC1A01">
        <w:rPr>
          <w:rFonts w:cs="Times New Roman"/>
          <w:sz w:val="20"/>
          <w:szCs w:val="20"/>
        </w:rPr>
        <w:t>The significance of land is deeply rooted in its role as a source of livelihood for millions of individuals worldwide, particularly in agrarian economies. In Ghana, where a substantial proportion of the population relies on agriculture, the productivity and equitable distribution of land directly affect rural livelihoods and national food security (</w:t>
      </w:r>
      <w:proofErr w:type="spellStart"/>
      <w:r w:rsidRPr="00BC1A01">
        <w:rPr>
          <w:rFonts w:cs="Times New Roman"/>
          <w:sz w:val="20"/>
          <w:szCs w:val="20"/>
        </w:rPr>
        <w:t>Kasanga</w:t>
      </w:r>
      <w:proofErr w:type="spellEnd"/>
      <w:r w:rsidRPr="00BC1A01">
        <w:rPr>
          <w:rFonts w:cs="Times New Roman"/>
          <w:sz w:val="20"/>
          <w:szCs w:val="20"/>
        </w:rPr>
        <w:t xml:space="preserve"> &amp; </w:t>
      </w:r>
      <w:proofErr w:type="spellStart"/>
      <w:r w:rsidRPr="00BC1A01">
        <w:rPr>
          <w:rFonts w:cs="Times New Roman"/>
          <w:sz w:val="20"/>
          <w:szCs w:val="20"/>
        </w:rPr>
        <w:t>Kotey</w:t>
      </w:r>
      <w:proofErr w:type="spellEnd"/>
      <w:r w:rsidRPr="00BC1A01">
        <w:rPr>
          <w:rFonts w:cs="Times New Roman"/>
          <w:sz w:val="20"/>
          <w:szCs w:val="20"/>
        </w:rPr>
        <w:t>, 2001). Furthermore, land ownership and tenure security are crucial for economic stability, as they facilitate investment and enable landholders to utilize land as collateral for loans, thereby fostering local economic empowerment (</w:t>
      </w:r>
      <w:proofErr w:type="spellStart"/>
      <w:r w:rsidRPr="00BC1A01">
        <w:rPr>
          <w:rFonts w:cs="Times New Roman"/>
          <w:sz w:val="20"/>
          <w:szCs w:val="20"/>
        </w:rPr>
        <w:t>Besley</w:t>
      </w:r>
      <w:proofErr w:type="spellEnd"/>
      <w:r w:rsidRPr="00BC1A01">
        <w:rPr>
          <w:rFonts w:cs="Times New Roman"/>
          <w:sz w:val="20"/>
          <w:szCs w:val="20"/>
        </w:rPr>
        <w:t xml:space="preserve"> &amp; </w:t>
      </w:r>
      <w:proofErr w:type="spellStart"/>
      <w:r w:rsidRPr="00BC1A01">
        <w:rPr>
          <w:rFonts w:cs="Times New Roman"/>
          <w:sz w:val="20"/>
          <w:szCs w:val="20"/>
        </w:rPr>
        <w:t>Ghatak</w:t>
      </w:r>
      <w:proofErr w:type="spellEnd"/>
      <w:r w:rsidRPr="00BC1A01">
        <w:rPr>
          <w:rFonts w:cs="Times New Roman"/>
          <w:sz w:val="20"/>
          <w:szCs w:val="20"/>
        </w:rPr>
        <w:t>, 2010). In addition to its economic significance, the land holds substantial cultural and social importance, particularly within African societies. Land is often associated with ancestral heritage, community identity, and social cohesion. In Ghana, customary land tenure systems reflect the cultural and historical importance of land, with rights to land being managed by traditional authorities and transmitted through generations (</w:t>
      </w:r>
      <w:proofErr w:type="spellStart"/>
      <w:r w:rsidRPr="00BC1A01">
        <w:rPr>
          <w:rFonts w:cs="Times New Roman"/>
          <w:sz w:val="20"/>
          <w:szCs w:val="20"/>
        </w:rPr>
        <w:t>Ubink</w:t>
      </w:r>
      <w:proofErr w:type="spellEnd"/>
      <w:r w:rsidRPr="00BC1A01">
        <w:rPr>
          <w:rFonts w:cs="Times New Roman"/>
          <w:sz w:val="20"/>
          <w:szCs w:val="20"/>
        </w:rPr>
        <w:t xml:space="preserve"> &amp; Quan, 2008). These systems underscore the necessity for effective and equitable land administration to ensure land </w:t>
      </w:r>
      <w:r w:rsidR="001842FB" w:rsidRPr="00BC1A01">
        <w:rPr>
          <w:rFonts w:cs="Times New Roman"/>
          <w:sz w:val="20"/>
          <w:szCs w:val="20"/>
        </w:rPr>
        <w:t xml:space="preserve">access </w:t>
      </w:r>
      <w:r w:rsidRPr="00BC1A01">
        <w:rPr>
          <w:rFonts w:cs="Times New Roman"/>
          <w:sz w:val="20"/>
          <w:szCs w:val="20"/>
        </w:rPr>
        <w:t>and resolve disputes that arise from land transactions or inheritance.</w:t>
      </w:r>
    </w:p>
    <w:p w14:paraId="0F9A32CE" w14:textId="679EEA5C" w:rsidR="00266F20" w:rsidRPr="00BC1A01" w:rsidRDefault="001842FB" w:rsidP="00B20C4D">
      <w:pPr>
        <w:spacing w:after="0" w:line="480" w:lineRule="auto"/>
        <w:rPr>
          <w:rFonts w:eastAsia="Times New Roman" w:cs="Times New Roman"/>
          <w:kern w:val="0"/>
          <w:sz w:val="20"/>
          <w:szCs w:val="20"/>
          <w:lang w:eastAsia="en-US"/>
          <w14:ligatures w14:val="none"/>
        </w:rPr>
      </w:pPr>
      <w:r w:rsidRPr="00BC1A01">
        <w:rPr>
          <w:rFonts w:eastAsia="Times New Roman" w:cs="Times New Roman"/>
          <w:kern w:val="0"/>
          <w:sz w:val="20"/>
          <w:szCs w:val="20"/>
          <w:lang w:eastAsia="en-US"/>
          <w14:ligatures w14:val="none"/>
        </w:rPr>
        <w:t>E</w:t>
      </w:r>
      <w:r w:rsidR="00266F20" w:rsidRPr="00BC1A01">
        <w:rPr>
          <w:rFonts w:eastAsia="Times New Roman" w:cs="Times New Roman"/>
          <w:kern w:val="0"/>
          <w:sz w:val="20"/>
          <w:szCs w:val="20"/>
          <w:lang w:eastAsia="en-US"/>
          <w14:ligatures w14:val="none"/>
        </w:rPr>
        <w:t>mployee motivation is critical for the efficient delivery of land services in</w:t>
      </w:r>
      <w:r w:rsidRPr="00BC1A01">
        <w:rPr>
          <w:rFonts w:eastAsia="Times New Roman" w:cs="Times New Roman"/>
          <w:kern w:val="0"/>
          <w:sz w:val="20"/>
          <w:szCs w:val="20"/>
          <w:lang w:eastAsia="en-US"/>
          <w14:ligatures w14:val="none"/>
        </w:rPr>
        <w:t xml:space="preserve"> Ghana.</w:t>
      </w:r>
      <w:r w:rsidR="00266F20" w:rsidRPr="00BC1A01">
        <w:rPr>
          <w:rFonts w:eastAsia="Times New Roman" w:cs="Times New Roman"/>
          <w:kern w:val="0"/>
          <w:sz w:val="20"/>
          <w:szCs w:val="20"/>
          <w:lang w:eastAsia="en-US"/>
          <w14:ligatures w14:val="none"/>
        </w:rPr>
        <w:t xml:space="preserve"> </w:t>
      </w:r>
      <w:r w:rsidRPr="00BC1A01">
        <w:rPr>
          <w:rFonts w:eastAsia="Times New Roman" w:cs="Times New Roman"/>
          <w:kern w:val="0"/>
          <w:sz w:val="20"/>
          <w:szCs w:val="20"/>
          <w:lang w:eastAsia="en-US"/>
          <w14:ligatures w14:val="none"/>
        </w:rPr>
        <w:t>T</w:t>
      </w:r>
      <w:r w:rsidR="00266F20" w:rsidRPr="00BC1A01">
        <w:rPr>
          <w:rFonts w:eastAsia="Times New Roman" w:cs="Times New Roman"/>
          <w:kern w:val="0"/>
          <w:sz w:val="20"/>
          <w:szCs w:val="20"/>
          <w:lang w:eastAsia="en-US"/>
          <w14:ligatures w14:val="none"/>
        </w:rPr>
        <w:t>he Lands Commission</w:t>
      </w:r>
      <w:r w:rsidRPr="00BC1A01">
        <w:rPr>
          <w:rFonts w:eastAsia="Times New Roman" w:cs="Times New Roman"/>
          <w:kern w:val="0"/>
          <w:sz w:val="20"/>
          <w:szCs w:val="20"/>
          <w:lang w:eastAsia="en-US"/>
          <w14:ligatures w14:val="none"/>
        </w:rPr>
        <w:t xml:space="preserve"> is</w:t>
      </w:r>
      <w:r w:rsidR="00266F20" w:rsidRPr="00BC1A01">
        <w:rPr>
          <w:rFonts w:eastAsia="Times New Roman" w:cs="Times New Roman"/>
          <w:kern w:val="0"/>
          <w:sz w:val="20"/>
          <w:szCs w:val="20"/>
          <w:lang w:eastAsia="en-US"/>
          <w14:ligatures w14:val="none"/>
        </w:rPr>
        <w:t xml:space="preserve"> responsible for land administration and management. Proper land service delivery is vital where land is central to economic activities and sustains diverse sectors such as agriculture, industry, and housing. The Lands Commission, mandated to facilitate land acquisition, registration, and management, plays a crucial role in ensuring that land resources are optimally utilized. In line with this, employee motivation can significantly impact the performance and efficiency of the organization. </w:t>
      </w:r>
      <w:r w:rsidR="00B0666E" w:rsidRPr="00BC1A01">
        <w:rPr>
          <w:rFonts w:cs="Times New Roman"/>
          <w:sz w:val="20"/>
          <w:szCs w:val="20"/>
        </w:rPr>
        <w:t xml:space="preserve">Given the scope of responsibilities, employee motivation within the Lands Commission is essential to enhancing productivity, efficiency, and service quality in land service delivery </w:t>
      </w:r>
      <w:bookmarkStart w:id="3" w:name="_Hlk182814920"/>
      <w:r w:rsidR="00B0666E" w:rsidRPr="00BC1A01">
        <w:rPr>
          <w:rFonts w:cs="Times New Roman"/>
          <w:sz w:val="20"/>
          <w:szCs w:val="20"/>
        </w:rPr>
        <w:t>(</w:t>
      </w:r>
      <w:proofErr w:type="spellStart"/>
      <w:r w:rsidR="00F308B6" w:rsidRPr="00F308B6">
        <w:rPr>
          <w:rFonts w:cs="Times New Roman"/>
          <w:sz w:val="20"/>
          <w:szCs w:val="20"/>
        </w:rPr>
        <w:t>Adzima</w:t>
      </w:r>
      <w:proofErr w:type="spellEnd"/>
      <w:r w:rsidR="00F308B6">
        <w:rPr>
          <w:rFonts w:cs="Times New Roman"/>
          <w:sz w:val="20"/>
          <w:szCs w:val="20"/>
        </w:rPr>
        <w:t>,</w:t>
      </w:r>
      <w:r w:rsidR="00B0666E" w:rsidRPr="00BC1A01">
        <w:rPr>
          <w:rFonts w:cs="Times New Roman"/>
          <w:sz w:val="20"/>
          <w:szCs w:val="20"/>
        </w:rPr>
        <w:t xml:space="preserve"> 202</w:t>
      </w:r>
      <w:r w:rsidR="00F308B6">
        <w:rPr>
          <w:rFonts w:cs="Times New Roman"/>
          <w:sz w:val="20"/>
          <w:szCs w:val="20"/>
        </w:rPr>
        <w:t>3</w:t>
      </w:r>
      <w:r w:rsidR="00B0666E" w:rsidRPr="00BC1A01">
        <w:rPr>
          <w:rFonts w:cs="Times New Roman"/>
          <w:sz w:val="20"/>
          <w:szCs w:val="20"/>
        </w:rPr>
        <w:t xml:space="preserve">). </w:t>
      </w:r>
      <w:bookmarkEnd w:id="3"/>
      <w:r w:rsidR="00B0666E" w:rsidRPr="00BC1A01">
        <w:rPr>
          <w:rFonts w:eastAsia="Times New Roman" w:cs="Times New Roman"/>
          <w:kern w:val="0"/>
          <w:sz w:val="20"/>
          <w:szCs w:val="20"/>
          <w:lang w:eastAsia="en-US"/>
          <w14:ligatures w14:val="none"/>
        </w:rPr>
        <w:t>S</w:t>
      </w:r>
      <w:r w:rsidR="00266F20" w:rsidRPr="00BC1A01">
        <w:rPr>
          <w:rFonts w:eastAsia="Times New Roman" w:cs="Times New Roman"/>
          <w:kern w:val="0"/>
          <w:sz w:val="20"/>
          <w:szCs w:val="20"/>
          <w:lang w:eastAsia="en-US"/>
          <w14:ligatures w14:val="none"/>
        </w:rPr>
        <w:t xml:space="preserve">tudies </w:t>
      </w:r>
      <w:r w:rsidR="00B0666E" w:rsidRPr="00BC1A01">
        <w:rPr>
          <w:rFonts w:eastAsia="Times New Roman" w:cs="Times New Roman"/>
          <w:kern w:val="0"/>
          <w:sz w:val="20"/>
          <w:szCs w:val="20"/>
          <w:lang w:eastAsia="en-US"/>
          <w14:ligatures w14:val="none"/>
        </w:rPr>
        <w:lastRenderedPageBreak/>
        <w:t xml:space="preserve">including Jain (2007) and </w:t>
      </w:r>
      <w:proofErr w:type="spellStart"/>
      <w:r w:rsidR="00B0666E" w:rsidRPr="00BC1A01">
        <w:rPr>
          <w:rFonts w:eastAsia="Times New Roman" w:cs="Times New Roman"/>
          <w:kern w:val="0"/>
          <w:sz w:val="20"/>
          <w:szCs w:val="20"/>
          <w:lang w:eastAsia="en-US"/>
          <w14:ligatures w14:val="none"/>
        </w:rPr>
        <w:t>Meybeck</w:t>
      </w:r>
      <w:proofErr w:type="spellEnd"/>
      <w:r w:rsidR="00B0666E" w:rsidRPr="00BC1A01">
        <w:rPr>
          <w:rFonts w:eastAsia="Times New Roman" w:cs="Times New Roman"/>
          <w:kern w:val="0"/>
          <w:sz w:val="20"/>
          <w:szCs w:val="20"/>
          <w:lang w:eastAsia="en-US"/>
          <w14:ligatures w14:val="none"/>
        </w:rPr>
        <w:t xml:space="preserve"> et al., (2018) </w:t>
      </w:r>
      <w:r w:rsidR="00266F20" w:rsidRPr="00BC1A01">
        <w:rPr>
          <w:rFonts w:eastAsia="Times New Roman" w:cs="Times New Roman"/>
          <w:kern w:val="0"/>
          <w:sz w:val="20"/>
          <w:szCs w:val="20"/>
          <w:lang w:eastAsia="en-US"/>
          <w14:ligatures w14:val="none"/>
        </w:rPr>
        <w:t>emphasize</w:t>
      </w:r>
      <w:r w:rsidR="00B0666E" w:rsidRPr="00BC1A01">
        <w:rPr>
          <w:rFonts w:eastAsia="Times New Roman" w:cs="Times New Roman"/>
          <w:kern w:val="0"/>
          <w:sz w:val="20"/>
          <w:szCs w:val="20"/>
          <w:lang w:eastAsia="en-US"/>
          <w14:ligatures w14:val="none"/>
        </w:rPr>
        <w:t>d</w:t>
      </w:r>
      <w:r w:rsidR="00266F20" w:rsidRPr="00BC1A01">
        <w:rPr>
          <w:rFonts w:eastAsia="Times New Roman" w:cs="Times New Roman"/>
          <w:kern w:val="0"/>
          <w:sz w:val="20"/>
          <w:szCs w:val="20"/>
          <w:lang w:eastAsia="en-US"/>
          <w14:ligatures w14:val="none"/>
        </w:rPr>
        <w:t xml:space="preserve"> that motivated employees show higher productivity, reduced turnover, and enhanced commitment, which translates to better service delivery outcomes.</w:t>
      </w:r>
      <w:r w:rsidR="00B0666E" w:rsidRPr="00BC1A01">
        <w:rPr>
          <w:rFonts w:eastAsia="Times New Roman" w:cs="Times New Roman"/>
          <w:kern w:val="0"/>
          <w:sz w:val="20"/>
          <w:szCs w:val="20"/>
          <w:lang w:eastAsia="en-US"/>
          <w14:ligatures w14:val="none"/>
        </w:rPr>
        <w:t xml:space="preserve"> </w:t>
      </w:r>
    </w:p>
    <w:p w14:paraId="47C8230F" w14:textId="56DBD896" w:rsidR="00266F20" w:rsidRPr="00BC1A01" w:rsidRDefault="00266F20" w:rsidP="00B20C4D">
      <w:pPr>
        <w:spacing w:after="0" w:line="480" w:lineRule="auto"/>
        <w:rPr>
          <w:rFonts w:eastAsia="Times New Roman" w:cs="Times New Roman"/>
          <w:kern w:val="0"/>
          <w:sz w:val="20"/>
          <w:szCs w:val="20"/>
          <w:lang w:eastAsia="en-US"/>
          <w14:ligatures w14:val="none"/>
        </w:rPr>
      </w:pPr>
      <w:r w:rsidRPr="00BC1A01">
        <w:rPr>
          <w:rFonts w:eastAsia="Times New Roman" w:cs="Times New Roman"/>
          <w:kern w:val="0"/>
          <w:sz w:val="20"/>
          <w:szCs w:val="20"/>
          <w:lang w:eastAsia="en-US"/>
          <w14:ligatures w14:val="none"/>
        </w:rPr>
        <w:t>Despite the importance of land service delivery, the Lands Commission of Ghana faces challenges in achieving optimal performance, potentially due to insufficient employee motivation. Reports of delays in land processing and inefficient service provision point to gaps in the motivational structures within the organization. Research suggests that inadequate motivation leads to poor employee output and diminished service quality, impacting stakeholders who rely on the commission for timely land services (</w:t>
      </w:r>
      <w:proofErr w:type="spellStart"/>
      <w:r w:rsidR="00C94E7F" w:rsidRPr="00C94E7F">
        <w:rPr>
          <w:rFonts w:cs="Times New Roman"/>
          <w:sz w:val="20"/>
          <w:szCs w:val="20"/>
        </w:rPr>
        <w:t>Nkolola</w:t>
      </w:r>
      <w:proofErr w:type="spellEnd"/>
      <w:r w:rsidRPr="00BC1A01">
        <w:rPr>
          <w:rFonts w:eastAsia="Times New Roman" w:cs="Times New Roman"/>
          <w:kern w:val="0"/>
          <w:sz w:val="20"/>
          <w:szCs w:val="20"/>
          <w:lang w:eastAsia="en-US"/>
          <w14:ligatures w14:val="none"/>
        </w:rPr>
        <w:t xml:space="preserve"> et al., 2016; Ngoma &amp; Mulenga, 2019). Understanding the link between employee motivation and service delivery effectiveness within the commission is essential to identify strategies that enhance employee satisfaction and organizational performance.</w:t>
      </w:r>
    </w:p>
    <w:p w14:paraId="35417AF4" w14:textId="6EB7632A" w:rsidR="00A765C5" w:rsidRPr="00BC1A01" w:rsidRDefault="00E24E41" w:rsidP="00B20C4D">
      <w:pPr>
        <w:spacing w:after="0" w:line="480" w:lineRule="auto"/>
        <w:rPr>
          <w:rFonts w:eastAsia="Calibri" w:cs="Times New Roman"/>
          <w:color w:val="000000"/>
          <w:kern w:val="0"/>
          <w:sz w:val="20"/>
          <w:szCs w:val="20"/>
          <w:lang w:val="en-GB" w:eastAsia="en-US"/>
          <w14:ligatures w14:val="none"/>
        </w:rPr>
      </w:pPr>
      <w:r w:rsidRPr="00BC1A01">
        <w:rPr>
          <w:rFonts w:eastAsia="Calibri" w:cs="Times New Roman"/>
          <w:kern w:val="0"/>
          <w:sz w:val="20"/>
          <w:szCs w:val="20"/>
          <w:lang w:eastAsia="en-US"/>
          <w14:ligatures w14:val="none"/>
        </w:rPr>
        <w:t xml:space="preserve">This paper </w:t>
      </w:r>
      <w:r w:rsidRPr="00BC1A01">
        <w:rPr>
          <w:rFonts w:eastAsia="Calibri" w:cs="Times New Roman"/>
          <w:color w:val="000000"/>
          <w:kern w:val="0"/>
          <w:sz w:val="20"/>
          <w:szCs w:val="20"/>
          <w:lang w:eastAsia="en-US"/>
          <w14:ligatures w14:val="none"/>
        </w:rPr>
        <w:t>assess</w:t>
      </w:r>
      <w:r w:rsidR="008C1579" w:rsidRPr="00BC1A01">
        <w:rPr>
          <w:rFonts w:eastAsia="Calibri" w:cs="Times New Roman"/>
          <w:color w:val="000000"/>
          <w:kern w:val="0"/>
          <w:sz w:val="20"/>
          <w:szCs w:val="20"/>
          <w:lang w:eastAsia="en-US"/>
          <w14:ligatures w14:val="none"/>
        </w:rPr>
        <w:t>ed</w:t>
      </w:r>
      <w:r w:rsidRPr="00BC1A01">
        <w:rPr>
          <w:rFonts w:eastAsia="Calibri" w:cs="Times New Roman"/>
          <w:color w:val="000000"/>
          <w:kern w:val="0"/>
          <w:sz w:val="20"/>
          <w:szCs w:val="20"/>
          <w:lang w:eastAsia="en-US"/>
          <w14:ligatures w14:val="none"/>
        </w:rPr>
        <w:t xml:space="preserve"> the extent to which employee motivation affects the service delivery practice of the Lands Commission of Ghana</w:t>
      </w:r>
      <w:r w:rsidRPr="00BC1A01">
        <w:rPr>
          <w:rFonts w:eastAsia="Calibri" w:cs="Times New Roman"/>
          <w:kern w:val="0"/>
          <w:sz w:val="20"/>
          <w:szCs w:val="20"/>
          <w:lang w:eastAsia="en-US"/>
          <w14:ligatures w14:val="none"/>
        </w:rPr>
        <w:t>. The study answered these research questions: (</w:t>
      </w:r>
      <w:proofErr w:type="spellStart"/>
      <w:r w:rsidRPr="00BC1A01">
        <w:rPr>
          <w:rFonts w:eastAsia="Calibri" w:cs="Times New Roman"/>
          <w:kern w:val="0"/>
          <w:sz w:val="20"/>
          <w:szCs w:val="20"/>
          <w:lang w:eastAsia="en-US"/>
          <w14:ligatures w14:val="none"/>
        </w:rPr>
        <w:t>i</w:t>
      </w:r>
      <w:proofErr w:type="spellEnd"/>
      <w:r w:rsidRPr="00BC1A01">
        <w:rPr>
          <w:rFonts w:eastAsia="Calibri" w:cs="Times New Roman"/>
          <w:kern w:val="0"/>
          <w:sz w:val="20"/>
          <w:szCs w:val="20"/>
          <w:lang w:eastAsia="en-US"/>
          <w14:ligatures w14:val="none"/>
        </w:rPr>
        <w:t xml:space="preserve">) </w:t>
      </w:r>
      <w:r w:rsidRPr="00BC1A01">
        <w:rPr>
          <w:rFonts w:eastAsia="Calibri" w:cs="Times New Roman"/>
          <w:color w:val="000000"/>
          <w:kern w:val="0"/>
          <w:sz w:val="20"/>
          <w:szCs w:val="20"/>
          <w:lang w:val="en-GB" w:eastAsia="en-US"/>
          <w14:ligatures w14:val="none"/>
        </w:rPr>
        <w:t>What role does employee motivation play in land service delivery</w:t>
      </w:r>
      <w:r w:rsidR="006E2757" w:rsidRPr="00BC1A01">
        <w:rPr>
          <w:rFonts w:eastAsia="Calibri" w:cs="Times New Roman"/>
          <w:color w:val="000000"/>
          <w:kern w:val="0"/>
          <w:sz w:val="20"/>
          <w:szCs w:val="20"/>
          <w:lang w:val="en-GB" w:eastAsia="en-US"/>
          <w14:ligatures w14:val="none"/>
        </w:rPr>
        <w:t>;</w:t>
      </w:r>
      <w:r w:rsidRPr="00BC1A01">
        <w:rPr>
          <w:rFonts w:eastAsia="Calibri" w:cs="Times New Roman"/>
          <w:color w:val="000000"/>
          <w:kern w:val="0"/>
          <w:sz w:val="20"/>
          <w:szCs w:val="20"/>
          <w:lang w:val="en-GB" w:eastAsia="en-US"/>
          <w14:ligatures w14:val="none"/>
        </w:rPr>
        <w:t xml:space="preserve"> (ii) How do intrinsic and extrinsic employee motivation influence land service delivery; (iii) What are the inhibiting factors causing the delay in service delivery at the Lands Commission; and What recommendations are relevant towards improved service delivery in the Lands Commission?</w:t>
      </w:r>
    </w:p>
    <w:p w14:paraId="13308863" w14:textId="37A86145" w:rsidR="00C677F8" w:rsidRPr="00BC1A01" w:rsidRDefault="00BC1A01" w:rsidP="00B20C4D">
      <w:pPr>
        <w:pStyle w:val="ListParagraph"/>
        <w:numPr>
          <w:ilvl w:val="0"/>
          <w:numId w:val="3"/>
        </w:numPr>
        <w:spacing w:before="0" w:after="0" w:line="480" w:lineRule="auto"/>
        <w:rPr>
          <w:rFonts w:eastAsia="Calibri" w:cs="Times New Roman"/>
          <w:b/>
          <w:bCs/>
          <w:color w:val="000000"/>
          <w:kern w:val="0"/>
          <w:sz w:val="22"/>
          <w:lang w:val="en-GB" w:eastAsia="en-US"/>
          <w14:ligatures w14:val="none"/>
        </w:rPr>
      </w:pPr>
      <w:r w:rsidRPr="00BC1A01">
        <w:rPr>
          <w:rFonts w:eastAsia="Calibri" w:cs="Times New Roman"/>
          <w:b/>
          <w:bCs/>
          <w:color w:val="000000"/>
          <w:kern w:val="0"/>
          <w:sz w:val="22"/>
          <w:lang w:val="en-GB" w:eastAsia="en-US"/>
          <w14:ligatures w14:val="none"/>
        </w:rPr>
        <w:t>LITERATURE REVIEW</w:t>
      </w:r>
    </w:p>
    <w:p w14:paraId="5C018185" w14:textId="06E7970D" w:rsidR="008974F3" w:rsidRPr="00BC1A01" w:rsidRDefault="008974F3" w:rsidP="00B20C4D">
      <w:pPr>
        <w:spacing w:after="0" w:line="480" w:lineRule="auto"/>
        <w:rPr>
          <w:rFonts w:eastAsia="Calibri" w:cs="Times New Roman"/>
          <w:kern w:val="0"/>
          <w:sz w:val="20"/>
          <w:szCs w:val="20"/>
          <w:lang w:eastAsia="en-US"/>
          <w14:ligatures w14:val="none"/>
        </w:rPr>
      </w:pPr>
      <w:r w:rsidRPr="00BC1A01">
        <w:rPr>
          <w:rFonts w:eastAsia="Calibri" w:cs="Times New Roman"/>
          <w:kern w:val="0"/>
          <w:sz w:val="20"/>
          <w:szCs w:val="20"/>
          <w:lang w:eastAsia="en-US"/>
          <w14:ligatures w14:val="none"/>
        </w:rPr>
        <w:t>The institutional theory provides a framework to understand how changes occur within organizations and why certain practices and structures become embedded. It posits that organizations resist reform due to forces including legal requirements, industry regulations, and societal expectations. Such pressures compel institutions to adopt practices essential for their survival. DiMaggio and Powell (1983) explain that organizational homogeneity arises from such pressures, although not all organizations react identically. Oliver (1991) and others note that responses depend on context and pressure types. At Ghana's Lands Commission, coercive and mimetic pressures influence employee motivation</w:t>
      </w:r>
      <w:r w:rsidR="002E07B3" w:rsidRPr="00BC1A01">
        <w:rPr>
          <w:rFonts w:eastAsia="Calibri" w:cs="Times New Roman"/>
          <w:kern w:val="0"/>
          <w:sz w:val="20"/>
          <w:szCs w:val="20"/>
          <w:lang w:eastAsia="en-US"/>
          <w14:ligatures w14:val="none"/>
        </w:rPr>
        <w:t>,</w:t>
      </w:r>
      <w:r w:rsidRPr="00BC1A01">
        <w:rPr>
          <w:rFonts w:eastAsia="Calibri" w:cs="Times New Roman"/>
          <w:kern w:val="0"/>
          <w:sz w:val="20"/>
          <w:szCs w:val="20"/>
          <w:lang w:eastAsia="en-US"/>
          <w14:ligatures w14:val="none"/>
        </w:rPr>
        <w:t xml:space="preserve"> thereby affecting service delivery outcomes.</w:t>
      </w:r>
    </w:p>
    <w:p w14:paraId="27E0E744" w14:textId="1B5D7009" w:rsidR="00C677F8" w:rsidRPr="00BC1A01" w:rsidRDefault="008974F3" w:rsidP="00B20C4D">
      <w:pPr>
        <w:spacing w:after="0" w:line="480" w:lineRule="auto"/>
        <w:rPr>
          <w:rFonts w:eastAsia="Calibri" w:cs="Times New Roman"/>
          <w:kern w:val="0"/>
          <w:sz w:val="20"/>
          <w:szCs w:val="20"/>
          <w:lang w:eastAsia="en-US"/>
          <w14:ligatures w14:val="none"/>
        </w:rPr>
      </w:pPr>
      <w:r w:rsidRPr="00BC1A01">
        <w:rPr>
          <w:rFonts w:eastAsia="Calibri" w:cs="Times New Roman"/>
          <w:kern w:val="0"/>
          <w:sz w:val="20"/>
          <w:szCs w:val="20"/>
          <w:lang w:eastAsia="en-US"/>
          <w14:ligatures w14:val="none"/>
        </w:rPr>
        <w:t>Public Service Motivation (PSM), as defined by Perry (</w:t>
      </w:r>
      <w:r w:rsidR="007C78B0">
        <w:rPr>
          <w:rFonts w:eastAsia="Calibri" w:cs="Times New Roman"/>
          <w:kern w:val="0"/>
          <w:sz w:val="20"/>
          <w:szCs w:val="20"/>
          <w:lang w:eastAsia="en-US"/>
          <w14:ligatures w14:val="none"/>
        </w:rPr>
        <w:t>2014</w:t>
      </w:r>
      <w:r w:rsidRPr="00BC1A01">
        <w:rPr>
          <w:rFonts w:eastAsia="Calibri" w:cs="Times New Roman"/>
          <w:kern w:val="0"/>
          <w:sz w:val="20"/>
          <w:szCs w:val="20"/>
          <w:lang w:eastAsia="en-US"/>
          <w14:ligatures w14:val="none"/>
        </w:rPr>
        <w:t xml:space="preserve">), refers to the inclination to respond to motives rooted in public institutions, with factors such as commitment to the common good and compassion driving employee performance. </w:t>
      </w:r>
      <w:r w:rsidR="001468A2" w:rsidRPr="001468A2">
        <w:rPr>
          <w:rFonts w:cs="Times New Roman"/>
          <w:sz w:val="20"/>
          <w:szCs w:val="20"/>
        </w:rPr>
        <w:t>Ritz</w:t>
      </w:r>
      <w:r w:rsidR="001468A2">
        <w:rPr>
          <w:rFonts w:cs="Times New Roman"/>
          <w:sz w:val="20"/>
          <w:szCs w:val="20"/>
        </w:rPr>
        <w:t xml:space="preserve"> et al. </w:t>
      </w:r>
      <w:r w:rsidRPr="00BC1A01">
        <w:rPr>
          <w:rFonts w:eastAsia="Calibri" w:cs="Times New Roman"/>
          <w:kern w:val="0"/>
          <w:sz w:val="20"/>
          <w:szCs w:val="20"/>
          <w:lang w:eastAsia="en-US"/>
          <w14:ligatures w14:val="none"/>
        </w:rPr>
        <w:t>(20</w:t>
      </w:r>
      <w:r w:rsidR="001468A2">
        <w:rPr>
          <w:rFonts w:eastAsia="Calibri" w:cs="Times New Roman"/>
          <w:kern w:val="0"/>
          <w:sz w:val="20"/>
          <w:szCs w:val="20"/>
          <w:lang w:eastAsia="en-US"/>
          <w14:ligatures w14:val="none"/>
        </w:rPr>
        <w:t>16</w:t>
      </w:r>
      <w:r w:rsidRPr="00BC1A01">
        <w:rPr>
          <w:rFonts w:eastAsia="Calibri" w:cs="Times New Roman"/>
          <w:kern w:val="0"/>
          <w:sz w:val="20"/>
          <w:szCs w:val="20"/>
          <w:lang w:eastAsia="en-US"/>
          <w14:ligatures w14:val="none"/>
        </w:rPr>
        <w:t xml:space="preserve">) highlighted the role of cultural values in shaping PSM, suggesting that societal expectations influenced organizational culture. </w:t>
      </w:r>
      <w:r w:rsidR="00CD68A2" w:rsidRPr="00CD68A2">
        <w:rPr>
          <w:rFonts w:eastAsia="Calibri" w:cs="Times New Roman"/>
          <w:kern w:val="0"/>
          <w:sz w:val="20"/>
          <w:szCs w:val="20"/>
          <w:lang w:eastAsia="en-US"/>
          <w14:ligatures w14:val="none"/>
        </w:rPr>
        <w:t xml:space="preserve">Zakariya &amp; </w:t>
      </w:r>
      <w:proofErr w:type="spellStart"/>
      <w:r w:rsidR="00CD68A2" w:rsidRPr="00CD68A2">
        <w:rPr>
          <w:rFonts w:eastAsia="Calibri" w:cs="Times New Roman"/>
          <w:kern w:val="0"/>
          <w:sz w:val="20"/>
          <w:szCs w:val="20"/>
          <w:lang w:eastAsia="en-US"/>
          <w14:ligatures w14:val="none"/>
        </w:rPr>
        <w:t>Achimugu</w:t>
      </w:r>
      <w:proofErr w:type="spellEnd"/>
      <w:r w:rsidR="00CD68A2" w:rsidRPr="00CD68A2">
        <w:rPr>
          <w:rFonts w:eastAsia="Calibri" w:cs="Times New Roman"/>
          <w:kern w:val="0"/>
          <w:sz w:val="20"/>
          <w:szCs w:val="20"/>
          <w:lang w:eastAsia="en-US"/>
          <w14:ligatures w14:val="none"/>
        </w:rPr>
        <w:t xml:space="preserve"> (2023)</w:t>
      </w:r>
      <w:r w:rsidR="00CD68A2">
        <w:rPr>
          <w:rFonts w:eastAsia="Calibri" w:cs="Times New Roman"/>
          <w:kern w:val="0"/>
          <w:sz w:val="20"/>
          <w:szCs w:val="20"/>
          <w:lang w:eastAsia="en-US"/>
          <w14:ligatures w14:val="none"/>
        </w:rPr>
        <w:t xml:space="preserve"> </w:t>
      </w:r>
      <w:r w:rsidRPr="00BC1A01">
        <w:rPr>
          <w:rFonts w:eastAsia="Calibri" w:cs="Times New Roman"/>
          <w:kern w:val="0"/>
          <w:sz w:val="20"/>
          <w:szCs w:val="20"/>
          <w:lang w:eastAsia="en-US"/>
          <w14:ligatures w14:val="none"/>
        </w:rPr>
        <w:t xml:space="preserve">found that regulatory oversight in Nigeria led to increased compliance and improved employee motivation in public institutions. Similarly, </w:t>
      </w:r>
      <w:proofErr w:type="spellStart"/>
      <w:r w:rsidRPr="00BC1A01">
        <w:rPr>
          <w:rFonts w:eastAsia="Calibri" w:cs="Times New Roman"/>
          <w:kern w:val="0"/>
          <w:sz w:val="20"/>
          <w:szCs w:val="20"/>
          <w:lang w:eastAsia="en-US"/>
          <w14:ligatures w14:val="none"/>
        </w:rPr>
        <w:lastRenderedPageBreak/>
        <w:t>Vandenabeele</w:t>
      </w:r>
      <w:proofErr w:type="spellEnd"/>
      <w:r w:rsidRPr="00BC1A01">
        <w:rPr>
          <w:rFonts w:eastAsia="Calibri" w:cs="Times New Roman"/>
          <w:kern w:val="0"/>
          <w:sz w:val="20"/>
          <w:szCs w:val="20"/>
          <w:lang w:eastAsia="en-US"/>
          <w14:ligatures w14:val="none"/>
        </w:rPr>
        <w:t xml:space="preserve"> (2014) observed that transformational leadership positively affects PSM by fulfilling employees' psychological needs. At Ghana's Lands Commission, employee motivation could be enhanced through such leadership approaches.</w:t>
      </w:r>
    </w:p>
    <w:p w14:paraId="1E725862" w14:textId="4161067B" w:rsidR="008974F3" w:rsidRPr="00BC1A01" w:rsidRDefault="00F308B6" w:rsidP="00B20C4D">
      <w:pPr>
        <w:spacing w:after="0" w:line="480" w:lineRule="auto"/>
        <w:rPr>
          <w:rFonts w:eastAsia="Calibri" w:cs="Times New Roman"/>
          <w:kern w:val="0"/>
          <w:sz w:val="20"/>
          <w:szCs w:val="20"/>
          <w:lang w:eastAsia="en-US"/>
          <w14:ligatures w14:val="none"/>
        </w:rPr>
      </w:pPr>
      <w:r w:rsidRPr="00F308B6">
        <w:rPr>
          <w:rFonts w:cs="Times New Roman"/>
          <w:sz w:val="20"/>
          <w:szCs w:val="20"/>
        </w:rPr>
        <w:t>Ali</w:t>
      </w:r>
      <w:r>
        <w:rPr>
          <w:rFonts w:cs="Times New Roman"/>
          <w:sz w:val="20"/>
          <w:szCs w:val="20"/>
        </w:rPr>
        <w:t xml:space="preserve"> </w:t>
      </w:r>
      <w:r w:rsidR="008974F3" w:rsidRPr="00BC1A01">
        <w:rPr>
          <w:rFonts w:eastAsia="Calibri" w:cs="Times New Roman"/>
          <w:kern w:val="0"/>
          <w:sz w:val="20"/>
          <w:szCs w:val="20"/>
          <w:lang w:eastAsia="en-US"/>
          <w14:ligatures w14:val="none"/>
        </w:rPr>
        <w:t>(20</w:t>
      </w:r>
      <w:r>
        <w:rPr>
          <w:rFonts w:eastAsia="Calibri" w:cs="Times New Roman"/>
          <w:kern w:val="0"/>
          <w:sz w:val="20"/>
          <w:szCs w:val="20"/>
          <w:lang w:eastAsia="en-US"/>
          <w14:ligatures w14:val="none"/>
        </w:rPr>
        <w:t>21</w:t>
      </w:r>
      <w:r w:rsidR="008974F3" w:rsidRPr="00BC1A01">
        <w:rPr>
          <w:rFonts w:eastAsia="Calibri" w:cs="Times New Roman"/>
          <w:kern w:val="0"/>
          <w:sz w:val="20"/>
          <w:szCs w:val="20"/>
          <w:lang w:eastAsia="en-US"/>
          <w14:ligatures w14:val="none"/>
        </w:rPr>
        <w:t>) advocate for scientific approaches to service delivery in South Africa, addressing poverty and inequality</w:t>
      </w:r>
      <w:r w:rsidR="002376CB" w:rsidRPr="00BC1A01">
        <w:rPr>
          <w:rFonts w:eastAsia="Calibri" w:cs="Times New Roman"/>
          <w:kern w:val="0"/>
          <w:sz w:val="20"/>
          <w:szCs w:val="20"/>
          <w:lang w:eastAsia="en-US"/>
          <w14:ligatures w14:val="none"/>
        </w:rPr>
        <w:t xml:space="preserve"> issues</w:t>
      </w:r>
      <w:r w:rsidR="008974F3" w:rsidRPr="00BC1A01">
        <w:rPr>
          <w:rFonts w:eastAsia="Calibri" w:cs="Times New Roman"/>
          <w:kern w:val="0"/>
          <w:sz w:val="20"/>
          <w:szCs w:val="20"/>
          <w:lang w:eastAsia="en-US"/>
          <w14:ligatures w14:val="none"/>
        </w:rPr>
        <w:t xml:space="preserve">. This approach is pertinent to land administration reforms at the Lands Commission, as employee motivation and systemic reforms could enhance service delivery. </w:t>
      </w:r>
      <w:proofErr w:type="spellStart"/>
      <w:r w:rsidR="008974F3" w:rsidRPr="00BC1A01">
        <w:rPr>
          <w:rFonts w:eastAsia="Calibri" w:cs="Times New Roman"/>
          <w:kern w:val="0"/>
          <w:sz w:val="20"/>
          <w:szCs w:val="20"/>
          <w:lang w:eastAsia="en-US"/>
          <w14:ligatures w14:val="none"/>
        </w:rPr>
        <w:t>Brignall</w:t>
      </w:r>
      <w:proofErr w:type="spellEnd"/>
      <w:r w:rsidR="008974F3" w:rsidRPr="00BC1A01">
        <w:rPr>
          <w:rFonts w:eastAsia="Calibri" w:cs="Times New Roman"/>
          <w:kern w:val="0"/>
          <w:sz w:val="20"/>
          <w:szCs w:val="20"/>
          <w:lang w:eastAsia="en-US"/>
          <w14:ligatures w14:val="none"/>
        </w:rPr>
        <w:t xml:space="preserve"> and Modell (2000) emphasize the significance of performance measurement, positing that balanced systems can fulfill various stakeholder requirements. At the Lands Commission, balanced performance metrics could augment employee motivation by aligning efforts with organizational and public expectations. Research by Opondo et al. (2021) underscores the importance of strategic leadership in land administration, emphasizing the necessity for reforms led by inspiring leaders. Meyer and Rowan (1977) observe that organizations frequently adopt policies as rituals to maintain legitimacy, which may impede genuine implementation. Consequently, substantive reforms rather than symbolic measures are essential at the Lands Commission to improve motivation and service delivery.</w:t>
      </w:r>
    </w:p>
    <w:p w14:paraId="1775EE58" w14:textId="3370CC92" w:rsidR="008974F3" w:rsidRPr="00BC1A01" w:rsidRDefault="008974F3" w:rsidP="00B20C4D">
      <w:pPr>
        <w:spacing w:after="0" w:line="480" w:lineRule="auto"/>
        <w:rPr>
          <w:rFonts w:eastAsia="Calibri" w:cs="Times New Roman"/>
          <w:kern w:val="0"/>
          <w:sz w:val="20"/>
          <w:szCs w:val="20"/>
          <w:lang w:eastAsia="en-US"/>
          <w14:ligatures w14:val="none"/>
        </w:rPr>
      </w:pPr>
      <w:r w:rsidRPr="00BC1A01">
        <w:rPr>
          <w:rFonts w:eastAsia="Calibri" w:cs="Times New Roman"/>
          <w:kern w:val="0"/>
          <w:sz w:val="20"/>
          <w:szCs w:val="20"/>
          <w:lang w:eastAsia="en-US"/>
          <w14:ligatures w14:val="none"/>
        </w:rPr>
        <w:t xml:space="preserve">The expectancy theory of motivation, proposed by Victor Vroom in 1964, posits that individuals are motivated by anticipated outcomes, comprising three elements: expectancy, instrumentality, and valence. Expectancy refers to the belief that effort will result in desired outcomes; instrumentality denotes the perceived connection between performance and reward; and valence signifies the desirability of the reward. Fang (2023) </w:t>
      </w:r>
      <w:r w:rsidR="002376CB" w:rsidRPr="00BC1A01">
        <w:rPr>
          <w:rFonts w:eastAsia="Calibri" w:cs="Times New Roman"/>
          <w:kern w:val="0"/>
          <w:sz w:val="20"/>
          <w:szCs w:val="20"/>
          <w:lang w:eastAsia="en-US"/>
          <w14:ligatures w14:val="none"/>
        </w:rPr>
        <w:t>contends</w:t>
      </w:r>
      <w:r w:rsidRPr="00BC1A01">
        <w:rPr>
          <w:rFonts w:eastAsia="Calibri" w:cs="Times New Roman"/>
          <w:kern w:val="0"/>
          <w:sz w:val="20"/>
          <w:szCs w:val="20"/>
          <w:lang w:eastAsia="en-US"/>
          <w14:ligatures w14:val="none"/>
        </w:rPr>
        <w:t xml:space="preserve"> that expectancy theory facilitates the alignment of rewards with employee expectations, enhancing motivation when employees believe </w:t>
      </w:r>
      <w:r w:rsidR="002376CB" w:rsidRPr="00BC1A01">
        <w:rPr>
          <w:rFonts w:eastAsia="Calibri" w:cs="Times New Roman"/>
          <w:kern w:val="0"/>
          <w:sz w:val="20"/>
          <w:szCs w:val="20"/>
          <w:lang w:eastAsia="en-US"/>
          <w14:ligatures w14:val="none"/>
        </w:rPr>
        <w:t xml:space="preserve">an </w:t>
      </w:r>
      <w:r w:rsidRPr="00BC1A01">
        <w:rPr>
          <w:rFonts w:eastAsia="Calibri" w:cs="Times New Roman"/>
          <w:kern w:val="0"/>
          <w:sz w:val="20"/>
          <w:szCs w:val="20"/>
          <w:lang w:eastAsia="en-US"/>
          <w14:ligatures w14:val="none"/>
        </w:rPr>
        <w:t>effort will yield desired results. By applying expectancy theory, managers can tailor motivational strategies to individual employee needs, thereby improving productivity and satisfaction.</w:t>
      </w:r>
    </w:p>
    <w:p w14:paraId="78FAA631" w14:textId="5401D83F" w:rsidR="00B20C4D" w:rsidRPr="00BC1A01" w:rsidRDefault="008974F3" w:rsidP="00B20C4D">
      <w:pPr>
        <w:spacing w:before="0" w:after="0" w:line="480" w:lineRule="auto"/>
        <w:rPr>
          <w:rFonts w:eastAsia="Calibri" w:cs="Times New Roman"/>
          <w:kern w:val="0"/>
          <w:sz w:val="20"/>
          <w:szCs w:val="20"/>
          <w:lang w:eastAsia="en-US"/>
          <w14:ligatures w14:val="none"/>
        </w:rPr>
      </w:pPr>
      <w:r w:rsidRPr="00BC1A01">
        <w:rPr>
          <w:rFonts w:eastAsia="Calibri" w:cs="Times New Roman"/>
          <w:kern w:val="0"/>
          <w:sz w:val="20"/>
          <w:szCs w:val="20"/>
          <w:lang w:eastAsia="en-US"/>
          <w14:ligatures w14:val="none"/>
        </w:rPr>
        <w:t xml:space="preserve">Despite its advantages, expectancy theory exhibits limitations. It presupposes rational decision-making, neglecting emotional and social motivators (Fang, 2023). Furthermore, it may inadequately account for intrinsic motivators, such as personal growth or job satisfaction, which are fundamental for ethical and sustained motivation (Eccles &amp; </w:t>
      </w:r>
      <w:proofErr w:type="spellStart"/>
      <w:r w:rsidRPr="00BC1A01">
        <w:rPr>
          <w:rFonts w:eastAsia="Calibri" w:cs="Times New Roman"/>
          <w:kern w:val="0"/>
          <w:sz w:val="20"/>
          <w:szCs w:val="20"/>
          <w:lang w:eastAsia="en-US"/>
          <w14:ligatures w14:val="none"/>
        </w:rPr>
        <w:t>Wigfield</w:t>
      </w:r>
      <w:proofErr w:type="spellEnd"/>
      <w:r w:rsidRPr="00BC1A01">
        <w:rPr>
          <w:rFonts w:eastAsia="Calibri" w:cs="Times New Roman"/>
          <w:kern w:val="0"/>
          <w:sz w:val="20"/>
          <w:szCs w:val="20"/>
          <w:lang w:eastAsia="en-US"/>
          <w14:ligatures w14:val="none"/>
        </w:rPr>
        <w:t xml:space="preserve">, 2020). </w:t>
      </w:r>
      <w:r w:rsidR="00C94E7F" w:rsidRPr="00C94E7F">
        <w:rPr>
          <w:rFonts w:eastAsia="Times New Roman" w:cs="Times New Roman"/>
          <w:kern w:val="0"/>
          <w:sz w:val="20"/>
          <w:szCs w:val="20"/>
          <w14:ligatures w14:val="none"/>
        </w:rPr>
        <w:t>Saleem</w:t>
      </w:r>
      <w:r w:rsidRPr="00BC1A01">
        <w:rPr>
          <w:rFonts w:eastAsia="Calibri" w:cs="Times New Roman"/>
          <w:kern w:val="0"/>
          <w:sz w:val="20"/>
          <w:szCs w:val="20"/>
          <w:lang w:eastAsia="en-US"/>
          <w14:ligatures w14:val="none"/>
        </w:rPr>
        <w:t xml:space="preserve"> et al. (20</w:t>
      </w:r>
      <w:r w:rsidR="00C94E7F">
        <w:rPr>
          <w:rFonts w:eastAsia="Calibri" w:cs="Times New Roman"/>
          <w:kern w:val="0"/>
          <w:sz w:val="20"/>
          <w:szCs w:val="20"/>
          <w:lang w:eastAsia="en-US"/>
          <w14:ligatures w14:val="none"/>
        </w:rPr>
        <w:t>21</w:t>
      </w:r>
      <w:r w:rsidRPr="00BC1A01">
        <w:rPr>
          <w:rFonts w:eastAsia="Calibri" w:cs="Times New Roman"/>
          <w:kern w:val="0"/>
          <w:sz w:val="20"/>
          <w:szCs w:val="20"/>
          <w:lang w:eastAsia="en-US"/>
          <w14:ligatures w14:val="none"/>
        </w:rPr>
        <w:t xml:space="preserve">) elucidate practical challenges in establishing a connection between effort and outcomes, particularly in creative tasks where performance quantification is more complex. In Ghana's Lands Commission, expectancy theory could inform motivational strategies by explicitly linking performance outcomes to rewards. Managers could articulate expectations transparently, establish measurable objectives, and incentivize achievements through promotions or financial bonuses, thereby enhancing land service delivery. However, the theory's limitations </w:t>
      </w:r>
      <w:r w:rsidRPr="00BC1A01">
        <w:rPr>
          <w:rFonts w:eastAsia="Calibri" w:cs="Times New Roman"/>
          <w:kern w:val="0"/>
          <w:sz w:val="20"/>
          <w:szCs w:val="20"/>
          <w:lang w:eastAsia="en-US"/>
          <w14:ligatures w14:val="none"/>
        </w:rPr>
        <w:lastRenderedPageBreak/>
        <w:t xml:space="preserve">suggest that intrinsic motivators, such as career development opportunities and supportive work environments, are equally essential to </w:t>
      </w:r>
      <w:r w:rsidR="002376CB" w:rsidRPr="00BC1A01">
        <w:rPr>
          <w:rFonts w:eastAsia="Calibri" w:cs="Times New Roman"/>
          <w:kern w:val="0"/>
          <w:sz w:val="20"/>
          <w:szCs w:val="20"/>
          <w:lang w:eastAsia="en-US"/>
          <w14:ligatures w14:val="none"/>
        </w:rPr>
        <w:t>fostering</w:t>
      </w:r>
      <w:r w:rsidRPr="00BC1A01">
        <w:rPr>
          <w:rFonts w:eastAsia="Calibri" w:cs="Times New Roman"/>
          <w:kern w:val="0"/>
          <w:sz w:val="20"/>
          <w:szCs w:val="20"/>
          <w:lang w:eastAsia="en-US"/>
          <w14:ligatures w14:val="none"/>
        </w:rPr>
        <w:t xml:space="preserve"> sustained motivation.</w:t>
      </w:r>
    </w:p>
    <w:p w14:paraId="2517DD1D" w14:textId="5B6E67C3" w:rsidR="00CB42F2" w:rsidRPr="00BC1A01" w:rsidRDefault="00BC1A01" w:rsidP="00B20C4D">
      <w:pPr>
        <w:pStyle w:val="ListParagraph"/>
        <w:numPr>
          <w:ilvl w:val="0"/>
          <w:numId w:val="3"/>
        </w:numPr>
        <w:spacing w:before="0" w:after="0" w:line="480" w:lineRule="auto"/>
        <w:rPr>
          <w:rFonts w:eastAsia="Calibri" w:cs="Times New Roman"/>
          <w:b/>
          <w:bCs/>
          <w:color w:val="000000"/>
          <w:kern w:val="0"/>
          <w:sz w:val="22"/>
          <w:lang w:val="en-GB" w:eastAsia="en-US"/>
          <w14:ligatures w14:val="none"/>
        </w:rPr>
      </w:pPr>
      <w:r w:rsidRPr="00BC1A01">
        <w:rPr>
          <w:rFonts w:eastAsia="Calibri" w:cs="Times New Roman"/>
          <w:b/>
          <w:bCs/>
          <w:color w:val="000000"/>
          <w:kern w:val="0"/>
          <w:sz w:val="22"/>
          <w:lang w:val="en-GB" w:eastAsia="en-US"/>
          <w14:ligatures w14:val="none"/>
        </w:rPr>
        <w:t xml:space="preserve">METHODOLOGY </w:t>
      </w:r>
    </w:p>
    <w:p w14:paraId="10946F51" w14:textId="2617D479" w:rsidR="00F11EA7" w:rsidRPr="00BC1A01" w:rsidRDefault="004930BF" w:rsidP="00B20C4D">
      <w:pPr>
        <w:spacing w:before="0" w:after="0" w:line="480" w:lineRule="auto"/>
        <w:rPr>
          <w:rFonts w:eastAsia="Times New Roman" w:cs="Times New Roman"/>
          <w:kern w:val="0"/>
          <w:sz w:val="20"/>
          <w:szCs w:val="20"/>
          <w14:ligatures w14:val="none"/>
        </w:rPr>
      </w:pPr>
      <w:r w:rsidRPr="00BC1A01">
        <w:rPr>
          <w:rFonts w:eastAsia="Times New Roman" w:cs="Times New Roman"/>
          <w:kern w:val="0"/>
          <w:sz w:val="20"/>
          <w:szCs w:val="20"/>
          <w14:ligatures w14:val="none"/>
        </w:rPr>
        <w:t xml:space="preserve">The Lands Commission of Ghana operates under the Ministry of Lands and Natural Resources. It </w:t>
      </w:r>
      <w:r w:rsidR="00D60818" w:rsidRPr="00BC1A01">
        <w:rPr>
          <w:rFonts w:eastAsia="Times New Roman" w:cs="Times New Roman"/>
          <w:kern w:val="0"/>
          <w:sz w:val="20"/>
          <w:szCs w:val="20"/>
          <w14:ligatures w14:val="none"/>
        </w:rPr>
        <w:t>is</w:t>
      </w:r>
      <w:r w:rsidRPr="00BC1A01">
        <w:rPr>
          <w:rFonts w:eastAsia="Times New Roman" w:cs="Times New Roman"/>
          <w:kern w:val="0"/>
          <w:sz w:val="20"/>
          <w:szCs w:val="20"/>
          <w14:ligatures w14:val="none"/>
        </w:rPr>
        <w:t xml:space="preserve"> responsible for land administration and management throughout the country. Its mandate encompasses the registration of land deeds and titles, surveying and mapping, and land policy formulation and implementation (Lands Commission Act 2008, Act 767). The Lands Commission plays a pivotal role in ensuring efficient, transparent, and equitable access to land resources, which is fundamental for </w:t>
      </w:r>
      <w:r w:rsidR="002E07B3" w:rsidRPr="00BC1A01">
        <w:rPr>
          <w:rFonts w:eastAsia="Times New Roman" w:cs="Times New Roman"/>
          <w:kern w:val="0"/>
          <w:sz w:val="20"/>
          <w:szCs w:val="20"/>
          <w14:ligatures w14:val="none"/>
        </w:rPr>
        <w:t>socioeconomic</w:t>
      </w:r>
      <w:r w:rsidRPr="00BC1A01">
        <w:rPr>
          <w:rFonts w:eastAsia="Times New Roman" w:cs="Times New Roman"/>
          <w:kern w:val="0"/>
          <w:sz w:val="20"/>
          <w:szCs w:val="20"/>
          <w14:ligatures w14:val="none"/>
        </w:rPr>
        <w:t xml:space="preserve"> development. Its offices are distributed across all 16 administrative regions of Ghana, with a significant presence in the capital city, Accra, where the headquarters is situated (Ghana Statistical Service, 2021). According to the Lands Commission's Annual Report (202</w:t>
      </w:r>
      <w:r w:rsidR="000D471F" w:rsidRPr="00BC1A01">
        <w:rPr>
          <w:rFonts w:eastAsia="Times New Roman" w:cs="Times New Roman"/>
          <w:kern w:val="0"/>
          <w:sz w:val="20"/>
          <w:szCs w:val="20"/>
          <w14:ligatures w14:val="none"/>
        </w:rPr>
        <w:t>1</w:t>
      </w:r>
      <w:r w:rsidRPr="00BC1A01">
        <w:rPr>
          <w:rFonts w:eastAsia="Times New Roman" w:cs="Times New Roman"/>
          <w:kern w:val="0"/>
          <w:sz w:val="20"/>
          <w:szCs w:val="20"/>
          <w14:ligatures w14:val="none"/>
        </w:rPr>
        <w:t>), the total staff population across Ghana's administrative regions is 1,936. The Commission's organizational structure comprises four main divisions: Survey and Mapping, Land Registration, Land Valuation, and Public and Vested Lands Management. Each division has distinct functions, yet their activities are interrelated and interdependent (</w:t>
      </w:r>
      <w:proofErr w:type="spellStart"/>
      <w:r w:rsidR="00F308B6" w:rsidRPr="00F308B6">
        <w:rPr>
          <w:rFonts w:cs="Times New Roman"/>
          <w:sz w:val="20"/>
          <w:szCs w:val="20"/>
        </w:rPr>
        <w:t>Adzima</w:t>
      </w:r>
      <w:proofErr w:type="spellEnd"/>
      <w:r w:rsidR="00F308B6">
        <w:rPr>
          <w:rFonts w:cs="Times New Roman"/>
          <w:sz w:val="20"/>
          <w:szCs w:val="20"/>
        </w:rPr>
        <w:t>,</w:t>
      </w:r>
      <w:r w:rsidR="00F308B6" w:rsidRPr="00BC1A01">
        <w:rPr>
          <w:rFonts w:cs="Times New Roman"/>
          <w:sz w:val="20"/>
          <w:szCs w:val="20"/>
        </w:rPr>
        <w:t xml:space="preserve"> 202</w:t>
      </w:r>
      <w:r w:rsidR="00F308B6">
        <w:rPr>
          <w:rFonts w:cs="Times New Roman"/>
          <w:sz w:val="20"/>
          <w:szCs w:val="20"/>
        </w:rPr>
        <w:t>3</w:t>
      </w:r>
      <w:r w:rsidRPr="00BC1A01">
        <w:rPr>
          <w:rFonts w:eastAsia="Times New Roman" w:cs="Times New Roman"/>
          <w:kern w:val="0"/>
          <w:sz w:val="20"/>
          <w:szCs w:val="20"/>
          <w14:ligatures w14:val="none"/>
        </w:rPr>
        <w:t>).</w:t>
      </w:r>
    </w:p>
    <w:p w14:paraId="55911A20" w14:textId="77777777" w:rsidR="00F11EA7" w:rsidRPr="00BC1A01" w:rsidRDefault="000F534F" w:rsidP="00B20C4D">
      <w:pPr>
        <w:spacing w:before="0" w:after="0" w:line="480" w:lineRule="auto"/>
        <w:rPr>
          <w:rFonts w:cs="Times New Roman"/>
          <w:color w:val="262626"/>
          <w:sz w:val="20"/>
          <w:szCs w:val="20"/>
        </w:rPr>
      </w:pPr>
      <w:r w:rsidRPr="00BC1A01">
        <w:rPr>
          <w:rFonts w:cs="Times New Roman"/>
          <w:color w:val="262626"/>
          <w:sz w:val="20"/>
          <w:szCs w:val="20"/>
        </w:rPr>
        <w:t xml:space="preserve">This study utilized an explanatory research design to investigate the relationship between employee motivation and service delivery, with particular attention to the influence of internal and external reforms. </w:t>
      </w:r>
      <w:r w:rsidR="00690ACA" w:rsidRPr="00BC1A01">
        <w:rPr>
          <w:rFonts w:cs="Times New Roman"/>
          <w:color w:val="262626"/>
          <w:sz w:val="20"/>
          <w:szCs w:val="20"/>
        </w:rPr>
        <w:t xml:space="preserve">Moreover, </w:t>
      </w:r>
      <w:r w:rsidR="00CF51BF" w:rsidRPr="00BC1A01">
        <w:rPr>
          <w:rFonts w:cs="Times New Roman"/>
          <w:color w:val="262626"/>
          <w:sz w:val="20"/>
          <w:szCs w:val="20"/>
        </w:rPr>
        <w:t>E</w:t>
      </w:r>
      <w:r w:rsidRPr="00BC1A01">
        <w:rPr>
          <w:rFonts w:cs="Times New Roman"/>
          <w:color w:val="262626"/>
          <w:sz w:val="20"/>
          <w:szCs w:val="20"/>
        </w:rPr>
        <w:t xml:space="preserve">xplanatory research is </w:t>
      </w:r>
      <w:r w:rsidR="00690ACA" w:rsidRPr="00BC1A01">
        <w:rPr>
          <w:rFonts w:cs="Times New Roman"/>
          <w:color w:val="262626"/>
          <w:sz w:val="20"/>
          <w:szCs w:val="20"/>
        </w:rPr>
        <w:t xml:space="preserve">more </w:t>
      </w:r>
      <w:r w:rsidRPr="00BC1A01">
        <w:rPr>
          <w:rFonts w:cs="Times New Roman"/>
          <w:color w:val="262626"/>
          <w:sz w:val="20"/>
          <w:szCs w:val="20"/>
        </w:rPr>
        <w:t>objective, employing survey questionnaires to collect data from respondents while minimizing the potential influence</w:t>
      </w:r>
      <w:r w:rsidR="00690ACA" w:rsidRPr="00BC1A01">
        <w:rPr>
          <w:rFonts w:cs="Times New Roman"/>
          <w:color w:val="262626"/>
          <w:sz w:val="20"/>
          <w:szCs w:val="20"/>
        </w:rPr>
        <w:t>s</w:t>
      </w:r>
      <w:r w:rsidRPr="00BC1A01">
        <w:rPr>
          <w:rFonts w:cs="Times New Roman"/>
          <w:color w:val="262626"/>
          <w:sz w:val="20"/>
          <w:szCs w:val="20"/>
        </w:rPr>
        <w:t xml:space="preserve"> of the researcher</w:t>
      </w:r>
      <w:r w:rsidR="00524629" w:rsidRPr="00BC1A01">
        <w:rPr>
          <w:rFonts w:cs="Times New Roman"/>
          <w:color w:val="262626"/>
          <w:sz w:val="20"/>
          <w:szCs w:val="20"/>
        </w:rPr>
        <w:t xml:space="preserve"> </w:t>
      </w:r>
      <w:r w:rsidR="00690ACA" w:rsidRPr="00BC1A01">
        <w:rPr>
          <w:rFonts w:eastAsia="Calibri" w:cs="Times New Roman"/>
          <w:color w:val="000000"/>
          <w:sz w:val="20"/>
          <w:szCs w:val="20"/>
          <w:lang w:eastAsia="en-US"/>
        </w:rPr>
        <w:t>(Creswell &amp; Plano Clark, 2023).</w:t>
      </w:r>
      <w:r w:rsidRPr="00BC1A01">
        <w:rPr>
          <w:rFonts w:cs="Times New Roman"/>
          <w:color w:val="262626"/>
          <w:sz w:val="20"/>
          <w:szCs w:val="20"/>
        </w:rPr>
        <w:t xml:space="preserve"> A deductive approach was adopted to identify key themes from the existing literature on employee motivation and land service delivery. This method, commonly </w:t>
      </w:r>
      <w:r w:rsidR="00524629" w:rsidRPr="00BC1A01">
        <w:rPr>
          <w:rFonts w:cs="Times New Roman"/>
          <w:color w:val="262626"/>
          <w:sz w:val="20"/>
          <w:szCs w:val="20"/>
        </w:rPr>
        <w:t>known</w:t>
      </w:r>
      <w:r w:rsidRPr="00BC1A01">
        <w:rPr>
          <w:rFonts w:cs="Times New Roman"/>
          <w:color w:val="262626"/>
          <w:sz w:val="20"/>
          <w:szCs w:val="20"/>
        </w:rPr>
        <w:t xml:space="preserve"> as 'theory-testing,' involves formulating hypotheses based on theoretical frameworks, which can then be validated or refuted through statistical analysis</w:t>
      </w:r>
      <w:r w:rsidR="00524629" w:rsidRPr="00BC1A01">
        <w:rPr>
          <w:rFonts w:cs="Times New Roman"/>
          <w:color w:val="262626"/>
          <w:sz w:val="20"/>
          <w:szCs w:val="20"/>
        </w:rPr>
        <w:t xml:space="preserve"> </w:t>
      </w:r>
      <w:r w:rsidR="00690ACA" w:rsidRPr="00BC1A01">
        <w:rPr>
          <w:rFonts w:eastAsia="Calibri" w:cs="Times New Roman"/>
          <w:color w:val="000000"/>
          <w:sz w:val="20"/>
          <w:szCs w:val="20"/>
          <w:lang w:eastAsia="en-US"/>
        </w:rPr>
        <w:t>(</w:t>
      </w:r>
      <w:proofErr w:type="spellStart"/>
      <w:r w:rsidR="00690ACA" w:rsidRPr="00BC1A01">
        <w:rPr>
          <w:rFonts w:eastAsia="Calibri" w:cs="Times New Roman"/>
          <w:color w:val="000000"/>
          <w:sz w:val="20"/>
          <w:szCs w:val="20"/>
          <w:lang w:eastAsia="en-US"/>
        </w:rPr>
        <w:t>Renjith</w:t>
      </w:r>
      <w:proofErr w:type="spellEnd"/>
      <w:r w:rsidR="00690ACA" w:rsidRPr="00BC1A01">
        <w:rPr>
          <w:rFonts w:eastAsia="Calibri" w:cs="Times New Roman"/>
          <w:color w:val="000000"/>
          <w:sz w:val="20"/>
          <w:szCs w:val="20"/>
          <w:lang w:eastAsia="en-US"/>
        </w:rPr>
        <w:t xml:space="preserve"> et al., 2021)</w:t>
      </w:r>
      <w:r w:rsidRPr="00BC1A01">
        <w:rPr>
          <w:rFonts w:cs="Times New Roman"/>
          <w:color w:val="262626"/>
          <w:sz w:val="20"/>
          <w:szCs w:val="20"/>
        </w:rPr>
        <w:t>.</w:t>
      </w:r>
      <w:r w:rsidR="00524629" w:rsidRPr="00BC1A01">
        <w:rPr>
          <w:rFonts w:cs="Times New Roman"/>
          <w:color w:val="262626"/>
          <w:sz w:val="20"/>
          <w:szCs w:val="20"/>
        </w:rPr>
        <w:t xml:space="preserve"> </w:t>
      </w:r>
      <w:r w:rsidRPr="00BC1A01">
        <w:rPr>
          <w:rFonts w:cs="Times New Roman"/>
          <w:color w:val="262626"/>
          <w:sz w:val="20"/>
          <w:szCs w:val="20"/>
        </w:rPr>
        <w:t xml:space="preserve">The research focused on the staff of the Lands Commission. </w:t>
      </w:r>
      <w:r w:rsidR="00524629" w:rsidRPr="00BC1A01">
        <w:rPr>
          <w:rFonts w:cs="Times New Roman"/>
          <w:color w:val="262626"/>
          <w:sz w:val="20"/>
          <w:szCs w:val="20"/>
        </w:rPr>
        <w:t xml:space="preserve">The staff was chosen due to their </w:t>
      </w:r>
      <w:r w:rsidRPr="00BC1A01">
        <w:rPr>
          <w:rFonts w:cs="Times New Roman"/>
          <w:color w:val="262626"/>
          <w:sz w:val="20"/>
          <w:szCs w:val="20"/>
        </w:rPr>
        <w:t xml:space="preserve">understanding </w:t>
      </w:r>
      <w:r w:rsidR="00524629" w:rsidRPr="00BC1A01">
        <w:rPr>
          <w:rFonts w:cs="Times New Roman"/>
          <w:color w:val="262626"/>
          <w:sz w:val="20"/>
          <w:szCs w:val="20"/>
        </w:rPr>
        <w:t xml:space="preserve">of </w:t>
      </w:r>
      <w:r w:rsidRPr="00BC1A01">
        <w:rPr>
          <w:rFonts w:cs="Times New Roman"/>
          <w:color w:val="262626"/>
          <w:sz w:val="20"/>
          <w:szCs w:val="20"/>
        </w:rPr>
        <w:t xml:space="preserve">the dynamics of service delivery. </w:t>
      </w:r>
    </w:p>
    <w:p w14:paraId="0647D328" w14:textId="10883CCC" w:rsidR="00CB0976" w:rsidRPr="00BC1A01" w:rsidRDefault="000F534F" w:rsidP="00B20C4D">
      <w:pPr>
        <w:spacing w:before="0" w:after="0" w:line="480" w:lineRule="auto"/>
        <w:rPr>
          <w:rFonts w:eastAsia="Times New Roman" w:cs="Times New Roman"/>
          <w:kern w:val="0"/>
          <w:sz w:val="20"/>
          <w:szCs w:val="20"/>
          <w14:ligatures w14:val="none"/>
        </w:rPr>
      </w:pPr>
      <w:r w:rsidRPr="00BC1A01">
        <w:rPr>
          <w:rFonts w:cs="Times New Roman"/>
          <w:color w:val="262626"/>
          <w:sz w:val="20"/>
          <w:szCs w:val="20"/>
        </w:rPr>
        <w:t xml:space="preserve">To determine the sample size for this study, the formula proposed by the American Educational Association was applied: </w:t>
      </w:r>
      <w:r w:rsidR="002D1DF9" w:rsidRPr="00BC1A01">
        <w:rPr>
          <w:rFonts w:eastAsia="Calibri" w:cs="Times New Roman"/>
          <w:color w:val="000000"/>
          <w:sz w:val="20"/>
          <w:szCs w:val="20"/>
          <w:lang w:eastAsia="en-US"/>
        </w:rPr>
        <w:t>n = N</w:t>
      </w:r>
      <w:proofErr w:type="gramStart"/>
      <w:r w:rsidR="002D1DF9" w:rsidRPr="00BC1A01">
        <w:rPr>
          <w:rFonts w:eastAsia="Calibri" w:cs="Times New Roman"/>
          <w:color w:val="000000"/>
          <w:sz w:val="20"/>
          <w:szCs w:val="20"/>
          <w:lang w:eastAsia="en-US"/>
        </w:rPr>
        <w:t>/[</w:t>
      </w:r>
      <w:proofErr w:type="gramEnd"/>
      <w:r w:rsidR="002D1DF9" w:rsidRPr="00BC1A01">
        <w:rPr>
          <w:rFonts w:eastAsia="Calibri" w:cs="Times New Roman"/>
          <w:color w:val="000000"/>
          <w:sz w:val="20"/>
          <w:szCs w:val="20"/>
          <w:lang w:eastAsia="en-US"/>
        </w:rPr>
        <w:t>1</w:t>
      </w:r>
      <w:r w:rsidR="00FE00E6" w:rsidRPr="00BC1A01">
        <w:rPr>
          <w:rFonts w:eastAsia="Calibri" w:cs="Times New Roman"/>
          <w:color w:val="000000"/>
          <w:sz w:val="20"/>
          <w:szCs w:val="20"/>
          <w:lang w:eastAsia="en-US"/>
        </w:rPr>
        <w:t>+</w:t>
      </w:r>
      <w:r w:rsidR="002D1DF9" w:rsidRPr="00BC1A01">
        <w:rPr>
          <w:rFonts w:eastAsia="Calibri" w:cs="Times New Roman"/>
          <w:color w:val="000000"/>
          <w:sz w:val="20"/>
          <w:szCs w:val="20"/>
          <w:lang w:eastAsia="en-US"/>
        </w:rPr>
        <w:t xml:space="preserve"> N (</w:t>
      </w:r>
      <w:r w:rsidR="00FE00E6" w:rsidRPr="00BC1A01">
        <w:rPr>
          <w:rFonts w:eastAsia="Calibri" w:cs="Times New Roman"/>
          <w:color w:val="000000"/>
          <w:sz w:val="20"/>
          <w:szCs w:val="20"/>
          <w:lang w:eastAsia="en-US"/>
        </w:rPr>
        <w:t>e</w:t>
      </w:r>
      <w:r w:rsidR="002D1DF9" w:rsidRPr="00BC1A01">
        <w:rPr>
          <w:rFonts w:eastAsia="Calibri" w:cs="Times New Roman"/>
          <w:color w:val="000000"/>
          <w:sz w:val="20"/>
          <w:szCs w:val="20"/>
          <w:lang w:eastAsia="en-US"/>
        </w:rPr>
        <w:t>)</w:t>
      </w:r>
      <w:r w:rsidR="00FE00E6" w:rsidRPr="00BC1A01">
        <w:rPr>
          <w:rFonts w:eastAsia="Calibri" w:cs="Times New Roman"/>
          <w:color w:val="000000"/>
          <w:sz w:val="20"/>
          <w:szCs w:val="20"/>
          <w:lang w:eastAsia="en-US"/>
        </w:rPr>
        <w:t>^2</w:t>
      </w:r>
      <w:r w:rsidR="002D1DF9" w:rsidRPr="00BC1A01">
        <w:rPr>
          <w:rFonts w:eastAsia="Calibri" w:cs="Times New Roman"/>
          <w:color w:val="000000"/>
          <w:sz w:val="20"/>
          <w:szCs w:val="20"/>
          <w:lang w:eastAsia="en-US"/>
        </w:rPr>
        <w:t xml:space="preserve">]. Where n = sample size, N = </w:t>
      </w:r>
      <w:r w:rsidR="00FE00E6" w:rsidRPr="00BC1A01">
        <w:rPr>
          <w:rFonts w:eastAsia="Calibri" w:cs="Times New Roman"/>
          <w:color w:val="000000"/>
          <w:sz w:val="20"/>
          <w:szCs w:val="20"/>
          <w:lang w:eastAsia="en-US"/>
        </w:rPr>
        <w:t>total population</w:t>
      </w:r>
      <w:r w:rsidR="002D1DF9" w:rsidRPr="00BC1A01">
        <w:rPr>
          <w:rFonts w:eastAsia="Calibri" w:cs="Times New Roman"/>
          <w:color w:val="000000"/>
          <w:sz w:val="20"/>
          <w:szCs w:val="20"/>
          <w:lang w:eastAsia="en-US"/>
        </w:rPr>
        <w:t xml:space="preserve">, 1 = constant, </w:t>
      </w:r>
      <w:r w:rsidR="00CB42F2" w:rsidRPr="00BC1A01">
        <w:rPr>
          <w:rFonts w:eastAsia="Calibri" w:cs="Times New Roman"/>
          <w:color w:val="000000"/>
          <w:sz w:val="20"/>
          <w:szCs w:val="20"/>
          <w:lang w:eastAsia="en-US"/>
        </w:rPr>
        <w:t xml:space="preserve">and </w:t>
      </w:r>
      <w:r w:rsidR="00CF51BF" w:rsidRPr="00BC1A01">
        <w:rPr>
          <w:rFonts w:eastAsia="Calibri" w:cs="Times New Roman"/>
          <w:color w:val="000000"/>
          <w:sz w:val="20"/>
          <w:szCs w:val="20"/>
          <w:lang w:eastAsia="en-US"/>
        </w:rPr>
        <w:t>e</w:t>
      </w:r>
      <w:r w:rsidR="002D1DF9" w:rsidRPr="00BC1A01">
        <w:rPr>
          <w:rFonts w:eastAsia="Calibri" w:cs="Times New Roman"/>
          <w:color w:val="000000"/>
          <w:sz w:val="20"/>
          <w:szCs w:val="20"/>
          <w:lang w:eastAsia="en-US"/>
        </w:rPr>
        <w:t xml:space="preserve"> = </w:t>
      </w:r>
      <w:r w:rsidR="00FE00E6" w:rsidRPr="00BC1A01">
        <w:rPr>
          <w:rFonts w:eastAsia="Calibri" w:cs="Times New Roman"/>
          <w:color w:val="000000"/>
          <w:sz w:val="20"/>
          <w:szCs w:val="20"/>
          <w:lang w:eastAsia="en-US"/>
        </w:rPr>
        <w:t>margin of error (</w:t>
      </w:r>
      <w:r w:rsidR="00FE00E6" w:rsidRPr="00BC1A01">
        <w:rPr>
          <w:rFonts w:eastAsia="Calibri" w:cs="Times New Roman"/>
          <w:iCs/>
          <w:color w:val="000000"/>
          <w:sz w:val="20"/>
          <w:szCs w:val="20"/>
          <w:lang w:eastAsia="en-US"/>
        </w:rPr>
        <w:t>Yamane, 1967)</w:t>
      </w:r>
      <w:r w:rsidR="002D1DF9" w:rsidRPr="00BC1A01">
        <w:rPr>
          <w:rFonts w:eastAsia="Calibri" w:cs="Times New Roman"/>
          <w:color w:val="000000"/>
          <w:sz w:val="20"/>
          <w:szCs w:val="20"/>
          <w:lang w:eastAsia="en-US"/>
        </w:rPr>
        <w:t xml:space="preserve">. </w:t>
      </w:r>
      <w:r w:rsidR="00952B6A" w:rsidRPr="00BC1A01">
        <w:rPr>
          <w:rFonts w:cs="Times New Roman"/>
          <w:sz w:val="20"/>
          <w:szCs w:val="20"/>
        </w:rPr>
        <w:t xml:space="preserve">Applying this formula to the Lands Commission's population resulted in a sample size of 332, with a margin of error set at 5%. </w:t>
      </w:r>
      <w:r w:rsidRPr="00BC1A01">
        <w:rPr>
          <w:rFonts w:cs="Times New Roman"/>
          <w:sz w:val="20"/>
          <w:szCs w:val="20"/>
        </w:rPr>
        <w:t>Given the geographical distribution of respondents, a convenience sampling method was employed, enabling systematic targeting of participants across various regions and facilitating data collection from those willing to participate.</w:t>
      </w:r>
      <w:r w:rsidR="00CB0976" w:rsidRPr="00BC1A01">
        <w:rPr>
          <w:rFonts w:cs="Times New Roman"/>
          <w:sz w:val="20"/>
          <w:szCs w:val="20"/>
        </w:rPr>
        <w:t xml:space="preserve"> </w:t>
      </w:r>
      <w:r w:rsidR="00CB0976" w:rsidRPr="00BC1A01">
        <w:rPr>
          <w:rFonts w:eastAsia="Calibri" w:cs="Times New Roman"/>
          <w:color w:val="000000"/>
          <w:sz w:val="20"/>
          <w:szCs w:val="20"/>
          <w:lang w:eastAsia="en-US"/>
        </w:rPr>
        <w:t>Table</w:t>
      </w:r>
      <w:r w:rsidR="002E07B3" w:rsidRPr="00BC1A01">
        <w:rPr>
          <w:rFonts w:eastAsia="Calibri" w:cs="Times New Roman"/>
          <w:color w:val="000000"/>
          <w:sz w:val="20"/>
          <w:szCs w:val="20"/>
          <w:lang w:eastAsia="en-US"/>
        </w:rPr>
        <w:t xml:space="preserve"> </w:t>
      </w:r>
      <w:r w:rsidR="00CB0976" w:rsidRPr="00BC1A01">
        <w:rPr>
          <w:rFonts w:eastAsia="Calibri" w:cs="Times New Roman"/>
          <w:color w:val="000000"/>
          <w:sz w:val="20"/>
          <w:szCs w:val="20"/>
          <w:lang w:eastAsia="en-US"/>
        </w:rPr>
        <w:t>1 depicts the administrative region</w:t>
      </w:r>
      <w:r w:rsidR="00CF51BF" w:rsidRPr="00BC1A01">
        <w:rPr>
          <w:rFonts w:eastAsia="Calibri" w:cs="Times New Roman"/>
          <w:color w:val="000000"/>
          <w:sz w:val="20"/>
          <w:szCs w:val="20"/>
          <w:lang w:eastAsia="en-US"/>
        </w:rPr>
        <w:t>s</w:t>
      </w:r>
      <w:r w:rsidR="00CB0976" w:rsidRPr="00BC1A01">
        <w:rPr>
          <w:rFonts w:eastAsia="Calibri" w:cs="Times New Roman"/>
          <w:color w:val="000000"/>
          <w:sz w:val="20"/>
          <w:szCs w:val="20"/>
          <w:lang w:eastAsia="en-US"/>
        </w:rPr>
        <w:t>, corresponding population, and sample size distribution.</w:t>
      </w:r>
    </w:p>
    <w:p w14:paraId="06E72767" w14:textId="2E464EBB" w:rsidR="00876682" w:rsidRPr="00BC1A01" w:rsidRDefault="00876682" w:rsidP="00BC1A01">
      <w:pPr>
        <w:spacing w:before="0" w:after="0" w:line="480" w:lineRule="auto"/>
        <w:jc w:val="center"/>
        <w:rPr>
          <w:rFonts w:eastAsia="Calibri" w:cs="Times New Roman"/>
          <w:b/>
          <w:iCs/>
          <w:color w:val="000000"/>
          <w:kern w:val="0"/>
          <w:sz w:val="20"/>
          <w:szCs w:val="20"/>
          <w:lang w:val="en-GB" w:eastAsia="en-US"/>
          <w14:ligatures w14:val="none"/>
        </w:rPr>
      </w:pPr>
      <w:bookmarkStart w:id="4" w:name="_Toc177304748"/>
      <w:r w:rsidRPr="00BC1A01">
        <w:rPr>
          <w:rFonts w:eastAsia="Calibri" w:cs="Times New Roman"/>
          <w:b/>
          <w:iCs/>
          <w:color w:val="000000"/>
          <w:kern w:val="0"/>
          <w:sz w:val="20"/>
          <w:szCs w:val="20"/>
          <w:lang w:val="en-GB" w:eastAsia="en-US"/>
          <w14:ligatures w14:val="none"/>
        </w:rPr>
        <w:lastRenderedPageBreak/>
        <w:t>Table</w:t>
      </w:r>
      <w:r w:rsidR="00C51567" w:rsidRPr="00BC1A01">
        <w:rPr>
          <w:rFonts w:eastAsia="Calibri" w:cs="Times New Roman"/>
          <w:b/>
          <w:iCs/>
          <w:color w:val="000000"/>
          <w:kern w:val="0"/>
          <w:sz w:val="20"/>
          <w:szCs w:val="20"/>
          <w:lang w:val="en-GB" w:eastAsia="en-US"/>
          <w14:ligatures w14:val="none"/>
        </w:rPr>
        <w:t xml:space="preserve"> 1</w:t>
      </w:r>
      <w:r w:rsidRPr="00BC1A01">
        <w:rPr>
          <w:rFonts w:eastAsia="Calibri" w:cs="Times New Roman"/>
          <w:b/>
          <w:iCs/>
          <w:color w:val="000000"/>
          <w:kern w:val="0"/>
          <w:sz w:val="20"/>
          <w:szCs w:val="20"/>
          <w:lang w:val="en-GB" w:eastAsia="en-US"/>
          <w14:ligatures w14:val="none"/>
        </w:rPr>
        <w:t xml:space="preserve">: Cluster of regional </w:t>
      </w:r>
      <w:r w:rsidR="00C51567" w:rsidRPr="00BC1A01">
        <w:rPr>
          <w:rFonts w:eastAsia="Calibri" w:cs="Times New Roman"/>
          <w:b/>
          <w:iCs/>
          <w:color w:val="000000"/>
          <w:kern w:val="0"/>
          <w:sz w:val="20"/>
          <w:szCs w:val="20"/>
          <w:lang w:val="en-GB" w:eastAsia="en-US"/>
          <w14:ligatures w14:val="none"/>
        </w:rPr>
        <w:t>samples</w:t>
      </w:r>
      <w:r w:rsidRPr="00BC1A01">
        <w:rPr>
          <w:rFonts w:eastAsia="Calibri" w:cs="Times New Roman"/>
          <w:b/>
          <w:iCs/>
          <w:color w:val="000000"/>
          <w:kern w:val="0"/>
          <w:sz w:val="20"/>
          <w:szCs w:val="20"/>
          <w:lang w:val="en-GB" w:eastAsia="en-US"/>
          <w14:ligatures w14:val="none"/>
        </w:rPr>
        <w:t xml:space="preserve"> according to Divisions of the Lands Commission</w:t>
      </w:r>
      <w:bookmarkEnd w:id="4"/>
    </w:p>
    <w:tbl>
      <w:tblPr>
        <w:tblStyle w:val="PlainTable5"/>
        <w:tblW w:w="0" w:type="auto"/>
        <w:tblLayout w:type="fixed"/>
        <w:tblLook w:val="04A0" w:firstRow="1" w:lastRow="0" w:firstColumn="1" w:lastColumn="0" w:noHBand="0" w:noVBand="1"/>
      </w:tblPr>
      <w:tblGrid>
        <w:gridCol w:w="1696"/>
        <w:gridCol w:w="1134"/>
        <w:gridCol w:w="1134"/>
        <w:gridCol w:w="1560"/>
        <w:gridCol w:w="1104"/>
        <w:gridCol w:w="1582"/>
      </w:tblGrid>
      <w:tr w:rsidR="00876682" w:rsidRPr="008469CF" w14:paraId="1FDBD84F" w14:textId="77777777" w:rsidTr="008469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vMerge w:val="restart"/>
          </w:tcPr>
          <w:p w14:paraId="6CDF42A7" w14:textId="77777777" w:rsidR="00876682" w:rsidRPr="008469CF" w:rsidRDefault="00876682" w:rsidP="00A91F68">
            <w:pPr>
              <w:ind w:left="360"/>
              <w:jc w:val="left"/>
              <w:rPr>
                <w:rFonts w:ascii="Times New Roman" w:hAnsi="Times New Roman" w:cs="Times New Roman"/>
                <w:b/>
                <w:bCs/>
                <w:i w:val="0"/>
                <w:iCs w:val="0"/>
                <w:color w:val="000000"/>
                <w:sz w:val="20"/>
                <w:szCs w:val="20"/>
                <w:lang w:val="en-GB"/>
              </w:rPr>
            </w:pPr>
          </w:p>
          <w:p w14:paraId="4C0CEF43" w14:textId="77777777" w:rsidR="00876682" w:rsidRPr="008469CF" w:rsidRDefault="00876682" w:rsidP="00A91F68">
            <w:pPr>
              <w:jc w:val="left"/>
              <w:rPr>
                <w:rFonts w:ascii="Times New Roman" w:hAnsi="Times New Roman" w:cs="Times New Roman"/>
                <w:i w:val="0"/>
                <w:iCs w:val="0"/>
                <w:color w:val="000000"/>
                <w:sz w:val="20"/>
                <w:szCs w:val="20"/>
                <w:lang w:val="en-GB"/>
              </w:rPr>
            </w:pPr>
            <w:r w:rsidRPr="008469CF">
              <w:rPr>
                <w:rFonts w:ascii="Times New Roman" w:hAnsi="Times New Roman" w:cs="Times New Roman"/>
                <w:b/>
                <w:bCs/>
                <w:i w:val="0"/>
                <w:iCs w:val="0"/>
                <w:color w:val="000000"/>
                <w:sz w:val="20"/>
                <w:szCs w:val="20"/>
                <w:lang w:val="en-GB"/>
              </w:rPr>
              <w:t>REGION</w:t>
            </w:r>
          </w:p>
        </w:tc>
        <w:tc>
          <w:tcPr>
            <w:tcW w:w="4932" w:type="dxa"/>
            <w:gridSpan w:val="4"/>
            <w:hideMark/>
          </w:tcPr>
          <w:p w14:paraId="2743BB14" w14:textId="77777777" w:rsidR="00876682" w:rsidRPr="008469CF" w:rsidRDefault="00876682" w:rsidP="008469CF">
            <w:pPr>
              <w:ind w:left="3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color w:val="000000"/>
                <w:sz w:val="20"/>
                <w:szCs w:val="20"/>
                <w:lang w:val="en-GB"/>
              </w:rPr>
            </w:pPr>
            <w:r w:rsidRPr="008469CF">
              <w:rPr>
                <w:rFonts w:ascii="Times New Roman" w:hAnsi="Times New Roman" w:cs="Times New Roman"/>
                <w:b/>
                <w:bCs/>
                <w:i w:val="0"/>
                <w:iCs w:val="0"/>
                <w:color w:val="000000"/>
                <w:sz w:val="20"/>
                <w:szCs w:val="20"/>
                <w:lang w:val="en-GB"/>
              </w:rPr>
              <w:t>DIVISION</w:t>
            </w:r>
          </w:p>
        </w:tc>
        <w:tc>
          <w:tcPr>
            <w:tcW w:w="1582" w:type="dxa"/>
            <w:vMerge w:val="restart"/>
            <w:hideMark/>
          </w:tcPr>
          <w:p w14:paraId="6C6CAAA8" w14:textId="77777777" w:rsidR="00876682" w:rsidRPr="008469CF" w:rsidRDefault="00876682" w:rsidP="00A91F68">
            <w:pPr>
              <w:ind w:left="3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color w:val="000000"/>
                <w:sz w:val="20"/>
                <w:szCs w:val="20"/>
                <w:lang w:val="en-GB"/>
              </w:rPr>
            </w:pPr>
            <w:r w:rsidRPr="008469CF">
              <w:rPr>
                <w:rFonts w:ascii="Times New Roman" w:hAnsi="Times New Roman" w:cs="Times New Roman"/>
                <w:b/>
                <w:bCs/>
                <w:i w:val="0"/>
                <w:iCs w:val="0"/>
                <w:color w:val="000000"/>
                <w:sz w:val="20"/>
                <w:szCs w:val="20"/>
                <w:lang w:val="en-GB"/>
              </w:rPr>
              <w:t>SAMPLE PER REGION</w:t>
            </w:r>
          </w:p>
        </w:tc>
      </w:tr>
      <w:tr w:rsidR="008D11F7" w:rsidRPr="008469CF" w14:paraId="52265F03" w14:textId="77777777" w:rsidTr="00846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hideMark/>
          </w:tcPr>
          <w:p w14:paraId="50060A1E" w14:textId="77777777" w:rsidR="00876682" w:rsidRPr="008469CF" w:rsidRDefault="00876682" w:rsidP="00A91F68">
            <w:pPr>
              <w:ind w:left="360"/>
              <w:jc w:val="left"/>
              <w:rPr>
                <w:rFonts w:ascii="Times New Roman" w:hAnsi="Times New Roman" w:cs="Times New Roman"/>
                <w:i w:val="0"/>
                <w:iCs w:val="0"/>
                <w:color w:val="000000"/>
                <w:sz w:val="20"/>
                <w:szCs w:val="20"/>
                <w:lang w:val="en-GB"/>
              </w:rPr>
            </w:pPr>
          </w:p>
        </w:tc>
        <w:tc>
          <w:tcPr>
            <w:tcW w:w="1134" w:type="dxa"/>
            <w:hideMark/>
          </w:tcPr>
          <w:p w14:paraId="12BEFC50"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b/>
                <w:bCs/>
                <w:color w:val="000000"/>
                <w:sz w:val="20"/>
                <w:szCs w:val="20"/>
                <w:lang w:val="en-GB"/>
              </w:rPr>
            </w:pPr>
            <w:r w:rsidRPr="008469CF">
              <w:rPr>
                <w:rFonts w:cs="Times New Roman"/>
                <w:b/>
                <w:bCs/>
                <w:color w:val="000000"/>
                <w:sz w:val="20"/>
                <w:szCs w:val="20"/>
                <w:lang w:val="en-GB"/>
              </w:rPr>
              <w:t>SMD</w:t>
            </w:r>
          </w:p>
        </w:tc>
        <w:tc>
          <w:tcPr>
            <w:tcW w:w="1134" w:type="dxa"/>
            <w:hideMark/>
          </w:tcPr>
          <w:p w14:paraId="43E2539E"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b/>
                <w:bCs/>
                <w:color w:val="000000"/>
                <w:sz w:val="20"/>
                <w:szCs w:val="20"/>
                <w:lang w:val="en-GB"/>
              </w:rPr>
            </w:pPr>
            <w:r w:rsidRPr="008469CF">
              <w:rPr>
                <w:rFonts w:cs="Times New Roman"/>
                <w:b/>
                <w:bCs/>
                <w:color w:val="000000"/>
                <w:sz w:val="20"/>
                <w:szCs w:val="20"/>
                <w:lang w:val="en-GB"/>
              </w:rPr>
              <w:t>LVD</w:t>
            </w:r>
          </w:p>
        </w:tc>
        <w:tc>
          <w:tcPr>
            <w:tcW w:w="1560" w:type="dxa"/>
            <w:hideMark/>
          </w:tcPr>
          <w:p w14:paraId="5CAEA3F9"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b/>
                <w:bCs/>
                <w:color w:val="000000"/>
                <w:sz w:val="20"/>
                <w:szCs w:val="20"/>
                <w:lang w:val="en-GB"/>
              </w:rPr>
            </w:pPr>
            <w:r w:rsidRPr="008469CF">
              <w:rPr>
                <w:rFonts w:cs="Times New Roman"/>
                <w:b/>
                <w:bCs/>
                <w:color w:val="000000"/>
                <w:sz w:val="20"/>
                <w:szCs w:val="20"/>
                <w:lang w:val="en-GB"/>
              </w:rPr>
              <w:t>PVLMD</w:t>
            </w:r>
          </w:p>
        </w:tc>
        <w:tc>
          <w:tcPr>
            <w:tcW w:w="1104" w:type="dxa"/>
            <w:hideMark/>
          </w:tcPr>
          <w:p w14:paraId="32D55D8D"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b/>
                <w:bCs/>
                <w:color w:val="000000"/>
                <w:sz w:val="20"/>
                <w:szCs w:val="20"/>
                <w:lang w:val="en-GB"/>
              </w:rPr>
            </w:pPr>
            <w:r w:rsidRPr="008469CF">
              <w:rPr>
                <w:rFonts w:cs="Times New Roman"/>
                <w:b/>
                <w:bCs/>
                <w:color w:val="000000"/>
                <w:sz w:val="20"/>
                <w:szCs w:val="20"/>
                <w:lang w:val="en-GB"/>
              </w:rPr>
              <w:t>LRD</w:t>
            </w:r>
          </w:p>
        </w:tc>
        <w:tc>
          <w:tcPr>
            <w:tcW w:w="1582" w:type="dxa"/>
            <w:vMerge/>
            <w:hideMark/>
          </w:tcPr>
          <w:p w14:paraId="3E72B8BF" w14:textId="77777777" w:rsidR="00876682" w:rsidRPr="008469CF" w:rsidRDefault="00876682" w:rsidP="00A91F68">
            <w:pPr>
              <w:ind w:left="360"/>
              <w:jc w:val="center"/>
              <w:cnfStyle w:val="000000100000" w:firstRow="0" w:lastRow="0" w:firstColumn="0" w:lastColumn="0" w:oddVBand="0" w:evenVBand="0" w:oddHBand="1" w:evenHBand="0" w:firstRowFirstColumn="0" w:firstRowLastColumn="0" w:lastRowFirstColumn="0" w:lastRowLastColumn="0"/>
              <w:rPr>
                <w:rFonts w:cs="Times New Roman"/>
                <w:b/>
                <w:bCs/>
                <w:color w:val="000000"/>
                <w:sz w:val="20"/>
                <w:szCs w:val="20"/>
                <w:lang w:val="en-GB"/>
              </w:rPr>
            </w:pPr>
          </w:p>
        </w:tc>
      </w:tr>
      <w:tr w:rsidR="008D11F7" w:rsidRPr="008469CF" w14:paraId="446A0704" w14:textId="77777777" w:rsidTr="008469CF">
        <w:tc>
          <w:tcPr>
            <w:cnfStyle w:val="001000000000" w:firstRow="0" w:lastRow="0" w:firstColumn="1" w:lastColumn="0" w:oddVBand="0" w:evenVBand="0" w:oddHBand="0" w:evenHBand="0" w:firstRowFirstColumn="0" w:firstRowLastColumn="0" w:lastRowFirstColumn="0" w:lastRowLastColumn="0"/>
            <w:tcW w:w="1696" w:type="dxa"/>
            <w:hideMark/>
          </w:tcPr>
          <w:p w14:paraId="2517D7F3" w14:textId="77777777" w:rsidR="00876682" w:rsidRPr="008469CF" w:rsidRDefault="00876682" w:rsidP="00A91F68">
            <w:pPr>
              <w:jc w:val="left"/>
              <w:rPr>
                <w:rFonts w:ascii="Times New Roman" w:hAnsi="Times New Roman" w:cs="Times New Roman"/>
                <w:i w:val="0"/>
                <w:iCs w:val="0"/>
                <w:color w:val="000000"/>
                <w:sz w:val="20"/>
                <w:szCs w:val="20"/>
                <w:lang w:val="en-GB"/>
              </w:rPr>
            </w:pPr>
            <w:r w:rsidRPr="008469CF">
              <w:rPr>
                <w:rFonts w:ascii="Times New Roman" w:hAnsi="Times New Roman" w:cs="Times New Roman"/>
                <w:i w:val="0"/>
                <w:iCs w:val="0"/>
                <w:color w:val="000000"/>
                <w:sz w:val="20"/>
                <w:szCs w:val="20"/>
                <w:lang w:val="en-GB"/>
              </w:rPr>
              <w:t>Greater Accra</w:t>
            </w:r>
          </w:p>
        </w:tc>
        <w:tc>
          <w:tcPr>
            <w:tcW w:w="1134" w:type="dxa"/>
            <w:hideMark/>
          </w:tcPr>
          <w:p w14:paraId="1EC4414C"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41</w:t>
            </w:r>
          </w:p>
        </w:tc>
        <w:tc>
          <w:tcPr>
            <w:tcW w:w="1134" w:type="dxa"/>
            <w:hideMark/>
          </w:tcPr>
          <w:p w14:paraId="6A09C70A"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41</w:t>
            </w:r>
          </w:p>
        </w:tc>
        <w:tc>
          <w:tcPr>
            <w:tcW w:w="1560" w:type="dxa"/>
            <w:hideMark/>
          </w:tcPr>
          <w:p w14:paraId="1425C0F3"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41</w:t>
            </w:r>
          </w:p>
        </w:tc>
        <w:tc>
          <w:tcPr>
            <w:tcW w:w="1104" w:type="dxa"/>
            <w:hideMark/>
          </w:tcPr>
          <w:p w14:paraId="0767D67D"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41</w:t>
            </w:r>
          </w:p>
        </w:tc>
        <w:tc>
          <w:tcPr>
            <w:tcW w:w="1582" w:type="dxa"/>
            <w:hideMark/>
          </w:tcPr>
          <w:p w14:paraId="359C3355" w14:textId="77777777" w:rsidR="00876682" w:rsidRPr="008469CF" w:rsidRDefault="00876682" w:rsidP="00A91F68">
            <w:pPr>
              <w:ind w:left="36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164</w:t>
            </w:r>
          </w:p>
        </w:tc>
      </w:tr>
      <w:tr w:rsidR="008D11F7" w:rsidRPr="008469CF" w14:paraId="3242B9CD" w14:textId="77777777" w:rsidTr="00846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329BF4B4" w14:textId="77777777" w:rsidR="00876682" w:rsidRPr="008469CF" w:rsidRDefault="00876682" w:rsidP="00A91F68">
            <w:pPr>
              <w:jc w:val="left"/>
              <w:rPr>
                <w:rFonts w:ascii="Times New Roman" w:hAnsi="Times New Roman" w:cs="Times New Roman"/>
                <w:i w:val="0"/>
                <w:iCs w:val="0"/>
                <w:color w:val="000000"/>
                <w:sz w:val="20"/>
                <w:szCs w:val="20"/>
                <w:lang w:val="en-GB"/>
              </w:rPr>
            </w:pPr>
            <w:r w:rsidRPr="008469CF">
              <w:rPr>
                <w:rFonts w:ascii="Times New Roman" w:hAnsi="Times New Roman" w:cs="Times New Roman"/>
                <w:i w:val="0"/>
                <w:iCs w:val="0"/>
                <w:color w:val="000000"/>
                <w:sz w:val="20"/>
                <w:szCs w:val="20"/>
                <w:lang w:val="en-GB"/>
              </w:rPr>
              <w:t xml:space="preserve">Ashanti </w:t>
            </w:r>
          </w:p>
        </w:tc>
        <w:tc>
          <w:tcPr>
            <w:tcW w:w="1134" w:type="dxa"/>
            <w:hideMark/>
          </w:tcPr>
          <w:p w14:paraId="24076579"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7</w:t>
            </w:r>
          </w:p>
        </w:tc>
        <w:tc>
          <w:tcPr>
            <w:tcW w:w="1134" w:type="dxa"/>
            <w:hideMark/>
          </w:tcPr>
          <w:p w14:paraId="4ACCA2C1"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7</w:t>
            </w:r>
          </w:p>
        </w:tc>
        <w:tc>
          <w:tcPr>
            <w:tcW w:w="1560" w:type="dxa"/>
            <w:hideMark/>
          </w:tcPr>
          <w:p w14:paraId="278CB11D"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7</w:t>
            </w:r>
          </w:p>
        </w:tc>
        <w:tc>
          <w:tcPr>
            <w:tcW w:w="1104" w:type="dxa"/>
            <w:hideMark/>
          </w:tcPr>
          <w:p w14:paraId="5B7367B2"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7</w:t>
            </w:r>
          </w:p>
        </w:tc>
        <w:tc>
          <w:tcPr>
            <w:tcW w:w="1582" w:type="dxa"/>
            <w:hideMark/>
          </w:tcPr>
          <w:p w14:paraId="755E0069" w14:textId="77777777" w:rsidR="00876682" w:rsidRPr="008469CF" w:rsidRDefault="00876682" w:rsidP="00A91F68">
            <w:pPr>
              <w:ind w:left="36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28</w:t>
            </w:r>
          </w:p>
        </w:tc>
      </w:tr>
      <w:tr w:rsidR="008D11F7" w:rsidRPr="008469CF" w14:paraId="0208E07B" w14:textId="77777777" w:rsidTr="008469CF">
        <w:tc>
          <w:tcPr>
            <w:cnfStyle w:val="001000000000" w:firstRow="0" w:lastRow="0" w:firstColumn="1" w:lastColumn="0" w:oddVBand="0" w:evenVBand="0" w:oddHBand="0" w:evenHBand="0" w:firstRowFirstColumn="0" w:firstRowLastColumn="0" w:lastRowFirstColumn="0" w:lastRowLastColumn="0"/>
            <w:tcW w:w="1696" w:type="dxa"/>
            <w:hideMark/>
          </w:tcPr>
          <w:p w14:paraId="44DEB87A" w14:textId="77777777" w:rsidR="00876682" w:rsidRPr="008469CF" w:rsidRDefault="00876682" w:rsidP="00A91F68">
            <w:pPr>
              <w:jc w:val="left"/>
              <w:rPr>
                <w:rFonts w:ascii="Times New Roman" w:hAnsi="Times New Roman" w:cs="Times New Roman"/>
                <w:i w:val="0"/>
                <w:iCs w:val="0"/>
                <w:color w:val="000000"/>
                <w:sz w:val="20"/>
                <w:szCs w:val="20"/>
                <w:lang w:val="en-GB"/>
              </w:rPr>
            </w:pPr>
            <w:r w:rsidRPr="008469CF">
              <w:rPr>
                <w:rFonts w:ascii="Times New Roman" w:hAnsi="Times New Roman" w:cs="Times New Roman"/>
                <w:i w:val="0"/>
                <w:iCs w:val="0"/>
                <w:color w:val="000000"/>
                <w:sz w:val="20"/>
                <w:szCs w:val="20"/>
                <w:lang w:val="en-GB"/>
              </w:rPr>
              <w:t>Western</w:t>
            </w:r>
          </w:p>
        </w:tc>
        <w:tc>
          <w:tcPr>
            <w:tcW w:w="1134" w:type="dxa"/>
            <w:hideMark/>
          </w:tcPr>
          <w:p w14:paraId="2F57F358"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5</w:t>
            </w:r>
          </w:p>
        </w:tc>
        <w:tc>
          <w:tcPr>
            <w:tcW w:w="1134" w:type="dxa"/>
            <w:hideMark/>
          </w:tcPr>
          <w:p w14:paraId="5C1F3455"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5</w:t>
            </w:r>
          </w:p>
        </w:tc>
        <w:tc>
          <w:tcPr>
            <w:tcW w:w="1560" w:type="dxa"/>
            <w:hideMark/>
          </w:tcPr>
          <w:p w14:paraId="34279804" w14:textId="3D978DCF"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7</w:t>
            </w:r>
          </w:p>
        </w:tc>
        <w:tc>
          <w:tcPr>
            <w:tcW w:w="1104" w:type="dxa"/>
            <w:hideMark/>
          </w:tcPr>
          <w:p w14:paraId="6DFFA3F2"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5</w:t>
            </w:r>
          </w:p>
        </w:tc>
        <w:tc>
          <w:tcPr>
            <w:tcW w:w="1582" w:type="dxa"/>
            <w:hideMark/>
          </w:tcPr>
          <w:p w14:paraId="03417A99" w14:textId="77777777" w:rsidR="00876682" w:rsidRPr="008469CF" w:rsidRDefault="00876682" w:rsidP="00A91F68">
            <w:pPr>
              <w:ind w:left="36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22</w:t>
            </w:r>
          </w:p>
        </w:tc>
      </w:tr>
      <w:tr w:rsidR="008D11F7" w:rsidRPr="008469CF" w14:paraId="6BDBF4EB" w14:textId="77777777" w:rsidTr="00846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29987833" w14:textId="77777777" w:rsidR="00876682" w:rsidRPr="008469CF" w:rsidRDefault="00876682" w:rsidP="00A91F68">
            <w:pPr>
              <w:jc w:val="left"/>
              <w:rPr>
                <w:rFonts w:ascii="Times New Roman" w:hAnsi="Times New Roman" w:cs="Times New Roman"/>
                <w:i w:val="0"/>
                <w:iCs w:val="0"/>
                <w:color w:val="000000"/>
                <w:sz w:val="20"/>
                <w:szCs w:val="20"/>
                <w:lang w:val="en-GB"/>
              </w:rPr>
            </w:pPr>
            <w:r w:rsidRPr="008469CF">
              <w:rPr>
                <w:rFonts w:ascii="Times New Roman" w:hAnsi="Times New Roman" w:cs="Times New Roman"/>
                <w:i w:val="0"/>
                <w:iCs w:val="0"/>
                <w:color w:val="000000"/>
                <w:sz w:val="20"/>
                <w:szCs w:val="20"/>
                <w:lang w:val="en-GB"/>
              </w:rPr>
              <w:t>Eastern</w:t>
            </w:r>
          </w:p>
        </w:tc>
        <w:tc>
          <w:tcPr>
            <w:tcW w:w="1134" w:type="dxa"/>
            <w:hideMark/>
          </w:tcPr>
          <w:p w14:paraId="5947F8C4"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4</w:t>
            </w:r>
          </w:p>
        </w:tc>
        <w:tc>
          <w:tcPr>
            <w:tcW w:w="1134" w:type="dxa"/>
            <w:hideMark/>
          </w:tcPr>
          <w:p w14:paraId="391F4AE6"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4</w:t>
            </w:r>
          </w:p>
        </w:tc>
        <w:tc>
          <w:tcPr>
            <w:tcW w:w="1560" w:type="dxa"/>
            <w:hideMark/>
          </w:tcPr>
          <w:p w14:paraId="00892F47" w14:textId="7A28024E"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7</w:t>
            </w:r>
          </w:p>
        </w:tc>
        <w:tc>
          <w:tcPr>
            <w:tcW w:w="1104" w:type="dxa"/>
            <w:hideMark/>
          </w:tcPr>
          <w:p w14:paraId="29E7627A"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4</w:t>
            </w:r>
          </w:p>
        </w:tc>
        <w:tc>
          <w:tcPr>
            <w:tcW w:w="1582" w:type="dxa"/>
            <w:hideMark/>
          </w:tcPr>
          <w:p w14:paraId="2CB9B831" w14:textId="77777777" w:rsidR="00876682" w:rsidRPr="008469CF" w:rsidRDefault="00876682" w:rsidP="00A91F68">
            <w:pPr>
              <w:ind w:left="36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19</w:t>
            </w:r>
          </w:p>
        </w:tc>
      </w:tr>
      <w:tr w:rsidR="008D11F7" w:rsidRPr="008469CF" w14:paraId="085C4799" w14:textId="77777777" w:rsidTr="008469CF">
        <w:tc>
          <w:tcPr>
            <w:cnfStyle w:val="001000000000" w:firstRow="0" w:lastRow="0" w:firstColumn="1" w:lastColumn="0" w:oddVBand="0" w:evenVBand="0" w:oddHBand="0" w:evenHBand="0" w:firstRowFirstColumn="0" w:firstRowLastColumn="0" w:lastRowFirstColumn="0" w:lastRowLastColumn="0"/>
            <w:tcW w:w="1696" w:type="dxa"/>
            <w:hideMark/>
          </w:tcPr>
          <w:p w14:paraId="704FDE02" w14:textId="77777777" w:rsidR="00876682" w:rsidRPr="008469CF" w:rsidRDefault="00876682" w:rsidP="00A91F68">
            <w:pPr>
              <w:jc w:val="left"/>
              <w:rPr>
                <w:rFonts w:ascii="Times New Roman" w:hAnsi="Times New Roman" w:cs="Times New Roman"/>
                <w:i w:val="0"/>
                <w:iCs w:val="0"/>
                <w:color w:val="000000"/>
                <w:sz w:val="20"/>
                <w:szCs w:val="20"/>
                <w:lang w:val="en-GB"/>
              </w:rPr>
            </w:pPr>
            <w:r w:rsidRPr="008469CF">
              <w:rPr>
                <w:rFonts w:ascii="Times New Roman" w:hAnsi="Times New Roman" w:cs="Times New Roman"/>
                <w:i w:val="0"/>
                <w:iCs w:val="0"/>
                <w:color w:val="000000"/>
                <w:sz w:val="20"/>
                <w:szCs w:val="20"/>
                <w:lang w:val="en-GB"/>
              </w:rPr>
              <w:t>Central</w:t>
            </w:r>
          </w:p>
        </w:tc>
        <w:tc>
          <w:tcPr>
            <w:tcW w:w="1134" w:type="dxa"/>
            <w:hideMark/>
          </w:tcPr>
          <w:p w14:paraId="4304D3E9"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4</w:t>
            </w:r>
          </w:p>
        </w:tc>
        <w:tc>
          <w:tcPr>
            <w:tcW w:w="1134" w:type="dxa"/>
            <w:hideMark/>
          </w:tcPr>
          <w:p w14:paraId="2B425BC0"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4</w:t>
            </w:r>
          </w:p>
        </w:tc>
        <w:tc>
          <w:tcPr>
            <w:tcW w:w="1560" w:type="dxa"/>
            <w:hideMark/>
          </w:tcPr>
          <w:p w14:paraId="2BC6A0E1" w14:textId="6BED6ECF"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6</w:t>
            </w:r>
          </w:p>
        </w:tc>
        <w:tc>
          <w:tcPr>
            <w:tcW w:w="1104" w:type="dxa"/>
            <w:hideMark/>
          </w:tcPr>
          <w:p w14:paraId="7E16A031"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4</w:t>
            </w:r>
          </w:p>
        </w:tc>
        <w:tc>
          <w:tcPr>
            <w:tcW w:w="1582" w:type="dxa"/>
            <w:hideMark/>
          </w:tcPr>
          <w:p w14:paraId="450C6A71" w14:textId="77777777" w:rsidR="00876682" w:rsidRPr="008469CF" w:rsidRDefault="00876682" w:rsidP="00A91F68">
            <w:pPr>
              <w:ind w:left="36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18</w:t>
            </w:r>
          </w:p>
        </w:tc>
      </w:tr>
      <w:tr w:rsidR="008D11F7" w:rsidRPr="008469CF" w14:paraId="02335F63" w14:textId="77777777" w:rsidTr="00846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57336430" w14:textId="77777777" w:rsidR="00876682" w:rsidRPr="008469CF" w:rsidRDefault="00876682" w:rsidP="00A91F68">
            <w:pPr>
              <w:jc w:val="left"/>
              <w:rPr>
                <w:rFonts w:ascii="Times New Roman" w:hAnsi="Times New Roman" w:cs="Times New Roman"/>
                <w:i w:val="0"/>
                <w:iCs w:val="0"/>
                <w:color w:val="000000"/>
                <w:sz w:val="20"/>
                <w:szCs w:val="20"/>
                <w:lang w:val="en-GB"/>
              </w:rPr>
            </w:pPr>
            <w:r w:rsidRPr="008469CF">
              <w:rPr>
                <w:rFonts w:ascii="Times New Roman" w:hAnsi="Times New Roman" w:cs="Times New Roman"/>
                <w:i w:val="0"/>
                <w:iCs w:val="0"/>
                <w:color w:val="000000"/>
                <w:sz w:val="20"/>
                <w:szCs w:val="20"/>
                <w:lang w:val="en-GB"/>
              </w:rPr>
              <w:t>Northern</w:t>
            </w:r>
          </w:p>
        </w:tc>
        <w:tc>
          <w:tcPr>
            <w:tcW w:w="1134" w:type="dxa"/>
            <w:hideMark/>
          </w:tcPr>
          <w:p w14:paraId="69977AB3"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3</w:t>
            </w:r>
          </w:p>
        </w:tc>
        <w:tc>
          <w:tcPr>
            <w:tcW w:w="1134" w:type="dxa"/>
            <w:hideMark/>
          </w:tcPr>
          <w:p w14:paraId="734B0921"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3</w:t>
            </w:r>
          </w:p>
        </w:tc>
        <w:tc>
          <w:tcPr>
            <w:tcW w:w="1560" w:type="dxa"/>
            <w:hideMark/>
          </w:tcPr>
          <w:p w14:paraId="20AA2A9B" w14:textId="0EC0DA70"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4</w:t>
            </w:r>
          </w:p>
        </w:tc>
        <w:tc>
          <w:tcPr>
            <w:tcW w:w="1104" w:type="dxa"/>
            <w:hideMark/>
          </w:tcPr>
          <w:p w14:paraId="3B313A46"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3</w:t>
            </w:r>
          </w:p>
        </w:tc>
        <w:tc>
          <w:tcPr>
            <w:tcW w:w="1582" w:type="dxa"/>
            <w:hideMark/>
          </w:tcPr>
          <w:p w14:paraId="6A957195" w14:textId="77777777" w:rsidR="00876682" w:rsidRPr="008469CF" w:rsidRDefault="00876682" w:rsidP="00A91F68">
            <w:pPr>
              <w:ind w:left="36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13</w:t>
            </w:r>
          </w:p>
        </w:tc>
      </w:tr>
      <w:tr w:rsidR="008D11F7" w:rsidRPr="008469CF" w14:paraId="24B3BEB6" w14:textId="77777777" w:rsidTr="008469CF">
        <w:tc>
          <w:tcPr>
            <w:cnfStyle w:val="001000000000" w:firstRow="0" w:lastRow="0" w:firstColumn="1" w:lastColumn="0" w:oddVBand="0" w:evenVBand="0" w:oddHBand="0" w:evenHBand="0" w:firstRowFirstColumn="0" w:firstRowLastColumn="0" w:lastRowFirstColumn="0" w:lastRowLastColumn="0"/>
            <w:tcW w:w="1696" w:type="dxa"/>
            <w:hideMark/>
          </w:tcPr>
          <w:p w14:paraId="07DF0EEB" w14:textId="77777777" w:rsidR="00876682" w:rsidRPr="008469CF" w:rsidRDefault="00876682" w:rsidP="00A91F68">
            <w:pPr>
              <w:jc w:val="left"/>
              <w:rPr>
                <w:rFonts w:ascii="Times New Roman" w:hAnsi="Times New Roman" w:cs="Times New Roman"/>
                <w:i w:val="0"/>
                <w:iCs w:val="0"/>
                <w:color w:val="000000"/>
                <w:sz w:val="20"/>
                <w:szCs w:val="20"/>
                <w:lang w:val="en-GB"/>
              </w:rPr>
            </w:pPr>
            <w:r w:rsidRPr="008469CF">
              <w:rPr>
                <w:rFonts w:ascii="Times New Roman" w:hAnsi="Times New Roman" w:cs="Times New Roman"/>
                <w:i w:val="0"/>
                <w:iCs w:val="0"/>
                <w:color w:val="000000"/>
                <w:sz w:val="20"/>
                <w:szCs w:val="20"/>
                <w:lang w:val="en-GB"/>
              </w:rPr>
              <w:t>Bono</w:t>
            </w:r>
          </w:p>
        </w:tc>
        <w:tc>
          <w:tcPr>
            <w:tcW w:w="1134" w:type="dxa"/>
            <w:hideMark/>
          </w:tcPr>
          <w:p w14:paraId="134BF876"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3</w:t>
            </w:r>
          </w:p>
        </w:tc>
        <w:tc>
          <w:tcPr>
            <w:tcW w:w="1134" w:type="dxa"/>
            <w:hideMark/>
          </w:tcPr>
          <w:p w14:paraId="64877BFB"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3</w:t>
            </w:r>
          </w:p>
        </w:tc>
        <w:tc>
          <w:tcPr>
            <w:tcW w:w="1560" w:type="dxa"/>
            <w:hideMark/>
          </w:tcPr>
          <w:p w14:paraId="3CAC34D2" w14:textId="1788A912"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4</w:t>
            </w:r>
          </w:p>
        </w:tc>
        <w:tc>
          <w:tcPr>
            <w:tcW w:w="1104" w:type="dxa"/>
            <w:hideMark/>
          </w:tcPr>
          <w:p w14:paraId="35733C59"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3</w:t>
            </w:r>
          </w:p>
        </w:tc>
        <w:tc>
          <w:tcPr>
            <w:tcW w:w="1582" w:type="dxa"/>
            <w:hideMark/>
          </w:tcPr>
          <w:p w14:paraId="20DEF6EE" w14:textId="77777777" w:rsidR="00876682" w:rsidRPr="008469CF" w:rsidRDefault="00876682" w:rsidP="00A91F68">
            <w:pPr>
              <w:ind w:left="36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13</w:t>
            </w:r>
          </w:p>
        </w:tc>
      </w:tr>
      <w:tr w:rsidR="008D11F7" w:rsidRPr="008469CF" w14:paraId="14F1A667" w14:textId="77777777" w:rsidTr="00846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1EA81314" w14:textId="77777777" w:rsidR="00876682" w:rsidRPr="008469CF" w:rsidRDefault="00876682" w:rsidP="00A91F68">
            <w:pPr>
              <w:jc w:val="left"/>
              <w:rPr>
                <w:rFonts w:ascii="Times New Roman" w:hAnsi="Times New Roman" w:cs="Times New Roman"/>
                <w:i w:val="0"/>
                <w:iCs w:val="0"/>
                <w:color w:val="000000"/>
                <w:sz w:val="20"/>
                <w:szCs w:val="20"/>
                <w:lang w:val="en-GB"/>
              </w:rPr>
            </w:pPr>
            <w:r w:rsidRPr="008469CF">
              <w:rPr>
                <w:rFonts w:ascii="Times New Roman" w:hAnsi="Times New Roman" w:cs="Times New Roman"/>
                <w:i w:val="0"/>
                <w:iCs w:val="0"/>
                <w:color w:val="000000"/>
                <w:sz w:val="20"/>
                <w:szCs w:val="20"/>
                <w:lang w:val="en-GB"/>
              </w:rPr>
              <w:t>Upper West</w:t>
            </w:r>
          </w:p>
        </w:tc>
        <w:tc>
          <w:tcPr>
            <w:tcW w:w="1134" w:type="dxa"/>
            <w:hideMark/>
          </w:tcPr>
          <w:p w14:paraId="30F09A44"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3</w:t>
            </w:r>
          </w:p>
        </w:tc>
        <w:tc>
          <w:tcPr>
            <w:tcW w:w="1134" w:type="dxa"/>
            <w:hideMark/>
          </w:tcPr>
          <w:p w14:paraId="195AFECB"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3</w:t>
            </w:r>
          </w:p>
        </w:tc>
        <w:tc>
          <w:tcPr>
            <w:tcW w:w="1560" w:type="dxa"/>
            <w:hideMark/>
          </w:tcPr>
          <w:p w14:paraId="52ED6E4A"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3</w:t>
            </w:r>
          </w:p>
        </w:tc>
        <w:tc>
          <w:tcPr>
            <w:tcW w:w="1104" w:type="dxa"/>
            <w:hideMark/>
          </w:tcPr>
          <w:p w14:paraId="79ACDDBA"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3</w:t>
            </w:r>
          </w:p>
        </w:tc>
        <w:tc>
          <w:tcPr>
            <w:tcW w:w="1582" w:type="dxa"/>
            <w:hideMark/>
          </w:tcPr>
          <w:p w14:paraId="77C32865" w14:textId="77777777" w:rsidR="00876682" w:rsidRPr="008469CF" w:rsidRDefault="00876682" w:rsidP="00A91F68">
            <w:pPr>
              <w:ind w:left="36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12</w:t>
            </w:r>
          </w:p>
        </w:tc>
      </w:tr>
      <w:tr w:rsidR="008D11F7" w:rsidRPr="008469CF" w14:paraId="286815F6" w14:textId="77777777" w:rsidTr="008469CF">
        <w:tc>
          <w:tcPr>
            <w:cnfStyle w:val="001000000000" w:firstRow="0" w:lastRow="0" w:firstColumn="1" w:lastColumn="0" w:oddVBand="0" w:evenVBand="0" w:oddHBand="0" w:evenHBand="0" w:firstRowFirstColumn="0" w:firstRowLastColumn="0" w:lastRowFirstColumn="0" w:lastRowLastColumn="0"/>
            <w:tcW w:w="1696" w:type="dxa"/>
            <w:hideMark/>
          </w:tcPr>
          <w:p w14:paraId="15896CB3" w14:textId="77777777" w:rsidR="00876682" w:rsidRPr="008469CF" w:rsidRDefault="00876682" w:rsidP="00A91F68">
            <w:pPr>
              <w:jc w:val="left"/>
              <w:rPr>
                <w:rFonts w:ascii="Times New Roman" w:hAnsi="Times New Roman" w:cs="Times New Roman"/>
                <w:i w:val="0"/>
                <w:iCs w:val="0"/>
                <w:color w:val="000000"/>
                <w:sz w:val="20"/>
                <w:szCs w:val="20"/>
                <w:lang w:val="en-GB"/>
              </w:rPr>
            </w:pPr>
            <w:r w:rsidRPr="008469CF">
              <w:rPr>
                <w:rFonts w:ascii="Times New Roman" w:hAnsi="Times New Roman" w:cs="Times New Roman"/>
                <w:i w:val="0"/>
                <w:iCs w:val="0"/>
                <w:color w:val="000000"/>
                <w:sz w:val="20"/>
                <w:szCs w:val="20"/>
                <w:lang w:val="en-GB"/>
              </w:rPr>
              <w:t>Volta</w:t>
            </w:r>
          </w:p>
        </w:tc>
        <w:tc>
          <w:tcPr>
            <w:tcW w:w="1134" w:type="dxa"/>
            <w:hideMark/>
          </w:tcPr>
          <w:p w14:paraId="541BDA1B"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2</w:t>
            </w:r>
          </w:p>
        </w:tc>
        <w:tc>
          <w:tcPr>
            <w:tcW w:w="1134" w:type="dxa"/>
            <w:hideMark/>
          </w:tcPr>
          <w:p w14:paraId="4B8B17CC"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2</w:t>
            </w:r>
          </w:p>
        </w:tc>
        <w:tc>
          <w:tcPr>
            <w:tcW w:w="1560" w:type="dxa"/>
            <w:hideMark/>
          </w:tcPr>
          <w:p w14:paraId="321CCCB8" w14:textId="70CADBB9"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5</w:t>
            </w:r>
          </w:p>
        </w:tc>
        <w:tc>
          <w:tcPr>
            <w:tcW w:w="1104" w:type="dxa"/>
            <w:hideMark/>
          </w:tcPr>
          <w:p w14:paraId="15E67FFE"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2</w:t>
            </w:r>
          </w:p>
        </w:tc>
        <w:tc>
          <w:tcPr>
            <w:tcW w:w="1582" w:type="dxa"/>
            <w:hideMark/>
          </w:tcPr>
          <w:p w14:paraId="46C9023F" w14:textId="77777777" w:rsidR="00876682" w:rsidRPr="008469CF" w:rsidRDefault="00876682" w:rsidP="00A91F68">
            <w:pPr>
              <w:ind w:left="36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11</w:t>
            </w:r>
          </w:p>
        </w:tc>
      </w:tr>
      <w:tr w:rsidR="008D11F7" w:rsidRPr="008469CF" w14:paraId="4949BCDE" w14:textId="77777777" w:rsidTr="008469C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696" w:type="dxa"/>
            <w:hideMark/>
          </w:tcPr>
          <w:p w14:paraId="3C1F477F" w14:textId="77777777" w:rsidR="00876682" w:rsidRPr="008469CF" w:rsidRDefault="00876682" w:rsidP="00A91F68">
            <w:pPr>
              <w:jc w:val="left"/>
              <w:rPr>
                <w:rFonts w:ascii="Times New Roman" w:hAnsi="Times New Roman" w:cs="Times New Roman"/>
                <w:i w:val="0"/>
                <w:iCs w:val="0"/>
                <w:color w:val="000000"/>
                <w:sz w:val="20"/>
                <w:szCs w:val="20"/>
                <w:lang w:val="en-GB"/>
              </w:rPr>
            </w:pPr>
            <w:r w:rsidRPr="008469CF">
              <w:rPr>
                <w:rFonts w:ascii="Times New Roman" w:hAnsi="Times New Roman" w:cs="Times New Roman"/>
                <w:i w:val="0"/>
                <w:iCs w:val="0"/>
                <w:color w:val="000000"/>
                <w:sz w:val="20"/>
                <w:szCs w:val="20"/>
                <w:lang w:val="en-GB"/>
              </w:rPr>
              <w:t>Upper East</w:t>
            </w:r>
          </w:p>
        </w:tc>
        <w:tc>
          <w:tcPr>
            <w:tcW w:w="1134" w:type="dxa"/>
            <w:hideMark/>
          </w:tcPr>
          <w:p w14:paraId="1706B7C5"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1</w:t>
            </w:r>
          </w:p>
        </w:tc>
        <w:tc>
          <w:tcPr>
            <w:tcW w:w="1134" w:type="dxa"/>
            <w:hideMark/>
          </w:tcPr>
          <w:p w14:paraId="77C4B1DE"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1</w:t>
            </w:r>
          </w:p>
        </w:tc>
        <w:tc>
          <w:tcPr>
            <w:tcW w:w="1560" w:type="dxa"/>
            <w:hideMark/>
          </w:tcPr>
          <w:p w14:paraId="4FE87F6B" w14:textId="315C2D49"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4</w:t>
            </w:r>
          </w:p>
        </w:tc>
        <w:tc>
          <w:tcPr>
            <w:tcW w:w="1104" w:type="dxa"/>
            <w:hideMark/>
          </w:tcPr>
          <w:p w14:paraId="256D09C2"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1</w:t>
            </w:r>
          </w:p>
        </w:tc>
        <w:tc>
          <w:tcPr>
            <w:tcW w:w="1582" w:type="dxa"/>
            <w:hideMark/>
          </w:tcPr>
          <w:p w14:paraId="631C21CE" w14:textId="77777777" w:rsidR="00876682" w:rsidRPr="008469CF" w:rsidRDefault="00876682" w:rsidP="00A91F68">
            <w:pPr>
              <w:ind w:left="36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7</w:t>
            </w:r>
          </w:p>
        </w:tc>
      </w:tr>
      <w:tr w:rsidR="008D11F7" w:rsidRPr="008469CF" w14:paraId="3BB3BA1B" w14:textId="77777777" w:rsidTr="008469CF">
        <w:tc>
          <w:tcPr>
            <w:cnfStyle w:val="001000000000" w:firstRow="0" w:lastRow="0" w:firstColumn="1" w:lastColumn="0" w:oddVBand="0" w:evenVBand="0" w:oddHBand="0" w:evenHBand="0" w:firstRowFirstColumn="0" w:firstRowLastColumn="0" w:lastRowFirstColumn="0" w:lastRowLastColumn="0"/>
            <w:tcW w:w="1696" w:type="dxa"/>
            <w:hideMark/>
          </w:tcPr>
          <w:p w14:paraId="2CDF731B" w14:textId="77777777" w:rsidR="00876682" w:rsidRPr="008469CF" w:rsidRDefault="00876682" w:rsidP="00A91F68">
            <w:pPr>
              <w:jc w:val="left"/>
              <w:rPr>
                <w:rFonts w:ascii="Times New Roman" w:hAnsi="Times New Roman" w:cs="Times New Roman"/>
                <w:i w:val="0"/>
                <w:iCs w:val="0"/>
                <w:color w:val="000000"/>
                <w:sz w:val="20"/>
                <w:szCs w:val="20"/>
                <w:lang w:val="en-GB"/>
              </w:rPr>
            </w:pPr>
            <w:r w:rsidRPr="008469CF">
              <w:rPr>
                <w:rFonts w:ascii="Times New Roman" w:hAnsi="Times New Roman" w:cs="Times New Roman"/>
                <w:i w:val="0"/>
                <w:iCs w:val="0"/>
                <w:color w:val="000000"/>
                <w:sz w:val="20"/>
                <w:szCs w:val="20"/>
                <w:lang w:val="en-GB"/>
              </w:rPr>
              <w:t>Bono East</w:t>
            </w:r>
          </w:p>
        </w:tc>
        <w:tc>
          <w:tcPr>
            <w:tcW w:w="1134" w:type="dxa"/>
            <w:hideMark/>
          </w:tcPr>
          <w:p w14:paraId="134FA036"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2</w:t>
            </w:r>
          </w:p>
        </w:tc>
        <w:tc>
          <w:tcPr>
            <w:tcW w:w="1134" w:type="dxa"/>
            <w:hideMark/>
          </w:tcPr>
          <w:p w14:paraId="70C20371"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2</w:t>
            </w:r>
          </w:p>
        </w:tc>
        <w:tc>
          <w:tcPr>
            <w:tcW w:w="1560" w:type="dxa"/>
            <w:hideMark/>
          </w:tcPr>
          <w:p w14:paraId="5E0AFF5C"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2</w:t>
            </w:r>
          </w:p>
        </w:tc>
        <w:tc>
          <w:tcPr>
            <w:tcW w:w="1104" w:type="dxa"/>
            <w:hideMark/>
          </w:tcPr>
          <w:p w14:paraId="66F34942"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0</w:t>
            </w:r>
          </w:p>
        </w:tc>
        <w:tc>
          <w:tcPr>
            <w:tcW w:w="1582" w:type="dxa"/>
            <w:hideMark/>
          </w:tcPr>
          <w:p w14:paraId="1E4E44D7" w14:textId="77777777" w:rsidR="00876682" w:rsidRPr="008469CF" w:rsidRDefault="00876682" w:rsidP="00A91F68">
            <w:pPr>
              <w:ind w:left="36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6</w:t>
            </w:r>
          </w:p>
        </w:tc>
      </w:tr>
      <w:tr w:rsidR="008D11F7" w:rsidRPr="008469CF" w14:paraId="27B94CC8" w14:textId="77777777" w:rsidTr="00846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78F77B04" w14:textId="77777777" w:rsidR="00876682" w:rsidRPr="008469CF" w:rsidRDefault="00876682" w:rsidP="00A91F68">
            <w:pPr>
              <w:jc w:val="left"/>
              <w:rPr>
                <w:rFonts w:ascii="Times New Roman" w:hAnsi="Times New Roman" w:cs="Times New Roman"/>
                <w:i w:val="0"/>
                <w:iCs w:val="0"/>
                <w:color w:val="000000"/>
                <w:sz w:val="20"/>
                <w:szCs w:val="20"/>
                <w:lang w:val="en-GB"/>
              </w:rPr>
            </w:pPr>
            <w:r w:rsidRPr="008469CF">
              <w:rPr>
                <w:rFonts w:ascii="Times New Roman" w:hAnsi="Times New Roman" w:cs="Times New Roman"/>
                <w:i w:val="0"/>
                <w:iCs w:val="0"/>
                <w:color w:val="000000"/>
                <w:sz w:val="20"/>
                <w:szCs w:val="20"/>
                <w:lang w:val="en-GB"/>
              </w:rPr>
              <w:t>Western North</w:t>
            </w:r>
          </w:p>
        </w:tc>
        <w:tc>
          <w:tcPr>
            <w:tcW w:w="1134" w:type="dxa"/>
            <w:hideMark/>
          </w:tcPr>
          <w:p w14:paraId="49374728"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1</w:t>
            </w:r>
          </w:p>
        </w:tc>
        <w:tc>
          <w:tcPr>
            <w:tcW w:w="1134" w:type="dxa"/>
            <w:hideMark/>
          </w:tcPr>
          <w:p w14:paraId="68B1A95D"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1</w:t>
            </w:r>
          </w:p>
        </w:tc>
        <w:tc>
          <w:tcPr>
            <w:tcW w:w="1560" w:type="dxa"/>
            <w:hideMark/>
          </w:tcPr>
          <w:p w14:paraId="02BB3AD7" w14:textId="384224B5"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3</w:t>
            </w:r>
          </w:p>
        </w:tc>
        <w:tc>
          <w:tcPr>
            <w:tcW w:w="1104" w:type="dxa"/>
            <w:hideMark/>
          </w:tcPr>
          <w:p w14:paraId="63CD0CB7"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0</w:t>
            </w:r>
          </w:p>
        </w:tc>
        <w:tc>
          <w:tcPr>
            <w:tcW w:w="1582" w:type="dxa"/>
            <w:hideMark/>
          </w:tcPr>
          <w:p w14:paraId="4C6DB4AE" w14:textId="77777777" w:rsidR="00876682" w:rsidRPr="008469CF" w:rsidRDefault="00876682" w:rsidP="00A91F68">
            <w:pPr>
              <w:ind w:left="36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5</w:t>
            </w:r>
          </w:p>
        </w:tc>
      </w:tr>
      <w:tr w:rsidR="008D11F7" w:rsidRPr="008469CF" w14:paraId="6F9A524A" w14:textId="77777777" w:rsidTr="008469CF">
        <w:tc>
          <w:tcPr>
            <w:cnfStyle w:val="001000000000" w:firstRow="0" w:lastRow="0" w:firstColumn="1" w:lastColumn="0" w:oddVBand="0" w:evenVBand="0" w:oddHBand="0" w:evenHBand="0" w:firstRowFirstColumn="0" w:firstRowLastColumn="0" w:lastRowFirstColumn="0" w:lastRowLastColumn="0"/>
            <w:tcW w:w="1696" w:type="dxa"/>
            <w:hideMark/>
          </w:tcPr>
          <w:p w14:paraId="0AC358C5" w14:textId="77777777" w:rsidR="00876682" w:rsidRPr="008469CF" w:rsidRDefault="00876682" w:rsidP="00A91F68">
            <w:pPr>
              <w:jc w:val="left"/>
              <w:rPr>
                <w:rFonts w:ascii="Times New Roman" w:hAnsi="Times New Roman" w:cs="Times New Roman"/>
                <w:i w:val="0"/>
                <w:iCs w:val="0"/>
                <w:color w:val="000000"/>
                <w:sz w:val="20"/>
                <w:szCs w:val="20"/>
                <w:lang w:val="en-GB"/>
              </w:rPr>
            </w:pPr>
            <w:r w:rsidRPr="008469CF">
              <w:rPr>
                <w:rFonts w:ascii="Times New Roman" w:hAnsi="Times New Roman" w:cs="Times New Roman"/>
                <w:i w:val="0"/>
                <w:iCs w:val="0"/>
                <w:color w:val="000000"/>
                <w:sz w:val="20"/>
                <w:szCs w:val="20"/>
                <w:lang w:val="en-GB"/>
              </w:rPr>
              <w:t>Ahafo</w:t>
            </w:r>
          </w:p>
        </w:tc>
        <w:tc>
          <w:tcPr>
            <w:tcW w:w="1134" w:type="dxa"/>
            <w:hideMark/>
          </w:tcPr>
          <w:p w14:paraId="03313551" w14:textId="40AAD63E"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2</w:t>
            </w:r>
          </w:p>
        </w:tc>
        <w:tc>
          <w:tcPr>
            <w:tcW w:w="1134" w:type="dxa"/>
            <w:hideMark/>
          </w:tcPr>
          <w:p w14:paraId="11D71D4D"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1</w:t>
            </w:r>
          </w:p>
        </w:tc>
        <w:tc>
          <w:tcPr>
            <w:tcW w:w="1560" w:type="dxa"/>
            <w:hideMark/>
          </w:tcPr>
          <w:p w14:paraId="048BC149"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1</w:t>
            </w:r>
          </w:p>
        </w:tc>
        <w:tc>
          <w:tcPr>
            <w:tcW w:w="1104" w:type="dxa"/>
            <w:hideMark/>
          </w:tcPr>
          <w:p w14:paraId="0082BB61"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0</w:t>
            </w:r>
          </w:p>
        </w:tc>
        <w:tc>
          <w:tcPr>
            <w:tcW w:w="1582" w:type="dxa"/>
            <w:hideMark/>
          </w:tcPr>
          <w:p w14:paraId="325B3202" w14:textId="77777777" w:rsidR="00876682" w:rsidRPr="008469CF" w:rsidRDefault="00876682" w:rsidP="00A91F68">
            <w:pPr>
              <w:ind w:left="36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4</w:t>
            </w:r>
          </w:p>
        </w:tc>
      </w:tr>
      <w:tr w:rsidR="008D11F7" w:rsidRPr="008469CF" w14:paraId="19E8AD9A" w14:textId="77777777" w:rsidTr="00846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0E53C4E1" w14:textId="77777777" w:rsidR="00876682" w:rsidRPr="008469CF" w:rsidRDefault="00876682" w:rsidP="00A91F68">
            <w:pPr>
              <w:jc w:val="left"/>
              <w:rPr>
                <w:rFonts w:ascii="Times New Roman" w:hAnsi="Times New Roman" w:cs="Times New Roman"/>
                <w:i w:val="0"/>
                <w:iCs w:val="0"/>
                <w:color w:val="000000"/>
                <w:sz w:val="20"/>
                <w:szCs w:val="20"/>
                <w:lang w:val="en-GB"/>
              </w:rPr>
            </w:pPr>
            <w:r w:rsidRPr="008469CF">
              <w:rPr>
                <w:rFonts w:ascii="Times New Roman" w:hAnsi="Times New Roman" w:cs="Times New Roman"/>
                <w:i w:val="0"/>
                <w:iCs w:val="0"/>
                <w:color w:val="000000"/>
                <w:sz w:val="20"/>
                <w:szCs w:val="20"/>
                <w:lang w:val="en-GB"/>
              </w:rPr>
              <w:t>Savannah</w:t>
            </w:r>
          </w:p>
        </w:tc>
        <w:tc>
          <w:tcPr>
            <w:tcW w:w="1134" w:type="dxa"/>
            <w:hideMark/>
          </w:tcPr>
          <w:p w14:paraId="3EB49B78"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1</w:t>
            </w:r>
          </w:p>
        </w:tc>
        <w:tc>
          <w:tcPr>
            <w:tcW w:w="1134" w:type="dxa"/>
            <w:hideMark/>
          </w:tcPr>
          <w:p w14:paraId="31BD191F"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1</w:t>
            </w:r>
          </w:p>
        </w:tc>
        <w:tc>
          <w:tcPr>
            <w:tcW w:w="1560" w:type="dxa"/>
            <w:hideMark/>
          </w:tcPr>
          <w:p w14:paraId="3E797B86" w14:textId="5C870FC4"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2</w:t>
            </w:r>
          </w:p>
        </w:tc>
        <w:tc>
          <w:tcPr>
            <w:tcW w:w="1104" w:type="dxa"/>
            <w:hideMark/>
          </w:tcPr>
          <w:p w14:paraId="5584A589"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0</w:t>
            </w:r>
          </w:p>
        </w:tc>
        <w:tc>
          <w:tcPr>
            <w:tcW w:w="1582" w:type="dxa"/>
            <w:hideMark/>
          </w:tcPr>
          <w:p w14:paraId="5CCF5B26" w14:textId="77777777" w:rsidR="00876682" w:rsidRPr="008469CF" w:rsidRDefault="00876682" w:rsidP="00A91F68">
            <w:pPr>
              <w:ind w:left="36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4</w:t>
            </w:r>
          </w:p>
        </w:tc>
      </w:tr>
      <w:tr w:rsidR="008D11F7" w:rsidRPr="008469CF" w14:paraId="3307FDB1" w14:textId="77777777" w:rsidTr="008469CF">
        <w:tc>
          <w:tcPr>
            <w:cnfStyle w:val="001000000000" w:firstRow="0" w:lastRow="0" w:firstColumn="1" w:lastColumn="0" w:oddVBand="0" w:evenVBand="0" w:oddHBand="0" w:evenHBand="0" w:firstRowFirstColumn="0" w:firstRowLastColumn="0" w:lastRowFirstColumn="0" w:lastRowLastColumn="0"/>
            <w:tcW w:w="1696" w:type="dxa"/>
            <w:hideMark/>
          </w:tcPr>
          <w:p w14:paraId="0E58BCE6" w14:textId="77777777" w:rsidR="00876682" w:rsidRPr="008469CF" w:rsidRDefault="00876682" w:rsidP="00A91F68">
            <w:pPr>
              <w:jc w:val="left"/>
              <w:rPr>
                <w:rFonts w:ascii="Times New Roman" w:hAnsi="Times New Roman" w:cs="Times New Roman"/>
                <w:i w:val="0"/>
                <w:iCs w:val="0"/>
                <w:color w:val="000000"/>
                <w:sz w:val="20"/>
                <w:szCs w:val="20"/>
                <w:lang w:val="en-GB"/>
              </w:rPr>
            </w:pPr>
            <w:r w:rsidRPr="008469CF">
              <w:rPr>
                <w:rFonts w:ascii="Times New Roman" w:hAnsi="Times New Roman" w:cs="Times New Roman"/>
                <w:i w:val="0"/>
                <w:iCs w:val="0"/>
                <w:color w:val="000000"/>
                <w:sz w:val="20"/>
                <w:szCs w:val="20"/>
                <w:lang w:val="en-GB"/>
              </w:rPr>
              <w:t>North East</w:t>
            </w:r>
          </w:p>
        </w:tc>
        <w:tc>
          <w:tcPr>
            <w:tcW w:w="1134" w:type="dxa"/>
            <w:hideMark/>
          </w:tcPr>
          <w:p w14:paraId="7D536FC2"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1</w:t>
            </w:r>
          </w:p>
        </w:tc>
        <w:tc>
          <w:tcPr>
            <w:tcW w:w="1134" w:type="dxa"/>
            <w:hideMark/>
          </w:tcPr>
          <w:p w14:paraId="04F36C20"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1</w:t>
            </w:r>
          </w:p>
        </w:tc>
        <w:tc>
          <w:tcPr>
            <w:tcW w:w="1560" w:type="dxa"/>
            <w:hideMark/>
          </w:tcPr>
          <w:p w14:paraId="0987CAD7"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1</w:t>
            </w:r>
          </w:p>
        </w:tc>
        <w:tc>
          <w:tcPr>
            <w:tcW w:w="1104" w:type="dxa"/>
            <w:hideMark/>
          </w:tcPr>
          <w:p w14:paraId="397D4AF6"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0</w:t>
            </w:r>
          </w:p>
        </w:tc>
        <w:tc>
          <w:tcPr>
            <w:tcW w:w="1582" w:type="dxa"/>
            <w:hideMark/>
          </w:tcPr>
          <w:p w14:paraId="16B18354" w14:textId="77777777" w:rsidR="00876682" w:rsidRPr="008469CF" w:rsidRDefault="00876682" w:rsidP="00A91F68">
            <w:pPr>
              <w:ind w:left="36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3</w:t>
            </w:r>
          </w:p>
        </w:tc>
      </w:tr>
      <w:tr w:rsidR="008D11F7" w:rsidRPr="008469CF" w14:paraId="7177B9CA" w14:textId="77777777" w:rsidTr="00846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549C306A" w14:textId="77777777" w:rsidR="00876682" w:rsidRPr="008469CF" w:rsidRDefault="00876682" w:rsidP="00A91F68">
            <w:pPr>
              <w:jc w:val="left"/>
              <w:rPr>
                <w:rFonts w:ascii="Times New Roman" w:hAnsi="Times New Roman" w:cs="Times New Roman"/>
                <w:i w:val="0"/>
                <w:iCs w:val="0"/>
                <w:color w:val="000000"/>
                <w:sz w:val="20"/>
                <w:szCs w:val="20"/>
                <w:lang w:val="en-GB"/>
              </w:rPr>
            </w:pPr>
            <w:proofErr w:type="spellStart"/>
            <w:r w:rsidRPr="008469CF">
              <w:rPr>
                <w:rFonts w:ascii="Times New Roman" w:hAnsi="Times New Roman" w:cs="Times New Roman"/>
                <w:i w:val="0"/>
                <w:iCs w:val="0"/>
                <w:color w:val="000000"/>
                <w:sz w:val="20"/>
                <w:szCs w:val="20"/>
                <w:lang w:val="en-GB"/>
              </w:rPr>
              <w:t>Oti</w:t>
            </w:r>
            <w:proofErr w:type="spellEnd"/>
          </w:p>
        </w:tc>
        <w:tc>
          <w:tcPr>
            <w:tcW w:w="1134" w:type="dxa"/>
            <w:hideMark/>
          </w:tcPr>
          <w:p w14:paraId="06FA266E"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1</w:t>
            </w:r>
          </w:p>
        </w:tc>
        <w:tc>
          <w:tcPr>
            <w:tcW w:w="1134" w:type="dxa"/>
            <w:hideMark/>
          </w:tcPr>
          <w:p w14:paraId="45A10E38"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1</w:t>
            </w:r>
          </w:p>
        </w:tc>
        <w:tc>
          <w:tcPr>
            <w:tcW w:w="1560" w:type="dxa"/>
            <w:hideMark/>
          </w:tcPr>
          <w:p w14:paraId="4EAB6664"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1</w:t>
            </w:r>
          </w:p>
        </w:tc>
        <w:tc>
          <w:tcPr>
            <w:tcW w:w="1104" w:type="dxa"/>
            <w:hideMark/>
          </w:tcPr>
          <w:p w14:paraId="2083E152" w14:textId="77777777" w:rsidR="00876682" w:rsidRPr="008469CF" w:rsidRDefault="00876682" w:rsidP="008469CF">
            <w:pPr>
              <w:ind w:left="360"/>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0</w:t>
            </w:r>
          </w:p>
        </w:tc>
        <w:tc>
          <w:tcPr>
            <w:tcW w:w="1582" w:type="dxa"/>
            <w:hideMark/>
          </w:tcPr>
          <w:p w14:paraId="7E67DC34" w14:textId="77777777" w:rsidR="00876682" w:rsidRPr="008469CF" w:rsidRDefault="00876682" w:rsidP="00A91F68">
            <w:pPr>
              <w:ind w:left="36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lang w:val="en-GB"/>
              </w:rPr>
            </w:pPr>
            <w:r w:rsidRPr="008469CF">
              <w:rPr>
                <w:rFonts w:cs="Times New Roman"/>
                <w:color w:val="000000"/>
                <w:sz w:val="20"/>
                <w:szCs w:val="20"/>
                <w:lang w:val="en-GB"/>
              </w:rPr>
              <w:t>3</w:t>
            </w:r>
          </w:p>
        </w:tc>
      </w:tr>
      <w:tr w:rsidR="008D11F7" w:rsidRPr="008469CF" w14:paraId="536746D5" w14:textId="77777777" w:rsidTr="008469CF">
        <w:tc>
          <w:tcPr>
            <w:cnfStyle w:val="001000000000" w:firstRow="0" w:lastRow="0" w:firstColumn="1" w:lastColumn="0" w:oddVBand="0" w:evenVBand="0" w:oddHBand="0" w:evenHBand="0" w:firstRowFirstColumn="0" w:firstRowLastColumn="0" w:lastRowFirstColumn="0" w:lastRowLastColumn="0"/>
            <w:tcW w:w="1696" w:type="dxa"/>
            <w:hideMark/>
          </w:tcPr>
          <w:p w14:paraId="191F60D0" w14:textId="77777777" w:rsidR="00876682" w:rsidRPr="008469CF" w:rsidRDefault="00876682" w:rsidP="00A91F68">
            <w:pPr>
              <w:jc w:val="left"/>
              <w:rPr>
                <w:rFonts w:ascii="Times New Roman" w:hAnsi="Times New Roman" w:cs="Times New Roman"/>
                <w:b/>
                <w:bCs/>
                <w:i w:val="0"/>
                <w:iCs w:val="0"/>
                <w:color w:val="000000"/>
                <w:sz w:val="20"/>
                <w:szCs w:val="20"/>
                <w:lang w:val="en-GB"/>
              </w:rPr>
            </w:pPr>
            <w:r w:rsidRPr="008469CF">
              <w:rPr>
                <w:rFonts w:ascii="Times New Roman" w:hAnsi="Times New Roman" w:cs="Times New Roman"/>
                <w:b/>
                <w:bCs/>
                <w:i w:val="0"/>
                <w:iCs w:val="0"/>
                <w:color w:val="000000"/>
                <w:sz w:val="20"/>
                <w:szCs w:val="20"/>
                <w:lang w:val="en-GB"/>
              </w:rPr>
              <w:t>TOTAL</w:t>
            </w:r>
          </w:p>
        </w:tc>
        <w:tc>
          <w:tcPr>
            <w:tcW w:w="1134" w:type="dxa"/>
            <w:hideMark/>
          </w:tcPr>
          <w:p w14:paraId="63D1CABA"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b/>
                <w:bCs/>
                <w:color w:val="000000"/>
                <w:sz w:val="20"/>
                <w:szCs w:val="20"/>
                <w:lang w:val="en-GB"/>
              </w:rPr>
            </w:pPr>
            <w:r w:rsidRPr="008469CF">
              <w:rPr>
                <w:rFonts w:cs="Times New Roman"/>
                <w:b/>
                <w:bCs/>
                <w:color w:val="000000"/>
                <w:sz w:val="20"/>
                <w:szCs w:val="20"/>
                <w:lang w:val="en-GB"/>
              </w:rPr>
              <w:t>81</w:t>
            </w:r>
          </w:p>
        </w:tc>
        <w:tc>
          <w:tcPr>
            <w:tcW w:w="1134" w:type="dxa"/>
            <w:hideMark/>
          </w:tcPr>
          <w:p w14:paraId="025B2022"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b/>
                <w:bCs/>
                <w:color w:val="000000"/>
                <w:sz w:val="20"/>
                <w:szCs w:val="20"/>
                <w:lang w:val="en-GB"/>
              </w:rPr>
            </w:pPr>
            <w:r w:rsidRPr="008469CF">
              <w:rPr>
                <w:rFonts w:cs="Times New Roman"/>
                <w:b/>
                <w:bCs/>
                <w:color w:val="000000"/>
                <w:sz w:val="20"/>
                <w:szCs w:val="20"/>
                <w:lang w:val="en-GB"/>
              </w:rPr>
              <w:t>80</w:t>
            </w:r>
          </w:p>
        </w:tc>
        <w:tc>
          <w:tcPr>
            <w:tcW w:w="1560" w:type="dxa"/>
            <w:hideMark/>
          </w:tcPr>
          <w:p w14:paraId="7CEC74AA"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b/>
                <w:bCs/>
                <w:color w:val="000000"/>
                <w:sz w:val="20"/>
                <w:szCs w:val="20"/>
                <w:lang w:val="en-GB"/>
              </w:rPr>
            </w:pPr>
            <w:r w:rsidRPr="008469CF">
              <w:rPr>
                <w:rFonts w:cs="Times New Roman"/>
                <w:b/>
                <w:bCs/>
                <w:color w:val="000000"/>
                <w:sz w:val="20"/>
                <w:szCs w:val="20"/>
                <w:lang w:val="en-GB"/>
              </w:rPr>
              <w:t>98</w:t>
            </w:r>
          </w:p>
        </w:tc>
        <w:tc>
          <w:tcPr>
            <w:tcW w:w="1104" w:type="dxa"/>
            <w:hideMark/>
          </w:tcPr>
          <w:p w14:paraId="1644A66F" w14:textId="77777777" w:rsidR="00876682" w:rsidRPr="008469CF" w:rsidRDefault="00876682" w:rsidP="008469CF">
            <w:pPr>
              <w:ind w:left="360"/>
              <w:cnfStyle w:val="000000000000" w:firstRow="0" w:lastRow="0" w:firstColumn="0" w:lastColumn="0" w:oddVBand="0" w:evenVBand="0" w:oddHBand="0" w:evenHBand="0" w:firstRowFirstColumn="0" w:firstRowLastColumn="0" w:lastRowFirstColumn="0" w:lastRowLastColumn="0"/>
              <w:rPr>
                <w:rFonts w:cs="Times New Roman"/>
                <w:b/>
                <w:bCs/>
                <w:color w:val="000000"/>
                <w:sz w:val="20"/>
                <w:szCs w:val="20"/>
                <w:lang w:val="en-GB"/>
              </w:rPr>
            </w:pPr>
            <w:r w:rsidRPr="008469CF">
              <w:rPr>
                <w:rFonts w:cs="Times New Roman"/>
                <w:b/>
                <w:bCs/>
                <w:color w:val="000000"/>
                <w:sz w:val="20"/>
                <w:szCs w:val="20"/>
                <w:lang w:val="en-GB"/>
              </w:rPr>
              <w:t>73</w:t>
            </w:r>
          </w:p>
        </w:tc>
        <w:tc>
          <w:tcPr>
            <w:tcW w:w="1582" w:type="dxa"/>
            <w:hideMark/>
          </w:tcPr>
          <w:p w14:paraId="62B1A080" w14:textId="77777777" w:rsidR="00876682" w:rsidRPr="008469CF" w:rsidRDefault="00876682" w:rsidP="00A91F68">
            <w:pPr>
              <w:ind w:left="360"/>
              <w:jc w:val="center"/>
              <w:cnfStyle w:val="000000000000" w:firstRow="0" w:lastRow="0" w:firstColumn="0" w:lastColumn="0" w:oddVBand="0" w:evenVBand="0" w:oddHBand="0" w:evenHBand="0" w:firstRowFirstColumn="0" w:firstRowLastColumn="0" w:lastRowFirstColumn="0" w:lastRowLastColumn="0"/>
              <w:rPr>
                <w:rFonts w:cs="Times New Roman"/>
                <w:b/>
                <w:bCs/>
                <w:color w:val="000000"/>
                <w:sz w:val="20"/>
                <w:szCs w:val="20"/>
                <w:lang w:val="en-GB"/>
              </w:rPr>
            </w:pPr>
            <w:r w:rsidRPr="008469CF">
              <w:rPr>
                <w:rFonts w:cs="Times New Roman"/>
                <w:b/>
                <w:bCs/>
                <w:color w:val="000000"/>
                <w:sz w:val="20"/>
                <w:szCs w:val="20"/>
                <w:lang w:val="en-GB"/>
              </w:rPr>
              <w:t>332</w:t>
            </w:r>
          </w:p>
        </w:tc>
      </w:tr>
    </w:tbl>
    <w:p w14:paraId="096C3C67" w14:textId="77777777" w:rsidR="00CB42F2" w:rsidRPr="0069543B" w:rsidRDefault="00876682" w:rsidP="00BC1A01">
      <w:pPr>
        <w:spacing w:before="0" w:after="0" w:line="480" w:lineRule="auto"/>
        <w:ind w:left="360"/>
        <w:jc w:val="center"/>
        <w:rPr>
          <w:rFonts w:eastAsia="Calibri" w:cs="Times New Roman"/>
          <w:color w:val="000000"/>
          <w:kern w:val="0"/>
          <w:sz w:val="20"/>
          <w:szCs w:val="20"/>
          <w:lang w:eastAsia="en-US"/>
          <w14:ligatures w14:val="none"/>
        </w:rPr>
      </w:pPr>
      <w:r w:rsidRPr="0069543B">
        <w:rPr>
          <w:rFonts w:eastAsia="Calibri" w:cs="Times New Roman"/>
          <w:color w:val="000000"/>
          <w:kern w:val="0"/>
          <w:sz w:val="20"/>
          <w:szCs w:val="20"/>
          <w:lang w:val="en-GB" w:eastAsia="en-US"/>
          <w14:ligatures w14:val="none"/>
        </w:rPr>
        <w:t>Source: Researcher’s field note (2024)</w:t>
      </w:r>
    </w:p>
    <w:p w14:paraId="65113034" w14:textId="76940CBA" w:rsidR="00F11EA7" w:rsidRPr="00BC1A01" w:rsidRDefault="00C51567" w:rsidP="00B20C4D">
      <w:pPr>
        <w:spacing w:after="0" w:line="480" w:lineRule="auto"/>
        <w:rPr>
          <w:rFonts w:cs="Times New Roman"/>
          <w:sz w:val="20"/>
          <w:szCs w:val="20"/>
        </w:rPr>
      </w:pPr>
      <w:r w:rsidRPr="00BC1A01">
        <w:rPr>
          <w:rFonts w:eastAsia="Times New Roman" w:cs="Times New Roman"/>
          <w:sz w:val="20"/>
          <w:szCs w:val="20"/>
          <w:lang w:eastAsia="en-GB"/>
        </w:rPr>
        <w:t xml:space="preserve"> </w:t>
      </w:r>
      <w:r w:rsidR="000F534F" w:rsidRPr="00BC1A01">
        <w:rPr>
          <w:rFonts w:cs="Times New Roman"/>
          <w:sz w:val="20"/>
          <w:szCs w:val="20"/>
        </w:rPr>
        <w:t xml:space="preserve">Data collection involved engaging key staff to validate the proposed conceptual model. A survey questionnaire was utilized to gather primary data, structured to ensure a logical flow of responses. The survey primarily consisted of </w:t>
      </w:r>
      <w:r w:rsidR="00A91F68">
        <w:rPr>
          <w:rFonts w:cs="Times New Roman"/>
          <w:sz w:val="20"/>
          <w:szCs w:val="20"/>
        </w:rPr>
        <w:t>closed-ended</w:t>
      </w:r>
      <w:r w:rsidR="000F534F" w:rsidRPr="00BC1A01">
        <w:rPr>
          <w:rFonts w:cs="Times New Roman"/>
          <w:sz w:val="20"/>
          <w:szCs w:val="20"/>
        </w:rPr>
        <w:t xml:space="preserve"> questions, facilitating efficient data analysis. Various </w:t>
      </w:r>
      <w:r w:rsidR="00CF51BF" w:rsidRPr="00BC1A01">
        <w:rPr>
          <w:rFonts w:cs="Times New Roman"/>
          <w:sz w:val="20"/>
          <w:szCs w:val="20"/>
        </w:rPr>
        <w:t>instruments</w:t>
      </w:r>
      <w:r w:rsidR="000F534F" w:rsidRPr="00BC1A01">
        <w:rPr>
          <w:rFonts w:cs="Times New Roman"/>
          <w:sz w:val="20"/>
          <w:szCs w:val="20"/>
        </w:rPr>
        <w:t xml:space="preserve"> for administering the survey</w:t>
      </w:r>
      <w:r w:rsidR="00CF51BF" w:rsidRPr="00BC1A01">
        <w:rPr>
          <w:rFonts w:cs="Times New Roman"/>
          <w:sz w:val="20"/>
          <w:szCs w:val="20"/>
        </w:rPr>
        <w:t>s</w:t>
      </w:r>
      <w:r w:rsidR="000F534F" w:rsidRPr="00BC1A01">
        <w:rPr>
          <w:rFonts w:cs="Times New Roman"/>
          <w:sz w:val="20"/>
          <w:szCs w:val="20"/>
        </w:rPr>
        <w:t xml:space="preserve"> included face-to-face interviews, telephone interviews, and mail surveys.</w:t>
      </w:r>
    </w:p>
    <w:p w14:paraId="6BA76929" w14:textId="77777777" w:rsidR="00B20C4D" w:rsidRDefault="000F534F" w:rsidP="00B20C4D">
      <w:pPr>
        <w:spacing w:after="0" w:line="480" w:lineRule="auto"/>
        <w:rPr>
          <w:rFonts w:cs="Times New Roman"/>
          <w:sz w:val="20"/>
          <w:szCs w:val="20"/>
        </w:rPr>
      </w:pPr>
      <w:r w:rsidRPr="00BC1A01">
        <w:rPr>
          <w:rFonts w:cs="Times New Roman"/>
          <w:sz w:val="20"/>
          <w:szCs w:val="20"/>
        </w:rPr>
        <w:t xml:space="preserve">The collected data were analyzed using the Statistical Package for Social Sciences (SPSS). Initially, a factor analysis was conducted using Principal Component Analysis (PCA) to reduce multiple variables into fewer dimensions. Subsequently, correlation and multiple regression analyses were performed to draw inferences. </w:t>
      </w:r>
      <w:r w:rsidR="003C2C4D" w:rsidRPr="00BC1A01">
        <w:rPr>
          <w:rFonts w:cs="Times New Roman"/>
          <w:sz w:val="20"/>
          <w:szCs w:val="20"/>
        </w:rPr>
        <w:t xml:space="preserve">Using </w:t>
      </w:r>
      <w:r w:rsidRPr="00BC1A01">
        <w:rPr>
          <w:rFonts w:cs="Times New Roman"/>
          <w:sz w:val="20"/>
          <w:szCs w:val="20"/>
        </w:rPr>
        <w:t>multiple regression analysis was particularly appropriate for this cross-sectional study, allowing for</w:t>
      </w:r>
      <w:r w:rsidR="003C2C4D" w:rsidRPr="00BC1A01">
        <w:rPr>
          <w:rFonts w:cs="Times New Roman"/>
          <w:sz w:val="20"/>
          <w:szCs w:val="20"/>
        </w:rPr>
        <w:t xml:space="preserve"> </w:t>
      </w:r>
      <w:r w:rsidR="00CF51BF" w:rsidRPr="00BC1A01">
        <w:rPr>
          <w:rFonts w:cs="Times New Roman"/>
          <w:sz w:val="20"/>
          <w:szCs w:val="20"/>
        </w:rPr>
        <w:t>the E</w:t>
      </w:r>
      <w:r w:rsidRPr="00BC1A01">
        <w:rPr>
          <w:rFonts w:cs="Times New Roman"/>
          <w:sz w:val="20"/>
          <w:szCs w:val="20"/>
        </w:rPr>
        <w:t>xploration of relationships between variables that had not been systematically examined in prior research.</w:t>
      </w:r>
      <w:bookmarkStart w:id="5" w:name="_Toc177304718"/>
    </w:p>
    <w:p w14:paraId="6A023BBB" w14:textId="77777777" w:rsidR="00A91F68" w:rsidRPr="00BC1A01" w:rsidRDefault="00A91F68" w:rsidP="00B20C4D">
      <w:pPr>
        <w:spacing w:after="0" w:line="480" w:lineRule="auto"/>
        <w:rPr>
          <w:rFonts w:cs="Times New Roman"/>
          <w:sz w:val="20"/>
          <w:szCs w:val="20"/>
        </w:rPr>
      </w:pPr>
    </w:p>
    <w:p w14:paraId="0A659B77" w14:textId="7B8971E9" w:rsidR="00B20C4D" w:rsidRPr="00BC1A01" w:rsidRDefault="00BC1A01" w:rsidP="00B20C4D">
      <w:pPr>
        <w:spacing w:after="0" w:line="480" w:lineRule="auto"/>
        <w:rPr>
          <w:rFonts w:cs="Times New Roman"/>
          <w:b/>
          <w:bCs/>
          <w:sz w:val="22"/>
        </w:rPr>
      </w:pPr>
      <w:r w:rsidRPr="00BC1A01">
        <w:rPr>
          <w:rFonts w:cs="Times New Roman"/>
          <w:b/>
          <w:bCs/>
          <w:sz w:val="22"/>
        </w:rPr>
        <w:lastRenderedPageBreak/>
        <w:t xml:space="preserve">4. RESULTS </w:t>
      </w:r>
      <w:bookmarkStart w:id="6" w:name="_Toc177304720"/>
      <w:bookmarkEnd w:id="5"/>
    </w:p>
    <w:p w14:paraId="1E5690FB" w14:textId="77777777" w:rsidR="00B20C4D" w:rsidRPr="00BC1A01" w:rsidRDefault="00F03CB1" w:rsidP="00B20C4D">
      <w:pPr>
        <w:spacing w:after="0" w:line="480" w:lineRule="auto"/>
        <w:rPr>
          <w:rFonts w:cs="Times New Roman"/>
          <w:b/>
          <w:bCs/>
          <w:sz w:val="20"/>
          <w:szCs w:val="20"/>
        </w:rPr>
      </w:pPr>
      <w:r w:rsidRPr="00BC1A01">
        <w:rPr>
          <w:rFonts w:cs="Times New Roman"/>
          <w:b/>
          <w:bCs/>
          <w:sz w:val="20"/>
          <w:szCs w:val="20"/>
        </w:rPr>
        <w:t xml:space="preserve">4.1 Background of </w:t>
      </w:r>
      <w:bookmarkEnd w:id="6"/>
      <w:r w:rsidRPr="00BC1A01">
        <w:rPr>
          <w:rFonts w:cs="Times New Roman"/>
          <w:b/>
          <w:bCs/>
          <w:sz w:val="20"/>
          <w:szCs w:val="20"/>
        </w:rPr>
        <w:t>Respondent</w:t>
      </w:r>
      <w:bookmarkStart w:id="7" w:name="_Toc510623874"/>
      <w:bookmarkStart w:id="8" w:name="_Toc17718829"/>
      <w:bookmarkStart w:id="9" w:name="_Toc177304721"/>
    </w:p>
    <w:p w14:paraId="099B6D7B" w14:textId="6B790F8D" w:rsidR="00F03CB1" w:rsidRPr="00BC1A01" w:rsidRDefault="00F03CB1" w:rsidP="00B20C4D">
      <w:pPr>
        <w:spacing w:after="0" w:line="480" w:lineRule="auto"/>
        <w:rPr>
          <w:rFonts w:cs="Times New Roman"/>
          <w:b/>
          <w:bCs/>
          <w:sz w:val="20"/>
          <w:szCs w:val="20"/>
        </w:rPr>
      </w:pPr>
      <w:r w:rsidRPr="00BC1A01">
        <w:rPr>
          <w:rFonts w:eastAsia="Calibri" w:cs="Times New Roman"/>
          <w:sz w:val="20"/>
          <w:szCs w:val="20"/>
          <w:lang w:eastAsia="ja-JP"/>
        </w:rPr>
        <w:t>A questionnaire comprising 332 surveys was distributed to employees of the Lands Commission across the 16 regions of Ghana, with an 83% response rate. The demographic characteristics revealed that the majority of respondents were male, representing 63.3%, while 36.7% were female. The age distribution of respondents was as follows: 39.5% between 31-40 years, 26.4% between 18-30 years, 22.5% between 41-50 years, 10.6% between 51-60 years, and 0.9% over 60 years old. Regarding the place of work, 43.7% of respondents were located in the Greater Accra region, with the remainder distributed across various other regions, including Bono East (5.7%) and Upper East (5.1%), among others. In terms of educational attainment, 54.4% of the respondents held a Bachelor's degree, 18.0% had a Master's degree, 2.1% had a PhD/DBA</w:t>
      </w:r>
      <w:r w:rsidR="002E07B3" w:rsidRPr="00BC1A01">
        <w:rPr>
          <w:rFonts w:eastAsia="Calibri" w:cs="Times New Roman"/>
          <w:sz w:val="20"/>
          <w:szCs w:val="20"/>
          <w:lang w:eastAsia="ja-JP"/>
        </w:rPr>
        <w:t>,</w:t>
      </w:r>
      <w:r w:rsidRPr="00BC1A01">
        <w:rPr>
          <w:rFonts w:eastAsia="Calibri" w:cs="Times New Roman"/>
          <w:sz w:val="20"/>
          <w:szCs w:val="20"/>
          <w:lang w:eastAsia="ja-JP"/>
        </w:rPr>
        <w:t xml:space="preserve"> and 16.2% possessed a Higher National Diploma (HND).</w:t>
      </w:r>
    </w:p>
    <w:p w14:paraId="2AC3CA72" w14:textId="62E3FFF0" w:rsidR="00F03CB1" w:rsidRPr="00BC1A01" w:rsidRDefault="00F03CB1" w:rsidP="00B20C4D">
      <w:pPr>
        <w:pStyle w:val="Heading2"/>
        <w:spacing w:line="480" w:lineRule="auto"/>
        <w:rPr>
          <w:rFonts w:ascii="Times New Roman" w:eastAsia="Calibri" w:hAnsi="Times New Roman" w:cs="Times New Roman"/>
          <w:b/>
          <w:bCs/>
          <w:color w:val="auto"/>
          <w:sz w:val="20"/>
          <w:szCs w:val="20"/>
          <w:lang w:eastAsia="ja-JP"/>
        </w:rPr>
      </w:pPr>
      <w:r w:rsidRPr="00BC1A01">
        <w:rPr>
          <w:rFonts w:ascii="Times New Roman" w:eastAsia="Calibri" w:hAnsi="Times New Roman" w:cs="Times New Roman"/>
          <w:color w:val="auto"/>
          <w:sz w:val="20"/>
          <w:szCs w:val="20"/>
          <w:lang w:eastAsia="ja-JP"/>
        </w:rPr>
        <w:t xml:space="preserve">The majority (27.3%) of respondents worked in the Land Valuation Division, followed by the Survey and Mapping Division (25.2%), and the Public and Vested Lands Management Division (24.5%). Those in the Land Registration Division represented 22.4%, and 0.6% worked at the Corporate Head Office of the Commission. Regarding job roles, 31.3% were engaged in Land Administration, 24.1% in </w:t>
      </w:r>
      <w:proofErr w:type="spellStart"/>
      <w:r w:rsidRPr="00BC1A01">
        <w:rPr>
          <w:rFonts w:ascii="Times New Roman" w:eastAsia="Calibri" w:hAnsi="Times New Roman" w:cs="Times New Roman"/>
          <w:color w:val="auto"/>
          <w:sz w:val="20"/>
          <w:szCs w:val="20"/>
          <w:lang w:eastAsia="ja-JP"/>
        </w:rPr>
        <w:t>Geomatic</w:t>
      </w:r>
      <w:proofErr w:type="spellEnd"/>
      <w:r w:rsidRPr="00BC1A01">
        <w:rPr>
          <w:rFonts w:ascii="Times New Roman" w:eastAsia="Calibri" w:hAnsi="Times New Roman" w:cs="Times New Roman"/>
          <w:color w:val="auto"/>
          <w:sz w:val="20"/>
          <w:szCs w:val="20"/>
          <w:lang w:eastAsia="ja-JP"/>
        </w:rPr>
        <w:t xml:space="preserve"> services, and others were distributed across Estates, Legal, Finance</w:t>
      </w:r>
      <w:r w:rsidR="00BC1A01">
        <w:rPr>
          <w:rFonts w:ascii="Times New Roman" w:eastAsia="Calibri" w:hAnsi="Times New Roman" w:cs="Times New Roman"/>
          <w:color w:val="auto"/>
          <w:sz w:val="20"/>
          <w:szCs w:val="20"/>
          <w:lang w:eastAsia="ja-JP"/>
        </w:rPr>
        <w:t>,</w:t>
      </w:r>
      <w:r w:rsidRPr="00BC1A01">
        <w:rPr>
          <w:rFonts w:ascii="Times New Roman" w:eastAsia="Calibri" w:hAnsi="Times New Roman" w:cs="Times New Roman"/>
          <w:color w:val="auto"/>
          <w:sz w:val="20"/>
          <w:szCs w:val="20"/>
          <w:lang w:eastAsia="ja-JP"/>
        </w:rPr>
        <w:t xml:space="preserve"> and Audit, and administrative roles. The participants' years of service varied, with 28.0% having worked for 6-9 years, 18.4% for less than 3 years, and 18.1% for 3-5 years. Additionally, 14.5% had worked for 10-13 years, 10.2% had 14-17 years of experience, and 10.8% had worked for more than 18 years.</w:t>
      </w:r>
    </w:p>
    <w:p w14:paraId="343A4B2F" w14:textId="1AA0B8C8" w:rsidR="00F03CB1" w:rsidRPr="00BC1A01" w:rsidRDefault="00F03CB1" w:rsidP="00B20C4D">
      <w:pPr>
        <w:pStyle w:val="Heading2"/>
        <w:spacing w:line="480" w:lineRule="auto"/>
        <w:rPr>
          <w:rFonts w:ascii="Times New Roman" w:hAnsi="Times New Roman" w:cs="Times New Roman"/>
          <w:b/>
          <w:bCs/>
          <w:color w:val="auto"/>
          <w:sz w:val="20"/>
          <w:szCs w:val="20"/>
        </w:rPr>
      </w:pPr>
      <w:r w:rsidRPr="00BC1A01">
        <w:rPr>
          <w:rFonts w:ascii="Times New Roman" w:hAnsi="Times New Roman" w:cs="Times New Roman"/>
          <w:b/>
          <w:bCs/>
          <w:color w:val="auto"/>
          <w:sz w:val="20"/>
          <w:szCs w:val="20"/>
        </w:rPr>
        <w:t xml:space="preserve">4.2 Measures and </w:t>
      </w:r>
      <w:bookmarkEnd w:id="7"/>
      <w:bookmarkEnd w:id="8"/>
      <w:bookmarkEnd w:id="9"/>
      <w:r w:rsidRPr="00BC1A01">
        <w:rPr>
          <w:rFonts w:ascii="Times New Roman" w:hAnsi="Times New Roman" w:cs="Times New Roman"/>
          <w:b/>
          <w:bCs/>
          <w:color w:val="auto"/>
          <w:sz w:val="20"/>
          <w:szCs w:val="20"/>
        </w:rPr>
        <w:t>Validation</w:t>
      </w:r>
    </w:p>
    <w:p w14:paraId="3B6326C3" w14:textId="77777777" w:rsidR="00F03CB1" w:rsidRPr="00BC1A01" w:rsidRDefault="00F03CB1" w:rsidP="00B20C4D">
      <w:pPr>
        <w:pStyle w:val="Heading3"/>
        <w:spacing w:line="480" w:lineRule="auto"/>
        <w:rPr>
          <w:sz w:val="20"/>
          <w:szCs w:val="20"/>
        </w:rPr>
      </w:pPr>
      <w:bookmarkStart w:id="10" w:name="_Toc510623875"/>
      <w:bookmarkStart w:id="11" w:name="_Toc17718830"/>
      <w:bookmarkStart w:id="12" w:name="_Toc177304722"/>
      <w:r w:rsidRPr="00BC1A01">
        <w:rPr>
          <w:sz w:val="20"/>
          <w:szCs w:val="20"/>
        </w:rPr>
        <w:t xml:space="preserve">4.2.1 Independent </w:t>
      </w:r>
      <w:bookmarkEnd w:id="10"/>
      <w:bookmarkEnd w:id="11"/>
      <w:r w:rsidRPr="00BC1A01">
        <w:rPr>
          <w:sz w:val="20"/>
          <w:szCs w:val="20"/>
        </w:rPr>
        <w:t>and dependent variable- Motivation (Internal and external)</w:t>
      </w:r>
      <w:bookmarkEnd w:id="12"/>
      <w:r w:rsidRPr="00BC1A01">
        <w:rPr>
          <w:sz w:val="20"/>
          <w:szCs w:val="20"/>
        </w:rPr>
        <w:t xml:space="preserve"> </w:t>
      </w:r>
    </w:p>
    <w:p w14:paraId="64393972" w14:textId="1AAC68C9" w:rsidR="00F03CB1" w:rsidRPr="00BC1A01" w:rsidRDefault="00F03CB1" w:rsidP="00B20C4D">
      <w:pPr>
        <w:pStyle w:val="Heading3"/>
        <w:spacing w:line="480" w:lineRule="auto"/>
        <w:rPr>
          <w:b w:val="0"/>
          <w:bCs w:val="0"/>
          <w:kern w:val="2"/>
          <w:sz w:val="20"/>
          <w:szCs w:val="20"/>
          <w:lang w:eastAsia="ja-JP"/>
        </w:rPr>
      </w:pPr>
      <w:bookmarkStart w:id="13" w:name="_Toc177304724"/>
      <w:r w:rsidRPr="00BC1A01">
        <w:rPr>
          <w:b w:val="0"/>
          <w:bCs w:val="0"/>
          <w:kern w:val="2"/>
          <w:sz w:val="20"/>
          <w:szCs w:val="20"/>
          <w:lang w:eastAsia="ja-JP"/>
        </w:rPr>
        <w:t>Motivation encompasses both internal and external rewards that employees receive for task performance. The study utilized a five-point Likert scale (1-strongly disagree to 5-strongly agree) to measure the impact of these motivational factors on service delivery.</w:t>
      </w:r>
      <w:r w:rsidR="00A91F68">
        <w:rPr>
          <w:b w:val="0"/>
          <w:bCs w:val="0"/>
          <w:kern w:val="2"/>
          <w:sz w:val="20"/>
          <w:szCs w:val="20"/>
          <w:lang w:eastAsia="ja-JP"/>
        </w:rPr>
        <w:t xml:space="preserve"> </w:t>
      </w:r>
      <w:r w:rsidRPr="00BC1A01">
        <w:rPr>
          <w:b w:val="0"/>
          <w:bCs w:val="0"/>
          <w:kern w:val="2"/>
          <w:sz w:val="20"/>
          <w:szCs w:val="20"/>
          <w:lang w:eastAsia="ja-JP"/>
        </w:rPr>
        <w:t>For intrinsic motivation, seven initial items were evaluated: reduced promotion period, capacity-building opportunities, career progression, access to tools, working conditions, satisfaction, and feeling valued. Following exploratory factor analysis (EFA), four items remained significant with factor loading ≥0.3: capacity building, career progression, working conditions, and satisfaction. The construct achieved a Cronbach's Alpha of 0.832.</w:t>
      </w:r>
    </w:p>
    <w:p w14:paraId="5DD7BEC2" w14:textId="693C40E7" w:rsidR="00F03CB1" w:rsidRPr="00BC1A01" w:rsidRDefault="00F03CB1" w:rsidP="00B20C4D">
      <w:pPr>
        <w:pStyle w:val="Heading3"/>
        <w:spacing w:line="480" w:lineRule="auto"/>
        <w:rPr>
          <w:b w:val="0"/>
          <w:bCs w:val="0"/>
          <w:kern w:val="2"/>
          <w:sz w:val="20"/>
          <w:szCs w:val="20"/>
          <w:lang w:eastAsia="ja-JP"/>
        </w:rPr>
      </w:pPr>
      <w:r w:rsidRPr="00BC1A01">
        <w:rPr>
          <w:b w:val="0"/>
          <w:bCs w:val="0"/>
          <w:kern w:val="2"/>
          <w:sz w:val="20"/>
          <w:szCs w:val="20"/>
          <w:lang w:eastAsia="ja-JP"/>
        </w:rPr>
        <w:lastRenderedPageBreak/>
        <w:t>Extrinsic motivation initially comprised seven items: additional income, overtime allowance, acting position benefits, donor-funding/government support, transport provision, welfare system, and conduct sanctions. Post-EFA, six items were retained (excluding transport provision), yielding a Cronbach's Alpha of 0.894.</w:t>
      </w:r>
      <w:r w:rsidR="00A91F68">
        <w:rPr>
          <w:b w:val="0"/>
          <w:bCs w:val="0"/>
          <w:kern w:val="2"/>
          <w:sz w:val="20"/>
          <w:szCs w:val="20"/>
          <w:lang w:eastAsia="ja-JP"/>
        </w:rPr>
        <w:t xml:space="preserve"> </w:t>
      </w:r>
      <w:r w:rsidRPr="00BC1A01">
        <w:rPr>
          <w:b w:val="0"/>
          <w:bCs w:val="0"/>
          <w:kern w:val="2"/>
          <w:sz w:val="20"/>
          <w:szCs w:val="20"/>
          <w:lang w:eastAsia="ja-JP"/>
        </w:rPr>
        <w:t>Service delivery</w:t>
      </w:r>
      <w:r w:rsidR="00F11EA7" w:rsidRPr="00BC1A01">
        <w:rPr>
          <w:b w:val="0"/>
          <w:bCs w:val="0"/>
          <w:kern w:val="2"/>
          <w:sz w:val="20"/>
          <w:szCs w:val="20"/>
          <w:lang w:eastAsia="ja-JP"/>
        </w:rPr>
        <w:t>:</w:t>
      </w:r>
      <w:r w:rsidRPr="00BC1A01">
        <w:rPr>
          <w:b w:val="0"/>
          <w:bCs w:val="0"/>
          <w:kern w:val="2"/>
          <w:sz w:val="20"/>
          <w:szCs w:val="20"/>
          <w:lang w:eastAsia="ja-JP"/>
        </w:rPr>
        <w:t xml:space="preserve"> </w:t>
      </w:r>
      <w:r w:rsidR="00A91F68">
        <w:rPr>
          <w:b w:val="0"/>
          <w:bCs w:val="0"/>
          <w:kern w:val="2"/>
          <w:sz w:val="20"/>
          <w:szCs w:val="20"/>
          <w:lang w:eastAsia="ja-JP"/>
        </w:rPr>
        <w:t>The</w:t>
      </w:r>
      <w:r w:rsidRPr="00BC1A01">
        <w:rPr>
          <w:b w:val="0"/>
          <w:bCs w:val="0"/>
          <w:kern w:val="2"/>
          <w:sz w:val="20"/>
          <w:szCs w:val="20"/>
          <w:lang w:eastAsia="ja-JP"/>
        </w:rPr>
        <w:t xml:space="preserve"> dependent variable initially included five scales measuring service availability, timeliness, information reliability, quality, and client satisfaction. After EFA, three items remained: service availability, quality, and client satisfaction, with a Cronbach's Alpha of 0.771.</w:t>
      </w:r>
    </w:p>
    <w:p w14:paraId="38BDFB16" w14:textId="77777777" w:rsidR="00F03CB1" w:rsidRPr="00BC1A01" w:rsidRDefault="00F03CB1" w:rsidP="00B20C4D">
      <w:pPr>
        <w:pStyle w:val="Heading3"/>
        <w:spacing w:line="480" w:lineRule="auto"/>
        <w:rPr>
          <w:sz w:val="20"/>
          <w:szCs w:val="20"/>
        </w:rPr>
      </w:pPr>
      <w:r w:rsidRPr="00BC1A01">
        <w:rPr>
          <w:sz w:val="20"/>
          <w:szCs w:val="20"/>
        </w:rPr>
        <w:t>4.2.2 Moderating variable</w:t>
      </w:r>
      <w:bookmarkEnd w:id="13"/>
    </w:p>
    <w:p w14:paraId="6B5646F8" w14:textId="77777777" w:rsidR="00F03CB1" w:rsidRPr="00BC1A01" w:rsidRDefault="00F03CB1" w:rsidP="00B20C4D">
      <w:pPr>
        <w:pStyle w:val="Heading3"/>
        <w:spacing w:line="480" w:lineRule="auto"/>
        <w:rPr>
          <w:rFonts w:eastAsiaTheme="minorEastAsia"/>
          <w:b w:val="0"/>
          <w:bCs w:val="0"/>
          <w:kern w:val="2"/>
          <w:sz w:val="20"/>
          <w:szCs w:val="20"/>
          <w:lang w:eastAsia="ja-JP"/>
        </w:rPr>
      </w:pPr>
      <w:bookmarkStart w:id="14" w:name="_Toc510623878"/>
      <w:bookmarkStart w:id="15" w:name="_Toc17718833"/>
      <w:bookmarkStart w:id="16" w:name="_Toc177304725"/>
      <w:r w:rsidRPr="00BC1A01">
        <w:rPr>
          <w:rFonts w:eastAsiaTheme="minorEastAsia"/>
          <w:b w:val="0"/>
          <w:bCs w:val="0"/>
          <w:kern w:val="2"/>
          <w:sz w:val="20"/>
          <w:szCs w:val="20"/>
          <w:lang w:eastAsia="ja-JP"/>
        </w:rPr>
        <w:t>The investigation examined both internal and external land administration reforms. For internal reforms, five initial variables were evaluated: business plan-based decisions, customer feedback systems, budgetary allocation, staff results framework, and performance appraisal. After exploratory factor analysis (EFA), three variables remained significant: business plan-based decisions, customer feedback systems, and staff results framework. This construct achieved a Cronbach's Alpha of 0.717.</w:t>
      </w:r>
    </w:p>
    <w:p w14:paraId="67ED78F9" w14:textId="6CD5B728" w:rsidR="00F03CB1" w:rsidRPr="00BC1A01" w:rsidRDefault="00F03CB1" w:rsidP="00B20C4D">
      <w:pPr>
        <w:pStyle w:val="Heading3"/>
        <w:spacing w:line="480" w:lineRule="auto"/>
        <w:rPr>
          <w:rFonts w:eastAsiaTheme="minorEastAsia"/>
          <w:b w:val="0"/>
          <w:bCs w:val="0"/>
          <w:kern w:val="2"/>
          <w:sz w:val="20"/>
          <w:szCs w:val="20"/>
          <w:lang w:eastAsia="ja-JP"/>
        </w:rPr>
      </w:pPr>
      <w:r w:rsidRPr="00BC1A01">
        <w:rPr>
          <w:rFonts w:eastAsiaTheme="minorEastAsia"/>
          <w:b w:val="0"/>
          <w:bCs w:val="0"/>
          <w:kern w:val="2"/>
          <w:sz w:val="20"/>
          <w:szCs w:val="20"/>
          <w:lang w:eastAsia="ja-JP"/>
        </w:rPr>
        <w:t>External reforms initially comprised six variables: merger-driven collaboration, reduced bureaucracy, digitized land records, Enterprise Land Information System implementation, one-stop-shop concept, and technology training. Following EFA, three variables were retained: merger-driven collaboration, digitized land records, and technology training. The external reforms construct demonstrated good reliability with a Cronbach's Alpha of 0.764</w:t>
      </w:r>
      <w:r w:rsidR="00B85F21">
        <w:rPr>
          <w:rFonts w:eastAsiaTheme="minorEastAsia"/>
          <w:b w:val="0"/>
          <w:bCs w:val="0"/>
          <w:kern w:val="2"/>
          <w:sz w:val="20"/>
          <w:szCs w:val="20"/>
          <w:lang w:eastAsia="ja-JP"/>
        </w:rPr>
        <w:t>, as shown in Table 3</w:t>
      </w:r>
      <w:r w:rsidRPr="00BC1A01">
        <w:rPr>
          <w:rFonts w:eastAsiaTheme="minorEastAsia"/>
          <w:b w:val="0"/>
          <w:bCs w:val="0"/>
          <w:kern w:val="2"/>
          <w:sz w:val="20"/>
          <w:szCs w:val="20"/>
          <w:lang w:eastAsia="ja-JP"/>
        </w:rPr>
        <w:t>. Both constructs exhibited sufficient reliability for further analysis.</w:t>
      </w:r>
    </w:p>
    <w:p w14:paraId="1C46E36B" w14:textId="77777777" w:rsidR="00F03CB1" w:rsidRPr="00BC1A01" w:rsidRDefault="00F03CB1" w:rsidP="00B20C4D">
      <w:pPr>
        <w:pStyle w:val="Heading3"/>
        <w:spacing w:line="480" w:lineRule="auto"/>
        <w:rPr>
          <w:sz w:val="20"/>
          <w:szCs w:val="20"/>
        </w:rPr>
      </w:pPr>
      <w:r w:rsidRPr="00BC1A01">
        <w:rPr>
          <w:sz w:val="20"/>
          <w:szCs w:val="20"/>
        </w:rPr>
        <w:t>4.2.3 Control variables</w:t>
      </w:r>
      <w:bookmarkEnd w:id="14"/>
      <w:bookmarkEnd w:id="15"/>
      <w:bookmarkEnd w:id="16"/>
      <w:r w:rsidRPr="00BC1A01">
        <w:rPr>
          <w:sz w:val="20"/>
          <w:szCs w:val="20"/>
        </w:rPr>
        <w:t xml:space="preserve"> </w:t>
      </w:r>
    </w:p>
    <w:p w14:paraId="668F361E" w14:textId="616483C4" w:rsidR="00F03CB1" w:rsidRPr="00BC1A01" w:rsidRDefault="00F03CB1" w:rsidP="00B20C4D">
      <w:pPr>
        <w:pStyle w:val="Heading3"/>
        <w:spacing w:line="480" w:lineRule="auto"/>
        <w:rPr>
          <w:b w:val="0"/>
          <w:bCs w:val="0"/>
          <w:iCs/>
          <w:kern w:val="2"/>
          <w:sz w:val="20"/>
          <w:szCs w:val="20"/>
          <w:lang w:eastAsia="ja-JP"/>
        </w:rPr>
      </w:pPr>
      <w:bookmarkStart w:id="17" w:name="_Toc17718834"/>
      <w:bookmarkStart w:id="18" w:name="_Toc177304726"/>
      <w:r w:rsidRPr="00BC1A01">
        <w:rPr>
          <w:b w:val="0"/>
          <w:bCs w:val="0"/>
          <w:iCs/>
          <w:kern w:val="2"/>
          <w:sz w:val="20"/>
          <w:szCs w:val="20"/>
          <w:lang w:eastAsia="ja-JP"/>
        </w:rPr>
        <w:t xml:space="preserve">The study examined three organizational variables. </w:t>
      </w:r>
      <w:r w:rsidR="009E4339" w:rsidRPr="00BC1A01">
        <w:rPr>
          <w:b w:val="0"/>
          <w:bCs w:val="0"/>
          <w:iCs/>
          <w:kern w:val="2"/>
          <w:sz w:val="20"/>
          <w:szCs w:val="20"/>
          <w:lang w:eastAsia="ja-JP"/>
        </w:rPr>
        <w:t>The region</w:t>
      </w:r>
      <w:r w:rsidRPr="00BC1A01">
        <w:rPr>
          <w:b w:val="0"/>
          <w:bCs w:val="0"/>
          <w:iCs/>
          <w:kern w:val="2"/>
          <w:sz w:val="20"/>
          <w:szCs w:val="20"/>
          <w:lang w:eastAsia="ja-JP"/>
        </w:rPr>
        <w:t xml:space="preserve"> of location covered Ghana's 16 regions (from Northern to Greater Accra), coded 1-16. </w:t>
      </w:r>
      <w:r w:rsidR="009E4339" w:rsidRPr="00BC1A01">
        <w:rPr>
          <w:b w:val="0"/>
          <w:bCs w:val="0"/>
          <w:iCs/>
          <w:kern w:val="2"/>
          <w:sz w:val="20"/>
          <w:szCs w:val="20"/>
          <w:lang w:eastAsia="ja-JP"/>
        </w:rPr>
        <w:t>The division</w:t>
      </w:r>
      <w:r w:rsidRPr="00BC1A01">
        <w:rPr>
          <w:b w:val="0"/>
          <w:bCs w:val="0"/>
          <w:iCs/>
          <w:kern w:val="2"/>
          <w:sz w:val="20"/>
          <w:szCs w:val="20"/>
          <w:lang w:eastAsia="ja-JP"/>
        </w:rPr>
        <w:t xml:space="preserve"> of work categorized employees into five departments: Survey and Mapping, Public and Vested Lands Management, Land Valuation, Land Registration, and Corporate Head Office, coded 1-5. Employee designation was classified into six units: Land Administration, Estates, </w:t>
      </w:r>
      <w:proofErr w:type="spellStart"/>
      <w:r w:rsidRPr="00BC1A01">
        <w:rPr>
          <w:b w:val="0"/>
          <w:bCs w:val="0"/>
          <w:iCs/>
          <w:kern w:val="2"/>
          <w:sz w:val="20"/>
          <w:szCs w:val="20"/>
          <w:lang w:eastAsia="ja-JP"/>
        </w:rPr>
        <w:t>Geomatic</w:t>
      </w:r>
      <w:proofErr w:type="spellEnd"/>
      <w:r w:rsidRPr="00BC1A01">
        <w:rPr>
          <w:b w:val="0"/>
          <w:bCs w:val="0"/>
          <w:iCs/>
          <w:kern w:val="2"/>
          <w:sz w:val="20"/>
          <w:szCs w:val="20"/>
          <w:lang w:eastAsia="ja-JP"/>
        </w:rPr>
        <w:t>, Finance and Audit, Land Registrars/Legal, and Administrative and Records, coded 1-6. These variables provided the structural framework for analyzing organizational distribution and employee roles.</w:t>
      </w:r>
    </w:p>
    <w:p w14:paraId="1F1C0A39" w14:textId="77777777" w:rsidR="00F03CB1" w:rsidRPr="00BC1A01" w:rsidRDefault="00F03CB1" w:rsidP="00B20C4D">
      <w:pPr>
        <w:pStyle w:val="Heading3"/>
        <w:spacing w:line="480" w:lineRule="auto"/>
        <w:rPr>
          <w:sz w:val="20"/>
          <w:szCs w:val="20"/>
          <w:lang w:val="en-GB"/>
        </w:rPr>
      </w:pPr>
      <w:r w:rsidRPr="00BC1A01">
        <w:rPr>
          <w:sz w:val="20"/>
          <w:szCs w:val="20"/>
          <w:lang w:val="en-GB"/>
        </w:rPr>
        <w:t xml:space="preserve">4.2.4 Measures and </w:t>
      </w:r>
      <w:bookmarkEnd w:id="17"/>
      <w:bookmarkEnd w:id="18"/>
      <w:r w:rsidRPr="00BC1A01">
        <w:rPr>
          <w:sz w:val="20"/>
          <w:szCs w:val="20"/>
          <w:lang w:val="en-GB"/>
        </w:rPr>
        <w:t xml:space="preserve">Validation </w:t>
      </w:r>
    </w:p>
    <w:p w14:paraId="403BED17" w14:textId="674C2959" w:rsidR="00BB3E12" w:rsidRPr="00BC1A01" w:rsidRDefault="00F03CB1" w:rsidP="00BC1A01">
      <w:pPr>
        <w:pStyle w:val="Caption"/>
        <w:spacing w:line="480" w:lineRule="auto"/>
        <w:jc w:val="both"/>
        <w:rPr>
          <w:rFonts w:eastAsiaTheme="minorEastAsia"/>
          <w:iCs w:val="0"/>
          <w:kern w:val="2"/>
          <w:sz w:val="20"/>
          <w:szCs w:val="20"/>
          <w:lang w:val="en-US" w:eastAsia="ja-JP"/>
        </w:rPr>
      </w:pPr>
      <w:bookmarkStart w:id="19" w:name="_Toc177304750"/>
      <w:r w:rsidRPr="00BC1A01">
        <w:rPr>
          <w:rFonts w:eastAsiaTheme="minorEastAsia"/>
          <w:iCs w:val="0"/>
          <w:kern w:val="2"/>
          <w:sz w:val="20"/>
          <w:szCs w:val="20"/>
          <w:lang w:val="en-US" w:eastAsia="ja-JP"/>
        </w:rPr>
        <w:t xml:space="preserve">Factor analysis was conducted to identify key dimensions of motivation, service delivery, and land administration reforms. Exploratory Factor Analysis (EFA) was employed as a data reduction method, with Bartlett's Test of Sphericity (χ² = 2609.175, df = 171, p &lt; 0.000) and Kaiser-Meyer-Olkin (KMO = 0.809) confirming significant </w:t>
      </w:r>
      <w:r w:rsidRPr="00BC1A01">
        <w:rPr>
          <w:rFonts w:eastAsiaTheme="minorEastAsia"/>
          <w:iCs w:val="0"/>
          <w:kern w:val="2"/>
          <w:sz w:val="20"/>
          <w:szCs w:val="20"/>
          <w:lang w:val="en-US" w:eastAsia="ja-JP"/>
        </w:rPr>
        <w:lastRenderedPageBreak/>
        <w:t>correlations among variables. The analysis utilized Principal Component Analysis (PCA) with Varimax rotation, considering factors with Eigenvalues ≥1 and factor loadings ≥0.</w:t>
      </w:r>
      <w:r w:rsidRPr="00B85F21">
        <w:rPr>
          <w:rFonts w:eastAsiaTheme="minorEastAsia"/>
          <w:iCs w:val="0"/>
          <w:kern w:val="2"/>
          <w:sz w:val="20"/>
          <w:szCs w:val="20"/>
          <w:lang w:val="en-US" w:eastAsia="ja-JP"/>
        </w:rPr>
        <w:t>3</w:t>
      </w:r>
      <w:r w:rsidR="00B85F21" w:rsidRPr="00B85F21">
        <w:rPr>
          <w:rFonts w:eastAsiaTheme="minorEastAsia"/>
          <w:iCs w:val="0"/>
          <w:kern w:val="2"/>
          <w:sz w:val="20"/>
          <w:szCs w:val="20"/>
          <w:lang w:val="en-US" w:eastAsia="ja-JP"/>
        </w:rPr>
        <w:t xml:space="preserve"> </w:t>
      </w:r>
      <w:r w:rsidR="00B85F21" w:rsidRPr="00B85F21">
        <w:rPr>
          <w:kern w:val="2"/>
          <w:sz w:val="20"/>
          <w:szCs w:val="20"/>
          <w:lang w:eastAsia="ja-JP"/>
        </w:rPr>
        <w:t>as indicated in Table 2</w:t>
      </w:r>
      <w:r w:rsidRPr="00BC1A01">
        <w:rPr>
          <w:rFonts w:eastAsiaTheme="minorEastAsia"/>
          <w:iCs w:val="0"/>
          <w:kern w:val="2"/>
          <w:sz w:val="20"/>
          <w:szCs w:val="20"/>
          <w:lang w:val="en-US" w:eastAsia="ja-JP"/>
        </w:rPr>
        <w:t>. Of the 30 initial items, 19 were retained after addressing cross-loadings, explaining 67.815% of the variance. Eleven items were eliminated following Hair et al.'s (2010) recommendations due to cross-loading or insufficient factor loading. Scale reliability was evaluated using Cronbach's Alpha, with Nunnally's (1978) recommended threshold of 0.70. Detailed PCA results and KMO/Bartlett's test outcomes are presented in the appendix.</w:t>
      </w:r>
    </w:p>
    <w:p w14:paraId="6FE985EF" w14:textId="26894FDB" w:rsidR="00F03CB1" w:rsidRPr="00BC1A01" w:rsidRDefault="00F03CB1" w:rsidP="00BC1A01">
      <w:pPr>
        <w:pStyle w:val="Caption"/>
        <w:spacing w:line="480" w:lineRule="auto"/>
        <w:jc w:val="center"/>
        <w:rPr>
          <w:rFonts w:eastAsia="Times New Roman"/>
          <w:b/>
          <w:color w:val="000000"/>
          <w:sz w:val="20"/>
          <w:szCs w:val="20"/>
        </w:rPr>
      </w:pPr>
      <w:r w:rsidRPr="00BC1A01">
        <w:rPr>
          <w:b/>
          <w:sz w:val="20"/>
          <w:szCs w:val="20"/>
        </w:rPr>
        <w:t xml:space="preserve">Table </w:t>
      </w:r>
      <w:r w:rsidR="00BB3E12" w:rsidRPr="00BC1A01">
        <w:rPr>
          <w:b/>
          <w:sz w:val="20"/>
          <w:szCs w:val="20"/>
        </w:rPr>
        <w:t>2</w:t>
      </w:r>
      <w:r w:rsidRPr="00BC1A01">
        <w:rPr>
          <w:b/>
          <w:sz w:val="20"/>
          <w:szCs w:val="20"/>
        </w:rPr>
        <w:t>:  Rotated component matrix of construct measures and loadings</w:t>
      </w:r>
      <w:bookmarkEnd w:id="19"/>
    </w:p>
    <w:tbl>
      <w:tblPr>
        <w:tblStyle w:val="PlainTable2"/>
        <w:tblW w:w="8523" w:type="dxa"/>
        <w:tblLayout w:type="fixed"/>
        <w:tblLook w:val="0000" w:firstRow="0" w:lastRow="0" w:firstColumn="0" w:lastColumn="0" w:noHBand="0" w:noVBand="0"/>
      </w:tblPr>
      <w:tblGrid>
        <w:gridCol w:w="1701"/>
        <w:gridCol w:w="1603"/>
        <w:gridCol w:w="2518"/>
        <w:gridCol w:w="1009"/>
        <w:gridCol w:w="1009"/>
        <w:gridCol w:w="683"/>
      </w:tblGrid>
      <w:tr w:rsidR="00F03CB1" w:rsidRPr="00B85F21" w14:paraId="67D11DBB" w14:textId="77777777" w:rsidTr="00BB3E12">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vMerge w:val="restart"/>
          </w:tcPr>
          <w:p w14:paraId="6CC421A6" w14:textId="77777777" w:rsidR="00F03CB1" w:rsidRPr="00B85F21" w:rsidRDefault="00F03CB1" w:rsidP="00B85F21">
            <w:pPr>
              <w:autoSpaceDE w:val="0"/>
              <w:autoSpaceDN w:val="0"/>
              <w:adjustRightInd w:val="0"/>
              <w:rPr>
                <w:rFonts w:cs="Times New Roman"/>
                <w:b/>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22" w:type="dxa"/>
            <w:gridSpan w:val="5"/>
          </w:tcPr>
          <w:p w14:paraId="3B4BD903" w14:textId="77777777" w:rsidR="00F03CB1" w:rsidRPr="00B85F21" w:rsidRDefault="00F03CB1" w:rsidP="00B85F21">
            <w:pPr>
              <w:autoSpaceDE w:val="0"/>
              <w:autoSpaceDN w:val="0"/>
              <w:adjustRightInd w:val="0"/>
              <w:ind w:left="60" w:right="60"/>
              <w:rPr>
                <w:rFonts w:cs="Times New Roman"/>
                <w:b/>
                <w:color w:val="000000" w:themeColor="text1"/>
                <w:sz w:val="20"/>
                <w:szCs w:val="20"/>
              </w:rPr>
            </w:pPr>
            <w:r w:rsidRPr="00B85F21">
              <w:rPr>
                <w:rFonts w:cs="Times New Roman"/>
                <w:b/>
                <w:color w:val="000000" w:themeColor="text1"/>
                <w:sz w:val="20"/>
                <w:szCs w:val="20"/>
              </w:rPr>
              <w:t>Component</w:t>
            </w:r>
          </w:p>
        </w:tc>
      </w:tr>
      <w:tr w:rsidR="00F03CB1" w:rsidRPr="00B85F21" w14:paraId="1122943D" w14:textId="77777777" w:rsidTr="00BB3E12">
        <w:trPr>
          <w:trHeight w:val="112"/>
        </w:trPr>
        <w:tc>
          <w:tcPr>
            <w:cnfStyle w:val="000010000000" w:firstRow="0" w:lastRow="0" w:firstColumn="0" w:lastColumn="0" w:oddVBand="1" w:evenVBand="0" w:oddHBand="0" w:evenHBand="0" w:firstRowFirstColumn="0" w:firstRowLastColumn="0" w:lastRowFirstColumn="0" w:lastRowLastColumn="0"/>
            <w:tcW w:w="1701" w:type="dxa"/>
            <w:vMerge/>
          </w:tcPr>
          <w:p w14:paraId="5C6E8060" w14:textId="77777777" w:rsidR="00F03CB1" w:rsidRPr="00B85F21" w:rsidRDefault="00F03CB1" w:rsidP="00B85F21">
            <w:pPr>
              <w:autoSpaceDE w:val="0"/>
              <w:autoSpaceDN w:val="0"/>
              <w:adjustRightInd w:val="0"/>
              <w:rPr>
                <w:rFonts w:cs="Times New Roman"/>
                <w:b/>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603" w:type="dxa"/>
          </w:tcPr>
          <w:p w14:paraId="163FBCDE" w14:textId="77777777" w:rsidR="00F03CB1" w:rsidRPr="00B85F21" w:rsidRDefault="00F03CB1" w:rsidP="00B85F21">
            <w:pPr>
              <w:autoSpaceDE w:val="0"/>
              <w:autoSpaceDN w:val="0"/>
              <w:adjustRightInd w:val="0"/>
              <w:ind w:left="60" w:right="60"/>
              <w:rPr>
                <w:rFonts w:cs="Times New Roman"/>
                <w:b/>
                <w:color w:val="000000" w:themeColor="text1"/>
                <w:sz w:val="20"/>
                <w:szCs w:val="20"/>
              </w:rPr>
            </w:pPr>
            <w:r w:rsidRPr="00B85F21">
              <w:rPr>
                <w:rFonts w:cs="Times New Roman"/>
                <w:b/>
                <w:color w:val="000000" w:themeColor="text1"/>
                <w:sz w:val="20"/>
                <w:szCs w:val="20"/>
              </w:rPr>
              <w:t>1</w:t>
            </w:r>
          </w:p>
        </w:tc>
        <w:tc>
          <w:tcPr>
            <w:cnfStyle w:val="000010000000" w:firstRow="0" w:lastRow="0" w:firstColumn="0" w:lastColumn="0" w:oddVBand="1" w:evenVBand="0" w:oddHBand="0" w:evenHBand="0" w:firstRowFirstColumn="0" w:firstRowLastColumn="0" w:lastRowFirstColumn="0" w:lastRowLastColumn="0"/>
            <w:tcW w:w="2518" w:type="dxa"/>
          </w:tcPr>
          <w:p w14:paraId="263D49E5" w14:textId="77777777" w:rsidR="00F03CB1" w:rsidRPr="00B85F21" w:rsidRDefault="00F03CB1" w:rsidP="00B85F21">
            <w:pPr>
              <w:autoSpaceDE w:val="0"/>
              <w:autoSpaceDN w:val="0"/>
              <w:adjustRightInd w:val="0"/>
              <w:ind w:left="60" w:right="60"/>
              <w:rPr>
                <w:rFonts w:cs="Times New Roman"/>
                <w:b/>
                <w:color w:val="000000" w:themeColor="text1"/>
                <w:sz w:val="20"/>
                <w:szCs w:val="20"/>
              </w:rPr>
            </w:pPr>
            <w:r w:rsidRPr="00B85F21">
              <w:rPr>
                <w:rFonts w:cs="Times New Roman"/>
                <w:b/>
                <w:color w:val="000000" w:themeColor="text1"/>
                <w:sz w:val="20"/>
                <w:szCs w:val="20"/>
              </w:rPr>
              <w:t>2</w:t>
            </w:r>
          </w:p>
        </w:tc>
        <w:tc>
          <w:tcPr>
            <w:cnfStyle w:val="000001000000" w:firstRow="0" w:lastRow="0" w:firstColumn="0" w:lastColumn="0" w:oddVBand="0" w:evenVBand="1" w:oddHBand="0" w:evenHBand="0" w:firstRowFirstColumn="0" w:firstRowLastColumn="0" w:lastRowFirstColumn="0" w:lastRowLastColumn="0"/>
            <w:tcW w:w="1009" w:type="dxa"/>
          </w:tcPr>
          <w:p w14:paraId="1848A757" w14:textId="77777777" w:rsidR="00F03CB1" w:rsidRPr="00B85F21" w:rsidRDefault="00F03CB1" w:rsidP="00B85F21">
            <w:pPr>
              <w:autoSpaceDE w:val="0"/>
              <w:autoSpaceDN w:val="0"/>
              <w:adjustRightInd w:val="0"/>
              <w:ind w:left="60" w:right="60"/>
              <w:rPr>
                <w:rFonts w:cs="Times New Roman"/>
                <w:b/>
                <w:color w:val="000000" w:themeColor="text1"/>
                <w:sz w:val="20"/>
                <w:szCs w:val="20"/>
              </w:rPr>
            </w:pPr>
            <w:r w:rsidRPr="00B85F21">
              <w:rPr>
                <w:rFonts w:cs="Times New Roman"/>
                <w:b/>
                <w:color w:val="000000" w:themeColor="text1"/>
                <w:sz w:val="20"/>
                <w:szCs w:val="20"/>
              </w:rPr>
              <w:t>3</w:t>
            </w:r>
          </w:p>
        </w:tc>
        <w:tc>
          <w:tcPr>
            <w:cnfStyle w:val="000010000000" w:firstRow="0" w:lastRow="0" w:firstColumn="0" w:lastColumn="0" w:oddVBand="1" w:evenVBand="0" w:oddHBand="0" w:evenHBand="0" w:firstRowFirstColumn="0" w:firstRowLastColumn="0" w:lastRowFirstColumn="0" w:lastRowLastColumn="0"/>
            <w:tcW w:w="1009" w:type="dxa"/>
          </w:tcPr>
          <w:p w14:paraId="36488395" w14:textId="77777777" w:rsidR="00F03CB1" w:rsidRPr="00B85F21" w:rsidRDefault="00F03CB1" w:rsidP="00B85F21">
            <w:pPr>
              <w:autoSpaceDE w:val="0"/>
              <w:autoSpaceDN w:val="0"/>
              <w:adjustRightInd w:val="0"/>
              <w:ind w:left="60" w:right="60"/>
              <w:rPr>
                <w:rFonts w:cs="Times New Roman"/>
                <w:b/>
                <w:color w:val="000000" w:themeColor="text1"/>
                <w:sz w:val="20"/>
                <w:szCs w:val="20"/>
              </w:rPr>
            </w:pPr>
            <w:r w:rsidRPr="00B85F21">
              <w:rPr>
                <w:rFonts w:cs="Times New Roman"/>
                <w:b/>
                <w:color w:val="000000" w:themeColor="text1"/>
                <w:sz w:val="20"/>
                <w:szCs w:val="20"/>
              </w:rPr>
              <w:t>4</w:t>
            </w:r>
          </w:p>
        </w:tc>
        <w:tc>
          <w:tcPr>
            <w:cnfStyle w:val="000001000000" w:firstRow="0" w:lastRow="0" w:firstColumn="0" w:lastColumn="0" w:oddVBand="0" w:evenVBand="1" w:oddHBand="0" w:evenHBand="0" w:firstRowFirstColumn="0" w:firstRowLastColumn="0" w:lastRowFirstColumn="0" w:lastRowLastColumn="0"/>
            <w:tcW w:w="683" w:type="dxa"/>
          </w:tcPr>
          <w:p w14:paraId="16ECAFD7" w14:textId="77777777" w:rsidR="00F03CB1" w:rsidRPr="00B85F21" w:rsidRDefault="00F03CB1" w:rsidP="00B85F21">
            <w:pPr>
              <w:autoSpaceDE w:val="0"/>
              <w:autoSpaceDN w:val="0"/>
              <w:adjustRightInd w:val="0"/>
              <w:ind w:left="60" w:right="60"/>
              <w:rPr>
                <w:rFonts w:cs="Times New Roman"/>
                <w:b/>
                <w:color w:val="000000" w:themeColor="text1"/>
                <w:sz w:val="20"/>
                <w:szCs w:val="20"/>
              </w:rPr>
            </w:pPr>
            <w:r w:rsidRPr="00B85F21">
              <w:rPr>
                <w:rFonts w:cs="Times New Roman"/>
                <w:b/>
                <w:color w:val="000000" w:themeColor="text1"/>
                <w:sz w:val="20"/>
                <w:szCs w:val="20"/>
              </w:rPr>
              <w:t>5</w:t>
            </w:r>
          </w:p>
        </w:tc>
      </w:tr>
      <w:tr w:rsidR="00F03CB1" w:rsidRPr="00B85F21" w14:paraId="58487024" w14:textId="77777777" w:rsidTr="00BB3E12">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Pr>
          <w:p w14:paraId="769DA66C"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IM1</w:t>
            </w:r>
          </w:p>
        </w:tc>
        <w:tc>
          <w:tcPr>
            <w:cnfStyle w:val="000001000000" w:firstRow="0" w:lastRow="0" w:firstColumn="0" w:lastColumn="0" w:oddVBand="0" w:evenVBand="1" w:oddHBand="0" w:evenHBand="0" w:firstRowFirstColumn="0" w:firstRowLastColumn="0" w:lastRowFirstColumn="0" w:lastRowLastColumn="0"/>
            <w:tcW w:w="1603" w:type="dxa"/>
          </w:tcPr>
          <w:p w14:paraId="19067B44"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Pr>
          <w:p w14:paraId="28B3A743"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.816</w:t>
            </w:r>
          </w:p>
        </w:tc>
        <w:tc>
          <w:tcPr>
            <w:cnfStyle w:val="000001000000" w:firstRow="0" w:lastRow="0" w:firstColumn="0" w:lastColumn="0" w:oddVBand="0" w:evenVBand="1" w:oddHBand="0" w:evenHBand="0" w:firstRowFirstColumn="0" w:firstRowLastColumn="0" w:lastRowFirstColumn="0" w:lastRowLastColumn="0"/>
            <w:tcW w:w="1009" w:type="dxa"/>
          </w:tcPr>
          <w:p w14:paraId="0F247ABA"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Pr>
          <w:p w14:paraId="0584ECB1"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Pr>
          <w:p w14:paraId="577901D7" w14:textId="77777777" w:rsidR="00F03CB1" w:rsidRPr="00B85F21" w:rsidRDefault="00F03CB1" w:rsidP="00B85F21">
            <w:pPr>
              <w:autoSpaceDE w:val="0"/>
              <w:autoSpaceDN w:val="0"/>
              <w:adjustRightInd w:val="0"/>
              <w:rPr>
                <w:rFonts w:cs="Times New Roman"/>
                <w:color w:val="000000" w:themeColor="text1"/>
                <w:sz w:val="20"/>
                <w:szCs w:val="20"/>
              </w:rPr>
            </w:pPr>
          </w:p>
        </w:tc>
      </w:tr>
      <w:tr w:rsidR="00F03CB1" w:rsidRPr="00B85F21" w14:paraId="64B99B65" w14:textId="77777777" w:rsidTr="00BB3E12">
        <w:trPr>
          <w:trHeight w:val="248"/>
        </w:trPr>
        <w:tc>
          <w:tcPr>
            <w:cnfStyle w:val="000010000000" w:firstRow="0" w:lastRow="0" w:firstColumn="0" w:lastColumn="0" w:oddVBand="1" w:evenVBand="0" w:oddHBand="0" w:evenHBand="0" w:firstRowFirstColumn="0" w:firstRowLastColumn="0" w:lastRowFirstColumn="0" w:lastRowLastColumn="0"/>
            <w:tcW w:w="1701" w:type="dxa"/>
          </w:tcPr>
          <w:p w14:paraId="6E030984"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IM2</w:t>
            </w:r>
          </w:p>
        </w:tc>
        <w:tc>
          <w:tcPr>
            <w:cnfStyle w:val="000001000000" w:firstRow="0" w:lastRow="0" w:firstColumn="0" w:lastColumn="0" w:oddVBand="0" w:evenVBand="1" w:oddHBand="0" w:evenHBand="0" w:firstRowFirstColumn="0" w:firstRowLastColumn="0" w:lastRowFirstColumn="0" w:lastRowLastColumn="0"/>
            <w:tcW w:w="1603" w:type="dxa"/>
          </w:tcPr>
          <w:p w14:paraId="0590F123"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Pr>
          <w:p w14:paraId="247F79A6"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.835</w:t>
            </w:r>
          </w:p>
        </w:tc>
        <w:tc>
          <w:tcPr>
            <w:cnfStyle w:val="000001000000" w:firstRow="0" w:lastRow="0" w:firstColumn="0" w:lastColumn="0" w:oddVBand="0" w:evenVBand="1" w:oddHBand="0" w:evenHBand="0" w:firstRowFirstColumn="0" w:firstRowLastColumn="0" w:lastRowFirstColumn="0" w:lastRowLastColumn="0"/>
            <w:tcW w:w="1009" w:type="dxa"/>
          </w:tcPr>
          <w:p w14:paraId="496A960B"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Pr>
          <w:p w14:paraId="190AFB71"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Pr>
          <w:p w14:paraId="555CD08D" w14:textId="77777777" w:rsidR="00F03CB1" w:rsidRPr="00B85F21" w:rsidRDefault="00F03CB1" w:rsidP="00B85F21">
            <w:pPr>
              <w:autoSpaceDE w:val="0"/>
              <w:autoSpaceDN w:val="0"/>
              <w:adjustRightInd w:val="0"/>
              <w:rPr>
                <w:rFonts w:cs="Times New Roman"/>
                <w:color w:val="000000" w:themeColor="text1"/>
                <w:sz w:val="20"/>
                <w:szCs w:val="20"/>
              </w:rPr>
            </w:pPr>
          </w:p>
        </w:tc>
      </w:tr>
      <w:tr w:rsidR="00F03CB1" w:rsidRPr="00B85F21" w14:paraId="50B230D8" w14:textId="77777777" w:rsidTr="00BB3E12">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Pr>
          <w:p w14:paraId="3F8B5A4B"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IM4</w:t>
            </w:r>
          </w:p>
        </w:tc>
        <w:tc>
          <w:tcPr>
            <w:cnfStyle w:val="000001000000" w:firstRow="0" w:lastRow="0" w:firstColumn="0" w:lastColumn="0" w:oddVBand="0" w:evenVBand="1" w:oddHBand="0" w:evenHBand="0" w:firstRowFirstColumn="0" w:firstRowLastColumn="0" w:lastRowFirstColumn="0" w:lastRowLastColumn="0"/>
            <w:tcW w:w="1603" w:type="dxa"/>
          </w:tcPr>
          <w:p w14:paraId="6013B899"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Pr>
          <w:p w14:paraId="6F9DBF1D"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.773</w:t>
            </w:r>
          </w:p>
        </w:tc>
        <w:tc>
          <w:tcPr>
            <w:cnfStyle w:val="000001000000" w:firstRow="0" w:lastRow="0" w:firstColumn="0" w:lastColumn="0" w:oddVBand="0" w:evenVBand="1" w:oddHBand="0" w:evenHBand="0" w:firstRowFirstColumn="0" w:firstRowLastColumn="0" w:lastRowFirstColumn="0" w:lastRowLastColumn="0"/>
            <w:tcW w:w="1009" w:type="dxa"/>
          </w:tcPr>
          <w:p w14:paraId="11B9AD34"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Pr>
          <w:p w14:paraId="1B366C80"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Pr>
          <w:p w14:paraId="11ED1E5B" w14:textId="77777777" w:rsidR="00F03CB1" w:rsidRPr="00B85F21" w:rsidRDefault="00F03CB1" w:rsidP="00B85F21">
            <w:pPr>
              <w:autoSpaceDE w:val="0"/>
              <w:autoSpaceDN w:val="0"/>
              <w:adjustRightInd w:val="0"/>
              <w:rPr>
                <w:rFonts w:cs="Times New Roman"/>
                <w:color w:val="000000" w:themeColor="text1"/>
                <w:sz w:val="20"/>
                <w:szCs w:val="20"/>
              </w:rPr>
            </w:pPr>
          </w:p>
        </w:tc>
      </w:tr>
      <w:tr w:rsidR="00F03CB1" w:rsidRPr="00B85F21" w14:paraId="5F767587" w14:textId="77777777" w:rsidTr="00BB3E12">
        <w:trPr>
          <w:trHeight w:val="248"/>
        </w:trPr>
        <w:tc>
          <w:tcPr>
            <w:cnfStyle w:val="000010000000" w:firstRow="0" w:lastRow="0" w:firstColumn="0" w:lastColumn="0" w:oddVBand="1" w:evenVBand="0" w:oddHBand="0" w:evenHBand="0" w:firstRowFirstColumn="0" w:firstRowLastColumn="0" w:lastRowFirstColumn="0" w:lastRowLastColumn="0"/>
            <w:tcW w:w="1701" w:type="dxa"/>
          </w:tcPr>
          <w:p w14:paraId="5F08B99D"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IM5</w:t>
            </w:r>
          </w:p>
        </w:tc>
        <w:tc>
          <w:tcPr>
            <w:cnfStyle w:val="000001000000" w:firstRow="0" w:lastRow="0" w:firstColumn="0" w:lastColumn="0" w:oddVBand="0" w:evenVBand="1" w:oddHBand="0" w:evenHBand="0" w:firstRowFirstColumn="0" w:firstRowLastColumn="0" w:lastRowFirstColumn="0" w:lastRowLastColumn="0"/>
            <w:tcW w:w="1603" w:type="dxa"/>
          </w:tcPr>
          <w:p w14:paraId="6CC5B27F"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Pr>
          <w:p w14:paraId="775D92A4"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.699</w:t>
            </w:r>
          </w:p>
        </w:tc>
        <w:tc>
          <w:tcPr>
            <w:cnfStyle w:val="000001000000" w:firstRow="0" w:lastRow="0" w:firstColumn="0" w:lastColumn="0" w:oddVBand="0" w:evenVBand="1" w:oddHBand="0" w:evenHBand="0" w:firstRowFirstColumn="0" w:firstRowLastColumn="0" w:lastRowFirstColumn="0" w:lastRowLastColumn="0"/>
            <w:tcW w:w="1009" w:type="dxa"/>
          </w:tcPr>
          <w:p w14:paraId="5BCF9BFB"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Pr>
          <w:p w14:paraId="469FD682"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Pr>
          <w:p w14:paraId="7CF50965" w14:textId="77777777" w:rsidR="00F03CB1" w:rsidRPr="00B85F21" w:rsidRDefault="00F03CB1" w:rsidP="00B85F21">
            <w:pPr>
              <w:autoSpaceDE w:val="0"/>
              <w:autoSpaceDN w:val="0"/>
              <w:adjustRightInd w:val="0"/>
              <w:rPr>
                <w:rFonts w:cs="Times New Roman"/>
                <w:color w:val="000000" w:themeColor="text1"/>
                <w:sz w:val="20"/>
                <w:szCs w:val="20"/>
              </w:rPr>
            </w:pPr>
          </w:p>
        </w:tc>
      </w:tr>
      <w:tr w:rsidR="00F03CB1" w:rsidRPr="00B85F21" w14:paraId="30700E5A" w14:textId="77777777" w:rsidTr="00BB3E12">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Pr>
          <w:p w14:paraId="5E87B666"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EM1</w:t>
            </w:r>
          </w:p>
        </w:tc>
        <w:tc>
          <w:tcPr>
            <w:cnfStyle w:val="000001000000" w:firstRow="0" w:lastRow="0" w:firstColumn="0" w:lastColumn="0" w:oddVBand="0" w:evenVBand="1" w:oddHBand="0" w:evenHBand="0" w:firstRowFirstColumn="0" w:firstRowLastColumn="0" w:lastRowFirstColumn="0" w:lastRowLastColumn="0"/>
            <w:tcW w:w="1603" w:type="dxa"/>
          </w:tcPr>
          <w:p w14:paraId="176D58A6"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.711</w:t>
            </w:r>
          </w:p>
        </w:tc>
        <w:tc>
          <w:tcPr>
            <w:cnfStyle w:val="000010000000" w:firstRow="0" w:lastRow="0" w:firstColumn="0" w:lastColumn="0" w:oddVBand="1" w:evenVBand="0" w:oddHBand="0" w:evenHBand="0" w:firstRowFirstColumn="0" w:firstRowLastColumn="0" w:lastRowFirstColumn="0" w:lastRowLastColumn="0"/>
            <w:tcW w:w="2518" w:type="dxa"/>
          </w:tcPr>
          <w:p w14:paraId="58EE99DE"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Pr>
          <w:p w14:paraId="5491B104"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Pr>
          <w:p w14:paraId="7440B859"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Pr>
          <w:p w14:paraId="71ED1CA0" w14:textId="77777777" w:rsidR="00F03CB1" w:rsidRPr="00B85F21" w:rsidRDefault="00F03CB1" w:rsidP="00B85F21">
            <w:pPr>
              <w:autoSpaceDE w:val="0"/>
              <w:autoSpaceDN w:val="0"/>
              <w:adjustRightInd w:val="0"/>
              <w:rPr>
                <w:rFonts w:cs="Times New Roman"/>
                <w:color w:val="000000" w:themeColor="text1"/>
                <w:sz w:val="20"/>
                <w:szCs w:val="20"/>
              </w:rPr>
            </w:pPr>
          </w:p>
        </w:tc>
      </w:tr>
      <w:tr w:rsidR="00F03CB1" w:rsidRPr="00B85F21" w14:paraId="3473D735" w14:textId="77777777" w:rsidTr="00BB3E12">
        <w:trPr>
          <w:trHeight w:val="261"/>
        </w:trPr>
        <w:tc>
          <w:tcPr>
            <w:cnfStyle w:val="000010000000" w:firstRow="0" w:lastRow="0" w:firstColumn="0" w:lastColumn="0" w:oddVBand="1" w:evenVBand="0" w:oddHBand="0" w:evenHBand="0" w:firstRowFirstColumn="0" w:firstRowLastColumn="0" w:lastRowFirstColumn="0" w:lastRowLastColumn="0"/>
            <w:tcW w:w="1701" w:type="dxa"/>
          </w:tcPr>
          <w:p w14:paraId="55E35FA5"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EM2</w:t>
            </w:r>
          </w:p>
        </w:tc>
        <w:tc>
          <w:tcPr>
            <w:cnfStyle w:val="000001000000" w:firstRow="0" w:lastRow="0" w:firstColumn="0" w:lastColumn="0" w:oddVBand="0" w:evenVBand="1" w:oddHBand="0" w:evenHBand="0" w:firstRowFirstColumn="0" w:firstRowLastColumn="0" w:lastRowFirstColumn="0" w:lastRowLastColumn="0"/>
            <w:tcW w:w="1603" w:type="dxa"/>
          </w:tcPr>
          <w:p w14:paraId="0ED92BB0"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.766</w:t>
            </w:r>
          </w:p>
        </w:tc>
        <w:tc>
          <w:tcPr>
            <w:cnfStyle w:val="000010000000" w:firstRow="0" w:lastRow="0" w:firstColumn="0" w:lastColumn="0" w:oddVBand="1" w:evenVBand="0" w:oddHBand="0" w:evenHBand="0" w:firstRowFirstColumn="0" w:firstRowLastColumn="0" w:lastRowFirstColumn="0" w:lastRowLastColumn="0"/>
            <w:tcW w:w="2518" w:type="dxa"/>
          </w:tcPr>
          <w:p w14:paraId="3C6DC43F"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Pr>
          <w:p w14:paraId="5A0E7F66"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Pr>
          <w:p w14:paraId="793A5613"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Pr>
          <w:p w14:paraId="4E0517EE" w14:textId="77777777" w:rsidR="00F03CB1" w:rsidRPr="00B85F21" w:rsidRDefault="00F03CB1" w:rsidP="00B85F21">
            <w:pPr>
              <w:autoSpaceDE w:val="0"/>
              <w:autoSpaceDN w:val="0"/>
              <w:adjustRightInd w:val="0"/>
              <w:rPr>
                <w:rFonts w:cs="Times New Roman"/>
                <w:color w:val="000000" w:themeColor="text1"/>
                <w:sz w:val="20"/>
                <w:szCs w:val="20"/>
              </w:rPr>
            </w:pPr>
          </w:p>
        </w:tc>
      </w:tr>
      <w:tr w:rsidR="00F03CB1" w:rsidRPr="00B85F21" w14:paraId="3A3D4E07" w14:textId="77777777" w:rsidTr="00BB3E12">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Pr>
          <w:p w14:paraId="5B13EC9C"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EM3</w:t>
            </w:r>
          </w:p>
        </w:tc>
        <w:tc>
          <w:tcPr>
            <w:cnfStyle w:val="000001000000" w:firstRow="0" w:lastRow="0" w:firstColumn="0" w:lastColumn="0" w:oddVBand="0" w:evenVBand="1" w:oddHBand="0" w:evenHBand="0" w:firstRowFirstColumn="0" w:firstRowLastColumn="0" w:lastRowFirstColumn="0" w:lastRowLastColumn="0"/>
            <w:tcW w:w="1603" w:type="dxa"/>
          </w:tcPr>
          <w:p w14:paraId="26690D24"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.730</w:t>
            </w:r>
          </w:p>
        </w:tc>
        <w:tc>
          <w:tcPr>
            <w:cnfStyle w:val="000010000000" w:firstRow="0" w:lastRow="0" w:firstColumn="0" w:lastColumn="0" w:oddVBand="1" w:evenVBand="0" w:oddHBand="0" w:evenHBand="0" w:firstRowFirstColumn="0" w:firstRowLastColumn="0" w:lastRowFirstColumn="0" w:lastRowLastColumn="0"/>
            <w:tcW w:w="2518" w:type="dxa"/>
          </w:tcPr>
          <w:p w14:paraId="2729EA35"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Pr>
          <w:p w14:paraId="0E0ABBB7"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Pr>
          <w:p w14:paraId="4CD00165"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Pr>
          <w:p w14:paraId="62D25615" w14:textId="77777777" w:rsidR="00F03CB1" w:rsidRPr="00B85F21" w:rsidRDefault="00F03CB1" w:rsidP="00B85F21">
            <w:pPr>
              <w:autoSpaceDE w:val="0"/>
              <w:autoSpaceDN w:val="0"/>
              <w:adjustRightInd w:val="0"/>
              <w:rPr>
                <w:rFonts w:cs="Times New Roman"/>
                <w:color w:val="000000" w:themeColor="text1"/>
                <w:sz w:val="20"/>
                <w:szCs w:val="20"/>
              </w:rPr>
            </w:pPr>
          </w:p>
        </w:tc>
      </w:tr>
      <w:tr w:rsidR="00F03CB1" w:rsidRPr="00B85F21" w14:paraId="47768842" w14:textId="77777777" w:rsidTr="00BB3E12">
        <w:trPr>
          <w:trHeight w:val="248"/>
        </w:trPr>
        <w:tc>
          <w:tcPr>
            <w:cnfStyle w:val="000010000000" w:firstRow="0" w:lastRow="0" w:firstColumn="0" w:lastColumn="0" w:oddVBand="1" w:evenVBand="0" w:oddHBand="0" w:evenHBand="0" w:firstRowFirstColumn="0" w:firstRowLastColumn="0" w:lastRowFirstColumn="0" w:lastRowLastColumn="0"/>
            <w:tcW w:w="1701" w:type="dxa"/>
          </w:tcPr>
          <w:p w14:paraId="5CE739AF"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EM4</w:t>
            </w:r>
          </w:p>
        </w:tc>
        <w:tc>
          <w:tcPr>
            <w:cnfStyle w:val="000001000000" w:firstRow="0" w:lastRow="0" w:firstColumn="0" w:lastColumn="0" w:oddVBand="0" w:evenVBand="1" w:oddHBand="0" w:evenHBand="0" w:firstRowFirstColumn="0" w:firstRowLastColumn="0" w:lastRowFirstColumn="0" w:lastRowLastColumn="0"/>
            <w:tcW w:w="1603" w:type="dxa"/>
          </w:tcPr>
          <w:p w14:paraId="2D9CD1EE"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.816</w:t>
            </w:r>
          </w:p>
        </w:tc>
        <w:tc>
          <w:tcPr>
            <w:cnfStyle w:val="000010000000" w:firstRow="0" w:lastRow="0" w:firstColumn="0" w:lastColumn="0" w:oddVBand="1" w:evenVBand="0" w:oddHBand="0" w:evenHBand="0" w:firstRowFirstColumn="0" w:firstRowLastColumn="0" w:lastRowFirstColumn="0" w:lastRowLastColumn="0"/>
            <w:tcW w:w="2518" w:type="dxa"/>
          </w:tcPr>
          <w:p w14:paraId="742E6BC1"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Pr>
          <w:p w14:paraId="33E8B237"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Pr>
          <w:p w14:paraId="0109BF6D"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Pr>
          <w:p w14:paraId="6E016B19" w14:textId="77777777" w:rsidR="00F03CB1" w:rsidRPr="00B85F21" w:rsidRDefault="00F03CB1" w:rsidP="00B85F21">
            <w:pPr>
              <w:autoSpaceDE w:val="0"/>
              <w:autoSpaceDN w:val="0"/>
              <w:adjustRightInd w:val="0"/>
              <w:rPr>
                <w:rFonts w:cs="Times New Roman"/>
                <w:color w:val="000000" w:themeColor="text1"/>
                <w:sz w:val="20"/>
                <w:szCs w:val="20"/>
              </w:rPr>
            </w:pPr>
          </w:p>
        </w:tc>
      </w:tr>
      <w:tr w:rsidR="00F03CB1" w:rsidRPr="00B85F21" w14:paraId="789370F1" w14:textId="77777777" w:rsidTr="00BB3E12">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Pr>
          <w:p w14:paraId="295619D4"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EM5</w:t>
            </w:r>
          </w:p>
        </w:tc>
        <w:tc>
          <w:tcPr>
            <w:cnfStyle w:val="000001000000" w:firstRow="0" w:lastRow="0" w:firstColumn="0" w:lastColumn="0" w:oddVBand="0" w:evenVBand="1" w:oddHBand="0" w:evenHBand="0" w:firstRowFirstColumn="0" w:firstRowLastColumn="0" w:lastRowFirstColumn="0" w:lastRowLastColumn="0"/>
            <w:tcW w:w="1603" w:type="dxa"/>
          </w:tcPr>
          <w:p w14:paraId="6729A94A"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.872</w:t>
            </w:r>
          </w:p>
        </w:tc>
        <w:tc>
          <w:tcPr>
            <w:cnfStyle w:val="000010000000" w:firstRow="0" w:lastRow="0" w:firstColumn="0" w:lastColumn="0" w:oddVBand="1" w:evenVBand="0" w:oddHBand="0" w:evenHBand="0" w:firstRowFirstColumn="0" w:firstRowLastColumn="0" w:lastRowFirstColumn="0" w:lastRowLastColumn="0"/>
            <w:tcW w:w="2518" w:type="dxa"/>
          </w:tcPr>
          <w:p w14:paraId="44505C77"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Pr>
          <w:p w14:paraId="59F8203D"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Pr>
          <w:p w14:paraId="1EF9AA4A"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Pr>
          <w:p w14:paraId="6B06A276" w14:textId="77777777" w:rsidR="00F03CB1" w:rsidRPr="00B85F21" w:rsidRDefault="00F03CB1" w:rsidP="00B85F21">
            <w:pPr>
              <w:autoSpaceDE w:val="0"/>
              <w:autoSpaceDN w:val="0"/>
              <w:adjustRightInd w:val="0"/>
              <w:rPr>
                <w:rFonts w:cs="Times New Roman"/>
                <w:color w:val="000000" w:themeColor="text1"/>
                <w:sz w:val="20"/>
                <w:szCs w:val="20"/>
              </w:rPr>
            </w:pPr>
          </w:p>
        </w:tc>
      </w:tr>
      <w:tr w:rsidR="00F03CB1" w:rsidRPr="00B85F21" w14:paraId="0A1A7BB5" w14:textId="77777777" w:rsidTr="00BB3E12">
        <w:trPr>
          <w:trHeight w:val="248"/>
        </w:trPr>
        <w:tc>
          <w:tcPr>
            <w:cnfStyle w:val="000010000000" w:firstRow="0" w:lastRow="0" w:firstColumn="0" w:lastColumn="0" w:oddVBand="1" w:evenVBand="0" w:oddHBand="0" w:evenHBand="0" w:firstRowFirstColumn="0" w:firstRowLastColumn="0" w:lastRowFirstColumn="0" w:lastRowLastColumn="0"/>
            <w:tcW w:w="1701" w:type="dxa"/>
          </w:tcPr>
          <w:p w14:paraId="4B60B2EE"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EM6</w:t>
            </w:r>
          </w:p>
        </w:tc>
        <w:tc>
          <w:tcPr>
            <w:cnfStyle w:val="000001000000" w:firstRow="0" w:lastRow="0" w:firstColumn="0" w:lastColumn="0" w:oddVBand="0" w:evenVBand="1" w:oddHBand="0" w:evenHBand="0" w:firstRowFirstColumn="0" w:firstRowLastColumn="0" w:lastRowFirstColumn="0" w:lastRowLastColumn="0"/>
            <w:tcW w:w="1603" w:type="dxa"/>
          </w:tcPr>
          <w:p w14:paraId="57BD2528"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.877</w:t>
            </w:r>
          </w:p>
        </w:tc>
        <w:tc>
          <w:tcPr>
            <w:cnfStyle w:val="000010000000" w:firstRow="0" w:lastRow="0" w:firstColumn="0" w:lastColumn="0" w:oddVBand="1" w:evenVBand="0" w:oddHBand="0" w:evenHBand="0" w:firstRowFirstColumn="0" w:firstRowLastColumn="0" w:lastRowFirstColumn="0" w:lastRowLastColumn="0"/>
            <w:tcW w:w="2518" w:type="dxa"/>
          </w:tcPr>
          <w:p w14:paraId="0E47616D"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Pr>
          <w:p w14:paraId="637149AB"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Pr>
          <w:p w14:paraId="0C24125F"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Pr>
          <w:p w14:paraId="5EE1738B" w14:textId="77777777" w:rsidR="00F03CB1" w:rsidRPr="00B85F21" w:rsidRDefault="00F03CB1" w:rsidP="00B85F21">
            <w:pPr>
              <w:autoSpaceDE w:val="0"/>
              <w:autoSpaceDN w:val="0"/>
              <w:adjustRightInd w:val="0"/>
              <w:rPr>
                <w:rFonts w:cs="Times New Roman"/>
                <w:color w:val="000000" w:themeColor="text1"/>
                <w:sz w:val="20"/>
                <w:szCs w:val="20"/>
              </w:rPr>
            </w:pPr>
          </w:p>
        </w:tc>
      </w:tr>
      <w:tr w:rsidR="00F03CB1" w:rsidRPr="00B85F21" w14:paraId="3585C1ED" w14:textId="77777777" w:rsidTr="00BB3E12">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Pr>
          <w:p w14:paraId="35088AEC"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ServiceDelivery2</w:t>
            </w:r>
          </w:p>
        </w:tc>
        <w:tc>
          <w:tcPr>
            <w:cnfStyle w:val="000001000000" w:firstRow="0" w:lastRow="0" w:firstColumn="0" w:lastColumn="0" w:oddVBand="0" w:evenVBand="1" w:oddHBand="0" w:evenHBand="0" w:firstRowFirstColumn="0" w:firstRowLastColumn="0" w:lastRowFirstColumn="0" w:lastRowLastColumn="0"/>
            <w:tcW w:w="1603" w:type="dxa"/>
          </w:tcPr>
          <w:p w14:paraId="23C6541B"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Pr>
          <w:p w14:paraId="0A955785"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Pr>
          <w:p w14:paraId="1E4B3647"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.780</w:t>
            </w:r>
          </w:p>
        </w:tc>
        <w:tc>
          <w:tcPr>
            <w:cnfStyle w:val="000010000000" w:firstRow="0" w:lastRow="0" w:firstColumn="0" w:lastColumn="0" w:oddVBand="1" w:evenVBand="0" w:oddHBand="0" w:evenHBand="0" w:firstRowFirstColumn="0" w:firstRowLastColumn="0" w:lastRowFirstColumn="0" w:lastRowLastColumn="0"/>
            <w:tcW w:w="1009" w:type="dxa"/>
          </w:tcPr>
          <w:p w14:paraId="466DF4AB"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Pr>
          <w:p w14:paraId="03502AC7" w14:textId="77777777" w:rsidR="00F03CB1" w:rsidRPr="00B85F21" w:rsidRDefault="00F03CB1" w:rsidP="00B85F21">
            <w:pPr>
              <w:autoSpaceDE w:val="0"/>
              <w:autoSpaceDN w:val="0"/>
              <w:adjustRightInd w:val="0"/>
              <w:rPr>
                <w:rFonts w:cs="Times New Roman"/>
                <w:color w:val="000000" w:themeColor="text1"/>
                <w:sz w:val="20"/>
                <w:szCs w:val="20"/>
              </w:rPr>
            </w:pPr>
          </w:p>
        </w:tc>
      </w:tr>
      <w:tr w:rsidR="00F03CB1" w:rsidRPr="00B85F21" w14:paraId="6D37380B" w14:textId="77777777" w:rsidTr="00BB3E12">
        <w:trPr>
          <w:trHeight w:val="261"/>
        </w:trPr>
        <w:tc>
          <w:tcPr>
            <w:cnfStyle w:val="000010000000" w:firstRow="0" w:lastRow="0" w:firstColumn="0" w:lastColumn="0" w:oddVBand="1" w:evenVBand="0" w:oddHBand="0" w:evenHBand="0" w:firstRowFirstColumn="0" w:firstRowLastColumn="0" w:lastRowFirstColumn="0" w:lastRowLastColumn="0"/>
            <w:tcW w:w="1701" w:type="dxa"/>
          </w:tcPr>
          <w:p w14:paraId="676D6C53"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ServiceDelivery3</w:t>
            </w:r>
          </w:p>
        </w:tc>
        <w:tc>
          <w:tcPr>
            <w:cnfStyle w:val="000001000000" w:firstRow="0" w:lastRow="0" w:firstColumn="0" w:lastColumn="0" w:oddVBand="0" w:evenVBand="1" w:oddHBand="0" w:evenHBand="0" w:firstRowFirstColumn="0" w:firstRowLastColumn="0" w:lastRowFirstColumn="0" w:lastRowLastColumn="0"/>
            <w:tcW w:w="1603" w:type="dxa"/>
          </w:tcPr>
          <w:p w14:paraId="6BE1AB14"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Pr>
          <w:p w14:paraId="4B6D12EE"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Pr>
          <w:p w14:paraId="327C0742"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.842</w:t>
            </w:r>
          </w:p>
        </w:tc>
        <w:tc>
          <w:tcPr>
            <w:cnfStyle w:val="000010000000" w:firstRow="0" w:lastRow="0" w:firstColumn="0" w:lastColumn="0" w:oddVBand="1" w:evenVBand="0" w:oddHBand="0" w:evenHBand="0" w:firstRowFirstColumn="0" w:firstRowLastColumn="0" w:lastRowFirstColumn="0" w:lastRowLastColumn="0"/>
            <w:tcW w:w="1009" w:type="dxa"/>
          </w:tcPr>
          <w:p w14:paraId="5B2F3DCD"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Pr>
          <w:p w14:paraId="3E62BE9C" w14:textId="77777777" w:rsidR="00F03CB1" w:rsidRPr="00B85F21" w:rsidRDefault="00F03CB1" w:rsidP="00B85F21">
            <w:pPr>
              <w:autoSpaceDE w:val="0"/>
              <w:autoSpaceDN w:val="0"/>
              <w:adjustRightInd w:val="0"/>
              <w:rPr>
                <w:rFonts w:cs="Times New Roman"/>
                <w:color w:val="000000" w:themeColor="text1"/>
                <w:sz w:val="20"/>
                <w:szCs w:val="20"/>
              </w:rPr>
            </w:pPr>
          </w:p>
        </w:tc>
      </w:tr>
      <w:tr w:rsidR="00F03CB1" w:rsidRPr="00B85F21" w14:paraId="45FCAB1E" w14:textId="77777777" w:rsidTr="00BB3E12">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Pr>
          <w:p w14:paraId="7A6DE1DF"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ServiceDelivery4</w:t>
            </w:r>
          </w:p>
        </w:tc>
        <w:tc>
          <w:tcPr>
            <w:cnfStyle w:val="000001000000" w:firstRow="0" w:lastRow="0" w:firstColumn="0" w:lastColumn="0" w:oddVBand="0" w:evenVBand="1" w:oddHBand="0" w:evenHBand="0" w:firstRowFirstColumn="0" w:firstRowLastColumn="0" w:lastRowFirstColumn="0" w:lastRowLastColumn="0"/>
            <w:tcW w:w="1603" w:type="dxa"/>
          </w:tcPr>
          <w:p w14:paraId="647F2D28"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Pr>
          <w:p w14:paraId="7DF44F30"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Pr>
          <w:p w14:paraId="208EE7B7"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.813</w:t>
            </w:r>
          </w:p>
        </w:tc>
        <w:tc>
          <w:tcPr>
            <w:cnfStyle w:val="000010000000" w:firstRow="0" w:lastRow="0" w:firstColumn="0" w:lastColumn="0" w:oddVBand="1" w:evenVBand="0" w:oddHBand="0" w:evenHBand="0" w:firstRowFirstColumn="0" w:firstRowLastColumn="0" w:lastRowFirstColumn="0" w:lastRowLastColumn="0"/>
            <w:tcW w:w="1009" w:type="dxa"/>
          </w:tcPr>
          <w:p w14:paraId="255C13F3"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Pr>
          <w:p w14:paraId="58761B28" w14:textId="77777777" w:rsidR="00F03CB1" w:rsidRPr="00B85F21" w:rsidRDefault="00F03CB1" w:rsidP="00B85F21">
            <w:pPr>
              <w:autoSpaceDE w:val="0"/>
              <w:autoSpaceDN w:val="0"/>
              <w:adjustRightInd w:val="0"/>
              <w:rPr>
                <w:rFonts w:cs="Times New Roman"/>
                <w:color w:val="000000" w:themeColor="text1"/>
                <w:sz w:val="20"/>
                <w:szCs w:val="20"/>
              </w:rPr>
            </w:pPr>
          </w:p>
        </w:tc>
      </w:tr>
      <w:tr w:rsidR="00F03CB1" w:rsidRPr="00B85F21" w14:paraId="1EDFFF5B" w14:textId="77777777" w:rsidTr="00BB3E12">
        <w:trPr>
          <w:trHeight w:val="248"/>
        </w:trPr>
        <w:tc>
          <w:tcPr>
            <w:cnfStyle w:val="000010000000" w:firstRow="0" w:lastRow="0" w:firstColumn="0" w:lastColumn="0" w:oddVBand="1" w:evenVBand="0" w:oddHBand="0" w:evenHBand="0" w:firstRowFirstColumn="0" w:firstRowLastColumn="0" w:lastRowFirstColumn="0" w:lastRowLastColumn="0"/>
            <w:tcW w:w="1701" w:type="dxa"/>
          </w:tcPr>
          <w:p w14:paraId="093D72B9"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IR3</w:t>
            </w:r>
          </w:p>
        </w:tc>
        <w:tc>
          <w:tcPr>
            <w:cnfStyle w:val="000001000000" w:firstRow="0" w:lastRow="0" w:firstColumn="0" w:lastColumn="0" w:oddVBand="0" w:evenVBand="1" w:oddHBand="0" w:evenHBand="0" w:firstRowFirstColumn="0" w:firstRowLastColumn="0" w:lastRowFirstColumn="0" w:lastRowLastColumn="0"/>
            <w:tcW w:w="1603" w:type="dxa"/>
          </w:tcPr>
          <w:p w14:paraId="1566C800"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Pr>
          <w:p w14:paraId="23136299"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Pr>
          <w:p w14:paraId="39BA3CB5"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Pr>
          <w:p w14:paraId="38B7BD47"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Pr>
          <w:p w14:paraId="7BE5183E"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.741</w:t>
            </w:r>
          </w:p>
        </w:tc>
      </w:tr>
      <w:tr w:rsidR="00F03CB1" w:rsidRPr="00B85F21" w14:paraId="6E92C74D" w14:textId="77777777" w:rsidTr="00BB3E12">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Pr>
          <w:p w14:paraId="12541137"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IR4</w:t>
            </w:r>
          </w:p>
        </w:tc>
        <w:tc>
          <w:tcPr>
            <w:cnfStyle w:val="000001000000" w:firstRow="0" w:lastRow="0" w:firstColumn="0" w:lastColumn="0" w:oddVBand="0" w:evenVBand="1" w:oddHBand="0" w:evenHBand="0" w:firstRowFirstColumn="0" w:firstRowLastColumn="0" w:lastRowFirstColumn="0" w:lastRowLastColumn="0"/>
            <w:tcW w:w="1603" w:type="dxa"/>
          </w:tcPr>
          <w:p w14:paraId="3E252593"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Pr>
          <w:p w14:paraId="321F53E4"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Pr>
          <w:p w14:paraId="76E22359"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Pr>
          <w:p w14:paraId="5C72FF26"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Pr>
          <w:p w14:paraId="42B32B59"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.794</w:t>
            </w:r>
          </w:p>
        </w:tc>
      </w:tr>
      <w:tr w:rsidR="00F03CB1" w:rsidRPr="00B85F21" w14:paraId="5AE215FF" w14:textId="77777777" w:rsidTr="00BB3E12">
        <w:trPr>
          <w:trHeight w:val="248"/>
        </w:trPr>
        <w:tc>
          <w:tcPr>
            <w:cnfStyle w:val="000010000000" w:firstRow="0" w:lastRow="0" w:firstColumn="0" w:lastColumn="0" w:oddVBand="1" w:evenVBand="0" w:oddHBand="0" w:evenHBand="0" w:firstRowFirstColumn="0" w:firstRowLastColumn="0" w:lastRowFirstColumn="0" w:lastRowLastColumn="0"/>
            <w:tcW w:w="1701" w:type="dxa"/>
          </w:tcPr>
          <w:p w14:paraId="0FF4CA3D"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IR5</w:t>
            </w:r>
          </w:p>
        </w:tc>
        <w:tc>
          <w:tcPr>
            <w:cnfStyle w:val="000001000000" w:firstRow="0" w:lastRow="0" w:firstColumn="0" w:lastColumn="0" w:oddVBand="0" w:evenVBand="1" w:oddHBand="0" w:evenHBand="0" w:firstRowFirstColumn="0" w:firstRowLastColumn="0" w:lastRowFirstColumn="0" w:lastRowLastColumn="0"/>
            <w:tcW w:w="1603" w:type="dxa"/>
          </w:tcPr>
          <w:p w14:paraId="3CFF43FA"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Pr>
          <w:p w14:paraId="27DFA20B"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Pr>
          <w:p w14:paraId="495839C4"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Pr>
          <w:p w14:paraId="58ACEFC4"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83" w:type="dxa"/>
          </w:tcPr>
          <w:p w14:paraId="7D770AB1"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.803</w:t>
            </w:r>
          </w:p>
        </w:tc>
      </w:tr>
      <w:tr w:rsidR="00F03CB1" w:rsidRPr="00B85F21" w14:paraId="35976522" w14:textId="77777777" w:rsidTr="00BB3E12">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1701" w:type="dxa"/>
          </w:tcPr>
          <w:p w14:paraId="2E72AE7B"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ER2</w:t>
            </w:r>
          </w:p>
        </w:tc>
        <w:tc>
          <w:tcPr>
            <w:cnfStyle w:val="000001000000" w:firstRow="0" w:lastRow="0" w:firstColumn="0" w:lastColumn="0" w:oddVBand="0" w:evenVBand="1" w:oddHBand="0" w:evenHBand="0" w:firstRowFirstColumn="0" w:firstRowLastColumn="0" w:lastRowFirstColumn="0" w:lastRowLastColumn="0"/>
            <w:tcW w:w="1603" w:type="dxa"/>
          </w:tcPr>
          <w:p w14:paraId="009C6C2B"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Pr>
          <w:p w14:paraId="0BEE6C0A"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Pr>
          <w:p w14:paraId="54B37ADF"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Pr>
          <w:p w14:paraId="047DAE0C"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.836</w:t>
            </w:r>
          </w:p>
        </w:tc>
        <w:tc>
          <w:tcPr>
            <w:cnfStyle w:val="000001000000" w:firstRow="0" w:lastRow="0" w:firstColumn="0" w:lastColumn="0" w:oddVBand="0" w:evenVBand="1" w:oddHBand="0" w:evenHBand="0" w:firstRowFirstColumn="0" w:firstRowLastColumn="0" w:lastRowFirstColumn="0" w:lastRowLastColumn="0"/>
            <w:tcW w:w="683" w:type="dxa"/>
          </w:tcPr>
          <w:p w14:paraId="648AA2E0" w14:textId="77777777" w:rsidR="00F03CB1" w:rsidRPr="00B85F21" w:rsidRDefault="00F03CB1" w:rsidP="00B85F21">
            <w:pPr>
              <w:autoSpaceDE w:val="0"/>
              <w:autoSpaceDN w:val="0"/>
              <w:adjustRightInd w:val="0"/>
              <w:rPr>
                <w:rFonts w:cs="Times New Roman"/>
                <w:color w:val="000000" w:themeColor="text1"/>
                <w:sz w:val="20"/>
                <w:szCs w:val="20"/>
              </w:rPr>
            </w:pPr>
          </w:p>
        </w:tc>
      </w:tr>
      <w:tr w:rsidR="00F03CB1" w:rsidRPr="00B85F21" w14:paraId="404A9529" w14:textId="77777777" w:rsidTr="00BB3E12">
        <w:trPr>
          <w:trHeight w:val="248"/>
        </w:trPr>
        <w:tc>
          <w:tcPr>
            <w:cnfStyle w:val="000010000000" w:firstRow="0" w:lastRow="0" w:firstColumn="0" w:lastColumn="0" w:oddVBand="1" w:evenVBand="0" w:oddHBand="0" w:evenHBand="0" w:firstRowFirstColumn="0" w:firstRowLastColumn="0" w:lastRowFirstColumn="0" w:lastRowLastColumn="0"/>
            <w:tcW w:w="1701" w:type="dxa"/>
          </w:tcPr>
          <w:p w14:paraId="0C0FA990"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ER3</w:t>
            </w:r>
          </w:p>
        </w:tc>
        <w:tc>
          <w:tcPr>
            <w:cnfStyle w:val="000001000000" w:firstRow="0" w:lastRow="0" w:firstColumn="0" w:lastColumn="0" w:oddVBand="0" w:evenVBand="1" w:oddHBand="0" w:evenHBand="0" w:firstRowFirstColumn="0" w:firstRowLastColumn="0" w:lastRowFirstColumn="0" w:lastRowLastColumn="0"/>
            <w:tcW w:w="1603" w:type="dxa"/>
          </w:tcPr>
          <w:p w14:paraId="4FE8B57B"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Pr>
          <w:p w14:paraId="2D87040E"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Pr>
          <w:p w14:paraId="2FB354CB"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Pr>
          <w:p w14:paraId="0DC8C312"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.831</w:t>
            </w:r>
          </w:p>
        </w:tc>
        <w:tc>
          <w:tcPr>
            <w:cnfStyle w:val="000001000000" w:firstRow="0" w:lastRow="0" w:firstColumn="0" w:lastColumn="0" w:oddVBand="0" w:evenVBand="1" w:oddHBand="0" w:evenHBand="0" w:firstRowFirstColumn="0" w:firstRowLastColumn="0" w:lastRowFirstColumn="0" w:lastRowLastColumn="0"/>
            <w:tcW w:w="683" w:type="dxa"/>
          </w:tcPr>
          <w:p w14:paraId="69F03C6A" w14:textId="77777777" w:rsidR="00F03CB1" w:rsidRPr="00B85F21" w:rsidRDefault="00F03CB1" w:rsidP="00B85F21">
            <w:pPr>
              <w:autoSpaceDE w:val="0"/>
              <w:autoSpaceDN w:val="0"/>
              <w:adjustRightInd w:val="0"/>
              <w:rPr>
                <w:rFonts w:cs="Times New Roman"/>
                <w:color w:val="000000" w:themeColor="text1"/>
                <w:sz w:val="20"/>
                <w:szCs w:val="20"/>
              </w:rPr>
            </w:pPr>
          </w:p>
        </w:tc>
      </w:tr>
      <w:tr w:rsidR="00F03CB1" w:rsidRPr="00B85F21" w14:paraId="3465A5C3" w14:textId="77777777" w:rsidTr="00BB3E12">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1701" w:type="dxa"/>
          </w:tcPr>
          <w:p w14:paraId="084919E5"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ER4</w:t>
            </w:r>
          </w:p>
        </w:tc>
        <w:tc>
          <w:tcPr>
            <w:cnfStyle w:val="000001000000" w:firstRow="0" w:lastRow="0" w:firstColumn="0" w:lastColumn="0" w:oddVBand="0" w:evenVBand="1" w:oddHBand="0" w:evenHBand="0" w:firstRowFirstColumn="0" w:firstRowLastColumn="0" w:lastRowFirstColumn="0" w:lastRowLastColumn="0"/>
            <w:tcW w:w="1603" w:type="dxa"/>
          </w:tcPr>
          <w:p w14:paraId="77730B0E"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2518" w:type="dxa"/>
          </w:tcPr>
          <w:p w14:paraId="137C0004"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Pr>
          <w:p w14:paraId="17194A89" w14:textId="77777777" w:rsidR="00F03CB1" w:rsidRPr="00B85F21" w:rsidRDefault="00F03CB1" w:rsidP="00B85F21">
            <w:pPr>
              <w:autoSpaceDE w:val="0"/>
              <w:autoSpaceDN w:val="0"/>
              <w:adjustRightInd w:val="0"/>
              <w:rPr>
                <w:rFonts w:cs="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09" w:type="dxa"/>
          </w:tcPr>
          <w:p w14:paraId="404D1C46"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.754</w:t>
            </w:r>
          </w:p>
        </w:tc>
        <w:tc>
          <w:tcPr>
            <w:cnfStyle w:val="000001000000" w:firstRow="0" w:lastRow="0" w:firstColumn="0" w:lastColumn="0" w:oddVBand="0" w:evenVBand="1" w:oddHBand="0" w:evenHBand="0" w:firstRowFirstColumn="0" w:firstRowLastColumn="0" w:lastRowFirstColumn="0" w:lastRowLastColumn="0"/>
            <w:tcW w:w="683" w:type="dxa"/>
          </w:tcPr>
          <w:p w14:paraId="69426D3D" w14:textId="77777777" w:rsidR="00F03CB1" w:rsidRPr="00B85F21" w:rsidRDefault="00F03CB1" w:rsidP="00B85F21">
            <w:pPr>
              <w:autoSpaceDE w:val="0"/>
              <w:autoSpaceDN w:val="0"/>
              <w:adjustRightInd w:val="0"/>
              <w:rPr>
                <w:rFonts w:cs="Times New Roman"/>
                <w:color w:val="000000" w:themeColor="text1"/>
                <w:sz w:val="20"/>
                <w:szCs w:val="20"/>
              </w:rPr>
            </w:pPr>
          </w:p>
        </w:tc>
      </w:tr>
      <w:tr w:rsidR="00F03CB1" w:rsidRPr="00B85F21" w14:paraId="38DAE68C" w14:textId="77777777" w:rsidTr="00BB3E12">
        <w:trPr>
          <w:trHeight w:val="753"/>
        </w:trPr>
        <w:tc>
          <w:tcPr>
            <w:cnfStyle w:val="000010000000" w:firstRow="0" w:lastRow="0" w:firstColumn="0" w:lastColumn="0" w:oddVBand="1" w:evenVBand="0" w:oddHBand="0" w:evenHBand="0" w:firstRowFirstColumn="0" w:firstRowLastColumn="0" w:lastRowFirstColumn="0" w:lastRowLastColumn="0"/>
            <w:tcW w:w="8523" w:type="dxa"/>
            <w:gridSpan w:val="6"/>
          </w:tcPr>
          <w:p w14:paraId="3A94F332"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lastRenderedPageBreak/>
              <w:t xml:space="preserve">Extraction Method: Principal Component Analysis. </w:t>
            </w:r>
          </w:p>
          <w:p w14:paraId="7F429855"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 xml:space="preserve"> Rotation Method: Varimax with Kaiser Normalization.</w:t>
            </w:r>
          </w:p>
        </w:tc>
      </w:tr>
      <w:tr w:rsidR="00F03CB1" w:rsidRPr="00B85F21" w14:paraId="53011C71" w14:textId="77777777" w:rsidTr="00BB3E12">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8523" w:type="dxa"/>
            <w:gridSpan w:val="6"/>
          </w:tcPr>
          <w:p w14:paraId="40CB5177" w14:textId="77777777" w:rsidR="00F03CB1" w:rsidRPr="00B85F21" w:rsidRDefault="00F03CB1" w:rsidP="00B85F21">
            <w:pPr>
              <w:autoSpaceDE w:val="0"/>
              <w:autoSpaceDN w:val="0"/>
              <w:adjustRightInd w:val="0"/>
              <w:ind w:left="60" w:right="60"/>
              <w:rPr>
                <w:rFonts w:cs="Times New Roman"/>
                <w:color w:val="000000" w:themeColor="text1"/>
                <w:sz w:val="20"/>
                <w:szCs w:val="20"/>
              </w:rPr>
            </w:pPr>
            <w:r w:rsidRPr="00B85F21">
              <w:rPr>
                <w:rFonts w:cs="Times New Roman"/>
                <w:color w:val="000000" w:themeColor="text1"/>
                <w:sz w:val="20"/>
                <w:szCs w:val="20"/>
              </w:rPr>
              <w:t>a. Rotation converged in 6 iterations.</w:t>
            </w:r>
          </w:p>
        </w:tc>
      </w:tr>
    </w:tbl>
    <w:p w14:paraId="02FEA497" w14:textId="77777777" w:rsidR="0069543B" w:rsidRPr="0069543B" w:rsidRDefault="0069543B" w:rsidP="0069543B">
      <w:pPr>
        <w:spacing w:before="0" w:after="0" w:line="480" w:lineRule="auto"/>
        <w:ind w:left="360"/>
        <w:jc w:val="center"/>
        <w:rPr>
          <w:rFonts w:eastAsia="Calibri" w:cs="Times New Roman"/>
          <w:color w:val="000000"/>
          <w:kern w:val="0"/>
          <w:sz w:val="20"/>
          <w:szCs w:val="20"/>
          <w:lang w:eastAsia="en-US"/>
          <w14:ligatures w14:val="none"/>
        </w:rPr>
      </w:pPr>
      <w:bookmarkStart w:id="20" w:name="_Toc177304751"/>
      <w:r w:rsidRPr="0069543B">
        <w:rPr>
          <w:rFonts w:eastAsia="Calibri" w:cs="Times New Roman"/>
          <w:color w:val="000000"/>
          <w:kern w:val="0"/>
          <w:sz w:val="20"/>
          <w:szCs w:val="20"/>
          <w:lang w:val="en-GB" w:eastAsia="en-US"/>
          <w14:ligatures w14:val="none"/>
        </w:rPr>
        <w:t>Source: Researcher’s field note (2024)</w:t>
      </w:r>
    </w:p>
    <w:p w14:paraId="0C4B9E8D" w14:textId="05F81682" w:rsidR="00F03CB1" w:rsidRPr="0069543B" w:rsidRDefault="00F03CB1" w:rsidP="0069543B">
      <w:pPr>
        <w:pStyle w:val="Caption"/>
        <w:spacing w:line="480" w:lineRule="auto"/>
        <w:jc w:val="center"/>
        <w:rPr>
          <w:b/>
          <w:iCs w:val="0"/>
          <w:sz w:val="20"/>
          <w:szCs w:val="20"/>
        </w:rPr>
      </w:pPr>
      <w:r w:rsidRPr="0069543B">
        <w:rPr>
          <w:b/>
          <w:sz w:val="20"/>
          <w:szCs w:val="20"/>
        </w:rPr>
        <w:t xml:space="preserve">Table </w:t>
      </w:r>
      <w:r w:rsidR="00BB3E12" w:rsidRPr="0069543B">
        <w:rPr>
          <w:b/>
          <w:sz w:val="20"/>
          <w:szCs w:val="20"/>
        </w:rPr>
        <w:t>3</w:t>
      </w:r>
      <w:r w:rsidRPr="0069543B">
        <w:rPr>
          <w:b/>
          <w:sz w:val="20"/>
          <w:szCs w:val="20"/>
        </w:rPr>
        <w:t>: Measures, factor loadings, and reliability of constructs</w:t>
      </w:r>
      <w:bookmarkEnd w:id="20"/>
    </w:p>
    <w:tbl>
      <w:tblPr>
        <w:tblStyle w:val="TableGrid1"/>
        <w:tblW w:w="8627" w:type="dxa"/>
        <w:tblLayout w:type="fixed"/>
        <w:tblLook w:val="0000" w:firstRow="0" w:lastRow="0" w:firstColumn="0" w:lastColumn="0" w:noHBand="0" w:noVBand="0"/>
      </w:tblPr>
      <w:tblGrid>
        <w:gridCol w:w="6112"/>
        <w:gridCol w:w="1005"/>
        <w:gridCol w:w="1510"/>
      </w:tblGrid>
      <w:tr w:rsidR="00F03CB1" w:rsidRPr="00B85F21" w14:paraId="4C4F329B" w14:textId="77777777" w:rsidTr="00BB3E12">
        <w:trPr>
          <w:trHeight w:val="541"/>
        </w:trPr>
        <w:tc>
          <w:tcPr>
            <w:tcW w:w="6112" w:type="dxa"/>
          </w:tcPr>
          <w:p w14:paraId="4C0E384D" w14:textId="77777777" w:rsidR="00F03CB1" w:rsidRPr="00B85F21" w:rsidRDefault="00F03CB1" w:rsidP="00B85F21">
            <w:pPr>
              <w:autoSpaceDE w:val="0"/>
              <w:autoSpaceDN w:val="0"/>
              <w:adjustRightInd w:val="0"/>
              <w:ind w:left="60" w:right="60"/>
              <w:jc w:val="both"/>
              <w:rPr>
                <w:rFonts w:ascii="Times New Roman" w:hAnsi="Times New Roman"/>
                <w:b/>
                <w:color w:val="000000" w:themeColor="text1"/>
              </w:rPr>
            </w:pPr>
            <w:r w:rsidRPr="00B85F21">
              <w:rPr>
                <w:rFonts w:ascii="Times New Roman" w:hAnsi="Times New Roman"/>
                <w:b/>
                <w:color w:val="000000" w:themeColor="text1"/>
              </w:rPr>
              <w:t>Scale and items</w:t>
            </w:r>
          </w:p>
        </w:tc>
        <w:tc>
          <w:tcPr>
            <w:tcW w:w="1005" w:type="dxa"/>
          </w:tcPr>
          <w:p w14:paraId="5892BAD6" w14:textId="77777777" w:rsidR="00F03CB1" w:rsidRPr="00B85F21" w:rsidRDefault="00F03CB1" w:rsidP="00B85F21">
            <w:pPr>
              <w:autoSpaceDE w:val="0"/>
              <w:autoSpaceDN w:val="0"/>
              <w:adjustRightInd w:val="0"/>
              <w:jc w:val="both"/>
              <w:rPr>
                <w:rFonts w:ascii="Times New Roman" w:hAnsi="Times New Roman"/>
                <w:b/>
                <w:color w:val="000000" w:themeColor="text1"/>
              </w:rPr>
            </w:pPr>
            <w:r w:rsidRPr="00B85F21">
              <w:rPr>
                <w:rFonts w:ascii="Times New Roman" w:hAnsi="Times New Roman"/>
                <w:b/>
                <w:color w:val="000000" w:themeColor="text1"/>
              </w:rPr>
              <w:t>Factor loadings</w:t>
            </w:r>
          </w:p>
        </w:tc>
        <w:tc>
          <w:tcPr>
            <w:tcW w:w="1510" w:type="dxa"/>
          </w:tcPr>
          <w:p w14:paraId="10168DEB" w14:textId="77777777" w:rsidR="00F03CB1" w:rsidRPr="00B85F21" w:rsidRDefault="00F03CB1" w:rsidP="00B85F21">
            <w:pPr>
              <w:autoSpaceDE w:val="0"/>
              <w:autoSpaceDN w:val="0"/>
              <w:adjustRightInd w:val="0"/>
              <w:ind w:left="60" w:right="60"/>
              <w:jc w:val="both"/>
              <w:rPr>
                <w:rFonts w:ascii="Times New Roman" w:hAnsi="Times New Roman"/>
                <w:b/>
                <w:color w:val="000000" w:themeColor="text1"/>
              </w:rPr>
            </w:pPr>
            <w:r w:rsidRPr="00B85F21">
              <w:rPr>
                <w:rFonts w:ascii="Times New Roman" w:hAnsi="Times New Roman"/>
                <w:b/>
                <w:color w:val="000000" w:themeColor="text1"/>
              </w:rPr>
              <w:t>Reliability of construct</w:t>
            </w:r>
          </w:p>
        </w:tc>
      </w:tr>
      <w:tr w:rsidR="00F03CB1" w:rsidRPr="00B85F21" w14:paraId="1DC29D8D" w14:textId="77777777" w:rsidTr="00BB3E12">
        <w:trPr>
          <w:trHeight w:val="285"/>
        </w:trPr>
        <w:tc>
          <w:tcPr>
            <w:tcW w:w="6112" w:type="dxa"/>
          </w:tcPr>
          <w:p w14:paraId="15555408" w14:textId="77777777" w:rsidR="00F03CB1" w:rsidRPr="00B85F21" w:rsidRDefault="00F03CB1" w:rsidP="00B85F21">
            <w:pPr>
              <w:autoSpaceDE w:val="0"/>
              <w:autoSpaceDN w:val="0"/>
              <w:adjustRightInd w:val="0"/>
              <w:ind w:left="60" w:right="60"/>
              <w:jc w:val="both"/>
              <w:rPr>
                <w:rFonts w:ascii="Times New Roman" w:hAnsi="Times New Roman"/>
                <w:b/>
                <w:color w:val="000000" w:themeColor="text1"/>
              </w:rPr>
            </w:pPr>
            <w:r w:rsidRPr="00B85F21">
              <w:rPr>
                <w:rFonts w:ascii="Times New Roman" w:hAnsi="Times New Roman"/>
                <w:b/>
                <w:color w:val="000000" w:themeColor="text1"/>
              </w:rPr>
              <w:t xml:space="preserve">Intrinsic motivation </w:t>
            </w:r>
          </w:p>
        </w:tc>
        <w:tc>
          <w:tcPr>
            <w:tcW w:w="1005" w:type="dxa"/>
          </w:tcPr>
          <w:p w14:paraId="058563B8"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p>
        </w:tc>
        <w:tc>
          <w:tcPr>
            <w:tcW w:w="1510" w:type="dxa"/>
          </w:tcPr>
          <w:p w14:paraId="694F2EC8" w14:textId="77777777" w:rsidR="00F03CB1" w:rsidRPr="00B85F21" w:rsidRDefault="00F03CB1" w:rsidP="00B85F21">
            <w:pPr>
              <w:autoSpaceDE w:val="0"/>
              <w:autoSpaceDN w:val="0"/>
              <w:adjustRightInd w:val="0"/>
              <w:ind w:left="60" w:right="60"/>
              <w:jc w:val="both"/>
              <w:rPr>
                <w:rFonts w:ascii="Times New Roman" w:hAnsi="Times New Roman"/>
                <w:b/>
                <w:color w:val="000000" w:themeColor="text1"/>
              </w:rPr>
            </w:pPr>
            <w:r w:rsidRPr="00B85F21">
              <w:rPr>
                <w:rFonts w:ascii="Times New Roman" w:hAnsi="Times New Roman"/>
                <w:b/>
                <w:color w:val="000000" w:themeColor="text1"/>
              </w:rPr>
              <w:t>.832</w:t>
            </w:r>
          </w:p>
        </w:tc>
      </w:tr>
      <w:tr w:rsidR="00F03CB1" w:rsidRPr="00B85F21" w14:paraId="2EFD3E12" w14:textId="77777777" w:rsidTr="00BB3E12">
        <w:trPr>
          <w:trHeight w:val="277"/>
        </w:trPr>
        <w:tc>
          <w:tcPr>
            <w:tcW w:w="6112" w:type="dxa"/>
          </w:tcPr>
          <w:p w14:paraId="4E22FD78" w14:textId="77777777" w:rsidR="00F03CB1" w:rsidRPr="00B85F21" w:rsidRDefault="00F03CB1" w:rsidP="00B85F21">
            <w:pPr>
              <w:jc w:val="both"/>
              <w:rPr>
                <w:rFonts w:ascii="Times New Roman" w:hAnsi="Times New Roman"/>
              </w:rPr>
            </w:pPr>
            <w:r w:rsidRPr="00B85F21">
              <w:rPr>
                <w:rFonts w:ascii="Times New Roman" w:hAnsi="Times New Roman"/>
              </w:rPr>
              <w:t>1. There are reduced periods of promotion in the LC</w:t>
            </w:r>
          </w:p>
        </w:tc>
        <w:tc>
          <w:tcPr>
            <w:tcW w:w="1005" w:type="dxa"/>
          </w:tcPr>
          <w:p w14:paraId="2F62B6DE"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r w:rsidRPr="00B85F21">
              <w:rPr>
                <w:rFonts w:ascii="Times New Roman" w:hAnsi="Times New Roman"/>
                <w:color w:val="000000" w:themeColor="text1"/>
              </w:rPr>
              <w:t>.816</w:t>
            </w:r>
          </w:p>
        </w:tc>
        <w:tc>
          <w:tcPr>
            <w:tcW w:w="1510" w:type="dxa"/>
          </w:tcPr>
          <w:p w14:paraId="790E270E" w14:textId="77777777" w:rsidR="00F03CB1" w:rsidRPr="00B85F21" w:rsidRDefault="00F03CB1" w:rsidP="00B85F21">
            <w:pPr>
              <w:autoSpaceDE w:val="0"/>
              <w:autoSpaceDN w:val="0"/>
              <w:adjustRightInd w:val="0"/>
              <w:ind w:left="60" w:right="60"/>
              <w:jc w:val="both"/>
              <w:rPr>
                <w:rFonts w:ascii="Times New Roman" w:hAnsi="Times New Roman"/>
                <w:b/>
                <w:color w:val="000000" w:themeColor="text1"/>
              </w:rPr>
            </w:pPr>
          </w:p>
        </w:tc>
      </w:tr>
      <w:tr w:rsidR="00F03CB1" w:rsidRPr="00B85F21" w14:paraId="5BAD017C" w14:textId="77777777" w:rsidTr="00BB3E12">
        <w:trPr>
          <w:trHeight w:val="556"/>
        </w:trPr>
        <w:tc>
          <w:tcPr>
            <w:tcW w:w="6112" w:type="dxa"/>
          </w:tcPr>
          <w:p w14:paraId="4443074A" w14:textId="77777777" w:rsidR="00F03CB1" w:rsidRPr="00B85F21" w:rsidRDefault="00F03CB1" w:rsidP="00B85F21">
            <w:pPr>
              <w:jc w:val="both"/>
              <w:rPr>
                <w:rFonts w:ascii="Times New Roman" w:hAnsi="Times New Roman"/>
              </w:rPr>
            </w:pPr>
            <w:r w:rsidRPr="00B85F21">
              <w:rPr>
                <w:rFonts w:ascii="Times New Roman" w:hAnsi="Times New Roman"/>
              </w:rPr>
              <w:t>2. There is opportunity for training and capacity building in the LC</w:t>
            </w:r>
          </w:p>
        </w:tc>
        <w:tc>
          <w:tcPr>
            <w:tcW w:w="1005" w:type="dxa"/>
          </w:tcPr>
          <w:p w14:paraId="5A7B780D"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r w:rsidRPr="00B85F21">
              <w:rPr>
                <w:rFonts w:ascii="Times New Roman" w:hAnsi="Times New Roman"/>
                <w:color w:val="000000" w:themeColor="text1"/>
              </w:rPr>
              <w:t>.835</w:t>
            </w:r>
          </w:p>
        </w:tc>
        <w:tc>
          <w:tcPr>
            <w:tcW w:w="1510" w:type="dxa"/>
          </w:tcPr>
          <w:p w14:paraId="4DB96037" w14:textId="77777777" w:rsidR="00F03CB1" w:rsidRPr="00B85F21" w:rsidRDefault="00F03CB1" w:rsidP="00B85F21">
            <w:pPr>
              <w:autoSpaceDE w:val="0"/>
              <w:autoSpaceDN w:val="0"/>
              <w:adjustRightInd w:val="0"/>
              <w:ind w:left="60" w:right="60"/>
              <w:jc w:val="both"/>
              <w:rPr>
                <w:rFonts w:ascii="Times New Roman" w:hAnsi="Times New Roman"/>
                <w:b/>
                <w:color w:val="000000" w:themeColor="text1"/>
              </w:rPr>
            </w:pPr>
          </w:p>
        </w:tc>
      </w:tr>
      <w:tr w:rsidR="00F03CB1" w:rsidRPr="00B85F21" w14:paraId="7A8CA5BE" w14:textId="77777777" w:rsidTr="00BB3E12">
        <w:trPr>
          <w:trHeight w:val="270"/>
        </w:trPr>
        <w:tc>
          <w:tcPr>
            <w:tcW w:w="6112" w:type="dxa"/>
          </w:tcPr>
          <w:p w14:paraId="171ED448" w14:textId="77777777" w:rsidR="00F03CB1" w:rsidRPr="00B85F21" w:rsidRDefault="00F03CB1" w:rsidP="00B85F21">
            <w:pPr>
              <w:jc w:val="both"/>
              <w:rPr>
                <w:rFonts w:ascii="Times New Roman" w:hAnsi="Times New Roman"/>
              </w:rPr>
            </w:pPr>
            <w:r w:rsidRPr="00B85F21">
              <w:rPr>
                <w:rFonts w:ascii="Times New Roman" w:hAnsi="Times New Roman"/>
              </w:rPr>
              <w:t>3. There is easy access to working tools</w:t>
            </w:r>
          </w:p>
        </w:tc>
        <w:tc>
          <w:tcPr>
            <w:tcW w:w="1005" w:type="dxa"/>
          </w:tcPr>
          <w:p w14:paraId="14C286A8"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r w:rsidRPr="00B85F21">
              <w:rPr>
                <w:rFonts w:ascii="Times New Roman" w:hAnsi="Times New Roman"/>
                <w:color w:val="000000" w:themeColor="text1"/>
              </w:rPr>
              <w:t>.773</w:t>
            </w:r>
          </w:p>
        </w:tc>
        <w:tc>
          <w:tcPr>
            <w:tcW w:w="1510" w:type="dxa"/>
          </w:tcPr>
          <w:p w14:paraId="05B48CDD" w14:textId="77777777" w:rsidR="00F03CB1" w:rsidRPr="00B85F21" w:rsidRDefault="00F03CB1" w:rsidP="00B85F21">
            <w:pPr>
              <w:autoSpaceDE w:val="0"/>
              <w:autoSpaceDN w:val="0"/>
              <w:adjustRightInd w:val="0"/>
              <w:ind w:left="60" w:right="60"/>
              <w:jc w:val="both"/>
              <w:rPr>
                <w:rFonts w:ascii="Times New Roman" w:hAnsi="Times New Roman"/>
                <w:b/>
                <w:color w:val="000000" w:themeColor="text1"/>
              </w:rPr>
            </w:pPr>
          </w:p>
        </w:tc>
      </w:tr>
      <w:tr w:rsidR="00F03CB1" w:rsidRPr="00B85F21" w14:paraId="520410C5" w14:textId="77777777" w:rsidTr="00BB3E12">
        <w:trPr>
          <w:trHeight w:val="285"/>
        </w:trPr>
        <w:tc>
          <w:tcPr>
            <w:tcW w:w="6112" w:type="dxa"/>
          </w:tcPr>
          <w:p w14:paraId="00BF515B" w14:textId="77777777" w:rsidR="00F03CB1" w:rsidRPr="00B85F21" w:rsidRDefault="00F03CB1" w:rsidP="00B85F21">
            <w:pPr>
              <w:jc w:val="both"/>
              <w:rPr>
                <w:rFonts w:ascii="Times New Roman" w:hAnsi="Times New Roman"/>
              </w:rPr>
            </w:pPr>
            <w:r w:rsidRPr="00B85F21">
              <w:rPr>
                <w:rFonts w:ascii="Times New Roman" w:hAnsi="Times New Roman"/>
              </w:rPr>
              <w:t>4. There are conducive working conditions in the LC</w:t>
            </w:r>
          </w:p>
        </w:tc>
        <w:tc>
          <w:tcPr>
            <w:tcW w:w="1005" w:type="dxa"/>
          </w:tcPr>
          <w:p w14:paraId="46A0AFC1"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r w:rsidRPr="00B85F21">
              <w:rPr>
                <w:rFonts w:ascii="Times New Roman" w:hAnsi="Times New Roman"/>
                <w:color w:val="000000" w:themeColor="text1"/>
              </w:rPr>
              <w:t>.699</w:t>
            </w:r>
          </w:p>
        </w:tc>
        <w:tc>
          <w:tcPr>
            <w:tcW w:w="1510" w:type="dxa"/>
          </w:tcPr>
          <w:p w14:paraId="1D835296" w14:textId="77777777" w:rsidR="00F03CB1" w:rsidRPr="00B85F21" w:rsidRDefault="00F03CB1" w:rsidP="00B85F21">
            <w:pPr>
              <w:autoSpaceDE w:val="0"/>
              <w:autoSpaceDN w:val="0"/>
              <w:adjustRightInd w:val="0"/>
              <w:ind w:left="60" w:right="60"/>
              <w:jc w:val="both"/>
              <w:rPr>
                <w:rFonts w:ascii="Times New Roman" w:hAnsi="Times New Roman"/>
                <w:b/>
                <w:color w:val="000000" w:themeColor="text1"/>
              </w:rPr>
            </w:pPr>
          </w:p>
        </w:tc>
      </w:tr>
      <w:tr w:rsidR="00F03CB1" w:rsidRPr="00B85F21" w14:paraId="1E9340E0" w14:textId="77777777" w:rsidTr="00BB3E12">
        <w:trPr>
          <w:trHeight w:val="541"/>
        </w:trPr>
        <w:tc>
          <w:tcPr>
            <w:tcW w:w="6112" w:type="dxa"/>
          </w:tcPr>
          <w:p w14:paraId="01042BF7" w14:textId="77777777" w:rsidR="00F03CB1" w:rsidRPr="00B85F21" w:rsidRDefault="00F03CB1" w:rsidP="00B85F21">
            <w:pPr>
              <w:autoSpaceDE w:val="0"/>
              <w:autoSpaceDN w:val="0"/>
              <w:adjustRightInd w:val="0"/>
              <w:ind w:left="60" w:right="60"/>
              <w:jc w:val="both"/>
              <w:rPr>
                <w:rFonts w:ascii="Times New Roman" w:hAnsi="Times New Roman"/>
                <w:b/>
                <w:color w:val="000000" w:themeColor="text1"/>
              </w:rPr>
            </w:pPr>
          </w:p>
          <w:p w14:paraId="18174068" w14:textId="77777777" w:rsidR="00F03CB1" w:rsidRPr="00B85F21" w:rsidRDefault="00F03CB1" w:rsidP="00B85F21">
            <w:pPr>
              <w:autoSpaceDE w:val="0"/>
              <w:autoSpaceDN w:val="0"/>
              <w:adjustRightInd w:val="0"/>
              <w:ind w:left="60" w:right="60"/>
              <w:jc w:val="both"/>
              <w:rPr>
                <w:rFonts w:ascii="Times New Roman" w:hAnsi="Times New Roman"/>
                <w:b/>
                <w:color w:val="000000" w:themeColor="text1"/>
              </w:rPr>
            </w:pPr>
            <w:r w:rsidRPr="00B85F21">
              <w:rPr>
                <w:rFonts w:ascii="Times New Roman" w:hAnsi="Times New Roman"/>
                <w:b/>
                <w:color w:val="000000" w:themeColor="text1"/>
              </w:rPr>
              <w:t xml:space="preserve">Extrinsic motivation </w:t>
            </w:r>
          </w:p>
        </w:tc>
        <w:tc>
          <w:tcPr>
            <w:tcW w:w="1005" w:type="dxa"/>
          </w:tcPr>
          <w:p w14:paraId="4F0E868F"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p>
        </w:tc>
        <w:tc>
          <w:tcPr>
            <w:tcW w:w="1510" w:type="dxa"/>
          </w:tcPr>
          <w:p w14:paraId="7B4D0ACD" w14:textId="77777777" w:rsidR="00F03CB1" w:rsidRPr="00B85F21" w:rsidRDefault="00F03CB1" w:rsidP="00B85F21">
            <w:pPr>
              <w:autoSpaceDE w:val="0"/>
              <w:autoSpaceDN w:val="0"/>
              <w:adjustRightInd w:val="0"/>
              <w:jc w:val="both"/>
              <w:rPr>
                <w:rFonts w:ascii="Times New Roman" w:hAnsi="Times New Roman"/>
                <w:b/>
                <w:color w:val="000000" w:themeColor="text1"/>
              </w:rPr>
            </w:pPr>
          </w:p>
          <w:p w14:paraId="55A463BE" w14:textId="77777777" w:rsidR="00F03CB1" w:rsidRPr="00B85F21" w:rsidRDefault="00F03CB1" w:rsidP="00B85F21">
            <w:pPr>
              <w:autoSpaceDE w:val="0"/>
              <w:autoSpaceDN w:val="0"/>
              <w:adjustRightInd w:val="0"/>
              <w:jc w:val="both"/>
              <w:rPr>
                <w:rFonts w:ascii="Times New Roman" w:hAnsi="Times New Roman"/>
                <w:b/>
                <w:color w:val="000000" w:themeColor="text1"/>
              </w:rPr>
            </w:pPr>
            <w:r w:rsidRPr="00B85F21">
              <w:rPr>
                <w:rFonts w:ascii="Times New Roman" w:hAnsi="Times New Roman"/>
                <w:b/>
                <w:color w:val="000000" w:themeColor="text1"/>
              </w:rPr>
              <w:t>.894</w:t>
            </w:r>
          </w:p>
        </w:tc>
      </w:tr>
      <w:tr w:rsidR="00F03CB1" w:rsidRPr="00B85F21" w14:paraId="200692D9" w14:textId="77777777" w:rsidTr="00BB3E12">
        <w:trPr>
          <w:trHeight w:val="556"/>
        </w:trPr>
        <w:tc>
          <w:tcPr>
            <w:tcW w:w="6112" w:type="dxa"/>
          </w:tcPr>
          <w:p w14:paraId="122C847B" w14:textId="77777777" w:rsidR="00F03CB1" w:rsidRPr="00B85F21" w:rsidRDefault="00F03CB1" w:rsidP="00B85F21">
            <w:pPr>
              <w:ind w:right="132"/>
              <w:jc w:val="both"/>
              <w:rPr>
                <w:rFonts w:ascii="Times New Roman" w:hAnsi="Times New Roman"/>
                <w:bCs/>
              </w:rPr>
            </w:pPr>
            <w:r w:rsidRPr="00B85F21">
              <w:rPr>
                <w:rFonts w:ascii="Times New Roman" w:hAnsi="Times New Roman"/>
                <w:bCs/>
              </w:rPr>
              <w:t>1. There is additional income for employees who perform well in a given month</w:t>
            </w:r>
          </w:p>
        </w:tc>
        <w:tc>
          <w:tcPr>
            <w:tcW w:w="1005" w:type="dxa"/>
          </w:tcPr>
          <w:p w14:paraId="50E31183"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r w:rsidRPr="00B85F21">
              <w:rPr>
                <w:rFonts w:ascii="Times New Roman" w:hAnsi="Times New Roman"/>
                <w:color w:val="000000" w:themeColor="text1"/>
              </w:rPr>
              <w:t>.711</w:t>
            </w:r>
          </w:p>
        </w:tc>
        <w:tc>
          <w:tcPr>
            <w:tcW w:w="1510" w:type="dxa"/>
          </w:tcPr>
          <w:p w14:paraId="3223BC96" w14:textId="77777777" w:rsidR="00F03CB1" w:rsidRPr="00B85F21" w:rsidRDefault="00F03CB1" w:rsidP="00B85F21">
            <w:pPr>
              <w:autoSpaceDE w:val="0"/>
              <w:autoSpaceDN w:val="0"/>
              <w:adjustRightInd w:val="0"/>
              <w:jc w:val="both"/>
              <w:rPr>
                <w:rFonts w:ascii="Times New Roman" w:hAnsi="Times New Roman"/>
                <w:b/>
                <w:color w:val="000000" w:themeColor="text1"/>
              </w:rPr>
            </w:pPr>
          </w:p>
        </w:tc>
      </w:tr>
      <w:tr w:rsidR="00F03CB1" w:rsidRPr="00B85F21" w14:paraId="7447F8AC" w14:textId="77777777" w:rsidTr="00BB3E12">
        <w:trPr>
          <w:trHeight w:val="285"/>
        </w:trPr>
        <w:tc>
          <w:tcPr>
            <w:tcW w:w="6112" w:type="dxa"/>
          </w:tcPr>
          <w:p w14:paraId="373C45D5" w14:textId="77777777" w:rsidR="00F03CB1" w:rsidRPr="00B85F21" w:rsidRDefault="00F03CB1" w:rsidP="00B85F21">
            <w:pPr>
              <w:ind w:right="132"/>
              <w:jc w:val="both"/>
              <w:rPr>
                <w:rFonts w:ascii="Times New Roman" w:hAnsi="Times New Roman"/>
                <w:bCs/>
              </w:rPr>
            </w:pPr>
            <w:r w:rsidRPr="00B85F21">
              <w:rPr>
                <w:rFonts w:ascii="Times New Roman" w:hAnsi="Times New Roman"/>
                <w:bCs/>
              </w:rPr>
              <w:t>2. Employees are given allowances for working overtime</w:t>
            </w:r>
          </w:p>
        </w:tc>
        <w:tc>
          <w:tcPr>
            <w:tcW w:w="1005" w:type="dxa"/>
          </w:tcPr>
          <w:p w14:paraId="1E4FBC4C"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r w:rsidRPr="00B85F21">
              <w:rPr>
                <w:rFonts w:ascii="Times New Roman" w:hAnsi="Times New Roman"/>
                <w:color w:val="000000" w:themeColor="text1"/>
              </w:rPr>
              <w:t>.766</w:t>
            </w:r>
          </w:p>
        </w:tc>
        <w:tc>
          <w:tcPr>
            <w:tcW w:w="1510" w:type="dxa"/>
          </w:tcPr>
          <w:p w14:paraId="73F760C2" w14:textId="77777777" w:rsidR="00F03CB1" w:rsidRPr="00B85F21" w:rsidRDefault="00F03CB1" w:rsidP="00B85F21">
            <w:pPr>
              <w:autoSpaceDE w:val="0"/>
              <w:autoSpaceDN w:val="0"/>
              <w:adjustRightInd w:val="0"/>
              <w:jc w:val="both"/>
              <w:rPr>
                <w:rFonts w:ascii="Times New Roman" w:hAnsi="Times New Roman"/>
                <w:b/>
                <w:color w:val="000000" w:themeColor="text1"/>
              </w:rPr>
            </w:pPr>
          </w:p>
        </w:tc>
      </w:tr>
      <w:tr w:rsidR="00F03CB1" w:rsidRPr="00B85F21" w14:paraId="024B785F" w14:textId="77777777" w:rsidTr="00BB3E12">
        <w:trPr>
          <w:trHeight w:val="541"/>
        </w:trPr>
        <w:tc>
          <w:tcPr>
            <w:tcW w:w="6112" w:type="dxa"/>
          </w:tcPr>
          <w:p w14:paraId="081BC49E" w14:textId="77777777" w:rsidR="00F03CB1" w:rsidRPr="00B85F21" w:rsidRDefault="00F03CB1" w:rsidP="00B85F21">
            <w:pPr>
              <w:ind w:right="132"/>
              <w:jc w:val="both"/>
              <w:rPr>
                <w:rFonts w:ascii="Times New Roman" w:hAnsi="Times New Roman"/>
                <w:bCs/>
              </w:rPr>
            </w:pPr>
            <w:r w:rsidRPr="00B85F21">
              <w:rPr>
                <w:rFonts w:ascii="Times New Roman" w:hAnsi="Times New Roman"/>
                <w:bCs/>
              </w:rPr>
              <w:t>3. Benefits are given to employees in acting capacities in various positions</w:t>
            </w:r>
          </w:p>
        </w:tc>
        <w:tc>
          <w:tcPr>
            <w:tcW w:w="1005" w:type="dxa"/>
          </w:tcPr>
          <w:p w14:paraId="2C5284B1"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r w:rsidRPr="00B85F21">
              <w:rPr>
                <w:rFonts w:ascii="Times New Roman" w:hAnsi="Times New Roman"/>
                <w:color w:val="000000" w:themeColor="text1"/>
              </w:rPr>
              <w:t>.730</w:t>
            </w:r>
          </w:p>
        </w:tc>
        <w:tc>
          <w:tcPr>
            <w:tcW w:w="1510" w:type="dxa"/>
          </w:tcPr>
          <w:p w14:paraId="74B942FA" w14:textId="77777777" w:rsidR="00F03CB1" w:rsidRPr="00B85F21" w:rsidRDefault="00F03CB1" w:rsidP="00B85F21">
            <w:pPr>
              <w:autoSpaceDE w:val="0"/>
              <w:autoSpaceDN w:val="0"/>
              <w:adjustRightInd w:val="0"/>
              <w:jc w:val="both"/>
              <w:rPr>
                <w:rFonts w:ascii="Times New Roman" w:hAnsi="Times New Roman"/>
                <w:b/>
                <w:color w:val="000000" w:themeColor="text1"/>
              </w:rPr>
            </w:pPr>
          </w:p>
        </w:tc>
      </w:tr>
      <w:tr w:rsidR="00F03CB1" w:rsidRPr="00B85F21" w14:paraId="1E763969" w14:textId="77777777" w:rsidTr="00BB3E12">
        <w:trPr>
          <w:trHeight w:val="556"/>
        </w:trPr>
        <w:tc>
          <w:tcPr>
            <w:tcW w:w="6112" w:type="dxa"/>
          </w:tcPr>
          <w:p w14:paraId="24557841" w14:textId="77777777" w:rsidR="00F03CB1" w:rsidRPr="00B85F21" w:rsidRDefault="00F03CB1" w:rsidP="00B85F21">
            <w:pPr>
              <w:ind w:right="132"/>
              <w:jc w:val="both"/>
              <w:rPr>
                <w:rFonts w:ascii="Times New Roman" w:hAnsi="Times New Roman"/>
                <w:bCs/>
              </w:rPr>
            </w:pPr>
            <w:r w:rsidRPr="00B85F21">
              <w:rPr>
                <w:rFonts w:ascii="Times New Roman" w:hAnsi="Times New Roman"/>
                <w:bCs/>
              </w:rPr>
              <w:t>4. Donor partners and the Government have provided funding for capacity-building</w:t>
            </w:r>
          </w:p>
        </w:tc>
        <w:tc>
          <w:tcPr>
            <w:tcW w:w="1005" w:type="dxa"/>
          </w:tcPr>
          <w:p w14:paraId="7DF321BD"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r w:rsidRPr="00B85F21">
              <w:rPr>
                <w:rFonts w:ascii="Times New Roman" w:hAnsi="Times New Roman"/>
                <w:color w:val="000000" w:themeColor="text1"/>
              </w:rPr>
              <w:t>.816</w:t>
            </w:r>
          </w:p>
        </w:tc>
        <w:tc>
          <w:tcPr>
            <w:tcW w:w="1510" w:type="dxa"/>
          </w:tcPr>
          <w:p w14:paraId="7362557B" w14:textId="77777777" w:rsidR="00F03CB1" w:rsidRPr="00B85F21" w:rsidRDefault="00F03CB1" w:rsidP="00B85F21">
            <w:pPr>
              <w:autoSpaceDE w:val="0"/>
              <w:autoSpaceDN w:val="0"/>
              <w:adjustRightInd w:val="0"/>
              <w:jc w:val="both"/>
              <w:rPr>
                <w:rFonts w:ascii="Times New Roman" w:hAnsi="Times New Roman"/>
                <w:b/>
                <w:color w:val="000000" w:themeColor="text1"/>
              </w:rPr>
            </w:pPr>
          </w:p>
        </w:tc>
      </w:tr>
      <w:tr w:rsidR="00F03CB1" w:rsidRPr="00B85F21" w14:paraId="0DBFC988" w14:textId="77777777" w:rsidTr="00BB3E12">
        <w:trPr>
          <w:trHeight w:val="285"/>
        </w:trPr>
        <w:tc>
          <w:tcPr>
            <w:tcW w:w="6112" w:type="dxa"/>
          </w:tcPr>
          <w:p w14:paraId="38853003" w14:textId="77777777" w:rsidR="00F03CB1" w:rsidRPr="00B85F21" w:rsidRDefault="00F03CB1" w:rsidP="00B85F21">
            <w:pPr>
              <w:ind w:right="132"/>
              <w:jc w:val="both"/>
              <w:rPr>
                <w:rFonts w:ascii="Times New Roman" w:hAnsi="Times New Roman"/>
                <w:bCs/>
              </w:rPr>
            </w:pPr>
            <w:r w:rsidRPr="00B85F21">
              <w:rPr>
                <w:rFonts w:ascii="Times New Roman" w:hAnsi="Times New Roman"/>
                <w:bCs/>
              </w:rPr>
              <w:t xml:space="preserve">5. Means of transport are provided to staff </w:t>
            </w:r>
          </w:p>
        </w:tc>
        <w:tc>
          <w:tcPr>
            <w:tcW w:w="1005" w:type="dxa"/>
          </w:tcPr>
          <w:p w14:paraId="688FA5C6"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r w:rsidRPr="00B85F21">
              <w:rPr>
                <w:rFonts w:ascii="Times New Roman" w:hAnsi="Times New Roman"/>
                <w:color w:val="000000" w:themeColor="text1"/>
              </w:rPr>
              <w:t>.872</w:t>
            </w:r>
          </w:p>
        </w:tc>
        <w:tc>
          <w:tcPr>
            <w:tcW w:w="1510" w:type="dxa"/>
          </w:tcPr>
          <w:p w14:paraId="69D79018" w14:textId="77777777" w:rsidR="00F03CB1" w:rsidRPr="00B85F21" w:rsidRDefault="00F03CB1" w:rsidP="00B85F21">
            <w:pPr>
              <w:autoSpaceDE w:val="0"/>
              <w:autoSpaceDN w:val="0"/>
              <w:adjustRightInd w:val="0"/>
              <w:jc w:val="both"/>
              <w:rPr>
                <w:rFonts w:ascii="Times New Roman" w:hAnsi="Times New Roman"/>
                <w:b/>
                <w:color w:val="000000" w:themeColor="text1"/>
              </w:rPr>
            </w:pPr>
          </w:p>
        </w:tc>
      </w:tr>
      <w:tr w:rsidR="00F03CB1" w:rsidRPr="00B85F21" w14:paraId="6AF7EBC2" w14:textId="77777777" w:rsidTr="00BB3E12">
        <w:trPr>
          <w:trHeight w:val="435"/>
        </w:trPr>
        <w:tc>
          <w:tcPr>
            <w:tcW w:w="6112" w:type="dxa"/>
          </w:tcPr>
          <w:p w14:paraId="11A30D99" w14:textId="77777777" w:rsidR="00F03CB1" w:rsidRPr="00B85F21" w:rsidRDefault="00F03CB1" w:rsidP="00B85F21">
            <w:pPr>
              <w:ind w:right="132"/>
              <w:jc w:val="both"/>
              <w:rPr>
                <w:rFonts w:ascii="Times New Roman" w:hAnsi="Times New Roman"/>
              </w:rPr>
            </w:pPr>
            <w:r w:rsidRPr="00B85F21">
              <w:rPr>
                <w:rFonts w:ascii="Times New Roman" w:hAnsi="Times New Roman"/>
                <w:bCs/>
              </w:rPr>
              <w:t>6. There is a functional welfare system</w:t>
            </w:r>
          </w:p>
        </w:tc>
        <w:tc>
          <w:tcPr>
            <w:tcW w:w="1005" w:type="dxa"/>
          </w:tcPr>
          <w:p w14:paraId="374D59FC"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r w:rsidRPr="00B85F21">
              <w:rPr>
                <w:rFonts w:ascii="Times New Roman" w:hAnsi="Times New Roman"/>
                <w:color w:val="000000" w:themeColor="text1"/>
              </w:rPr>
              <w:t>.877</w:t>
            </w:r>
          </w:p>
        </w:tc>
        <w:tc>
          <w:tcPr>
            <w:tcW w:w="1510" w:type="dxa"/>
          </w:tcPr>
          <w:p w14:paraId="2D81E340" w14:textId="77777777" w:rsidR="00F03CB1" w:rsidRPr="00B85F21" w:rsidRDefault="00F03CB1" w:rsidP="00B85F21">
            <w:pPr>
              <w:autoSpaceDE w:val="0"/>
              <w:autoSpaceDN w:val="0"/>
              <w:adjustRightInd w:val="0"/>
              <w:jc w:val="both"/>
              <w:rPr>
                <w:rFonts w:ascii="Times New Roman" w:hAnsi="Times New Roman"/>
                <w:b/>
                <w:color w:val="000000" w:themeColor="text1"/>
              </w:rPr>
            </w:pPr>
          </w:p>
        </w:tc>
      </w:tr>
      <w:tr w:rsidR="00F03CB1" w:rsidRPr="00B85F21" w14:paraId="1C89AD73" w14:textId="77777777" w:rsidTr="00BB3E12">
        <w:trPr>
          <w:trHeight w:val="270"/>
        </w:trPr>
        <w:tc>
          <w:tcPr>
            <w:tcW w:w="6112" w:type="dxa"/>
          </w:tcPr>
          <w:p w14:paraId="441C65B1" w14:textId="77777777" w:rsidR="00F03CB1" w:rsidRPr="00B85F21" w:rsidRDefault="00F03CB1" w:rsidP="00B85F21">
            <w:pPr>
              <w:autoSpaceDE w:val="0"/>
              <w:autoSpaceDN w:val="0"/>
              <w:adjustRightInd w:val="0"/>
              <w:ind w:right="132"/>
              <w:jc w:val="both"/>
              <w:rPr>
                <w:rFonts w:ascii="Times New Roman" w:hAnsi="Times New Roman"/>
                <w:b/>
                <w:color w:val="000000" w:themeColor="text1"/>
              </w:rPr>
            </w:pPr>
            <w:r w:rsidRPr="00B85F21">
              <w:rPr>
                <w:rFonts w:ascii="Times New Roman" w:hAnsi="Times New Roman"/>
                <w:b/>
                <w:color w:val="000000" w:themeColor="text1"/>
              </w:rPr>
              <w:t xml:space="preserve">Service delivery </w:t>
            </w:r>
          </w:p>
        </w:tc>
        <w:tc>
          <w:tcPr>
            <w:tcW w:w="1005" w:type="dxa"/>
          </w:tcPr>
          <w:p w14:paraId="107606A7"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p>
        </w:tc>
        <w:tc>
          <w:tcPr>
            <w:tcW w:w="1510" w:type="dxa"/>
          </w:tcPr>
          <w:p w14:paraId="1AE9F5DC" w14:textId="77777777" w:rsidR="00F03CB1" w:rsidRPr="00B85F21" w:rsidRDefault="00F03CB1" w:rsidP="00B85F21">
            <w:pPr>
              <w:autoSpaceDE w:val="0"/>
              <w:autoSpaceDN w:val="0"/>
              <w:adjustRightInd w:val="0"/>
              <w:jc w:val="both"/>
              <w:rPr>
                <w:rFonts w:ascii="Times New Roman" w:hAnsi="Times New Roman"/>
                <w:b/>
                <w:color w:val="000000" w:themeColor="text1"/>
              </w:rPr>
            </w:pPr>
            <w:r w:rsidRPr="00B85F21">
              <w:rPr>
                <w:rFonts w:ascii="Times New Roman" w:hAnsi="Times New Roman"/>
                <w:b/>
                <w:color w:val="000000" w:themeColor="text1"/>
              </w:rPr>
              <w:t>.771</w:t>
            </w:r>
          </w:p>
        </w:tc>
      </w:tr>
      <w:tr w:rsidR="00F03CB1" w:rsidRPr="00B85F21" w14:paraId="7DA2DF22" w14:textId="77777777" w:rsidTr="00BB3E12">
        <w:trPr>
          <w:trHeight w:val="270"/>
        </w:trPr>
        <w:tc>
          <w:tcPr>
            <w:tcW w:w="6112" w:type="dxa"/>
          </w:tcPr>
          <w:p w14:paraId="68CFD4EA" w14:textId="77777777" w:rsidR="00F03CB1" w:rsidRPr="00B85F21" w:rsidRDefault="00F03CB1" w:rsidP="00B85F21">
            <w:pPr>
              <w:ind w:right="132"/>
              <w:jc w:val="both"/>
              <w:rPr>
                <w:rFonts w:ascii="Times New Roman" w:hAnsi="Times New Roman"/>
              </w:rPr>
            </w:pPr>
            <w:r w:rsidRPr="00B85F21">
              <w:rPr>
                <w:rFonts w:ascii="Times New Roman" w:hAnsi="Times New Roman"/>
              </w:rPr>
              <w:t>1. Lands Commission provides services on time</w:t>
            </w:r>
          </w:p>
        </w:tc>
        <w:tc>
          <w:tcPr>
            <w:tcW w:w="1005" w:type="dxa"/>
          </w:tcPr>
          <w:p w14:paraId="0828016F"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r w:rsidRPr="00B85F21">
              <w:rPr>
                <w:rFonts w:ascii="Times New Roman" w:hAnsi="Times New Roman"/>
                <w:color w:val="000000" w:themeColor="text1"/>
              </w:rPr>
              <w:t>.780</w:t>
            </w:r>
          </w:p>
        </w:tc>
        <w:tc>
          <w:tcPr>
            <w:tcW w:w="1510" w:type="dxa"/>
          </w:tcPr>
          <w:p w14:paraId="01CBAC6F" w14:textId="77777777" w:rsidR="00F03CB1" w:rsidRPr="00B85F21" w:rsidRDefault="00F03CB1" w:rsidP="00B85F21">
            <w:pPr>
              <w:autoSpaceDE w:val="0"/>
              <w:autoSpaceDN w:val="0"/>
              <w:adjustRightInd w:val="0"/>
              <w:jc w:val="both"/>
              <w:rPr>
                <w:rFonts w:ascii="Times New Roman" w:hAnsi="Times New Roman"/>
                <w:b/>
                <w:color w:val="000000" w:themeColor="text1"/>
              </w:rPr>
            </w:pPr>
          </w:p>
        </w:tc>
      </w:tr>
      <w:tr w:rsidR="00F03CB1" w:rsidRPr="00B85F21" w14:paraId="555B17F0" w14:textId="77777777" w:rsidTr="00BB3E12">
        <w:trPr>
          <w:trHeight w:val="556"/>
        </w:trPr>
        <w:tc>
          <w:tcPr>
            <w:tcW w:w="6112" w:type="dxa"/>
          </w:tcPr>
          <w:p w14:paraId="6C572020" w14:textId="77777777" w:rsidR="00F03CB1" w:rsidRPr="00B85F21" w:rsidRDefault="00F03CB1" w:rsidP="00B85F21">
            <w:pPr>
              <w:ind w:right="132"/>
              <w:jc w:val="both"/>
              <w:rPr>
                <w:rFonts w:ascii="Times New Roman" w:hAnsi="Times New Roman"/>
              </w:rPr>
            </w:pPr>
            <w:r w:rsidRPr="00B85F21">
              <w:rPr>
                <w:rFonts w:ascii="Times New Roman" w:hAnsi="Times New Roman"/>
              </w:rPr>
              <w:t xml:space="preserve">2. Land Ownership information provided by the Lands Commission is reliable </w:t>
            </w:r>
          </w:p>
        </w:tc>
        <w:tc>
          <w:tcPr>
            <w:tcW w:w="1005" w:type="dxa"/>
          </w:tcPr>
          <w:p w14:paraId="65785772"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r w:rsidRPr="00B85F21">
              <w:rPr>
                <w:rFonts w:ascii="Times New Roman" w:hAnsi="Times New Roman"/>
                <w:color w:val="000000" w:themeColor="text1"/>
              </w:rPr>
              <w:t>.842</w:t>
            </w:r>
          </w:p>
        </w:tc>
        <w:tc>
          <w:tcPr>
            <w:tcW w:w="1510" w:type="dxa"/>
          </w:tcPr>
          <w:p w14:paraId="54BF98F0" w14:textId="77777777" w:rsidR="00F03CB1" w:rsidRPr="00B85F21" w:rsidRDefault="00F03CB1" w:rsidP="00B85F21">
            <w:pPr>
              <w:autoSpaceDE w:val="0"/>
              <w:autoSpaceDN w:val="0"/>
              <w:adjustRightInd w:val="0"/>
              <w:jc w:val="both"/>
              <w:rPr>
                <w:rFonts w:ascii="Times New Roman" w:hAnsi="Times New Roman"/>
                <w:b/>
                <w:color w:val="000000" w:themeColor="text1"/>
              </w:rPr>
            </w:pPr>
          </w:p>
        </w:tc>
      </w:tr>
      <w:tr w:rsidR="00F03CB1" w:rsidRPr="00B85F21" w14:paraId="63AFE8D7" w14:textId="77777777" w:rsidTr="00BB3E12">
        <w:trPr>
          <w:trHeight w:val="285"/>
        </w:trPr>
        <w:tc>
          <w:tcPr>
            <w:tcW w:w="6112" w:type="dxa"/>
          </w:tcPr>
          <w:p w14:paraId="22B2297B" w14:textId="77777777" w:rsidR="00F03CB1" w:rsidRPr="00B85F21" w:rsidRDefault="00F03CB1" w:rsidP="00B85F21">
            <w:pPr>
              <w:ind w:right="132"/>
              <w:jc w:val="both"/>
              <w:rPr>
                <w:rFonts w:ascii="Times New Roman" w:hAnsi="Times New Roman"/>
              </w:rPr>
            </w:pPr>
            <w:r w:rsidRPr="00B85F21">
              <w:rPr>
                <w:rFonts w:ascii="Times New Roman" w:hAnsi="Times New Roman"/>
              </w:rPr>
              <w:t xml:space="preserve">3. There is the quality of service provided by the Lands Commission </w:t>
            </w:r>
          </w:p>
        </w:tc>
        <w:tc>
          <w:tcPr>
            <w:tcW w:w="1005" w:type="dxa"/>
          </w:tcPr>
          <w:p w14:paraId="27EE1E9D"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r w:rsidRPr="00B85F21">
              <w:rPr>
                <w:rFonts w:ascii="Times New Roman" w:hAnsi="Times New Roman"/>
                <w:color w:val="000000" w:themeColor="text1"/>
              </w:rPr>
              <w:t>.813</w:t>
            </w:r>
          </w:p>
        </w:tc>
        <w:tc>
          <w:tcPr>
            <w:tcW w:w="1510" w:type="dxa"/>
          </w:tcPr>
          <w:p w14:paraId="75193916" w14:textId="77777777" w:rsidR="00F03CB1" w:rsidRPr="00B85F21" w:rsidRDefault="00F03CB1" w:rsidP="00B85F21">
            <w:pPr>
              <w:autoSpaceDE w:val="0"/>
              <w:autoSpaceDN w:val="0"/>
              <w:adjustRightInd w:val="0"/>
              <w:jc w:val="both"/>
              <w:rPr>
                <w:rFonts w:ascii="Times New Roman" w:hAnsi="Times New Roman"/>
                <w:b/>
                <w:color w:val="000000" w:themeColor="text1"/>
              </w:rPr>
            </w:pPr>
          </w:p>
        </w:tc>
      </w:tr>
      <w:tr w:rsidR="00F03CB1" w:rsidRPr="00B85F21" w14:paraId="2449640A" w14:textId="77777777" w:rsidTr="00BB3E12">
        <w:trPr>
          <w:trHeight w:val="270"/>
        </w:trPr>
        <w:tc>
          <w:tcPr>
            <w:tcW w:w="6112" w:type="dxa"/>
          </w:tcPr>
          <w:p w14:paraId="6E847704" w14:textId="77777777" w:rsidR="00F03CB1" w:rsidRPr="00B85F21" w:rsidRDefault="00F03CB1" w:rsidP="00B85F21">
            <w:pPr>
              <w:autoSpaceDE w:val="0"/>
              <w:autoSpaceDN w:val="0"/>
              <w:adjustRightInd w:val="0"/>
              <w:ind w:right="132"/>
              <w:jc w:val="both"/>
              <w:rPr>
                <w:rFonts w:ascii="Times New Roman" w:hAnsi="Times New Roman"/>
                <w:b/>
                <w:color w:val="000000" w:themeColor="text1"/>
              </w:rPr>
            </w:pPr>
          </w:p>
          <w:p w14:paraId="6AD6B868" w14:textId="77777777" w:rsidR="00F03CB1" w:rsidRPr="00B85F21" w:rsidRDefault="00F03CB1" w:rsidP="00B85F21">
            <w:pPr>
              <w:autoSpaceDE w:val="0"/>
              <w:autoSpaceDN w:val="0"/>
              <w:adjustRightInd w:val="0"/>
              <w:ind w:right="132"/>
              <w:jc w:val="both"/>
              <w:rPr>
                <w:rFonts w:ascii="Times New Roman" w:hAnsi="Times New Roman"/>
                <w:b/>
                <w:color w:val="000000" w:themeColor="text1"/>
              </w:rPr>
            </w:pPr>
            <w:r w:rsidRPr="00B85F21">
              <w:rPr>
                <w:rFonts w:ascii="Times New Roman" w:hAnsi="Times New Roman"/>
                <w:b/>
                <w:color w:val="000000" w:themeColor="text1"/>
              </w:rPr>
              <w:t xml:space="preserve">Internal land administration reforms </w:t>
            </w:r>
          </w:p>
        </w:tc>
        <w:tc>
          <w:tcPr>
            <w:tcW w:w="1005" w:type="dxa"/>
          </w:tcPr>
          <w:p w14:paraId="4A6D539C"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p>
        </w:tc>
        <w:tc>
          <w:tcPr>
            <w:tcW w:w="1510" w:type="dxa"/>
          </w:tcPr>
          <w:p w14:paraId="5F2D5BD1" w14:textId="77777777" w:rsidR="00F03CB1" w:rsidRPr="00B85F21" w:rsidRDefault="00F03CB1" w:rsidP="00B85F21">
            <w:pPr>
              <w:autoSpaceDE w:val="0"/>
              <w:autoSpaceDN w:val="0"/>
              <w:adjustRightInd w:val="0"/>
              <w:jc w:val="both"/>
              <w:rPr>
                <w:rFonts w:ascii="Times New Roman" w:hAnsi="Times New Roman"/>
                <w:b/>
                <w:color w:val="000000" w:themeColor="text1"/>
              </w:rPr>
            </w:pPr>
          </w:p>
          <w:p w14:paraId="6A283A17" w14:textId="77777777" w:rsidR="00F03CB1" w:rsidRPr="00B85F21" w:rsidRDefault="00F03CB1" w:rsidP="00B85F21">
            <w:pPr>
              <w:autoSpaceDE w:val="0"/>
              <w:autoSpaceDN w:val="0"/>
              <w:adjustRightInd w:val="0"/>
              <w:jc w:val="both"/>
              <w:rPr>
                <w:rFonts w:ascii="Times New Roman" w:hAnsi="Times New Roman"/>
                <w:b/>
                <w:color w:val="000000" w:themeColor="text1"/>
              </w:rPr>
            </w:pPr>
            <w:r w:rsidRPr="00B85F21">
              <w:rPr>
                <w:rFonts w:ascii="Times New Roman" w:hAnsi="Times New Roman"/>
                <w:b/>
                <w:color w:val="000000" w:themeColor="text1"/>
              </w:rPr>
              <w:t>.717</w:t>
            </w:r>
          </w:p>
        </w:tc>
      </w:tr>
      <w:tr w:rsidR="00F03CB1" w:rsidRPr="00B85F21" w14:paraId="5961F24C" w14:textId="77777777" w:rsidTr="00BB3E12">
        <w:trPr>
          <w:trHeight w:val="285"/>
        </w:trPr>
        <w:tc>
          <w:tcPr>
            <w:tcW w:w="6112" w:type="dxa"/>
          </w:tcPr>
          <w:p w14:paraId="2E8FABC0" w14:textId="77777777" w:rsidR="00F03CB1" w:rsidRPr="00B85F21" w:rsidRDefault="00F03CB1" w:rsidP="00B85F21">
            <w:pPr>
              <w:ind w:right="132"/>
              <w:jc w:val="both"/>
              <w:rPr>
                <w:rFonts w:ascii="Times New Roman" w:hAnsi="Times New Roman"/>
              </w:rPr>
            </w:pPr>
            <w:r w:rsidRPr="00B85F21">
              <w:rPr>
                <w:rFonts w:ascii="Times New Roman" w:hAnsi="Times New Roman"/>
              </w:rPr>
              <w:t xml:space="preserve">1. The LC has clear budgetary allocations for the Divisions </w:t>
            </w:r>
          </w:p>
        </w:tc>
        <w:tc>
          <w:tcPr>
            <w:tcW w:w="1005" w:type="dxa"/>
          </w:tcPr>
          <w:p w14:paraId="58BCAF9A"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r w:rsidRPr="00B85F21">
              <w:rPr>
                <w:rFonts w:ascii="Times New Roman" w:hAnsi="Times New Roman"/>
                <w:color w:val="000000" w:themeColor="text1"/>
              </w:rPr>
              <w:t>.741</w:t>
            </w:r>
          </w:p>
        </w:tc>
        <w:tc>
          <w:tcPr>
            <w:tcW w:w="1510" w:type="dxa"/>
          </w:tcPr>
          <w:p w14:paraId="59A99264" w14:textId="77777777" w:rsidR="00F03CB1" w:rsidRPr="00B85F21" w:rsidRDefault="00F03CB1" w:rsidP="00B85F21">
            <w:pPr>
              <w:autoSpaceDE w:val="0"/>
              <w:autoSpaceDN w:val="0"/>
              <w:adjustRightInd w:val="0"/>
              <w:jc w:val="both"/>
              <w:rPr>
                <w:rFonts w:ascii="Times New Roman" w:hAnsi="Times New Roman"/>
                <w:b/>
                <w:color w:val="000000" w:themeColor="text1"/>
              </w:rPr>
            </w:pPr>
          </w:p>
        </w:tc>
      </w:tr>
      <w:tr w:rsidR="00F03CB1" w:rsidRPr="00B85F21" w14:paraId="61593619" w14:textId="77777777" w:rsidTr="00BB3E12">
        <w:trPr>
          <w:trHeight w:val="270"/>
        </w:trPr>
        <w:tc>
          <w:tcPr>
            <w:tcW w:w="6112" w:type="dxa"/>
          </w:tcPr>
          <w:p w14:paraId="1D994400" w14:textId="77777777" w:rsidR="00F03CB1" w:rsidRPr="00B85F21" w:rsidRDefault="00F03CB1" w:rsidP="00B85F21">
            <w:pPr>
              <w:ind w:right="132"/>
              <w:jc w:val="both"/>
              <w:rPr>
                <w:rFonts w:ascii="Times New Roman" w:hAnsi="Times New Roman"/>
              </w:rPr>
            </w:pPr>
            <w:r w:rsidRPr="00B85F21">
              <w:rPr>
                <w:rFonts w:ascii="Times New Roman" w:hAnsi="Times New Roman"/>
              </w:rPr>
              <w:t xml:space="preserve">2. In the LC, there is in place a results framework for staff </w:t>
            </w:r>
          </w:p>
        </w:tc>
        <w:tc>
          <w:tcPr>
            <w:tcW w:w="1005" w:type="dxa"/>
          </w:tcPr>
          <w:p w14:paraId="1BD2672E"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r w:rsidRPr="00B85F21">
              <w:rPr>
                <w:rFonts w:ascii="Times New Roman" w:hAnsi="Times New Roman"/>
                <w:color w:val="000000" w:themeColor="text1"/>
              </w:rPr>
              <w:t>.794</w:t>
            </w:r>
          </w:p>
        </w:tc>
        <w:tc>
          <w:tcPr>
            <w:tcW w:w="1510" w:type="dxa"/>
          </w:tcPr>
          <w:p w14:paraId="71CD0582" w14:textId="77777777" w:rsidR="00F03CB1" w:rsidRPr="00B85F21" w:rsidRDefault="00F03CB1" w:rsidP="00B85F21">
            <w:pPr>
              <w:autoSpaceDE w:val="0"/>
              <w:autoSpaceDN w:val="0"/>
              <w:adjustRightInd w:val="0"/>
              <w:jc w:val="both"/>
              <w:rPr>
                <w:rFonts w:ascii="Times New Roman" w:hAnsi="Times New Roman"/>
                <w:b/>
                <w:color w:val="000000" w:themeColor="text1"/>
              </w:rPr>
            </w:pPr>
          </w:p>
        </w:tc>
      </w:tr>
      <w:tr w:rsidR="00F03CB1" w:rsidRPr="00B85F21" w14:paraId="68CD92BE" w14:textId="77777777" w:rsidTr="00BB3E12">
        <w:trPr>
          <w:trHeight w:val="285"/>
        </w:trPr>
        <w:tc>
          <w:tcPr>
            <w:tcW w:w="6112" w:type="dxa"/>
          </w:tcPr>
          <w:p w14:paraId="367D503F" w14:textId="77777777" w:rsidR="00F03CB1" w:rsidRPr="00B85F21" w:rsidRDefault="00F03CB1" w:rsidP="00B85F21">
            <w:pPr>
              <w:ind w:right="132"/>
              <w:jc w:val="both"/>
              <w:rPr>
                <w:rFonts w:ascii="Times New Roman" w:hAnsi="Times New Roman"/>
              </w:rPr>
            </w:pPr>
            <w:r w:rsidRPr="00B85F21">
              <w:rPr>
                <w:rFonts w:ascii="Times New Roman" w:hAnsi="Times New Roman"/>
              </w:rPr>
              <w:t>3. There are frequent staff performance appraisals</w:t>
            </w:r>
          </w:p>
        </w:tc>
        <w:tc>
          <w:tcPr>
            <w:tcW w:w="1005" w:type="dxa"/>
          </w:tcPr>
          <w:p w14:paraId="007C61B3"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r w:rsidRPr="00B85F21">
              <w:rPr>
                <w:rFonts w:ascii="Times New Roman" w:hAnsi="Times New Roman"/>
                <w:color w:val="000000" w:themeColor="text1"/>
              </w:rPr>
              <w:t>.803</w:t>
            </w:r>
          </w:p>
        </w:tc>
        <w:tc>
          <w:tcPr>
            <w:tcW w:w="1510" w:type="dxa"/>
          </w:tcPr>
          <w:p w14:paraId="3EBCB737" w14:textId="77777777" w:rsidR="00F03CB1" w:rsidRPr="00B85F21" w:rsidRDefault="00F03CB1" w:rsidP="00B85F21">
            <w:pPr>
              <w:autoSpaceDE w:val="0"/>
              <w:autoSpaceDN w:val="0"/>
              <w:adjustRightInd w:val="0"/>
              <w:jc w:val="both"/>
              <w:rPr>
                <w:rFonts w:ascii="Times New Roman" w:hAnsi="Times New Roman"/>
                <w:b/>
                <w:color w:val="000000" w:themeColor="text1"/>
              </w:rPr>
            </w:pPr>
          </w:p>
        </w:tc>
      </w:tr>
      <w:tr w:rsidR="00F03CB1" w:rsidRPr="00B85F21" w14:paraId="58543B48" w14:textId="77777777" w:rsidTr="00BB3E12">
        <w:trPr>
          <w:trHeight w:val="541"/>
        </w:trPr>
        <w:tc>
          <w:tcPr>
            <w:tcW w:w="6112" w:type="dxa"/>
          </w:tcPr>
          <w:p w14:paraId="31837F8E" w14:textId="77777777" w:rsidR="00F03CB1" w:rsidRPr="00B85F21" w:rsidRDefault="00F03CB1" w:rsidP="00B85F21">
            <w:pPr>
              <w:autoSpaceDE w:val="0"/>
              <w:autoSpaceDN w:val="0"/>
              <w:adjustRightInd w:val="0"/>
              <w:ind w:right="132"/>
              <w:jc w:val="both"/>
              <w:rPr>
                <w:rFonts w:ascii="Times New Roman" w:hAnsi="Times New Roman"/>
                <w:b/>
                <w:color w:val="000000" w:themeColor="text1"/>
              </w:rPr>
            </w:pPr>
          </w:p>
          <w:p w14:paraId="1CC14015" w14:textId="77777777" w:rsidR="00F03CB1" w:rsidRPr="00B85F21" w:rsidRDefault="00F03CB1" w:rsidP="00B85F21">
            <w:pPr>
              <w:autoSpaceDE w:val="0"/>
              <w:autoSpaceDN w:val="0"/>
              <w:adjustRightInd w:val="0"/>
              <w:ind w:right="132"/>
              <w:jc w:val="both"/>
              <w:rPr>
                <w:rFonts w:ascii="Times New Roman" w:hAnsi="Times New Roman"/>
                <w:b/>
                <w:color w:val="000000" w:themeColor="text1"/>
              </w:rPr>
            </w:pPr>
            <w:r w:rsidRPr="00B85F21">
              <w:rPr>
                <w:rFonts w:ascii="Times New Roman" w:hAnsi="Times New Roman"/>
                <w:b/>
                <w:color w:val="000000" w:themeColor="text1"/>
              </w:rPr>
              <w:t>External land administration reforms</w:t>
            </w:r>
          </w:p>
        </w:tc>
        <w:tc>
          <w:tcPr>
            <w:tcW w:w="1005" w:type="dxa"/>
          </w:tcPr>
          <w:p w14:paraId="3CC422C5"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p>
        </w:tc>
        <w:tc>
          <w:tcPr>
            <w:tcW w:w="1510" w:type="dxa"/>
          </w:tcPr>
          <w:p w14:paraId="4B76C1CC" w14:textId="77777777" w:rsidR="00F03CB1" w:rsidRPr="00B85F21" w:rsidRDefault="00F03CB1" w:rsidP="00B85F21">
            <w:pPr>
              <w:autoSpaceDE w:val="0"/>
              <w:autoSpaceDN w:val="0"/>
              <w:adjustRightInd w:val="0"/>
              <w:jc w:val="both"/>
              <w:rPr>
                <w:rFonts w:ascii="Times New Roman" w:hAnsi="Times New Roman"/>
                <w:b/>
                <w:color w:val="000000" w:themeColor="text1"/>
              </w:rPr>
            </w:pPr>
          </w:p>
          <w:p w14:paraId="25F58DF8" w14:textId="77777777" w:rsidR="00F03CB1" w:rsidRPr="00B85F21" w:rsidRDefault="00F03CB1" w:rsidP="00B85F21">
            <w:pPr>
              <w:autoSpaceDE w:val="0"/>
              <w:autoSpaceDN w:val="0"/>
              <w:adjustRightInd w:val="0"/>
              <w:jc w:val="both"/>
              <w:rPr>
                <w:rFonts w:ascii="Times New Roman" w:hAnsi="Times New Roman"/>
                <w:b/>
                <w:color w:val="000000" w:themeColor="text1"/>
              </w:rPr>
            </w:pPr>
            <w:r w:rsidRPr="00B85F21">
              <w:rPr>
                <w:rFonts w:ascii="Times New Roman" w:hAnsi="Times New Roman"/>
                <w:b/>
                <w:color w:val="000000" w:themeColor="text1"/>
              </w:rPr>
              <w:t>.764</w:t>
            </w:r>
          </w:p>
        </w:tc>
      </w:tr>
      <w:tr w:rsidR="00F03CB1" w:rsidRPr="00B85F21" w14:paraId="0D2BB4B4" w14:textId="77777777" w:rsidTr="00BB3E12">
        <w:trPr>
          <w:trHeight w:val="285"/>
        </w:trPr>
        <w:tc>
          <w:tcPr>
            <w:tcW w:w="6112" w:type="dxa"/>
          </w:tcPr>
          <w:p w14:paraId="32733158" w14:textId="77777777" w:rsidR="00F03CB1" w:rsidRPr="00B85F21" w:rsidRDefault="00F03CB1" w:rsidP="00B85F21">
            <w:pPr>
              <w:ind w:right="132"/>
              <w:jc w:val="both"/>
              <w:rPr>
                <w:rFonts w:ascii="Times New Roman" w:hAnsi="Times New Roman"/>
              </w:rPr>
            </w:pPr>
            <w:r w:rsidRPr="00B85F21">
              <w:rPr>
                <w:rFonts w:ascii="Times New Roman" w:hAnsi="Times New Roman"/>
              </w:rPr>
              <w:t xml:space="preserve">1. Reforms have reduced bureaucracy within the LC </w:t>
            </w:r>
          </w:p>
        </w:tc>
        <w:tc>
          <w:tcPr>
            <w:tcW w:w="1005" w:type="dxa"/>
          </w:tcPr>
          <w:p w14:paraId="0838BDEF"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r w:rsidRPr="00B85F21">
              <w:rPr>
                <w:rFonts w:ascii="Times New Roman" w:hAnsi="Times New Roman"/>
                <w:color w:val="000000" w:themeColor="text1"/>
              </w:rPr>
              <w:t>.836</w:t>
            </w:r>
          </w:p>
        </w:tc>
        <w:tc>
          <w:tcPr>
            <w:tcW w:w="1510" w:type="dxa"/>
          </w:tcPr>
          <w:p w14:paraId="03DB3FD0" w14:textId="77777777" w:rsidR="00F03CB1" w:rsidRPr="00B85F21" w:rsidRDefault="00F03CB1" w:rsidP="00B85F21">
            <w:pPr>
              <w:autoSpaceDE w:val="0"/>
              <w:autoSpaceDN w:val="0"/>
              <w:adjustRightInd w:val="0"/>
              <w:jc w:val="both"/>
              <w:rPr>
                <w:rFonts w:ascii="Times New Roman" w:hAnsi="Times New Roman"/>
                <w:color w:val="000000" w:themeColor="text1"/>
              </w:rPr>
            </w:pPr>
          </w:p>
        </w:tc>
      </w:tr>
      <w:tr w:rsidR="00F03CB1" w:rsidRPr="00B85F21" w14:paraId="1689FF2F" w14:textId="77777777" w:rsidTr="00BB3E12">
        <w:trPr>
          <w:trHeight w:val="270"/>
        </w:trPr>
        <w:tc>
          <w:tcPr>
            <w:tcW w:w="6112" w:type="dxa"/>
          </w:tcPr>
          <w:p w14:paraId="60C02253" w14:textId="77777777" w:rsidR="00F03CB1" w:rsidRPr="00B85F21" w:rsidRDefault="00F03CB1" w:rsidP="00B85F21">
            <w:pPr>
              <w:ind w:right="132"/>
              <w:jc w:val="both"/>
              <w:rPr>
                <w:rFonts w:ascii="Times New Roman" w:hAnsi="Times New Roman"/>
              </w:rPr>
            </w:pPr>
            <w:r w:rsidRPr="00B85F21">
              <w:rPr>
                <w:rFonts w:ascii="Times New Roman" w:hAnsi="Times New Roman"/>
              </w:rPr>
              <w:t xml:space="preserve">2. Digitization of land records has aided service delivery </w:t>
            </w:r>
          </w:p>
        </w:tc>
        <w:tc>
          <w:tcPr>
            <w:tcW w:w="1005" w:type="dxa"/>
          </w:tcPr>
          <w:p w14:paraId="45F1A830"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r w:rsidRPr="00B85F21">
              <w:rPr>
                <w:rFonts w:ascii="Times New Roman" w:hAnsi="Times New Roman"/>
                <w:color w:val="000000" w:themeColor="text1"/>
              </w:rPr>
              <w:t>.831</w:t>
            </w:r>
          </w:p>
        </w:tc>
        <w:tc>
          <w:tcPr>
            <w:tcW w:w="1510" w:type="dxa"/>
          </w:tcPr>
          <w:p w14:paraId="62CE11B4" w14:textId="77777777" w:rsidR="00F03CB1" w:rsidRPr="00B85F21" w:rsidRDefault="00F03CB1" w:rsidP="00B85F21">
            <w:pPr>
              <w:autoSpaceDE w:val="0"/>
              <w:autoSpaceDN w:val="0"/>
              <w:adjustRightInd w:val="0"/>
              <w:jc w:val="both"/>
              <w:rPr>
                <w:rFonts w:ascii="Times New Roman" w:hAnsi="Times New Roman"/>
                <w:color w:val="000000" w:themeColor="text1"/>
              </w:rPr>
            </w:pPr>
          </w:p>
        </w:tc>
      </w:tr>
      <w:tr w:rsidR="00F03CB1" w:rsidRPr="00B85F21" w14:paraId="5D2A74B3" w14:textId="77777777" w:rsidTr="00BB3E12">
        <w:trPr>
          <w:trHeight w:val="541"/>
        </w:trPr>
        <w:tc>
          <w:tcPr>
            <w:tcW w:w="6112" w:type="dxa"/>
          </w:tcPr>
          <w:p w14:paraId="470F6AEA" w14:textId="77777777" w:rsidR="00F03CB1" w:rsidRPr="00B85F21" w:rsidRDefault="00F03CB1" w:rsidP="00B85F21">
            <w:pPr>
              <w:ind w:right="132"/>
              <w:jc w:val="both"/>
              <w:rPr>
                <w:rFonts w:ascii="Times New Roman" w:hAnsi="Times New Roman"/>
              </w:rPr>
            </w:pPr>
            <w:r w:rsidRPr="00B85F21">
              <w:rPr>
                <w:rFonts w:ascii="Times New Roman" w:hAnsi="Times New Roman"/>
              </w:rPr>
              <w:t>3. The implementation of the Enterprise Land Information System (ELIS) has eliminated delays in service delivery</w:t>
            </w:r>
          </w:p>
        </w:tc>
        <w:tc>
          <w:tcPr>
            <w:tcW w:w="1005" w:type="dxa"/>
          </w:tcPr>
          <w:p w14:paraId="35857FBB" w14:textId="77777777" w:rsidR="00F03CB1" w:rsidRPr="00B85F21" w:rsidRDefault="00F03CB1" w:rsidP="00B85F21">
            <w:pPr>
              <w:autoSpaceDE w:val="0"/>
              <w:autoSpaceDN w:val="0"/>
              <w:adjustRightInd w:val="0"/>
              <w:ind w:left="60" w:right="60"/>
              <w:jc w:val="both"/>
              <w:rPr>
                <w:rFonts w:ascii="Times New Roman" w:hAnsi="Times New Roman"/>
                <w:color w:val="000000" w:themeColor="text1"/>
              </w:rPr>
            </w:pPr>
            <w:r w:rsidRPr="00B85F21">
              <w:rPr>
                <w:rFonts w:ascii="Times New Roman" w:hAnsi="Times New Roman"/>
                <w:color w:val="000000" w:themeColor="text1"/>
              </w:rPr>
              <w:t>.754</w:t>
            </w:r>
          </w:p>
        </w:tc>
        <w:tc>
          <w:tcPr>
            <w:tcW w:w="1510" w:type="dxa"/>
          </w:tcPr>
          <w:p w14:paraId="5D81F1EA" w14:textId="77777777" w:rsidR="00F03CB1" w:rsidRPr="00B85F21" w:rsidRDefault="00F03CB1" w:rsidP="00B85F21">
            <w:pPr>
              <w:autoSpaceDE w:val="0"/>
              <w:autoSpaceDN w:val="0"/>
              <w:adjustRightInd w:val="0"/>
              <w:jc w:val="both"/>
              <w:rPr>
                <w:rFonts w:ascii="Times New Roman" w:hAnsi="Times New Roman"/>
                <w:color w:val="000000" w:themeColor="text1"/>
              </w:rPr>
            </w:pPr>
          </w:p>
        </w:tc>
      </w:tr>
    </w:tbl>
    <w:p w14:paraId="40CBD6F0" w14:textId="77777777" w:rsidR="00F03CB1" w:rsidRPr="00BC1A01" w:rsidRDefault="00F03CB1" w:rsidP="00B20C4D">
      <w:pPr>
        <w:spacing w:after="0" w:line="480" w:lineRule="auto"/>
        <w:rPr>
          <w:rFonts w:eastAsia="Calibri" w:cs="Times New Roman"/>
          <w:sz w:val="20"/>
          <w:szCs w:val="20"/>
        </w:rPr>
        <w:sectPr w:rsidR="00F03CB1" w:rsidRPr="00BC1A01" w:rsidSect="00B325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5525F2FF" w14:textId="44C3F2A5" w:rsidR="0069543B" w:rsidRPr="0069543B" w:rsidRDefault="0069543B" w:rsidP="0069543B">
      <w:pPr>
        <w:spacing w:before="0" w:after="0" w:line="480" w:lineRule="auto"/>
        <w:ind w:left="360"/>
        <w:jc w:val="center"/>
        <w:rPr>
          <w:rFonts w:eastAsia="Calibri" w:cs="Times New Roman"/>
          <w:color w:val="000000"/>
          <w:kern w:val="0"/>
          <w:sz w:val="20"/>
          <w:szCs w:val="20"/>
          <w:lang w:eastAsia="en-US"/>
          <w14:ligatures w14:val="none"/>
        </w:rPr>
      </w:pPr>
      <w:bookmarkStart w:id="21" w:name="_Toc510623879"/>
      <w:bookmarkStart w:id="22" w:name="_Toc17718835"/>
      <w:bookmarkStart w:id="23" w:name="_Toc177304727"/>
      <w:r w:rsidRPr="0069543B">
        <w:rPr>
          <w:rFonts w:eastAsia="Calibri" w:cs="Times New Roman"/>
          <w:color w:val="000000"/>
          <w:kern w:val="0"/>
          <w:sz w:val="20"/>
          <w:szCs w:val="20"/>
          <w:lang w:val="en-GB" w:eastAsia="en-US"/>
          <w14:ligatures w14:val="none"/>
        </w:rPr>
        <w:lastRenderedPageBreak/>
        <w:t>Source: Researcher’s field note (2024)</w:t>
      </w:r>
    </w:p>
    <w:p w14:paraId="67017BD8" w14:textId="610698EF" w:rsidR="00F03CB1" w:rsidRPr="0069543B" w:rsidRDefault="00F03CB1" w:rsidP="00B20C4D">
      <w:pPr>
        <w:keepNext/>
        <w:spacing w:before="240" w:after="60" w:line="480" w:lineRule="auto"/>
        <w:outlineLvl w:val="1"/>
        <w:rPr>
          <w:rFonts w:eastAsia="Times New Roman" w:cs="Times New Roman"/>
          <w:b/>
          <w:bCs/>
          <w:iCs/>
          <w:sz w:val="20"/>
          <w:szCs w:val="20"/>
          <w:lang w:val="x-none" w:eastAsia="x-none"/>
        </w:rPr>
      </w:pPr>
      <w:r w:rsidRPr="0069543B">
        <w:rPr>
          <w:rFonts w:eastAsia="Times New Roman" w:cs="Times New Roman"/>
          <w:b/>
          <w:bCs/>
          <w:iCs/>
          <w:sz w:val="20"/>
          <w:szCs w:val="20"/>
          <w:lang w:val="x-none" w:eastAsia="x-none"/>
        </w:rPr>
        <w:t>4.3 Correlation and descriptive statistics</w:t>
      </w:r>
      <w:bookmarkEnd w:id="21"/>
      <w:bookmarkEnd w:id="22"/>
      <w:bookmarkEnd w:id="23"/>
    </w:p>
    <w:p w14:paraId="3EF8F253" w14:textId="5F8CC53A" w:rsidR="00F03CB1" w:rsidRPr="00BC1A01" w:rsidRDefault="00F03CB1" w:rsidP="00B20C4D">
      <w:pPr>
        <w:spacing w:after="0" w:line="480" w:lineRule="auto"/>
        <w:rPr>
          <w:rFonts w:eastAsia="Calibri" w:cs="Times New Roman"/>
          <w:sz w:val="20"/>
          <w:szCs w:val="20"/>
        </w:rPr>
      </w:pPr>
      <w:r w:rsidRPr="00BC1A01">
        <w:rPr>
          <w:rFonts w:eastAsia="Calibri" w:cs="Times New Roman"/>
          <w:sz w:val="20"/>
          <w:szCs w:val="20"/>
        </w:rPr>
        <w:t>This section reports the statistics of key variables used in the study</w:t>
      </w:r>
      <w:r w:rsidR="00BB3E12" w:rsidRPr="00BC1A01">
        <w:rPr>
          <w:rFonts w:eastAsia="Calibri" w:cs="Times New Roman"/>
          <w:sz w:val="20"/>
          <w:szCs w:val="20"/>
        </w:rPr>
        <w:t>,</w:t>
      </w:r>
      <w:r w:rsidRPr="00BC1A01">
        <w:rPr>
          <w:rFonts w:eastAsia="Calibri" w:cs="Times New Roman"/>
          <w:sz w:val="20"/>
          <w:szCs w:val="20"/>
        </w:rPr>
        <w:t xml:space="preserve"> as shown in Table 4</w:t>
      </w:r>
      <w:r w:rsidR="00BB3E12" w:rsidRPr="00BC1A01">
        <w:rPr>
          <w:rFonts w:eastAsia="Calibri" w:cs="Times New Roman"/>
          <w:sz w:val="20"/>
          <w:szCs w:val="20"/>
        </w:rPr>
        <w:t>.</w:t>
      </w:r>
      <w:r w:rsidRPr="00BC1A01">
        <w:rPr>
          <w:rFonts w:eastAsia="Calibri" w:cs="Times New Roman"/>
          <w:sz w:val="20"/>
          <w:szCs w:val="20"/>
        </w:rPr>
        <w:t xml:space="preserve"> In terms of intrinsic motivation, there was a general agreement that intrinsic motivation (</w:t>
      </w:r>
      <w:r w:rsidRPr="00BC1A01">
        <w:rPr>
          <w:rFonts w:eastAsia="Calibri" w:cs="Times New Roman"/>
          <w:i/>
          <w:sz w:val="20"/>
          <w:szCs w:val="20"/>
        </w:rPr>
        <w:t>Mean</w:t>
      </w:r>
      <w:r w:rsidRPr="00BC1A01">
        <w:rPr>
          <w:rFonts w:eastAsia="Calibri" w:cs="Times New Roman"/>
          <w:sz w:val="20"/>
          <w:szCs w:val="20"/>
        </w:rPr>
        <w:t xml:space="preserve"> = approximately 2.9, SD = .98) leads to service delivery. Respondents also felt that extrinsic motivation (</w:t>
      </w:r>
      <w:r w:rsidRPr="00BC1A01">
        <w:rPr>
          <w:rFonts w:eastAsia="Calibri" w:cs="Times New Roman"/>
          <w:i/>
          <w:sz w:val="20"/>
          <w:szCs w:val="20"/>
        </w:rPr>
        <w:t>Mean</w:t>
      </w:r>
      <w:r w:rsidRPr="00BC1A01">
        <w:rPr>
          <w:rFonts w:eastAsia="Calibri" w:cs="Times New Roman"/>
          <w:sz w:val="20"/>
          <w:szCs w:val="20"/>
        </w:rPr>
        <w:t xml:space="preserve"> = 3.02, </w:t>
      </w:r>
      <w:r w:rsidRPr="00BC1A01">
        <w:rPr>
          <w:rFonts w:eastAsia="Calibri" w:cs="Times New Roman"/>
          <w:i/>
          <w:sz w:val="20"/>
          <w:szCs w:val="20"/>
        </w:rPr>
        <w:t>SD</w:t>
      </w:r>
      <w:r w:rsidRPr="00BC1A01">
        <w:rPr>
          <w:rFonts w:eastAsia="Calibri" w:cs="Times New Roman"/>
          <w:sz w:val="20"/>
          <w:szCs w:val="20"/>
        </w:rPr>
        <w:t xml:space="preserve"> = .96) affected land service delivery. </w:t>
      </w:r>
    </w:p>
    <w:p w14:paraId="6F75205C" w14:textId="77C04188" w:rsidR="00F03CB1" w:rsidRPr="0069543B" w:rsidRDefault="00F03CB1" w:rsidP="0069543B">
      <w:pPr>
        <w:pStyle w:val="Caption"/>
        <w:spacing w:line="480" w:lineRule="auto"/>
        <w:jc w:val="center"/>
        <w:rPr>
          <w:rFonts w:eastAsia="Times New Roman"/>
          <w:b/>
          <w:color w:val="000000"/>
          <w:sz w:val="20"/>
          <w:szCs w:val="20"/>
        </w:rPr>
      </w:pPr>
      <w:bookmarkStart w:id="24" w:name="_Toc177304752"/>
      <w:r w:rsidRPr="0069543B">
        <w:rPr>
          <w:b/>
          <w:sz w:val="20"/>
          <w:szCs w:val="20"/>
        </w:rPr>
        <w:t>Table 4</w:t>
      </w:r>
      <w:r w:rsidR="00BB3E12" w:rsidRPr="0069543B">
        <w:rPr>
          <w:b/>
          <w:sz w:val="20"/>
          <w:szCs w:val="20"/>
        </w:rPr>
        <w:t>:</w:t>
      </w:r>
      <w:r w:rsidRPr="0069543B">
        <w:rPr>
          <w:b/>
          <w:sz w:val="20"/>
          <w:szCs w:val="20"/>
        </w:rPr>
        <w:t xml:space="preserve"> Descriptive statistics</w:t>
      </w:r>
      <w:r w:rsidR="00BB3E12" w:rsidRPr="0069543B">
        <w:rPr>
          <w:b/>
          <w:sz w:val="20"/>
          <w:szCs w:val="20"/>
        </w:rPr>
        <w:t>,</w:t>
      </w:r>
      <w:r w:rsidRPr="0069543B">
        <w:rPr>
          <w:b/>
          <w:sz w:val="20"/>
          <w:szCs w:val="20"/>
        </w:rPr>
        <w:t xml:space="preserve"> demographic variables</w:t>
      </w:r>
      <w:r w:rsidR="00BB3E12" w:rsidRPr="0069543B">
        <w:rPr>
          <w:b/>
          <w:sz w:val="20"/>
          <w:szCs w:val="20"/>
        </w:rPr>
        <w:t>,</w:t>
      </w:r>
      <w:r w:rsidRPr="0069543B">
        <w:rPr>
          <w:b/>
          <w:sz w:val="20"/>
          <w:szCs w:val="20"/>
        </w:rPr>
        <w:t xml:space="preserve"> and latent constructs</w:t>
      </w:r>
      <w:bookmarkEnd w:id="24"/>
    </w:p>
    <w:tbl>
      <w:tblPr>
        <w:tblW w:w="8506" w:type="dxa"/>
        <w:shd w:val="clear" w:color="auto" w:fill="FFFFFF" w:themeFill="background1"/>
        <w:tblLayout w:type="fixed"/>
        <w:tblCellMar>
          <w:left w:w="0" w:type="dxa"/>
          <w:right w:w="0" w:type="dxa"/>
        </w:tblCellMar>
        <w:tblLook w:val="0000" w:firstRow="0" w:lastRow="0" w:firstColumn="0" w:lastColumn="0" w:noHBand="0" w:noVBand="0"/>
      </w:tblPr>
      <w:tblGrid>
        <w:gridCol w:w="1980"/>
        <w:gridCol w:w="714"/>
        <w:gridCol w:w="708"/>
        <w:gridCol w:w="851"/>
        <w:gridCol w:w="1087"/>
        <w:gridCol w:w="1039"/>
        <w:gridCol w:w="1134"/>
        <w:gridCol w:w="993"/>
      </w:tblGrid>
      <w:tr w:rsidR="00F03CB1" w:rsidRPr="00B85F21" w14:paraId="4F04B209" w14:textId="77777777" w:rsidTr="006A5476">
        <w:trPr>
          <w:cantSplit/>
        </w:trPr>
        <w:tc>
          <w:tcPr>
            <w:tcW w:w="1980" w:type="dxa"/>
            <w:tcBorders>
              <w:top w:val="single" w:sz="4" w:space="0" w:color="auto"/>
              <w:bottom w:val="single" w:sz="4" w:space="0" w:color="auto"/>
            </w:tcBorders>
            <w:shd w:val="clear" w:color="auto" w:fill="FFFFFF" w:themeFill="background1"/>
          </w:tcPr>
          <w:p w14:paraId="7B674AD3" w14:textId="77777777" w:rsidR="00F03CB1" w:rsidRPr="00B85F21" w:rsidRDefault="00F03CB1" w:rsidP="00B85F21">
            <w:pPr>
              <w:autoSpaceDE w:val="0"/>
              <w:autoSpaceDN w:val="0"/>
              <w:adjustRightInd w:val="0"/>
              <w:spacing w:after="0" w:line="240" w:lineRule="auto"/>
              <w:ind w:left="60" w:right="60"/>
              <w:rPr>
                <w:rFonts w:cs="Times New Roman"/>
                <w:b/>
                <w:color w:val="000000" w:themeColor="text1"/>
                <w:sz w:val="20"/>
                <w:szCs w:val="20"/>
              </w:rPr>
            </w:pPr>
            <w:r w:rsidRPr="00B85F21">
              <w:rPr>
                <w:rFonts w:cs="Times New Roman"/>
                <w:b/>
                <w:color w:val="000000" w:themeColor="text1"/>
                <w:sz w:val="20"/>
                <w:szCs w:val="20"/>
              </w:rPr>
              <w:t xml:space="preserve">Indicators </w:t>
            </w:r>
          </w:p>
        </w:tc>
        <w:tc>
          <w:tcPr>
            <w:tcW w:w="714" w:type="dxa"/>
            <w:tcBorders>
              <w:top w:val="single" w:sz="4" w:space="0" w:color="auto"/>
              <w:bottom w:val="single" w:sz="4" w:space="0" w:color="auto"/>
            </w:tcBorders>
            <w:shd w:val="clear" w:color="auto" w:fill="FFFFFF" w:themeFill="background1"/>
          </w:tcPr>
          <w:p w14:paraId="44AE85F3" w14:textId="77777777" w:rsidR="00F03CB1" w:rsidRPr="00B85F21" w:rsidRDefault="00F03CB1" w:rsidP="00B85F21">
            <w:pPr>
              <w:autoSpaceDE w:val="0"/>
              <w:autoSpaceDN w:val="0"/>
              <w:adjustRightInd w:val="0"/>
              <w:spacing w:after="0" w:line="240" w:lineRule="auto"/>
              <w:ind w:left="60" w:right="60"/>
              <w:rPr>
                <w:rFonts w:cs="Times New Roman"/>
                <w:b/>
                <w:color w:val="000000" w:themeColor="text1"/>
                <w:sz w:val="20"/>
                <w:szCs w:val="20"/>
              </w:rPr>
            </w:pPr>
            <w:r w:rsidRPr="00B85F21">
              <w:rPr>
                <w:rFonts w:cs="Times New Roman"/>
                <w:b/>
                <w:color w:val="000000" w:themeColor="text1"/>
                <w:sz w:val="20"/>
                <w:szCs w:val="20"/>
              </w:rPr>
              <w:t>N</w:t>
            </w:r>
          </w:p>
        </w:tc>
        <w:tc>
          <w:tcPr>
            <w:tcW w:w="708" w:type="dxa"/>
            <w:tcBorders>
              <w:top w:val="single" w:sz="4" w:space="0" w:color="auto"/>
              <w:bottom w:val="single" w:sz="4" w:space="0" w:color="auto"/>
            </w:tcBorders>
            <w:shd w:val="clear" w:color="auto" w:fill="FFFFFF" w:themeFill="background1"/>
          </w:tcPr>
          <w:p w14:paraId="76559A82" w14:textId="77777777" w:rsidR="00F03CB1" w:rsidRPr="00B85F21" w:rsidRDefault="00F03CB1" w:rsidP="00B85F21">
            <w:pPr>
              <w:autoSpaceDE w:val="0"/>
              <w:autoSpaceDN w:val="0"/>
              <w:adjustRightInd w:val="0"/>
              <w:spacing w:after="0" w:line="240" w:lineRule="auto"/>
              <w:ind w:left="60" w:right="60"/>
              <w:rPr>
                <w:rFonts w:cs="Times New Roman"/>
                <w:b/>
                <w:color w:val="000000" w:themeColor="text1"/>
                <w:sz w:val="20"/>
                <w:szCs w:val="20"/>
              </w:rPr>
            </w:pPr>
            <w:r w:rsidRPr="00B85F21">
              <w:rPr>
                <w:rFonts w:cs="Times New Roman"/>
                <w:b/>
                <w:color w:val="000000" w:themeColor="text1"/>
                <w:sz w:val="20"/>
                <w:szCs w:val="20"/>
              </w:rPr>
              <w:t>Min</w:t>
            </w:r>
          </w:p>
        </w:tc>
        <w:tc>
          <w:tcPr>
            <w:tcW w:w="851" w:type="dxa"/>
            <w:tcBorders>
              <w:top w:val="single" w:sz="4" w:space="0" w:color="auto"/>
              <w:bottom w:val="single" w:sz="4" w:space="0" w:color="auto"/>
            </w:tcBorders>
            <w:shd w:val="clear" w:color="auto" w:fill="FFFFFF" w:themeFill="background1"/>
          </w:tcPr>
          <w:p w14:paraId="4D156842" w14:textId="77777777" w:rsidR="00F03CB1" w:rsidRPr="00B85F21" w:rsidRDefault="00F03CB1" w:rsidP="00B85F21">
            <w:pPr>
              <w:autoSpaceDE w:val="0"/>
              <w:autoSpaceDN w:val="0"/>
              <w:adjustRightInd w:val="0"/>
              <w:spacing w:after="0" w:line="240" w:lineRule="auto"/>
              <w:ind w:left="60" w:right="60"/>
              <w:rPr>
                <w:rFonts w:cs="Times New Roman"/>
                <w:b/>
                <w:color w:val="000000" w:themeColor="text1"/>
                <w:sz w:val="20"/>
                <w:szCs w:val="20"/>
              </w:rPr>
            </w:pPr>
            <w:r w:rsidRPr="00B85F21">
              <w:rPr>
                <w:rFonts w:cs="Times New Roman"/>
                <w:b/>
                <w:color w:val="000000" w:themeColor="text1"/>
                <w:sz w:val="20"/>
                <w:szCs w:val="20"/>
              </w:rPr>
              <w:t>Max</w:t>
            </w:r>
          </w:p>
        </w:tc>
        <w:tc>
          <w:tcPr>
            <w:tcW w:w="1087" w:type="dxa"/>
            <w:tcBorders>
              <w:top w:val="single" w:sz="4" w:space="0" w:color="auto"/>
              <w:bottom w:val="single" w:sz="4" w:space="0" w:color="auto"/>
            </w:tcBorders>
            <w:shd w:val="clear" w:color="auto" w:fill="FFFFFF" w:themeFill="background1"/>
          </w:tcPr>
          <w:p w14:paraId="494D8FB5" w14:textId="77777777" w:rsidR="00F03CB1" w:rsidRPr="00B85F21" w:rsidRDefault="00F03CB1" w:rsidP="00B85F21">
            <w:pPr>
              <w:autoSpaceDE w:val="0"/>
              <w:autoSpaceDN w:val="0"/>
              <w:adjustRightInd w:val="0"/>
              <w:spacing w:after="0" w:line="240" w:lineRule="auto"/>
              <w:ind w:left="60" w:right="60"/>
              <w:rPr>
                <w:rFonts w:cs="Times New Roman"/>
                <w:b/>
                <w:color w:val="000000" w:themeColor="text1"/>
                <w:sz w:val="20"/>
                <w:szCs w:val="20"/>
              </w:rPr>
            </w:pPr>
            <w:r w:rsidRPr="00B85F21">
              <w:rPr>
                <w:rFonts w:cs="Times New Roman"/>
                <w:b/>
                <w:color w:val="000000" w:themeColor="text1"/>
                <w:sz w:val="20"/>
                <w:szCs w:val="20"/>
              </w:rPr>
              <w:t>Mean</w:t>
            </w:r>
          </w:p>
        </w:tc>
        <w:tc>
          <w:tcPr>
            <w:tcW w:w="1039" w:type="dxa"/>
            <w:tcBorders>
              <w:top w:val="single" w:sz="4" w:space="0" w:color="auto"/>
              <w:bottom w:val="single" w:sz="4" w:space="0" w:color="auto"/>
            </w:tcBorders>
            <w:shd w:val="clear" w:color="auto" w:fill="FFFFFF" w:themeFill="background1"/>
          </w:tcPr>
          <w:p w14:paraId="3F8EE387" w14:textId="77777777" w:rsidR="00F03CB1" w:rsidRPr="00B85F21" w:rsidRDefault="00F03CB1" w:rsidP="00B85F21">
            <w:pPr>
              <w:autoSpaceDE w:val="0"/>
              <w:autoSpaceDN w:val="0"/>
              <w:adjustRightInd w:val="0"/>
              <w:spacing w:after="0" w:line="240" w:lineRule="auto"/>
              <w:ind w:left="60" w:right="60"/>
              <w:rPr>
                <w:rFonts w:cs="Times New Roman"/>
                <w:b/>
                <w:color w:val="000000" w:themeColor="text1"/>
                <w:sz w:val="20"/>
                <w:szCs w:val="20"/>
              </w:rPr>
            </w:pPr>
            <w:r w:rsidRPr="00B85F21">
              <w:rPr>
                <w:rFonts w:cs="Times New Roman"/>
                <w:b/>
                <w:color w:val="000000" w:themeColor="text1"/>
                <w:sz w:val="20"/>
                <w:szCs w:val="20"/>
              </w:rPr>
              <w:t>SD</w:t>
            </w:r>
          </w:p>
        </w:tc>
        <w:tc>
          <w:tcPr>
            <w:tcW w:w="1134" w:type="dxa"/>
            <w:tcBorders>
              <w:top w:val="single" w:sz="4" w:space="0" w:color="auto"/>
              <w:bottom w:val="single" w:sz="4" w:space="0" w:color="auto"/>
            </w:tcBorders>
            <w:shd w:val="clear" w:color="auto" w:fill="FFFFFF" w:themeFill="background1"/>
          </w:tcPr>
          <w:p w14:paraId="67BB8489" w14:textId="77777777" w:rsidR="00F03CB1" w:rsidRPr="00B85F21" w:rsidRDefault="00F03CB1" w:rsidP="00B85F21">
            <w:pPr>
              <w:autoSpaceDE w:val="0"/>
              <w:autoSpaceDN w:val="0"/>
              <w:adjustRightInd w:val="0"/>
              <w:spacing w:after="0" w:line="240" w:lineRule="auto"/>
              <w:ind w:left="60" w:right="60"/>
              <w:rPr>
                <w:rFonts w:cs="Times New Roman"/>
                <w:b/>
                <w:color w:val="000000" w:themeColor="text1"/>
                <w:sz w:val="20"/>
                <w:szCs w:val="20"/>
              </w:rPr>
            </w:pPr>
            <w:r w:rsidRPr="00B85F21">
              <w:rPr>
                <w:rFonts w:cs="Times New Roman"/>
                <w:b/>
                <w:color w:val="000000" w:themeColor="text1"/>
                <w:sz w:val="20"/>
                <w:szCs w:val="20"/>
              </w:rPr>
              <w:t>Skewness</w:t>
            </w:r>
          </w:p>
        </w:tc>
        <w:tc>
          <w:tcPr>
            <w:tcW w:w="993" w:type="dxa"/>
            <w:tcBorders>
              <w:top w:val="single" w:sz="4" w:space="0" w:color="auto"/>
              <w:bottom w:val="single" w:sz="4" w:space="0" w:color="auto"/>
            </w:tcBorders>
            <w:shd w:val="clear" w:color="auto" w:fill="FFFFFF" w:themeFill="background1"/>
          </w:tcPr>
          <w:p w14:paraId="1FD87B73" w14:textId="77777777" w:rsidR="00F03CB1" w:rsidRPr="00B85F21" w:rsidRDefault="00F03CB1" w:rsidP="00B85F21">
            <w:pPr>
              <w:autoSpaceDE w:val="0"/>
              <w:autoSpaceDN w:val="0"/>
              <w:adjustRightInd w:val="0"/>
              <w:spacing w:after="0" w:line="240" w:lineRule="auto"/>
              <w:ind w:left="60" w:right="60"/>
              <w:rPr>
                <w:rFonts w:cs="Times New Roman"/>
                <w:b/>
                <w:color w:val="000000" w:themeColor="text1"/>
                <w:sz w:val="20"/>
                <w:szCs w:val="20"/>
              </w:rPr>
            </w:pPr>
            <w:r w:rsidRPr="00B85F21">
              <w:rPr>
                <w:rFonts w:cs="Times New Roman"/>
                <w:b/>
                <w:color w:val="000000" w:themeColor="text1"/>
                <w:sz w:val="20"/>
                <w:szCs w:val="20"/>
              </w:rPr>
              <w:t>Kurtosis</w:t>
            </w:r>
          </w:p>
        </w:tc>
      </w:tr>
      <w:tr w:rsidR="00F03CB1" w:rsidRPr="00B85F21" w14:paraId="452E4C33" w14:textId="77777777" w:rsidTr="006A5476">
        <w:trPr>
          <w:cantSplit/>
        </w:trPr>
        <w:tc>
          <w:tcPr>
            <w:tcW w:w="1980" w:type="dxa"/>
            <w:tcBorders>
              <w:top w:val="single" w:sz="4" w:space="0" w:color="auto"/>
            </w:tcBorders>
            <w:shd w:val="clear" w:color="auto" w:fill="FFFFFF" w:themeFill="background1"/>
          </w:tcPr>
          <w:p w14:paraId="022ED326"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Region</w:t>
            </w:r>
          </w:p>
        </w:tc>
        <w:tc>
          <w:tcPr>
            <w:tcW w:w="714" w:type="dxa"/>
            <w:tcBorders>
              <w:top w:val="single" w:sz="4" w:space="0" w:color="auto"/>
            </w:tcBorders>
            <w:shd w:val="clear" w:color="auto" w:fill="FFFFFF" w:themeFill="background1"/>
          </w:tcPr>
          <w:p w14:paraId="5966FE0B"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332</w:t>
            </w:r>
          </w:p>
        </w:tc>
        <w:tc>
          <w:tcPr>
            <w:tcW w:w="708" w:type="dxa"/>
            <w:tcBorders>
              <w:top w:val="single" w:sz="4" w:space="0" w:color="auto"/>
            </w:tcBorders>
            <w:shd w:val="clear" w:color="auto" w:fill="FFFFFF" w:themeFill="background1"/>
          </w:tcPr>
          <w:p w14:paraId="5F2CD067"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1.00</w:t>
            </w:r>
          </w:p>
        </w:tc>
        <w:tc>
          <w:tcPr>
            <w:tcW w:w="851" w:type="dxa"/>
            <w:tcBorders>
              <w:top w:val="single" w:sz="4" w:space="0" w:color="auto"/>
            </w:tcBorders>
            <w:shd w:val="clear" w:color="auto" w:fill="FFFFFF" w:themeFill="background1"/>
          </w:tcPr>
          <w:p w14:paraId="5543D92E"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16.00</w:t>
            </w:r>
          </w:p>
        </w:tc>
        <w:tc>
          <w:tcPr>
            <w:tcW w:w="1087" w:type="dxa"/>
            <w:tcBorders>
              <w:top w:val="single" w:sz="4" w:space="0" w:color="auto"/>
            </w:tcBorders>
            <w:shd w:val="clear" w:color="auto" w:fill="FFFFFF" w:themeFill="background1"/>
          </w:tcPr>
          <w:p w14:paraId="26EFAAC8"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5.3253</w:t>
            </w:r>
          </w:p>
        </w:tc>
        <w:tc>
          <w:tcPr>
            <w:tcW w:w="1039" w:type="dxa"/>
            <w:tcBorders>
              <w:top w:val="single" w:sz="4" w:space="0" w:color="auto"/>
            </w:tcBorders>
            <w:shd w:val="clear" w:color="auto" w:fill="FFFFFF" w:themeFill="background1"/>
          </w:tcPr>
          <w:p w14:paraId="537771CD"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5.12999</w:t>
            </w:r>
          </w:p>
        </w:tc>
        <w:tc>
          <w:tcPr>
            <w:tcW w:w="1134" w:type="dxa"/>
            <w:tcBorders>
              <w:top w:val="single" w:sz="4" w:space="0" w:color="auto"/>
            </w:tcBorders>
            <w:shd w:val="clear" w:color="auto" w:fill="FFFFFF" w:themeFill="background1"/>
          </w:tcPr>
          <w:p w14:paraId="2855B9B0"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.794</w:t>
            </w:r>
          </w:p>
        </w:tc>
        <w:tc>
          <w:tcPr>
            <w:tcW w:w="993" w:type="dxa"/>
            <w:tcBorders>
              <w:top w:val="single" w:sz="4" w:space="0" w:color="auto"/>
            </w:tcBorders>
            <w:shd w:val="clear" w:color="auto" w:fill="FFFFFF" w:themeFill="background1"/>
          </w:tcPr>
          <w:p w14:paraId="7BC16435"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-.906</w:t>
            </w:r>
          </w:p>
        </w:tc>
      </w:tr>
      <w:tr w:rsidR="00F03CB1" w:rsidRPr="00B85F21" w14:paraId="46A9CF98" w14:textId="77777777" w:rsidTr="006A5476">
        <w:trPr>
          <w:cantSplit/>
        </w:trPr>
        <w:tc>
          <w:tcPr>
            <w:tcW w:w="1980" w:type="dxa"/>
            <w:shd w:val="clear" w:color="auto" w:fill="FFFFFF" w:themeFill="background1"/>
          </w:tcPr>
          <w:p w14:paraId="1C2E1F9D"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Division</w:t>
            </w:r>
          </w:p>
        </w:tc>
        <w:tc>
          <w:tcPr>
            <w:tcW w:w="714" w:type="dxa"/>
            <w:shd w:val="clear" w:color="auto" w:fill="FFFFFF" w:themeFill="background1"/>
          </w:tcPr>
          <w:p w14:paraId="307F90C5"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330</w:t>
            </w:r>
          </w:p>
        </w:tc>
        <w:tc>
          <w:tcPr>
            <w:tcW w:w="708" w:type="dxa"/>
            <w:shd w:val="clear" w:color="auto" w:fill="FFFFFF" w:themeFill="background1"/>
          </w:tcPr>
          <w:p w14:paraId="28E19B07"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1.00</w:t>
            </w:r>
          </w:p>
        </w:tc>
        <w:tc>
          <w:tcPr>
            <w:tcW w:w="851" w:type="dxa"/>
            <w:shd w:val="clear" w:color="auto" w:fill="FFFFFF" w:themeFill="background1"/>
          </w:tcPr>
          <w:p w14:paraId="72051DA1"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6.00</w:t>
            </w:r>
          </w:p>
        </w:tc>
        <w:tc>
          <w:tcPr>
            <w:tcW w:w="1087" w:type="dxa"/>
            <w:shd w:val="clear" w:color="auto" w:fill="FFFFFF" w:themeFill="background1"/>
          </w:tcPr>
          <w:p w14:paraId="494E8B45"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2.5333</w:t>
            </w:r>
          </w:p>
        </w:tc>
        <w:tc>
          <w:tcPr>
            <w:tcW w:w="1039" w:type="dxa"/>
            <w:shd w:val="clear" w:color="auto" w:fill="FFFFFF" w:themeFill="background1"/>
          </w:tcPr>
          <w:p w14:paraId="6541B18D"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1.14075</w:t>
            </w:r>
          </w:p>
        </w:tc>
        <w:tc>
          <w:tcPr>
            <w:tcW w:w="1134" w:type="dxa"/>
            <w:shd w:val="clear" w:color="auto" w:fill="FFFFFF" w:themeFill="background1"/>
          </w:tcPr>
          <w:p w14:paraId="2445661C"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.023</w:t>
            </w:r>
          </w:p>
        </w:tc>
        <w:tc>
          <w:tcPr>
            <w:tcW w:w="993" w:type="dxa"/>
            <w:shd w:val="clear" w:color="auto" w:fill="FFFFFF" w:themeFill="background1"/>
          </w:tcPr>
          <w:p w14:paraId="156B0BA1"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-1.153</w:t>
            </w:r>
          </w:p>
        </w:tc>
      </w:tr>
      <w:tr w:rsidR="00F03CB1" w:rsidRPr="00B85F21" w14:paraId="02D35E18" w14:textId="77777777" w:rsidTr="006A5476">
        <w:trPr>
          <w:cantSplit/>
        </w:trPr>
        <w:tc>
          <w:tcPr>
            <w:tcW w:w="1980" w:type="dxa"/>
            <w:shd w:val="clear" w:color="auto" w:fill="FFFFFF" w:themeFill="background1"/>
          </w:tcPr>
          <w:p w14:paraId="7B8DC538"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Designation</w:t>
            </w:r>
          </w:p>
        </w:tc>
        <w:tc>
          <w:tcPr>
            <w:tcW w:w="714" w:type="dxa"/>
            <w:shd w:val="clear" w:color="auto" w:fill="FFFFFF" w:themeFill="background1"/>
          </w:tcPr>
          <w:p w14:paraId="08D3EEBB"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332</w:t>
            </w:r>
          </w:p>
        </w:tc>
        <w:tc>
          <w:tcPr>
            <w:tcW w:w="708" w:type="dxa"/>
            <w:shd w:val="clear" w:color="auto" w:fill="FFFFFF" w:themeFill="background1"/>
          </w:tcPr>
          <w:p w14:paraId="457A394D"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1.00</w:t>
            </w:r>
          </w:p>
        </w:tc>
        <w:tc>
          <w:tcPr>
            <w:tcW w:w="851" w:type="dxa"/>
            <w:shd w:val="clear" w:color="auto" w:fill="FFFFFF" w:themeFill="background1"/>
          </w:tcPr>
          <w:p w14:paraId="7CF50FBE"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7.00</w:t>
            </w:r>
          </w:p>
        </w:tc>
        <w:tc>
          <w:tcPr>
            <w:tcW w:w="1087" w:type="dxa"/>
            <w:shd w:val="clear" w:color="auto" w:fill="FFFFFF" w:themeFill="background1"/>
          </w:tcPr>
          <w:p w14:paraId="6069E4E2"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3.0482</w:t>
            </w:r>
          </w:p>
        </w:tc>
        <w:tc>
          <w:tcPr>
            <w:tcW w:w="1039" w:type="dxa"/>
            <w:shd w:val="clear" w:color="auto" w:fill="FFFFFF" w:themeFill="background1"/>
          </w:tcPr>
          <w:p w14:paraId="597E8B7D"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1.83556</w:t>
            </w:r>
          </w:p>
        </w:tc>
        <w:tc>
          <w:tcPr>
            <w:tcW w:w="1134" w:type="dxa"/>
            <w:shd w:val="clear" w:color="auto" w:fill="FFFFFF" w:themeFill="background1"/>
          </w:tcPr>
          <w:p w14:paraId="66BA2EFF"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.430</w:t>
            </w:r>
          </w:p>
        </w:tc>
        <w:tc>
          <w:tcPr>
            <w:tcW w:w="993" w:type="dxa"/>
            <w:shd w:val="clear" w:color="auto" w:fill="FFFFFF" w:themeFill="background1"/>
          </w:tcPr>
          <w:p w14:paraId="0FA9DEC1"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-1.058</w:t>
            </w:r>
          </w:p>
        </w:tc>
      </w:tr>
      <w:tr w:rsidR="00F03CB1" w:rsidRPr="00B85F21" w14:paraId="7EFC879E" w14:textId="77777777" w:rsidTr="006A5476">
        <w:trPr>
          <w:cantSplit/>
        </w:trPr>
        <w:tc>
          <w:tcPr>
            <w:tcW w:w="1980" w:type="dxa"/>
            <w:shd w:val="clear" w:color="auto" w:fill="FFFFFF" w:themeFill="background1"/>
          </w:tcPr>
          <w:p w14:paraId="01CD793E"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Intrinsic Motivation</w:t>
            </w:r>
          </w:p>
        </w:tc>
        <w:tc>
          <w:tcPr>
            <w:tcW w:w="714" w:type="dxa"/>
            <w:shd w:val="clear" w:color="auto" w:fill="FFFFFF" w:themeFill="background1"/>
          </w:tcPr>
          <w:p w14:paraId="42B0EDAF"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330</w:t>
            </w:r>
          </w:p>
        </w:tc>
        <w:tc>
          <w:tcPr>
            <w:tcW w:w="708" w:type="dxa"/>
            <w:shd w:val="clear" w:color="auto" w:fill="FFFFFF" w:themeFill="background1"/>
          </w:tcPr>
          <w:p w14:paraId="189B18DB"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1.00</w:t>
            </w:r>
          </w:p>
        </w:tc>
        <w:tc>
          <w:tcPr>
            <w:tcW w:w="851" w:type="dxa"/>
            <w:shd w:val="clear" w:color="auto" w:fill="FFFFFF" w:themeFill="background1"/>
          </w:tcPr>
          <w:p w14:paraId="111543EE"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5.00</w:t>
            </w:r>
          </w:p>
        </w:tc>
        <w:tc>
          <w:tcPr>
            <w:tcW w:w="1087" w:type="dxa"/>
            <w:shd w:val="clear" w:color="auto" w:fill="FFFFFF" w:themeFill="background1"/>
          </w:tcPr>
          <w:p w14:paraId="77DBC80A"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2.9157</w:t>
            </w:r>
          </w:p>
        </w:tc>
        <w:tc>
          <w:tcPr>
            <w:tcW w:w="1039" w:type="dxa"/>
            <w:shd w:val="clear" w:color="auto" w:fill="FFFFFF" w:themeFill="background1"/>
          </w:tcPr>
          <w:p w14:paraId="45962BE2"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.98275</w:t>
            </w:r>
          </w:p>
        </w:tc>
        <w:tc>
          <w:tcPr>
            <w:tcW w:w="1134" w:type="dxa"/>
            <w:shd w:val="clear" w:color="auto" w:fill="FFFFFF" w:themeFill="background1"/>
          </w:tcPr>
          <w:p w14:paraId="2D1E4782"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-.352</w:t>
            </w:r>
          </w:p>
        </w:tc>
        <w:tc>
          <w:tcPr>
            <w:tcW w:w="993" w:type="dxa"/>
            <w:shd w:val="clear" w:color="auto" w:fill="FFFFFF" w:themeFill="background1"/>
          </w:tcPr>
          <w:p w14:paraId="7DAA07DC"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-.617</w:t>
            </w:r>
          </w:p>
        </w:tc>
      </w:tr>
      <w:tr w:rsidR="00F03CB1" w:rsidRPr="00B85F21" w14:paraId="0295DA8D" w14:textId="77777777" w:rsidTr="006A5476">
        <w:trPr>
          <w:cantSplit/>
        </w:trPr>
        <w:tc>
          <w:tcPr>
            <w:tcW w:w="1980" w:type="dxa"/>
            <w:shd w:val="clear" w:color="auto" w:fill="FFFFFF" w:themeFill="background1"/>
          </w:tcPr>
          <w:p w14:paraId="38EBAC9D"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Extrinsic Motivation</w:t>
            </w:r>
          </w:p>
        </w:tc>
        <w:tc>
          <w:tcPr>
            <w:tcW w:w="714" w:type="dxa"/>
            <w:shd w:val="clear" w:color="auto" w:fill="FFFFFF" w:themeFill="background1"/>
          </w:tcPr>
          <w:p w14:paraId="4449D262"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331</w:t>
            </w:r>
          </w:p>
        </w:tc>
        <w:tc>
          <w:tcPr>
            <w:tcW w:w="708" w:type="dxa"/>
            <w:shd w:val="clear" w:color="auto" w:fill="FFFFFF" w:themeFill="background1"/>
          </w:tcPr>
          <w:p w14:paraId="5F18E127"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1.00</w:t>
            </w:r>
          </w:p>
        </w:tc>
        <w:tc>
          <w:tcPr>
            <w:tcW w:w="851" w:type="dxa"/>
            <w:shd w:val="clear" w:color="auto" w:fill="FFFFFF" w:themeFill="background1"/>
          </w:tcPr>
          <w:p w14:paraId="5882700E"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5.00</w:t>
            </w:r>
          </w:p>
        </w:tc>
        <w:tc>
          <w:tcPr>
            <w:tcW w:w="1087" w:type="dxa"/>
            <w:shd w:val="clear" w:color="auto" w:fill="FFFFFF" w:themeFill="background1"/>
          </w:tcPr>
          <w:p w14:paraId="1F11AF97"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3.0252</w:t>
            </w:r>
          </w:p>
        </w:tc>
        <w:tc>
          <w:tcPr>
            <w:tcW w:w="1039" w:type="dxa"/>
            <w:shd w:val="clear" w:color="auto" w:fill="FFFFFF" w:themeFill="background1"/>
          </w:tcPr>
          <w:p w14:paraId="0489F9EB"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.96408</w:t>
            </w:r>
          </w:p>
        </w:tc>
        <w:tc>
          <w:tcPr>
            <w:tcW w:w="1134" w:type="dxa"/>
            <w:shd w:val="clear" w:color="auto" w:fill="FFFFFF" w:themeFill="background1"/>
          </w:tcPr>
          <w:p w14:paraId="3C45597A"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-.416</w:t>
            </w:r>
          </w:p>
        </w:tc>
        <w:tc>
          <w:tcPr>
            <w:tcW w:w="993" w:type="dxa"/>
            <w:shd w:val="clear" w:color="auto" w:fill="FFFFFF" w:themeFill="background1"/>
          </w:tcPr>
          <w:p w14:paraId="4B86847F"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-1.075</w:t>
            </w:r>
          </w:p>
        </w:tc>
      </w:tr>
      <w:tr w:rsidR="00F03CB1" w:rsidRPr="00B85F21" w14:paraId="64D4682A" w14:textId="77777777" w:rsidTr="006A5476">
        <w:trPr>
          <w:cantSplit/>
        </w:trPr>
        <w:tc>
          <w:tcPr>
            <w:tcW w:w="1980" w:type="dxa"/>
            <w:shd w:val="clear" w:color="auto" w:fill="FFFFFF" w:themeFill="background1"/>
          </w:tcPr>
          <w:p w14:paraId="49EE019A"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Service Delivery</w:t>
            </w:r>
          </w:p>
        </w:tc>
        <w:tc>
          <w:tcPr>
            <w:tcW w:w="714" w:type="dxa"/>
            <w:shd w:val="clear" w:color="auto" w:fill="FFFFFF" w:themeFill="background1"/>
          </w:tcPr>
          <w:p w14:paraId="4AC05B7F"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330</w:t>
            </w:r>
          </w:p>
        </w:tc>
        <w:tc>
          <w:tcPr>
            <w:tcW w:w="708" w:type="dxa"/>
            <w:shd w:val="clear" w:color="auto" w:fill="FFFFFF" w:themeFill="background1"/>
          </w:tcPr>
          <w:p w14:paraId="5082ECDB"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1.00</w:t>
            </w:r>
          </w:p>
        </w:tc>
        <w:tc>
          <w:tcPr>
            <w:tcW w:w="851" w:type="dxa"/>
            <w:shd w:val="clear" w:color="auto" w:fill="FFFFFF" w:themeFill="background1"/>
          </w:tcPr>
          <w:p w14:paraId="49C55F9B"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5.00</w:t>
            </w:r>
          </w:p>
        </w:tc>
        <w:tc>
          <w:tcPr>
            <w:tcW w:w="1087" w:type="dxa"/>
            <w:shd w:val="clear" w:color="auto" w:fill="FFFFFF" w:themeFill="background1"/>
          </w:tcPr>
          <w:p w14:paraId="33F1932D"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3.1828</w:t>
            </w:r>
          </w:p>
        </w:tc>
        <w:tc>
          <w:tcPr>
            <w:tcW w:w="1039" w:type="dxa"/>
            <w:shd w:val="clear" w:color="auto" w:fill="FFFFFF" w:themeFill="background1"/>
          </w:tcPr>
          <w:p w14:paraId="55A80554"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.85956</w:t>
            </w:r>
          </w:p>
        </w:tc>
        <w:tc>
          <w:tcPr>
            <w:tcW w:w="1134" w:type="dxa"/>
            <w:shd w:val="clear" w:color="auto" w:fill="FFFFFF" w:themeFill="background1"/>
          </w:tcPr>
          <w:p w14:paraId="29E15B82"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-.286</w:t>
            </w:r>
          </w:p>
        </w:tc>
        <w:tc>
          <w:tcPr>
            <w:tcW w:w="993" w:type="dxa"/>
            <w:shd w:val="clear" w:color="auto" w:fill="FFFFFF" w:themeFill="background1"/>
          </w:tcPr>
          <w:p w14:paraId="45804498"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.030</w:t>
            </w:r>
          </w:p>
        </w:tc>
      </w:tr>
      <w:tr w:rsidR="00F03CB1" w:rsidRPr="00B85F21" w14:paraId="7E22723A" w14:textId="77777777" w:rsidTr="006A5476">
        <w:trPr>
          <w:cantSplit/>
        </w:trPr>
        <w:tc>
          <w:tcPr>
            <w:tcW w:w="1980" w:type="dxa"/>
            <w:shd w:val="clear" w:color="auto" w:fill="FFFFFF" w:themeFill="background1"/>
          </w:tcPr>
          <w:p w14:paraId="43ACF125"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Internal Land</w:t>
            </w:r>
          </w:p>
        </w:tc>
        <w:tc>
          <w:tcPr>
            <w:tcW w:w="714" w:type="dxa"/>
            <w:shd w:val="clear" w:color="auto" w:fill="FFFFFF" w:themeFill="background1"/>
          </w:tcPr>
          <w:p w14:paraId="5CABE2C5"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330</w:t>
            </w:r>
          </w:p>
        </w:tc>
        <w:tc>
          <w:tcPr>
            <w:tcW w:w="708" w:type="dxa"/>
            <w:shd w:val="clear" w:color="auto" w:fill="FFFFFF" w:themeFill="background1"/>
          </w:tcPr>
          <w:p w14:paraId="49278099"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1.00</w:t>
            </w:r>
          </w:p>
        </w:tc>
        <w:tc>
          <w:tcPr>
            <w:tcW w:w="851" w:type="dxa"/>
            <w:shd w:val="clear" w:color="auto" w:fill="FFFFFF" w:themeFill="background1"/>
          </w:tcPr>
          <w:p w14:paraId="0B7D500B"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5.00</w:t>
            </w:r>
          </w:p>
        </w:tc>
        <w:tc>
          <w:tcPr>
            <w:tcW w:w="1087" w:type="dxa"/>
            <w:shd w:val="clear" w:color="auto" w:fill="FFFFFF" w:themeFill="background1"/>
          </w:tcPr>
          <w:p w14:paraId="61745D08"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3.8091</w:t>
            </w:r>
          </w:p>
        </w:tc>
        <w:tc>
          <w:tcPr>
            <w:tcW w:w="1039" w:type="dxa"/>
            <w:shd w:val="clear" w:color="auto" w:fill="FFFFFF" w:themeFill="background1"/>
          </w:tcPr>
          <w:p w14:paraId="4821EE19"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.74801</w:t>
            </w:r>
          </w:p>
        </w:tc>
        <w:tc>
          <w:tcPr>
            <w:tcW w:w="1134" w:type="dxa"/>
            <w:shd w:val="clear" w:color="auto" w:fill="FFFFFF" w:themeFill="background1"/>
          </w:tcPr>
          <w:p w14:paraId="58B80807"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-1.255</w:t>
            </w:r>
          </w:p>
        </w:tc>
        <w:tc>
          <w:tcPr>
            <w:tcW w:w="993" w:type="dxa"/>
            <w:shd w:val="clear" w:color="auto" w:fill="FFFFFF" w:themeFill="background1"/>
          </w:tcPr>
          <w:p w14:paraId="2718D14E"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2.327</w:t>
            </w:r>
          </w:p>
        </w:tc>
      </w:tr>
      <w:tr w:rsidR="00F03CB1" w:rsidRPr="00B85F21" w14:paraId="02B98647" w14:textId="77777777" w:rsidTr="006A5476">
        <w:trPr>
          <w:cantSplit/>
        </w:trPr>
        <w:tc>
          <w:tcPr>
            <w:tcW w:w="1980" w:type="dxa"/>
            <w:tcBorders>
              <w:bottom w:val="single" w:sz="4" w:space="0" w:color="auto"/>
            </w:tcBorders>
            <w:shd w:val="clear" w:color="auto" w:fill="FFFFFF" w:themeFill="background1"/>
          </w:tcPr>
          <w:p w14:paraId="0A85138F"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External Land</w:t>
            </w:r>
          </w:p>
        </w:tc>
        <w:tc>
          <w:tcPr>
            <w:tcW w:w="714" w:type="dxa"/>
            <w:tcBorders>
              <w:bottom w:val="single" w:sz="4" w:space="0" w:color="auto"/>
            </w:tcBorders>
            <w:shd w:val="clear" w:color="auto" w:fill="FFFFFF" w:themeFill="background1"/>
          </w:tcPr>
          <w:p w14:paraId="2E4C0B6C"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330</w:t>
            </w:r>
          </w:p>
        </w:tc>
        <w:tc>
          <w:tcPr>
            <w:tcW w:w="708" w:type="dxa"/>
            <w:tcBorders>
              <w:bottom w:val="single" w:sz="4" w:space="0" w:color="auto"/>
            </w:tcBorders>
            <w:shd w:val="clear" w:color="auto" w:fill="FFFFFF" w:themeFill="background1"/>
          </w:tcPr>
          <w:p w14:paraId="365F0A19"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1.00</w:t>
            </w:r>
          </w:p>
        </w:tc>
        <w:tc>
          <w:tcPr>
            <w:tcW w:w="851" w:type="dxa"/>
            <w:tcBorders>
              <w:bottom w:val="single" w:sz="4" w:space="0" w:color="auto"/>
            </w:tcBorders>
            <w:shd w:val="clear" w:color="auto" w:fill="FFFFFF" w:themeFill="background1"/>
          </w:tcPr>
          <w:p w14:paraId="77132F14"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5.00</w:t>
            </w:r>
          </w:p>
        </w:tc>
        <w:tc>
          <w:tcPr>
            <w:tcW w:w="1087" w:type="dxa"/>
            <w:tcBorders>
              <w:bottom w:val="single" w:sz="4" w:space="0" w:color="auto"/>
            </w:tcBorders>
            <w:shd w:val="clear" w:color="auto" w:fill="FFFFFF" w:themeFill="background1"/>
          </w:tcPr>
          <w:p w14:paraId="360215D7"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3.6035</w:t>
            </w:r>
          </w:p>
        </w:tc>
        <w:tc>
          <w:tcPr>
            <w:tcW w:w="1039" w:type="dxa"/>
            <w:tcBorders>
              <w:bottom w:val="single" w:sz="4" w:space="0" w:color="auto"/>
            </w:tcBorders>
            <w:shd w:val="clear" w:color="auto" w:fill="FFFFFF" w:themeFill="background1"/>
          </w:tcPr>
          <w:p w14:paraId="090CB173"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.71587</w:t>
            </w:r>
          </w:p>
        </w:tc>
        <w:tc>
          <w:tcPr>
            <w:tcW w:w="1134" w:type="dxa"/>
            <w:tcBorders>
              <w:bottom w:val="single" w:sz="4" w:space="0" w:color="auto"/>
            </w:tcBorders>
            <w:shd w:val="clear" w:color="auto" w:fill="FFFFFF" w:themeFill="background1"/>
          </w:tcPr>
          <w:p w14:paraId="4700422C"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-.689</w:t>
            </w:r>
          </w:p>
        </w:tc>
        <w:tc>
          <w:tcPr>
            <w:tcW w:w="993" w:type="dxa"/>
            <w:tcBorders>
              <w:bottom w:val="single" w:sz="4" w:space="0" w:color="auto"/>
            </w:tcBorders>
            <w:shd w:val="clear" w:color="auto" w:fill="FFFFFF" w:themeFill="background1"/>
          </w:tcPr>
          <w:p w14:paraId="6FF77111"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1.320</w:t>
            </w:r>
          </w:p>
        </w:tc>
      </w:tr>
    </w:tbl>
    <w:p w14:paraId="2260F0E4" w14:textId="4091BA67" w:rsidR="00F03CB1" w:rsidRPr="0069543B" w:rsidRDefault="0069543B" w:rsidP="0069543B">
      <w:pPr>
        <w:spacing w:before="0" w:after="0" w:line="480" w:lineRule="auto"/>
        <w:ind w:left="360"/>
        <w:jc w:val="center"/>
        <w:rPr>
          <w:rFonts w:eastAsia="Calibri" w:cs="Times New Roman"/>
          <w:color w:val="000000"/>
          <w:kern w:val="0"/>
          <w:sz w:val="20"/>
          <w:szCs w:val="20"/>
          <w:lang w:eastAsia="en-US"/>
          <w14:ligatures w14:val="none"/>
        </w:rPr>
      </w:pPr>
      <w:r w:rsidRPr="0069543B">
        <w:rPr>
          <w:rFonts w:eastAsia="Calibri" w:cs="Times New Roman"/>
          <w:color w:val="000000"/>
          <w:kern w:val="0"/>
          <w:sz w:val="20"/>
          <w:szCs w:val="20"/>
          <w:lang w:val="en-GB" w:eastAsia="en-US"/>
          <w14:ligatures w14:val="none"/>
        </w:rPr>
        <w:t>Source: Researcher’s field note (2024)</w:t>
      </w:r>
    </w:p>
    <w:p w14:paraId="31548719" w14:textId="5CC0BD06" w:rsidR="00F03CB1" w:rsidRDefault="00F03CB1" w:rsidP="00B20C4D">
      <w:pPr>
        <w:spacing w:after="0" w:line="480" w:lineRule="auto"/>
        <w:rPr>
          <w:rFonts w:eastAsiaTheme="minorHAnsi" w:cs="Times New Roman"/>
          <w:sz w:val="20"/>
          <w:szCs w:val="20"/>
          <w:lang w:val="en-GB" w:eastAsia="en-US"/>
        </w:rPr>
      </w:pPr>
      <w:r w:rsidRPr="00BC1A01">
        <w:rPr>
          <w:rFonts w:eastAsiaTheme="minorHAnsi" w:cs="Times New Roman"/>
          <w:sz w:val="20"/>
          <w:szCs w:val="20"/>
          <w:lang w:val="en-GB" w:eastAsia="en-US"/>
        </w:rPr>
        <w:t xml:space="preserve">Table 4 presents descriptive statistics including Minimum (lowest value), Maximum (highest value), Mean (average), and Standard Deviation (value spread). Data normality was confirmed with skewness and kurtosis values between -2 and +2. The analysis revealed that internal land administration reforms scored highest (Mean = 3.8091) with a strong negative skew, indicating </w:t>
      </w:r>
      <w:r w:rsidR="00F11EA7" w:rsidRPr="00BC1A01">
        <w:rPr>
          <w:rFonts w:eastAsiaTheme="minorHAnsi" w:cs="Times New Roman"/>
          <w:sz w:val="20"/>
          <w:szCs w:val="20"/>
          <w:lang w:val="en-GB" w:eastAsia="en-US"/>
        </w:rPr>
        <w:t>favourable</w:t>
      </w:r>
      <w:r w:rsidRPr="00BC1A01">
        <w:rPr>
          <w:rFonts w:eastAsiaTheme="minorHAnsi" w:cs="Times New Roman"/>
          <w:sz w:val="20"/>
          <w:szCs w:val="20"/>
          <w:lang w:val="en-GB" w:eastAsia="en-US"/>
        </w:rPr>
        <w:t xml:space="preserve"> respondent ratings. External land factors also showed high ratings (Mean = 3.6035) with moderate left skew. Intrinsic and extrinsic motivation demonstrated more balanced distributions, with means around 3, suggesting moderate motivation levels among respondents. The dependent variable, service delivery, showed a balanced distribution (Mean = 3.1828). These statistics provide insights into data distribution, central tendency, and variability. Correlation results are presented in Table </w:t>
      </w:r>
      <w:r w:rsidR="00BB3E12" w:rsidRPr="00BC1A01">
        <w:rPr>
          <w:rFonts w:eastAsiaTheme="minorHAnsi" w:cs="Times New Roman"/>
          <w:sz w:val="20"/>
          <w:szCs w:val="20"/>
          <w:lang w:val="en-GB" w:eastAsia="en-US"/>
        </w:rPr>
        <w:t>5</w:t>
      </w:r>
      <w:r w:rsidRPr="00BC1A01">
        <w:rPr>
          <w:rFonts w:eastAsiaTheme="minorHAnsi" w:cs="Times New Roman"/>
          <w:sz w:val="20"/>
          <w:szCs w:val="20"/>
          <w:lang w:val="en-GB" w:eastAsia="en-US"/>
        </w:rPr>
        <w:t>.</w:t>
      </w:r>
    </w:p>
    <w:p w14:paraId="55845FF0" w14:textId="77777777" w:rsidR="00B85F21" w:rsidRPr="00BC1A01" w:rsidRDefault="00B85F21" w:rsidP="00B20C4D">
      <w:pPr>
        <w:spacing w:after="0" w:line="480" w:lineRule="auto"/>
        <w:rPr>
          <w:rFonts w:eastAsiaTheme="minorHAnsi" w:cs="Times New Roman"/>
          <w:sz w:val="20"/>
          <w:szCs w:val="20"/>
          <w:lang w:val="en-GB" w:eastAsia="en-US"/>
        </w:rPr>
      </w:pPr>
    </w:p>
    <w:p w14:paraId="17B634FB" w14:textId="5B5AF63D" w:rsidR="00F03CB1" w:rsidRPr="0069543B" w:rsidRDefault="00F03CB1" w:rsidP="0069543B">
      <w:pPr>
        <w:pStyle w:val="Caption"/>
        <w:spacing w:line="480" w:lineRule="auto"/>
        <w:jc w:val="center"/>
        <w:rPr>
          <w:b/>
          <w:iCs w:val="0"/>
          <w:sz w:val="20"/>
          <w:szCs w:val="20"/>
        </w:rPr>
      </w:pPr>
      <w:bookmarkStart w:id="25" w:name="_Toc177304753"/>
      <w:r w:rsidRPr="0069543B">
        <w:rPr>
          <w:b/>
          <w:sz w:val="20"/>
          <w:szCs w:val="20"/>
        </w:rPr>
        <w:t xml:space="preserve">Table </w:t>
      </w:r>
      <w:r w:rsidR="00BB3E12" w:rsidRPr="0069543B">
        <w:rPr>
          <w:b/>
          <w:sz w:val="20"/>
          <w:szCs w:val="20"/>
        </w:rPr>
        <w:t>5</w:t>
      </w:r>
      <w:r w:rsidRPr="0069543B">
        <w:rPr>
          <w:b/>
          <w:sz w:val="20"/>
          <w:szCs w:val="20"/>
        </w:rPr>
        <w:t>: Convergent and discriminant validity</w:t>
      </w:r>
      <w:bookmarkEnd w:id="25"/>
    </w:p>
    <w:tbl>
      <w:tblPr>
        <w:tblW w:w="9072" w:type="dxa"/>
        <w:shd w:val="clear" w:color="auto" w:fill="FFFFFF" w:themeFill="background1"/>
        <w:tblLayout w:type="fixed"/>
        <w:tblCellMar>
          <w:left w:w="0" w:type="dxa"/>
          <w:right w:w="0" w:type="dxa"/>
        </w:tblCellMar>
        <w:tblLook w:val="0000" w:firstRow="0" w:lastRow="0" w:firstColumn="0" w:lastColumn="0" w:noHBand="0" w:noVBand="0"/>
      </w:tblPr>
      <w:tblGrid>
        <w:gridCol w:w="2977"/>
        <w:gridCol w:w="708"/>
        <w:gridCol w:w="755"/>
        <w:gridCol w:w="805"/>
        <w:gridCol w:w="708"/>
        <w:gridCol w:w="709"/>
        <w:gridCol w:w="709"/>
        <w:gridCol w:w="850"/>
        <w:gridCol w:w="851"/>
      </w:tblGrid>
      <w:tr w:rsidR="00F03CB1" w:rsidRPr="00B85F21" w14:paraId="6720881B" w14:textId="77777777" w:rsidTr="006A5476">
        <w:trPr>
          <w:cantSplit/>
        </w:trPr>
        <w:tc>
          <w:tcPr>
            <w:tcW w:w="2977" w:type="dxa"/>
            <w:tcBorders>
              <w:top w:val="single" w:sz="4" w:space="0" w:color="auto"/>
              <w:bottom w:val="single" w:sz="4" w:space="0" w:color="auto"/>
            </w:tcBorders>
            <w:shd w:val="clear" w:color="auto" w:fill="FFFFFF" w:themeFill="background1"/>
          </w:tcPr>
          <w:p w14:paraId="441B3C61" w14:textId="77777777" w:rsidR="00F03CB1" w:rsidRPr="00B85F21" w:rsidRDefault="00F03CB1" w:rsidP="00B85F21">
            <w:pPr>
              <w:autoSpaceDE w:val="0"/>
              <w:autoSpaceDN w:val="0"/>
              <w:adjustRightInd w:val="0"/>
              <w:spacing w:after="0" w:line="240" w:lineRule="auto"/>
              <w:ind w:left="60" w:right="60"/>
              <w:rPr>
                <w:rFonts w:cs="Times New Roman"/>
                <w:b/>
                <w:color w:val="000000" w:themeColor="text1"/>
                <w:sz w:val="20"/>
                <w:szCs w:val="20"/>
              </w:rPr>
            </w:pPr>
            <w:r w:rsidRPr="00B85F21">
              <w:rPr>
                <w:rFonts w:cs="Times New Roman"/>
                <w:b/>
                <w:color w:val="000000" w:themeColor="text1"/>
                <w:sz w:val="20"/>
                <w:szCs w:val="20"/>
              </w:rPr>
              <w:t xml:space="preserve">Variables </w:t>
            </w:r>
          </w:p>
        </w:tc>
        <w:tc>
          <w:tcPr>
            <w:tcW w:w="708" w:type="dxa"/>
            <w:tcBorders>
              <w:top w:val="single" w:sz="4" w:space="0" w:color="auto"/>
              <w:bottom w:val="single" w:sz="4" w:space="0" w:color="auto"/>
            </w:tcBorders>
            <w:shd w:val="clear" w:color="auto" w:fill="FFFFFF" w:themeFill="background1"/>
            <w:vAlign w:val="bottom"/>
          </w:tcPr>
          <w:p w14:paraId="63E81BBE" w14:textId="77777777" w:rsidR="00F03CB1" w:rsidRPr="00B85F21" w:rsidRDefault="00F03CB1" w:rsidP="00B85F21">
            <w:pPr>
              <w:autoSpaceDE w:val="0"/>
              <w:autoSpaceDN w:val="0"/>
              <w:adjustRightInd w:val="0"/>
              <w:spacing w:after="0" w:line="240" w:lineRule="auto"/>
              <w:ind w:left="60" w:right="60"/>
              <w:rPr>
                <w:rFonts w:cs="Times New Roman"/>
                <w:b/>
                <w:color w:val="000000" w:themeColor="text1"/>
                <w:sz w:val="20"/>
                <w:szCs w:val="20"/>
              </w:rPr>
            </w:pPr>
            <w:r w:rsidRPr="00B85F21">
              <w:rPr>
                <w:rFonts w:cs="Times New Roman"/>
                <w:b/>
                <w:color w:val="000000" w:themeColor="text1"/>
                <w:sz w:val="20"/>
                <w:szCs w:val="20"/>
              </w:rPr>
              <w:t>1</w:t>
            </w:r>
          </w:p>
        </w:tc>
        <w:tc>
          <w:tcPr>
            <w:tcW w:w="755" w:type="dxa"/>
            <w:tcBorders>
              <w:top w:val="single" w:sz="4" w:space="0" w:color="auto"/>
              <w:bottom w:val="single" w:sz="4" w:space="0" w:color="auto"/>
            </w:tcBorders>
            <w:shd w:val="clear" w:color="auto" w:fill="FFFFFF" w:themeFill="background1"/>
            <w:vAlign w:val="bottom"/>
          </w:tcPr>
          <w:p w14:paraId="5A7D454D" w14:textId="77777777" w:rsidR="00F03CB1" w:rsidRPr="00B85F21" w:rsidRDefault="00F03CB1" w:rsidP="00B85F21">
            <w:pPr>
              <w:autoSpaceDE w:val="0"/>
              <w:autoSpaceDN w:val="0"/>
              <w:adjustRightInd w:val="0"/>
              <w:spacing w:after="0" w:line="240" w:lineRule="auto"/>
              <w:ind w:left="60" w:right="60"/>
              <w:rPr>
                <w:rFonts w:cs="Times New Roman"/>
                <w:b/>
                <w:color w:val="000000" w:themeColor="text1"/>
                <w:sz w:val="20"/>
                <w:szCs w:val="20"/>
              </w:rPr>
            </w:pPr>
            <w:r w:rsidRPr="00B85F21">
              <w:rPr>
                <w:rFonts w:cs="Times New Roman"/>
                <w:b/>
                <w:color w:val="000000" w:themeColor="text1"/>
                <w:sz w:val="20"/>
                <w:szCs w:val="20"/>
              </w:rPr>
              <w:t>2</w:t>
            </w:r>
          </w:p>
        </w:tc>
        <w:tc>
          <w:tcPr>
            <w:tcW w:w="805" w:type="dxa"/>
            <w:tcBorders>
              <w:top w:val="single" w:sz="4" w:space="0" w:color="auto"/>
              <w:bottom w:val="single" w:sz="4" w:space="0" w:color="auto"/>
            </w:tcBorders>
            <w:shd w:val="clear" w:color="auto" w:fill="FFFFFF" w:themeFill="background1"/>
            <w:vAlign w:val="bottom"/>
          </w:tcPr>
          <w:p w14:paraId="12D88FCA" w14:textId="77777777" w:rsidR="00F03CB1" w:rsidRPr="00B85F21" w:rsidRDefault="00F03CB1" w:rsidP="00B85F21">
            <w:pPr>
              <w:autoSpaceDE w:val="0"/>
              <w:autoSpaceDN w:val="0"/>
              <w:adjustRightInd w:val="0"/>
              <w:spacing w:after="0" w:line="240" w:lineRule="auto"/>
              <w:ind w:left="60" w:right="60"/>
              <w:rPr>
                <w:rFonts w:cs="Times New Roman"/>
                <w:b/>
                <w:color w:val="000000" w:themeColor="text1"/>
                <w:sz w:val="20"/>
                <w:szCs w:val="20"/>
              </w:rPr>
            </w:pPr>
            <w:r w:rsidRPr="00B85F21">
              <w:rPr>
                <w:rFonts w:cs="Times New Roman"/>
                <w:b/>
                <w:color w:val="000000" w:themeColor="text1"/>
                <w:sz w:val="20"/>
                <w:szCs w:val="20"/>
              </w:rPr>
              <w:t>3</w:t>
            </w:r>
          </w:p>
        </w:tc>
        <w:tc>
          <w:tcPr>
            <w:tcW w:w="708" w:type="dxa"/>
            <w:tcBorders>
              <w:top w:val="single" w:sz="4" w:space="0" w:color="auto"/>
              <w:bottom w:val="single" w:sz="4" w:space="0" w:color="auto"/>
            </w:tcBorders>
            <w:shd w:val="clear" w:color="auto" w:fill="FFFFFF" w:themeFill="background1"/>
            <w:vAlign w:val="bottom"/>
          </w:tcPr>
          <w:p w14:paraId="1910F2AE" w14:textId="77777777" w:rsidR="00F03CB1" w:rsidRPr="00B85F21" w:rsidRDefault="00F03CB1" w:rsidP="00B85F21">
            <w:pPr>
              <w:autoSpaceDE w:val="0"/>
              <w:autoSpaceDN w:val="0"/>
              <w:adjustRightInd w:val="0"/>
              <w:spacing w:after="0" w:line="240" w:lineRule="auto"/>
              <w:ind w:left="60" w:right="60"/>
              <w:rPr>
                <w:rFonts w:cs="Times New Roman"/>
                <w:b/>
                <w:color w:val="000000" w:themeColor="text1"/>
                <w:sz w:val="20"/>
                <w:szCs w:val="20"/>
              </w:rPr>
            </w:pPr>
            <w:r w:rsidRPr="00B85F21">
              <w:rPr>
                <w:rFonts w:cs="Times New Roman"/>
                <w:b/>
                <w:color w:val="000000" w:themeColor="text1"/>
                <w:sz w:val="20"/>
                <w:szCs w:val="20"/>
              </w:rPr>
              <w:t>4</w:t>
            </w:r>
          </w:p>
        </w:tc>
        <w:tc>
          <w:tcPr>
            <w:tcW w:w="709" w:type="dxa"/>
            <w:tcBorders>
              <w:top w:val="single" w:sz="4" w:space="0" w:color="auto"/>
              <w:bottom w:val="single" w:sz="4" w:space="0" w:color="auto"/>
            </w:tcBorders>
            <w:shd w:val="clear" w:color="auto" w:fill="FFFFFF" w:themeFill="background1"/>
            <w:vAlign w:val="bottom"/>
          </w:tcPr>
          <w:p w14:paraId="3A3ABCD3" w14:textId="77777777" w:rsidR="00F03CB1" w:rsidRPr="00B85F21" w:rsidRDefault="00F03CB1" w:rsidP="00B85F21">
            <w:pPr>
              <w:autoSpaceDE w:val="0"/>
              <w:autoSpaceDN w:val="0"/>
              <w:adjustRightInd w:val="0"/>
              <w:spacing w:after="0" w:line="240" w:lineRule="auto"/>
              <w:ind w:left="60" w:right="60"/>
              <w:rPr>
                <w:rFonts w:cs="Times New Roman"/>
                <w:b/>
                <w:color w:val="000000" w:themeColor="text1"/>
                <w:sz w:val="20"/>
                <w:szCs w:val="20"/>
              </w:rPr>
            </w:pPr>
            <w:r w:rsidRPr="00B85F21">
              <w:rPr>
                <w:rFonts w:cs="Times New Roman"/>
                <w:b/>
                <w:color w:val="000000" w:themeColor="text1"/>
                <w:sz w:val="20"/>
                <w:szCs w:val="20"/>
              </w:rPr>
              <w:t>5</w:t>
            </w:r>
          </w:p>
        </w:tc>
        <w:tc>
          <w:tcPr>
            <w:tcW w:w="709" w:type="dxa"/>
            <w:tcBorders>
              <w:top w:val="single" w:sz="4" w:space="0" w:color="auto"/>
              <w:bottom w:val="single" w:sz="4" w:space="0" w:color="auto"/>
            </w:tcBorders>
            <w:shd w:val="clear" w:color="auto" w:fill="FFFFFF" w:themeFill="background1"/>
            <w:vAlign w:val="bottom"/>
          </w:tcPr>
          <w:p w14:paraId="7A6ACCA8" w14:textId="77777777" w:rsidR="00F03CB1" w:rsidRPr="00B85F21" w:rsidRDefault="00F03CB1" w:rsidP="00B85F21">
            <w:pPr>
              <w:autoSpaceDE w:val="0"/>
              <w:autoSpaceDN w:val="0"/>
              <w:adjustRightInd w:val="0"/>
              <w:spacing w:after="0" w:line="240" w:lineRule="auto"/>
              <w:ind w:left="60" w:right="60"/>
              <w:rPr>
                <w:rFonts w:cs="Times New Roman"/>
                <w:b/>
                <w:color w:val="000000" w:themeColor="text1"/>
                <w:sz w:val="20"/>
                <w:szCs w:val="20"/>
              </w:rPr>
            </w:pPr>
            <w:r w:rsidRPr="00B85F21">
              <w:rPr>
                <w:rFonts w:cs="Times New Roman"/>
                <w:b/>
                <w:color w:val="000000" w:themeColor="text1"/>
                <w:sz w:val="20"/>
                <w:szCs w:val="20"/>
              </w:rPr>
              <w:t>6</w:t>
            </w:r>
          </w:p>
        </w:tc>
        <w:tc>
          <w:tcPr>
            <w:tcW w:w="850" w:type="dxa"/>
            <w:tcBorders>
              <w:top w:val="single" w:sz="4" w:space="0" w:color="auto"/>
              <w:bottom w:val="single" w:sz="4" w:space="0" w:color="auto"/>
            </w:tcBorders>
            <w:shd w:val="clear" w:color="auto" w:fill="FFFFFF" w:themeFill="background1"/>
            <w:vAlign w:val="bottom"/>
          </w:tcPr>
          <w:p w14:paraId="6E3A3959" w14:textId="77777777" w:rsidR="00F03CB1" w:rsidRPr="00B85F21" w:rsidRDefault="00F03CB1" w:rsidP="00B85F21">
            <w:pPr>
              <w:autoSpaceDE w:val="0"/>
              <w:autoSpaceDN w:val="0"/>
              <w:adjustRightInd w:val="0"/>
              <w:spacing w:after="0" w:line="240" w:lineRule="auto"/>
              <w:ind w:left="60" w:right="60"/>
              <w:rPr>
                <w:rFonts w:cs="Times New Roman"/>
                <w:b/>
                <w:color w:val="000000" w:themeColor="text1"/>
                <w:sz w:val="20"/>
                <w:szCs w:val="20"/>
              </w:rPr>
            </w:pPr>
            <w:r w:rsidRPr="00B85F21">
              <w:rPr>
                <w:rFonts w:cs="Times New Roman"/>
                <w:b/>
                <w:color w:val="000000" w:themeColor="text1"/>
                <w:sz w:val="20"/>
                <w:szCs w:val="20"/>
              </w:rPr>
              <w:t>7</w:t>
            </w:r>
          </w:p>
        </w:tc>
        <w:tc>
          <w:tcPr>
            <w:tcW w:w="851" w:type="dxa"/>
            <w:tcBorders>
              <w:top w:val="single" w:sz="4" w:space="0" w:color="auto"/>
              <w:bottom w:val="single" w:sz="4" w:space="0" w:color="auto"/>
            </w:tcBorders>
            <w:shd w:val="clear" w:color="auto" w:fill="FFFFFF" w:themeFill="background1"/>
            <w:vAlign w:val="bottom"/>
          </w:tcPr>
          <w:p w14:paraId="4AB6EFF6" w14:textId="77777777" w:rsidR="00F03CB1" w:rsidRPr="00B85F21" w:rsidRDefault="00F03CB1" w:rsidP="00B85F21">
            <w:pPr>
              <w:autoSpaceDE w:val="0"/>
              <w:autoSpaceDN w:val="0"/>
              <w:adjustRightInd w:val="0"/>
              <w:spacing w:after="0" w:line="240" w:lineRule="auto"/>
              <w:ind w:left="60" w:right="60"/>
              <w:rPr>
                <w:rFonts w:cs="Times New Roman"/>
                <w:b/>
                <w:color w:val="000000" w:themeColor="text1"/>
                <w:sz w:val="20"/>
                <w:szCs w:val="20"/>
              </w:rPr>
            </w:pPr>
            <w:r w:rsidRPr="00B85F21">
              <w:rPr>
                <w:rFonts w:cs="Times New Roman"/>
                <w:b/>
                <w:color w:val="000000" w:themeColor="text1"/>
                <w:sz w:val="20"/>
                <w:szCs w:val="20"/>
              </w:rPr>
              <w:t>8</w:t>
            </w:r>
          </w:p>
        </w:tc>
      </w:tr>
      <w:tr w:rsidR="00F03CB1" w:rsidRPr="00B85F21" w14:paraId="35068D67" w14:textId="77777777" w:rsidTr="006A5476">
        <w:trPr>
          <w:cantSplit/>
        </w:trPr>
        <w:tc>
          <w:tcPr>
            <w:tcW w:w="2977" w:type="dxa"/>
            <w:tcBorders>
              <w:top w:val="single" w:sz="4" w:space="0" w:color="auto"/>
            </w:tcBorders>
            <w:shd w:val="clear" w:color="auto" w:fill="FFFFFF" w:themeFill="background1"/>
          </w:tcPr>
          <w:p w14:paraId="6612688B"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 Service Delivery</w:t>
            </w:r>
          </w:p>
        </w:tc>
        <w:tc>
          <w:tcPr>
            <w:tcW w:w="708" w:type="dxa"/>
            <w:tcBorders>
              <w:top w:val="single" w:sz="4" w:space="0" w:color="auto"/>
            </w:tcBorders>
            <w:shd w:val="clear" w:color="auto" w:fill="FFFFFF" w:themeFill="background1"/>
          </w:tcPr>
          <w:p w14:paraId="6B419C8C"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w:t>
            </w:r>
            <w:r w:rsidRPr="00B85F21">
              <w:rPr>
                <w:rFonts w:cs="Times New Roman"/>
                <w:b/>
                <w:color w:val="000000" w:themeColor="text1"/>
                <w:sz w:val="20"/>
                <w:szCs w:val="20"/>
              </w:rPr>
              <w:t>811</w:t>
            </w:r>
          </w:p>
        </w:tc>
        <w:tc>
          <w:tcPr>
            <w:tcW w:w="755" w:type="dxa"/>
            <w:tcBorders>
              <w:top w:val="single" w:sz="4" w:space="0" w:color="auto"/>
            </w:tcBorders>
            <w:shd w:val="clear" w:color="auto" w:fill="FFFFFF" w:themeFill="background1"/>
          </w:tcPr>
          <w:p w14:paraId="4F1F90F5"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c>
          <w:tcPr>
            <w:tcW w:w="805" w:type="dxa"/>
            <w:tcBorders>
              <w:top w:val="single" w:sz="4" w:space="0" w:color="auto"/>
            </w:tcBorders>
            <w:shd w:val="clear" w:color="auto" w:fill="FFFFFF" w:themeFill="background1"/>
          </w:tcPr>
          <w:p w14:paraId="0908E8A4"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c>
          <w:tcPr>
            <w:tcW w:w="708" w:type="dxa"/>
            <w:tcBorders>
              <w:top w:val="single" w:sz="4" w:space="0" w:color="auto"/>
            </w:tcBorders>
            <w:shd w:val="clear" w:color="auto" w:fill="FFFFFF" w:themeFill="background1"/>
          </w:tcPr>
          <w:p w14:paraId="35D182B1"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c>
          <w:tcPr>
            <w:tcW w:w="709" w:type="dxa"/>
            <w:tcBorders>
              <w:top w:val="single" w:sz="4" w:space="0" w:color="auto"/>
            </w:tcBorders>
            <w:shd w:val="clear" w:color="auto" w:fill="FFFFFF" w:themeFill="background1"/>
          </w:tcPr>
          <w:p w14:paraId="418F9319"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c>
          <w:tcPr>
            <w:tcW w:w="709" w:type="dxa"/>
            <w:tcBorders>
              <w:top w:val="single" w:sz="4" w:space="0" w:color="auto"/>
            </w:tcBorders>
            <w:shd w:val="clear" w:color="auto" w:fill="FFFFFF" w:themeFill="background1"/>
          </w:tcPr>
          <w:p w14:paraId="3C0AF4E8"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c>
          <w:tcPr>
            <w:tcW w:w="850" w:type="dxa"/>
            <w:tcBorders>
              <w:top w:val="single" w:sz="4" w:space="0" w:color="auto"/>
            </w:tcBorders>
            <w:shd w:val="clear" w:color="auto" w:fill="FFFFFF" w:themeFill="background1"/>
          </w:tcPr>
          <w:p w14:paraId="0B62456C"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c>
          <w:tcPr>
            <w:tcW w:w="851" w:type="dxa"/>
            <w:tcBorders>
              <w:top w:val="single" w:sz="4" w:space="0" w:color="auto"/>
            </w:tcBorders>
            <w:shd w:val="clear" w:color="auto" w:fill="FFFFFF" w:themeFill="background1"/>
          </w:tcPr>
          <w:p w14:paraId="540DEB3E"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r>
      <w:tr w:rsidR="00F03CB1" w:rsidRPr="00B85F21" w14:paraId="26A5DDBD" w14:textId="77777777" w:rsidTr="006A5476">
        <w:trPr>
          <w:cantSplit/>
        </w:trPr>
        <w:tc>
          <w:tcPr>
            <w:tcW w:w="2977" w:type="dxa"/>
            <w:shd w:val="clear" w:color="auto" w:fill="FFFFFF" w:themeFill="background1"/>
          </w:tcPr>
          <w:p w14:paraId="576B8720"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2. Region</w:t>
            </w:r>
          </w:p>
        </w:tc>
        <w:tc>
          <w:tcPr>
            <w:tcW w:w="708" w:type="dxa"/>
            <w:shd w:val="clear" w:color="auto" w:fill="FFFFFF" w:themeFill="background1"/>
          </w:tcPr>
          <w:p w14:paraId="532BC73E"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.046</w:t>
            </w:r>
          </w:p>
        </w:tc>
        <w:tc>
          <w:tcPr>
            <w:tcW w:w="755" w:type="dxa"/>
            <w:shd w:val="clear" w:color="auto" w:fill="FFFFFF" w:themeFill="background1"/>
          </w:tcPr>
          <w:p w14:paraId="51876F96"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w:t>
            </w:r>
          </w:p>
        </w:tc>
        <w:tc>
          <w:tcPr>
            <w:tcW w:w="805" w:type="dxa"/>
            <w:shd w:val="clear" w:color="auto" w:fill="FFFFFF" w:themeFill="background1"/>
          </w:tcPr>
          <w:p w14:paraId="53D0B411"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c>
          <w:tcPr>
            <w:tcW w:w="708" w:type="dxa"/>
            <w:shd w:val="clear" w:color="auto" w:fill="FFFFFF" w:themeFill="background1"/>
          </w:tcPr>
          <w:p w14:paraId="0898E392"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c>
          <w:tcPr>
            <w:tcW w:w="709" w:type="dxa"/>
            <w:shd w:val="clear" w:color="auto" w:fill="FFFFFF" w:themeFill="background1"/>
          </w:tcPr>
          <w:p w14:paraId="6C5F0106"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c>
          <w:tcPr>
            <w:tcW w:w="709" w:type="dxa"/>
            <w:shd w:val="clear" w:color="auto" w:fill="FFFFFF" w:themeFill="background1"/>
          </w:tcPr>
          <w:p w14:paraId="13B72ABC"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c>
          <w:tcPr>
            <w:tcW w:w="850" w:type="dxa"/>
            <w:shd w:val="clear" w:color="auto" w:fill="FFFFFF" w:themeFill="background1"/>
          </w:tcPr>
          <w:p w14:paraId="74EF22F8"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c>
          <w:tcPr>
            <w:tcW w:w="851" w:type="dxa"/>
            <w:shd w:val="clear" w:color="auto" w:fill="FFFFFF" w:themeFill="background1"/>
          </w:tcPr>
          <w:p w14:paraId="151D7889"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r>
      <w:tr w:rsidR="00F03CB1" w:rsidRPr="00B85F21" w14:paraId="7E2E670E" w14:textId="77777777" w:rsidTr="006A5476">
        <w:trPr>
          <w:cantSplit/>
        </w:trPr>
        <w:tc>
          <w:tcPr>
            <w:tcW w:w="2977" w:type="dxa"/>
            <w:shd w:val="clear" w:color="auto" w:fill="FFFFFF" w:themeFill="background1"/>
          </w:tcPr>
          <w:p w14:paraId="44385774"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3. Division</w:t>
            </w:r>
          </w:p>
        </w:tc>
        <w:tc>
          <w:tcPr>
            <w:tcW w:w="708" w:type="dxa"/>
            <w:shd w:val="clear" w:color="auto" w:fill="FFFFFF" w:themeFill="background1"/>
          </w:tcPr>
          <w:p w14:paraId="407FD508"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-.049</w:t>
            </w:r>
          </w:p>
        </w:tc>
        <w:tc>
          <w:tcPr>
            <w:tcW w:w="755" w:type="dxa"/>
            <w:shd w:val="clear" w:color="auto" w:fill="FFFFFF" w:themeFill="background1"/>
          </w:tcPr>
          <w:p w14:paraId="031C7039"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.068</w:t>
            </w:r>
          </w:p>
        </w:tc>
        <w:tc>
          <w:tcPr>
            <w:tcW w:w="805" w:type="dxa"/>
            <w:shd w:val="clear" w:color="auto" w:fill="FFFFFF" w:themeFill="background1"/>
          </w:tcPr>
          <w:p w14:paraId="7509E5CA"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w:t>
            </w:r>
          </w:p>
        </w:tc>
        <w:tc>
          <w:tcPr>
            <w:tcW w:w="708" w:type="dxa"/>
            <w:shd w:val="clear" w:color="auto" w:fill="FFFFFF" w:themeFill="background1"/>
          </w:tcPr>
          <w:p w14:paraId="17C1613C"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c>
          <w:tcPr>
            <w:tcW w:w="709" w:type="dxa"/>
            <w:shd w:val="clear" w:color="auto" w:fill="FFFFFF" w:themeFill="background1"/>
          </w:tcPr>
          <w:p w14:paraId="70BC0619"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c>
          <w:tcPr>
            <w:tcW w:w="709" w:type="dxa"/>
            <w:shd w:val="clear" w:color="auto" w:fill="FFFFFF" w:themeFill="background1"/>
          </w:tcPr>
          <w:p w14:paraId="7842DBF9"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c>
          <w:tcPr>
            <w:tcW w:w="850" w:type="dxa"/>
            <w:shd w:val="clear" w:color="auto" w:fill="FFFFFF" w:themeFill="background1"/>
          </w:tcPr>
          <w:p w14:paraId="37FDD911"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c>
          <w:tcPr>
            <w:tcW w:w="851" w:type="dxa"/>
            <w:shd w:val="clear" w:color="auto" w:fill="FFFFFF" w:themeFill="background1"/>
          </w:tcPr>
          <w:p w14:paraId="207D3386"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r>
      <w:tr w:rsidR="00F03CB1" w:rsidRPr="00B85F21" w14:paraId="1BDD8901" w14:textId="77777777" w:rsidTr="006A5476">
        <w:trPr>
          <w:cantSplit/>
        </w:trPr>
        <w:tc>
          <w:tcPr>
            <w:tcW w:w="2977" w:type="dxa"/>
            <w:shd w:val="clear" w:color="auto" w:fill="FFFFFF" w:themeFill="background1"/>
          </w:tcPr>
          <w:p w14:paraId="553479F2"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lastRenderedPageBreak/>
              <w:t>4. Designation</w:t>
            </w:r>
          </w:p>
        </w:tc>
        <w:tc>
          <w:tcPr>
            <w:tcW w:w="708" w:type="dxa"/>
            <w:shd w:val="clear" w:color="auto" w:fill="FFFFFF" w:themeFill="background1"/>
          </w:tcPr>
          <w:p w14:paraId="59372E7A"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.027</w:t>
            </w:r>
          </w:p>
        </w:tc>
        <w:tc>
          <w:tcPr>
            <w:tcW w:w="755" w:type="dxa"/>
            <w:shd w:val="clear" w:color="auto" w:fill="FFFFFF" w:themeFill="background1"/>
          </w:tcPr>
          <w:p w14:paraId="34FED7F0"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.090</w:t>
            </w:r>
          </w:p>
        </w:tc>
        <w:tc>
          <w:tcPr>
            <w:tcW w:w="805" w:type="dxa"/>
            <w:shd w:val="clear" w:color="auto" w:fill="FFFFFF" w:themeFill="background1"/>
          </w:tcPr>
          <w:p w14:paraId="2FAECEF5"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.112</w:t>
            </w:r>
          </w:p>
        </w:tc>
        <w:tc>
          <w:tcPr>
            <w:tcW w:w="708" w:type="dxa"/>
            <w:shd w:val="clear" w:color="auto" w:fill="FFFFFF" w:themeFill="background1"/>
          </w:tcPr>
          <w:p w14:paraId="60464C64"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w:t>
            </w:r>
          </w:p>
        </w:tc>
        <w:tc>
          <w:tcPr>
            <w:tcW w:w="709" w:type="dxa"/>
            <w:shd w:val="clear" w:color="auto" w:fill="FFFFFF" w:themeFill="background1"/>
          </w:tcPr>
          <w:p w14:paraId="03ED8BCC"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c>
          <w:tcPr>
            <w:tcW w:w="709" w:type="dxa"/>
            <w:shd w:val="clear" w:color="auto" w:fill="FFFFFF" w:themeFill="background1"/>
          </w:tcPr>
          <w:p w14:paraId="4B18C110"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c>
          <w:tcPr>
            <w:tcW w:w="850" w:type="dxa"/>
            <w:shd w:val="clear" w:color="auto" w:fill="FFFFFF" w:themeFill="background1"/>
          </w:tcPr>
          <w:p w14:paraId="0FB3663F"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c>
          <w:tcPr>
            <w:tcW w:w="851" w:type="dxa"/>
            <w:shd w:val="clear" w:color="auto" w:fill="FFFFFF" w:themeFill="background1"/>
          </w:tcPr>
          <w:p w14:paraId="706633C9"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r>
      <w:tr w:rsidR="00F03CB1" w:rsidRPr="00B85F21" w14:paraId="06E66753" w14:textId="77777777" w:rsidTr="006A5476">
        <w:trPr>
          <w:cantSplit/>
        </w:trPr>
        <w:tc>
          <w:tcPr>
            <w:tcW w:w="2977" w:type="dxa"/>
            <w:shd w:val="clear" w:color="auto" w:fill="FFFFFF" w:themeFill="background1"/>
          </w:tcPr>
          <w:p w14:paraId="1CDD9CE5"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5. Intrinsic Motivation</w:t>
            </w:r>
          </w:p>
        </w:tc>
        <w:tc>
          <w:tcPr>
            <w:tcW w:w="708" w:type="dxa"/>
            <w:shd w:val="clear" w:color="auto" w:fill="FFFFFF" w:themeFill="background1"/>
          </w:tcPr>
          <w:p w14:paraId="7CD8B323"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.308</w:t>
            </w:r>
          </w:p>
        </w:tc>
        <w:tc>
          <w:tcPr>
            <w:tcW w:w="755" w:type="dxa"/>
            <w:shd w:val="clear" w:color="auto" w:fill="FFFFFF" w:themeFill="background1"/>
          </w:tcPr>
          <w:p w14:paraId="205D3D87"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.017</w:t>
            </w:r>
          </w:p>
        </w:tc>
        <w:tc>
          <w:tcPr>
            <w:tcW w:w="805" w:type="dxa"/>
            <w:shd w:val="clear" w:color="auto" w:fill="FFFFFF" w:themeFill="background1"/>
          </w:tcPr>
          <w:p w14:paraId="340E289A"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.077</w:t>
            </w:r>
          </w:p>
        </w:tc>
        <w:tc>
          <w:tcPr>
            <w:tcW w:w="708" w:type="dxa"/>
            <w:shd w:val="clear" w:color="auto" w:fill="FFFFFF" w:themeFill="background1"/>
          </w:tcPr>
          <w:p w14:paraId="1E387D81"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.196</w:t>
            </w:r>
          </w:p>
        </w:tc>
        <w:tc>
          <w:tcPr>
            <w:tcW w:w="709" w:type="dxa"/>
            <w:shd w:val="clear" w:color="auto" w:fill="FFFFFF" w:themeFill="background1"/>
          </w:tcPr>
          <w:p w14:paraId="7833845E" w14:textId="77777777" w:rsidR="00F03CB1" w:rsidRPr="00B85F21" w:rsidRDefault="00F03CB1" w:rsidP="00B85F21">
            <w:pPr>
              <w:autoSpaceDE w:val="0"/>
              <w:autoSpaceDN w:val="0"/>
              <w:adjustRightInd w:val="0"/>
              <w:spacing w:after="0" w:line="240" w:lineRule="auto"/>
              <w:ind w:left="60" w:right="60"/>
              <w:rPr>
                <w:rFonts w:cs="Times New Roman"/>
                <w:b/>
                <w:color w:val="000000" w:themeColor="text1"/>
                <w:sz w:val="20"/>
                <w:szCs w:val="20"/>
              </w:rPr>
            </w:pPr>
            <w:r w:rsidRPr="00B85F21">
              <w:rPr>
                <w:rFonts w:cs="Times New Roman"/>
                <w:b/>
                <w:color w:val="000000" w:themeColor="text1"/>
                <w:sz w:val="20"/>
                <w:szCs w:val="20"/>
              </w:rPr>
              <w:t>.782</w:t>
            </w:r>
          </w:p>
        </w:tc>
        <w:tc>
          <w:tcPr>
            <w:tcW w:w="709" w:type="dxa"/>
            <w:shd w:val="clear" w:color="auto" w:fill="FFFFFF" w:themeFill="background1"/>
          </w:tcPr>
          <w:p w14:paraId="6B6A076D"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c>
          <w:tcPr>
            <w:tcW w:w="850" w:type="dxa"/>
            <w:shd w:val="clear" w:color="auto" w:fill="FFFFFF" w:themeFill="background1"/>
          </w:tcPr>
          <w:p w14:paraId="5DABD569"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c>
          <w:tcPr>
            <w:tcW w:w="851" w:type="dxa"/>
            <w:shd w:val="clear" w:color="auto" w:fill="FFFFFF" w:themeFill="background1"/>
          </w:tcPr>
          <w:p w14:paraId="2426FDE1"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r>
      <w:tr w:rsidR="00F03CB1" w:rsidRPr="00B85F21" w14:paraId="30D9B2F6" w14:textId="77777777" w:rsidTr="006A5476">
        <w:trPr>
          <w:cantSplit/>
        </w:trPr>
        <w:tc>
          <w:tcPr>
            <w:tcW w:w="2977" w:type="dxa"/>
            <w:shd w:val="clear" w:color="auto" w:fill="FFFFFF" w:themeFill="background1"/>
          </w:tcPr>
          <w:p w14:paraId="501692AC"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6. Extrinsic Motivation</w:t>
            </w:r>
          </w:p>
        </w:tc>
        <w:tc>
          <w:tcPr>
            <w:tcW w:w="708" w:type="dxa"/>
            <w:shd w:val="clear" w:color="auto" w:fill="FFFFFF" w:themeFill="background1"/>
          </w:tcPr>
          <w:p w14:paraId="0D05C12E"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.243</w:t>
            </w:r>
          </w:p>
        </w:tc>
        <w:tc>
          <w:tcPr>
            <w:tcW w:w="755" w:type="dxa"/>
            <w:shd w:val="clear" w:color="auto" w:fill="FFFFFF" w:themeFill="background1"/>
          </w:tcPr>
          <w:p w14:paraId="30D0BC62"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-.281</w:t>
            </w:r>
          </w:p>
        </w:tc>
        <w:tc>
          <w:tcPr>
            <w:tcW w:w="805" w:type="dxa"/>
            <w:shd w:val="clear" w:color="auto" w:fill="FFFFFF" w:themeFill="background1"/>
          </w:tcPr>
          <w:p w14:paraId="52D7B7B1"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.201</w:t>
            </w:r>
          </w:p>
        </w:tc>
        <w:tc>
          <w:tcPr>
            <w:tcW w:w="708" w:type="dxa"/>
            <w:shd w:val="clear" w:color="auto" w:fill="FFFFFF" w:themeFill="background1"/>
          </w:tcPr>
          <w:p w14:paraId="38AEF511"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.010</w:t>
            </w:r>
          </w:p>
        </w:tc>
        <w:tc>
          <w:tcPr>
            <w:tcW w:w="709" w:type="dxa"/>
            <w:shd w:val="clear" w:color="auto" w:fill="FFFFFF" w:themeFill="background1"/>
          </w:tcPr>
          <w:p w14:paraId="2AFC5901"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.386</w:t>
            </w:r>
          </w:p>
        </w:tc>
        <w:tc>
          <w:tcPr>
            <w:tcW w:w="709" w:type="dxa"/>
            <w:shd w:val="clear" w:color="auto" w:fill="FFFFFF" w:themeFill="background1"/>
          </w:tcPr>
          <w:p w14:paraId="2DEF4E4F" w14:textId="77777777" w:rsidR="00F03CB1" w:rsidRPr="00B85F21" w:rsidRDefault="00F03CB1" w:rsidP="00B85F21">
            <w:pPr>
              <w:autoSpaceDE w:val="0"/>
              <w:autoSpaceDN w:val="0"/>
              <w:adjustRightInd w:val="0"/>
              <w:spacing w:after="0" w:line="240" w:lineRule="auto"/>
              <w:ind w:left="60" w:right="60"/>
              <w:rPr>
                <w:rFonts w:cs="Times New Roman"/>
                <w:b/>
                <w:color w:val="000000" w:themeColor="text1"/>
                <w:sz w:val="20"/>
                <w:szCs w:val="20"/>
              </w:rPr>
            </w:pPr>
            <w:r w:rsidRPr="00B85F21">
              <w:rPr>
                <w:rFonts w:cs="Times New Roman"/>
                <w:b/>
                <w:color w:val="000000" w:themeColor="text1"/>
                <w:sz w:val="20"/>
                <w:szCs w:val="20"/>
              </w:rPr>
              <w:t>.798</w:t>
            </w:r>
          </w:p>
        </w:tc>
        <w:tc>
          <w:tcPr>
            <w:tcW w:w="850" w:type="dxa"/>
            <w:shd w:val="clear" w:color="auto" w:fill="FFFFFF" w:themeFill="background1"/>
          </w:tcPr>
          <w:p w14:paraId="509C0976"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c>
          <w:tcPr>
            <w:tcW w:w="851" w:type="dxa"/>
            <w:shd w:val="clear" w:color="auto" w:fill="FFFFFF" w:themeFill="background1"/>
          </w:tcPr>
          <w:p w14:paraId="0D23C8C4"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r>
      <w:tr w:rsidR="00F03CB1" w:rsidRPr="00B85F21" w14:paraId="7DFEC82E" w14:textId="77777777" w:rsidTr="006A5476">
        <w:trPr>
          <w:cantSplit/>
        </w:trPr>
        <w:tc>
          <w:tcPr>
            <w:tcW w:w="2977" w:type="dxa"/>
            <w:shd w:val="clear" w:color="auto" w:fill="FFFFFF" w:themeFill="background1"/>
          </w:tcPr>
          <w:p w14:paraId="2AB36434"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7. Internal Land Admin reform</w:t>
            </w:r>
          </w:p>
        </w:tc>
        <w:tc>
          <w:tcPr>
            <w:tcW w:w="708" w:type="dxa"/>
            <w:shd w:val="clear" w:color="auto" w:fill="FFFFFF" w:themeFill="background1"/>
          </w:tcPr>
          <w:p w14:paraId="3F17FAC1"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.055</w:t>
            </w:r>
          </w:p>
        </w:tc>
        <w:tc>
          <w:tcPr>
            <w:tcW w:w="755" w:type="dxa"/>
            <w:shd w:val="clear" w:color="auto" w:fill="FFFFFF" w:themeFill="background1"/>
          </w:tcPr>
          <w:p w14:paraId="15FB8C1E"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-.041</w:t>
            </w:r>
          </w:p>
        </w:tc>
        <w:tc>
          <w:tcPr>
            <w:tcW w:w="805" w:type="dxa"/>
            <w:shd w:val="clear" w:color="auto" w:fill="FFFFFF" w:themeFill="background1"/>
          </w:tcPr>
          <w:p w14:paraId="6E3B11BE"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-.137</w:t>
            </w:r>
          </w:p>
        </w:tc>
        <w:tc>
          <w:tcPr>
            <w:tcW w:w="708" w:type="dxa"/>
            <w:shd w:val="clear" w:color="auto" w:fill="FFFFFF" w:themeFill="background1"/>
          </w:tcPr>
          <w:p w14:paraId="6B24A4BA"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-.029</w:t>
            </w:r>
          </w:p>
        </w:tc>
        <w:tc>
          <w:tcPr>
            <w:tcW w:w="709" w:type="dxa"/>
            <w:shd w:val="clear" w:color="auto" w:fill="FFFFFF" w:themeFill="background1"/>
          </w:tcPr>
          <w:p w14:paraId="77D05367"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-.028</w:t>
            </w:r>
          </w:p>
        </w:tc>
        <w:tc>
          <w:tcPr>
            <w:tcW w:w="709" w:type="dxa"/>
            <w:shd w:val="clear" w:color="auto" w:fill="FFFFFF" w:themeFill="background1"/>
          </w:tcPr>
          <w:p w14:paraId="0E1C7C8C"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.099</w:t>
            </w:r>
          </w:p>
        </w:tc>
        <w:tc>
          <w:tcPr>
            <w:tcW w:w="850" w:type="dxa"/>
            <w:shd w:val="clear" w:color="auto" w:fill="FFFFFF" w:themeFill="background1"/>
          </w:tcPr>
          <w:p w14:paraId="75E2D083" w14:textId="77777777" w:rsidR="00F03CB1" w:rsidRPr="00B85F21" w:rsidRDefault="00F03CB1" w:rsidP="00B85F21">
            <w:pPr>
              <w:autoSpaceDE w:val="0"/>
              <w:autoSpaceDN w:val="0"/>
              <w:adjustRightInd w:val="0"/>
              <w:spacing w:after="0" w:line="240" w:lineRule="auto"/>
              <w:ind w:left="60" w:right="60"/>
              <w:rPr>
                <w:rFonts w:cs="Times New Roman"/>
                <w:b/>
                <w:color w:val="000000" w:themeColor="text1"/>
                <w:sz w:val="20"/>
                <w:szCs w:val="20"/>
              </w:rPr>
            </w:pPr>
            <w:r w:rsidRPr="00B85F21">
              <w:rPr>
                <w:rFonts w:cs="Times New Roman"/>
                <w:b/>
                <w:color w:val="000000" w:themeColor="text1"/>
                <w:sz w:val="20"/>
                <w:szCs w:val="20"/>
              </w:rPr>
              <w:t>.779</w:t>
            </w:r>
          </w:p>
        </w:tc>
        <w:tc>
          <w:tcPr>
            <w:tcW w:w="851" w:type="dxa"/>
            <w:shd w:val="clear" w:color="auto" w:fill="FFFFFF" w:themeFill="background1"/>
          </w:tcPr>
          <w:p w14:paraId="196620A3"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p>
        </w:tc>
      </w:tr>
      <w:tr w:rsidR="00F03CB1" w:rsidRPr="00B85F21" w14:paraId="4BE8E6A5" w14:textId="77777777" w:rsidTr="006A5476">
        <w:trPr>
          <w:cantSplit/>
        </w:trPr>
        <w:tc>
          <w:tcPr>
            <w:tcW w:w="2977" w:type="dxa"/>
            <w:tcBorders>
              <w:bottom w:val="single" w:sz="4" w:space="0" w:color="auto"/>
            </w:tcBorders>
            <w:shd w:val="clear" w:color="auto" w:fill="FFFFFF" w:themeFill="background1"/>
          </w:tcPr>
          <w:p w14:paraId="32528B0B"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8. External Land Admin reform</w:t>
            </w:r>
          </w:p>
        </w:tc>
        <w:tc>
          <w:tcPr>
            <w:tcW w:w="708" w:type="dxa"/>
            <w:tcBorders>
              <w:bottom w:val="single" w:sz="4" w:space="0" w:color="auto"/>
            </w:tcBorders>
            <w:shd w:val="clear" w:color="auto" w:fill="FFFFFF" w:themeFill="background1"/>
          </w:tcPr>
          <w:p w14:paraId="23ACE211"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.028</w:t>
            </w:r>
          </w:p>
        </w:tc>
        <w:tc>
          <w:tcPr>
            <w:tcW w:w="755" w:type="dxa"/>
            <w:tcBorders>
              <w:bottom w:val="single" w:sz="4" w:space="0" w:color="auto"/>
            </w:tcBorders>
            <w:shd w:val="clear" w:color="auto" w:fill="FFFFFF" w:themeFill="background1"/>
          </w:tcPr>
          <w:p w14:paraId="3A695B13"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-.105</w:t>
            </w:r>
          </w:p>
        </w:tc>
        <w:tc>
          <w:tcPr>
            <w:tcW w:w="805" w:type="dxa"/>
            <w:tcBorders>
              <w:bottom w:val="single" w:sz="4" w:space="0" w:color="auto"/>
            </w:tcBorders>
            <w:shd w:val="clear" w:color="auto" w:fill="FFFFFF" w:themeFill="background1"/>
          </w:tcPr>
          <w:p w14:paraId="76D7CAE1"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-.047</w:t>
            </w:r>
          </w:p>
        </w:tc>
        <w:tc>
          <w:tcPr>
            <w:tcW w:w="708" w:type="dxa"/>
            <w:tcBorders>
              <w:bottom w:val="single" w:sz="4" w:space="0" w:color="auto"/>
            </w:tcBorders>
            <w:shd w:val="clear" w:color="auto" w:fill="FFFFFF" w:themeFill="background1"/>
          </w:tcPr>
          <w:p w14:paraId="4F8F17EB"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-.009</w:t>
            </w:r>
          </w:p>
        </w:tc>
        <w:tc>
          <w:tcPr>
            <w:tcW w:w="709" w:type="dxa"/>
            <w:tcBorders>
              <w:bottom w:val="single" w:sz="4" w:space="0" w:color="auto"/>
            </w:tcBorders>
            <w:shd w:val="clear" w:color="auto" w:fill="FFFFFF" w:themeFill="background1"/>
          </w:tcPr>
          <w:p w14:paraId="3F9567B7"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.006</w:t>
            </w:r>
          </w:p>
        </w:tc>
        <w:tc>
          <w:tcPr>
            <w:tcW w:w="709" w:type="dxa"/>
            <w:tcBorders>
              <w:bottom w:val="single" w:sz="4" w:space="0" w:color="auto"/>
            </w:tcBorders>
            <w:shd w:val="clear" w:color="auto" w:fill="FFFFFF" w:themeFill="background1"/>
          </w:tcPr>
          <w:p w14:paraId="61B8AD0C"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.110</w:t>
            </w:r>
          </w:p>
        </w:tc>
        <w:tc>
          <w:tcPr>
            <w:tcW w:w="850" w:type="dxa"/>
            <w:tcBorders>
              <w:bottom w:val="single" w:sz="4" w:space="0" w:color="auto"/>
            </w:tcBorders>
            <w:shd w:val="clear" w:color="auto" w:fill="FFFFFF" w:themeFill="background1"/>
          </w:tcPr>
          <w:p w14:paraId="04D38FD6"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.266</w:t>
            </w:r>
          </w:p>
        </w:tc>
        <w:tc>
          <w:tcPr>
            <w:tcW w:w="851" w:type="dxa"/>
            <w:tcBorders>
              <w:bottom w:val="single" w:sz="4" w:space="0" w:color="auto"/>
            </w:tcBorders>
            <w:shd w:val="clear" w:color="auto" w:fill="FFFFFF" w:themeFill="background1"/>
          </w:tcPr>
          <w:p w14:paraId="4341BC7D" w14:textId="77777777" w:rsidR="00F03CB1" w:rsidRPr="00B85F21" w:rsidRDefault="00F03CB1" w:rsidP="00B85F21">
            <w:pPr>
              <w:autoSpaceDE w:val="0"/>
              <w:autoSpaceDN w:val="0"/>
              <w:adjustRightInd w:val="0"/>
              <w:spacing w:after="0" w:line="240" w:lineRule="auto"/>
              <w:ind w:left="60" w:right="60"/>
              <w:rPr>
                <w:rFonts w:cs="Times New Roman"/>
                <w:b/>
                <w:color w:val="000000" w:themeColor="text1"/>
                <w:sz w:val="20"/>
                <w:szCs w:val="20"/>
              </w:rPr>
            </w:pPr>
            <w:r w:rsidRPr="00B85F21">
              <w:rPr>
                <w:rFonts w:cs="Times New Roman"/>
                <w:b/>
                <w:color w:val="000000" w:themeColor="text1"/>
                <w:sz w:val="20"/>
                <w:szCs w:val="20"/>
              </w:rPr>
              <w:t>.808</w:t>
            </w:r>
          </w:p>
        </w:tc>
      </w:tr>
      <w:tr w:rsidR="00F03CB1" w:rsidRPr="00B85F21" w14:paraId="7B39D8FE" w14:textId="77777777" w:rsidTr="006A5476">
        <w:trPr>
          <w:cantSplit/>
        </w:trPr>
        <w:tc>
          <w:tcPr>
            <w:tcW w:w="2977" w:type="dxa"/>
            <w:tcBorders>
              <w:top w:val="single" w:sz="4" w:space="0" w:color="auto"/>
              <w:bottom w:val="single" w:sz="4" w:space="0" w:color="auto"/>
            </w:tcBorders>
            <w:shd w:val="clear" w:color="auto" w:fill="FFFFFF" w:themeFill="background1"/>
          </w:tcPr>
          <w:p w14:paraId="40E51C9C" w14:textId="77777777" w:rsidR="00F03CB1" w:rsidRPr="00B85F21" w:rsidRDefault="00F03CB1" w:rsidP="00B85F21">
            <w:pPr>
              <w:autoSpaceDE w:val="0"/>
              <w:autoSpaceDN w:val="0"/>
              <w:adjustRightInd w:val="0"/>
              <w:spacing w:after="0" w:line="240" w:lineRule="auto"/>
              <w:ind w:left="60" w:right="60"/>
              <w:rPr>
                <w:rFonts w:cs="Times New Roman"/>
                <w:b/>
                <w:color w:val="000000" w:themeColor="text1"/>
                <w:sz w:val="20"/>
                <w:szCs w:val="20"/>
              </w:rPr>
            </w:pPr>
            <w:r w:rsidRPr="00B85F21">
              <w:rPr>
                <w:rFonts w:cs="Times New Roman"/>
                <w:b/>
                <w:color w:val="000000" w:themeColor="text1"/>
                <w:sz w:val="20"/>
                <w:szCs w:val="20"/>
              </w:rPr>
              <w:t>AVE</w:t>
            </w:r>
          </w:p>
        </w:tc>
        <w:tc>
          <w:tcPr>
            <w:tcW w:w="708" w:type="dxa"/>
            <w:tcBorders>
              <w:top w:val="single" w:sz="4" w:space="0" w:color="auto"/>
              <w:bottom w:val="single" w:sz="4" w:space="0" w:color="auto"/>
            </w:tcBorders>
            <w:shd w:val="clear" w:color="auto" w:fill="FFFFFF" w:themeFill="background1"/>
          </w:tcPr>
          <w:p w14:paraId="30877041"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.659</w:t>
            </w:r>
          </w:p>
        </w:tc>
        <w:tc>
          <w:tcPr>
            <w:tcW w:w="755" w:type="dxa"/>
            <w:tcBorders>
              <w:top w:val="single" w:sz="4" w:space="0" w:color="auto"/>
              <w:bottom w:val="single" w:sz="4" w:space="0" w:color="auto"/>
            </w:tcBorders>
            <w:shd w:val="clear" w:color="auto" w:fill="FFFFFF" w:themeFill="background1"/>
          </w:tcPr>
          <w:p w14:paraId="56EA3073"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w:t>
            </w:r>
          </w:p>
        </w:tc>
        <w:tc>
          <w:tcPr>
            <w:tcW w:w="805" w:type="dxa"/>
            <w:tcBorders>
              <w:top w:val="single" w:sz="4" w:space="0" w:color="auto"/>
              <w:bottom w:val="single" w:sz="4" w:space="0" w:color="auto"/>
            </w:tcBorders>
            <w:shd w:val="clear" w:color="auto" w:fill="FFFFFF" w:themeFill="background1"/>
          </w:tcPr>
          <w:p w14:paraId="71518683"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w:t>
            </w:r>
          </w:p>
        </w:tc>
        <w:tc>
          <w:tcPr>
            <w:tcW w:w="708" w:type="dxa"/>
            <w:tcBorders>
              <w:top w:val="single" w:sz="4" w:space="0" w:color="auto"/>
              <w:bottom w:val="single" w:sz="4" w:space="0" w:color="auto"/>
            </w:tcBorders>
            <w:shd w:val="clear" w:color="auto" w:fill="FFFFFF" w:themeFill="background1"/>
          </w:tcPr>
          <w:p w14:paraId="5FA24E84"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w:t>
            </w:r>
          </w:p>
        </w:tc>
        <w:tc>
          <w:tcPr>
            <w:tcW w:w="709" w:type="dxa"/>
            <w:tcBorders>
              <w:top w:val="single" w:sz="4" w:space="0" w:color="auto"/>
              <w:bottom w:val="single" w:sz="4" w:space="0" w:color="auto"/>
            </w:tcBorders>
            <w:shd w:val="clear" w:color="auto" w:fill="FFFFFF" w:themeFill="background1"/>
          </w:tcPr>
          <w:p w14:paraId="70AB12C4"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.612</w:t>
            </w:r>
          </w:p>
        </w:tc>
        <w:tc>
          <w:tcPr>
            <w:tcW w:w="709" w:type="dxa"/>
            <w:tcBorders>
              <w:top w:val="single" w:sz="4" w:space="0" w:color="auto"/>
              <w:bottom w:val="single" w:sz="4" w:space="0" w:color="auto"/>
            </w:tcBorders>
            <w:shd w:val="clear" w:color="auto" w:fill="FFFFFF" w:themeFill="background1"/>
          </w:tcPr>
          <w:p w14:paraId="6DFBC9DC"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.637</w:t>
            </w:r>
          </w:p>
        </w:tc>
        <w:tc>
          <w:tcPr>
            <w:tcW w:w="850" w:type="dxa"/>
            <w:tcBorders>
              <w:top w:val="single" w:sz="4" w:space="0" w:color="auto"/>
              <w:bottom w:val="single" w:sz="4" w:space="0" w:color="auto"/>
            </w:tcBorders>
            <w:shd w:val="clear" w:color="auto" w:fill="FFFFFF" w:themeFill="background1"/>
          </w:tcPr>
          <w:p w14:paraId="6F7BE30C"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.608</w:t>
            </w:r>
          </w:p>
        </w:tc>
        <w:tc>
          <w:tcPr>
            <w:tcW w:w="851" w:type="dxa"/>
            <w:tcBorders>
              <w:top w:val="single" w:sz="4" w:space="0" w:color="auto"/>
              <w:bottom w:val="single" w:sz="4" w:space="0" w:color="auto"/>
            </w:tcBorders>
            <w:shd w:val="clear" w:color="auto" w:fill="FFFFFF" w:themeFill="background1"/>
          </w:tcPr>
          <w:p w14:paraId="7EC23360" w14:textId="77777777" w:rsidR="00F03CB1" w:rsidRPr="00B85F21" w:rsidRDefault="00F03CB1" w:rsidP="00B85F21">
            <w:pPr>
              <w:autoSpaceDE w:val="0"/>
              <w:autoSpaceDN w:val="0"/>
              <w:adjustRightInd w:val="0"/>
              <w:spacing w:after="0" w:line="240" w:lineRule="auto"/>
              <w:ind w:left="60" w:right="60"/>
              <w:rPr>
                <w:rFonts w:cs="Times New Roman"/>
                <w:color w:val="000000" w:themeColor="text1"/>
                <w:sz w:val="20"/>
                <w:szCs w:val="20"/>
              </w:rPr>
            </w:pPr>
            <w:r w:rsidRPr="00B85F21">
              <w:rPr>
                <w:rFonts w:cs="Times New Roman"/>
                <w:color w:val="000000" w:themeColor="text1"/>
                <w:sz w:val="20"/>
                <w:szCs w:val="20"/>
              </w:rPr>
              <w:t>.653</w:t>
            </w:r>
          </w:p>
        </w:tc>
      </w:tr>
    </w:tbl>
    <w:p w14:paraId="7546707F" w14:textId="77777777" w:rsidR="00F03CB1" w:rsidRPr="00BC1A01" w:rsidRDefault="00F03CB1" w:rsidP="00B20C4D">
      <w:pPr>
        <w:spacing w:after="0" w:line="480" w:lineRule="auto"/>
        <w:ind w:left="567" w:hanging="567"/>
        <w:rPr>
          <w:rFonts w:eastAsia="Times New Roman" w:cs="Times New Roman"/>
          <w:sz w:val="20"/>
          <w:szCs w:val="20"/>
        </w:rPr>
      </w:pPr>
      <w:r w:rsidRPr="00BC1A01">
        <w:rPr>
          <w:rFonts w:eastAsia="Times New Roman" w:cs="Times New Roman"/>
          <w:color w:val="000000"/>
          <w:sz w:val="20"/>
          <w:szCs w:val="20"/>
        </w:rPr>
        <w:t>Correlation is significant at the 0.01 level (2-tailed) and the 0.05 level (2-tailed).</w:t>
      </w:r>
    </w:p>
    <w:p w14:paraId="11302C2D" w14:textId="29ED20A9" w:rsidR="00B20C4D" w:rsidRDefault="00F03CB1" w:rsidP="00B20C4D">
      <w:pPr>
        <w:spacing w:after="0" w:line="480" w:lineRule="auto"/>
        <w:rPr>
          <w:rFonts w:eastAsia="Times New Roman" w:cs="Times New Roman"/>
          <w:sz w:val="20"/>
          <w:szCs w:val="20"/>
        </w:rPr>
      </w:pPr>
      <w:r w:rsidRPr="00BC1A01">
        <w:rPr>
          <w:rFonts w:eastAsia="Times New Roman" w:cs="Times New Roman"/>
          <w:sz w:val="20"/>
          <w:szCs w:val="20"/>
        </w:rPr>
        <w:t>Note: Diagonal elements are the square root of the Average Variance Extracted.</w:t>
      </w:r>
      <w:bookmarkStart w:id="26" w:name="_Toc17718836"/>
      <w:bookmarkStart w:id="27" w:name="_Toc510623880"/>
      <w:bookmarkStart w:id="28" w:name="_Toc177304728"/>
    </w:p>
    <w:p w14:paraId="17ABFB92" w14:textId="0EE6D69E" w:rsidR="00B85F21" w:rsidRPr="00B85F21" w:rsidRDefault="00B85F21" w:rsidP="00B85F21">
      <w:pPr>
        <w:spacing w:before="0" w:after="0" w:line="480" w:lineRule="auto"/>
        <w:ind w:left="360"/>
        <w:jc w:val="center"/>
        <w:rPr>
          <w:rFonts w:eastAsia="Calibri" w:cs="Times New Roman"/>
          <w:color w:val="000000"/>
          <w:kern w:val="0"/>
          <w:sz w:val="20"/>
          <w:szCs w:val="20"/>
          <w:lang w:eastAsia="en-US"/>
          <w14:ligatures w14:val="none"/>
        </w:rPr>
      </w:pPr>
      <w:r w:rsidRPr="0069543B">
        <w:rPr>
          <w:rFonts w:eastAsia="Calibri" w:cs="Times New Roman"/>
          <w:color w:val="000000"/>
          <w:kern w:val="0"/>
          <w:sz w:val="20"/>
          <w:szCs w:val="20"/>
          <w:lang w:val="en-GB" w:eastAsia="en-US"/>
          <w14:ligatures w14:val="none"/>
        </w:rPr>
        <w:t>Source: Researcher’s field note (2024)</w:t>
      </w:r>
    </w:p>
    <w:p w14:paraId="3A06BBB6" w14:textId="7C061A69" w:rsidR="00BB3E12" w:rsidRPr="0069543B" w:rsidRDefault="00F03CB1" w:rsidP="00B20C4D">
      <w:pPr>
        <w:spacing w:after="0" w:line="480" w:lineRule="auto"/>
        <w:rPr>
          <w:rFonts w:cs="Times New Roman"/>
          <w:b/>
          <w:bCs/>
          <w:iCs/>
          <w:sz w:val="20"/>
          <w:szCs w:val="20"/>
        </w:rPr>
      </w:pPr>
      <w:r w:rsidRPr="0069543B">
        <w:rPr>
          <w:rFonts w:cs="Times New Roman"/>
          <w:b/>
          <w:bCs/>
          <w:iCs/>
          <w:sz w:val="20"/>
          <w:szCs w:val="20"/>
          <w:lang w:eastAsia="x-none"/>
        </w:rPr>
        <w:t>4.4 Test of validity</w:t>
      </w:r>
      <w:bookmarkStart w:id="29" w:name="_Toc17718837"/>
      <w:bookmarkEnd w:id="26"/>
      <w:r w:rsidRPr="0069543B">
        <w:rPr>
          <w:rFonts w:cs="Times New Roman"/>
          <w:b/>
          <w:bCs/>
          <w:iCs/>
          <w:sz w:val="20"/>
          <w:szCs w:val="20"/>
          <w:lang w:eastAsia="x-none"/>
        </w:rPr>
        <w:t xml:space="preserve">- </w:t>
      </w:r>
      <w:r w:rsidRPr="0069543B">
        <w:rPr>
          <w:rFonts w:cs="Times New Roman"/>
          <w:b/>
          <w:bCs/>
          <w:iCs/>
          <w:sz w:val="20"/>
          <w:szCs w:val="20"/>
        </w:rPr>
        <w:t>Convergent and discriminant analysis</w:t>
      </w:r>
      <w:bookmarkStart w:id="30" w:name="_Toc510623881"/>
      <w:bookmarkStart w:id="31" w:name="_Toc17718839"/>
      <w:bookmarkStart w:id="32" w:name="_Toc177304729"/>
      <w:bookmarkEnd w:id="27"/>
      <w:bookmarkEnd w:id="28"/>
      <w:bookmarkEnd w:id="29"/>
    </w:p>
    <w:p w14:paraId="24985451" w14:textId="44D12BF4" w:rsidR="00F03CB1" w:rsidRPr="00BC1A01" w:rsidRDefault="00F03CB1" w:rsidP="00B20C4D">
      <w:pPr>
        <w:spacing w:after="0" w:line="480" w:lineRule="auto"/>
        <w:rPr>
          <w:rFonts w:eastAsia="Times New Roman" w:cs="Times New Roman"/>
          <w:sz w:val="20"/>
          <w:szCs w:val="20"/>
        </w:rPr>
      </w:pPr>
      <w:r w:rsidRPr="00BC1A01">
        <w:rPr>
          <w:rFonts w:eastAsia="Calibri" w:cs="Times New Roman"/>
          <w:sz w:val="20"/>
          <w:szCs w:val="20"/>
          <w:lang w:eastAsia="ja-JP"/>
        </w:rPr>
        <w:t xml:space="preserve">The study assessed construct reliability and validity through convergent and discriminant validity tests. Item loadings exceeded 0.50 for all constructs, indicating substantial commonality. The Average Variance Extracted (AVE) surpassed the 0.50 threshold for all latent variables, confirming that measures accounted for at least half of their variance with underlying constructs. Discriminant validity was evaluated using </w:t>
      </w:r>
      <w:proofErr w:type="spellStart"/>
      <w:r w:rsidRPr="00BC1A01">
        <w:rPr>
          <w:rFonts w:eastAsia="Calibri" w:cs="Times New Roman"/>
          <w:sz w:val="20"/>
          <w:szCs w:val="20"/>
          <w:lang w:eastAsia="ja-JP"/>
        </w:rPr>
        <w:t>Fornell</w:t>
      </w:r>
      <w:proofErr w:type="spellEnd"/>
      <w:r w:rsidRPr="00BC1A01">
        <w:rPr>
          <w:rFonts w:eastAsia="Calibri" w:cs="Times New Roman"/>
          <w:sz w:val="20"/>
          <w:szCs w:val="20"/>
          <w:lang w:eastAsia="ja-JP"/>
        </w:rPr>
        <w:t xml:space="preserve"> and </w:t>
      </w:r>
      <w:proofErr w:type="spellStart"/>
      <w:r w:rsidRPr="00BC1A01">
        <w:rPr>
          <w:rFonts w:eastAsia="Calibri" w:cs="Times New Roman"/>
          <w:sz w:val="20"/>
          <w:szCs w:val="20"/>
          <w:lang w:eastAsia="ja-JP"/>
        </w:rPr>
        <w:t>Larcker's</w:t>
      </w:r>
      <w:proofErr w:type="spellEnd"/>
      <w:r w:rsidRPr="00BC1A01">
        <w:rPr>
          <w:rFonts w:eastAsia="Calibri" w:cs="Times New Roman"/>
          <w:sz w:val="20"/>
          <w:szCs w:val="20"/>
          <w:lang w:eastAsia="ja-JP"/>
        </w:rPr>
        <w:t xml:space="preserve"> (1981) criterion, which necessitates that the square root of the AVE exceeds inter-construct correlations. The correlation matrix in Table </w:t>
      </w:r>
      <w:r w:rsidR="00BB3E12" w:rsidRPr="00BC1A01">
        <w:rPr>
          <w:rFonts w:eastAsia="Calibri" w:cs="Times New Roman"/>
          <w:sz w:val="20"/>
          <w:szCs w:val="20"/>
          <w:lang w:eastAsia="ja-JP"/>
        </w:rPr>
        <w:t>5</w:t>
      </w:r>
      <w:r w:rsidRPr="00BC1A01">
        <w:rPr>
          <w:rFonts w:eastAsia="Calibri" w:cs="Times New Roman"/>
          <w:sz w:val="20"/>
          <w:szCs w:val="20"/>
          <w:lang w:eastAsia="ja-JP"/>
        </w:rPr>
        <w:t xml:space="preserve"> confirmed this criterion, demonstrating that constructs were distinct and measures were both reliable and valid.</w:t>
      </w:r>
    </w:p>
    <w:p w14:paraId="02E76B77" w14:textId="791E304D" w:rsidR="00F03CB1" w:rsidRPr="0069543B" w:rsidRDefault="0069543B" w:rsidP="00B20C4D">
      <w:pPr>
        <w:pStyle w:val="Heading2"/>
        <w:spacing w:line="480" w:lineRule="auto"/>
        <w:rPr>
          <w:rFonts w:ascii="Times New Roman" w:hAnsi="Times New Roman" w:cs="Times New Roman"/>
          <w:b/>
          <w:bCs/>
          <w:color w:val="auto"/>
          <w:sz w:val="22"/>
          <w:szCs w:val="22"/>
        </w:rPr>
      </w:pPr>
      <w:r w:rsidRPr="0069543B">
        <w:rPr>
          <w:rFonts w:ascii="Times New Roman" w:hAnsi="Times New Roman" w:cs="Times New Roman"/>
          <w:b/>
          <w:bCs/>
          <w:color w:val="auto"/>
          <w:sz w:val="22"/>
          <w:szCs w:val="22"/>
        </w:rPr>
        <w:t>5 ANALYS</w:t>
      </w:r>
      <w:r>
        <w:rPr>
          <w:rFonts w:ascii="Times New Roman" w:hAnsi="Times New Roman" w:cs="Times New Roman"/>
          <w:b/>
          <w:bCs/>
          <w:color w:val="auto"/>
          <w:sz w:val="22"/>
          <w:szCs w:val="22"/>
        </w:rPr>
        <w:t>I</w:t>
      </w:r>
      <w:r w:rsidRPr="0069543B">
        <w:rPr>
          <w:rFonts w:ascii="Times New Roman" w:hAnsi="Times New Roman" w:cs="Times New Roman"/>
          <w:b/>
          <w:bCs/>
          <w:color w:val="auto"/>
          <w:sz w:val="22"/>
          <w:szCs w:val="22"/>
        </w:rPr>
        <w:t xml:space="preserve">S </w:t>
      </w:r>
      <w:bookmarkEnd w:id="30"/>
      <w:bookmarkEnd w:id="31"/>
      <w:bookmarkEnd w:id="32"/>
    </w:p>
    <w:p w14:paraId="03126503" w14:textId="37264B18" w:rsidR="00F03CB1" w:rsidRPr="0069543B" w:rsidRDefault="00F03CB1" w:rsidP="00B20C4D">
      <w:pPr>
        <w:pStyle w:val="Heading3"/>
        <w:spacing w:line="480" w:lineRule="auto"/>
        <w:rPr>
          <w:sz w:val="20"/>
          <w:szCs w:val="20"/>
        </w:rPr>
      </w:pPr>
      <w:bookmarkStart w:id="33" w:name="_Toc510623882"/>
      <w:bookmarkStart w:id="34" w:name="_Toc17718840"/>
      <w:bookmarkStart w:id="35" w:name="_Toc177304730"/>
      <w:r w:rsidRPr="0069543B">
        <w:rPr>
          <w:sz w:val="20"/>
          <w:szCs w:val="20"/>
        </w:rPr>
        <w:t xml:space="preserve">5.1 </w:t>
      </w:r>
      <w:bookmarkEnd w:id="33"/>
      <w:r w:rsidRPr="0069543B">
        <w:rPr>
          <w:sz w:val="20"/>
          <w:szCs w:val="20"/>
        </w:rPr>
        <w:t xml:space="preserve">The effect of </w:t>
      </w:r>
      <w:bookmarkEnd w:id="34"/>
      <w:r w:rsidRPr="0069543B">
        <w:rPr>
          <w:sz w:val="20"/>
          <w:szCs w:val="20"/>
        </w:rPr>
        <w:t>intrinsic and extrinsic motivation on land service delivery</w:t>
      </w:r>
      <w:bookmarkEnd w:id="35"/>
    </w:p>
    <w:p w14:paraId="73B9E115" w14:textId="5B2D7FE7" w:rsidR="00F03CB1" w:rsidRPr="00BC1A01" w:rsidRDefault="00F03CB1" w:rsidP="00B20C4D">
      <w:pPr>
        <w:spacing w:after="0" w:line="480" w:lineRule="auto"/>
        <w:rPr>
          <w:rFonts w:eastAsia="Times New Roman" w:cs="Times New Roman"/>
          <w:sz w:val="20"/>
          <w:szCs w:val="20"/>
        </w:rPr>
      </w:pPr>
      <w:r w:rsidRPr="00BC1A01">
        <w:rPr>
          <w:rFonts w:eastAsia="Times New Roman" w:cs="Times New Roman"/>
          <w:sz w:val="20"/>
          <w:szCs w:val="20"/>
        </w:rPr>
        <w:t xml:space="preserve">Hierarchical regression analysis examined the effect of motivation on service delivery through four stages. Stage one used control variables (location, division, designation) to predict service delivery. Stage two added independent variables (intrinsic and extrinsic motivation) to control variables. Stage three incorporated moderating variables (internal and external land administration reforms) alongside previous variables. The final stage introduced interaction terms between the moderator and independent variables to complete the analysis. Table </w:t>
      </w:r>
      <w:r w:rsidR="00BB3E12" w:rsidRPr="00BC1A01">
        <w:rPr>
          <w:rFonts w:eastAsia="Times New Roman" w:cs="Times New Roman"/>
          <w:sz w:val="20"/>
          <w:szCs w:val="20"/>
        </w:rPr>
        <w:t>6</w:t>
      </w:r>
      <w:r w:rsidRPr="00BC1A01">
        <w:rPr>
          <w:rFonts w:eastAsia="Times New Roman" w:cs="Times New Roman"/>
          <w:sz w:val="20"/>
          <w:szCs w:val="20"/>
        </w:rPr>
        <w:t xml:space="preserve"> presents the regression analysis.</w:t>
      </w:r>
    </w:p>
    <w:p w14:paraId="4974AD47" w14:textId="0CCA9180" w:rsidR="00F03CB1" w:rsidRPr="0069543B" w:rsidRDefault="00F03CB1" w:rsidP="0069543B">
      <w:pPr>
        <w:pStyle w:val="Caption"/>
        <w:spacing w:line="480" w:lineRule="auto"/>
        <w:jc w:val="center"/>
        <w:rPr>
          <w:rFonts w:eastAsia="Times New Roman"/>
          <w:b/>
          <w:iCs w:val="0"/>
          <w:color w:val="000000"/>
          <w:sz w:val="20"/>
          <w:szCs w:val="20"/>
        </w:rPr>
      </w:pPr>
      <w:bookmarkStart w:id="36" w:name="_Toc177304754"/>
      <w:r w:rsidRPr="0069543B">
        <w:rPr>
          <w:b/>
          <w:sz w:val="20"/>
          <w:szCs w:val="20"/>
        </w:rPr>
        <w:t xml:space="preserve">Table </w:t>
      </w:r>
      <w:r w:rsidR="00BB3E12" w:rsidRPr="0069543B">
        <w:rPr>
          <w:b/>
          <w:sz w:val="20"/>
          <w:szCs w:val="20"/>
        </w:rPr>
        <w:t>6</w:t>
      </w:r>
      <w:r w:rsidRPr="0069543B">
        <w:rPr>
          <w:b/>
          <w:sz w:val="20"/>
          <w:szCs w:val="20"/>
        </w:rPr>
        <w:t>: Regression analysis results of the relationship between intrinsic and extrinsic motivation on service delivery</w:t>
      </w:r>
      <w:bookmarkEnd w:id="36"/>
    </w:p>
    <w:tbl>
      <w:tblPr>
        <w:tblStyle w:val="PlainTable5"/>
        <w:tblW w:w="8647" w:type="dxa"/>
        <w:tblLayout w:type="fixed"/>
        <w:tblLook w:val="04A0" w:firstRow="1" w:lastRow="0" w:firstColumn="1" w:lastColumn="0" w:noHBand="0" w:noVBand="1"/>
      </w:tblPr>
      <w:tblGrid>
        <w:gridCol w:w="2127"/>
        <w:gridCol w:w="1665"/>
        <w:gridCol w:w="1734"/>
        <w:gridCol w:w="1562"/>
        <w:gridCol w:w="1559"/>
      </w:tblGrid>
      <w:tr w:rsidR="00F03CB1" w:rsidRPr="00B85F21" w14:paraId="4B72BD8D" w14:textId="77777777" w:rsidTr="00B85F21">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2127" w:type="dxa"/>
          </w:tcPr>
          <w:p w14:paraId="1C284EC4" w14:textId="77777777" w:rsidR="00F03CB1" w:rsidRPr="00B85F21" w:rsidRDefault="00F03CB1" w:rsidP="00B85F21">
            <w:pPr>
              <w:jc w:val="left"/>
              <w:rPr>
                <w:rFonts w:ascii="Times New Roman" w:eastAsia="Times New Roman" w:hAnsi="Times New Roman" w:cs="Times New Roman"/>
                <w:b/>
                <w:i w:val="0"/>
                <w:color w:val="000000"/>
                <w:sz w:val="20"/>
                <w:szCs w:val="20"/>
              </w:rPr>
            </w:pPr>
          </w:p>
        </w:tc>
        <w:tc>
          <w:tcPr>
            <w:tcW w:w="6520" w:type="dxa"/>
            <w:gridSpan w:val="4"/>
          </w:tcPr>
          <w:p w14:paraId="5162841A" w14:textId="77777777" w:rsidR="00F03CB1" w:rsidRPr="00B90EBA" w:rsidRDefault="00F03CB1" w:rsidP="00B85F2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color w:val="000000"/>
                <w:sz w:val="20"/>
                <w:szCs w:val="20"/>
              </w:rPr>
            </w:pPr>
            <w:r w:rsidRPr="00B90EBA">
              <w:rPr>
                <w:rFonts w:ascii="Times New Roman" w:eastAsia="Times New Roman" w:hAnsi="Times New Roman" w:cs="Times New Roman"/>
                <w:b/>
                <w:bCs/>
                <w:i w:val="0"/>
                <w:color w:val="000000"/>
                <w:sz w:val="20"/>
                <w:szCs w:val="20"/>
              </w:rPr>
              <w:t>Service Delivery</w:t>
            </w:r>
          </w:p>
        </w:tc>
      </w:tr>
      <w:tr w:rsidR="00F03CB1" w:rsidRPr="00B85F21" w14:paraId="46C760A5" w14:textId="77777777" w:rsidTr="00B85F21">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127" w:type="dxa"/>
          </w:tcPr>
          <w:p w14:paraId="0BDE977A" w14:textId="77777777" w:rsidR="00F03CB1" w:rsidRPr="00B90EBA" w:rsidRDefault="00F03CB1" w:rsidP="00B85F21">
            <w:pPr>
              <w:jc w:val="left"/>
              <w:rPr>
                <w:rFonts w:ascii="Times New Roman" w:eastAsia="Times New Roman" w:hAnsi="Times New Roman" w:cs="Times New Roman"/>
                <w:b/>
                <w:bCs/>
                <w:i w:val="0"/>
                <w:color w:val="000000"/>
                <w:sz w:val="20"/>
                <w:szCs w:val="20"/>
              </w:rPr>
            </w:pPr>
            <w:r w:rsidRPr="00B90EBA">
              <w:rPr>
                <w:rFonts w:ascii="Times New Roman" w:eastAsia="Times New Roman" w:hAnsi="Times New Roman" w:cs="Times New Roman"/>
                <w:b/>
                <w:bCs/>
                <w:i w:val="0"/>
                <w:color w:val="000000"/>
                <w:sz w:val="20"/>
                <w:szCs w:val="20"/>
              </w:rPr>
              <w:t xml:space="preserve">Variables </w:t>
            </w:r>
          </w:p>
        </w:tc>
        <w:tc>
          <w:tcPr>
            <w:tcW w:w="1665" w:type="dxa"/>
          </w:tcPr>
          <w:p w14:paraId="7565E135"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b/>
                <w:iCs/>
                <w:color w:val="000000"/>
                <w:sz w:val="20"/>
                <w:szCs w:val="20"/>
              </w:rPr>
            </w:pPr>
            <w:r w:rsidRPr="00B85F21">
              <w:rPr>
                <w:rFonts w:eastAsia="Times New Roman" w:cs="Times New Roman"/>
                <w:b/>
                <w:iCs/>
                <w:color w:val="000000"/>
                <w:sz w:val="20"/>
                <w:szCs w:val="20"/>
              </w:rPr>
              <w:t>Model 1</w:t>
            </w:r>
          </w:p>
          <w:p w14:paraId="607DAFCE"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b/>
                <w:iCs/>
                <w:color w:val="000000"/>
                <w:sz w:val="20"/>
                <w:szCs w:val="20"/>
              </w:rPr>
            </w:pPr>
            <w:r w:rsidRPr="00B85F21">
              <w:rPr>
                <w:rFonts w:eastAsia="Times New Roman" w:cs="Times New Roman"/>
                <w:b/>
                <w:iCs/>
                <w:color w:val="000000"/>
                <w:sz w:val="20"/>
                <w:szCs w:val="20"/>
              </w:rPr>
              <w:t>B(t-values)</w:t>
            </w:r>
          </w:p>
        </w:tc>
        <w:tc>
          <w:tcPr>
            <w:tcW w:w="1734" w:type="dxa"/>
          </w:tcPr>
          <w:p w14:paraId="50CE4DEC"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b/>
                <w:iCs/>
                <w:color w:val="000000"/>
                <w:sz w:val="20"/>
                <w:szCs w:val="20"/>
              </w:rPr>
            </w:pPr>
            <w:r w:rsidRPr="00B85F21">
              <w:rPr>
                <w:rFonts w:eastAsia="Times New Roman" w:cs="Times New Roman"/>
                <w:b/>
                <w:iCs/>
                <w:color w:val="000000"/>
                <w:sz w:val="20"/>
                <w:szCs w:val="20"/>
              </w:rPr>
              <w:t>Model 2</w:t>
            </w:r>
          </w:p>
          <w:p w14:paraId="159039A5"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b/>
                <w:iCs/>
                <w:color w:val="000000"/>
                <w:sz w:val="20"/>
                <w:szCs w:val="20"/>
              </w:rPr>
            </w:pPr>
            <w:r w:rsidRPr="00B85F21">
              <w:rPr>
                <w:rFonts w:eastAsia="Times New Roman" w:cs="Times New Roman"/>
                <w:b/>
                <w:iCs/>
                <w:color w:val="000000"/>
                <w:sz w:val="20"/>
                <w:szCs w:val="20"/>
              </w:rPr>
              <w:t>B(t-values)</w:t>
            </w:r>
          </w:p>
        </w:tc>
        <w:tc>
          <w:tcPr>
            <w:tcW w:w="1562" w:type="dxa"/>
          </w:tcPr>
          <w:p w14:paraId="5900196D"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b/>
                <w:iCs/>
                <w:color w:val="000000"/>
                <w:sz w:val="20"/>
                <w:szCs w:val="20"/>
              </w:rPr>
            </w:pPr>
            <w:r w:rsidRPr="00B85F21">
              <w:rPr>
                <w:rFonts w:eastAsia="Times New Roman" w:cs="Times New Roman"/>
                <w:b/>
                <w:iCs/>
                <w:color w:val="000000"/>
                <w:sz w:val="20"/>
                <w:szCs w:val="20"/>
              </w:rPr>
              <w:t>Model 3</w:t>
            </w:r>
          </w:p>
          <w:p w14:paraId="73DC440F"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b/>
                <w:iCs/>
                <w:color w:val="000000"/>
                <w:sz w:val="20"/>
                <w:szCs w:val="20"/>
              </w:rPr>
            </w:pPr>
            <w:r w:rsidRPr="00B85F21">
              <w:rPr>
                <w:rFonts w:eastAsia="Times New Roman" w:cs="Times New Roman"/>
                <w:b/>
                <w:iCs/>
                <w:color w:val="000000"/>
                <w:sz w:val="20"/>
                <w:szCs w:val="20"/>
              </w:rPr>
              <w:t>B(t-values)</w:t>
            </w:r>
          </w:p>
        </w:tc>
        <w:tc>
          <w:tcPr>
            <w:tcW w:w="1559" w:type="dxa"/>
          </w:tcPr>
          <w:p w14:paraId="642BEF01"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b/>
                <w:iCs/>
                <w:color w:val="000000"/>
                <w:sz w:val="20"/>
                <w:szCs w:val="20"/>
              </w:rPr>
            </w:pPr>
            <w:r w:rsidRPr="00B85F21">
              <w:rPr>
                <w:rFonts w:eastAsia="Times New Roman" w:cs="Times New Roman"/>
                <w:b/>
                <w:iCs/>
                <w:color w:val="000000"/>
                <w:sz w:val="20"/>
                <w:szCs w:val="20"/>
              </w:rPr>
              <w:t>Model 4</w:t>
            </w:r>
          </w:p>
          <w:p w14:paraId="047CE770"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b/>
                <w:iCs/>
                <w:color w:val="000000"/>
                <w:sz w:val="20"/>
                <w:szCs w:val="20"/>
              </w:rPr>
            </w:pPr>
            <w:r w:rsidRPr="00B85F21">
              <w:rPr>
                <w:rFonts w:eastAsia="Times New Roman" w:cs="Times New Roman"/>
                <w:b/>
                <w:iCs/>
                <w:color w:val="000000"/>
                <w:sz w:val="20"/>
                <w:szCs w:val="20"/>
              </w:rPr>
              <w:t>B(t-values)</w:t>
            </w:r>
          </w:p>
        </w:tc>
      </w:tr>
      <w:tr w:rsidR="00F03CB1" w:rsidRPr="00B85F21" w14:paraId="442957CD" w14:textId="77777777" w:rsidTr="00B85F21">
        <w:trPr>
          <w:trHeight w:val="411"/>
        </w:trPr>
        <w:tc>
          <w:tcPr>
            <w:cnfStyle w:val="001000000000" w:firstRow="0" w:lastRow="0" w:firstColumn="1" w:lastColumn="0" w:oddVBand="0" w:evenVBand="0" w:oddHBand="0" w:evenHBand="0" w:firstRowFirstColumn="0" w:firstRowLastColumn="0" w:lastRowFirstColumn="0" w:lastRowLastColumn="0"/>
            <w:tcW w:w="2127" w:type="dxa"/>
          </w:tcPr>
          <w:p w14:paraId="69D3732E" w14:textId="77777777" w:rsidR="00F03CB1" w:rsidRPr="00B85F21" w:rsidRDefault="00F03CB1" w:rsidP="00B85F21">
            <w:pPr>
              <w:jc w:val="left"/>
              <w:rPr>
                <w:rFonts w:ascii="Times New Roman" w:eastAsia="Times New Roman" w:hAnsi="Times New Roman" w:cs="Times New Roman"/>
                <w:b/>
                <w:i w:val="0"/>
                <w:color w:val="000000"/>
                <w:sz w:val="20"/>
                <w:szCs w:val="20"/>
              </w:rPr>
            </w:pPr>
            <w:r w:rsidRPr="00B85F21">
              <w:rPr>
                <w:rFonts w:ascii="Times New Roman" w:eastAsia="Times New Roman" w:hAnsi="Times New Roman" w:cs="Times New Roman"/>
                <w:i w:val="0"/>
                <w:color w:val="000000"/>
                <w:sz w:val="20"/>
                <w:szCs w:val="20"/>
              </w:rPr>
              <w:lastRenderedPageBreak/>
              <w:t>Control variables</w:t>
            </w:r>
          </w:p>
        </w:tc>
        <w:tc>
          <w:tcPr>
            <w:tcW w:w="1665" w:type="dxa"/>
          </w:tcPr>
          <w:p w14:paraId="6FF6925C"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p>
        </w:tc>
        <w:tc>
          <w:tcPr>
            <w:tcW w:w="1734" w:type="dxa"/>
          </w:tcPr>
          <w:p w14:paraId="6159CDC7"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p>
        </w:tc>
        <w:tc>
          <w:tcPr>
            <w:tcW w:w="1562" w:type="dxa"/>
          </w:tcPr>
          <w:p w14:paraId="4D383CF5"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p>
        </w:tc>
        <w:tc>
          <w:tcPr>
            <w:tcW w:w="1559" w:type="dxa"/>
          </w:tcPr>
          <w:p w14:paraId="018771E7"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p>
        </w:tc>
      </w:tr>
      <w:tr w:rsidR="00F03CB1" w:rsidRPr="00B85F21" w14:paraId="061C4340" w14:textId="77777777" w:rsidTr="00B85F21">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7" w:type="dxa"/>
          </w:tcPr>
          <w:p w14:paraId="011A25C0" w14:textId="77777777" w:rsidR="00F03CB1" w:rsidRPr="00B85F21" w:rsidRDefault="00F03CB1" w:rsidP="00B85F21">
            <w:pPr>
              <w:jc w:val="left"/>
              <w:rPr>
                <w:rFonts w:ascii="Times New Roman" w:eastAsia="Times New Roman" w:hAnsi="Times New Roman" w:cs="Times New Roman"/>
                <w:i w:val="0"/>
                <w:color w:val="000000"/>
                <w:sz w:val="20"/>
                <w:szCs w:val="20"/>
              </w:rPr>
            </w:pPr>
            <w:r w:rsidRPr="00B85F21">
              <w:rPr>
                <w:rFonts w:ascii="Times New Roman" w:eastAsia="Times New Roman" w:hAnsi="Times New Roman" w:cs="Times New Roman"/>
                <w:i w:val="0"/>
                <w:color w:val="000000"/>
                <w:sz w:val="20"/>
                <w:szCs w:val="20"/>
              </w:rPr>
              <w:t>Constant</w:t>
            </w:r>
          </w:p>
        </w:tc>
        <w:tc>
          <w:tcPr>
            <w:tcW w:w="1665" w:type="dxa"/>
          </w:tcPr>
          <w:p w14:paraId="6326E042"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3.213(23.100)</w:t>
            </w:r>
          </w:p>
        </w:tc>
        <w:tc>
          <w:tcPr>
            <w:tcW w:w="1734" w:type="dxa"/>
          </w:tcPr>
          <w:p w14:paraId="657635F1"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2.171(10.734)</w:t>
            </w:r>
          </w:p>
        </w:tc>
        <w:tc>
          <w:tcPr>
            <w:tcW w:w="1562" w:type="dxa"/>
          </w:tcPr>
          <w:p w14:paraId="03004E6C"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2.031(5.725)</w:t>
            </w:r>
          </w:p>
        </w:tc>
        <w:tc>
          <w:tcPr>
            <w:tcW w:w="1559" w:type="dxa"/>
          </w:tcPr>
          <w:p w14:paraId="3DCD3FFB"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2.319(5.816)</w:t>
            </w:r>
          </w:p>
        </w:tc>
      </w:tr>
      <w:tr w:rsidR="00F03CB1" w:rsidRPr="00B85F21" w14:paraId="04D8C03C" w14:textId="77777777" w:rsidTr="00B85F21">
        <w:trPr>
          <w:trHeight w:val="334"/>
        </w:trPr>
        <w:tc>
          <w:tcPr>
            <w:cnfStyle w:val="001000000000" w:firstRow="0" w:lastRow="0" w:firstColumn="1" w:lastColumn="0" w:oddVBand="0" w:evenVBand="0" w:oddHBand="0" w:evenHBand="0" w:firstRowFirstColumn="0" w:firstRowLastColumn="0" w:lastRowFirstColumn="0" w:lastRowLastColumn="0"/>
            <w:tcW w:w="2127" w:type="dxa"/>
          </w:tcPr>
          <w:p w14:paraId="054CA82C" w14:textId="77777777" w:rsidR="00F03CB1" w:rsidRPr="00B85F21" w:rsidRDefault="00F03CB1" w:rsidP="00B85F21">
            <w:pPr>
              <w:jc w:val="left"/>
              <w:rPr>
                <w:rFonts w:ascii="Times New Roman" w:eastAsia="Times New Roman" w:hAnsi="Times New Roman" w:cs="Times New Roman"/>
                <w:i w:val="0"/>
                <w:color w:val="000000"/>
                <w:sz w:val="20"/>
                <w:szCs w:val="20"/>
              </w:rPr>
            </w:pPr>
            <w:r w:rsidRPr="00B85F21">
              <w:rPr>
                <w:rFonts w:ascii="Times New Roman" w:eastAsia="Times New Roman" w:hAnsi="Times New Roman" w:cs="Times New Roman"/>
                <w:i w:val="0"/>
                <w:color w:val="000000"/>
                <w:sz w:val="20"/>
                <w:szCs w:val="20"/>
              </w:rPr>
              <w:t xml:space="preserve">Region </w:t>
            </w:r>
          </w:p>
        </w:tc>
        <w:tc>
          <w:tcPr>
            <w:tcW w:w="1665" w:type="dxa"/>
          </w:tcPr>
          <w:p w14:paraId="68DC631E"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.041(.733)</w:t>
            </w:r>
          </w:p>
        </w:tc>
        <w:tc>
          <w:tcPr>
            <w:tcW w:w="1734" w:type="dxa"/>
          </w:tcPr>
          <w:p w14:paraId="69D36C82"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.105(1.900+)</w:t>
            </w:r>
          </w:p>
        </w:tc>
        <w:tc>
          <w:tcPr>
            <w:tcW w:w="1562" w:type="dxa"/>
          </w:tcPr>
          <w:p w14:paraId="6EF6A5AB"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.105(1.880+)</w:t>
            </w:r>
          </w:p>
        </w:tc>
        <w:tc>
          <w:tcPr>
            <w:tcW w:w="1559" w:type="dxa"/>
          </w:tcPr>
          <w:p w14:paraId="073E8749"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.093(1.653+)</w:t>
            </w:r>
          </w:p>
        </w:tc>
      </w:tr>
      <w:tr w:rsidR="00F03CB1" w:rsidRPr="00B85F21" w14:paraId="664AF2AC" w14:textId="77777777" w:rsidTr="00B85F21">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127" w:type="dxa"/>
          </w:tcPr>
          <w:p w14:paraId="0A536091" w14:textId="77777777" w:rsidR="00F03CB1" w:rsidRPr="00B85F21" w:rsidRDefault="00F03CB1" w:rsidP="00B85F21">
            <w:pPr>
              <w:jc w:val="left"/>
              <w:rPr>
                <w:rFonts w:ascii="Times New Roman" w:eastAsia="Times New Roman" w:hAnsi="Times New Roman" w:cs="Times New Roman"/>
                <w:i w:val="0"/>
                <w:color w:val="000000"/>
                <w:sz w:val="20"/>
                <w:szCs w:val="20"/>
              </w:rPr>
            </w:pPr>
            <w:r w:rsidRPr="00B85F21">
              <w:rPr>
                <w:rFonts w:ascii="Times New Roman" w:eastAsia="Times New Roman" w:hAnsi="Times New Roman" w:cs="Times New Roman"/>
                <w:i w:val="0"/>
                <w:color w:val="000000"/>
                <w:sz w:val="20"/>
                <w:szCs w:val="20"/>
              </w:rPr>
              <w:t>Division</w:t>
            </w:r>
          </w:p>
        </w:tc>
        <w:tc>
          <w:tcPr>
            <w:tcW w:w="1665" w:type="dxa"/>
          </w:tcPr>
          <w:p w14:paraId="3BAC58F1"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-.055(-.982)</w:t>
            </w:r>
          </w:p>
        </w:tc>
        <w:tc>
          <w:tcPr>
            <w:tcW w:w="1734" w:type="dxa"/>
          </w:tcPr>
          <w:p w14:paraId="5DDCED37"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-.117(-2.163)</w:t>
            </w:r>
          </w:p>
        </w:tc>
        <w:tc>
          <w:tcPr>
            <w:tcW w:w="1562" w:type="dxa"/>
          </w:tcPr>
          <w:p w14:paraId="7F8544BF"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-.112(-2.031)</w:t>
            </w:r>
          </w:p>
        </w:tc>
        <w:tc>
          <w:tcPr>
            <w:tcW w:w="1559" w:type="dxa"/>
          </w:tcPr>
          <w:p w14:paraId="36AB5790"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-.102(-1.830+)</w:t>
            </w:r>
          </w:p>
        </w:tc>
      </w:tr>
      <w:tr w:rsidR="00F03CB1" w:rsidRPr="00B85F21" w14:paraId="398B4EAA" w14:textId="77777777" w:rsidTr="00B85F21">
        <w:trPr>
          <w:trHeight w:val="507"/>
        </w:trPr>
        <w:tc>
          <w:tcPr>
            <w:cnfStyle w:val="001000000000" w:firstRow="0" w:lastRow="0" w:firstColumn="1" w:lastColumn="0" w:oddVBand="0" w:evenVBand="0" w:oddHBand="0" w:evenHBand="0" w:firstRowFirstColumn="0" w:firstRowLastColumn="0" w:lastRowFirstColumn="0" w:lastRowLastColumn="0"/>
            <w:tcW w:w="2127" w:type="dxa"/>
          </w:tcPr>
          <w:p w14:paraId="644C95A3" w14:textId="77777777" w:rsidR="00F03CB1" w:rsidRPr="00B85F21" w:rsidRDefault="00F03CB1" w:rsidP="00B85F21">
            <w:pPr>
              <w:jc w:val="left"/>
              <w:rPr>
                <w:rFonts w:ascii="Times New Roman" w:eastAsia="Times New Roman" w:hAnsi="Times New Roman" w:cs="Times New Roman"/>
                <w:i w:val="0"/>
                <w:color w:val="000000"/>
                <w:sz w:val="20"/>
                <w:szCs w:val="20"/>
              </w:rPr>
            </w:pPr>
            <w:r w:rsidRPr="00B85F21">
              <w:rPr>
                <w:rFonts w:ascii="Times New Roman" w:eastAsia="Times New Roman" w:hAnsi="Times New Roman" w:cs="Times New Roman"/>
                <w:i w:val="0"/>
                <w:color w:val="000000"/>
                <w:sz w:val="20"/>
                <w:szCs w:val="20"/>
              </w:rPr>
              <w:t xml:space="preserve">Designation </w:t>
            </w:r>
          </w:p>
        </w:tc>
        <w:tc>
          <w:tcPr>
            <w:tcW w:w="1665" w:type="dxa"/>
          </w:tcPr>
          <w:p w14:paraId="6915704B"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.031(.558)</w:t>
            </w:r>
          </w:p>
        </w:tc>
        <w:tc>
          <w:tcPr>
            <w:tcW w:w="1734" w:type="dxa"/>
          </w:tcPr>
          <w:p w14:paraId="7681E487"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-.014(-.252)</w:t>
            </w:r>
          </w:p>
        </w:tc>
        <w:tc>
          <w:tcPr>
            <w:tcW w:w="1562" w:type="dxa"/>
          </w:tcPr>
          <w:p w14:paraId="702915D6"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-.014(-.255)</w:t>
            </w:r>
          </w:p>
        </w:tc>
        <w:tc>
          <w:tcPr>
            <w:tcW w:w="1559" w:type="dxa"/>
          </w:tcPr>
          <w:p w14:paraId="7337AA40"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.001(.020)</w:t>
            </w:r>
          </w:p>
        </w:tc>
      </w:tr>
      <w:tr w:rsidR="00F03CB1" w:rsidRPr="00B85F21" w14:paraId="791B313C" w14:textId="77777777" w:rsidTr="00B85F21">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2127" w:type="dxa"/>
          </w:tcPr>
          <w:p w14:paraId="30559B83" w14:textId="77777777" w:rsidR="00F03CB1" w:rsidRPr="00B85F21" w:rsidRDefault="00F03CB1" w:rsidP="00B85F21">
            <w:pPr>
              <w:jc w:val="left"/>
              <w:rPr>
                <w:rFonts w:ascii="Times New Roman" w:eastAsia="Times New Roman" w:hAnsi="Times New Roman" w:cs="Times New Roman"/>
                <w:b/>
                <w:i w:val="0"/>
                <w:color w:val="000000"/>
                <w:sz w:val="20"/>
                <w:szCs w:val="20"/>
              </w:rPr>
            </w:pPr>
            <w:r w:rsidRPr="00B85F21">
              <w:rPr>
                <w:rFonts w:ascii="Times New Roman" w:eastAsia="Times New Roman" w:hAnsi="Times New Roman" w:cs="Times New Roman"/>
                <w:i w:val="0"/>
                <w:color w:val="000000"/>
                <w:sz w:val="20"/>
                <w:szCs w:val="20"/>
              </w:rPr>
              <w:t xml:space="preserve">Independent variables </w:t>
            </w:r>
          </w:p>
        </w:tc>
        <w:tc>
          <w:tcPr>
            <w:tcW w:w="1665" w:type="dxa"/>
          </w:tcPr>
          <w:p w14:paraId="5F3BBC91"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p>
        </w:tc>
        <w:tc>
          <w:tcPr>
            <w:tcW w:w="1734" w:type="dxa"/>
          </w:tcPr>
          <w:p w14:paraId="11BDE790"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p>
        </w:tc>
        <w:tc>
          <w:tcPr>
            <w:tcW w:w="1562" w:type="dxa"/>
          </w:tcPr>
          <w:p w14:paraId="3D692D78"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p>
        </w:tc>
        <w:tc>
          <w:tcPr>
            <w:tcW w:w="1559" w:type="dxa"/>
          </w:tcPr>
          <w:p w14:paraId="07022A3E"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p>
        </w:tc>
      </w:tr>
      <w:tr w:rsidR="00F03CB1" w:rsidRPr="00B85F21" w14:paraId="33254130" w14:textId="77777777" w:rsidTr="00B85F21">
        <w:trPr>
          <w:trHeight w:val="449"/>
        </w:trPr>
        <w:tc>
          <w:tcPr>
            <w:cnfStyle w:val="001000000000" w:firstRow="0" w:lastRow="0" w:firstColumn="1" w:lastColumn="0" w:oddVBand="0" w:evenVBand="0" w:oddHBand="0" w:evenHBand="0" w:firstRowFirstColumn="0" w:firstRowLastColumn="0" w:lastRowFirstColumn="0" w:lastRowLastColumn="0"/>
            <w:tcW w:w="2127" w:type="dxa"/>
          </w:tcPr>
          <w:p w14:paraId="233CCB27" w14:textId="77777777" w:rsidR="00F03CB1" w:rsidRPr="00B85F21" w:rsidRDefault="00F03CB1" w:rsidP="00B85F21">
            <w:pPr>
              <w:jc w:val="left"/>
              <w:rPr>
                <w:rFonts w:ascii="Times New Roman" w:eastAsia="Times New Roman" w:hAnsi="Times New Roman" w:cs="Times New Roman"/>
                <w:i w:val="0"/>
                <w:color w:val="000000"/>
                <w:sz w:val="20"/>
                <w:szCs w:val="20"/>
              </w:rPr>
            </w:pPr>
            <w:r w:rsidRPr="00B85F21">
              <w:rPr>
                <w:rFonts w:ascii="Times New Roman" w:eastAsia="Times New Roman" w:hAnsi="Times New Roman" w:cs="Times New Roman"/>
                <w:i w:val="0"/>
                <w:color w:val="000000"/>
                <w:sz w:val="20"/>
                <w:szCs w:val="20"/>
              </w:rPr>
              <w:t xml:space="preserve">Intrinsic motivation </w:t>
            </w:r>
          </w:p>
        </w:tc>
        <w:tc>
          <w:tcPr>
            <w:tcW w:w="1665" w:type="dxa"/>
          </w:tcPr>
          <w:p w14:paraId="6E4A507C"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p>
        </w:tc>
        <w:tc>
          <w:tcPr>
            <w:tcW w:w="1734" w:type="dxa"/>
          </w:tcPr>
          <w:p w14:paraId="33FEA387"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.235(4.013)</w:t>
            </w:r>
          </w:p>
        </w:tc>
        <w:tc>
          <w:tcPr>
            <w:tcW w:w="1562" w:type="dxa"/>
          </w:tcPr>
          <w:p w14:paraId="4AD43CE5"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.238(4.034)</w:t>
            </w:r>
          </w:p>
        </w:tc>
        <w:tc>
          <w:tcPr>
            <w:tcW w:w="1559" w:type="dxa"/>
          </w:tcPr>
          <w:p w14:paraId="4B3108A3"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.232(3.885)</w:t>
            </w:r>
          </w:p>
        </w:tc>
      </w:tr>
      <w:tr w:rsidR="00F03CB1" w:rsidRPr="00B85F21" w14:paraId="549685DC" w14:textId="77777777" w:rsidTr="00B85F2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127" w:type="dxa"/>
          </w:tcPr>
          <w:p w14:paraId="37429E76" w14:textId="77777777" w:rsidR="00F03CB1" w:rsidRPr="00B85F21" w:rsidRDefault="00F03CB1" w:rsidP="00B85F21">
            <w:pPr>
              <w:jc w:val="left"/>
              <w:rPr>
                <w:rFonts w:ascii="Times New Roman" w:eastAsia="Times New Roman" w:hAnsi="Times New Roman" w:cs="Times New Roman"/>
                <w:i w:val="0"/>
                <w:color w:val="000000"/>
                <w:sz w:val="20"/>
                <w:szCs w:val="20"/>
              </w:rPr>
            </w:pPr>
            <w:r w:rsidRPr="00B85F21">
              <w:rPr>
                <w:rFonts w:ascii="Times New Roman" w:eastAsia="Times New Roman" w:hAnsi="Times New Roman" w:cs="Times New Roman"/>
                <w:i w:val="0"/>
                <w:color w:val="000000"/>
                <w:sz w:val="20"/>
                <w:szCs w:val="20"/>
              </w:rPr>
              <w:t xml:space="preserve">Extrinsic motivation </w:t>
            </w:r>
          </w:p>
        </w:tc>
        <w:tc>
          <w:tcPr>
            <w:tcW w:w="1665" w:type="dxa"/>
          </w:tcPr>
          <w:p w14:paraId="11C5EE69"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p>
        </w:tc>
        <w:tc>
          <w:tcPr>
            <w:tcW w:w="1734" w:type="dxa"/>
          </w:tcPr>
          <w:p w14:paraId="7157E7F1"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.209(3.403)</w:t>
            </w:r>
          </w:p>
        </w:tc>
        <w:tc>
          <w:tcPr>
            <w:tcW w:w="1562" w:type="dxa"/>
          </w:tcPr>
          <w:p w14:paraId="5469F26C"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.204(3.251)</w:t>
            </w:r>
          </w:p>
        </w:tc>
        <w:tc>
          <w:tcPr>
            <w:tcW w:w="1559" w:type="dxa"/>
          </w:tcPr>
          <w:p w14:paraId="7F860C65"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.205(3.244)</w:t>
            </w:r>
          </w:p>
        </w:tc>
      </w:tr>
      <w:tr w:rsidR="00F03CB1" w:rsidRPr="00B85F21" w14:paraId="55224B0C" w14:textId="77777777" w:rsidTr="00B85F21">
        <w:trPr>
          <w:trHeight w:val="624"/>
        </w:trPr>
        <w:tc>
          <w:tcPr>
            <w:cnfStyle w:val="001000000000" w:firstRow="0" w:lastRow="0" w:firstColumn="1" w:lastColumn="0" w:oddVBand="0" w:evenVBand="0" w:oddHBand="0" w:evenHBand="0" w:firstRowFirstColumn="0" w:firstRowLastColumn="0" w:lastRowFirstColumn="0" w:lastRowLastColumn="0"/>
            <w:tcW w:w="2127" w:type="dxa"/>
          </w:tcPr>
          <w:p w14:paraId="2D9A3CD6" w14:textId="77777777" w:rsidR="00F03CB1" w:rsidRPr="00B85F21" w:rsidRDefault="00F03CB1" w:rsidP="00B85F21">
            <w:pPr>
              <w:jc w:val="left"/>
              <w:rPr>
                <w:rFonts w:ascii="Times New Roman" w:eastAsia="Times New Roman" w:hAnsi="Times New Roman" w:cs="Times New Roman"/>
                <w:b/>
                <w:i w:val="0"/>
                <w:color w:val="000000"/>
                <w:sz w:val="20"/>
                <w:szCs w:val="20"/>
              </w:rPr>
            </w:pPr>
            <w:r w:rsidRPr="00B85F21">
              <w:rPr>
                <w:rFonts w:ascii="Times New Roman" w:eastAsia="Times New Roman" w:hAnsi="Times New Roman" w:cs="Times New Roman"/>
                <w:i w:val="0"/>
                <w:color w:val="000000"/>
                <w:sz w:val="20"/>
                <w:szCs w:val="20"/>
              </w:rPr>
              <w:t xml:space="preserve">Moderating variables </w:t>
            </w:r>
          </w:p>
        </w:tc>
        <w:tc>
          <w:tcPr>
            <w:tcW w:w="1665" w:type="dxa"/>
          </w:tcPr>
          <w:p w14:paraId="111CB782"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p>
        </w:tc>
        <w:tc>
          <w:tcPr>
            <w:tcW w:w="1734" w:type="dxa"/>
          </w:tcPr>
          <w:p w14:paraId="15B8C0EF"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p>
        </w:tc>
        <w:tc>
          <w:tcPr>
            <w:tcW w:w="1562" w:type="dxa"/>
          </w:tcPr>
          <w:p w14:paraId="6BCE47F8"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p>
        </w:tc>
        <w:tc>
          <w:tcPr>
            <w:tcW w:w="1559" w:type="dxa"/>
          </w:tcPr>
          <w:p w14:paraId="63ABE94E"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p>
        </w:tc>
      </w:tr>
      <w:tr w:rsidR="00F03CB1" w:rsidRPr="00B85F21" w14:paraId="7B094CF7" w14:textId="77777777" w:rsidTr="00B85F21">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127" w:type="dxa"/>
          </w:tcPr>
          <w:p w14:paraId="1FA5F2EA" w14:textId="77777777" w:rsidR="00F03CB1" w:rsidRPr="00B85F21" w:rsidRDefault="00F03CB1" w:rsidP="00B85F21">
            <w:pPr>
              <w:jc w:val="left"/>
              <w:rPr>
                <w:rFonts w:ascii="Times New Roman" w:eastAsia="Times New Roman" w:hAnsi="Times New Roman" w:cs="Times New Roman"/>
                <w:i w:val="0"/>
                <w:color w:val="000000"/>
                <w:sz w:val="20"/>
                <w:szCs w:val="20"/>
              </w:rPr>
            </w:pPr>
            <w:r w:rsidRPr="00B85F21">
              <w:rPr>
                <w:rFonts w:ascii="Times New Roman" w:eastAsia="Times New Roman" w:hAnsi="Times New Roman" w:cs="Times New Roman"/>
                <w:i w:val="0"/>
                <w:color w:val="000000"/>
                <w:sz w:val="20"/>
                <w:szCs w:val="20"/>
              </w:rPr>
              <w:t>Internal reforms (IR)</w:t>
            </w:r>
          </w:p>
        </w:tc>
        <w:tc>
          <w:tcPr>
            <w:tcW w:w="1665" w:type="dxa"/>
          </w:tcPr>
          <w:p w14:paraId="3C64AF88"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p>
        </w:tc>
        <w:tc>
          <w:tcPr>
            <w:tcW w:w="1734" w:type="dxa"/>
          </w:tcPr>
          <w:p w14:paraId="7DAEDAE8"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p>
        </w:tc>
        <w:tc>
          <w:tcPr>
            <w:tcW w:w="1562" w:type="dxa"/>
          </w:tcPr>
          <w:p w14:paraId="3810E2B4"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 .129(2.546)</w:t>
            </w:r>
          </w:p>
        </w:tc>
        <w:tc>
          <w:tcPr>
            <w:tcW w:w="1559" w:type="dxa"/>
          </w:tcPr>
          <w:p w14:paraId="7AD5E6EF"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121(2.567)</w:t>
            </w:r>
          </w:p>
        </w:tc>
      </w:tr>
      <w:tr w:rsidR="00F03CB1" w:rsidRPr="00B85F21" w14:paraId="787D57C1" w14:textId="77777777" w:rsidTr="00B85F21">
        <w:trPr>
          <w:trHeight w:val="464"/>
        </w:trPr>
        <w:tc>
          <w:tcPr>
            <w:cnfStyle w:val="001000000000" w:firstRow="0" w:lastRow="0" w:firstColumn="1" w:lastColumn="0" w:oddVBand="0" w:evenVBand="0" w:oddHBand="0" w:evenHBand="0" w:firstRowFirstColumn="0" w:firstRowLastColumn="0" w:lastRowFirstColumn="0" w:lastRowLastColumn="0"/>
            <w:tcW w:w="2127" w:type="dxa"/>
          </w:tcPr>
          <w:p w14:paraId="2EDAA089" w14:textId="77777777" w:rsidR="00F03CB1" w:rsidRPr="00B85F21" w:rsidRDefault="00F03CB1" w:rsidP="00B85F21">
            <w:pPr>
              <w:jc w:val="left"/>
              <w:rPr>
                <w:rFonts w:ascii="Times New Roman" w:eastAsia="Times New Roman" w:hAnsi="Times New Roman" w:cs="Times New Roman"/>
                <w:i w:val="0"/>
                <w:color w:val="000000"/>
                <w:sz w:val="20"/>
                <w:szCs w:val="20"/>
              </w:rPr>
            </w:pPr>
            <w:r w:rsidRPr="00B85F21">
              <w:rPr>
                <w:rFonts w:ascii="Times New Roman" w:eastAsia="Times New Roman" w:hAnsi="Times New Roman" w:cs="Times New Roman"/>
                <w:i w:val="0"/>
                <w:color w:val="000000"/>
                <w:sz w:val="20"/>
                <w:szCs w:val="20"/>
              </w:rPr>
              <w:t>External reforms (ER)</w:t>
            </w:r>
          </w:p>
        </w:tc>
        <w:tc>
          <w:tcPr>
            <w:tcW w:w="1665" w:type="dxa"/>
          </w:tcPr>
          <w:p w14:paraId="144D648A"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p>
        </w:tc>
        <w:tc>
          <w:tcPr>
            <w:tcW w:w="1734" w:type="dxa"/>
          </w:tcPr>
          <w:p w14:paraId="7816C185"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p>
        </w:tc>
        <w:tc>
          <w:tcPr>
            <w:tcW w:w="1562" w:type="dxa"/>
          </w:tcPr>
          <w:p w14:paraId="1C0AFEC9"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.002(.036)</w:t>
            </w:r>
          </w:p>
        </w:tc>
        <w:tc>
          <w:tcPr>
            <w:tcW w:w="1559" w:type="dxa"/>
          </w:tcPr>
          <w:p w14:paraId="6CDD150C"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-.028(-.468)</w:t>
            </w:r>
          </w:p>
        </w:tc>
      </w:tr>
      <w:tr w:rsidR="00F03CB1" w:rsidRPr="00B85F21" w14:paraId="264435AD" w14:textId="77777777" w:rsidTr="00B85F21">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127" w:type="dxa"/>
          </w:tcPr>
          <w:p w14:paraId="7B9C849D" w14:textId="77777777" w:rsidR="00F03CB1" w:rsidRPr="00B85F21" w:rsidRDefault="00F03CB1" w:rsidP="00B85F21">
            <w:pPr>
              <w:jc w:val="left"/>
              <w:rPr>
                <w:rFonts w:ascii="Times New Roman" w:eastAsia="Times New Roman" w:hAnsi="Times New Roman" w:cs="Times New Roman"/>
                <w:b/>
                <w:i w:val="0"/>
                <w:color w:val="000000"/>
                <w:sz w:val="20"/>
                <w:szCs w:val="20"/>
              </w:rPr>
            </w:pPr>
            <w:r w:rsidRPr="00B85F21">
              <w:rPr>
                <w:rFonts w:ascii="Times New Roman" w:eastAsia="Times New Roman" w:hAnsi="Times New Roman" w:cs="Times New Roman"/>
                <w:i w:val="0"/>
                <w:color w:val="000000"/>
                <w:sz w:val="20"/>
                <w:szCs w:val="20"/>
              </w:rPr>
              <w:t>Interaction effect</w:t>
            </w:r>
          </w:p>
        </w:tc>
        <w:tc>
          <w:tcPr>
            <w:tcW w:w="1665" w:type="dxa"/>
          </w:tcPr>
          <w:p w14:paraId="3E9884D4"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p>
        </w:tc>
        <w:tc>
          <w:tcPr>
            <w:tcW w:w="1734" w:type="dxa"/>
          </w:tcPr>
          <w:p w14:paraId="7C2C945A"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p>
        </w:tc>
        <w:tc>
          <w:tcPr>
            <w:tcW w:w="1562" w:type="dxa"/>
          </w:tcPr>
          <w:p w14:paraId="55442AA5"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p>
        </w:tc>
        <w:tc>
          <w:tcPr>
            <w:tcW w:w="1559" w:type="dxa"/>
          </w:tcPr>
          <w:p w14:paraId="3324CFCA"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p>
        </w:tc>
      </w:tr>
      <w:tr w:rsidR="00F03CB1" w:rsidRPr="00B85F21" w14:paraId="610E24B4" w14:textId="77777777" w:rsidTr="00B85F21">
        <w:trPr>
          <w:trHeight w:val="464"/>
        </w:trPr>
        <w:tc>
          <w:tcPr>
            <w:cnfStyle w:val="001000000000" w:firstRow="0" w:lastRow="0" w:firstColumn="1" w:lastColumn="0" w:oddVBand="0" w:evenVBand="0" w:oddHBand="0" w:evenHBand="0" w:firstRowFirstColumn="0" w:firstRowLastColumn="0" w:lastRowFirstColumn="0" w:lastRowLastColumn="0"/>
            <w:tcW w:w="2127" w:type="dxa"/>
          </w:tcPr>
          <w:p w14:paraId="21CBF7A7" w14:textId="77777777" w:rsidR="00F03CB1" w:rsidRPr="00B85F21" w:rsidRDefault="00F03CB1" w:rsidP="00B85F21">
            <w:pPr>
              <w:jc w:val="left"/>
              <w:rPr>
                <w:rFonts w:ascii="Times New Roman" w:eastAsia="Times New Roman" w:hAnsi="Times New Roman" w:cs="Times New Roman"/>
                <w:i w:val="0"/>
                <w:color w:val="000000"/>
                <w:sz w:val="20"/>
                <w:szCs w:val="20"/>
              </w:rPr>
            </w:pPr>
            <w:r w:rsidRPr="00B85F21">
              <w:rPr>
                <w:rFonts w:ascii="Times New Roman" w:eastAsia="Times New Roman" w:hAnsi="Times New Roman" w:cs="Times New Roman"/>
                <w:i w:val="0"/>
                <w:color w:val="000000"/>
                <w:sz w:val="20"/>
                <w:szCs w:val="20"/>
              </w:rPr>
              <w:t>Intrinsic motivation (IR)</w:t>
            </w:r>
          </w:p>
        </w:tc>
        <w:tc>
          <w:tcPr>
            <w:tcW w:w="1665" w:type="dxa"/>
          </w:tcPr>
          <w:p w14:paraId="28E89849"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p>
        </w:tc>
        <w:tc>
          <w:tcPr>
            <w:tcW w:w="1734" w:type="dxa"/>
          </w:tcPr>
          <w:p w14:paraId="7E270175"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p>
        </w:tc>
        <w:tc>
          <w:tcPr>
            <w:tcW w:w="1562" w:type="dxa"/>
          </w:tcPr>
          <w:p w14:paraId="396FD6A5"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p>
        </w:tc>
        <w:tc>
          <w:tcPr>
            <w:tcW w:w="1559" w:type="dxa"/>
          </w:tcPr>
          <w:p w14:paraId="128A5C93"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.114(2.208)</w:t>
            </w:r>
          </w:p>
        </w:tc>
      </w:tr>
      <w:tr w:rsidR="00F03CB1" w:rsidRPr="00B85F21" w14:paraId="3356EB3E" w14:textId="77777777" w:rsidTr="00B85F21">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127" w:type="dxa"/>
          </w:tcPr>
          <w:p w14:paraId="76A2FB28" w14:textId="77777777" w:rsidR="00F03CB1" w:rsidRPr="00B85F21" w:rsidRDefault="00F03CB1" w:rsidP="00B85F21">
            <w:pPr>
              <w:jc w:val="left"/>
              <w:rPr>
                <w:rFonts w:ascii="Times New Roman" w:eastAsia="Times New Roman" w:hAnsi="Times New Roman" w:cs="Times New Roman"/>
                <w:i w:val="0"/>
                <w:color w:val="000000"/>
                <w:sz w:val="20"/>
                <w:szCs w:val="20"/>
              </w:rPr>
            </w:pPr>
            <w:r w:rsidRPr="00B85F21">
              <w:rPr>
                <w:rFonts w:ascii="Times New Roman" w:eastAsia="Times New Roman" w:hAnsi="Times New Roman" w:cs="Times New Roman"/>
                <w:i w:val="0"/>
                <w:color w:val="000000"/>
                <w:sz w:val="20"/>
                <w:szCs w:val="20"/>
              </w:rPr>
              <w:t>Extrinsic motivation (IR)</w:t>
            </w:r>
          </w:p>
        </w:tc>
        <w:tc>
          <w:tcPr>
            <w:tcW w:w="1665" w:type="dxa"/>
          </w:tcPr>
          <w:p w14:paraId="658A31B4"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p>
        </w:tc>
        <w:tc>
          <w:tcPr>
            <w:tcW w:w="1734" w:type="dxa"/>
          </w:tcPr>
          <w:p w14:paraId="01A1B01E"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p>
        </w:tc>
        <w:tc>
          <w:tcPr>
            <w:tcW w:w="1562" w:type="dxa"/>
          </w:tcPr>
          <w:p w14:paraId="32EE2DB1"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p>
        </w:tc>
        <w:tc>
          <w:tcPr>
            <w:tcW w:w="1559" w:type="dxa"/>
          </w:tcPr>
          <w:p w14:paraId="765B9B04"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-.055(-.703)</w:t>
            </w:r>
          </w:p>
        </w:tc>
      </w:tr>
      <w:tr w:rsidR="00F03CB1" w:rsidRPr="00B85F21" w14:paraId="461F476F" w14:textId="77777777" w:rsidTr="00B85F21">
        <w:trPr>
          <w:trHeight w:val="642"/>
        </w:trPr>
        <w:tc>
          <w:tcPr>
            <w:cnfStyle w:val="001000000000" w:firstRow="0" w:lastRow="0" w:firstColumn="1" w:lastColumn="0" w:oddVBand="0" w:evenVBand="0" w:oddHBand="0" w:evenHBand="0" w:firstRowFirstColumn="0" w:firstRowLastColumn="0" w:lastRowFirstColumn="0" w:lastRowLastColumn="0"/>
            <w:tcW w:w="2127" w:type="dxa"/>
          </w:tcPr>
          <w:p w14:paraId="288B7248" w14:textId="77777777" w:rsidR="00F03CB1" w:rsidRPr="00B85F21" w:rsidRDefault="00F03CB1" w:rsidP="00B85F21">
            <w:pPr>
              <w:jc w:val="left"/>
              <w:rPr>
                <w:rFonts w:ascii="Times New Roman" w:eastAsia="Times New Roman" w:hAnsi="Times New Roman" w:cs="Times New Roman"/>
                <w:i w:val="0"/>
                <w:color w:val="000000"/>
                <w:sz w:val="20"/>
                <w:szCs w:val="20"/>
              </w:rPr>
            </w:pPr>
            <w:r w:rsidRPr="00B85F21">
              <w:rPr>
                <w:rFonts w:ascii="Times New Roman" w:eastAsia="Times New Roman" w:hAnsi="Times New Roman" w:cs="Times New Roman"/>
                <w:i w:val="0"/>
                <w:color w:val="000000"/>
                <w:sz w:val="20"/>
                <w:szCs w:val="20"/>
              </w:rPr>
              <w:t>Intrinsic motivation (ER)</w:t>
            </w:r>
          </w:p>
        </w:tc>
        <w:tc>
          <w:tcPr>
            <w:tcW w:w="1665" w:type="dxa"/>
          </w:tcPr>
          <w:p w14:paraId="08ABF5F2"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p>
        </w:tc>
        <w:tc>
          <w:tcPr>
            <w:tcW w:w="1734" w:type="dxa"/>
          </w:tcPr>
          <w:p w14:paraId="48070AD2"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p>
        </w:tc>
        <w:tc>
          <w:tcPr>
            <w:tcW w:w="1562" w:type="dxa"/>
          </w:tcPr>
          <w:p w14:paraId="5137062F"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p>
        </w:tc>
        <w:tc>
          <w:tcPr>
            <w:tcW w:w="1559" w:type="dxa"/>
          </w:tcPr>
          <w:p w14:paraId="46F5287E"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-.014(-.211)</w:t>
            </w:r>
          </w:p>
        </w:tc>
      </w:tr>
      <w:tr w:rsidR="00F03CB1" w:rsidRPr="00B85F21" w14:paraId="1BC9E459" w14:textId="77777777" w:rsidTr="00B85F21">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127" w:type="dxa"/>
          </w:tcPr>
          <w:p w14:paraId="3904491D" w14:textId="77777777" w:rsidR="00F03CB1" w:rsidRPr="00B85F21" w:rsidRDefault="00F03CB1" w:rsidP="00B85F21">
            <w:pPr>
              <w:jc w:val="left"/>
              <w:rPr>
                <w:rFonts w:ascii="Times New Roman" w:eastAsia="Times New Roman" w:hAnsi="Times New Roman" w:cs="Times New Roman"/>
                <w:i w:val="0"/>
                <w:color w:val="000000"/>
                <w:sz w:val="20"/>
                <w:szCs w:val="20"/>
              </w:rPr>
            </w:pPr>
            <w:r w:rsidRPr="00B85F21">
              <w:rPr>
                <w:rFonts w:ascii="Times New Roman" w:eastAsia="Times New Roman" w:hAnsi="Times New Roman" w:cs="Times New Roman"/>
                <w:i w:val="0"/>
                <w:color w:val="000000"/>
                <w:sz w:val="20"/>
                <w:szCs w:val="20"/>
              </w:rPr>
              <w:t>Extrinsic motivation (ER)</w:t>
            </w:r>
          </w:p>
        </w:tc>
        <w:tc>
          <w:tcPr>
            <w:tcW w:w="1665" w:type="dxa"/>
          </w:tcPr>
          <w:p w14:paraId="7475A490"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p>
        </w:tc>
        <w:tc>
          <w:tcPr>
            <w:tcW w:w="1734" w:type="dxa"/>
          </w:tcPr>
          <w:p w14:paraId="60373002"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p>
        </w:tc>
        <w:tc>
          <w:tcPr>
            <w:tcW w:w="1562" w:type="dxa"/>
          </w:tcPr>
          <w:p w14:paraId="403994C5"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p>
        </w:tc>
        <w:tc>
          <w:tcPr>
            <w:tcW w:w="1559" w:type="dxa"/>
          </w:tcPr>
          <w:p w14:paraId="7C0D0D73"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-.087(-1.293)</w:t>
            </w:r>
          </w:p>
        </w:tc>
      </w:tr>
      <w:tr w:rsidR="00F03CB1" w:rsidRPr="00B85F21" w14:paraId="50668573" w14:textId="77777777" w:rsidTr="00B85F21">
        <w:trPr>
          <w:trHeight w:val="449"/>
        </w:trPr>
        <w:tc>
          <w:tcPr>
            <w:cnfStyle w:val="001000000000" w:firstRow="0" w:lastRow="0" w:firstColumn="1" w:lastColumn="0" w:oddVBand="0" w:evenVBand="0" w:oddHBand="0" w:evenHBand="0" w:firstRowFirstColumn="0" w:firstRowLastColumn="0" w:lastRowFirstColumn="0" w:lastRowLastColumn="0"/>
            <w:tcW w:w="2127" w:type="dxa"/>
          </w:tcPr>
          <w:p w14:paraId="2B49EFA4" w14:textId="77777777" w:rsidR="00F03CB1" w:rsidRPr="00B85F21" w:rsidRDefault="00F03CB1" w:rsidP="00B85F21">
            <w:pPr>
              <w:jc w:val="left"/>
              <w:rPr>
                <w:rFonts w:ascii="Times New Roman" w:eastAsia="Times New Roman" w:hAnsi="Times New Roman" w:cs="Times New Roman"/>
                <w:i w:val="0"/>
                <w:color w:val="000000"/>
                <w:sz w:val="20"/>
                <w:szCs w:val="20"/>
              </w:rPr>
            </w:pPr>
            <w:r w:rsidRPr="00B85F21">
              <w:rPr>
                <w:rFonts w:ascii="Times New Roman" w:eastAsia="Times New Roman" w:hAnsi="Times New Roman" w:cs="Times New Roman"/>
                <w:i w:val="0"/>
                <w:color w:val="000000"/>
                <w:sz w:val="20"/>
                <w:szCs w:val="20"/>
              </w:rPr>
              <w:t>R</w:t>
            </w:r>
            <w:r w:rsidRPr="00B85F21">
              <w:rPr>
                <w:rFonts w:ascii="Times New Roman" w:eastAsia="Times New Roman" w:hAnsi="Times New Roman" w:cs="Times New Roman"/>
                <w:i w:val="0"/>
                <w:color w:val="000000"/>
                <w:sz w:val="20"/>
                <w:szCs w:val="20"/>
                <w:vertAlign w:val="superscript"/>
              </w:rPr>
              <w:t>2</w:t>
            </w:r>
          </w:p>
        </w:tc>
        <w:tc>
          <w:tcPr>
            <w:tcW w:w="1665" w:type="dxa"/>
          </w:tcPr>
          <w:p w14:paraId="4E7B4117"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.005</w:t>
            </w:r>
          </w:p>
        </w:tc>
        <w:tc>
          <w:tcPr>
            <w:tcW w:w="1734" w:type="dxa"/>
          </w:tcPr>
          <w:p w14:paraId="697CF960"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.133</w:t>
            </w:r>
          </w:p>
        </w:tc>
        <w:tc>
          <w:tcPr>
            <w:tcW w:w="1562" w:type="dxa"/>
          </w:tcPr>
          <w:p w14:paraId="7A77D8E6"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.154</w:t>
            </w:r>
          </w:p>
        </w:tc>
        <w:tc>
          <w:tcPr>
            <w:tcW w:w="1559" w:type="dxa"/>
          </w:tcPr>
          <w:p w14:paraId="62C8E783"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.165</w:t>
            </w:r>
          </w:p>
        </w:tc>
      </w:tr>
      <w:tr w:rsidR="00F03CB1" w:rsidRPr="00B85F21" w14:paraId="004DFCB8" w14:textId="77777777" w:rsidTr="00B85F21">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127" w:type="dxa"/>
          </w:tcPr>
          <w:p w14:paraId="081A6618" w14:textId="77777777" w:rsidR="00F03CB1" w:rsidRPr="00B85F21" w:rsidRDefault="00F03CB1" w:rsidP="00B85F21">
            <w:pPr>
              <w:jc w:val="left"/>
              <w:rPr>
                <w:rFonts w:ascii="Times New Roman" w:eastAsia="Times New Roman" w:hAnsi="Times New Roman" w:cs="Times New Roman"/>
                <w:i w:val="0"/>
                <w:color w:val="000000"/>
                <w:sz w:val="20"/>
                <w:szCs w:val="20"/>
              </w:rPr>
            </w:pPr>
            <w:r w:rsidRPr="00B85F21">
              <w:rPr>
                <w:rFonts w:ascii="Times New Roman" w:eastAsia="Times New Roman" w:hAnsi="Times New Roman" w:cs="Times New Roman"/>
                <w:i w:val="0"/>
                <w:color w:val="000000"/>
                <w:sz w:val="20"/>
                <w:szCs w:val="20"/>
              </w:rPr>
              <w:t>F-Value</w:t>
            </w:r>
          </w:p>
        </w:tc>
        <w:tc>
          <w:tcPr>
            <w:tcW w:w="1665" w:type="dxa"/>
          </w:tcPr>
          <w:p w14:paraId="77CB6DF9"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.556</w:t>
            </w:r>
          </w:p>
        </w:tc>
        <w:tc>
          <w:tcPr>
            <w:tcW w:w="1734" w:type="dxa"/>
          </w:tcPr>
          <w:p w14:paraId="5246DFB1"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9.819</w:t>
            </w:r>
          </w:p>
        </w:tc>
        <w:tc>
          <w:tcPr>
            <w:tcW w:w="1562" w:type="dxa"/>
          </w:tcPr>
          <w:p w14:paraId="04007B6C"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7.024</w:t>
            </w:r>
          </w:p>
        </w:tc>
        <w:tc>
          <w:tcPr>
            <w:tcW w:w="1559" w:type="dxa"/>
          </w:tcPr>
          <w:p w14:paraId="218B83DA"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4.835</w:t>
            </w:r>
          </w:p>
        </w:tc>
      </w:tr>
      <w:tr w:rsidR="00F03CB1" w:rsidRPr="00B85F21" w14:paraId="6842927E" w14:textId="77777777" w:rsidTr="00B85F21">
        <w:trPr>
          <w:trHeight w:val="464"/>
        </w:trPr>
        <w:tc>
          <w:tcPr>
            <w:cnfStyle w:val="001000000000" w:firstRow="0" w:lastRow="0" w:firstColumn="1" w:lastColumn="0" w:oddVBand="0" w:evenVBand="0" w:oddHBand="0" w:evenHBand="0" w:firstRowFirstColumn="0" w:firstRowLastColumn="0" w:lastRowFirstColumn="0" w:lastRowLastColumn="0"/>
            <w:tcW w:w="2127" w:type="dxa"/>
          </w:tcPr>
          <w:p w14:paraId="4AE4CD00" w14:textId="77777777" w:rsidR="00F03CB1" w:rsidRPr="00B85F21" w:rsidRDefault="00F03CB1" w:rsidP="00B85F21">
            <w:pPr>
              <w:jc w:val="left"/>
              <w:rPr>
                <w:rFonts w:ascii="Times New Roman" w:eastAsia="Times New Roman" w:hAnsi="Times New Roman" w:cs="Times New Roman"/>
                <w:i w:val="0"/>
                <w:color w:val="000000"/>
                <w:sz w:val="20"/>
                <w:szCs w:val="20"/>
              </w:rPr>
            </w:pPr>
            <w:r w:rsidRPr="00B85F21">
              <w:rPr>
                <w:rFonts w:eastAsia="Times New Roman" w:cs="Times New Roman"/>
                <w:noProof/>
                <w:position w:val="-4"/>
                <w:sz w:val="20"/>
                <w:szCs w:val="20"/>
              </w:rPr>
              <w:drawing>
                <wp:inline distT="0" distB="0" distL="0" distR="0" wp14:anchorId="0394CD57" wp14:editId="7E9640B8">
                  <wp:extent cx="92710" cy="178435"/>
                  <wp:effectExtent l="0" t="0" r="0" b="0"/>
                  <wp:docPr id="1"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710" cy="178435"/>
                          </a:xfrm>
                          <a:prstGeom prst="rect">
                            <a:avLst/>
                          </a:prstGeom>
                          <a:noFill/>
                          <a:ln>
                            <a:noFill/>
                          </a:ln>
                        </pic:spPr>
                      </pic:pic>
                    </a:graphicData>
                  </a:graphic>
                </wp:inline>
              </w:drawing>
            </w:r>
            <w:r w:rsidRPr="00B85F21">
              <w:rPr>
                <w:rFonts w:ascii="Times New Roman" w:eastAsia="Times New Roman" w:hAnsi="Times New Roman" w:cs="Times New Roman"/>
                <w:i w:val="0"/>
                <w:sz w:val="20"/>
                <w:szCs w:val="20"/>
              </w:rPr>
              <w:t xml:space="preserve"> R</w:t>
            </w:r>
            <w:r w:rsidRPr="00B85F21">
              <w:rPr>
                <w:rFonts w:ascii="Times New Roman" w:eastAsia="Times New Roman" w:hAnsi="Times New Roman" w:cs="Times New Roman"/>
                <w:i w:val="0"/>
                <w:sz w:val="20"/>
                <w:szCs w:val="20"/>
                <w:vertAlign w:val="superscript"/>
              </w:rPr>
              <w:t>2</w:t>
            </w:r>
          </w:p>
        </w:tc>
        <w:tc>
          <w:tcPr>
            <w:tcW w:w="1665" w:type="dxa"/>
          </w:tcPr>
          <w:p w14:paraId="46994EA5"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.005</w:t>
            </w:r>
          </w:p>
        </w:tc>
        <w:tc>
          <w:tcPr>
            <w:tcW w:w="1734" w:type="dxa"/>
          </w:tcPr>
          <w:p w14:paraId="026AE969"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.128</w:t>
            </w:r>
          </w:p>
        </w:tc>
        <w:tc>
          <w:tcPr>
            <w:tcW w:w="1562" w:type="dxa"/>
          </w:tcPr>
          <w:p w14:paraId="5A890FF9"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.021</w:t>
            </w:r>
          </w:p>
        </w:tc>
        <w:tc>
          <w:tcPr>
            <w:tcW w:w="1559" w:type="dxa"/>
          </w:tcPr>
          <w:p w14:paraId="5736B174" w14:textId="77777777" w:rsidR="00F03CB1" w:rsidRPr="00B85F21" w:rsidRDefault="00F03CB1" w:rsidP="00B85F21">
            <w:pPr>
              <w:cnfStyle w:val="000000000000" w:firstRow="0" w:lastRow="0" w:firstColumn="0" w:lastColumn="0" w:oddVBand="0" w:evenVBand="0" w:oddHBand="0"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.011</w:t>
            </w:r>
          </w:p>
        </w:tc>
      </w:tr>
      <w:tr w:rsidR="00F03CB1" w:rsidRPr="00B85F21" w14:paraId="2750AC73" w14:textId="77777777" w:rsidTr="00B85F21">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127" w:type="dxa"/>
          </w:tcPr>
          <w:p w14:paraId="5CFAE66E" w14:textId="77777777" w:rsidR="00F03CB1" w:rsidRPr="00B85F21" w:rsidRDefault="00F03CB1" w:rsidP="00B85F21">
            <w:pPr>
              <w:jc w:val="left"/>
              <w:rPr>
                <w:rFonts w:ascii="Times New Roman" w:eastAsia="Times New Roman" w:hAnsi="Times New Roman" w:cs="Times New Roman"/>
                <w:i w:val="0"/>
                <w:noProof/>
                <w:position w:val="-4"/>
                <w:sz w:val="20"/>
                <w:szCs w:val="20"/>
              </w:rPr>
            </w:pPr>
            <w:r w:rsidRPr="00B85F21">
              <w:rPr>
                <w:rFonts w:ascii="Times New Roman" w:eastAsia="Times New Roman" w:hAnsi="Times New Roman" w:cs="Times New Roman"/>
                <w:i w:val="0"/>
                <w:sz w:val="20"/>
                <w:szCs w:val="20"/>
              </w:rPr>
              <w:t>Degrees of freedom</w:t>
            </w:r>
          </w:p>
        </w:tc>
        <w:tc>
          <w:tcPr>
            <w:tcW w:w="1665" w:type="dxa"/>
          </w:tcPr>
          <w:p w14:paraId="2066F111"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3/321</w:t>
            </w:r>
          </w:p>
        </w:tc>
        <w:tc>
          <w:tcPr>
            <w:tcW w:w="1734" w:type="dxa"/>
          </w:tcPr>
          <w:p w14:paraId="283ACA41"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5/319</w:t>
            </w:r>
          </w:p>
        </w:tc>
        <w:tc>
          <w:tcPr>
            <w:tcW w:w="1562" w:type="dxa"/>
          </w:tcPr>
          <w:p w14:paraId="726DF87A"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7/317</w:t>
            </w:r>
          </w:p>
        </w:tc>
        <w:tc>
          <w:tcPr>
            <w:tcW w:w="1559" w:type="dxa"/>
          </w:tcPr>
          <w:p w14:paraId="7FE24A7D" w14:textId="77777777" w:rsidR="00F03CB1" w:rsidRPr="00B85F21" w:rsidRDefault="00F03CB1" w:rsidP="00B85F21">
            <w:pPr>
              <w:cnfStyle w:val="000000100000" w:firstRow="0" w:lastRow="0" w:firstColumn="0" w:lastColumn="0" w:oddVBand="0" w:evenVBand="0" w:oddHBand="1" w:evenHBand="0" w:firstRowFirstColumn="0" w:firstRowLastColumn="0" w:lastRowFirstColumn="0" w:lastRowLastColumn="0"/>
              <w:rPr>
                <w:rFonts w:eastAsia="Times New Roman" w:cs="Times New Roman"/>
                <w:iCs/>
                <w:color w:val="000000"/>
                <w:sz w:val="20"/>
                <w:szCs w:val="20"/>
              </w:rPr>
            </w:pPr>
            <w:r w:rsidRPr="00B85F21">
              <w:rPr>
                <w:rFonts w:eastAsia="Times New Roman" w:cs="Times New Roman"/>
                <w:iCs/>
                <w:color w:val="000000"/>
                <w:sz w:val="20"/>
                <w:szCs w:val="20"/>
              </w:rPr>
              <w:t>11/313</w:t>
            </w:r>
          </w:p>
        </w:tc>
      </w:tr>
    </w:tbl>
    <w:p w14:paraId="5CF4882D" w14:textId="77777777" w:rsidR="00F03CB1" w:rsidRPr="00BC1A01" w:rsidRDefault="00F03CB1" w:rsidP="00B20C4D">
      <w:pPr>
        <w:spacing w:after="0" w:line="480" w:lineRule="auto"/>
        <w:rPr>
          <w:rFonts w:eastAsia="Times New Roman" w:cs="Times New Roman"/>
          <w:sz w:val="20"/>
          <w:szCs w:val="20"/>
        </w:rPr>
      </w:pPr>
      <w:r w:rsidRPr="00BC1A01">
        <w:rPr>
          <w:rFonts w:eastAsia="Times New Roman" w:cs="Times New Roman"/>
          <w:i/>
          <w:sz w:val="20"/>
          <w:szCs w:val="20"/>
        </w:rPr>
        <w:t xml:space="preserve">p </w:t>
      </w:r>
      <w:r w:rsidRPr="00BC1A01">
        <w:rPr>
          <w:rFonts w:eastAsia="Times New Roman" w:cs="Times New Roman"/>
          <w:sz w:val="20"/>
          <w:szCs w:val="20"/>
        </w:rPr>
        <w:t xml:space="preserve">&lt; .10, </w:t>
      </w:r>
      <w:r w:rsidRPr="00BC1A01">
        <w:rPr>
          <w:rFonts w:eastAsia="Times New Roman" w:cs="Times New Roman"/>
          <w:i/>
          <w:sz w:val="20"/>
          <w:szCs w:val="20"/>
        </w:rPr>
        <w:t xml:space="preserve">p </w:t>
      </w:r>
      <w:r w:rsidRPr="00BC1A01">
        <w:rPr>
          <w:rFonts w:eastAsia="Times New Roman" w:cs="Times New Roman"/>
          <w:sz w:val="20"/>
          <w:szCs w:val="20"/>
        </w:rPr>
        <w:t xml:space="preserve">&lt; .05, </w:t>
      </w:r>
      <w:r w:rsidRPr="00BC1A01">
        <w:rPr>
          <w:rFonts w:eastAsia="Times New Roman" w:cs="Times New Roman"/>
          <w:i/>
          <w:sz w:val="20"/>
          <w:szCs w:val="20"/>
        </w:rPr>
        <w:t xml:space="preserve">p </w:t>
      </w:r>
      <w:r w:rsidRPr="00BC1A01">
        <w:rPr>
          <w:rFonts w:eastAsia="Times New Roman" w:cs="Times New Roman"/>
          <w:sz w:val="20"/>
          <w:szCs w:val="20"/>
        </w:rPr>
        <w:t xml:space="preserve">&lt; .01, </w:t>
      </w:r>
      <w:r w:rsidRPr="00BC1A01">
        <w:rPr>
          <w:rFonts w:eastAsia="Times New Roman" w:cs="Times New Roman"/>
          <w:i/>
          <w:sz w:val="20"/>
          <w:szCs w:val="20"/>
        </w:rPr>
        <w:t xml:space="preserve">p </w:t>
      </w:r>
      <w:r w:rsidRPr="00BC1A01">
        <w:rPr>
          <w:rFonts w:eastAsia="Times New Roman" w:cs="Times New Roman"/>
          <w:sz w:val="20"/>
          <w:szCs w:val="20"/>
        </w:rPr>
        <w:t>&lt; .001</w:t>
      </w:r>
    </w:p>
    <w:p w14:paraId="709C816D" w14:textId="77777777" w:rsidR="0069543B" w:rsidRPr="0069543B" w:rsidRDefault="0069543B" w:rsidP="0069543B">
      <w:pPr>
        <w:spacing w:before="0" w:after="0" w:line="480" w:lineRule="auto"/>
        <w:ind w:left="360"/>
        <w:jc w:val="center"/>
        <w:rPr>
          <w:rFonts w:eastAsia="Calibri" w:cs="Times New Roman"/>
          <w:color w:val="000000"/>
          <w:kern w:val="0"/>
          <w:sz w:val="20"/>
          <w:szCs w:val="20"/>
          <w:lang w:eastAsia="en-US"/>
          <w14:ligatures w14:val="none"/>
        </w:rPr>
      </w:pPr>
      <w:r w:rsidRPr="0069543B">
        <w:rPr>
          <w:rFonts w:eastAsia="Calibri" w:cs="Times New Roman"/>
          <w:color w:val="000000"/>
          <w:kern w:val="0"/>
          <w:sz w:val="20"/>
          <w:szCs w:val="20"/>
          <w:lang w:val="en-GB" w:eastAsia="en-US"/>
          <w14:ligatures w14:val="none"/>
        </w:rPr>
        <w:t>Source: Researcher’s field note (2024)</w:t>
      </w:r>
    </w:p>
    <w:p w14:paraId="2C18FC5E" w14:textId="77777777" w:rsidR="00F03CB1" w:rsidRPr="00BC1A01" w:rsidRDefault="00F03CB1" w:rsidP="00B20C4D">
      <w:pPr>
        <w:spacing w:after="0" w:line="480" w:lineRule="auto"/>
        <w:rPr>
          <w:rFonts w:eastAsia="Calibri" w:cs="Times New Roman"/>
          <w:sz w:val="20"/>
          <w:szCs w:val="20"/>
        </w:rPr>
      </w:pPr>
      <w:r w:rsidRPr="00BC1A01">
        <w:rPr>
          <w:rFonts w:eastAsia="Calibri" w:cs="Times New Roman"/>
          <w:sz w:val="20"/>
          <w:szCs w:val="20"/>
        </w:rPr>
        <w:t xml:space="preserve">The hierarchical regression analysis revealed progressive changes in explaining service delivery variance across four models. Model 1's control variables (region, division, designation) explained 5% of variance. The addition of intrinsic and extrinsic motivation in Model 2 increased variance to 13.3% (ΔR² = 12.8%, F = 9.819, p &lt; .05). Model 3's introduction of moderating variables (internal/external reforms) increased variance to 15.4% (F = 7.024, p &lt; .010). Model 4's interaction terms raised the total variance to 16.5% (F = 4.835, p &lt; .01). Control variables demonstrated significant relationships with service delivery: region (β = .093, t = 1.653, p &lt; .10), division (β = </w:t>
      </w:r>
      <w:r w:rsidRPr="00BC1A01">
        <w:rPr>
          <w:rFonts w:eastAsia="Calibri" w:cs="Times New Roman"/>
          <w:sz w:val="20"/>
          <w:szCs w:val="20"/>
        </w:rPr>
        <w:lastRenderedPageBreak/>
        <w:t>-.102, t = -1.830, p &lt; .010), and designation (β = .001, t = .020, p &gt; .010). Both motivation types positively influenced service delivery, with intrinsic motivation exhibiting a stronger impact (β = .232, t = 3.885, p &lt; .001) compared to extrinsic motivation (β = .205, t = 3.244, p &lt; .001). These findings supported Hypotheses 1 and 2.</w:t>
      </w:r>
    </w:p>
    <w:p w14:paraId="6793844C" w14:textId="298C09E2" w:rsidR="00B20C4D" w:rsidRPr="00B90EBA" w:rsidRDefault="00F03CB1" w:rsidP="00B90EBA">
      <w:pPr>
        <w:spacing w:after="0" w:line="480" w:lineRule="auto"/>
        <w:rPr>
          <w:rFonts w:eastAsia="Calibri" w:cs="Times New Roman"/>
          <w:sz w:val="20"/>
          <w:szCs w:val="20"/>
        </w:rPr>
      </w:pPr>
      <w:r w:rsidRPr="00BC1A01">
        <w:rPr>
          <w:rFonts w:eastAsia="Calibri" w:cs="Times New Roman"/>
          <w:sz w:val="20"/>
          <w:szCs w:val="20"/>
        </w:rPr>
        <w:t xml:space="preserve">Regarding reforms, internal reforms positively affected service delivery (β = .121, t = 2.567, p &lt; .01), while external reforms exhibited negative, insignificant effects (β = -.028, t = -.468, p &gt; .10). For moderating effects, internal reforms positively moderated the intrinsic motivation-service delivery relationship (β = .114, t = 2.208, p &lt; .05), supporting Hypothesis 3. However, internal reforms did not moderate the extrinsic motivation-service delivery relationship (β = -.055, t = -.703, p &gt; .10), rejecting Hypothesis 4. External reforms demonstrated no significant moderating effects on either intrinsic motivation (β = -.014, t = .211, p &gt; .10) or extrinsic motivation (β = -.087, t = -1.293, p &gt; .10) relationships with service delivery, rejecting Hypotheses 5 and 6. Table </w:t>
      </w:r>
      <w:r w:rsidR="00BB3E12" w:rsidRPr="00BC1A01">
        <w:rPr>
          <w:rFonts w:eastAsia="Calibri" w:cs="Times New Roman"/>
          <w:sz w:val="20"/>
          <w:szCs w:val="20"/>
        </w:rPr>
        <w:t>7</w:t>
      </w:r>
      <w:r w:rsidRPr="00BC1A01">
        <w:rPr>
          <w:rFonts w:eastAsia="Calibri" w:cs="Times New Roman"/>
          <w:sz w:val="20"/>
          <w:szCs w:val="20"/>
        </w:rPr>
        <w:t xml:space="preserve"> presents a summary of the hypotheses tested.</w:t>
      </w:r>
      <w:bookmarkStart w:id="37" w:name="_Toc177304755"/>
    </w:p>
    <w:p w14:paraId="16BB839C" w14:textId="4C48ECD6" w:rsidR="00F03CB1" w:rsidRPr="0069543B" w:rsidRDefault="00F03CB1" w:rsidP="0069543B">
      <w:pPr>
        <w:pStyle w:val="Caption"/>
        <w:spacing w:line="480" w:lineRule="auto"/>
        <w:jc w:val="center"/>
        <w:rPr>
          <w:rFonts w:eastAsia="Times New Roman"/>
          <w:b/>
          <w:color w:val="000000"/>
          <w:sz w:val="20"/>
          <w:szCs w:val="20"/>
        </w:rPr>
      </w:pPr>
      <w:r w:rsidRPr="0069543B">
        <w:rPr>
          <w:b/>
          <w:sz w:val="20"/>
          <w:szCs w:val="20"/>
        </w:rPr>
        <w:t xml:space="preserve">Table </w:t>
      </w:r>
      <w:r w:rsidR="00BB3E12" w:rsidRPr="0069543B">
        <w:rPr>
          <w:b/>
          <w:sz w:val="20"/>
          <w:szCs w:val="20"/>
        </w:rPr>
        <w:t>7</w:t>
      </w:r>
      <w:r w:rsidRPr="0069543B">
        <w:rPr>
          <w:b/>
          <w:sz w:val="20"/>
          <w:szCs w:val="20"/>
        </w:rPr>
        <w:t>: Summary of hypotheses and empirical conclusions</w:t>
      </w:r>
      <w:bookmarkEnd w:id="37"/>
    </w:p>
    <w:tbl>
      <w:tblPr>
        <w:tblStyle w:val="PlainTable5"/>
        <w:tblW w:w="8075" w:type="dxa"/>
        <w:tblLook w:val="04A0" w:firstRow="1" w:lastRow="0" w:firstColumn="1" w:lastColumn="0" w:noHBand="0" w:noVBand="1"/>
      </w:tblPr>
      <w:tblGrid>
        <w:gridCol w:w="4897"/>
        <w:gridCol w:w="1351"/>
        <w:gridCol w:w="1827"/>
      </w:tblGrid>
      <w:tr w:rsidR="00F03CB1" w:rsidRPr="00B90EBA" w14:paraId="1AEB5FB7" w14:textId="77777777" w:rsidTr="00B90EBA">
        <w:trPr>
          <w:cnfStyle w:val="100000000000" w:firstRow="1" w:lastRow="0" w:firstColumn="0" w:lastColumn="0" w:oddVBand="0" w:evenVBand="0" w:oddHBand="0" w:evenHBand="0" w:firstRowFirstColumn="0" w:firstRowLastColumn="0" w:lastRowFirstColumn="0" w:lastRowLastColumn="0"/>
          <w:trHeight w:val="57"/>
        </w:trPr>
        <w:tc>
          <w:tcPr>
            <w:cnfStyle w:val="001000000100" w:firstRow="0" w:lastRow="0" w:firstColumn="1" w:lastColumn="0" w:oddVBand="0" w:evenVBand="0" w:oddHBand="0" w:evenHBand="0" w:firstRowFirstColumn="1" w:firstRowLastColumn="0" w:lastRowFirstColumn="0" w:lastRowLastColumn="0"/>
            <w:tcW w:w="4897" w:type="dxa"/>
          </w:tcPr>
          <w:p w14:paraId="32B4AFB8" w14:textId="77777777" w:rsidR="00F03CB1" w:rsidRPr="00B90EBA" w:rsidRDefault="00F03CB1" w:rsidP="00B90EBA">
            <w:pPr>
              <w:spacing w:after="200"/>
              <w:jc w:val="left"/>
              <w:rPr>
                <w:rFonts w:ascii="Times New Roman" w:eastAsia="Times New Roman" w:hAnsi="Times New Roman" w:cs="Times New Roman"/>
                <w:b/>
                <w:i w:val="0"/>
                <w:iCs w:val="0"/>
                <w:sz w:val="20"/>
                <w:szCs w:val="20"/>
              </w:rPr>
            </w:pPr>
            <w:r w:rsidRPr="00B90EBA">
              <w:rPr>
                <w:rFonts w:ascii="Times New Roman" w:eastAsia="Times New Roman" w:hAnsi="Times New Roman" w:cs="Times New Roman"/>
                <w:b/>
                <w:i w:val="0"/>
                <w:iCs w:val="0"/>
                <w:sz w:val="20"/>
                <w:szCs w:val="20"/>
              </w:rPr>
              <w:t>Hypotheses</w:t>
            </w:r>
          </w:p>
        </w:tc>
        <w:tc>
          <w:tcPr>
            <w:tcW w:w="1351" w:type="dxa"/>
          </w:tcPr>
          <w:p w14:paraId="58C5FA96" w14:textId="77777777" w:rsidR="00F03CB1" w:rsidRPr="00B90EBA" w:rsidRDefault="00F03CB1" w:rsidP="00B90EBA">
            <w:pPr>
              <w:spacing w:after="20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i w:val="0"/>
                <w:iCs w:val="0"/>
                <w:sz w:val="20"/>
                <w:szCs w:val="20"/>
              </w:rPr>
            </w:pPr>
            <w:r w:rsidRPr="00B90EBA">
              <w:rPr>
                <w:rFonts w:ascii="Times New Roman" w:eastAsia="Times New Roman" w:hAnsi="Times New Roman" w:cs="Times New Roman"/>
                <w:b/>
                <w:i w:val="0"/>
                <w:iCs w:val="0"/>
                <w:sz w:val="20"/>
                <w:szCs w:val="20"/>
              </w:rPr>
              <w:t>Expected sign</w:t>
            </w:r>
          </w:p>
        </w:tc>
        <w:tc>
          <w:tcPr>
            <w:tcW w:w="1827" w:type="dxa"/>
          </w:tcPr>
          <w:p w14:paraId="3E2B370A" w14:textId="77777777" w:rsidR="00F03CB1" w:rsidRPr="00B90EBA" w:rsidRDefault="00F03CB1" w:rsidP="00B90EBA">
            <w:pPr>
              <w:spacing w:after="20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i w:val="0"/>
                <w:iCs w:val="0"/>
                <w:sz w:val="20"/>
                <w:szCs w:val="20"/>
              </w:rPr>
            </w:pPr>
            <w:r w:rsidRPr="00B90EBA">
              <w:rPr>
                <w:rFonts w:ascii="Times New Roman" w:eastAsia="Times New Roman" w:hAnsi="Times New Roman" w:cs="Times New Roman"/>
                <w:b/>
                <w:i w:val="0"/>
                <w:iCs w:val="0"/>
                <w:sz w:val="20"/>
                <w:szCs w:val="20"/>
              </w:rPr>
              <w:t>Conclusions</w:t>
            </w:r>
          </w:p>
        </w:tc>
      </w:tr>
      <w:tr w:rsidR="00F03CB1" w:rsidRPr="00B90EBA" w14:paraId="4F4F25D5" w14:textId="77777777" w:rsidTr="00B90E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897" w:type="dxa"/>
          </w:tcPr>
          <w:p w14:paraId="52C3A43B" w14:textId="77777777" w:rsidR="00F03CB1" w:rsidRPr="00B90EBA" w:rsidRDefault="00F03CB1" w:rsidP="00B90EBA">
            <w:pPr>
              <w:spacing w:after="200"/>
              <w:jc w:val="left"/>
              <w:rPr>
                <w:rFonts w:ascii="Times New Roman" w:eastAsia="Times New Roman" w:hAnsi="Times New Roman" w:cs="Times New Roman"/>
                <w:i w:val="0"/>
                <w:iCs w:val="0"/>
                <w:sz w:val="20"/>
                <w:szCs w:val="20"/>
              </w:rPr>
            </w:pPr>
            <w:r w:rsidRPr="00B90EBA">
              <w:rPr>
                <w:rFonts w:ascii="Times New Roman" w:eastAsia="Times New Roman" w:hAnsi="Times New Roman" w:cs="Times New Roman"/>
                <w:i w:val="0"/>
                <w:iCs w:val="0"/>
                <w:sz w:val="20"/>
                <w:szCs w:val="20"/>
              </w:rPr>
              <w:t>H1: There is a positive relationship between intrinsic motivation and service delivery</w:t>
            </w:r>
          </w:p>
        </w:tc>
        <w:tc>
          <w:tcPr>
            <w:tcW w:w="1351" w:type="dxa"/>
          </w:tcPr>
          <w:p w14:paraId="3680407A" w14:textId="77777777" w:rsidR="00F03CB1" w:rsidRPr="00B90EBA" w:rsidRDefault="00F03CB1" w:rsidP="00B90EBA">
            <w:pPr>
              <w:spacing w:after="200"/>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B90EBA">
              <w:rPr>
                <w:rFonts w:eastAsia="Times New Roman" w:cs="Times New Roman"/>
                <w:sz w:val="20"/>
                <w:szCs w:val="20"/>
              </w:rPr>
              <w:t>+</w:t>
            </w:r>
          </w:p>
        </w:tc>
        <w:tc>
          <w:tcPr>
            <w:tcW w:w="1827" w:type="dxa"/>
          </w:tcPr>
          <w:p w14:paraId="71366860" w14:textId="77777777" w:rsidR="00F03CB1" w:rsidRPr="00B90EBA" w:rsidRDefault="00F03CB1" w:rsidP="00B90EBA">
            <w:pPr>
              <w:spacing w:after="200"/>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B90EBA">
              <w:rPr>
                <w:rFonts w:eastAsia="Times New Roman" w:cs="Times New Roman"/>
                <w:sz w:val="20"/>
                <w:szCs w:val="20"/>
              </w:rPr>
              <w:t xml:space="preserve">Supported </w:t>
            </w:r>
          </w:p>
        </w:tc>
      </w:tr>
      <w:tr w:rsidR="00F03CB1" w:rsidRPr="00B90EBA" w14:paraId="3A1CF27A" w14:textId="77777777" w:rsidTr="00B90EBA">
        <w:trPr>
          <w:trHeight w:val="57"/>
        </w:trPr>
        <w:tc>
          <w:tcPr>
            <w:cnfStyle w:val="001000000000" w:firstRow="0" w:lastRow="0" w:firstColumn="1" w:lastColumn="0" w:oddVBand="0" w:evenVBand="0" w:oddHBand="0" w:evenHBand="0" w:firstRowFirstColumn="0" w:firstRowLastColumn="0" w:lastRowFirstColumn="0" w:lastRowLastColumn="0"/>
            <w:tcW w:w="4897" w:type="dxa"/>
          </w:tcPr>
          <w:p w14:paraId="2A6B3911" w14:textId="77777777" w:rsidR="00F03CB1" w:rsidRPr="00B90EBA" w:rsidRDefault="00F03CB1" w:rsidP="00B90EBA">
            <w:pPr>
              <w:spacing w:after="200"/>
              <w:jc w:val="left"/>
              <w:rPr>
                <w:rFonts w:ascii="Times New Roman" w:eastAsia="Times New Roman" w:hAnsi="Times New Roman" w:cs="Times New Roman"/>
                <w:i w:val="0"/>
                <w:iCs w:val="0"/>
                <w:sz w:val="20"/>
                <w:szCs w:val="20"/>
              </w:rPr>
            </w:pPr>
            <w:r w:rsidRPr="00B90EBA">
              <w:rPr>
                <w:rFonts w:ascii="Times New Roman" w:eastAsia="Times New Roman" w:hAnsi="Times New Roman" w:cs="Times New Roman"/>
                <w:i w:val="0"/>
                <w:iCs w:val="0"/>
                <w:sz w:val="20"/>
                <w:szCs w:val="20"/>
              </w:rPr>
              <w:t>H2: There is a positive relationship between extrinsic motivation and service delivery</w:t>
            </w:r>
          </w:p>
        </w:tc>
        <w:tc>
          <w:tcPr>
            <w:tcW w:w="1351" w:type="dxa"/>
          </w:tcPr>
          <w:p w14:paraId="6E790F19" w14:textId="77777777" w:rsidR="00F03CB1" w:rsidRPr="00B90EBA" w:rsidRDefault="00F03CB1" w:rsidP="00B90EBA">
            <w:pPr>
              <w:spacing w:after="20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B90EBA">
              <w:rPr>
                <w:rFonts w:eastAsia="Times New Roman" w:cs="Times New Roman"/>
                <w:sz w:val="20"/>
                <w:szCs w:val="20"/>
              </w:rPr>
              <w:t>+</w:t>
            </w:r>
          </w:p>
        </w:tc>
        <w:tc>
          <w:tcPr>
            <w:tcW w:w="1827" w:type="dxa"/>
          </w:tcPr>
          <w:p w14:paraId="35452EB0" w14:textId="77777777" w:rsidR="00F03CB1" w:rsidRPr="00B90EBA" w:rsidRDefault="00F03CB1" w:rsidP="00B90EBA">
            <w:pPr>
              <w:spacing w:after="20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B90EBA">
              <w:rPr>
                <w:rFonts w:eastAsia="Times New Roman" w:cs="Times New Roman"/>
                <w:sz w:val="20"/>
                <w:szCs w:val="20"/>
              </w:rPr>
              <w:t xml:space="preserve">Supported </w:t>
            </w:r>
          </w:p>
        </w:tc>
      </w:tr>
      <w:tr w:rsidR="00F03CB1" w:rsidRPr="00B90EBA" w14:paraId="296B6A73" w14:textId="77777777" w:rsidTr="00B90E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897" w:type="dxa"/>
          </w:tcPr>
          <w:p w14:paraId="038EF250" w14:textId="77777777" w:rsidR="00F03CB1" w:rsidRPr="00B90EBA" w:rsidRDefault="00F03CB1" w:rsidP="00B90EBA">
            <w:pPr>
              <w:spacing w:after="200"/>
              <w:jc w:val="left"/>
              <w:rPr>
                <w:rFonts w:ascii="Times New Roman" w:eastAsia="Times New Roman" w:hAnsi="Times New Roman" w:cs="Times New Roman"/>
                <w:i w:val="0"/>
                <w:iCs w:val="0"/>
                <w:sz w:val="20"/>
                <w:szCs w:val="20"/>
              </w:rPr>
            </w:pPr>
            <w:r w:rsidRPr="00B90EBA">
              <w:rPr>
                <w:rFonts w:ascii="Times New Roman" w:eastAsia="Times New Roman" w:hAnsi="Times New Roman" w:cs="Times New Roman"/>
                <w:i w:val="0"/>
                <w:iCs w:val="0"/>
                <w:sz w:val="20"/>
                <w:szCs w:val="20"/>
              </w:rPr>
              <w:t>H3: Internal reforms moderated the positive relationship between intrinsic motivation and service delivery</w:t>
            </w:r>
          </w:p>
        </w:tc>
        <w:tc>
          <w:tcPr>
            <w:tcW w:w="1351" w:type="dxa"/>
          </w:tcPr>
          <w:p w14:paraId="1DF29F30" w14:textId="77777777" w:rsidR="00F03CB1" w:rsidRPr="00B90EBA" w:rsidRDefault="00F03CB1" w:rsidP="00B90EBA">
            <w:pPr>
              <w:spacing w:after="200"/>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B90EBA">
              <w:rPr>
                <w:rFonts w:eastAsia="Times New Roman" w:cs="Times New Roman"/>
                <w:sz w:val="20"/>
                <w:szCs w:val="20"/>
              </w:rPr>
              <w:t>+</w:t>
            </w:r>
          </w:p>
        </w:tc>
        <w:tc>
          <w:tcPr>
            <w:tcW w:w="1827" w:type="dxa"/>
          </w:tcPr>
          <w:p w14:paraId="7FD1A9C8" w14:textId="77777777" w:rsidR="00F03CB1" w:rsidRPr="00B90EBA" w:rsidRDefault="00F03CB1" w:rsidP="00B90EBA">
            <w:pPr>
              <w:spacing w:after="200"/>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B90EBA">
              <w:rPr>
                <w:rFonts w:eastAsia="Times New Roman" w:cs="Times New Roman"/>
                <w:sz w:val="20"/>
                <w:szCs w:val="20"/>
              </w:rPr>
              <w:t xml:space="preserve">Supported </w:t>
            </w:r>
          </w:p>
        </w:tc>
      </w:tr>
      <w:tr w:rsidR="00F03CB1" w:rsidRPr="00B90EBA" w14:paraId="4A191980" w14:textId="77777777" w:rsidTr="00B90EBA">
        <w:trPr>
          <w:trHeight w:val="57"/>
        </w:trPr>
        <w:tc>
          <w:tcPr>
            <w:cnfStyle w:val="001000000000" w:firstRow="0" w:lastRow="0" w:firstColumn="1" w:lastColumn="0" w:oddVBand="0" w:evenVBand="0" w:oddHBand="0" w:evenHBand="0" w:firstRowFirstColumn="0" w:firstRowLastColumn="0" w:lastRowFirstColumn="0" w:lastRowLastColumn="0"/>
            <w:tcW w:w="4897" w:type="dxa"/>
          </w:tcPr>
          <w:p w14:paraId="18DF7CF2" w14:textId="77777777" w:rsidR="00F03CB1" w:rsidRPr="00B90EBA" w:rsidRDefault="00F03CB1" w:rsidP="00B90EBA">
            <w:pPr>
              <w:spacing w:after="200"/>
              <w:jc w:val="left"/>
              <w:rPr>
                <w:rFonts w:ascii="Times New Roman" w:eastAsia="Times New Roman" w:hAnsi="Times New Roman" w:cs="Times New Roman"/>
                <w:i w:val="0"/>
                <w:iCs w:val="0"/>
                <w:sz w:val="20"/>
                <w:szCs w:val="20"/>
              </w:rPr>
            </w:pPr>
            <w:r w:rsidRPr="00B90EBA">
              <w:rPr>
                <w:rFonts w:ascii="Times New Roman" w:eastAsia="Times New Roman" w:hAnsi="Times New Roman" w:cs="Times New Roman"/>
                <w:i w:val="0"/>
                <w:iCs w:val="0"/>
                <w:sz w:val="20"/>
                <w:szCs w:val="20"/>
              </w:rPr>
              <w:t>H4: Internal reforms moderated the positive relationship between extrinsic motivation and service delivery</w:t>
            </w:r>
          </w:p>
        </w:tc>
        <w:tc>
          <w:tcPr>
            <w:tcW w:w="1351" w:type="dxa"/>
          </w:tcPr>
          <w:p w14:paraId="50C9081C" w14:textId="77777777" w:rsidR="00F03CB1" w:rsidRPr="00B90EBA" w:rsidRDefault="00F03CB1" w:rsidP="00B90EBA">
            <w:pPr>
              <w:spacing w:after="20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B90EBA">
              <w:rPr>
                <w:rFonts w:eastAsia="Times New Roman" w:cs="Times New Roman"/>
                <w:sz w:val="20"/>
                <w:szCs w:val="20"/>
              </w:rPr>
              <w:t>+</w:t>
            </w:r>
          </w:p>
        </w:tc>
        <w:tc>
          <w:tcPr>
            <w:tcW w:w="1827" w:type="dxa"/>
          </w:tcPr>
          <w:p w14:paraId="4B48FCDA" w14:textId="77777777" w:rsidR="00F03CB1" w:rsidRPr="00B90EBA" w:rsidRDefault="00F03CB1" w:rsidP="00B90EBA">
            <w:pPr>
              <w:spacing w:after="20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B90EBA">
              <w:rPr>
                <w:rFonts w:eastAsia="Times New Roman" w:cs="Times New Roman"/>
                <w:sz w:val="20"/>
                <w:szCs w:val="20"/>
              </w:rPr>
              <w:t xml:space="preserve">Not Supported </w:t>
            </w:r>
          </w:p>
        </w:tc>
      </w:tr>
      <w:tr w:rsidR="00F03CB1" w:rsidRPr="00B90EBA" w14:paraId="1F44E6BF" w14:textId="77777777" w:rsidTr="00B90EB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897" w:type="dxa"/>
          </w:tcPr>
          <w:p w14:paraId="3FF42954" w14:textId="77777777" w:rsidR="00F03CB1" w:rsidRPr="00B90EBA" w:rsidRDefault="00F03CB1" w:rsidP="00B90EBA">
            <w:pPr>
              <w:spacing w:after="200"/>
              <w:jc w:val="left"/>
              <w:rPr>
                <w:rFonts w:ascii="Times New Roman" w:eastAsia="Times New Roman" w:hAnsi="Times New Roman" w:cs="Times New Roman"/>
                <w:i w:val="0"/>
                <w:iCs w:val="0"/>
                <w:sz w:val="20"/>
                <w:szCs w:val="20"/>
              </w:rPr>
            </w:pPr>
            <w:r w:rsidRPr="00B90EBA">
              <w:rPr>
                <w:rFonts w:ascii="Times New Roman" w:eastAsia="Times New Roman" w:hAnsi="Times New Roman" w:cs="Times New Roman"/>
                <w:i w:val="0"/>
                <w:iCs w:val="0"/>
                <w:sz w:val="20"/>
                <w:szCs w:val="20"/>
              </w:rPr>
              <w:t>H5: External reforms moderated the positive relationship between intrinsic motivation and service delivery</w:t>
            </w:r>
          </w:p>
        </w:tc>
        <w:tc>
          <w:tcPr>
            <w:tcW w:w="1351" w:type="dxa"/>
          </w:tcPr>
          <w:p w14:paraId="14E24F97" w14:textId="77777777" w:rsidR="00F03CB1" w:rsidRPr="00B90EBA" w:rsidRDefault="00F03CB1" w:rsidP="00B90EBA">
            <w:pPr>
              <w:spacing w:after="200"/>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B90EBA">
              <w:rPr>
                <w:rFonts w:eastAsia="Times New Roman" w:cs="Times New Roman"/>
                <w:sz w:val="20"/>
                <w:szCs w:val="20"/>
              </w:rPr>
              <w:t>+</w:t>
            </w:r>
          </w:p>
        </w:tc>
        <w:tc>
          <w:tcPr>
            <w:tcW w:w="1827" w:type="dxa"/>
          </w:tcPr>
          <w:p w14:paraId="4913FFB0" w14:textId="77777777" w:rsidR="00F03CB1" w:rsidRPr="00B90EBA" w:rsidRDefault="00F03CB1" w:rsidP="00B90EBA">
            <w:pPr>
              <w:spacing w:after="200"/>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B90EBA">
              <w:rPr>
                <w:rFonts w:eastAsia="Times New Roman" w:cs="Times New Roman"/>
                <w:sz w:val="20"/>
                <w:szCs w:val="20"/>
              </w:rPr>
              <w:t xml:space="preserve">Not supported </w:t>
            </w:r>
          </w:p>
        </w:tc>
      </w:tr>
      <w:tr w:rsidR="00F03CB1" w:rsidRPr="00B90EBA" w14:paraId="7250823D" w14:textId="77777777" w:rsidTr="00B90EBA">
        <w:trPr>
          <w:trHeight w:val="57"/>
        </w:trPr>
        <w:tc>
          <w:tcPr>
            <w:cnfStyle w:val="001000000000" w:firstRow="0" w:lastRow="0" w:firstColumn="1" w:lastColumn="0" w:oddVBand="0" w:evenVBand="0" w:oddHBand="0" w:evenHBand="0" w:firstRowFirstColumn="0" w:firstRowLastColumn="0" w:lastRowFirstColumn="0" w:lastRowLastColumn="0"/>
            <w:tcW w:w="4897" w:type="dxa"/>
          </w:tcPr>
          <w:p w14:paraId="3154DEC4" w14:textId="77777777" w:rsidR="00F03CB1" w:rsidRPr="00B90EBA" w:rsidRDefault="00F03CB1" w:rsidP="00B90EBA">
            <w:pPr>
              <w:spacing w:after="200"/>
              <w:jc w:val="left"/>
              <w:rPr>
                <w:rFonts w:ascii="Times New Roman" w:eastAsia="Times New Roman" w:hAnsi="Times New Roman" w:cs="Times New Roman"/>
                <w:i w:val="0"/>
                <w:iCs w:val="0"/>
                <w:sz w:val="20"/>
                <w:szCs w:val="20"/>
              </w:rPr>
            </w:pPr>
            <w:r w:rsidRPr="00B90EBA">
              <w:rPr>
                <w:rFonts w:ascii="Times New Roman" w:eastAsia="Times New Roman" w:hAnsi="Times New Roman" w:cs="Times New Roman"/>
                <w:i w:val="0"/>
                <w:iCs w:val="0"/>
                <w:sz w:val="20"/>
                <w:szCs w:val="20"/>
              </w:rPr>
              <w:t>H6: External reforms moderated the positive relationship between extrinsic motivation and service delivery</w:t>
            </w:r>
          </w:p>
        </w:tc>
        <w:tc>
          <w:tcPr>
            <w:tcW w:w="1351" w:type="dxa"/>
          </w:tcPr>
          <w:p w14:paraId="1FF2D395" w14:textId="77777777" w:rsidR="00F03CB1" w:rsidRPr="00B90EBA" w:rsidRDefault="00F03CB1" w:rsidP="00B90EBA">
            <w:pPr>
              <w:spacing w:after="20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B90EBA">
              <w:rPr>
                <w:rFonts w:eastAsia="Times New Roman" w:cs="Times New Roman"/>
                <w:sz w:val="20"/>
                <w:szCs w:val="20"/>
              </w:rPr>
              <w:t>+</w:t>
            </w:r>
          </w:p>
        </w:tc>
        <w:tc>
          <w:tcPr>
            <w:tcW w:w="1827" w:type="dxa"/>
          </w:tcPr>
          <w:p w14:paraId="41ABAE74" w14:textId="77777777" w:rsidR="00F03CB1" w:rsidRPr="00B90EBA" w:rsidRDefault="00F03CB1" w:rsidP="00B90EBA">
            <w:pPr>
              <w:spacing w:after="20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B90EBA">
              <w:rPr>
                <w:rFonts w:eastAsia="Times New Roman" w:cs="Times New Roman"/>
                <w:sz w:val="20"/>
                <w:szCs w:val="20"/>
              </w:rPr>
              <w:t xml:space="preserve">Not Supported </w:t>
            </w:r>
          </w:p>
        </w:tc>
      </w:tr>
    </w:tbl>
    <w:p w14:paraId="15A13FCB" w14:textId="17C433B4" w:rsidR="00F03CB1" w:rsidRPr="00BC1A01" w:rsidRDefault="00BB3E12" w:rsidP="00B20C4D">
      <w:pPr>
        <w:pStyle w:val="Heading1"/>
        <w:spacing w:line="480" w:lineRule="auto"/>
        <w:rPr>
          <w:rFonts w:ascii="Times New Roman" w:hAnsi="Times New Roman" w:cs="Times New Roman"/>
          <w:b/>
          <w:bCs/>
          <w:color w:val="auto"/>
          <w:sz w:val="20"/>
          <w:szCs w:val="20"/>
        </w:rPr>
      </w:pPr>
      <w:bookmarkStart w:id="38" w:name="_Toc177304732"/>
      <w:r w:rsidRPr="00BC1A01">
        <w:rPr>
          <w:rFonts w:ascii="Times New Roman" w:hAnsi="Times New Roman" w:cs="Times New Roman"/>
          <w:b/>
          <w:bCs/>
          <w:color w:val="auto"/>
          <w:sz w:val="20"/>
          <w:szCs w:val="20"/>
        </w:rPr>
        <w:lastRenderedPageBreak/>
        <w:t>6</w:t>
      </w:r>
      <w:r w:rsidR="00F03CB1" w:rsidRPr="00BC1A01">
        <w:rPr>
          <w:rFonts w:ascii="Times New Roman" w:hAnsi="Times New Roman" w:cs="Times New Roman"/>
          <w:b/>
          <w:bCs/>
          <w:color w:val="auto"/>
          <w:sz w:val="20"/>
          <w:szCs w:val="20"/>
        </w:rPr>
        <w:t xml:space="preserve">. </w:t>
      </w:r>
      <w:r w:rsidR="0069543B" w:rsidRPr="0069543B">
        <w:rPr>
          <w:rFonts w:ascii="Times New Roman" w:hAnsi="Times New Roman" w:cs="Times New Roman"/>
          <w:b/>
          <w:bCs/>
          <w:color w:val="auto"/>
          <w:sz w:val="22"/>
          <w:szCs w:val="22"/>
        </w:rPr>
        <w:t>SUMMARY</w:t>
      </w:r>
      <w:bookmarkEnd w:id="38"/>
      <w:r w:rsidR="0069543B" w:rsidRPr="0069543B">
        <w:rPr>
          <w:rFonts w:ascii="Times New Roman" w:hAnsi="Times New Roman" w:cs="Times New Roman"/>
          <w:b/>
          <w:bCs/>
          <w:color w:val="auto"/>
          <w:sz w:val="22"/>
          <w:szCs w:val="22"/>
        </w:rPr>
        <w:t xml:space="preserve"> AND CONCLUSIONS</w:t>
      </w:r>
    </w:p>
    <w:p w14:paraId="66191C4B" w14:textId="3545C3EA" w:rsidR="00F03CB1" w:rsidRPr="0069543B" w:rsidRDefault="00BB3E12" w:rsidP="00B20C4D">
      <w:pPr>
        <w:pStyle w:val="Heading2"/>
        <w:spacing w:line="480" w:lineRule="auto"/>
        <w:rPr>
          <w:rFonts w:ascii="Times New Roman" w:hAnsi="Times New Roman" w:cs="Times New Roman"/>
          <w:b/>
          <w:bCs/>
          <w:color w:val="auto"/>
          <w:sz w:val="20"/>
          <w:szCs w:val="20"/>
        </w:rPr>
      </w:pPr>
      <w:bookmarkStart w:id="39" w:name="_Toc530420668"/>
      <w:bookmarkStart w:id="40" w:name="_Toc17718844"/>
      <w:bookmarkStart w:id="41" w:name="_Toc177304734"/>
      <w:r w:rsidRPr="0069543B">
        <w:rPr>
          <w:rFonts w:ascii="Times New Roman" w:hAnsi="Times New Roman" w:cs="Times New Roman"/>
          <w:b/>
          <w:bCs/>
          <w:color w:val="auto"/>
          <w:sz w:val="20"/>
          <w:szCs w:val="20"/>
        </w:rPr>
        <w:t>6</w:t>
      </w:r>
      <w:r w:rsidR="00F03CB1" w:rsidRPr="0069543B">
        <w:rPr>
          <w:rFonts w:ascii="Times New Roman" w:hAnsi="Times New Roman" w:cs="Times New Roman"/>
          <w:b/>
          <w:bCs/>
          <w:color w:val="auto"/>
          <w:sz w:val="20"/>
          <w:szCs w:val="20"/>
        </w:rPr>
        <w:t xml:space="preserve">.1 Summary </w:t>
      </w:r>
      <w:bookmarkEnd w:id="39"/>
      <w:bookmarkEnd w:id="40"/>
      <w:bookmarkEnd w:id="41"/>
    </w:p>
    <w:p w14:paraId="6C5F695F" w14:textId="77777777" w:rsidR="00F03CB1" w:rsidRPr="00BC1A01" w:rsidRDefault="00F03CB1" w:rsidP="00B20C4D">
      <w:pPr>
        <w:pStyle w:val="Heading2"/>
        <w:spacing w:line="480" w:lineRule="auto"/>
        <w:rPr>
          <w:rFonts w:ascii="Times New Roman" w:eastAsiaTheme="minorEastAsia" w:hAnsi="Times New Roman" w:cs="Times New Roman"/>
          <w:b/>
          <w:bCs/>
          <w:color w:val="auto"/>
          <w:sz w:val="20"/>
          <w:szCs w:val="20"/>
          <w:lang w:eastAsia="ja-JP"/>
        </w:rPr>
      </w:pPr>
      <w:bookmarkStart w:id="42" w:name="_Toc530420669"/>
      <w:bookmarkStart w:id="43" w:name="_Toc17718845"/>
      <w:bookmarkStart w:id="44" w:name="_Toc177304735"/>
      <w:r w:rsidRPr="00BC1A01">
        <w:rPr>
          <w:rFonts w:ascii="Times New Roman" w:eastAsiaTheme="minorEastAsia" w:hAnsi="Times New Roman" w:cs="Times New Roman"/>
          <w:color w:val="auto"/>
          <w:sz w:val="20"/>
          <w:szCs w:val="20"/>
          <w:lang w:eastAsia="ja-JP"/>
        </w:rPr>
        <w:t>This study examined the role of employee motivation in land service delivery, focusing on intrinsic and extrinsic motivation factors and the moderating effects of internal and external land administration reforms. The research utilized a sample size of 332 participants, with data collected through face-to-face structured survey questionnaires. Factor analysis was conducted to determine the dimensions of key variables, with all factors loading at 0.5 or above. The scales demonstrated strong internal consistency, with Cronbach Alpha reliabilities ranging from 0.764 to 0.894, exceeding the minimum requirement of 0.50. Correlation analysis revealed significant relationships between most variables, with mean values falling between 1.0 and 5.0. Convergent and discriminant validity tests confirmed the reliability of the constructs.</w:t>
      </w:r>
    </w:p>
    <w:p w14:paraId="455A6244" w14:textId="5D002CF9" w:rsidR="00B20C4D" w:rsidRPr="0069543B" w:rsidRDefault="00F03CB1" w:rsidP="0069543B">
      <w:pPr>
        <w:pStyle w:val="Heading2"/>
        <w:spacing w:line="480" w:lineRule="auto"/>
        <w:rPr>
          <w:rFonts w:ascii="Times New Roman" w:eastAsiaTheme="minorEastAsia" w:hAnsi="Times New Roman" w:cs="Times New Roman"/>
          <w:color w:val="auto"/>
          <w:sz w:val="20"/>
          <w:szCs w:val="20"/>
          <w:lang w:eastAsia="ja-JP"/>
        </w:rPr>
      </w:pPr>
      <w:r w:rsidRPr="00BC1A01">
        <w:rPr>
          <w:rFonts w:ascii="Times New Roman" w:eastAsiaTheme="minorEastAsia" w:hAnsi="Times New Roman" w:cs="Times New Roman"/>
          <w:color w:val="auto"/>
          <w:sz w:val="20"/>
          <w:szCs w:val="20"/>
          <w:lang w:eastAsia="ja-JP"/>
        </w:rPr>
        <w:t>The study employed hierarchical regression analysis to test six hypotheses across four stages. Stage one examined control variables (region, division, and designation); stage two incorporated independent variables (intrinsic and extrinsic motivation); stage three included moderating variables (internal and external land administration reforms); and stage four introduced interaction effects between moderators and independent variables. Of the six hypotheses tested, three were supported: (1) intrinsic motivation exhibited a positive relationship with service delivery</w:t>
      </w:r>
      <w:r w:rsidR="00BB3E12" w:rsidRPr="00BC1A01">
        <w:rPr>
          <w:rFonts w:ascii="Times New Roman" w:eastAsiaTheme="minorEastAsia" w:hAnsi="Times New Roman" w:cs="Times New Roman"/>
          <w:color w:val="auto"/>
          <w:sz w:val="20"/>
          <w:szCs w:val="20"/>
          <w:lang w:eastAsia="ja-JP"/>
        </w:rPr>
        <w:t>,</w:t>
      </w:r>
      <w:r w:rsidRPr="00BC1A01">
        <w:rPr>
          <w:rFonts w:ascii="Times New Roman" w:eastAsiaTheme="minorEastAsia" w:hAnsi="Times New Roman" w:cs="Times New Roman"/>
          <w:color w:val="auto"/>
          <w:sz w:val="20"/>
          <w:szCs w:val="20"/>
          <w:lang w:eastAsia="ja-JP"/>
        </w:rPr>
        <w:t xml:space="preserve"> (2) extrinsic motivation demonstrated a positive relationship with service delivery</w:t>
      </w:r>
      <w:r w:rsidR="00BB3E12" w:rsidRPr="00BC1A01">
        <w:rPr>
          <w:rFonts w:ascii="Times New Roman" w:eastAsiaTheme="minorEastAsia" w:hAnsi="Times New Roman" w:cs="Times New Roman"/>
          <w:color w:val="auto"/>
          <w:sz w:val="20"/>
          <w:szCs w:val="20"/>
          <w:lang w:eastAsia="ja-JP"/>
        </w:rPr>
        <w:t>, and</w:t>
      </w:r>
      <w:r w:rsidRPr="00BC1A01">
        <w:rPr>
          <w:rFonts w:ascii="Times New Roman" w:eastAsiaTheme="minorEastAsia" w:hAnsi="Times New Roman" w:cs="Times New Roman"/>
          <w:color w:val="auto"/>
          <w:sz w:val="20"/>
          <w:szCs w:val="20"/>
          <w:lang w:eastAsia="ja-JP"/>
        </w:rPr>
        <w:t xml:space="preserve"> (3) internal reforms moderated the positive relationship between intrinsic motivation and service delivery. The remaining three hypotheses were not supported by the data. These findings contribute to understanding how different forms of motivation impact land service delivery and highlight the significant role of internal reforms in enhancing this relationship.</w:t>
      </w:r>
    </w:p>
    <w:p w14:paraId="5B1ED55A" w14:textId="31DF12E4" w:rsidR="00F03CB1" w:rsidRPr="0069543B" w:rsidRDefault="00BB3E12" w:rsidP="00B20C4D">
      <w:pPr>
        <w:pStyle w:val="Heading2"/>
        <w:spacing w:line="480" w:lineRule="auto"/>
        <w:rPr>
          <w:rFonts w:ascii="Times New Roman" w:hAnsi="Times New Roman" w:cs="Times New Roman"/>
          <w:b/>
          <w:bCs/>
          <w:color w:val="auto"/>
          <w:sz w:val="20"/>
          <w:szCs w:val="20"/>
        </w:rPr>
      </w:pPr>
      <w:r w:rsidRPr="0069543B">
        <w:rPr>
          <w:rFonts w:ascii="Times New Roman" w:hAnsi="Times New Roman" w:cs="Times New Roman"/>
          <w:b/>
          <w:bCs/>
          <w:color w:val="auto"/>
          <w:sz w:val="20"/>
          <w:szCs w:val="20"/>
        </w:rPr>
        <w:t>6</w:t>
      </w:r>
      <w:r w:rsidR="00F03CB1" w:rsidRPr="0069543B">
        <w:rPr>
          <w:rFonts w:ascii="Times New Roman" w:hAnsi="Times New Roman" w:cs="Times New Roman"/>
          <w:b/>
          <w:bCs/>
          <w:color w:val="auto"/>
          <w:sz w:val="20"/>
          <w:szCs w:val="20"/>
        </w:rPr>
        <w:t xml:space="preserve">.2 Discussion </w:t>
      </w:r>
      <w:bookmarkEnd w:id="42"/>
      <w:bookmarkEnd w:id="43"/>
      <w:bookmarkEnd w:id="44"/>
    </w:p>
    <w:p w14:paraId="48EBB284" w14:textId="3A7EBC19" w:rsidR="00F03CB1" w:rsidRPr="0069543B" w:rsidRDefault="00BB3E12" w:rsidP="00B20C4D">
      <w:pPr>
        <w:pStyle w:val="Heading3"/>
        <w:spacing w:line="480" w:lineRule="auto"/>
        <w:rPr>
          <w:sz w:val="20"/>
          <w:szCs w:val="20"/>
        </w:rPr>
      </w:pPr>
      <w:bookmarkStart w:id="45" w:name="_Toc177304736"/>
      <w:r w:rsidRPr="0069543B">
        <w:rPr>
          <w:sz w:val="20"/>
          <w:szCs w:val="20"/>
        </w:rPr>
        <w:t>6</w:t>
      </w:r>
      <w:r w:rsidR="00F03CB1" w:rsidRPr="0069543B">
        <w:rPr>
          <w:sz w:val="20"/>
          <w:szCs w:val="20"/>
        </w:rPr>
        <w:t>.2.1 The effect of motivation on the quality-of-service delivery by the Lands Commission of</w:t>
      </w:r>
      <w:bookmarkEnd w:id="45"/>
      <w:r w:rsidR="00F03CB1" w:rsidRPr="0069543B">
        <w:rPr>
          <w:sz w:val="20"/>
          <w:szCs w:val="20"/>
        </w:rPr>
        <w:t xml:space="preserve"> Ghana.</w:t>
      </w:r>
    </w:p>
    <w:p w14:paraId="152C3D1C" w14:textId="172FE880" w:rsidR="00F03CB1" w:rsidRPr="00BC1A01" w:rsidRDefault="00F03CB1" w:rsidP="00B20C4D">
      <w:pPr>
        <w:spacing w:after="200" w:line="480" w:lineRule="auto"/>
        <w:rPr>
          <w:rFonts w:eastAsia="Times New Roman" w:cs="Times New Roman"/>
          <w:sz w:val="20"/>
          <w:szCs w:val="20"/>
        </w:rPr>
      </w:pPr>
      <w:r w:rsidRPr="00BC1A01">
        <w:rPr>
          <w:rFonts w:eastAsia="Times New Roman" w:cs="Times New Roman"/>
          <w:sz w:val="20"/>
          <w:szCs w:val="20"/>
        </w:rPr>
        <w:t>Hypothesis 1 findings demonstrated that intrinsic motivation significantly influenced service delivery (β= .232, t=3.885, p &lt; .001), indicating that a unit increase in intrinsic motivation results in a 23.2% increase in service delivery. This aligns with Berman et al. (201</w:t>
      </w:r>
      <w:r w:rsidR="001D1D80">
        <w:rPr>
          <w:rFonts w:eastAsia="Times New Roman" w:cs="Times New Roman"/>
          <w:sz w:val="20"/>
          <w:szCs w:val="20"/>
        </w:rPr>
        <w:t>5</w:t>
      </w:r>
      <w:r w:rsidRPr="00BC1A01">
        <w:rPr>
          <w:rFonts w:eastAsia="Times New Roman" w:cs="Times New Roman"/>
          <w:sz w:val="20"/>
          <w:szCs w:val="20"/>
        </w:rPr>
        <w:t>) research illustrating that intrinsically motivated employees contribute more substantially to organizational success. Fukuyama (2017) further corroborates this, noting that internal motivation drives employees to better serve organizational and stakeholder interests, which is particularly crucial in land administration where service quality affects public trust.</w:t>
      </w:r>
    </w:p>
    <w:p w14:paraId="5D3115C4" w14:textId="5D223286" w:rsidR="00F03CB1" w:rsidRPr="00BC1A01" w:rsidRDefault="00F03CB1" w:rsidP="00B20C4D">
      <w:pPr>
        <w:spacing w:after="200" w:line="480" w:lineRule="auto"/>
        <w:rPr>
          <w:rFonts w:eastAsia="Times New Roman" w:cs="Times New Roman"/>
          <w:sz w:val="20"/>
          <w:szCs w:val="20"/>
        </w:rPr>
      </w:pPr>
      <w:r w:rsidRPr="00BC1A01">
        <w:rPr>
          <w:rFonts w:eastAsia="Times New Roman" w:cs="Times New Roman"/>
          <w:sz w:val="20"/>
          <w:szCs w:val="20"/>
        </w:rPr>
        <w:lastRenderedPageBreak/>
        <w:t xml:space="preserve">Hypothesis 2 revealed that extrinsic motivation positively influenced service delivery (β= .205, t= 3.244, p &lt; .001), with a unit increase resulting in a 20.5% improvement in service delivery. This finding supports Locke and Latham's (2004) research on the importance of external rewards, including bonuses, promotions, and working conditions. </w:t>
      </w:r>
      <w:r w:rsidR="007C78B0" w:rsidRPr="007C78B0">
        <w:rPr>
          <w:rFonts w:eastAsia="Times New Roman" w:cs="Times New Roman"/>
          <w:sz w:val="20"/>
          <w:szCs w:val="20"/>
        </w:rPr>
        <w:t xml:space="preserve">Hasnain &amp; </w:t>
      </w:r>
      <w:proofErr w:type="spellStart"/>
      <w:r w:rsidR="007C78B0" w:rsidRPr="007C78B0">
        <w:rPr>
          <w:rFonts w:eastAsia="Times New Roman" w:cs="Times New Roman"/>
          <w:sz w:val="20"/>
          <w:szCs w:val="20"/>
        </w:rPr>
        <w:t>Pierskalla</w:t>
      </w:r>
      <w:proofErr w:type="spellEnd"/>
      <w:r w:rsidR="007C78B0" w:rsidRPr="007C78B0">
        <w:rPr>
          <w:rFonts w:eastAsia="Times New Roman" w:cs="Times New Roman"/>
          <w:sz w:val="20"/>
          <w:szCs w:val="20"/>
        </w:rPr>
        <w:t xml:space="preserve"> (2012)</w:t>
      </w:r>
      <w:r w:rsidR="007C78B0">
        <w:rPr>
          <w:rFonts w:eastAsia="Times New Roman" w:cs="Times New Roman"/>
          <w:sz w:val="20"/>
          <w:szCs w:val="20"/>
        </w:rPr>
        <w:t xml:space="preserve"> </w:t>
      </w:r>
      <w:r w:rsidRPr="00BC1A01">
        <w:rPr>
          <w:rFonts w:eastAsia="Times New Roman" w:cs="Times New Roman"/>
          <w:sz w:val="20"/>
          <w:szCs w:val="20"/>
        </w:rPr>
        <w:t>further demonstrate that fair compensation enhances performance and service delivery. In the public sector context, particularly at Ghana's Lands Commission, extrinsic motivation through improved service conditions and compensation proves essential for quality service delivery and reform implementation. Both findings emphasize the complementary roles of intrinsic and extrinsic motivation in enhancing public sector service delivery, particularly in land administration reforms.</w:t>
      </w:r>
    </w:p>
    <w:p w14:paraId="3F1CDBB1" w14:textId="283D6D1C" w:rsidR="00F03CB1" w:rsidRPr="0069543B" w:rsidRDefault="00BB3E12" w:rsidP="00B20C4D">
      <w:pPr>
        <w:pStyle w:val="Heading3"/>
        <w:spacing w:line="480" w:lineRule="auto"/>
        <w:rPr>
          <w:sz w:val="20"/>
          <w:szCs w:val="20"/>
        </w:rPr>
      </w:pPr>
      <w:bookmarkStart w:id="46" w:name="_Toc177304737"/>
      <w:r w:rsidRPr="0069543B">
        <w:rPr>
          <w:sz w:val="20"/>
          <w:szCs w:val="20"/>
        </w:rPr>
        <w:t>6</w:t>
      </w:r>
      <w:r w:rsidR="00F03CB1" w:rsidRPr="0069543B">
        <w:rPr>
          <w:sz w:val="20"/>
          <w:szCs w:val="20"/>
        </w:rPr>
        <w:t>.2.2 The moderating role of internal and external land administration reforms on the relationship between motivation and quality of Service delivery by the Lands Commission of Ghana.</w:t>
      </w:r>
      <w:bookmarkEnd w:id="46"/>
    </w:p>
    <w:p w14:paraId="5124E6D2" w14:textId="77777777" w:rsidR="00F03CB1" w:rsidRPr="00BC1A01" w:rsidRDefault="00F03CB1" w:rsidP="00B20C4D">
      <w:pPr>
        <w:pStyle w:val="Heading3"/>
        <w:spacing w:line="480" w:lineRule="auto"/>
        <w:rPr>
          <w:rFonts w:eastAsiaTheme="minorEastAsia"/>
          <w:b w:val="0"/>
          <w:bCs w:val="0"/>
          <w:kern w:val="2"/>
          <w:sz w:val="20"/>
          <w:szCs w:val="20"/>
          <w:lang w:eastAsia="ja-JP"/>
        </w:rPr>
      </w:pPr>
      <w:bookmarkStart w:id="47" w:name="_Toc519237538"/>
      <w:bookmarkStart w:id="48" w:name="_Toc530420675"/>
      <w:bookmarkStart w:id="49" w:name="_Toc2674432"/>
      <w:bookmarkStart w:id="50" w:name="_Toc17718854"/>
      <w:bookmarkStart w:id="51" w:name="_Toc177304739"/>
      <w:r w:rsidRPr="00BC1A01">
        <w:rPr>
          <w:rFonts w:eastAsiaTheme="minorEastAsia"/>
          <w:b w:val="0"/>
          <w:bCs w:val="0"/>
          <w:kern w:val="2"/>
          <w:sz w:val="20"/>
          <w:szCs w:val="20"/>
          <w:lang w:eastAsia="ja-JP"/>
        </w:rPr>
        <w:t xml:space="preserve">Hypothesis 3 analysis revealed that internal reforms significantly moderated the relationship between intrinsic motivation and service delivery (β = .114, t = 2.208, p &lt; .05). This finding aligns with </w:t>
      </w:r>
      <w:proofErr w:type="spellStart"/>
      <w:r w:rsidRPr="00BC1A01">
        <w:rPr>
          <w:rFonts w:eastAsiaTheme="minorEastAsia"/>
          <w:b w:val="0"/>
          <w:bCs w:val="0"/>
          <w:kern w:val="2"/>
          <w:sz w:val="20"/>
          <w:szCs w:val="20"/>
          <w:lang w:eastAsia="ja-JP"/>
        </w:rPr>
        <w:t>Bolino</w:t>
      </w:r>
      <w:proofErr w:type="spellEnd"/>
      <w:r w:rsidRPr="00BC1A01">
        <w:rPr>
          <w:rFonts w:eastAsiaTheme="minorEastAsia"/>
          <w:b w:val="0"/>
          <w:bCs w:val="0"/>
          <w:kern w:val="2"/>
          <w:sz w:val="20"/>
          <w:szCs w:val="20"/>
          <w:lang w:eastAsia="ja-JP"/>
        </w:rPr>
        <w:t xml:space="preserve"> &amp; Grant's (2016) research demonstrating that employees who identify with their organization exceed formal job requirements. Will (2012) further corroborates this, noting that internal reforms empower employees with the necessary tools and clarity, enhancing their intrinsic motivation. The synergy between internal reforms and intrinsic motivation at Ghana's Lands Commission creates an environment where employee ownership and commitment drive improved service delivery (</w:t>
      </w:r>
      <w:proofErr w:type="spellStart"/>
      <w:r w:rsidRPr="00BC1A01">
        <w:rPr>
          <w:rFonts w:eastAsiaTheme="minorEastAsia"/>
          <w:b w:val="0"/>
          <w:bCs w:val="0"/>
          <w:kern w:val="2"/>
          <w:sz w:val="20"/>
          <w:szCs w:val="20"/>
          <w:lang w:eastAsia="ja-JP"/>
        </w:rPr>
        <w:t>Brunsson</w:t>
      </w:r>
      <w:proofErr w:type="spellEnd"/>
      <w:r w:rsidRPr="00BC1A01">
        <w:rPr>
          <w:rFonts w:eastAsiaTheme="minorEastAsia"/>
          <w:b w:val="0"/>
          <w:bCs w:val="0"/>
          <w:kern w:val="2"/>
          <w:sz w:val="20"/>
          <w:szCs w:val="20"/>
          <w:lang w:eastAsia="ja-JP"/>
        </w:rPr>
        <w:t xml:space="preserve"> &amp; Olsen, 2018; </w:t>
      </w:r>
      <w:proofErr w:type="spellStart"/>
      <w:r w:rsidRPr="00BC1A01">
        <w:rPr>
          <w:rFonts w:eastAsiaTheme="minorEastAsia"/>
          <w:b w:val="0"/>
          <w:bCs w:val="0"/>
          <w:kern w:val="2"/>
          <w:sz w:val="20"/>
          <w:szCs w:val="20"/>
          <w:lang w:eastAsia="ja-JP"/>
        </w:rPr>
        <w:t>Steiss</w:t>
      </w:r>
      <w:proofErr w:type="spellEnd"/>
      <w:r w:rsidRPr="00BC1A01">
        <w:rPr>
          <w:rFonts w:eastAsiaTheme="minorEastAsia"/>
          <w:b w:val="0"/>
          <w:bCs w:val="0"/>
          <w:kern w:val="2"/>
          <w:sz w:val="20"/>
          <w:szCs w:val="20"/>
          <w:lang w:eastAsia="ja-JP"/>
        </w:rPr>
        <w:t>, 2019).</w:t>
      </w:r>
    </w:p>
    <w:p w14:paraId="0FB7F81C" w14:textId="77777777" w:rsidR="00F03CB1" w:rsidRPr="00BC1A01" w:rsidRDefault="00F03CB1" w:rsidP="00B20C4D">
      <w:pPr>
        <w:pStyle w:val="Heading3"/>
        <w:spacing w:line="480" w:lineRule="auto"/>
        <w:rPr>
          <w:rFonts w:eastAsiaTheme="minorEastAsia"/>
          <w:b w:val="0"/>
          <w:bCs w:val="0"/>
          <w:kern w:val="2"/>
          <w:sz w:val="20"/>
          <w:szCs w:val="20"/>
          <w:lang w:eastAsia="ja-JP"/>
        </w:rPr>
      </w:pPr>
      <w:r w:rsidRPr="00BC1A01">
        <w:rPr>
          <w:rFonts w:eastAsiaTheme="minorEastAsia"/>
          <w:b w:val="0"/>
          <w:bCs w:val="0"/>
          <w:kern w:val="2"/>
          <w:sz w:val="20"/>
          <w:szCs w:val="20"/>
          <w:lang w:eastAsia="ja-JP"/>
        </w:rPr>
        <w:t>Hypothesis 4 found no significant moderating effect of internal reforms on the relationship between extrinsic motivation and service delivery (β = -.055, t = .703, p &gt; .10). This suggests that internal organizational changes may not significantly influence externally motivated performance factors such as financial incentives and career progression. The finding indicates that extrinsic motivation remains relatively stable regardless of internal reforms, emphasizing the necessity for direct incentives rather than organizational changes to enhance externally motivated service delivery.</w:t>
      </w:r>
    </w:p>
    <w:p w14:paraId="1FB5FA47" w14:textId="06AE4D6C" w:rsidR="00F03CB1" w:rsidRPr="00BC1A01" w:rsidRDefault="00F03CB1" w:rsidP="00B20C4D">
      <w:pPr>
        <w:pStyle w:val="Heading3"/>
        <w:spacing w:line="480" w:lineRule="auto"/>
        <w:rPr>
          <w:rFonts w:eastAsiaTheme="minorEastAsia"/>
          <w:b w:val="0"/>
          <w:bCs w:val="0"/>
          <w:kern w:val="2"/>
          <w:sz w:val="20"/>
          <w:szCs w:val="20"/>
          <w:lang w:eastAsia="ja-JP"/>
        </w:rPr>
      </w:pPr>
      <w:r w:rsidRPr="00BC1A01">
        <w:rPr>
          <w:rFonts w:eastAsiaTheme="minorEastAsia"/>
          <w:b w:val="0"/>
          <w:bCs w:val="0"/>
          <w:kern w:val="2"/>
          <w:sz w:val="20"/>
          <w:szCs w:val="20"/>
          <w:lang w:eastAsia="ja-JP"/>
        </w:rPr>
        <w:t xml:space="preserve">Hypothesis 5 analysis demonstrated that external reforms did not significantly moderate the relationship between intrinsic motivation and service delivery (β = -.014, t = .211, p &gt; .10). While external reforms by stakeholders such as government and donor agencies aim to improve service efficiency (World Bank, 2016; </w:t>
      </w:r>
      <w:r w:rsidR="001468A2" w:rsidRPr="001468A2">
        <w:rPr>
          <w:b w:val="0"/>
          <w:bCs w:val="0"/>
          <w:sz w:val="20"/>
          <w:szCs w:val="20"/>
        </w:rPr>
        <w:t>Daniel</w:t>
      </w:r>
      <w:r w:rsidRPr="001468A2">
        <w:rPr>
          <w:rFonts w:eastAsiaTheme="minorEastAsia"/>
          <w:b w:val="0"/>
          <w:bCs w:val="0"/>
          <w:kern w:val="2"/>
          <w:sz w:val="20"/>
          <w:szCs w:val="20"/>
          <w:lang w:eastAsia="ja-JP"/>
        </w:rPr>
        <w:t xml:space="preserve"> et al., 201</w:t>
      </w:r>
      <w:r w:rsidR="001468A2" w:rsidRPr="001468A2">
        <w:rPr>
          <w:rFonts w:eastAsiaTheme="minorEastAsia"/>
          <w:b w:val="0"/>
          <w:bCs w:val="0"/>
          <w:kern w:val="2"/>
          <w:sz w:val="20"/>
          <w:szCs w:val="20"/>
          <w:lang w:eastAsia="ja-JP"/>
        </w:rPr>
        <w:t>9</w:t>
      </w:r>
      <w:r w:rsidRPr="00BC1A01">
        <w:rPr>
          <w:rFonts w:eastAsiaTheme="minorEastAsia"/>
          <w:b w:val="0"/>
          <w:bCs w:val="0"/>
          <w:kern w:val="2"/>
          <w:sz w:val="20"/>
          <w:szCs w:val="20"/>
          <w:lang w:eastAsia="ja-JP"/>
        </w:rPr>
        <w:t xml:space="preserve">), they may conflict with employee intrinsic motivation. </w:t>
      </w:r>
      <w:proofErr w:type="spellStart"/>
      <w:r w:rsidR="006B06E7" w:rsidRPr="006B06E7">
        <w:rPr>
          <w:b w:val="0"/>
          <w:bCs w:val="0"/>
          <w:sz w:val="20"/>
          <w:szCs w:val="20"/>
        </w:rPr>
        <w:t>Lassou</w:t>
      </w:r>
      <w:proofErr w:type="spellEnd"/>
      <w:r w:rsidR="006B06E7" w:rsidRPr="006B06E7">
        <w:rPr>
          <w:b w:val="0"/>
          <w:bCs w:val="0"/>
          <w:sz w:val="20"/>
          <w:szCs w:val="20"/>
        </w:rPr>
        <w:t xml:space="preserve"> &amp;</w:t>
      </w:r>
      <w:r w:rsidR="006B06E7">
        <w:rPr>
          <w:sz w:val="20"/>
          <w:szCs w:val="20"/>
        </w:rPr>
        <w:t xml:space="preserve"> </w:t>
      </w:r>
      <w:r w:rsidRPr="00BC1A01">
        <w:rPr>
          <w:rFonts w:eastAsiaTheme="minorEastAsia"/>
          <w:b w:val="0"/>
          <w:bCs w:val="0"/>
          <w:kern w:val="2"/>
          <w:sz w:val="20"/>
          <w:szCs w:val="20"/>
          <w:lang w:eastAsia="ja-JP"/>
        </w:rPr>
        <w:t>Hopper (201</w:t>
      </w:r>
      <w:r w:rsidR="006B06E7">
        <w:rPr>
          <w:rFonts w:eastAsiaTheme="minorEastAsia"/>
          <w:b w:val="0"/>
          <w:bCs w:val="0"/>
          <w:kern w:val="2"/>
          <w:sz w:val="20"/>
          <w:szCs w:val="20"/>
          <w:lang w:eastAsia="ja-JP"/>
        </w:rPr>
        <w:t>6</w:t>
      </w:r>
      <w:r w:rsidRPr="00BC1A01">
        <w:rPr>
          <w:rFonts w:eastAsiaTheme="minorEastAsia"/>
          <w:b w:val="0"/>
          <w:bCs w:val="0"/>
          <w:kern w:val="2"/>
          <w:sz w:val="20"/>
          <w:szCs w:val="20"/>
          <w:lang w:eastAsia="ja-JP"/>
        </w:rPr>
        <w:t xml:space="preserve">) </w:t>
      </w:r>
      <w:r w:rsidR="006B06E7">
        <w:rPr>
          <w:rFonts w:eastAsiaTheme="minorEastAsia"/>
          <w:b w:val="0"/>
          <w:bCs w:val="0"/>
          <w:kern w:val="2"/>
          <w:sz w:val="20"/>
          <w:szCs w:val="20"/>
          <w:lang w:eastAsia="ja-JP"/>
        </w:rPr>
        <w:t>suggest</w:t>
      </w:r>
      <w:r w:rsidRPr="00BC1A01">
        <w:rPr>
          <w:rFonts w:eastAsiaTheme="minorEastAsia"/>
          <w:b w:val="0"/>
          <w:bCs w:val="0"/>
          <w:kern w:val="2"/>
          <w:sz w:val="20"/>
          <w:szCs w:val="20"/>
          <w:lang w:eastAsia="ja-JP"/>
        </w:rPr>
        <w:t xml:space="preserve"> that external reforms, though sometimes necessary, must be carefully implemented to avoid undermining employee autonomy and motivation.</w:t>
      </w:r>
    </w:p>
    <w:p w14:paraId="234F40CC" w14:textId="24F45940" w:rsidR="00F03CB1" w:rsidRPr="00BC1A01" w:rsidRDefault="00F03CB1" w:rsidP="00B20C4D">
      <w:pPr>
        <w:pStyle w:val="Heading3"/>
        <w:spacing w:line="480" w:lineRule="auto"/>
        <w:rPr>
          <w:rFonts w:eastAsiaTheme="minorEastAsia"/>
          <w:b w:val="0"/>
          <w:bCs w:val="0"/>
          <w:kern w:val="2"/>
          <w:sz w:val="20"/>
          <w:szCs w:val="20"/>
          <w:lang w:eastAsia="ja-JP"/>
        </w:rPr>
      </w:pPr>
      <w:r w:rsidRPr="00BC1A01">
        <w:rPr>
          <w:rFonts w:eastAsiaTheme="minorEastAsia"/>
          <w:b w:val="0"/>
          <w:bCs w:val="0"/>
          <w:kern w:val="2"/>
          <w:sz w:val="20"/>
          <w:szCs w:val="20"/>
          <w:lang w:eastAsia="ja-JP"/>
        </w:rPr>
        <w:lastRenderedPageBreak/>
        <w:t>Hypothesis 6 similarly revealed no significant moderating effect of external reforms on the relationship between extrinsic motivation and service delivery (β = -.087, t = -1.293, p &gt; .10). External reforms focusing on broader organizational goals may not address immediate extrinsic needs such as compensation and career advancement (</w:t>
      </w:r>
      <w:r w:rsidR="001468A2" w:rsidRPr="001468A2">
        <w:rPr>
          <w:b w:val="0"/>
          <w:bCs w:val="0"/>
          <w:sz w:val="20"/>
          <w:szCs w:val="20"/>
        </w:rPr>
        <w:t>Daniel</w:t>
      </w:r>
      <w:r w:rsidR="001468A2" w:rsidRPr="001468A2">
        <w:rPr>
          <w:rFonts w:eastAsiaTheme="minorEastAsia"/>
          <w:b w:val="0"/>
          <w:bCs w:val="0"/>
          <w:kern w:val="2"/>
          <w:sz w:val="20"/>
          <w:szCs w:val="20"/>
          <w:lang w:eastAsia="ja-JP"/>
        </w:rPr>
        <w:t xml:space="preserve"> et al., 2019</w:t>
      </w:r>
      <w:r w:rsidRPr="00BC1A01">
        <w:rPr>
          <w:rFonts w:eastAsiaTheme="minorEastAsia"/>
          <w:b w:val="0"/>
          <w:bCs w:val="0"/>
          <w:kern w:val="2"/>
          <w:sz w:val="20"/>
          <w:szCs w:val="20"/>
          <w:lang w:eastAsia="ja-JP"/>
        </w:rPr>
        <w:t xml:space="preserve">). </w:t>
      </w:r>
      <w:proofErr w:type="spellStart"/>
      <w:r w:rsidR="00924FC6" w:rsidRPr="00924FC6">
        <w:rPr>
          <w:b w:val="0"/>
          <w:bCs w:val="0"/>
          <w:sz w:val="20"/>
          <w:szCs w:val="20"/>
        </w:rPr>
        <w:t>Gustavson</w:t>
      </w:r>
      <w:proofErr w:type="spellEnd"/>
      <w:r w:rsidRPr="00BC1A01">
        <w:rPr>
          <w:rFonts w:eastAsiaTheme="minorEastAsia"/>
          <w:b w:val="0"/>
          <w:bCs w:val="0"/>
          <w:kern w:val="2"/>
          <w:sz w:val="20"/>
          <w:szCs w:val="20"/>
          <w:lang w:eastAsia="ja-JP"/>
        </w:rPr>
        <w:t xml:space="preserve"> (201</w:t>
      </w:r>
      <w:r w:rsidR="00924FC6">
        <w:rPr>
          <w:rFonts w:eastAsiaTheme="minorEastAsia"/>
          <w:b w:val="0"/>
          <w:bCs w:val="0"/>
          <w:kern w:val="2"/>
          <w:sz w:val="20"/>
          <w:szCs w:val="20"/>
          <w:lang w:eastAsia="ja-JP"/>
        </w:rPr>
        <w:t>3</w:t>
      </w:r>
      <w:r w:rsidRPr="00BC1A01">
        <w:rPr>
          <w:rFonts w:eastAsiaTheme="minorEastAsia"/>
          <w:b w:val="0"/>
          <w:bCs w:val="0"/>
          <w:kern w:val="2"/>
          <w:sz w:val="20"/>
          <w:szCs w:val="20"/>
          <w:lang w:eastAsia="ja-JP"/>
        </w:rPr>
        <w:t>) notes that increased workloads or responsibilities from external reforms without corresponding benefits may decrease employee engagement and service delivery effectiveness.</w:t>
      </w:r>
    </w:p>
    <w:p w14:paraId="3275A522" w14:textId="0215FA99" w:rsidR="00F03CB1" w:rsidRPr="00BC1A01" w:rsidRDefault="00F03CB1" w:rsidP="00B20C4D">
      <w:pPr>
        <w:pStyle w:val="Heading3"/>
        <w:spacing w:line="480" w:lineRule="auto"/>
        <w:rPr>
          <w:sz w:val="20"/>
          <w:szCs w:val="20"/>
        </w:rPr>
      </w:pPr>
      <w:r w:rsidRPr="00BC1A01">
        <w:rPr>
          <w:rFonts w:eastAsiaTheme="minorEastAsia"/>
          <w:b w:val="0"/>
          <w:bCs w:val="0"/>
          <w:kern w:val="2"/>
          <w:sz w:val="20"/>
          <w:szCs w:val="20"/>
          <w:lang w:eastAsia="ja-JP"/>
        </w:rPr>
        <w:t>These findings highlight the complexity of implementing external reforms at Ghana's Lands Commission. As Fernandez &amp; Rainey (20</w:t>
      </w:r>
      <w:r w:rsidR="00055D97">
        <w:rPr>
          <w:rFonts w:eastAsiaTheme="minorEastAsia"/>
          <w:b w:val="0"/>
          <w:bCs w:val="0"/>
          <w:kern w:val="2"/>
          <w:sz w:val="20"/>
          <w:szCs w:val="20"/>
          <w:lang w:eastAsia="ja-JP"/>
        </w:rPr>
        <w:t>06</w:t>
      </w:r>
      <w:r w:rsidRPr="00BC1A01">
        <w:rPr>
          <w:rFonts w:eastAsiaTheme="minorEastAsia"/>
          <w:b w:val="0"/>
          <w:bCs w:val="0"/>
          <w:kern w:val="2"/>
          <w:sz w:val="20"/>
          <w:szCs w:val="20"/>
          <w:lang w:eastAsia="ja-JP"/>
        </w:rPr>
        <w:t>) suggest, successful reform implementation demands a careful balance between organizational changes and employee motivational factors to maintain service delivery quality.</w:t>
      </w:r>
    </w:p>
    <w:p w14:paraId="664CC6B7" w14:textId="373C9501" w:rsidR="00F03CB1" w:rsidRPr="0069543B" w:rsidRDefault="00BB3E12" w:rsidP="00B20C4D">
      <w:pPr>
        <w:pStyle w:val="Heading2"/>
        <w:spacing w:line="480" w:lineRule="auto"/>
        <w:rPr>
          <w:rFonts w:ascii="Times New Roman" w:hAnsi="Times New Roman" w:cs="Times New Roman"/>
          <w:b/>
          <w:bCs/>
          <w:color w:val="auto"/>
          <w:sz w:val="20"/>
          <w:szCs w:val="20"/>
        </w:rPr>
      </w:pPr>
      <w:r w:rsidRPr="0069543B">
        <w:rPr>
          <w:rFonts w:ascii="Times New Roman" w:hAnsi="Times New Roman" w:cs="Times New Roman"/>
          <w:b/>
          <w:bCs/>
          <w:color w:val="auto"/>
          <w:sz w:val="20"/>
          <w:szCs w:val="20"/>
        </w:rPr>
        <w:t>6</w:t>
      </w:r>
      <w:r w:rsidR="00F03CB1" w:rsidRPr="0069543B">
        <w:rPr>
          <w:rFonts w:ascii="Times New Roman" w:hAnsi="Times New Roman" w:cs="Times New Roman"/>
          <w:b/>
          <w:bCs/>
          <w:color w:val="auto"/>
          <w:sz w:val="20"/>
          <w:szCs w:val="20"/>
        </w:rPr>
        <w:t xml:space="preserve">.3 </w:t>
      </w:r>
      <w:bookmarkEnd w:id="47"/>
      <w:bookmarkEnd w:id="48"/>
      <w:bookmarkEnd w:id="49"/>
      <w:bookmarkEnd w:id="50"/>
      <w:bookmarkEnd w:id="51"/>
      <w:r w:rsidR="00F03CB1" w:rsidRPr="0069543B">
        <w:rPr>
          <w:rFonts w:ascii="Times New Roman" w:hAnsi="Times New Roman" w:cs="Times New Roman"/>
          <w:b/>
          <w:bCs/>
          <w:color w:val="auto"/>
          <w:sz w:val="20"/>
          <w:szCs w:val="20"/>
        </w:rPr>
        <w:t xml:space="preserve">Recommendations </w:t>
      </w:r>
    </w:p>
    <w:p w14:paraId="31F7ECE5" w14:textId="6C00D29E" w:rsidR="00F03CB1" w:rsidRPr="00BC1A01" w:rsidRDefault="00F03CB1" w:rsidP="00B20C4D">
      <w:pPr>
        <w:spacing w:line="480" w:lineRule="auto"/>
        <w:rPr>
          <w:rFonts w:eastAsia="Times New Roman" w:cs="Times New Roman"/>
          <w:bCs/>
          <w:sz w:val="20"/>
          <w:szCs w:val="20"/>
        </w:rPr>
      </w:pPr>
      <w:r w:rsidRPr="00BC1A01">
        <w:rPr>
          <w:rFonts w:eastAsia="Times New Roman" w:cs="Times New Roman"/>
          <w:bCs/>
          <w:sz w:val="20"/>
          <w:szCs w:val="20"/>
        </w:rPr>
        <w:t>This study elucidates several key implications for enhancing service delivery at Ghana's Lands Commission. Both intrinsic and extrinsic motivation play pivotal roles in improving service delivery, suggesting that management should develop human resource policies that address these motivational factors to maintain employee engagement and productivity.</w:t>
      </w:r>
      <w:r w:rsidR="0069543B">
        <w:rPr>
          <w:rFonts w:eastAsia="Times New Roman" w:cs="Times New Roman"/>
          <w:bCs/>
          <w:sz w:val="20"/>
          <w:szCs w:val="20"/>
        </w:rPr>
        <w:t xml:space="preserve"> </w:t>
      </w:r>
      <w:r w:rsidRPr="00BC1A01">
        <w:rPr>
          <w:rFonts w:eastAsia="Times New Roman" w:cs="Times New Roman"/>
          <w:bCs/>
          <w:sz w:val="20"/>
          <w:szCs w:val="20"/>
        </w:rPr>
        <w:t>The positive moderating effect of intrinsic motivation on land administration reforms and service delivery underscores the importance of continuous internal improvements, including capacity building, policy revisions, digitization, and decentralization. Management should implement these reforms while ensuring employee commitment to the process, as intrinsically motivated employees are more likely to drive successful outcomes. The study recommends prioritizing employee motivation when implementing external reforms, as external interventions may prove ineffective without intrinsic motivation. If motivating staff proves challenging, policymakers could consider public-private partnerships (PPP) to introduce efficiency and innovation in land administration. The study also recommends enhancing systems through ICT integration, improved service conditions, and strengthened institutional collaboration with the judiciary and allied agencies. For the successful implementation of external reforms, adequate financial and technical resources are essential, along with personnel support. Management should seek donor partnerships, align with government policies, and review fees to ensure sustainable reform implementation.</w:t>
      </w:r>
    </w:p>
    <w:p w14:paraId="0F47E682" w14:textId="77777777" w:rsidR="00F03CB1" w:rsidRPr="00BC1A01" w:rsidRDefault="00F03CB1" w:rsidP="00B20C4D">
      <w:pPr>
        <w:spacing w:line="480" w:lineRule="auto"/>
        <w:rPr>
          <w:rFonts w:eastAsia="Times New Roman" w:cs="Times New Roman"/>
          <w:bCs/>
          <w:sz w:val="20"/>
          <w:szCs w:val="20"/>
        </w:rPr>
      </w:pPr>
      <w:r w:rsidRPr="00BC1A01">
        <w:rPr>
          <w:rFonts w:eastAsia="Times New Roman" w:cs="Times New Roman"/>
          <w:bCs/>
          <w:sz w:val="20"/>
          <w:szCs w:val="20"/>
        </w:rPr>
        <w:t xml:space="preserve">The study encountered several limitations in its scope and methodology. While it focused on service delivery quality at the Lands Commission, examining intrinsic and extrinsic motivation's influence on service aspects such as speed, reliability, and stakeholder satisfaction, it was limited to 332 respondents from sixteen regional offices. Future research should expand to include district offices and employ larger sample sizes for more comprehensive analysis. Different methodologies, particularly qualitative approaches, could provide deeper insights into how motivation influences reforms. Additionally, while customer perspectives would have provided valuable insights, </w:t>
      </w:r>
      <w:r w:rsidRPr="00BC1A01">
        <w:rPr>
          <w:rFonts w:eastAsia="Times New Roman" w:cs="Times New Roman"/>
          <w:bCs/>
          <w:sz w:val="20"/>
          <w:szCs w:val="20"/>
        </w:rPr>
        <w:lastRenderedPageBreak/>
        <w:t>the research focused on staff perspectives due to accessibility challenges. Future studies should incorporate customer views for a more comprehensive evaluation of service delivery effectiveness.</w:t>
      </w:r>
      <w:r w:rsidRPr="00BC1A01">
        <w:rPr>
          <w:rStyle w:val="Emphasis"/>
          <w:rFonts w:cs="Times New Roman"/>
          <w:color w:val="FF0000"/>
          <w:sz w:val="20"/>
          <w:szCs w:val="20"/>
        </w:rPr>
        <w:t xml:space="preserve"> </w:t>
      </w:r>
      <w:bookmarkStart w:id="52" w:name="_Toc17718858"/>
    </w:p>
    <w:bookmarkEnd w:id="52"/>
    <w:p w14:paraId="6DE4F4EB" w14:textId="77777777" w:rsidR="00F03CB1" w:rsidRDefault="00F03CB1" w:rsidP="00B20C4D">
      <w:pPr>
        <w:spacing w:after="0" w:line="480" w:lineRule="auto"/>
        <w:rPr>
          <w:rFonts w:cs="Times New Roman"/>
          <w:color w:val="000000" w:themeColor="text1"/>
          <w:kern w:val="24"/>
          <w:sz w:val="20"/>
          <w:szCs w:val="20"/>
          <w:lang w:eastAsia="en-GB"/>
        </w:rPr>
      </w:pPr>
      <w:r w:rsidRPr="00BC1A01">
        <w:rPr>
          <w:rFonts w:cs="Times New Roman"/>
          <w:color w:val="000000" w:themeColor="text1"/>
          <w:kern w:val="24"/>
          <w:sz w:val="20"/>
          <w:szCs w:val="20"/>
          <w:lang w:eastAsia="en-GB"/>
        </w:rPr>
        <w:t>This study investigated the relationship between employee motivation and service delivery at Ghana's Lands Commission, examining both intrinsic and extrinsic motivational factors and the moderating effects of land administration reforms. The findings revealed significant positive relationships between both types of motivation and service delivery, with intrinsic motivation showing a slightly stronger impact. Internal reforms positively moderated the relationship between intrinsic motivation and service delivery, while external reforms showed no significant moderating effect on either type of motivation. These findings emphasize the importance of balancing internal organizational improvements with employee motivational needs. The study recommends that management focus on developing comprehensive human resource policies that address both intrinsic and extrinsic motivational factors while implementing reforms. Future research should expand to include district offices and customer perspectives for a more comprehensive understanding of service delivery effectiveness in land administration.</w:t>
      </w:r>
    </w:p>
    <w:p w14:paraId="61574FAD" w14:textId="77777777" w:rsidR="00BC1A01" w:rsidRPr="0092025C" w:rsidRDefault="00BC1A01" w:rsidP="00BC1A01">
      <w:pPr>
        <w:spacing w:line="480" w:lineRule="auto"/>
        <w:rPr>
          <w:b/>
          <w:bCs/>
          <w:sz w:val="20"/>
          <w:szCs w:val="20"/>
        </w:rPr>
      </w:pPr>
      <w:r w:rsidRPr="0092025C">
        <w:rPr>
          <w:b/>
          <w:bCs/>
          <w:sz w:val="20"/>
          <w:szCs w:val="20"/>
        </w:rPr>
        <w:t xml:space="preserve">DISCLAIMER (ARTIFICIAL INTELLIGENCE) </w:t>
      </w:r>
    </w:p>
    <w:p w14:paraId="490509D7" w14:textId="6D988021" w:rsidR="00BC1A01" w:rsidRDefault="00BC1A01" w:rsidP="00BC1A01">
      <w:pPr>
        <w:spacing w:after="0" w:line="480" w:lineRule="auto"/>
        <w:rPr>
          <w:sz w:val="20"/>
          <w:szCs w:val="20"/>
        </w:rPr>
      </w:pPr>
      <w:r w:rsidRPr="0092025C">
        <w:rPr>
          <w:sz w:val="20"/>
          <w:szCs w:val="20"/>
        </w:rPr>
        <w:t>The authors hereby declare that Grammarly was used for grammar check during the editing of this manuscript.</w:t>
      </w:r>
    </w:p>
    <w:p w14:paraId="310819E9" w14:textId="77777777" w:rsidR="00F93873" w:rsidRPr="00BC1A01" w:rsidRDefault="00F93873" w:rsidP="00F93873">
      <w:pPr>
        <w:spacing w:after="0" w:line="480" w:lineRule="auto"/>
        <w:rPr>
          <w:rFonts w:cs="Times New Roman"/>
          <w:b/>
          <w:bCs/>
          <w:color w:val="000000" w:themeColor="text1"/>
          <w:kern w:val="24"/>
          <w:sz w:val="20"/>
          <w:szCs w:val="20"/>
          <w:lang w:eastAsia="en-GB"/>
        </w:rPr>
      </w:pPr>
      <w:r w:rsidRPr="00BC1A01">
        <w:rPr>
          <w:rFonts w:cs="Times New Roman"/>
          <w:b/>
          <w:bCs/>
          <w:color w:val="000000" w:themeColor="text1"/>
          <w:kern w:val="24"/>
          <w:sz w:val="20"/>
          <w:szCs w:val="20"/>
          <w:lang w:eastAsia="en-GB"/>
        </w:rPr>
        <w:t>Disclosure statement</w:t>
      </w:r>
    </w:p>
    <w:p w14:paraId="1ED6C687" w14:textId="77777777" w:rsidR="00F93873" w:rsidRPr="00BC1A01" w:rsidRDefault="00F93873" w:rsidP="00F93873">
      <w:pPr>
        <w:spacing w:after="0" w:line="480" w:lineRule="auto"/>
        <w:rPr>
          <w:rFonts w:cs="Times New Roman"/>
          <w:color w:val="000000" w:themeColor="text1"/>
          <w:kern w:val="24"/>
          <w:sz w:val="20"/>
          <w:szCs w:val="20"/>
          <w:lang w:eastAsia="en-GB"/>
        </w:rPr>
      </w:pPr>
      <w:r w:rsidRPr="00BC1A01">
        <w:rPr>
          <w:rFonts w:cs="Times New Roman"/>
          <w:color w:val="000000" w:themeColor="text1"/>
          <w:kern w:val="24"/>
          <w:sz w:val="20"/>
          <w:szCs w:val="20"/>
          <w:lang w:eastAsia="en-GB"/>
        </w:rPr>
        <w:t>The authors report that there are no competing interests to declare</w:t>
      </w:r>
    </w:p>
    <w:p w14:paraId="308AFC70" w14:textId="77777777" w:rsidR="00F93873" w:rsidRPr="00BC1A01" w:rsidRDefault="00F93873" w:rsidP="00F93873">
      <w:pPr>
        <w:spacing w:after="0" w:line="480" w:lineRule="auto"/>
        <w:rPr>
          <w:rFonts w:cs="Times New Roman"/>
          <w:b/>
          <w:bCs/>
          <w:color w:val="000000" w:themeColor="text1"/>
          <w:kern w:val="24"/>
          <w:sz w:val="20"/>
          <w:szCs w:val="20"/>
          <w:lang w:eastAsia="en-GB"/>
        </w:rPr>
      </w:pPr>
      <w:r w:rsidRPr="00BC1A01">
        <w:rPr>
          <w:rFonts w:cs="Times New Roman"/>
          <w:b/>
          <w:bCs/>
          <w:color w:val="000000" w:themeColor="text1"/>
          <w:kern w:val="24"/>
          <w:sz w:val="20"/>
          <w:szCs w:val="20"/>
          <w:lang w:eastAsia="en-GB"/>
        </w:rPr>
        <w:t>Data availability statement</w:t>
      </w:r>
    </w:p>
    <w:p w14:paraId="5F0334E5" w14:textId="77777777" w:rsidR="00F93873" w:rsidRPr="00BC1A01" w:rsidRDefault="00F93873" w:rsidP="00F93873">
      <w:pPr>
        <w:spacing w:after="0" w:line="480" w:lineRule="auto"/>
        <w:rPr>
          <w:rFonts w:cs="Times New Roman"/>
          <w:color w:val="000000" w:themeColor="text1"/>
          <w:kern w:val="24"/>
          <w:sz w:val="20"/>
          <w:szCs w:val="20"/>
          <w:lang w:eastAsia="en-GB"/>
        </w:rPr>
      </w:pPr>
      <w:r w:rsidRPr="00BC1A01">
        <w:rPr>
          <w:rFonts w:cs="Times New Roman"/>
          <w:color w:val="000000" w:themeColor="text1"/>
          <w:kern w:val="24"/>
          <w:sz w:val="20"/>
          <w:szCs w:val="20"/>
          <w:lang w:eastAsia="en-GB"/>
        </w:rPr>
        <w:t>The corresponding author can make the data used to support this study’s findings available upon reasonable request.</w:t>
      </w:r>
    </w:p>
    <w:p w14:paraId="438186DD" w14:textId="77777777" w:rsidR="00F93873" w:rsidRPr="00BC1A01" w:rsidRDefault="00F93873" w:rsidP="00BC1A01">
      <w:pPr>
        <w:spacing w:after="0" w:line="480" w:lineRule="auto"/>
        <w:rPr>
          <w:rFonts w:cs="Times New Roman"/>
          <w:color w:val="000000" w:themeColor="text1"/>
          <w:kern w:val="24"/>
          <w:sz w:val="20"/>
          <w:szCs w:val="20"/>
          <w:lang w:eastAsia="en-GB"/>
        </w:rPr>
      </w:pPr>
    </w:p>
    <w:p w14:paraId="02F08A1B" w14:textId="33F1281E" w:rsidR="00301973" w:rsidRPr="0069543B" w:rsidRDefault="0069543B" w:rsidP="00B20C4D">
      <w:pPr>
        <w:spacing w:before="0" w:after="0" w:line="480" w:lineRule="auto"/>
        <w:rPr>
          <w:rFonts w:cs="Times New Roman"/>
          <w:b/>
          <w:bCs/>
          <w:sz w:val="22"/>
        </w:rPr>
      </w:pPr>
      <w:r w:rsidRPr="0069543B">
        <w:rPr>
          <w:rFonts w:cs="Times New Roman"/>
          <w:b/>
          <w:bCs/>
          <w:sz w:val="22"/>
        </w:rPr>
        <w:t>REFERENCES</w:t>
      </w:r>
    </w:p>
    <w:p w14:paraId="2914137A" w14:textId="77777777" w:rsidR="00924FC6" w:rsidRDefault="00924FC6" w:rsidP="00B20C4D">
      <w:pPr>
        <w:tabs>
          <w:tab w:val="left" w:pos="540"/>
        </w:tabs>
        <w:spacing w:after="0" w:line="480" w:lineRule="auto"/>
        <w:ind w:left="567" w:hanging="567"/>
        <w:rPr>
          <w:rFonts w:cs="Times New Roman"/>
          <w:sz w:val="20"/>
          <w:szCs w:val="20"/>
        </w:rPr>
      </w:pPr>
      <w:proofErr w:type="spellStart"/>
      <w:r w:rsidRPr="00F308B6">
        <w:rPr>
          <w:rFonts w:cs="Times New Roman"/>
          <w:sz w:val="20"/>
          <w:szCs w:val="20"/>
        </w:rPr>
        <w:t>Adzima</w:t>
      </w:r>
      <w:proofErr w:type="spellEnd"/>
      <w:r w:rsidRPr="00F308B6">
        <w:rPr>
          <w:rFonts w:cs="Times New Roman"/>
          <w:sz w:val="20"/>
          <w:szCs w:val="20"/>
        </w:rPr>
        <w:t xml:space="preserve">, H. P. K. (2023). The effects of compensation and employee engagement on workers’ productivity in the local government service of Ghana: A case of selected municipal assemblies in the Greater Accra Region. </w:t>
      </w:r>
      <w:r w:rsidRPr="00F308B6">
        <w:rPr>
          <w:rFonts w:cs="Times New Roman"/>
          <w:i/>
          <w:iCs/>
          <w:sz w:val="20"/>
          <w:szCs w:val="20"/>
        </w:rPr>
        <w:t>JETIR</w:t>
      </w:r>
      <w:r w:rsidRPr="00F308B6">
        <w:rPr>
          <w:rFonts w:cs="Times New Roman"/>
          <w:sz w:val="20"/>
          <w:szCs w:val="20"/>
        </w:rPr>
        <w:t xml:space="preserve">, 10(9). </w:t>
      </w:r>
      <w:hyperlink r:id="rId14" w:history="1">
        <w:r w:rsidRPr="00F316CB">
          <w:rPr>
            <w:rStyle w:val="Hyperlink"/>
            <w:rFonts w:cs="Times New Roman"/>
            <w:sz w:val="20"/>
            <w:szCs w:val="20"/>
          </w:rPr>
          <w:t>www.jetir.org</w:t>
        </w:r>
      </w:hyperlink>
    </w:p>
    <w:p w14:paraId="023BF4DC" w14:textId="77777777" w:rsidR="00924FC6" w:rsidRDefault="00924FC6" w:rsidP="00B20C4D">
      <w:pPr>
        <w:spacing w:after="0" w:line="480" w:lineRule="auto"/>
        <w:ind w:left="567" w:hanging="567"/>
        <w:rPr>
          <w:rFonts w:cs="Times New Roman"/>
          <w:sz w:val="20"/>
          <w:szCs w:val="20"/>
        </w:rPr>
      </w:pPr>
      <w:r w:rsidRPr="00F308B6">
        <w:rPr>
          <w:rFonts w:cs="Times New Roman"/>
          <w:sz w:val="20"/>
          <w:szCs w:val="20"/>
        </w:rPr>
        <w:t xml:space="preserve">Ali, H. (2021). Institutional reforms, governance, and services delivery in the Global South. </w:t>
      </w:r>
      <w:r w:rsidRPr="00F308B6">
        <w:rPr>
          <w:rFonts w:cs="Times New Roman"/>
          <w:i/>
          <w:iCs/>
          <w:sz w:val="20"/>
          <w:szCs w:val="20"/>
        </w:rPr>
        <w:t>International Series on Public Policy</w:t>
      </w:r>
      <w:r w:rsidRPr="00F308B6">
        <w:rPr>
          <w:rFonts w:cs="Times New Roman"/>
          <w:sz w:val="20"/>
          <w:szCs w:val="20"/>
        </w:rPr>
        <w:t xml:space="preserve">. Springer International Publishing. </w:t>
      </w:r>
      <w:hyperlink r:id="rId15" w:history="1">
        <w:r w:rsidRPr="00F316CB">
          <w:rPr>
            <w:rStyle w:val="Hyperlink"/>
            <w:rFonts w:cs="Times New Roman"/>
            <w:sz w:val="20"/>
            <w:szCs w:val="20"/>
          </w:rPr>
          <w:t>https://doi.org/10.1007/978-3-030-82257-6_1</w:t>
        </w:r>
      </w:hyperlink>
    </w:p>
    <w:p w14:paraId="512D3E9D" w14:textId="77777777" w:rsidR="00924FC6" w:rsidRPr="001D1D80" w:rsidRDefault="00924FC6" w:rsidP="00B20C4D">
      <w:pPr>
        <w:tabs>
          <w:tab w:val="left" w:pos="540"/>
        </w:tabs>
        <w:spacing w:after="0" w:line="480" w:lineRule="auto"/>
        <w:ind w:left="567" w:hanging="567"/>
        <w:rPr>
          <w:rFonts w:cs="Times New Roman"/>
          <w:sz w:val="20"/>
          <w:szCs w:val="20"/>
        </w:rPr>
      </w:pPr>
      <w:r w:rsidRPr="001D1D80">
        <w:rPr>
          <w:rFonts w:cs="Times New Roman"/>
          <w:sz w:val="20"/>
          <w:szCs w:val="20"/>
        </w:rPr>
        <w:lastRenderedPageBreak/>
        <w:t>Berman, E. M., Van Wart, M., West, J. P., &amp; Bowman, J. (2015). Human resource management in public service: Paradoxes, problems, and processes (5th ed.). Sage.</w:t>
      </w:r>
      <w:r>
        <w:rPr>
          <w:rFonts w:cs="Times New Roman"/>
          <w:sz w:val="20"/>
          <w:szCs w:val="20"/>
        </w:rPr>
        <w:t xml:space="preserve"> </w:t>
      </w:r>
      <w:hyperlink r:id="rId16" w:history="1">
        <w:r w:rsidRPr="001D1D80">
          <w:rPr>
            <w:rStyle w:val="Hyperlink"/>
            <w:rFonts w:cs="Times New Roman"/>
            <w:sz w:val="20"/>
            <w:szCs w:val="20"/>
          </w:rPr>
          <w:t>Human Resource Management in Public Service: Paradoxes, Problems and Processes | Request PDF</w:t>
        </w:r>
      </w:hyperlink>
      <w:r>
        <w:rPr>
          <w:rFonts w:cs="Times New Roman"/>
          <w:sz w:val="20"/>
          <w:szCs w:val="20"/>
        </w:rPr>
        <w:t xml:space="preserve">. </w:t>
      </w:r>
    </w:p>
    <w:p w14:paraId="4FC7EAB2" w14:textId="77777777" w:rsidR="00924FC6" w:rsidRPr="001D1D80" w:rsidRDefault="00924FC6" w:rsidP="00B20C4D">
      <w:pPr>
        <w:spacing w:after="0" w:line="480" w:lineRule="auto"/>
        <w:ind w:left="567" w:hanging="567"/>
        <w:rPr>
          <w:rFonts w:eastAsia="Times New Roman" w:cs="Times New Roman"/>
          <w:sz w:val="20"/>
          <w:szCs w:val="20"/>
        </w:rPr>
      </w:pPr>
      <w:proofErr w:type="spellStart"/>
      <w:r w:rsidRPr="001D1D80">
        <w:rPr>
          <w:rFonts w:eastAsia="Times New Roman" w:cs="Times New Roman"/>
          <w:sz w:val="20"/>
          <w:szCs w:val="20"/>
        </w:rPr>
        <w:t>Besley</w:t>
      </w:r>
      <w:proofErr w:type="spellEnd"/>
      <w:r w:rsidRPr="001D1D80">
        <w:rPr>
          <w:rFonts w:eastAsia="Times New Roman" w:cs="Times New Roman"/>
          <w:sz w:val="20"/>
          <w:szCs w:val="20"/>
        </w:rPr>
        <w:t xml:space="preserve">, T., &amp; </w:t>
      </w:r>
      <w:proofErr w:type="spellStart"/>
      <w:r w:rsidRPr="001D1D80">
        <w:rPr>
          <w:rFonts w:eastAsia="Times New Roman" w:cs="Times New Roman"/>
          <w:sz w:val="20"/>
          <w:szCs w:val="20"/>
        </w:rPr>
        <w:t>Ghatak</w:t>
      </w:r>
      <w:proofErr w:type="spellEnd"/>
      <w:r w:rsidRPr="001D1D80">
        <w:rPr>
          <w:rFonts w:eastAsia="Times New Roman" w:cs="Times New Roman"/>
          <w:sz w:val="20"/>
          <w:szCs w:val="20"/>
        </w:rPr>
        <w:t xml:space="preserve">, M. (2010). Property rights and economic development. In </w:t>
      </w:r>
      <w:r w:rsidRPr="001D1D80">
        <w:rPr>
          <w:rFonts w:eastAsia="Times New Roman" w:cs="Times New Roman"/>
          <w:i/>
          <w:iCs/>
          <w:sz w:val="20"/>
          <w:szCs w:val="20"/>
        </w:rPr>
        <w:t>Handbook of development economics</w:t>
      </w:r>
      <w:r>
        <w:rPr>
          <w:rFonts w:eastAsia="Times New Roman" w:cs="Times New Roman"/>
          <w:sz w:val="20"/>
          <w:szCs w:val="20"/>
        </w:rPr>
        <w:t xml:space="preserve">, </w:t>
      </w:r>
      <w:r w:rsidRPr="001D1D80">
        <w:rPr>
          <w:rFonts w:eastAsia="Times New Roman" w:cs="Times New Roman"/>
          <w:sz w:val="20"/>
          <w:szCs w:val="20"/>
        </w:rPr>
        <w:t>5</w:t>
      </w:r>
      <w:r>
        <w:rPr>
          <w:rFonts w:eastAsia="Times New Roman" w:cs="Times New Roman"/>
          <w:sz w:val="20"/>
          <w:szCs w:val="20"/>
        </w:rPr>
        <w:t>:</w:t>
      </w:r>
      <w:r w:rsidRPr="001D1D80">
        <w:rPr>
          <w:rFonts w:eastAsia="Times New Roman" w:cs="Times New Roman"/>
          <w:sz w:val="20"/>
          <w:szCs w:val="20"/>
        </w:rPr>
        <w:t xml:space="preserve"> 4525–4595. Elsevier. </w:t>
      </w:r>
      <w:hyperlink r:id="rId17" w:history="1">
        <w:r w:rsidRPr="001D1D80">
          <w:rPr>
            <w:rStyle w:val="Hyperlink"/>
            <w:rFonts w:eastAsia="Times New Roman" w:cs="Times New Roman"/>
            <w:sz w:val="20"/>
            <w:szCs w:val="20"/>
          </w:rPr>
          <w:t>https://doi.org/10.1016/B978-0-444-52944-2.00006-9</w:t>
        </w:r>
      </w:hyperlink>
    </w:p>
    <w:p w14:paraId="4383A174" w14:textId="77777777" w:rsidR="00924FC6" w:rsidRPr="00BC1A01" w:rsidRDefault="00924FC6" w:rsidP="00B20C4D">
      <w:pPr>
        <w:tabs>
          <w:tab w:val="left" w:pos="540"/>
        </w:tabs>
        <w:spacing w:after="0" w:line="480" w:lineRule="auto"/>
        <w:ind w:left="567" w:hanging="567"/>
        <w:rPr>
          <w:rFonts w:cs="Times New Roman"/>
          <w:sz w:val="20"/>
          <w:szCs w:val="20"/>
        </w:rPr>
      </w:pPr>
      <w:proofErr w:type="spellStart"/>
      <w:r w:rsidRPr="00BC1A01">
        <w:rPr>
          <w:rFonts w:cs="Times New Roman"/>
          <w:sz w:val="20"/>
          <w:szCs w:val="20"/>
        </w:rPr>
        <w:t>Bolino</w:t>
      </w:r>
      <w:proofErr w:type="spellEnd"/>
      <w:r w:rsidRPr="00BC1A01">
        <w:rPr>
          <w:rFonts w:cs="Times New Roman"/>
          <w:sz w:val="20"/>
          <w:szCs w:val="20"/>
        </w:rPr>
        <w:t xml:space="preserve">, M. C., &amp; Grant, A. M. (2016). The Bright Side of Being Prosocial at Work, and the Dark Side, Too: A Review and Agenda for Research on Other-oriented Motives, Behavior, and Impact in Organizations. </w:t>
      </w:r>
      <w:r w:rsidRPr="00BC1A01">
        <w:rPr>
          <w:rFonts w:cs="Times New Roman"/>
          <w:i/>
          <w:iCs/>
          <w:sz w:val="20"/>
          <w:szCs w:val="20"/>
        </w:rPr>
        <w:t>Academy of Management Annals</w:t>
      </w:r>
      <w:r w:rsidRPr="00BC1A01">
        <w:rPr>
          <w:rFonts w:cs="Times New Roman"/>
          <w:sz w:val="20"/>
          <w:szCs w:val="20"/>
        </w:rPr>
        <w:t>, 10(1), pp.599-670.</w:t>
      </w:r>
      <w:r>
        <w:rPr>
          <w:rFonts w:cs="Times New Roman"/>
          <w:sz w:val="20"/>
          <w:szCs w:val="20"/>
        </w:rPr>
        <w:t xml:space="preserve"> </w:t>
      </w:r>
      <w:hyperlink r:id="rId18" w:history="1">
        <w:r w:rsidRPr="00F316CB">
          <w:rPr>
            <w:rStyle w:val="Hyperlink"/>
            <w:rFonts w:cs="Times New Roman"/>
            <w:sz w:val="20"/>
            <w:szCs w:val="20"/>
          </w:rPr>
          <w:t>http://dx.doi.org/10.1080/19416520.2016.1153260</w:t>
        </w:r>
      </w:hyperlink>
      <w:r>
        <w:rPr>
          <w:rFonts w:cs="Times New Roman"/>
          <w:sz w:val="20"/>
          <w:szCs w:val="20"/>
        </w:rPr>
        <w:t xml:space="preserve">. </w:t>
      </w:r>
    </w:p>
    <w:p w14:paraId="2BD5C379" w14:textId="77777777" w:rsidR="00924FC6" w:rsidRPr="00BC1A01" w:rsidRDefault="00924FC6" w:rsidP="00B20C4D">
      <w:pPr>
        <w:tabs>
          <w:tab w:val="left" w:pos="540"/>
        </w:tabs>
        <w:spacing w:after="0" w:line="480" w:lineRule="auto"/>
        <w:ind w:left="567" w:hanging="567"/>
        <w:rPr>
          <w:rFonts w:cs="Times New Roman"/>
          <w:sz w:val="20"/>
          <w:szCs w:val="20"/>
        </w:rPr>
      </w:pPr>
      <w:proofErr w:type="spellStart"/>
      <w:r w:rsidRPr="00BC1A01">
        <w:rPr>
          <w:rFonts w:cs="Times New Roman"/>
          <w:sz w:val="20"/>
          <w:szCs w:val="20"/>
        </w:rPr>
        <w:t>Brignall</w:t>
      </w:r>
      <w:proofErr w:type="spellEnd"/>
      <w:r w:rsidRPr="00BC1A01">
        <w:rPr>
          <w:rFonts w:cs="Times New Roman"/>
          <w:sz w:val="20"/>
          <w:szCs w:val="20"/>
        </w:rPr>
        <w:t xml:space="preserve">, S., &amp; Modell, S. (2000). An institutional perspective on performance measurement and management in the ‘new public sector’. </w:t>
      </w:r>
      <w:r w:rsidRPr="00BC1A01">
        <w:rPr>
          <w:rFonts w:cs="Times New Roman"/>
          <w:i/>
          <w:iCs/>
          <w:sz w:val="20"/>
          <w:szCs w:val="20"/>
        </w:rPr>
        <w:t>Management Accounting Research</w:t>
      </w:r>
      <w:r w:rsidRPr="00BC1A01">
        <w:rPr>
          <w:rFonts w:cs="Times New Roman"/>
          <w:sz w:val="20"/>
          <w:szCs w:val="20"/>
        </w:rPr>
        <w:t xml:space="preserve">, 11(3), pp.281-306. </w:t>
      </w:r>
      <w:hyperlink r:id="rId19" w:history="1">
        <w:r w:rsidRPr="00F316CB">
          <w:rPr>
            <w:rStyle w:val="Hyperlink"/>
            <w:rFonts w:cs="Times New Roman"/>
            <w:sz w:val="20"/>
            <w:szCs w:val="20"/>
          </w:rPr>
          <w:t>https://doi.org/10.1006/mare.2000.0136</w:t>
        </w:r>
      </w:hyperlink>
      <w:r>
        <w:rPr>
          <w:rFonts w:cs="Times New Roman"/>
          <w:sz w:val="20"/>
          <w:szCs w:val="20"/>
        </w:rPr>
        <w:t xml:space="preserve">. </w:t>
      </w:r>
    </w:p>
    <w:p w14:paraId="42B8B4C0" w14:textId="77777777" w:rsidR="00924FC6" w:rsidRPr="00BC1A01" w:rsidRDefault="00924FC6" w:rsidP="00B20C4D">
      <w:pPr>
        <w:tabs>
          <w:tab w:val="left" w:pos="540"/>
        </w:tabs>
        <w:spacing w:after="0" w:line="480" w:lineRule="auto"/>
        <w:ind w:left="567" w:hanging="567"/>
        <w:rPr>
          <w:rFonts w:cs="Times New Roman"/>
          <w:sz w:val="20"/>
          <w:szCs w:val="20"/>
        </w:rPr>
      </w:pPr>
      <w:proofErr w:type="spellStart"/>
      <w:r w:rsidRPr="00BC1A01">
        <w:rPr>
          <w:rFonts w:cs="Times New Roman"/>
          <w:sz w:val="20"/>
          <w:szCs w:val="20"/>
        </w:rPr>
        <w:t>Brunsson</w:t>
      </w:r>
      <w:proofErr w:type="spellEnd"/>
      <w:r w:rsidRPr="00BC1A01">
        <w:rPr>
          <w:rFonts w:cs="Times New Roman"/>
          <w:sz w:val="20"/>
          <w:szCs w:val="20"/>
        </w:rPr>
        <w:t>, N., &amp; Olsen, J. P. (2018). The Reforming Organization. Routledge.</w:t>
      </w:r>
      <w:r>
        <w:rPr>
          <w:rFonts w:cs="Times New Roman"/>
          <w:sz w:val="20"/>
          <w:szCs w:val="20"/>
        </w:rPr>
        <w:t xml:space="preserve"> </w:t>
      </w:r>
      <w:hyperlink r:id="rId20" w:history="1">
        <w:r w:rsidRPr="00F316CB">
          <w:rPr>
            <w:rStyle w:val="Hyperlink"/>
            <w:rFonts w:cs="Times New Roman"/>
            <w:sz w:val="20"/>
            <w:szCs w:val="20"/>
          </w:rPr>
          <w:t>https://doi.org/10.4324/9781351252188</w:t>
        </w:r>
      </w:hyperlink>
      <w:r>
        <w:rPr>
          <w:rFonts w:cs="Times New Roman"/>
          <w:sz w:val="20"/>
          <w:szCs w:val="20"/>
        </w:rPr>
        <w:t xml:space="preserve">. </w:t>
      </w:r>
    </w:p>
    <w:p w14:paraId="42FB01A4" w14:textId="77777777" w:rsidR="00924FC6" w:rsidRDefault="00924FC6" w:rsidP="003F1714">
      <w:pPr>
        <w:spacing w:after="0" w:line="480" w:lineRule="auto"/>
        <w:ind w:left="567" w:hanging="567"/>
        <w:rPr>
          <w:rFonts w:eastAsia="Times New Roman" w:cs="Times New Roman"/>
          <w:sz w:val="20"/>
          <w:szCs w:val="20"/>
        </w:rPr>
      </w:pPr>
      <w:r w:rsidRPr="00BC1A01">
        <w:rPr>
          <w:rFonts w:eastAsia="Times New Roman" w:cs="Times New Roman"/>
          <w:sz w:val="20"/>
          <w:szCs w:val="20"/>
        </w:rPr>
        <w:t xml:space="preserve">Creswell, J. W., &amp; Plano Clark, V. L. (2023). Revisiting mixed methods research designs twenty years later. </w:t>
      </w:r>
      <w:r w:rsidRPr="00BC1A01">
        <w:rPr>
          <w:rFonts w:eastAsia="Times New Roman" w:cs="Times New Roman"/>
          <w:i/>
          <w:iCs/>
          <w:sz w:val="20"/>
          <w:szCs w:val="20"/>
        </w:rPr>
        <w:t>Handbook of mixed methods research designs</w:t>
      </w:r>
      <w:r w:rsidRPr="00BC1A01">
        <w:rPr>
          <w:rFonts w:eastAsia="Times New Roman" w:cs="Times New Roman"/>
          <w:sz w:val="20"/>
          <w:szCs w:val="20"/>
        </w:rPr>
        <w:t>, 21-36.</w:t>
      </w:r>
      <w:r>
        <w:rPr>
          <w:rFonts w:eastAsia="Times New Roman" w:cs="Times New Roman"/>
          <w:sz w:val="20"/>
          <w:szCs w:val="20"/>
        </w:rPr>
        <w:t xml:space="preserve"> </w:t>
      </w:r>
      <w:hyperlink r:id="rId21" w:history="1">
        <w:r w:rsidRPr="00F316CB">
          <w:rPr>
            <w:rStyle w:val="Hyperlink"/>
            <w:rFonts w:eastAsia="Times New Roman" w:cs="Times New Roman"/>
            <w:sz w:val="20"/>
            <w:szCs w:val="20"/>
          </w:rPr>
          <w:t>https://doi.org/10.4135/9781529682663.n6</w:t>
        </w:r>
      </w:hyperlink>
      <w:r>
        <w:rPr>
          <w:rFonts w:eastAsia="Times New Roman" w:cs="Times New Roman"/>
          <w:sz w:val="20"/>
          <w:szCs w:val="20"/>
        </w:rPr>
        <w:t xml:space="preserve">. </w:t>
      </w:r>
    </w:p>
    <w:p w14:paraId="327ACCE4" w14:textId="77777777" w:rsidR="00924FC6" w:rsidRDefault="00924FC6" w:rsidP="00B20C4D">
      <w:pPr>
        <w:tabs>
          <w:tab w:val="left" w:pos="540"/>
        </w:tabs>
        <w:spacing w:after="0" w:line="480" w:lineRule="auto"/>
        <w:ind w:left="567" w:hanging="567"/>
        <w:rPr>
          <w:rFonts w:cs="Times New Roman"/>
          <w:sz w:val="20"/>
          <w:szCs w:val="20"/>
        </w:rPr>
      </w:pPr>
      <w:r w:rsidRPr="001468A2">
        <w:rPr>
          <w:rFonts w:cs="Times New Roman"/>
          <w:sz w:val="20"/>
          <w:szCs w:val="20"/>
        </w:rPr>
        <w:t xml:space="preserve">Daniel, D., Sutherland, M., &amp; Speranza, C. I. (2019). The role of tenure documents for livelihood resilience in Trinidad and Tobago. </w:t>
      </w:r>
      <w:r w:rsidRPr="001468A2">
        <w:rPr>
          <w:rFonts w:cs="Times New Roman"/>
          <w:i/>
          <w:iCs/>
          <w:sz w:val="20"/>
          <w:szCs w:val="20"/>
        </w:rPr>
        <w:t>Land Use Policy, 87</w:t>
      </w:r>
      <w:r w:rsidRPr="001468A2">
        <w:rPr>
          <w:rFonts w:cs="Times New Roman"/>
          <w:sz w:val="20"/>
          <w:szCs w:val="20"/>
        </w:rPr>
        <w:t xml:space="preserve">, 104008. </w:t>
      </w:r>
      <w:hyperlink r:id="rId22" w:history="1">
        <w:r w:rsidRPr="00F316CB">
          <w:rPr>
            <w:rStyle w:val="Hyperlink"/>
            <w:rFonts w:cs="Times New Roman"/>
            <w:sz w:val="20"/>
            <w:szCs w:val="20"/>
          </w:rPr>
          <w:t>https://doi.org/10.1016/j.landusepol.2019.05.027</w:t>
        </w:r>
      </w:hyperlink>
    </w:p>
    <w:p w14:paraId="2C131847" w14:textId="77777777" w:rsidR="00924FC6" w:rsidRPr="003F1714" w:rsidRDefault="00924FC6" w:rsidP="003F1714">
      <w:pPr>
        <w:spacing w:after="0" w:line="480" w:lineRule="auto"/>
        <w:ind w:left="567" w:hanging="567"/>
        <w:rPr>
          <w:rFonts w:eastAsia="Times New Roman" w:cs="Times New Roman"/>
          <w:sz w:val="20"/>
          <w:szCs w:val="20"/>
        </w:rPr>
      </w:pPr>
      <w:r w:rsidRPr="00BC1A01">
        <w:rPr>
          <w:rFonts w:cs="Times New Roman"/>
          <w:sz w:val="20"/>
          <w:szCs w:val="20"/>
        </w:rPr>
        <w:t>Deininger, K. (200</w:t>
      </w:r>
      <w:r>
        <w:rPr>
          <w:rFonts w:cs="Times New Roman"/>
          <w:sz w:val="20"/>
          <w:szCs w:val="20"/>
        </w:rPr>
        <w:t>3</w:t>
      </w:r>
      <w:r w:rsidRPr="00BC1A01">
        <w:rPr>
          <w:rFonts w:cs="Times New Roman"/>
          <w:sz w:val="20"/>
          <w:szCs w:val="20"/>
        </w:rPr>
        <w:t xml:space="preserve">). Land policies for growth and poverty reduction. </w:t>
      </w:r>
      <w:r w:rsidRPr="00BC1A01">
        <w:rPr>
          <w:rFonts w:cs="Times New Roman"/>
          <w:i/>
          <w:iCs/>
          <w:sz w:val="20"/>
          <w:szCs w:val="20"/>
        </w:rPr>
        <w:t>World Bank Policy Research Report</w:t>
      </w:r>
      <w:r w:rsidRPr="00BC1A01">
        <w:rPr>
          <w:rFonts w:cs="Times New Roman"/>
          <w:sz w:val="20"/>
          <w:szCs w:val="20"/>
        </w:rPr>
        <w:t xml:space="preserve">, </w:t>
      </w:r>
      <w:r>
        <w:rPr>
          <w:rFonts w:cs="Times New Roman"/>
          <w:sz w:val="20"/>
          <w:szCs w:val="20"/>
        </w:rPr>
        <w:t xml:space="preserve">1. </w:t>
      </w:r>
      <w:r w:rsidRPr="00BC1A01">
        <w:rPr>
          <w:rFonts w:cs="Times New Roman"/>
          <w:sz w:val="20"/>
          <w:szCs w:val="20"/>
        </w:rPr>
        <w:t>Washington, D.C.: The World Bank.</w:t>
      </w:r>
      <w:r>
        <w:rPr>
          <w:rFonts w:cs="Times New Roman"/>
          <w:sz w:val="20"/>
          <w:szCs w:val="20"/>
        </w:rPr>
        <w:t xml:space="preserve"> </w:t>
      </w:r>
      <w:hyperlink r:id="rId23" w:history="1">
        <w:r w:rsidRPr="003F1714">
          <w:rPr>
            <w:rStyle w:val="Hyperlink"/>
            <w:rFonts w:cs="Times New Roman"/>
            <w:sz w:val="20"/>
            <w:szCs w:val="20"/>
          </w:rPr>
          <w:t>Land policies for growth and poverty reduction (Vol. 1 of 2)</w:t>
        </w:r>
      </w:hyperlink>
      <w:r>
        <w:rPr>
          <w:rFonts w:cs="Times New Roman"/>
          <w:sz w:val="20"/>
          <w:szCs w:val="20"/>
        </w:rPr>
        <w:t>.</w:t>
      </w:r>
    </w:p>
    <w:p w14:paraId="73972046" w14:textId="77777777" w:rsidR="00924FC6" w:rsidRPr="00BC1A01" w:rsidRDefault="00924FC6" w:rsidP="00B20C4D">
      <w:pPr>
        <w:tabs>
          <w:tab w:val="left" w:pos="540"/>
        </w:tabs>
        <w:spacing w:after="0" w:line="480" w:lineRule="auto"/>
        <w:ind w:left="567" w:hanging="567"/>
        <w:rPr>
          <w:rFonts w:cs="Times New Roman"/>
          <w:sz w:val="20"/>
          <w:szCs w:val="20"/>
        </w:rPr>
      </w:pPr>
      <w:r w:rsidRPr="00BC1A01">
        <w:rPr>
          <w:rFonts w:cs="Times New Roman"/>
          <w:sz w:val="20"/>
          <w:szCs w:val="20"/>
        </w:rPr>
        <w:t xml:space="preserve">DiMaggio, P. T., &amp; Powell, W. W. (1983). The iron cage revisited: Institutional isomorphism and collective rationality in organizational fields. American Sociological Review, 48(2), pp.147-160. </w:t>
      </w:r>
      <w:r w:rsidRPr="003F1714">
        <w:rPr>
          <w:rFonts w:cs="Times New Roman"/>
          <w:sz w:val="20"/>
          <w:szCs w:val="20"/>
        </w:rPr>
        <w:t xml:space="preserve">URL: </w:t>
      </w:r>
      <w:hyperlink r:id="rId24" w:history="1">
        <w:r w:rsidRPr="00F316CB">
          <w:rPr>
            <w:rStyle w:val="Hyperlink"/>
            <w:rFonts w:cs="Times New Roman"/>
            <w:sz w:val="20"/>
            <w:szCs w:val="20"/>
          </w:rPr>
          <w:t>http://www.jstor.org/stable/2095101</w:t>
        </w:r>
      </w:hyperlink>
      <w:r>
        <w:rPr>
          <w:rFonts w:cs="Times New Roman"/>
          <w:sz w:val="20"/>
          <w:szCs w:val="20"/>
        </w:rPr>
        <w:t xml:space="preserve">. </w:t>
      </w:r>
    </w:p>
    <w:p w14:paraId="07BE1E63" w14:textId="77777777" w:rsidR="00924FC6" w:rsidRPr="00BC1A01" w:rsidRDefault="00924FC6" w:rsidP="00B20C4D">
      <w:pPr>
        <w:spacing w:after="0" w:line="480" w:lineRule="auto"/>
        <w:ind w:left="567" w:hanging="567"/>
        <w:rPr>
          <w:rFonts w:eastAsia="Calibri" w:cs="Times New Roman"/>
          <w:color w:val="000000" w:themeColor="text1"/>
          <w:kern w:val="0"/>
          <w:sz w:val="20"/>
          <w:szCs w:val="20"/>
          <w:shd w:val="clear" w:color="auto" w:fill="FFFFFF"/>
          <w:lang w:eastAsia="en-US"/>
          <w14:ligatures w14:val="none"/>
        </w:rPr>
      </w:pPr>
      <w:proofErr w:type="spellStart"/>
      <w:r w:rsidRPr="00BC1A01">
        <w:rPr>
          <w:rFonts w:eastAsia="Calibri" w:cs="Times New Roman"/>
          <w:color w:val="000000" w:themeColor="text1"/>
          <w:kern w:val="0"/>
          <w:sz w:val="20"/>
          <w:szCs w:val="20"/>
          <w:shd w:val="clear" w:color="auto" w:fill="FFFFFF"/>
          <w:lang w:eastAsia="en-US"/>
          <w14:ligatures w14:val="none"/>
        </w:rPr>
        <w:t>Dorta</w:t>
      </w:r>
      <w:proofErr w:type="spellEnd"/>
      <w:r w:rsidRPr="00BC1A01">
        <w:rPr>
          <w:rFonts w:eastAsia="Calibri" w:cs="Times New Roman"/>
          <w:color w:val="000000" w:themeColor="text1"/>
          <w:kern w:val="0"/>
          <w:sz w:val="20"/>
          <w:szCs w:val="20"/>
          <w:shd w:val="clear" w:color="auto" w:fill="FFFFFF"/>
          <w:lang w:eastAsia="en-US"/>
          <w14:ligatures w14:val="none"/>
        </w:rPr>
        <w:t>-Afonso, D., González-de-la-Rosa, M., Garcia-Rodriguez, F. J., &amp; Romero-Domínguez, L., (2021). Effects of high-performance work systems (HPWS) on hospitality employees’ outcomes through their organizational commitment, motivation, and job satisfaction. </w:t>
      </w:r>
      <w:r w:rsidRPr="00BC1A01">
        <w:rPr>
          <w:rFonts w:eastAsia="Calibri" w:cs="Times New Roman"/>
          <w:i/>
          <w:iCs/>
          <w:color w:val="000000" w:themeColor="text1"/>
          <w:kern w:val="0"/>
          <w:sz w:val="20"/>
          <w:szCs w:val="20"/>
          <w:shd w:val="clear" w:color="auto" w:fill="FFFFFF"/>
          <w:lang w:eastAsia="en-US"/>
          <w14:ligatures w14:val="none"/>
        </w:rPr>
        <w:t>Sustainability</w:t>
      </w:r>
      <w:r w:rsidRPr="00BC1A01">
        <w:rPr>
          <w:rFonts w:eastAsia="Calibri" w:cs="Times New Roman"/>
          <w:color w:val="000000" w:themeColor="text1"/>
          <w:kern w:val="0"/>
          <w:sz w:val="20"/>
          <w:szCs w:val="20"/>
          <w:shd w:val="clear" w:color="auto" w:fill="FFFFFF"/>
          <w:lang w:eastAsia="en-US"/>
          <w14:ligatures w14:val="none"/>
        </w:rPr>
        <w:t>, </w:t>
      </w:r>
      <w:r w:rsidRPr="00BC1A01">
        <w:rPr>
          <w:rFonts w:eastAsia="Calibri" w:cs="Times New Roman"/>
          <w:i/>
          <w:iCs/>
          <w:color w:val="000000" w:themeColor="text1"/>
          <w:kern w:val="0"/>
          <w:sz w:val="20"/>
          <w:szCs w:val="20"/>
          <w:shd w:val="clear" w:color="auto" w:fill="FFFFFF"/>
          <w:lang w:eastAsia="en-US"/>
          <w14:ligatures w14:val="none"/>
        </w:rPr>
        <w:t>13</w:t>
      </w:r>
      <w:r w:rsidRPr="00BC1A01">
        <w:rPr>
          <w:rFonts w:eastAsia="Calibri" w:cs="Times New Roman"/>
          <w:color w:val="000000" w:themeColor="text1"/>
          <w:kern w:val="0"/>
          <w:sz w:val="20"/>
          <w:szCs w:val="20"/>
          <w:shd w:val="clear" w:color="auto" w:fill="FFFFFF"/>
          <w:lang w:eastAsia="en-US"/>
          <w14:ligatures w14:val="none"/>
        </w:rPr>
        <w:t>(6), pp.3226.</w:t>
      </w:r>
      <w:r>
        <w:rPr>
          <w:rFonts w:eastAsia="Calibri" w:cs="Times New Roman"/>
          <w:color w:val="000000" w:themeColor="text1"/>
          <w:kern w:val="0"/>
          <w:sz w:val="20"/>
          <w:szCs w:val="20"/>
          <w:shd w:val="clear" w:color="auto" w:fill="FFFFFF"/>
          <w:lang w:eastAsia="en-US"/>
          <w14:ligatures w14:val="none"/>
        </w:rPr>
        <w:t xml:space="preserve"> </w:t>
      </w:r>
      <w:hyperlink r:id="rId25" w:history="1">
        <w:r w:rsidRPr="00F316CB">
          <w:rPr>
            <w:rStyle w:val="Hyperlink"/>
            <w:rFonts w:eastAsia="Calibri" w:cs="Times New Roman"/>
            <w:kern w:val="0"/>
            <w:sz w:val="20"/>
            <w:szCs w:val="20"/>
            <w:shd w:val="clear" w:color="auto" w:fill="FFFFFF"/>
            <w:lang w:eastAsia="en-US"/>
            <w14:ligatures w14:val="none"/>
          </w:rPr>
          <w:t>https://doi.org/10.3390/su13063226</w:t>
        </w:r>
      </w:hyperlink>
      <w:r>
        <w:rPr>
          <w:rFonts w:eastAsia="Calibri" w:cs="Times New Roman"/>
          <w:color w:val="000000" w:themeColor="text1"/>
          <w:kern w:val="0"/>
          <w:sz w:val="20"/>
          <w:szCs w:val="20"/>
          <w:shd w:val="clear" w:color="auto" w:fill="FFFFFF"/>
          <w:lang w:eastAsia="en-US"/>
          <w14:ligatures w14:val="none"/>
        </w:rPr>
        <w:t xml:space="preserve">. </w:t>
      </w:r>
    </w:p>
    <w:p w14:paraId="23A0604F" w14:textId="77777777" w:rsidR="00924FC6" w:rsidRPr="00F86430" w:rsidRDefault="00924FC6" w:rsidP="00B20C4D">
      <w:pPr>
        <w:tabs>
          <w:tab w:val="left" w:pos="540"/>
        </w:tabs>
        <w:spacing w:after="0" w:line="480" w:lineRule="auto"/>
        <w:ind w:left="567" w:hanging="567"/>
        <w:rPr>
          <w:rFonts w:cs="Times New Roman"/>
          <w:sz w:val="20"/>
          <w:szCs w:val="20"/>
        </w:rPr>
      </w:pPr>
      <w:r w:rsidRPr="00F86430">
        <w:rPr>
          <w:rFonts w:cs="Times New Roman"/>
          <w:sz w:val="20"/>
          <w:szCs w:val="20"/>
        </w:rPr>
        <w:lastRenderedPageBreak/>
        <w:t xml:space="preserve">Eccles, J. S., &amp; </w:t>
      </w:r>
      <w:proofErr w:type="spellStart"/>
      <w:r w:rsidRPr="00F86430">
        <w:rPr>
          <w:rFonts w:cs="Times New Roman"/>
          <w:sz w:val="20"/>
          <w:szCs w:val="20"/>
        </w:rPr>
        <w:t>Wigfield</w:t>
      </w:r>
      <w:proofErr w:type="spellEnd"/>
      <w:r w:rsidRPr="00F86430">
        <w:rPr>
          <w:rFonts w:cs="Times New Roman"/>
          <w:sz w:val="20"/>
          <w:szCs w:val="20"/>
        </w:rPr>
        <w:t xml:space="preserve">, A. (2020). From expectancy-value theory to situated expectancy-value theory: A developmental, social cognitive, and sociocultural perspective on motivation. </w:t>
      </w:r>
      <w:r w:rsidRPr="00F86430">
        <w:rPr>
          <w:rFonts w:cs="Times New Roman"/>
          <w:i/>
          <w:iCs/>
          <w:sz w:val="20"/>
          <w:szCs w:val="20"/>
        </w:rPr>
        <w:t>Contemporary Educational Psychology</w:t>
      </w:r>
      <w:r w:rsidRPr="00F86430">
        <w:rPr>
          <w:rFonts w:cs="Times New Roman"/>
          <w:sz w:val="20"/>
          <w:szCs w:val="20"/>
        </w:rPr>
        <w:t xml:space="preserve">, 61, 101859. </w:t>
      </w:r>
      <w:hyperlink r:id="rId26" w:history="1">
        <w:r w:rsidRPr="00F86430">
          <w:rPr>
            <w:rStyle w:val="Hyperlink"/>
            <w:rFonts w:cs="Times New Roman"/>
            <w:sz w:val="20"/>
            <w:szCs w:val="20"/>
          </w:rPr>
          <w:t>https://doi.org/10.1016/j.cedpsych.2020.101859</w:t>
        </w:r>
      </w:hyperlink>
      <w:r w:rsidRPr="00F86430">
        <w:rPr>
          <w:rFonts w:cs="Times New Roman"/>
          <w:sz w:val="20"/>
          <w:szCs w:val="20"/>
        </w:rPr>
        <w:t>.</w:t>
      </w:r>
    </w:p>
    <w:p w14:paraId="5A9B6DD8" w14:textId="77777777" w:rsidR="00924FC6" w:rsidRDefault="00924FC6" w:rsidP="00B20C4D">
      <w:pPr>
        <w:tabs>
          <w:tab w:val="left" w:pos="540"/>
        </w:tabs>
        <w:spacing w:after="0" w:line="480" w:lineRule="auto"/>
        <w:ind w:left="567" w:hanging="567"/>
        <w:rPr>
          <w:rFonts w:cs="Times New Roman"/>
          <w:sz w:val="20"/>
          <w:szCs w:val="20"/>
        </w:rPr>
      </w:pPr>
      <w:r w:rsidRPr="00BC1A01">
        <w:rPr>
          <w:rFonts w:cs="Times New Roman"/>
          <w:sz w:val="20"/>
          <w:szCs w:val="20"/>
        </w:rPr>
        <w:t xml:space="preserve">Fang, J., 2023. Application and Limitations of the Expectancy Theory in Organizations. </w:t>
      </w:r>
      <w:r w:rsidRPr="00BC1A01">
        <w:rPr>
          <w:rFonts w:cs="Times New Roman"/>
          <w:i/>
          <w:iCs/>
          <w:sz w:val="20"/>
          <w:szCs w:val="20"/>
        </w:rPr>
        <w:t>Advances in Economics, Management and Political Sciences</w:t>
      </w:r>
      <w:r w:rsidRPr="00BC1A01">
        <w:rPr>
          <w:rFonts w:cs="Times New Roman"/>
          <w:sz w:val="20"/>
          <w:szCs w:val="20"/>
        </w:rPr>
        <w:t>, 54</w:t>
      </w:r>
      <w:r>
        <w:rPr>
          <w:rFonts w:cs="Times New Roman"/>
          <w:sz w:val="20"/>
          <w:szCs w:val="20"/>
        </w:rPr>
        <w:t>:</w:t>
      </w:r>
      <w:r w:rsidRPr="00BC1A01">
        <w:rPr>
          <w:rFonts w:cs="Times New Roman"/>
          <w:sz w:val="20"/>
          <w:szCs w:val="20"/>
        </w:rPr>
        <w:t xml:space="preserve">7-12. </w:t>
      </w:r>
      <w:hyperlink r:id="rId27" w:history="1">
        <w:r w:rsidRPr="00F316CB">
          <w:rPr>
            <w:rStyle w:val="Hyperlink"/>
            <w:rFonts w:cs="Times New Roman"/>
            <w:sz w:val="20"/>
            <w:szCs w:val="20"/>
          </w:rPr>
          <w:t>http://dx.doi.org/10.54254/2754-1169/54/20230868</w:t>
        </w:r>
      </w:hyperlink>
      <w:r>
        <w:rPr>
          <w:rFonts w:cs="Times New Roman"/>
          <w:sz w:val="20"/>
          <w:szCs w:val="20"/>
        </w:rPr>
        <w:t xml:space="preserve">. </w:t>
      </w:r>
    </w:p>
    <w:p w14:paraId="17D1EBAF" w14:textId="77777777" w:rsidR="00924FC6" w:rsidRDefault="00924FC6" w:rsidP="00055D97">
      <w:pPr>
        <w:tabs>
          <w:tab w:val="left" w:pos="540"/>
        </w:tabs>
        <w:spacing w:after="0" w:line="480" w:lineRule="auto"/>
        <w:ind w:left="567" w:hanging="567"/>
        <w:rPr>
          <w:rFonts w:cs="Times New Roman"/>
          <w:sz w:val="20"/>
          <w:szCs w:val="20"/>
        </w:rPr>
      </w:pPr>
      <w:r w:rsidRPr="00BC1A01">
        <w:rPr>
          <w:rFonts w:cs="Times New Roman"/>
          <w:sz w:val="20"/>
          <w:szCs w:val="20"/>
        </w:rPr>
        <w:t>Fernandez, S., &amp; Rainey, H. G. (20</w:t>
      </w:r>
      <w:r>
        <w:rPr>
          <w:rFonts w:cs="Times New Roman"/>
          <w:sz w:val="20"/>
          <w:szCs w:val="20"/>
        </w:rPr>
        <w:t>06</w:t>
      </w:r>
      <w:r w:rsidRPr="00BC1A01">
        <w:rPr>
          <w:rFonts w:cs="Times New Roman"/>
          <w:sz w:val="20"/>
          <w:szCs w:val="20"/>
        </w:rPr>
        <w:t>). Managing Successful Organizational Change in the Public Sector. Public Administration</w:t>
      </w:r>
      <w:r>
        <w:rPr>
          <w:rFonts w:cs="Times New Roman"/>
          <w:sz w:val="20"/>
          <w:szCs w:val="20"/>
        </w:rPr>
        <w:t xml:space="preserve"> Review,</w:t>
      </w:r>
      <w:r w:rsidRPr="00BC1A01">
        <w:rPr>
          <w:rFonts w:cs="Times New Roman"/>
          <w:sz w:val="20"/>
          <w:szCs w:val="20"/>
        </w:rPr>
        <w:t xml:space="preserve"> </w:t>
      </w:r>
      <w:r>
        <w:rPr>
          <w:rFonts w:cs="Times New Roman"/>
          <w:sz w:val="20"/>
          <w:szCs w:val="20"/>
        </w:rPr>
        <w:t>66(2): 168-176</w:t>
      </w:r>
      <w:r w:rsidRPr="00BC1A01">
        <w:rPr>
          <w:rFonts w:cs="Times New Roman"/>
          <w:sz w:val="20"/>
          <w:szCs w:val="20"/>
        </w:rPr>
        <w:t xml:space="preserve">. </w:t>
      </w:r>
      <w:hyperlink r:id="rId28" w:history="1">
        <w:r w:rsidRPr="00F316CB">
          <w:rPr>
            <w:rStyle w:val="Hyperlink"/>
            <w:rFonts w:cs="Times New Roman"/>
            <w:sz w:val="20"/>
            <w:szCs w:val="20"/>
          </w:rPr>
          <w:t>https://doi.org/10.1111/j.1540-6210.2006.00570.x</w:t>
        </w:r>
      </w:hyperlink>
    </w:p>
    <w:p w14:paraId="6B4B67D9" w14:textId="77777777" w:rsidR="00924FC6" w:rsidRPr="00BC1A01" w:rsidRDefault="00924FC6" w:rsidP="00055D97">
      <w:pPr>
        <w:tabs>
          <w:tab w:val="left" w:pos="540"/>
        </w:tabs>
        <w:spacing w:after="0" w:line="480" w:lineRule="auto"/>
        <w:ind w:left="567" w:hanging="567"/>
        <w:rPr>
          <w:rFonts w:eastAsia="Calibri" w:cs="Times New Roman"/>
          <w:color w:val="000000" w:themeColor="text1"/>
          <w:kern w:val="0"/>
          <w:sz w:val="20"/>
          <w:szCs w:val="20"/>
          <w:shd w:val="clear" w:color="auto" w:fill="FFFFFF"/>
          <w:lang w:eastAsia="en-US"/>
          <w14:ligatures w14:val="none"/>
        </w:rPr>
      </w:pPr>
      <w:proofErr w:type="spellStart"/>
      <w:r w:rsidRPr="00BC1A01">
        <w:rPr>
          <w:rFonts w:eastAsia="Calibri" w:cs="Times New Roman"/>
          <w:color w:val="000000" w:themeColor="text1"/>
          <w:kern w:val="0"/>
          <w:sz w:val="20"/>
          <w:szCs w:val="20"/>
          <w:shd w:val="clear" w:color="auto" w:fill="FFFFFF"/>
          <w:lang w:eastAsia="en-US"/>
          <w14:ligatures w14:val="none"/>
        </w:rPr>
        <w:t>Fornell</w:t>
      </w:r>
      <w:proofErr w:type="spellEnd"/>
      <w:r w:rsidRPr="00BC1A01">
        <w:rPr>
          <w:rFonts w:eastAsia="Calibri" w:cs="Times New Roman"/>
          <w:color w:val="000000" w:themeColor="text1"/>
          <w:kern w:val="0"/>
          <w:sz w:val="20"/>
          <w:szCs w:val="20"/>
          <w:shd w:val="clear" w:color="auto" w:fill="FFFFFF"/>
          <w:lang w:eastAsia="en-US"/>
          <w14:ligatures w14:val="none"/>
        </w:rPr>
        <w:t xml:space="preserve">, C. and </w:t>
      </w:r>
      <w:proofErr w:type="spellStart"/>
      <w:r w:rsidRPr="00BC1A01">
        <w:rPr>
          <w:rFonts w:eastAsia="Calibri" w:cs="Times New Roman"/>
          <w:color w:val="000000" w:themeColor="text1"/>
          <w:kern w:val="0"/>
          <w:sz w:val="20"/>
          <w:szCs w:val="20"/>
          <w:shd w:val="clear" w:color="auto" w:fill="FFFFFF"/>
          <w:lang w:eastAsia="en-US"/>
          <w14:ligatures w14:val="none"/>
        </w:rPr>
        <w:t>Larcker</w:t>
      </w:r>
      <w:proofErr w:type="spellEnd"/>
      <w:r w:rsidRPr="00BC1A01">
        <w:rPr>
          <w:rFonts w:eastAsia="Calibri" w:cs="Times New Roman"/>
          <w:color w:val="000000" w:themeColor="text1"/>
          <w:kern w:val="0"/>
          <w:sz w:val="20"/>
          <w:szCs w:val="20"/>
          <w:shd w:val="clear" w:color="auto" w:fill="FFFFFF"/>
          <w:lang w:eastAsia="en-US"/>
          <w14:ligatures w14:val="none"/>
        </w:rPr>
        <w:t xml:space="preserve">, D.F., (1981). Evaluating Structural Equation Models with Unobservable Variables and Measurement Error. </w:t>
      </w:r>
      <w:r w:rsidRPr="00BC1A01">
        <w:rPr>
          <w:rFonts w:eastAsia="Calibri" w:cs="Times New Roman"/>
          <w:i/>
          <w:iCs/>
          <w:color w:val="000000" w:themeColor="text1"/>
          <w:kern w:val="0"/>
          <w:sz w:val="20"/>
          <w:szCs w:val="20"/>
          <w:shd w:val="clear" w:color="auto" w:fill="FFFFFF"/>
          <w:lang w:eastAsia="en-US"/>
          <w14:ligatures w14:val="none"/>
        </w:rPr>
        <w:t>Journal of Marketing Research</w:t>
      </w:r>
      <w:r w:rsidRPr="00BC1A01">
        <w:rPr>
          <w:rFonts w:eastAsia="Calibri" w:cs="Times New Roman"/>
          <w:color w:val="000000" w:themeColor="text1"/>
          <w:kern w:val="0"/>
          <w:sz w:val="20"/>
          <w:szCs w:val="20"/>
          <w:shd w:val="clear" w:color="auto" w:fill="FFFFFF"/>
          <w:lang w:eastAsia="en-US"/>
          <w14:ligatures w14:val="none"/>
        </w:rPr>
        <w:t>, 18(1)</w:t>
      </w:r>
      <w:r>
        <w:rPr>
          <w:rFonts w:eastAsia="Calibri" w:cs="Times New Roman"/>
          <w:color w:val="000000" w:themeColor="text1"/>
          <w:kern w:val="0"/>
          <w:sz w:val="20"/>
          <w:szCs w:val="20"/>
          <w:shd w:val="clear" w:color="auto" w:fill="FFFFFF"/>
          <w:lang w:eastAsia="en-US"/>
          <w14:ligatures w14:val="none"/>
        </w:rPr>
        <w:t xml:space="preserve">: </w:t>
      </w:r>
      <w:r w:rsidRPr="00BC1A01">
        <w:rPr>
          <w:rFonts w:eastAsia="Calibri" w:cs="Times New Roman"/>
          <w:color w:val="000000" w:themeColor="text1"/>
          <w:kern w:val="0"/>
          <w:sz w:val="20"/>
          <w:szCs w:val="20"/>
          <w:shd w:val="clear" w:color="auto" w:fill="FFFFFF"/>
          <w:lang w:eastAsia="en-US"/>
          <w14:ligatures w14:val="none"/>
        </w:rPr>
        <w:t>39-50.</w:t>
      </w:r>
      <w:r>
        <w:rPr>
          <w:rFonts w:eastAsia="Calibri" w:cs="Times New Roman"/>
          <w:color w:val="000000" w:themeColor="text1"/>
          <w:kern w:val="0"/>
          <w:sz w:val="20"/>
          <w:szCs w:val="20"/>
          <w:shd w:val="clear" w:color="auto" w:fill="FFFFFF"/>
          <w:lang w:eastAsia="en-US"/>
          <w14:ligatures w14:val="none"/>
        </w:rPr>
        <w:t xml:space="preserve"> </w:t>
      </w:r>
      <w:hyperlink r:id="rId29" w:history="1">
        <w:r w:rsidRPr="00F316CB">
          <w:rPr>
            <w:rStyle w:val="Hyperlink"/>
            <w:rFonts w:eastAsia="Calibri" w:cs="Times New Roman"/>
            <w:kern w:val="0"/>
            <w:sz w:val="20"/>
            <w:szCs w:val="20"/>
            <w:shd w:val="clear" w:color="auto" w:fill="FFFFFF"/>
            <w:lang w:eastAsia="en-US"/>
            <w14:ligatures w14:val="none"/>
          </w:rPr>
          <w:t>https://psycnet.apa.org/doi/10.2307/3151312</w:t>
        </w:r>
      </w:hyperlink>
      <w:r>
        <w:rPr>
          <w:rFonts w:eastAsia="Calibri" w:cs="Times New Roman"/>
          <w:color w:val="000000" w:themeColor="text1"/>
          <w:kern w:val="0"/>
          <w:sz w:val="20"/>
          <w:szCs w:val="20"/>
          <w:shd w:val="clear" w:color="auto" w:fill="FFFFFF"/>
          <w:lang w:eastAsia="en-US"/>
          <w14:ligatures w14:val="none"/>
        </w:rPr>
        <w:t xml:space="preserve">. </w:t>
      </w:r>
    </w:p>
    <w:p w14:paraId="46DBD06A" w14:textId="77777777" w:rsidR="00924FC6" w:rsidRPr="00BC1A01" w:rsidRDefault="00924FC6" w:rsidP="00B20C4D">
      <w:pPr>
        <w:tabs>
          <w:tab w:val="left" w:pos="540"/>
        </w:tabs>
        <w:spacing w:after="0" w:line="480" w:lineRule="auto"/>
        <w:ind w:left="567" w:hanging="567"/>
        <w:rPr>
          <w:rFonts w:cs="Times New Roman"/>
          <w:sz w:val="20"/>
          <w:szCs w:val="20"/>
        </w:rPr>
      </w:pPr>
      <w:r w:rsidRPr="00BC1A01">
        <w:rPr>
          <w:rFonts w:cs="Times New Roman"/>
          <w:sz w:val="20"/>
          <w:szCs w:val="20"/>
        </w:rPr>
        <w:t>Fukuyama, F. (2017). Political Order and Political Decay: From the Industrial Revolution to the Globalization of Democracy. Farrar, Straus and Giroux.</w:t>
      </w:r>
      <w:r>
        <w:rPr>
          <w:rFonts w:cs="Times New Roman"/>
          <w:sz w:val="20"/>
          <w:szCs w:val="20"/>
        </w:rPr>
        <w:t xml:space="preserve"> </w:t>
      </w:r>
      <w:hyperlink r:id="rId30" w:history="1">
        <w:r w:rsidRPr="00055D97">
          <w:rPr>
            <w:rStyle w:val="Hyperlink"/>
            <w:rFonts w:cs="Times New Roman"/>
            <w:sz w:val="20"/>
            <w:szCs w:val="20"/>
          </w:rPr>
          <w:t>Political Order and Political Decay: From the Industrial Revolution to the Globalization of Democracy | Francis Fukuyama</w:t>
        </w:r>
      </w:hyperlink>
      <w:r>
        <w:rPr>
          <w:rFonts w:cs="Times New Roman"/>
          <w:sz w:val="20"/>
          <w:szCs w:val="20"/>
        </w:rPr>
        <w:t xml:space="preserve">. </w:t>
      </w:r>
    </w:p>
    <w:p w14:paraId="79D75197" w14:textId="77777777" w:rsidR="00924FC6" w:rsidRPr="00BC1A01" w:rsidRDefault="00924FC6" w:rsidP="00B20C4D">
      <w:pPr>
        <w:tabs>
          <w:tab w:val="left" w:pos="540"/>
        </w:tabs>
        <w:spacing w:after="0" w:line="480" w:lineRule="auto"/>
        <w:ind w:left="567" w:hanging="567"/>
        <w:rPr>
          <w:rFonts w:cs="Times New Roman"/>
          <w:sz w:val="20"/>
          <w:szCs w:val="20"/>
        </w:rPr>
      </w:pPr>
      <w:r w:rsidRPr="00BC1A01">
        <w:rPr>
          <w:rFonts w:cs="Times New Roman"/>
          <w:sz w:val="20"/>
          <w:szCs w:val="20"/>
        </w:rPr>
        <w:t>Ghana Statistical Service (2021). Ghana Statistical Service Report. Accra: Ghana Statistical Service.</w:t>
      </w:r>
      <w:r>
        <w:rPr>
          <w:rFonts w:cs="Times New Roman"/>
          <w:sz w:val="20"/>
          <w:szCs w:val="20"/>
        </w:rPr>
        <w:t xml:space="preserve"> </w:t>
      </w:r>
      <w:hyperlink r:id="rId31" w:history="1">
        <w:r w:rsidRPr="00055D97">
          <w:rPr>
            <w:rStyle w:val="Hyperlink"/>
            <w:rFonts w:cs="Times New Roman"/>
            <w:sz w:val="20"/>
            <w:szCs w:val="20"/>
          </w:rPr>
          <w:t>Ghana Statistical Service, (2021). Ghana Statistical Service Report. Accra: Ghana Statistical Service - Search</w:t>
        </w:r>
      </w:hyperlink>
      <w:r>
        <w:rPr>
          <w:rFonts w:cs="Times New Roman"/>
          <w:sz w:val="20"/>
          <w:szCs w:val="20"/>
        </w:rPr>
        <w:t>.</w:t>
      </w:r>
    </w:p>
    <w:p w14:paraId="5461FAF3" w14:textId="77777777" w:rsidR="00924FC6" w:rsidRPr="00924FC6" w:rsidRDefault="00924FC6" w:rsidP="00B20C4D">
      <w:pPr>
        <w:tabs>
          <w:tab w:val="left" w:pos="540"/>
        </w:tabs>
        <w:spacing w:after="0" w:line="480" w:lineRule="auto"/>
        <w:ind w:left="567" w:hanging="567"/>
        <w:rPr>
          <w:rFonts w:cs="Times New Roman"/>
          <w:sz w:val="20"/>
          <w:szCs w:val="20"/>
        </w:rPr>
      </w:pPr>
      <w:proofErr w:type="spellStart"/>
      <w:r w:rsidRPr="00924FC6">
        <w:rPr>
          <w:rFonts w:cs="Times New Roman"/>
          <w:sz w:val="20"/>
          <w:szCs w:val="20"/>
        </w:rPr>
        <w:t>Gustavson</w:t>
      </w:r>
      <w:proofErr w:type="spellEnd"/>
      <w:r w:rsidRPr="00924FC6">
        <w:rPr>
          <w:rFonts w:cs="Times New Roman"/>
          <w:sz w:val="20"/>
          <w:szCs w:val="20"/>
        </w:rPr>
        <w:t xml:space="preserve">, M. (2013). The dynamics of public sector reform — Two research traditions. In </w:t>
      </w:r>
      <w:r w:rsidRPr="00924FC6">
        <w:rPr>
          <w:rFonts w:cs="Times New Roman"/>
          <w:i/>
          <w:iCs/>
          <w:sz w:val="20"/>
          <w:szCs w:val="20"/>
        </w:rPr>
        <w:t>Auditing good government in Africa</w:t>
      </w:r>
      <w:r w:rsidRPr="00924FC6">
        <w:rPr>
          <w:rFonts w:cs="Times New Roman"/>
          <w:sz w:val="20"/>
          <w:szCs w:val="20"/>
        </w:rPr>
        <w:t xml:space="preserve"> (pp. 29–64). </w:t>
      </w:r>
      <w:hyperlink r:id="rId32" w:history="1">
        <w:r w:rsidRPr="00924FC6">
          <w:rPr>
            <w:rStyle w:val="Hyperlink"/>
            <w:rFonts w:cs="Times New Roman"/>
            <w:sz w:val="20"/>
            <w:szCs w:val="20"/>
          </w:rPr>
          <w:t>https://doi.org/10.1057/9781137282729_2</w:t>
        </w:r>
      </w:hyperlink>
    </w:p>
    <w:p w14:paraId="4DE52819" w14:textId="77777777" w:rsidR="00924FC6" w:rsidRDefault="00924FC6" w:rsidP="00B20C4D">
      <w:pPr>
        <w:spacing w:after="0" w:line="480" w:lineRule="auto"/>
        <w:ind w:left="567" w:hanging="567"/>
        <w:rPr>
          <w:rFonts w:eastAsia="Times New Roman" w:cs="Times New Roman"/>
          <w:sz w:val="20"/>
          <w:szCs w:val="20"/>
        </w:rPr>
      </w:pPr>
      <w:r w:rsidRPr="007C78B0">
        <w:rPr>
          <w:rFonts w:eastAsia="Times New Roman" w:cs="Times New Roman"/>
          <w:sz w:val="20"/>
          <w:szCs w:val="20"/>
        </w:rPr>
        <w:t xml:space="preserve">Hasnain, Z., &amp; </w:t>
      </w:r>
      <w:proofErr w:type="spellStart"/>
      <w:r w:rsidRPr="007C78B0">
        <w:rPr>
          <w:rFonts w:eastAsia="Times New Roman" w:cs="Times New Roman"/>
          <w:sz w:val="20"/>
          <w:szCs w:val="20"/>
        </w:rPr>
        <w:t>Pierskalla</w:t>
      </w:r>
      <w:proofErr w:type="spellEnd"/>
      <w:r w:rsidRPr="007C78B0">
        <w:rPr>
          <w:rFonts w:eastAsia="Times New Roman" w:cs="Times New Roman"/>
          <w:sz w:val="20"/>
          <w:szCs w:val="20"/>
        </w:rPr>
        <w:t>, N. H. (2012). Performance-related pay in the public sector: A review of theory and evidence</w:t>
      </w:r>
      <w:r>
        <w:rPr>
          <w:rFonts w:eastAsia="Times New Roman" w:cs="Times New Roman"/>
          <w:sz w:val="20"/>
          <w:szCs w:val="20"/>
        </w:rPr>
        <w:t xml:space="preserve">. </w:t>
      </w:r>
      <w:r w:rsidRPr="007C78B0">
        <w:rPr>
          <w:rFonts w:eastAsia="Times New Roman" w:cs="Times New Roman"/>
          <w:i/>
          <w:iCs/>
          <w:sz w:val="20"/>
          <w:szCs w:val="20"/>
        </w:rPr>
        <w:t>World Bank Policy Research</w:t>
      </w:r>
      <w:r>
        <w:rPr>
          <w:rFonts w:eastAsia="Times New Roman" w:cs="Times New Roman"/>
          <w:sz w:val="20"/>
          <w:szCs w:val="20"/>
        </w:rPr>
        <w:t>, (</w:t>
      </w:r>
      <w:r w:rsidRPr="007C78B0">
        <w:rPr>
          <w:rFonts w:eastAsia="Times New Roman" w:cs="Times New Roman"/>
          <w:sz w:val="20"/>
          <w:szCs w:val="20"/>
        </w:rPr>
        <w:t>6043). World Bank.</w:t>
      </w:r>
      <w:r>
        <w:rPr>
          <w:rFonts w:eastAsia="Times New Roman" w:cs="Times New Roman"/>
          <w:sz w:val="20"/>
          <w:szCs w:val="20"/>
        </w:rPr>
        <w:t xml:space="preserve"> </w:t>
      </w:r>
      <w:hyperlink r:id="rId33" w:anchor=":~:text=The%20objective%20of%20this%20paper%20is%20to%20provide,distilling%20useful%20lessons%20for%20policy-makers%20in%20developing%20countries." w:history="1">
        <w:r w:rsidRPr="007C78B0">
          <w:rPr>
            <w:rStyle w:val="Hyperlink"/>
            <w:rFonts w:eastAsia="Times New Roman" w:cs="Times New Roman"/>
            <w:sz w:val="20"/>
            <w:szCs w:val="20"/>
          </w:rPr>
          <w:t xml:space="preserve">Performance-Related Pay in the Public Sector: A Review of Theory and Evidence by Zahid Hasnain, Nick </w:t>
        </w:r>
        <w:proofErr w:type="spellStart"/>
        <w:r w:rsidRPr="007C78B0">
          <w:rPr>
            <w:rStyle w:val="Hyperlink"/>
            <w:rFonts w:eastAsia="Times New Roman" w:cs="Times New Roman"/>
            <w:sz w:val="20"/>
            <w:szCs w:val="20"/>
          </w:rPr>
          <w:t>Pierskalla</w:t>
        </w:r>
        <w:proofErr w:type="spellEnd"/>
        <w:r w:rsidRPr="007C78B0">
          <w:rPr>
            <w:rStyle w:val="Hyperlink"/>
            <w:rFonts w:eastAsia="Times New Roman" w:cs="Times New Roman"/>
            <w:sz w:val="20"/>
            <w:szCs w:val="20"/>
          </w:rPr>
          <w:t xml:space="preserve"> </w:t>
        </w:r>
        <w:proofErr w:type="gramStart"/>
        <w:r w:rsidRPr="007C78B0">
          <w:rPr>
            <w:rStyle w:val="Hyperlink"/>
            <w:rFonts w:eastAsia="Times New Roman" w:cs="Times New Roman"/>
            <w:sz w:val="20"/>
            <w:szCs w:val="20"/>
          </w:rPr>
          <w:t>Henryk :</w:t>
        </w:r>
        <w:proofErr w:type="gramEnd"/>
        <w:r w:rsidRPr="007C78B0">
          <w:rPr>
            <w:rStyle w:val="Hyperlink"/>
            <w:rFonts w:eastAsia="Times New Roman" w:cs="Times New Roman"/>
            <w:sz w:val="20"/>
            <w:szCs w:val="20"/>
          </w:rPr>
          <w:t>: SSRN</w:t>
        </w:r>
      </w:hyperlink>
      <w:r>
        <w:rPr>
          <w:rFonts w:eastAsia="Times New Roman" w:cs="Times New Roman"/>
          <w:sz w:val="20"/>
          <w:szCs w:val="20"/>
        </w:rPr>
        <w:t xml:space="preserve">. </w:t>
      </w:r>
    </w:p>
    <w:p w14:paraId="6B402F88" w14:textId="77777777" w:rsidR="00924FC6" w:rsidRPr="006B06E7" w:rsidRDefault="00924FC6" w:rsidP="006B06E7">
      <w:pPr>
        <w:spacing w:after="0" w:line="480" w:lineRule="auto"/>
        <w:ind w:left="567" w:hanging="567"/>
        <w:rPr>
          <w:rFonts w:cs="Times New Roman"/>
          <w:sz w:val="20"/>
          <w:szCs w:val="20"/>
        </w:rPr>
      </w:pPr>
      <w:r w:rsidRPr="006B06E7">
        <w:rPr>
          <w:rFonts w:cs="Times New Roman"/>
          <w:sz w:val="20"/>
          <w:szCs w:val="20"/>
        </w:rPr>
        <w:t xml:space="preserve">Jain, S. (2007). An empirical economic assessment of impacts of climate change on agriculture in Zambia (World Bank Policy Research Working </w:t>
      </w:r>
      <w:r>
        <w:rPr>
          <w:rFonts w:cs="Times New Roman"/>
          <w:sz w:val="20"/>
          <w:szCs w:val="20"/>
        </w:rPr>
        <w:t>(</w:t>
      </w:r>
      <w:r w:rsidRPr="006B06E7">
        <w:rPr>
          <w:rFonts w:cs="Times New Roman"/>
          <w:sz w:val="20"/>
          <w:szCs w:val="20"/>
        </w:rPr>
        <w:t>4291</w:t>
      </w:r>
      <w:r>
        <w:rPr>
          <w:rFonts w:cs="Times New Roman"/>
          <w:sz w:val="20"/>
          <w:szCs w:val="20"/>
        </w:rPr>
        <w:t>)</w:t>
      </w:r>
      <w:r w:rsidRPr="006B06E7">
        <w:rPr>
          <w:rFonts w:cs="Times New Roman"/>
          <w:sz w:val="20"/>
          <w:szCs w:val="20"/>
        </w:rPr>
        <w:t>. World Bank.</w:t>
      </w:r>
      <w:r>
        <w:rPr>
          <w:rFonts w:cs="Times New Roman"/>
          <w:sz w:val="20"/>
          <w:szCs w:val="20"/>
        </w:rPr>
        <w:t xml:space="preserve"> </w:t>
      </w:r>
      <w:hyperlink r:id="rId34" w:history="1">
        <w:r w:rsidRPr="006B06E7">
          <w:rPr>
            <w:rStyle w:val="Hyperlink"/>
            <w:rFonts w:cs="Times New Roman"/>
            <w:sz w:val="20"/>
            <w:szCs w:val="20"/>
          </w:rPr>
          <w:t xml:space="preserve">An Empirical Economic Assessment of Impacts of Climate Change on Agriculture in Zambia by Suman </w:t>
        </w:r>
        <w:proofErr w:type="gramStart"/>
        <w:r w:rsidRPr="006B06E7">
          <w:rPr>
            <w:rStyle w:val="Hyperlink"/>
            <w:rFonts w:cs="Times New Roman"/>
            <w:sz w:val="20"/>
            <w:szCs w:val="20"/>
          </w:rPr>
          <w:t>Jain :</w:t>
        </w:r>
        <w:proofErr w:type="gramEnd"/>
        <w:r w:rsidRPr="006B06E7">
          <w:rPr>
            <w:rStyle w:val="Hyperlink"/>
            <w:rFonts w:cs="Times New Roman"/>
            <w:sz w:val="20"/>
            <w:szCs w:val="20"/>
          </w:rPr>
          <w:t>: SSRN</w:t>
        </w:r>
      </w:hyperlink>
      <w:r>
        <w:rPr>
          <w:rFonts w:cs="Times New Roman"/>
          <w:sz w:val="20"/>
          <w:szCs w:val="20"/>
        </w:rPr>
        <w:t xml:space="preserve">. </w:t>
      </w:r>
    </w:p>
    <w:p w14:paraId="186C5631" w14:textId="77777777" w:rsidR="00924FC6" w:rsidRDefault="00924FC6" w:rsidP="00C94E7F">
      <w:pPr>
        <w:spacing w:after="0" w:line="480" w:lineRule="auto"/>
        <w:ind w:left="567" w:hanging="567"/>
        <w:rPr>
          <w:rFonts w:cs="Times New Roman"/>
          <w:sz w:val="20"/>
          <w:szCs w:val="20"/>
        </w:rPr>
      </w:pPr>
      <w:proofErr w:type="spellStart"/>
      <w:r w:rsidRPr="00BC1A01">
        <w:rPr>
          <w:rFonts w:cs="Times New Roman"/>
          <w:sz w:val="20"/>
          <w:szCs w:val="20"/>
        </w:rPr>
        <w:t>Kasanga</w:t>
      </w:r>
      <w:proofErr w:type="spellEnd"/>
      <w:r w:rsidRPr="00BC1A01">
        <w:rPr>
          <w:rFonts w:cs="Times New Roman"/>
          <w:sz w:val="20"/>
          <w:szCs w:val="20"/>
        </w:rPr>
        <w:t xml:space="preserve">, K. and </w:t>
      </w:r>
      <w:proofErr w:type="spellStart"/>
      <w:r w:rsidRPr="00BC1A01">
        <w:rPr>
          <w:rFonts w:cs="Times New Roman"/>
          <w:sz w:val="20"/>
          <w:szCs w:val="20"/>
        </w:rPr>
        <w:t>Kotey</w:t>
      </w:r>
      <w:proofErr w:type="spellEnd"/>
      <w:r w:rsidRPr="00BC1A01">
        <w:rPr>
          <w:rFonts w:cs="Times New Roman"/>
          <w:sz w:val="20"/>
          <w:szCs w:val="20"/>
        </w:rPr>
        <w:t xml:space="preserve">, N.A., (2001). Land management in Ghana: Building on tradition and modernity. </w:t>
      </w:r>
      <w:r w:rsidRPr="00BC1A01">
        <w:rPr>
          <w:rFonts w:cs="Times New Roman"/>
          <w:i/>
          <w:iCs/>
          <w:sz w:val="20"/>
          <w:szCs w:val="20"/>
        </w:rPr>
        <w:t>London: International Institute for Environment and Development</w:t>
      </w:r>
      <w:r w:rsidRPr="00BC1A01">
        <w:rPr>
          <w:rFonts w:cs="Times New Roman"/>
          <w:sz w:val="20"/>
          <w:szCs w:val="20"/>
        </w:rPr>
        <w:t>.</w:t>
      </w:r>
      <w:r>
        <w:rPr>
          <w:rFonts w:cs="Times New Roman"/>
          <w:sz w:val="20"/>
          <w:szCs w:val="20"/>
        </w:rPr>
        <w:t xml:space="preserve"> </w:t>
      </w:r>
      <w:hyperlink r:id="rId35" w:history="1">
        <w:r w:rsidRPr="006B06E7">
          <w:rPr>
            <w:rStyle w:val="Hyperlink"/>
            <w:rFonts w:cs="Times New Roman"/>
            <w:sz w:val="20"/>
            <w:szCs w:val="20"/>
          </w:rPr>
          <w:t>Land Management in Ghana: Building on Tradition and Modernity | Request PDF</w:t>
        </w:r>
      </w:hyperlink>
      <w:r>
        <w:rPr>
          <w:rFonts w:cs="Times New Roman"/>
          <w:sz w:val="20"/>
          <w:szCs w:val="20"/>
        </w:rPr>
        <w:t>.</w:t>
      </w:r>
    </w:p>
    <w:p w14:paraId="0F334AEE" w14:textId="77777777" w:rsidR="00924FC6" w:rsidRPr="00BC1A01" w:rsidRDefault="00924FC6" w:rsidP="00B20C4D">
      <w:pPr>
        <w:spacing w:before="0" w:after="0" w:line="480" w:lineRule="auto"/>
        <w:rPr>
          <w:rFonts w:eastAsia="Times New Roman" w:cs="Times New Roman"/>
          <w:kern w:val="0"/>
          <w:sz w:val="20"/>
          <w:szCs w:val="20"/>
          <w14:ligatures w14:val="none"/>
        </w:rPr>
      </w:pPr>
      <w:r w:rsidRPr="00BC1A01">
        <w:rPr>
          <w:rFonts w:eastAsia="Times New Roman" w:cs="Times New Roman"/>
          <w:kern w:val="0"/>
          <w:sz w:val="20"/>
          <w:szCs w:val="20"/>
          <w14:ligatures w14:val="none"/>
        </w:rPr>
        <w:t>Lands Commission Act 2008, Act 767.</w:t>
      </w:r>
    </w:p>
    <w:p w14:paraId="3DCE379F" w14:textId="77777777" w:rsidR="00924FC6" w:rsidRDefault="00924FC6" w:rsidP="00B20C4D">
      <w:pPr>
        <w:tabs>
          <w:tab w:val="left" w:pos="540"/>
        </w:tabs>
        <w:spacing w:after="0" w:line="480" w:lineRule="auto"/>
        <w:ind w:left="567" w:hanging="567"/>
        <w:rPr>
          <w:rFonts w:cs="Times New Roman"/>
          <w:sz w:val="20"/>
          <w:szCs w:val="20"/>
        </w:rPr>
      </w:pPr>
      <w:r w:rsidRPr="00BC1A01">
        <w:rPr>
          <w:rFonts w:eastAsia="Times New Roman" w:cs="Times New Roman"/>
          <w:kern w:val="0"/>
          <w:sz w:val="20"/>
          <w:szCs w:val="20"/>
          <w14:ligatures w14:val="none"/>
        </w:rPr>
        <w:lastRenderedPageBreak/>
        <w:t xml:space="preserve">Lands Commission Annual Report. (2021). Performance-based bonus system impact on land registration efficiency. </w:t>
      </w:r>
      <w:r w:rsidRPr="00BC1A01">
        <w:rPr>
          <w:rFonts w:eastAsia="Times New Roman" w:cs="Times New Roman"/>
          <w:i/>
          <w:iCs/>
          <w:kern w:val="0"/>
          <w:sz w:val="20"/>
          <w:szCs w:val="20"/>
          <w14:ligatures w14:val="none"/>
        </w:rPr>
        <w:t>Lands Commission of Ghana</w:t>
      </w:r>
      <w:r w:rsidRPr="00BC1A01">
        <w:rPr>
          <w:rFonts w:eastAsia="Times New Roman" w:cs="Times New Roman"/>
          <w:kern w:val="0"/>
          <w:sz w:val="20"/>
          <w:szCs w:val="20"/>
          <w14:ligatures w14:val="none"/>
        </w:rPr>
        <w:t xml:space="preserve">. </w:t>
      </w:r>
      <w:hyperlink r:id="rId36" w:history="1">
        <w:r w:rsidRPr="00C94E7F">
          <w:rPr>
            <w:rStyle w:val="Hyperlink"/>
            <w:rFonts w:eastAsia="Times New Roman" w:cs="Times New Roman"/>
            <w:kern w:val="0"/>
            <w:sz w:val="20"/>
            <w:szCs w:val="20"/>
            <w14:ligatures w14:val="none"/>
          </w:rPr>
          <w:t>https://landscommission.gov.gh/annualreport2021</w:t>
        </w:r>
      </w:hyperlink>
      <w:r>
        <w:rPr>
          <w:rStyle w:val="Hyperlink"/>
          <w:rFonts w:eastAsia="Times New Roman" w:cs="Times New Roman"/>
          <w:kern w:val="0"/>
          <w:sz w:val="20"/>
          <w:szCs w:val="20"/>
          <w14:ligatures w14:val="none"/>
        </w:rPr>
        <w:t>.</w:t>
      </w:r>
      <w:r w:rsidRPr="00BC1A01">
        <w:rPr>
          <w:rStyle w:val="Hyperlink"/>
          <w:rFonts w:eastAsia="Times New Roman" w:cs="Times New Roman"/>
          <w:kern w:val="0"/>
          <w:sz w:val="20"/>
          <w:szCs w:val="20"/>
          <w14:ligatures w14:val="none"/>
        </w:rPr>
        <w:t xml:space="preserve"> </w:t>
      </w:r>
    </w:p>
    <w:p w14:paraId="2B389A37" w14:textId="77777777" w:rsidR="00924FC6" w:rsidRPr="006B06E7" w:rsidRDefault="00924FC6" w:rsidP="00B20C4D">
      <w:pPr>
        <w:spacing w:after="0" w:line="480" w:lineRule="auto"/>
        <w:ind w:left="567" w:hanging="567"/>
        <w:rPr>
          <w:rFonts w:cs="Times New Roman"/>
          <w:sz w:val="20"/>
          <w:szCs w:val="20"/>
        </w:rPr>
      </w:pPr>
      <w:proofErr w:type="spellStart"/>
      <w:r w:rsidRPr="006B06E7">
        <w:rPr>
          <w:rFonts w:cs="Times New Roman"/>
          <w:sz w:val="20"/>
          <w:szCs w:val="20"/>
        </w:rPr>
        <w:t>Lassou</w:t>
      </w:r>
      <w:proofErr w:type="spellEnd"/>
      <w:r w:rsidRPr="006B06E7">
        <w:rPr>
          <w:rFonts w:cs="Times New Roman"/>
          <w:sz w:val="20"/>
          <w:szCs w:val="20"/>
        </w:rPr>
        <w:t xml:space="preserve">, P., &amp; Hopper, T. (2016). Government accounting reform in an ex-French African colony: The political economy of neocolonialism. </w:t>
      </w:r>
      <w:r w:rsidRPr="006B06E7">
        <w:rPr>
          <w:rFonts w:cs="Times New Roman"/>
          <w:i/>
          <w:iCs/>
          <w:sz w:val="20"/>
          <w:szCs w:val="20"/>
        </w:rPr>
        <w:t>Critical Perspectives on Accounting, 36</w:t>
      </w:r>
      <w:r w:rsidRPr="006B06E7">
        <w:rPr>
          <w:rFonts w:cs="Times New Roman"/>
          <w:sz w:val="20"/>
          <w:szCs w:val="20"/>
        </w:rPr>
        <w:t>(1).</w:t>
      </w:r>
      <w:r>
        <w:rPr>
          <w:rFonts w:cs="Times New Roman"/>
          <w:sz w:val="20"/>
          <w:szCs w:val="20"/>
        </w:rPr>
        <w:t xml:space="preserve"> </w:t>
      </w:r>
      <w:hyperlink r:id="rId37" w:history="1">
        <w:r w:rsidRPr="006B06E7">
          <w:rPr>
            <w:rStyle w:val="Hyperlink"/>
            <w:rFonts w:cs="Times New Roman"/>
            <w:sz w:val="20"/>
            <w:szCs w:val="20"/>
          </w:rPr>
          <w:t>(PDF) Political economy of accounting and governance in Africa</w:t>
        </w:r>
      </w:hyperlink>
      <w:r>
        <w:rPr>
          <w:rFonts w:cs="Times New Roman"/>
          <w:sz w:val="20"/>
          <w:szCs w:val="20"/>
        </w:rPr>
        <w:t xml:space="preserve">. </w:t>
      </w:r>
    </w:p>
    <w:p w14:paraId="35810673" w14:textId="77777777" w:rsidR="00924FC6" w:rsidRPr="00BC1A01" w:rsidRDefault="00924FC6" w:rsidP="00B20C4D">
      <w:pPr>
        <w:tabs>
          <w:tab w:val="left" w:pos="540"/>
        </w:tabs>
        <w:spacing w:after="0" w:line="480" w:lineRule="auto"/>
        <w:ind w:left="567" w:hanging="567"/>
        <w:rPr>
          <w:rFonts w:cs="Times New Roman"/>
          <w:sz w:val="20"/>
          <w:szCs w:val="20"/>
        </w:rPr>
      </w:pPr>
      <w:r w:rsidRPr="00BC1A01">
        <w:rPr>
          <w:rFonts w:cs="Times New Roman"/>
          <w:sz w:val="20"/>
          <w:szCs w:val="20"/>
        </w:rPr>
        <w:t xml:space="preserve">Locke, E. A., &amp; Latham, G. P. (2004). What Should We Do about Motivation Theory? Six Recommendations for the Twenty-first Century. </w:t>
      </w:r>
      <w:r w:rsidRPr="00BC1A01">
        <w:rPr>
          <w:rFonts w:cs="Times New Roman"/>
          <w:i/>
          <w:iCs/>
          <w:sz w:val="20"/>
          <w:szCs w:val="20"/>
        </w:rPr>
        <w:t>Academy of Management Review,</w:t>
      </w:r>
      <w:r w:rsidRPr="00BC1A01">
        <w:rPr>
          <w:rFonts w:cs="Times New Roman"/>
          <w:sz w:val="20"/>
          <w:szCs w:val="20"/>
        </w:rPr>
        <w:t xml:space="preserve"> 29(3), pp.388-403.</w:t>
      </w:r>
      <w:r>
        <w:rPr>
          <w:rFonts w:cs="Times New Roman"/>
          <w:sz w:val="20"/>
          <w:szCs w:val="20"/>
        </w:rPr>
        <w:t xml:space="preserve"> </w:t>
      </w:r>
      <w:hyperlink r:id="rId38" w:history="1">
        <w:r w:rsidRPr="00F316CB">
          <w:rPr>
            <w:rStyle w:val="Hyperlink"/>
            <w:rFonts w:cs="Times New Roman"/>
            <w:sz w:val="20"/>
            <w:szCs w:val="20"/>
          </w:rPr>
          <w:t>http://dx.doi.org/10.2307/20159050</w:t>
        </w:r>
      </w:hyperlink>
      <w:r>
        <w:rPr>
          <w:rFonts w:cs="Times New Roman"/>
          <w:sz w:val="20"/>
          <w:szCs w:val="20"/>
        </w:rPr>
        <w:t xml:space="preserve">. </w:t>
      </w:r>
    </w:p>
    <w:p w14:paraId="31E134C8" w14:textId="77777777" w:rsidR="00924FC6" w:rsidRPr="00BC1A01" w:rsidRDefault="00924FC6" w:rsidP="00B20C4D">
      <w:pPr>
        <w:spacing w:after="0" w:line="480" w:lineRule="auto"/>
        <w:ind w:left="567" w:hanging="567"/>
        <w:rPr>
          <w:rFonts w:eastAsia="Times New Roman" w:cs="Times New Roman"/>
          <w:sz w:val="20"/>
          <w:szCs w:val="20"/>
        </w:rPr>
      </w:pPr>
      <w:proofErr w:type="spellStart"/>
      <w:r w:rsidRPr="00BC1A01">
        <w:rPr>
          <w:rFonts w:cs="Times New Roman"/>
          <w:sz w:val="20"/>
          <w:szCs w:val="20"/>
        </w:rPr>
        <w:t>Meybeck</w:t>
      </w:r>
      <w:proofErr w:type="spellEnd"/>
      <w:r w:rsidRPr="00BC1A01">
        <w:rPr>
          <w:rFonts w:cs="Times New Roman"/>
          <w:sz w:val="20"/>
          <w:szCs w:val="20"/>
        </w:rPr>
        <w:t xml:space="preserve">, A., Laval, E., Lévesque, R., and Parent, G., (2018). Food security and nutrition in the age of climate change. Proceedings of the International Symposium organized by the Government of Québec in collaboration with FAO. Rome: FAO. Available at: http://www.fao.org. </w:t>
      </w:r>
    </w:p>
    <w:p w14:paraId="27B2AFAE" w14:textId="77777777" w:rsidR="00924FC6" w:rsidRPr="00BC1A01" w:rsidRDefault="00924FC6" w:rsidP="00B20C4D">
      <w:pPr>
        <w:tabs>
          <w:tab w:val="left" w:pos="540"/>
        </w:tabs>
        <w:spacing w:after="0" w:line="480" w:lineRule="auto"/>
        <w:ind w:left="567" w:hanging="567"/>
        <w:rPr>
          <w:rFonts w:cs="Times New Roman"/>
          <w:sz w:val="20"/>
          <w:szCs w:val="20"/>
        </w:rPr>
      </w:pPr>
      <w:r w:rsidRPr="00BC1A01">
        <w:rPr>
          <w:rFonts w:cs="Times New Roman"/>
          <w:sz w:val="20"/>
          <w:szCs w:val="20"/>
        </w:rPr>
        <w:t xml:space="preserve">Meyer, J. W., &amp; Rowan, B., (1977). Institutionalized organizations: Formal structure as myth and ceremony. </w:t>
      </w:r>
      <w:r w:rsidRPr="00BC1A01">
        <w:rPr>
          <w:rFonts w:cs="Times New Roman"/>
          <w:i/>
          <w:iCs/>
          <w:sz w:val="20"/>
          <w:szCs w:val="20"/>
        </w:rPr>
        <w:t>American Journal of Sociology</w:t>
      </w:r>
      <w:r w:rsidRPr="00BC1A01">
        <w:rPr>
          <w:rFonts w:cs="Times New Roman"/>
          <w:sz w:val="20"/>
          <w:szCs w:val="20"/>
        </w:rPr>
        <w:t>, 83(2), pp.340-363.</w:t>
      </w:r>
      <w:r>
        <w:rPr>
          <w:rFonts w:cs="Times New Roman"/>
          <w:sz w:val="20"/>
          <w:szCs w:val="20"/>
        </w:rPr>
        <w:t xml:space="preserve"> </w:t>
      </w:r>
      <w:hyperlink r:id="rId39" w:history="1">
        <w:r w:rsidRPr="00F316CB">
          <w:rPr>
            <w:rStyle w:val="Hyperlink"/>
            <w:rFonts w:cs="Times New Roman"/>
            <w:sz w:val="20"/>
            <w:szCs w:val="20"/>
          </w:rPr>
          <w:t>https://www.jstor.org/stable/2778293</w:t>
        </w:r>
      </w:hyperlink>
      <w:r>
        <w:rPr>
          <w:rFonts w:cs="Times New Roman"/>
          <w:sz w:val="20"/>
          <w:szCs w:val="20"/>
        </w:rPr>
        <w:t xml:space="preserve">. </w:t>
      </w:r>
    </w:p>
    <w:p w14:paraId="0D0A6395" w14:textId="77777777" w:rsidR="00924FC6" w:rsidRPr="00BC1A01" w:rsidRDefault="00924FC6" w:rsidP="00B20C4D">
      <w:pPr>
        <w:spacing w:after="0" w:line="480" w:lineRule="auto"/>
        <w:ind w:left="567" w:hanging="567"/>
        <w:rPr>
          <w:rFonts w:eastAsia="Times New Roman" w:cs="Times New Roman"/>
          <w:sz w:val="20"/>
          <w:szCs w:val="20"/>
        </w:rPr>
      </w:pPr>
      <w:r w:rsidRPr="00BC1A01">
        <w:rPr>
          <w:rFonts w:cs="Times New Roman"/>
          <w:sz w:val="20"/>
          <w:szCs w:val="20"/>
        </w:rPr>
        <w:t xml:space="preserve">Ngoma, H., and Mulenga, B.P., (2019). Poverty and weather shocks: A panel data analysis of structural and stochastic poverty in Zambia. </w:t>
      </w:r>
      <w:r w:rsidRPr="00BC1A01">
        <w:rPr>
          <w:rFonts w:cs="Times New Roman"/>
          <w:i/>
          <w:iCs/>
          <w:sz w:val="20"/>
          <w:szCs w:val="20"/>
        </w:rPr>
        <w:t>Indaba Agricultural Policy Research Institute</w:t>
      </w:r>
      <w:r>
        <w:rPr>
          <w:rFonts w:cs="Times New Roman"/>
          <w:sz w:val="20"/>
          <w:szCs w:val="20"/>
        </w:rPr>
        <w:t>, (</w:t>
      </w:r>
      <w:r w:rsidRPr="00BC1A01">
        <w:rPr>
          <w:rFonts w:cs="Times New Roman"/>
          <w:sz w:val="20"/>
          <w:szCs w:val="20"/>
        </w:rPr>
        <w:t>150</w:t>
      </w:r>
      <w:r>
        <w:rPr>
          <w:rFonts w:cs="Times New Roman"/>
          <w:sz w:val="20"/>
          <w:szCs w:val="20"/>
        </w:rPr>
        <w:t>)</w:t>
      </w:r>
      <w:r w:rsidRPr="00BC1A01">
        <w:rPr>
          <w:rFonts w:cs="Times New Roman"/>
          <w:sz w:val="20"/>
          <w:szCs w:val="20"/>
        </w:rPr>
        <w:t xml:space="preserve">. </w:t>
      </w:r>
      <w:hyperlink r:id="rId40" w:history="1">
        <w:r w:rsidRPr="00F316CB">
          <w:rPr>
            <w:rStyle w:val="Hyperlink"/>
            <w:rFonts w:cs="Times New Roman"/>
            <w:sz w:val="20"/>
            <w:szCs w:val="20"/>
          </w:rPr>
          <w:t>http://www.iapri.org.zm</w:t>
        </w:r>
      </w:hyperlink>
      <w:r>
        <w:rPr>
          <w:rFonts w:cs="Times New Roman"/>
          <w:sz w:val="20"/>
          <w:szCs w:val="20"/>
        </w:rPr>
        <w:t xml:space="preserve">. </w:t>
      </w:r>
    </w:p>
    <w:p w14:paraId="629AF589" w14:textId="77777777" w:rsidR="00924FC6" w:rsidRPr="00C94E7F" w:rsidRDefault="00924FC6" w:rsidP="00B20C4D">
      <w:pPr>
        <w:tabs>
          <w:tab w:val="left" w:pos="540"/>
        </w:tabs>
        <w:spacing w:after="0" w:line="480" w:lineRule="auto"/>
        <w:ind w:left="567" w:hanging="567"/>
        <w:rPr>
          <w:rFonts w:cs="Times New Roman"/>
          <w:sz w:val="20"/>
          <w:szCs w:val="20"/>
        </w:rPr>
      </w:pPr>
      <w:proofErr w:type="spellStart"/>
      <w:r w:rsidRPr="00C94E7F">
        <w:rPr>
          <w:rFonts w:cs="Times New Roman"/>
          <w:sz w:val="20"/>
          <w:szCs w:val="20"/>
        </w:rPr>
        <w:t>Nkolola</w:t>
      </w:r>
      <w:proofErr w:type="spellEnd"/>
      <w:r w:rsidRPr="00C94E7F">
        <w:rPr>
          <w:rFonts w:cs="Times New Roman"/>
          <w:sz w:val="20"/>
          <w:szCs w:val="20"/>
        </w:rPr>
        <w:t xml:space="preserve">, N. B., </w:t>
      </w:r>
      <w:proofErr w:type="spellStart"/>
      <w:r w:rsidRPr="00C94E7F">
        <w:rPr>
          <w:rFonts w:cs="Times New Roman"/>
          <w:sz w:val="20"/>
          <w:szCs w:val="20"/>
        </w:rPr>
        <w:t>Libanda</w:t>
      </w:r>
      <w:proofErr w:type="spellEnd"/>
      <w:r w:rsidRPr="00C94E7F">
        <w:rPr>
          <w:rFonts w:cs="Times New Roman"/>
          <w:sz w:val="20"/>
          <w:szCs w:val="20"/>
        </w:rPr>
        <w:t xml:space="preserve">, J., &amp; Nyasa, L. (2016). Economic significance of agriculture for poverty reduction: The case of Zambia. </w:t>
      </w:r>
      <w:r w:rsidRPr="00C94E7F">
        <w:rPr>
          <w:rFonts w:cs="Times New Roman"/>
          <w:i/>
          <w:iCs/>
          <w:sz w:val="20"/>
          <w:szCs w:val="20"/>
        </w:rPr>
        <w:t>Archives of Current Research International, 5</w:t>
      </w:r>
      <w:r w:rsidRPr="00C94E7F">
        <w:rPr>
          <w:rFonts w:cs="Times New Roman"/>
          <w:sz w:val="20"/>
          <w:szCs w:val="20"/>
        </w:rPr>
        <w:t xml:space="preserve">(2). </w:t>
      </w:r>
      <w:hyperlink r:id="rId41" w:history="1">
        <w:r w:rsidRPr="00C94E7F">
          <w:rPr>
            <w:rStyle w:val="Hyperlink"/>
            <w:rFonts w:cs="Times New Roman"/>
            <w:sz w:val="20"/>
            <w:szCs w:val="20"/>
          </w:rPr>
          <w:t>https://doi.org/10.9734/ACRI/2016/26464</w:t>
        </w:r>
      </w:hyperlink>
      <w:r>
        <w:rPr>
          <w:rFonts w:cs="Times New Roman"/>
          <w:sz w:val="20"/>
          <w:szCs w:val="20"/>
        </w:rPr>
        <w:t>.</w:t>
      </w:r>
    </w:p>
    <w:p w14:paraId="6DCA81A0" w14:textId="77777777" w:rsidR="00924FC6" w:rsidRPr="00BC1A01" w:rsidRDefault="00924FC6" w:rsidP="00B20C4D">
      <w:pPr>
        <w:spacing w:after="0" w:line="480" w:lineRule="auto"/>
        <w:ind w:left="567" w:hanging="567"/>
        <w:rPr>
          <w:rFonts w:eastAsia="Calibri" w:cs="Times New Roman"/>
          <w:color w:val="000000" w:themeColor="text1"/>
          <w:kern w:val="0"/>
          <w:sz w:val="20"/>
          <w:szCs w:val="20"/>
          <w:shd w:val="clear" w:color="auto" w:fill="FFFFFF"/>
          <w:lang w:eastAsia="en-US"/>
          <w14:ligatures w14:val="none"/>
        </w:rPr>
      </w:pPr>
      <w:r w:rsidRPr="00BC1A01">
        <w:rPr>
          <w:rFonts w:eastAsia="Calibri" w:cs="Times New Roman"/>
          <w:color w:val="000000" w:themeColor="text1"/>
          <w:kern w:val="0"/>
          <w:sz w:val="20"/>
          <w:szCs w:val="20"/>
          <w:shd w:val="clear" w:color="auto" w:fill="FFFFFF"/>
          <w:lang w:eastAsia="en-US"/>
          <w14:ligatures w14:val="none"/>
        </w:rPr>
        <w:t>Nunnally, J.C., 1978. Psychometric Theory. 2nd ed. New York: McGraw-Hill.</w:t>
      </w:r>
      <w:r>
        <w:rPr>
          <w:rFonts w:eastAsia="Calibri" w:cs="Times New Roman"/>
          <w:color w:val="000000" w:themeColor="text1"/>
          <w:kern w:val="0"/>
          <w:sz w:val="20"/>
          <w:szCs w:val="20"/>
          <w:shd w:val="clear" w:color="auto" w:fill="FFFFFF"/>
          <w:lang w:eastAsia="en-US"/>
          <w14:ligatures w14:val="none"/>
        </w:rPr>
        <w:t xml:space="preserve"> </w:t>
      </w:r>
    </w:p>
    <w:p w14:paraId="0CDBD6CE" w14:textId="77777777" w:rsidR="00924FC6" w:rsidRPr="00BC1A01" w:rsidRDefault="00924FC6" w:rsidP="00B20C4D">
      <w:pPr>
        <w:tabs>
          <w:tab w:val="left" w:pos="540"/>
        </w:tabs>
        <w:spacing w:after="0" w:line="480" w:lineRule="auto"/>
        <w:ind w:left="567" w:hanging="567"/>
        <w:rPr>
          <w:rFonts w:cs="Times New Roman"/>
          <w:sz w:val="20"/>
          <w:szCs w:val="20"/>
        </w:rPr>
      </w:pPr>
      <w:r w:rsidRPr="00BC1A01">
        <w:rPr>
          <w:rFonts w:cs="Times New Roman"/>
          <w:sz w:val="20"/>
          <w:szCs w:val="20"/>
        </w:rPr>
        <w:t>Oliver, C. (1991). Strategic responses to institutional processes. Academy of Management Review, 16(1), 145-179.</w:t>
      </w:r>
      <w:r>
        <w:rPr>
          <w:rFonts w:cs="Times New Roman"/>
          <w:sz w:val="20"/>
          <w:szCs w:val="20"/>
        </w:rPr>
        <w:t xml:space="preserve"> </w:t>
      </w:r>
      <w:hyperlink r:id="rId42" w:history="1">
        <w:r w:rsidRPr="00F316CB">
          <w:rPr>
            <w:rStyle w:val="Hyperlink"/>
            <w:rFonts w:cs="Times New Roman"/>
            <w:sz w:val="20"/>
            <w:szCs w:val="20"/>
          </w:rPr>
          <w:t>https://www.jstor.org/stable/258610</w:t>
        </w:r>
      </w:hyperlink>
      <w:r>
        <w:rPr>
          <w:rFonts w:cs="Times New Roman"/>
          <w:sz w:val="20"/>
          <w:szCs w:val="20"/>
        </w:rPr>
        <w:t xml:space="preserve">. </w:t>
      </w:r>
    </w:p>
    <w:p w14:paraId="68CC6417" w14:textId="77777777" w:rsidR="00924FC6" w:rsidRPr="00D9607C" w:rsidRDefault="00924FC6" w:rsidP="00B20C4D">
      <w:pPr>
        <w:spacing w:after="0" w:line="480" w:lineRule="auto"/>
        <w:ind w:left="567" w:hanging="567"/>
        <w:rPr>
          <w:rFonts w:cs="Times New Roman"/>
          <w:sz w:val="20"/>
          <w:szCs w:val="20"/>
        </w:rPr>
      </w:pPr>
      <w:r w:rsidRPr="00D9607C">
        <w:rPr>
          <w:rFonts w:cs="Times New Roman"/>
          <w:sz w:val="20"/>
          <w:szCs w:val="20"/>
        </w:rPr>
        <w:t xml:space="preserve">Opondo, M., </w:t>
      </w:r>
      <w:proofErr w:type="spellStart"/>
      <w:r w:rsidRPr="00D9607C">
        <w:rPr>
          <w:rFonts w:cs="Times New Roman"/>
          <w:sz w:val="20"/>
          <w:szCs w:val="20"/>
        </w:rPr>
        <w:t>Opio</w:t>
      </w:r>
      <w:proofErr w:type="spellEnd"/>
      <w:r w:rsidRPr="00D9607C">
        <w:rPr>
          <w:rFonts w:cs="Times New Roman"/>
          <w:sz w:val="20"/>
          <w:szCs w:val="20"/>
        </w:rPr>
        <w:t xml:space="preserve">, P., &amp; </w:t>
      </w:r>
      <w:proofErr w:type="spellStart"/>
      <w:r w:rsidRPr="00D9607C">
        <w:rPr>
          <w:rFonts w:cs="Times New Roman"/>
          <w:sz w:val="20"/>
          <w:szCs w:val="20"/>
        </w:rPr>
        <w:t>Ongeti</w:t>
      </w:r>
      <w:proofErr w:type="spellEnd"/>
      <w:r w:rsidRPr="00D9607C">
        <w:rPr>
          <w:rFonts w:cs="Times New Roman"/>
          <w:sz w:val="20"/>
          <w:szCs w:val="20"/>
        </w:rPr>
        <w:t xml:space="preserve">, W. J. (2021). Land administration in Kenya: The case for leading and managing change. </w:t>
      </w:r>
      <w:r w:rsidRPr="00D9607C">
        <w:rPr>
          <w:rFonts w:cs="Times New Roman"/>
          <w:i/>
          <w:iCs/>
          <w:sz w:val="20"/>
          <w:szCs w:val="20"/>
        </w:rPr>
        <w:t>International Journal of Scientific and Research Publications, 11</w:t>
      </w:r>
      <w:r w:rsidRPr="00D9607C">
        <w:rPr>
          <w:rFonts w:cs="Times New Roman"/>
          <w:sz w:val="20"/>
          <w:szCs w:val="20"/>
        </w:rPr>
        <w:t xml:space="preserve">(5). </w:t>
      </w:r>
      <w:hyperlink r:id="rId43" w:history="1">
        <w:r w:rsidRPr="00D9607C">
          <w:rPr>
            <w:rStyle w:val="Hyperlink"/>
            <w:rFonts w:cs="Times New Roman"/>
            <w:sz w:val="20"/>
            <w:szCs w:val="20"/>
          </w:rPr>
          <w:t>https://doi.org/10.29322/IJSRP.11.05.2021.p11313</w:t>
        </w:r>
      </w:hyperlink>
      <w:r>
        <w:rPr>
          <w:rFonts w:cs="Times New Roman"/>
          <w:sz w:val="20"/>
          <w:szCs w:val="20"/>
        </w:rPr>
        <w:t>.</w:t>
      </w:r>
    </w:p>
    <w:p w14:paraId="0428BC99" w14:textId="77777777" w:rsidR="00924FC6" w:rsidRPr="00BC1A01" w:rsidRDefault="00924FC6" w:rsidP="00B20C4D">
      <w:pPr>
        <w:spacing w:after="0" w:line="480" w:lineRule="auto"/>
        <w:ind w:left="567" w:hanging="567"/>
        <w:rPr>
          <w:rFonts w:eastAsia="Calibri" w:cs="Times New Roman"/>
          <w:color w:val="000000" w:themeColor="text1"/>
          <w:kern w:val="0"/>
          <w:sz w:val="20"/>
          <w:szCs w:val="20"/>
          <w:shd w:val="clear" w:color="auto" w:fill="FFFFFF"/>
          <w:lang w:eastAsia="en-US"/>
          <w14:ligatures w14:val="none"/>
        </w:rPr>
      </w:pPr>
      <w:proofErr w:type="spellStart"/>
      <w:r w:rsidRPr="00BC1A01">
        <w:rPr>
          <w:rFonts w:eastAsia="Calibri" w:cs="Times New Roman"/>
          <w:color w:val="000000" w:themeColor="text1"/>
          <w:kern w:val="0"/>
          <w:sz w:val="20"/>
          <w:szCs w:val="20"/>
          <w:shd w:val="clear" w:color="auto" w:fill="FFFFFF"/>
          <w:lang w:eastAsia="en-US"/>
          <w14:ligatures w14:val="none"/>
        </w:rPr>
        <w:t>Parmenas</w:t>
      </w:r>
      <w:proofErr w:type="spellEnd"/>
      <w:r w:rsidRPr="00BC1A01">
        <w:rPr>
          <w:rFonts w:eastAsia="Calibri" w:cs="Times New Roman"/>
          <w:color w:val="000000" w:themeColor="text1"/>
          <w:kern w:val="0"/>
          <w:sz w:val="20"/>
          <w:szCs w:val="20"/>
          <w:shd w:val="clear" w:color="auto" w:fill="FFFFFF"/>
          <w:lang w:eastAsia="en-US"/>
          <w14:ligatures w14:val="none"/>
        </w:rPr>
        <w:t>, N. H. (2022). Employee engagement: Turn over prevention strategies and the key to improving performance management in a multinational company. </w:t>
      </w:r>
      <w:r w:rsidRPr="00BC1A01">
        <w:rPr>
          <w:rFonts w:eastAsia="Calibri" w:cs="Times New Roman"/>
          <w:i/>
          <w:iCs/>
          <w:color w:val="000000" w:themeColor="text1"/>
          <w:kern w:val="0"/>
          <w:sz w:val="20"/>
          <w:szCs w:val="20"/>
          <w:shd w:val="clear" w:color="auto" w:fill="FFFFFF"/>
          <w:lang w:eastAsia="en-US"/>
          <w14:ligatures w14:val="none"/>
        </w:rPr>
        <w:t xml:space="preserve">J. Econ. </w:t>
      </w:r>
      <w:proofErr w:type="spellStart"/>
      <w:r w:rsidRPr="00BC1A01">
        <w:rPr>
          <w:rFonts w:eastAsia="Calibri" w:cs="Times New Roman"/>
          <w:i/>
          <w:iCs/>
          <w:color w:val="000000" w:themeColor="text1"/>
          <w:kern w:val="0"/>
          <w:sz w:val="20"/>
          <w:szCs w:val="20"/>
          <w:shd w:val="clear" w:color="auto" w:fill="FFFFFF"/>
          <w:lang w:eastAsia="en-US"/>
          <w14:ligatures w14:val="none"/>
        </w:rPr>
        <w:t>Manag</w:t>
      </w:r>
      <w:proofErr w:type="spellEnd"/>
      <w:r w:rsidRPr="00BC1A01">
        <w:rPr>
          <w:rFonts w:eastAsia="Calibri" w:cs="Times New Roman"/>
          <w:i/>
          <w:iCs/>
          <w:color w:val="000000" w:themeColor="text1"/>
          <w:kern w:val="0"/>
          <w:sz w:val="20"/>
          <w:szCs w:val="20"/>
          <w:shd w:val="clear" w:color="auto" w:fill="FFFFFF"/>
          <w:lang w:eastAsia="en-US"/>
          <w14:ligatures w14:val="none"/>
        </w:rPr>
        <w:t xml:space="preserve">. </w:t>
      </w:r>
      <w:proofErr w:type="spellStart"/>
      <w:r w:rsidRPr="00BC1A01">
        <w:rPr>
          <w:rFonts w:eastAsia="Calibri" w:cs="Times New Roman"/>
          <w:i/>
          <w:iCs/>
          <w:color w:val="000000" w:themeColor="text1"/>
          <w:kern w:val="0"/>
          <w:sz w:val="20"/>
          <w:szCs w:val="20"/>
          <w:shd w:val="clear" w:color="auto" w:fill="FFFFFF"/>
          <w:lang w:eastAsia="en-US"/>
          <w14:ligatures w14:val="none"/>
        </w:rPr>
        <w:t>Entrep</w:t>
      </w:r>
      <w:proofErr w:type="spellEnd"/>
      <w:r w:rsidRPr="00BC1A01">
        <w:rPr>
          <w:rFonts w:eastAsia="Calibri" w:cs="Times New Roman"/>
          <w:i/>
          <w:iCs/>
          <w:color w:val="000000" w:themeColor="text1"/>
          <w:kern w:val="0"/>
          <w:sz w:val="20"/>
          <w:szCs w:val="20"/>
          <w:shd w:val="clear" w:color="auto" w:fill="FFFFFF"/>
          <w:lang w:eastAsia="en-US"/>
          <w14:ligatures w14:val="none"/>
        </w:rPr>
        <w:t xml:space="preserve">. </w:t>
      </w:r>
      <w:proofErr w:type="gramStart"/>
      <w:r w:rsidRPr="00BC1A01">
        <w:rPr>
          <w:rFonts w:eastAsia="Calibri" w:cs="Times New Roman"/>
          <w:i/>
          <w:iCs/>
          <w:color w:val="000000" w:themeColor="text1"/>
          <w:kern w:val="0"/>
          <w:sz w:val="20"/>
          <w:szCs w:val="20"/>
          <w:shd w:val="clear" w:color="auto" w:fill="FFFFFF"/>
          <w:lang w:eastAsia="en-US"/>
          <w14:ligatures w14:val="none"/>
        </w:rPr>
        <w:t>Bus.(</w:t>
      </w:r>
      <w:proofErr w:type="gramEnd"/>
      <w:r w:rsidRPr="00BC1A01">
        <w:rPr>
          <w:rFonts w:eastAsia="Calibri" w:cs="Times New Roman"/>
          <w:i/>
          <w:iCs/>
          <w:color w:val="000000" w:themeColor="text1"/>
          <w:kern w:val="0"/>
          <w:sz w:val="20"/>
          <w:szCs w:val="20"/>
          <w:shd w:val="clear" w:color="auto" w:fill="FFFFFF"/>
          <w:lang w:eastAsia="en-US"/>
          <w14:ligatures w14:val="none"/>
        </w:rPr>
        <w:t>JEMEB)</w:t>
      </w:r>
      <w:r w:rsidRPr="00BC1A01">
        <w:rPr>
          <w:rFonts w:eastAsia="Calibri" w:cs="Times New Roman"/>
          <w:color w:val="000000" w:themeColor="text1"/>
          <w:kern w:val="0"/>
          <w:sz w:val="20"/>
          <w:szCs w:val="20"/>
          <w:shd w:val="clear" w:color="auto" w:fill="FFFFFF"/>
          <w:lang w:eastAsia="en-US"/>
          <w14:ligatures w14:val="none"/>
        </w:rPr>
        <w:t>, </w:t>
      </w:r>
      <w:r w:rsidRPr="00BC1A01">
        <w:rPr>
          <w:rFonts w:eastAsia="Calibri" w:cs="Times New Roman"/>
          <w:i/>
          <w:iCs/>
          <w:color w:val="000000" w:themeColor="text1"/>
          <w:kern w:val="0"/>
          <w:sz w:val="20"/>
          <w:szCs w:val="20"/>
          <w:shd w:val="clear" w:color="auto" w:fill="FFFFFF"/>
          <w:lang w:eastAsia="en-US"/>
          <w14:ligatures w14:val="none"/>
        </w:rPr>
        <w:t>2</w:t>
      </w:r>
      <w:r>
        <w:rPr>
          <w:rFonts w:eastAsia="Calibri" w:cs="Times New Roman"/>
          <w:color w:val="000000" w:themeColor="text1"/>
          <w:kern w:val="0"/>
          <w:sz w:val="20"/>
          <w:szCs w:val="20"/>
          <w:shd w:val="clear" w:color="auto" w:fill="FFFFFF"/>
          <w:lang w:eastAsia="en-US"/>
          <w14:ligatures w14:val="none"/>
        </w:rPr>
        <w:t>:</w:t>
      </w:r>
      <w:r w:rsidRPr="00BC1A01">
        <w:rPr>
          <w:rFonts w:eastAsia="Calibri" w:cs="Times New Roman"/>
          <w:color w:val="000000" w:themeColor="text1"/>
          <w:kern w:val="0"/>
          <w:sz w:val="20"/>
          <w:szCs w:val="20"/>
          <w:shd w:val="clear" w:color="auto" w:fill="FFFFFF"/>
          <w:lang w:eastAsia="en-US"/>
          <w14:ligatures w14:val="none"/>
        </w:rPr>
        <w:t>8-12.</w:t>
      </w:r>
      <w:r>
        <w:rPr>
          <w:rFonts w:eastAsia="Calibri" w:cs="Times New Roman"/>
          <w:color w:val="000000" w:themeColor="text1"/>
          <w:kern w:val="0"/>
          <w:sz w:val="20"/>
          <w:szCs w:val="20"/>
          <w:shd w:val="clear" w:color="auto" w:fill="FFFFFF"/>
          <w:lang w:eastAsia="en-US"/>
          <w14:ligatures w14:val="none"/>
        </w:rPr>
        <w:t xml:space="preserve"> </w:t>
      </w:r>
      <w:hyperlink r:id="rId44" w:history="1">
        <w:r w:rsidRPr="00F316CB">
          <w:rPr>
            <w:rStyle w:val="Hyperlink"/>
            <w:rFonts w:eastAsia="Calibri" w:cs="Times New Roman"/>
            <w:kern w:val="0"/>
            <w:sz w:val="20"/>
            <w:szCs w:val="20"/>
            <w:shd w:val="clear" w:color="auto" w:fill="FFFFFF"/>
            <w:lang w:eastAsia="en-US"/>
            <w14:ligatures w14:val="none"/>
          </w:rPr>
          <w:t>http://dx.doi.org/10.52909/jemeb.v2i1.70</w:t>
        </w:r>
      </w:hyperlink>
      <w:r>
        <w:rPr>
          <w:rFonts w:eastAsia="Calibri" w:cs="Times New Roman"/>
          <w:color w:val="000000" w:themeColor="text1"/>
          <w:kern w:val="0"/>
          <w:sz w:val="20"/>
          <w:szCs w:val="20"/>
          <w:shd w:val="clear" w:color="auto" w:fill="FFFFFF"/>
          <w:lang w:eastAsia="en-US"/>
          <w14:ligatures w14:val="none"/>
        </w:rPr>
        <w:t xml:space="preserve">. </w:t>
      </w:r>
    </w:p>
    <w:p w14:paraId="29D7DED3" w14:textId="77777777" w:rsidR="00924FC6" w:rsidRDefault="00924FC6" w:rsidP="00B20C4D">
      <w:pPr>
        <w:spacing w:after="0" w:line="480" w:lineRule="auto"/>
        <w:ind w:left="567" w:hanging="567"/>
        <w:rPr>
          <w:rFonts w:eastAsia="Calibri" w:cs="Times New Roman"/>
          <w:color w:val="000000" w:themeColor="text1"/>
          <w:kern w:val="0"/>
          <w:sz w:val="20"/>
          <w:szCs w:val="20"/>
          <w:shd w:val="clear" w:color="auto" w:fill="FFFFFF"/>
          <w:lang w:eastAsia="en-US"/>
          <w14:ligatures w14:val="none"/>
        </w:rPr>
      </w:pPr>
      <w:r w:rsidRPr="007C78B0">
        <w:rPr>
          <w:rFonts w:eastAsia="Calibri" w:cs="Times New Roman"/>
          <w:color w:val="000000" w:themeColor="text1"/>
          <w:kern w:val="0"/>
          <w:sz w:val="20"/>
          <w:szCs w:val="20"/>
          <w:shd w:val="clear" w:color="auto" w:fill="FFFFFF"/>
          <w:lang w:eastAsia="en-US"/>
          <w14:ligatures w14:val="none"/>
        </w:rPr>
        <w:lastRenderedPageBreak/>
        <w:t xml:space="preserve">Perry, J. L. (2014). The motivational bases of public service: Foundations for a third wave of research. </w:t>
      </w:r>
      <w:r w:rsidRPr="007C78B0">
        <w:rPr>
          <w:rFonts w:eastAsia="Calibri" w:cs="Times New Roman"/>
          <w:i/>
          <w:iCs/>
          <w:color w:val="000000" w:themeColor="text1"/>
          <w:kern w:val="0"/>
          <w:sz w:val="20"/>
          <w:szCs w:val="20"/>
          <w:shd w:val="clear" w:color="auto" w:fill="FFFFFF"/>
          <w:lang w:eastAsia="en-US"/>
          <w14:ligatures w14:val="none"/>
        </w:rPr>
        <w:t>Asia Pacific Journal of Public Administration, 36</w:t>
      </w:r>
      <w:r w:rsidRPr="007C78B0">
        <w:rPr>
          <w:rFonts w:eastAsia="Calibri" w:cs="Times New Roman"/>
          <w:color w:val="000000" w:themeColor="text1"/>
          <w:kern w:val="0"/>
          <w:sz w:val="20"/>
          <w:szCs w:val="20"/>
          <w:shd w:val="clear" w:color="auto" w:fill="FFFFFF"/>
          <w:lang w:eastAsia="en-US"/>
          <w14:ligatures w14:val="none"/>
        </w:rPr>
        <w:t xml:space="preserve">(1), 34–47. </w:t>
      </w:r>
      <w:hyperlink r:id="rId45" w:history="1">
        <w:r w:rsidRPr="00F316CB">
          <w:rPr>
            <w:rStyle w:val="Hyperlink"/>
            <w:rFonts w:eastAsia="Calibri" w:cs="Times New Roman"/>
            <w:kern w:val="0"/>
            <w:sz w:val="20"/>
            <w:szCs w:val="20"/>
            <w:shd w:val="clear" w:color="auto" w:fill="FFFFFF"/>
            <w:lang w:eastAsia="en-US"/>
            <w14:ligatures w14:val="none"/>
          </w:rPr>
          <w:t>https://doi.org/10.1080/23276665.2014.892272</w:t>
        </w:r>
      </w:hyperlink>
    </w:p>
    <w:p w14:paraId="598C02B1" w14:textId="77777777" w:rsidR="00924FC6" w:rsidRPr="00BC1A01" w:rsidRDefault="00924FC6" w:rsidP="00B20C4D">
      <w:pPr>
        <w:spacing w:after="0" w:line="480" w:lineRule="auto"/>
        <w:ind w:left="567" w:hanging="567"/>
        <w:rPr>
          <w:rFonts w:eastAsia="Times New Roman" w:cs="Times New Roman"/>
          <w:sz w:val="20"/>
          <w:szCs w:val="20"/>
        </w:rPr>
      </w:pPr>
      <w:proofErr w:type="spellStart"/>
      <w:r w:rsidRPr="00BC1A01">
        <w:rPr>
          <w:rFonts w:eastAsia="Times New Roman" w:cs="Times New Roman"/>
          <w:sz w:val="20"/>
          <w:szCs w:val="20"/>
        </w:rPr>
        <w:t>Renjith</w:t>
      </w:r>
      <w:proofErr w:type="spellEnd"/>
      <w:r w:rsidRPr="00BC1A01">
        <w:rPr>
          <w:rFonts w:eastAsia="Times New Roman" w:cs="Times New Roman"/>
          <w:sz w:val="20"/>
          <w:szCs w:val="20"/>
        </w:rPr>
        <w:t xml:space="preserve">, V., </w:t>
      </w:r>
      <w:proofErr w:type="spellStart"/>
      <w:r w:rsidRPr="00BC1A01">
        <w:rPr>
          <w:rFonts w:eastAsia="Times New Roman" w:cs="Times New Roman"/>
          <w:sz w:val="20"/>
          <w:szCs w:val="20"/>
        </w:rPr>
        <w:t>Yesodharan</w:t>
      </w:r>
      <w:proofErr w:type="spellEnd"/>
      <w:r w:rsidRPr="00BC1A01">
        <w:rPr>
          <w:rFonts w:eastAsia="Times New Roman" w:cs="Times New Roman"/>
          <w:sz w:val="20"/>
          <w:szCs w:val="20"/>
        </w:rPr>
        <w:t xml:space="preserve">, R., Noronha, J. A., Ladd, E., &amp; George, A. (2021). Qualitative methods in health care research. </w:t>
      </w:r>
      <w:r w:rsidRPr="00BC1A01">
        <w:rPr>
          <w:rFonts w:eastAsia="Times New Roman" w:cs="Times New Roman"/>
          <w:i/>
          <w:iCs/>
          <w:sz w:val="20"/>
          <w:szCs w:val="20"/>
        </w:rPr>
        <w:t>International journal of preventive medicine</w:t>
      </w:r>
      <w:r w:rsidRPr="00BC1A01">
        <w:rPr>
          <w:rFonts w:eastAsia="Times New Roman" w:cs="Times New Roman"/>
          <w:sz w:val="20"/>
          <w:szCs w:val="20"/>
        </w:rPr>
        <w:t xml:space="preserve">, </w:t>
      </w:r>
      <w:r w:rsidRPr="00BC1A01">
        <w:rPr>
          <w:rFonts w:eastAsia="Times New Roman" w:cs="Times New Roman"/>
          <w:i/>
          <w:iCs/>
          <w:sz w:val="20"/>
          <w:szCs w:val="20"/>
        </w:rPr>
        <w:t>12</w:t>
      </w:r>
      <w:r w:rsidRPr="00BC1A01">
        <w:rPr>
          <w:rFonts w:eastAsia="Times New Roman" w:cs="Times New Roman"/>
          <w:sz w:val="20"/>
          <w:szCs w:val="20"/>
        </w:rPr>
        <w:t>(1)</w:t>
      </w:r>
      <w:r>
        <w:rPr>
          <w:rFonts w:eastAsia="Times New Roman" w:cs="Times New Roman"/>
          <w:sz w:val="20"/>
          <w:szCs w:val="20"/>
        </w:rPr>
        <w:t xml:space="preserve">: </w:t>
      </w:r>
      <w:r w:rsidRPr="00BC1A01">
        <w:rPr>
          <w:rFonts w:eastAsia="Times New Roman" w:cs="Times New Roman"/>
          <w:sz w:val="20"/>
          <w:szCs w:val="20"/>
        </w:rPr>
        <w:t>20.</w:t>
      </w:r>
      <w:r>
        <w:rPr>
          <w:rFonts w:eastAsia="Times New Roman" w:cs="Times New Roman"/>
          <w:sz w:val="20"/>
          <w:szCs w:val="20"/>
        </w:rPr>
        <w:t xml:space="preserve"> </w:t>
      </w:r>
      <w:hyperlink r:id="rId46" w:history="1">
        <w:r w:rsidRPr="00F316CB">
          <w:rPr>
            <w:rStyle w:val="Hyperlink"/>
            <w:rFonts w:eastAsia="Times New Roman" w:cs="Times New Roman"/>
            <w:sz w:val="20"/>
            <w:szCs w:val="20"/>
          </w:rPr>
          <w:t>https://doi.org/10.4103/ijpvm.ijpvm_321_19</w:t>
        </w:r>
      </w:hyperlink>
      <w:r>
        <w:rPr>
          <w:rFonts w:eastAsia="Times New Roman" w:cs="Times New Roman"/>
          <w:sz w:val="20"/>
          <w:szCs w:val="20"/>
        </w:rPr>
        <w:t xml:space="preserve">. </w:t>
      </w:r>
    </w:p>
    <w:p w14:paraId="6B50296C" w14:textId="77777777" w:rsidR="00924FC6" w:rsidRPr="001468A2" w:rsidRDefault="00924FC6" w:rsidP="00B20C4D">
      <w:pPr>
        <w:tabs>
          <w:tab w:val="left" w:pos="540"/>
        </w:tabs>
        <w:spacing w:after="0" w:line="480" w:lineRule="auto"/>
        <w:ind w:left="567" w:hanging="567"/>
        <w:rPr>
          <w:rFonts w:cs="Times New Roman"/>
          <w:sz w:val="20"/>
          <w:szCs w:val="20"/>
        </w:rPr>
      </w:pPr>
      <w:r w:rsidRPr="001468A2">
        <w:rPr>
          <w:rFonts w:cs="Times New Roman"/>
          <w:sz w:val="20"/>
          <w:szCs w:val="20"/>
        </w:rPr>
        <w:t xml:space="preserve">Ritz, A., Brewer, G. A., &amp; Neumann, O. (2016). Public service motivation: A systematic literature review and outlook. </w:t>
      </w:r>
      <w:r w:rsidRPr="001468A2">
        <w:rPr>
          <w:rFonts w:cs="Times New Roman"/>
          <w:i/>
          <w:iCs/>
          <w:sz w:val="20"/>
          <w:szCs w:val="20"/>
        </w:rPr>
        <w:t>Public Administration Review, 76</w:t>
      </w:r>
      <w:r w:rsidRPr="001468A2">
        <w:rPr>
          <w:rFonts w:cs="Times New Roman"/>
          <w:sz w:val="20"/>
          <w:szCs w:val="20"/>
        </w:rPr>
        <w:t xml:space="preserve">(3), 414–426. </w:t>
      </w:r>
      <w:hyperlink r:id="rId47" w:history="1">
        <w:r w:rsidRPr="001468A2">
          <w:rPr>
            <w:rStyle w:val="Hyperlink"/>
            <w:rFonts w:cs="Times New Roman"/>
            <w:sz w:val="20"/>
            <w:szCs w:val="20"/>
          </w:rPr>
          <w:t>https://doi.org/10.1111/puar.12505</w:t>
        </w:r>
      </w:hyperlink>
    </w:p>
    <w:p w14:paraId="7D520E5D" w14:textId="77777777" w:rsidR="00924FC6" w:rsidRDefault="00924FC6" w:rsidP="003F1714">
      <w:pPr>
        <w:spacing w:after="0" w:line="480" w:lineRule="auto"/>
        <w:ind w:left="567" w:hanging="567"/>
        <w:rPr>
          <w:rFonts w:eastAsia="Times New Roman" w:cs="Times New Roman"/>
          <w:sz w:val="20"/>
          <w:szCs w:val="20"/>
        </w:rPr>
      </w:pPr>
      <w:r w:rsidRPr="00EB6D3F">
        <w:rPr>
          <w:rFonts w:cs="Times New Roman"/>
          <w:sz w:val="20"/>
          <w:szCs w:val="20"/>
        </w:rPr>
        <w:t>Ryan, R. M., &amp; Deci, E. L. (2017). </w:t>
      </w:r>
      <w:r w:rsidRPr="00EB6D3F">
        <w:rPr>
          <w:rFonts w:cs="Times New Roman"/>
          <w:i/>
          <w:iCs/>
          <w:sz w:val="20"/>
          <w:szCs w:val="20"/>
        </w:rPr>
        <w:t>Self-determination theory: Basic psychological needs in motivation, development, and wellness.</w:t>
      </w:r>
      <w:r w:rsidRPr="00EB6D3F">
        <w:rPr>
          <w:rFonts w:cs="Times New Roman"/>
          <w:sz w:val="20"/>
          <w:szCs w:val="20"/>
        </w:rPr>
        <w:t> The Guilford Press. </w:t>
      </w:r>
      <w:hyperlink r:id="rId48" w:tgtFrame="_blank" w:history="1">
        <w:r w:rsidRPr="00EB6D3F">
          <w:rPr>
            <w:rStyle w:val="Hyperlink"/>
            <w:rFonts w:cs="Times New Roman"/>
            <w:sz w:val="20"/>
            <w:szCs w:val="20"/>
          </w:rPr>
          <w:t>https://doi.org/10.1521/978.14625/28806</w:t>
        </w:r>
      </w:hyperlink>
    </w:p>
    <w:p w14:paraId="4FFE08FC" w14:textId="77777777" w:rsidR="00924FC6" w:rsidRPr="00C94E7F" w:rsidRDefault="00924FC6" w:rsidP="00C94E7F">
      <w:pPr>
        <w:spacing w:after="0" w:line="480" w:lineRule="auto"/>
        <w:ind w:left="567" w:hanging="567"/>
        <w:rPr>
          <w:rFonts w:cs="Times New Roman"/>
          <w:sz w:val="20"/>
          <w:szCs w:val="20"/>
        </w:rPr>
      </w:pPr>
      <w:r w:rsidRPr="00C94E7F">
        <w:rPr>
          <w:rFonts w:eastAsia="Times New Roman" w:cs="Times New Roman"/>
          <w:kern w:val="0"/>
          <w:sz w:val="20"/>
          <w:szCs w:val="20"/>
          <w14:ligatures w14:val="none"/>
        </w:rPr>
        <w:t>Saleem, S., Khan, K. I., &amp; Syed, S. A. (2021). Barriers to creative thinking and organizational performance: Mediating role of employee creativity.</w:t>
      </w:r>
      <w:r>
        <w:rPr>
          <w:rFonts w:eastAsia="Times New Roman" w:cs="Times New Roman"/>
          <w:kern w:val="0"/>
          <w:sz w:val="20"/>
          <w:szCs w:val="20"/>
          <w14:ligatures w14:val="none"/>
        </w:rPr>
        <w:t xml:space="preserve"> </w:t>
      </w:r>
      <w:r w:rsidRPr="00C94E7F">
        <w:rPr>
          <w:rFonts w:eastAsia="Times New Roman" w:cs="Times New Roman"/>
          <w:i/>
          <w:iCs/>
          <w:kern w:val="0"/>
          <w:sz w:val="20"/>
          <w:szCs w:val="20"/>
          <w14:ligatures w14:val="none"/>
        </w:rPr>
        <w:t>Journal of Behavioral Sciences</w:t>
      </w:r>
      <w:r>
        <w:rPr>
          <w:rFonts w:eastAsia="Times New Roman" w:cs="Times New Roman"/>
          <w:i/>
          <w:iCs/>
          <w:kern w:val="0"/>
          <w:sz w:val="20"/>
          <w:szCs w:val="20"/>
          <w14:ligatures w14:val="none"/>
        </w:rPr>
        <w:t xml:space="preserve">, </w:t>
      </w:r>
      <w:r>
        <w:rPr>
          <w:rFonts w:eastAsia="Times New Roman" w:cs="Times New Roman"/>
          <w:kern w:val="0"/>
          <w:sz w:val="20"/>
          <w:szCs w:val="20"/>
          <w14:ligatures w14:val="none"/>
        </w:rPr>
        <w:t xml:space="preserve">31(2). </w:t>
      </w:r>
      <w:hyperlink r:id="rId49" w:history="1">
        <w:r w:rsidRPr="00C94E7F">
          <w:rPr>
            <w:rStyle w:val="Hyperlink"/>
            <w:rFonts w:eastAsia="Times New Roman" w:cs="Times New Roman"/>
            <w:kern w:val="0"/>
            <w:sz w:val="20"/>
            <w:szCs w:val="20"/>
            <w14:ligatures w14:val="none"/>
          </w:rPr>
          <w:t>(PDF) Barriers to Creative Thinking and Organizational Performance: Mediating Role of Employee Creativity</w:t>
        </w:r>
      </w:hyperlink>
      <w:r>
        <w:rPr>
          <w:rFonts w:eastAsia="Times New Roman" w:cs="Times New Roman"/>
          <w:kern w:val="0"/>
          <w:sz w:val="20"/>
          <w:szCs w:val="20"/>
          <w14:ligatures w14:val="none"/>
        </w:rPr>
        <w:t xml:space="preserve">. </w:t>
      </w:r>
    </w:p>
    <w:p w14:paraId="5FAB877B" w14:textId="77777777" w:rsidR="00924FC6" w:rsidRPr="00BC1A01" w:rsidRDefault="00924FC6" w:rsidP="00B20C4D">
      <w:pPr>
        <w:tabs>
          <w:tab w:val="left" w:pos="540"/>
        </w:tabs>
        <w:spacing w:after="0" w:line="480" w:lineRule="auto"/>
        <w:ind w:left="567" w:hanging="567"/>
        <w:rPr>
          <w:rFonts w:cs="Times New Roman"/>
          <w:sz w:val="20"/>
          <w:szCs w:val="20"/>
        </w:rPr>
      </w:pPr>
      <w:proofErr w:type="spellStart"/>
      <w:r w:rsidRPr="00BC1A01">
        <w:rPr>
          <w:rFonts w:cs="Times New Roman"/>
          <w:sz w:val="20"/>
          <w:szCs w:val="20"/>
        </w:rPr>
        <w:t>Steiss</w:t>
      </w:r>
      <w:proofErr w:type="spellEnd"/>
      <w:r w:rsidRPr="00BC1A01">
        <w:rPr>
          <w:rFonts w:cs="Times New Roman"/>
          <w:sz w:val="20"/>
          <w:szCs w:val="20"/>
        </w:rPr>
        <w:t>, A. W. (2019). Strategic Management for Public and Nonprofit Organizations. Routledge.</w:t>
      </w:r>
      <w:r>
        <w:rPr>
          <w:rFonts w:cs="Times New Roman"/>
          <w:sz w:val="20"/>
          <w:szCs w:val="20"/>
        </w:rPr>
        <w:t xml:space="preserve"> </w:t>
      </w:r>
      <w:hyperlink r:id="rId50" w:history="1">
        <w:r w:rsidRPr="00F316CB">
          <w:rPr>
            <w:rStyle w:val="Hyperlink"/>
            <w:rFonts w:cs="Times New Roman"/>
            <w:sz w:val="20"/>
            <w:szCs w:val="20"/>
          </w:rPr>
          <w:t>https://doi.org/10.4324/9781482275865</w:t>
        </w:r>
      </w:hyperlink>
      <w:r>
        <w:rPr>
          <w:rFonts w:cs="Times New Roman"/>
          <w:sz w:val="20"/>
          <w:szCs w:val="20"/>
        </w:rPr>
        <w:t xml:space="preserve">. </w:t>
      </w:r>
    </w:p>
    <w:p w14:paraId="52797504" w14:textId="77777777" w:rsidR="00924FC6" w:rsidRPr="00BC1A01" w:rsidRDefault="00924FC6" w:rsidP="00B20C4D">
      <w:pPr>
        <w:tabs>
          <w:tab w:val="left" w:pos="540"/>
        </w:tabs>
        <w:spacing w:after="0" w:line="480" w:lineRule="auto"/>
        <w:ind w:left="567" w:hanging="567"/>
        <w:rPr>
          <w:rFonts w:cs="Times New Roman"/>
          <w:sz w:val="20"/>
          <w:szCs w:val="20"/>
        </w:rPr>
      </w:pPr>
      <w:proofErr w:type="spellStart"/>
      <w:r w:rsidRPr="00BC1A01">
        <w:rPr>
          <w:rFonts w:cs="Times New Roman"/>
          <w:sz w:val="20"/>
          <w:szCs w:val="20"/>
        </w:rPr>
        <w:t>Ubink</w:t>
      </w:r>
      <w:proofErr w:type="spellEnd"/>
      <w:r w:rsidRPr="00BC1A01">
        <w:rPr>
          <w:rFonts w:cs="Times New Roman"/>
          <w:sz w:val="20"/>
          <w:szCs w:val="20"/>
        </w:rPr>
        <w:t xml:space="preserve">, J.M. and Quan, J.F., (2008). How to combine tradition and modernity? Regulating customary land management in Ghana. In: J.M. </w:t>
      </w:r>
      <w:proofErr w:type="spellStart"/>
      <w:r w:rsidRPr="00BC1A01">
        <w:rPr>
          <w:rFonts w:cs="Times New Roman"/>
          <w:sz w:val="20"/>
          <w:szCs w:val="20"/>
        </w:rPr>
        <w:t>Ubink</w:t>
      </w:r>
      <w:proofErr w:type="spellEnd"/>
      <w:r w:rsidRPr="00BC1A01">
        <w:rPr>
          <w:rFonts w:cs="Times New Roman"/>
          <w:sz w:val="20"/>
          <w:szCs w:val="20"/>
        </w:rPr>
        <w:t xml:space="preserve">, A. </w:t>
      </w:r>
      <w:proofErr w:type="spellStart"/>
      <w:r w:rsidRPr="00BC1A01">
        <w:rPr>
          <w:rFonts w:cs="Times New Roman"/>
          <w:sz w:val="20"/>
          <w:szCs w:val="20"/>
        </w:rPr>
        <w:t>Antwi</w:t>
      </w:r>
      <w:proofErr w:type="spellEnd"/>
      <w:r w:rsidRPr="00BC1A01">
        <w:rPr>
          <w:rFonts w:cs="Times New Roman"/>
          <w:sz w:val="20"/>
          <w:szCs w:val="20"/>
        </w:rPr>
        <w:t xml:space="preserve"> and J. Quan, eds. </w:t>
      </w:r>
      <w:proofErr w:type="spellStart"/>
      <w:r w:rsidRPr="00BC1A01">
        <w:rPr>
          <w:rFonts w:cs="Times New Roman"/>
          <w:sz w:val="20"/>
          <w:szCs w:val="20"/>
        </w:rPr>
        <w:t>Legalising</w:t>
      </w:r>
      <w:proofErr w:type="spellEnd"/>
      <w:r w:rsidRPr="00BC1A01">
        <w:rPr>
          <w:rFonts w:cs="Times New Roman"/>
          <w:sz w:val="20"/>
          <w:szCs w:val="20"/>
        </w:rPr>
        <w:t xml:space="preserve"> Land Rights: Local Practices, State Responses and Tenure Security in Africa, Asia and Latin America. </w:t>
      </w:r>
      <w:r w:rsidRPr="00BC1A01">
        <w:rPr>
          <w:rFonts w:cs="Times New Roman"/>
          <w:i/>
          <w:iCs/>
          <w:sz w:val="20"/>
          <w:szCs w:val="20"/>
        </w:rPr>
        <w:t>Leiden: Leiden University Press</w:t>
      </w:r>
      <w:r w:rsidRPr="00BC1A01">
        <w:rPr>
          <w:rFonts w:cs="Times New Roman"/>
          <w:sz w:val="20"/>
          <w:szCs w:val="20"/>
        </w:rPr>
        <w:t>,</w:t>
      </w:r>
      <w:r>
        <w:rPr>
          <w:rFonts w:cs="Times New Roman"/>
          <w:sz w:val="20"/>
          <w:szCs w:val="20"/>
        </w:rPr>
        <w:t xml:space="preserve"> </w:t>
      </w:r>
      <w:r w:rsidRPr="00BC1A01">
        <w:rPr>
          <w:rFonts w:cs="Times New Roman"/>
          <w:sz w:val="20"/>
          <w:szCs w:val="20"/>
        </w:rPr>
        <w:t>161-191.</w:t>
      </w:r>
      <w:r>
        <w:rPr>
          <w:rFonts w:cs="Times New Roman"/>
          <w:sz w:val="20"/>
          <w:szCs w:val="20"/>
        </w:rPr>
        <w:t xml:space="preserve"> </w:t>
      </w:r>
      <w:hyperlink r:id="rId51" w:history="1">
        <w:r w:rsidRPr="00F316CB">
          <w:rPr>
            <w:rStyle w:val="Hyperlink"/>
            <w:rFonts w:cs="Times New Roman"/>
            <w:sz w:val="20"/>
            <w:szCs w:val="20"/>
          </w:rPr>
          <w:t>https://doi.org/10.1016/j.landusepol.2007.06.002</w:t>
        </w:r>
      </w:hyperlink>
      <w:r>
        <w:rPr>
          <w:rFonts w:cs="Times New Roman"/>
          <w:sz w:val="20"/>
          <w:szCs w:val="20"/>
        </w:rPr>
        <w:t xml:space="preserve">. </w:t>
      </w:r>
    </w:p>
    <w:p w14:paraId="188AF38C" w14:textId="77777777" w:rsidR="00924FC6" w:rsidRPr="001D1D80" w:rsidRDefault="00924FC6" w:rsidP="00B20C4D">
      <w:pPr>
        <w:tabs>
          <w:tab w:val="left" w:pos="540"/>
        </w:tabs>
        <w:spacing w:after="0" w:line="480" w:lineRule="auto"/>
        <w:ind w:left="567" w:hanging="567"/>
        <w:rPr>
          <w:rFonts w:cs="Times New Roman"/>
          <w:sz w:val="20"/>
          <w:szCs w:val="20"/>
        </w:rPr>
      </w:pPr>
      <w:r w:rsidRPr="001D1D80">
        <w:rPr>
          <w:rFonts w:cs="Times New Roman"/>
          <w:sz w:val="20"/>
          <w:szCs w:val="20"/>
        </w:rPr>
        <w:t xml:space="preserve">Ullah, S. (2012). Customer satisfaction, perceived service quality, and mediating role of perceived value. </w:t>
      </w:r>
      <w:r w:rsidRPr="001D1D80">
        <w:rPr>
          <w:rFonts w:cs="Times New Roman"/>
          <w:i/>
          <w:iCs/>
          <w:sz w:val="20"/>
          <w:szCs w:val="20"/>
        </w:rPr>
        <w:t>International Journal of Marketing Studies</w:t>
      </w:r>
      <w:r w:rsidRPr="001D1D80">
        <w:rPr>
          <w:rFonts w:cs="Times New Roman"/>
          <w:sz w:val="20"/>
          <w:szCs w:val="20"/>
        </w:rPr>
        <w:t xml:space="preserve">, 4(1), 68. </w:t>
      </w:r>
      <w:hyperlink r:id="rId52" w:history="1">
        <w:r w:rsidRPr="001D1D80">
          <w:rPr>
            <w:rStyle w:val="Hyperlink"/>
            <w:rFonts w:cs="Times New Roman"/>
            <w:sz w:val="20"/>
            <w:szCs w:val="20"/>
          </w:rPr>
          <w:t>https://doi.org/10.5539/ijms.v4n1p68</w:t>
        </w:r>
      </w:hyperlink>
    </w:p>
    <w:p w14:paraId="25ADF437" w14:textId="77777777" w:rsidR="00924FC6" w:rsidRPr="00BC1A01" w:rsidRDefault="00924FC6" w:rsidP="00B20C4D">
      <w:pPr>
        <w:tabs>
          <w:tab w:val="left" w:pos="540"/>
        </w:tabs>
        <w:spacing w:after="0" w:line="480" w:lineRule="auto"/>
        <w:ind w:left="567" w:hanging="567"/>
        <w:rPr>
          <w:rFonts w:cs="Times New Roman"/>
          <w:sz w:val="20"/>
          <w:szCs w:val="20"/>
        </w:rPr>
      </w:pPr>
      <w:proofErr w:type="spellStart"/>
      <w:r w:rsidRPr="00BC1A01">
        <w:rPr>
          <w:rFonts w:cs="Times New Roman"/>
          <w:sz w:val="20"/>
          <w:szCs w:val="20"/>
        </w:rPr>
        <w:t>Vandenabeele</w:t>
      </w:r>
      <w:proofErr w:type="spellEnd"/>
      <w:r w:rsidRPr="00BC1A01">
        <w:rPr>
          <w:rFonts w:cs="Times New Roman"/>
          <w:sz w:val="20"/>
          <w:szCs w:val="20"/>
        </w:rPr>
        <w:t xml:space="preserve">, W. (2014). Explaining public service motivation: The role of leadership and basic needs. </w:t>
      </w:r>
      <w:r w:rsidRPr="00BC1A01">
        <w:rPr>
          <w:rFonts w:cs="Times New Roman"/>
          <w:i/>
          <w:iCs/>
          <w:sz w:val="20"/>
          <w:szCs w:val="20"/>
        </w:rPr>
        <w:t>Review of Public Personnel Administration</w:t>
      </w:r>
      <w:r w:rsidRPr="00BC1A01">
        <w:rPr>
          <w:rFonts w:cs="Times New Roman"/>
          <w:sz w:val="20"/>
          <w:szCs w:val="20"/>
        </w:rPr>
        <w:t>, 34(2), pp.153-173.</w:t>
      </w:r>
      <w:r>
        <w:rPr>
          <w:rFonts w:cs="Times New Roman"/>
          <w:sz w:val="20"/>
          <w:szCs w:val="20"/>
        </w:rPr>
        <w:t xml:space="preserve"> </w:t>
      </w:r>
      <w:hyperlink r:id="rId53" w:history="1">
        <w:r w:rsidRPr="00F316CB">
          <w:rPr>
            <w:rStyle w:val="Hyperlink"/>
            <w:rFonts w:cs="Times New Roman"/>
            <w:sz w:val="20"/>
            <w:szCs w:val="20"/>
          </w:rPr>
          <w:t>https://doi.org/10.1177/0734371X14521458</w:t>
        </w:r>
      </w:hyperlink>
      <w:r>
        <w:rPr>
          <w:rFonts w:cs="Times New Roman"/>
          <w:sz w:val="20"/>
          <w:szCs w:val="20"/>
        </w:rPr>
        <w:t xml:space="preserve">. </w:t>
      </w:r>
    </w:p>
    <w:p w14:paraId="1D7E97DB" w14:textId="77777777" w:rsidR="00924FC6" w:rsidRPr="00BC1A01" w:rsidRDefault="00924FC6" w:rsidP="00B20C4D">
      <w:pPr>
        <w:tabs>
          <w:tab w:val="left" w:pos="540"/>
        </w:tabs>
        <w:spacing w:after="0" w:line="480" w:lineRule="auto"/>
        <w:ind w:left="567" w:hanging="567"/>
        <w:rPr>
          <w:rFonts w:cs="Times New Roman"/>
          <w:sz w:val="20"/>
          <w:szCs w:val="20"/>
        </w:rPr>
      </w:pPr>
      <w:r w:rsidRPr="00BC1A01">
        <w:rPr>
          <w:rFonts w:cs="Times New Roman"/>
          <w:sz w:val="20"/>
          <w:szCs w:val="20"/>
        </w:rPr>
        <w:t>World Bank. (2016). World Development Report, (2016): Digital Dividends. World Bank Publications.</w:t>
      </w:r>
      <w:r>
        <w:rPr>
          <w:rFonts w:cs="Times New Roman"/>
          <w:sz w:val="20"/>
          <w:szCs w:val="20"/>
        </w:rPr>
        <w:t xml:space="preserve"> </w:t>
      </w:r>
      <w:hyperlink r:id="rId54" w:history="1">
        <w:r w:rsidRPr="00924FC6">
          <w:rPr>
            <w:rStyle w:val="Hyperlink"/>
            <w:rFonts w:cs="Times New Roman"/>
            <w:sz w:val="20"/>
            <w:szCs w:val="20"/>
          </w:rPr>
          <w:t>World Development Report 2016: Digital Dividends</w:t>
        </w:r>
      </w:hyperlink>
      <w:r>
        <w:rPr>
          <w:rFonts w:cs="Times New Roman"/>
          <w:sz w:val="20"/>
          <w:szCs w:val="20"/>
        </w:rPr>
        <w:t xml:space="preserve">. </w:t>
      </w:r>
    </w:p>
    <w:p w14:paraId="1C94770A" w14:textId="77777777" w:rsidR="00924FC6" w:rsidRPr="00BC1A01" w:rsidRDefault="00924FC6" w:rsidP="00B20C4D">
      <w:pPr>
        <w:tabs>
          <w:tab w:val="left" w:pos="540"/>
        </w:tabs>
        <w:spacing w:after="0" w:line="480" w:lineRule="auto"/>
        <w:ind w:left="567" w:hanging="567"/>
        <w:rPr>
          <w:rFonts w:cs="Times New Roman"/>
          <w:sz w:val="20"/>
          <w:szCs w:val="20"/>
        </w:rPr>
      </w:pPr>
      <w:r w:rsidRPr="00BC1A01">
        <w:rPr>
          <w:rFonts w:cs="Times New Roman"/>
          <w:sz w:val="20"/>
          <w:szCs w:val="20"/>
        </w:rPr>
        <w:t>Yamane, T., (1967). Statistics: An Introductory Analysis. 2nd ed. New York: Harper and Row.</w:t>
      </w:r>
      <w:r>
        <w:rPr>
          <w:rFonts w:cs="Times New Roman"/>
          <w:sz w:val="20"/>
          <w:szCs w:val="20"/>
        </w:rPr>
        <w:t xml:space="preserve"> </w:t>
      </w:r>
    </w:p>
    <w:p w14:paraId="06A7833E" w14:textId="77777777" w:rsidR="00924FC6" w:rsidRPr="00CD68A2" w:rsidRDefault="00924FC6" w:rsidP="00B20C4D">
      <w:pPr>
        <w:tabs>
          <w:tab w:val="left" w:pos="540"/>
        </w:tabs>
        <w:spacing w:after="0" w:line="480" w:lineRule="auto"/>
        <w:ind w:left="567" w:hanging="567"/>
        <w:rPr>
          <w:rFonts w:cs="Times New Roman"/>
          <w:sz w:val="20"/>
          <w:szCs w:val="20"/>
        </w:rPr>
      </w:pPr>
      <w:r w:rsidRPr="00CD68A2">
        <w:rPr>
          <w:rFonts w:cs="Times New Roman"/>
          <w:sz w:val="20"/>
          <w:szCs w:val="20"/>
        </w:rPr>
        <w:lastRenderedPageBreak/>
        <w:t xml:space="preserve">Zakariya, N. Y., &amp; </w:t>
      </w:r>
      <w:proofErr w:type="spellStart"/>
      <w:r w:rsidRPr="00CD68A2">
        <w:rPr>
          <w:rFonts w:cs="Times New Roman"/>
          <w:sz w:val="20"/>
          <w:szCs w:val="20"/>
        </w:rPr>
        <w:t>Achimugu</w:t>
      </w:r>
      <w:proofErr w:type="spellEnd"/>
      <w:r w:rsidRPr="00CD68A2">
        <w:rPr>
          <w:rFonts w:cs="Times New Roman"/>
          <w:sz w:val="20"/>
          <w:szCs w:val="20"/>
        </w:rPr>
        <w:t xml:space="preserve">, C. L. (2023). Employee welfare and work commitment in Nigeria public sector: A study of NESREA South West Zone. </w:t>
      </w:r>
      <w:r w:rsidRPr="00CD68A2">
        <w:rPr>
          <w:rFonts w:cs="Times New Roman"/>
          <w:i/>
          <w:iCs/>
          <w:sz w:val="20"/>
          <w:szCs w:val="20"/>
        </w:rPr>
        <w:t>International Journal of Recent Research in Commerce Economics and Management (IJRRCEM)</w:t>
      </w:r>
      <w:r w:rsidRPr="00CD68A2">
        <w:rPr>
          <w:rFonts w:cs="Times New Roman"/>
          <w:sz w:val="20"/>
          <w:szCs w:val="20"/>
        </w:rPr>
        <w:t xml:space="preserve">, 10(3), 1–14. </w:t>
      </w:r>
      <w:hyperlink r:id="rId55" w:history="1">
        <w:r w:rsidRPr="00CD68A2">
          <w:rPr>
            <w:rStyle w:val="Hyperlink"/>
            <w:rFonts w:cs="Times New Roman"/>
            <w:sz w:val="20"/>
            <w:szCs w:val="20"/>
          </w:rPr>
          <w:t>https://doi.org/10.5281/zenodo.8142286</w:t>
        </w:r>
      </w:hyperlink>
    </w:p>
    <w:p w14:paraId="15E9F8C5" w14:textId="77777777" w:rsidR="000D471F" w:rsidRPr="00BC1A01" w:rsidRDefault="000D471F" w:rsidP="009230DF">
      <w:pPr>
        <w:tabs>
          <w:tab w:val="left" w:pos="540"/>
        </w:tabs>
        <w:spacing w:after="0"/>
        <w:ind w:left="567" w:hanging="567"/>
        <w:rPr>
          <w:rFonts w:cs="Times New Roman"/>
          <w:sz w:val="20"/>
          <w:szCs w:val="20"/>
        </w:rPr>
      </w:pPr>
    </w:p>
    <w:sectPr w:rsidR="000D471F" w:rsidRPr="00BC1A01" w:rsidSect="002E07B3">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92E79" w14:textId="77777777" w:rsidR="00E70D41" w:rsidRDefault="00E70D41">
      <w:pPr>
        <w:spacing w:before="0" w:after="0" w:line="240" w:lineRule="auto"/>
      </w:pPr>
      <w:r>
        <w:separator/>
      </w:r>
    </w:p>
  </w:endnote>
  <w:endnote w:type="continuationSeparator" w:id="0">
    <w:p w14:paraId="203AEBC2" w14:textId="77777777" w:rsidR="00E70D41" w:rsidRDefault="00E70D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C59F7" w14:textId="77777777" w:rsidR="00EE497F" w:rsidRDefault="00EE4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395DF" w14:textId="2CCD80F6" w:rsidR="007A77C1" w:rsidRDefault="007A77C1">
    <w:pPr>
      <w:pStyle w:val="Footer"/>
    </w:pPr>
  </w:p>
  <w:p w14:paraId="0D6C40D7" w14:textId="77777777" w:rsidR="009A49F8" w:rsidRDefault="009A4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D0711" w14:textId="77777777" w:rsidR="00B32589" w:rsidRDefault="00B32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8EADE" w14:textId="77777777" w:rsidR="00E70D41" w:rsidRDefault="00E70D41">
      <w:pPr>
        <w:spacing w:before="0" w:after="0" w:line="240" w:lineRule="auto"/>
      </w:pPr>
      <w:r>
        <w:separator/>
      </w:r>
    </w:p>
  </w:footnote>
  <w:footnote w:type="continuationSeparator" w:id="0">
    <w:p w14:paraId="404120D4" w14:textId="77777777" w:rsidR="00E70D41" w:rsidRDefault="00E70D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47515" w14:textId="2D2358CF" w:rsidR="00EE497F" w:rsidRDefault="00EE497F">
    <w:pPr>
      <w:pStyle w:val="Header"/>
    </w:pPr>
    <w:r>
      <w:rPr>
        <w:noProof/>
      </w:rPr>
      <w:pict w14:anchorId="69C10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678172"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E37C" w14:textId="3B354424" w:rsidR="00EE497F" w:rsidRDefault="00EE497F">
    <w:pPr>
      <w:pStyle w:val="Header"/>
    </w:pPr>
    <w:r>
      <w:rPr>
        <w:noProof/>
      </w:rPr>
      <w:pict w14:anchorId="664334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678173"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2F158" w14:textId="5B27E6C1" w:rsidR="00EE497F" w:rsidRDefault="00EE497F">
    <w:pPr>
      <w:pStyle w:val="Header"/>
    </w:pPr>
    <w:r>
      <w:rPr>
        <w:noProof/>
      </w:rPr>
      <w:pict w14:anchorId="0EAE9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678171"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57F1"/>
    <w:multiLevelType w:val="hybridMultilevel"/>
    <w:tmpl w:val="967EF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600420"/>
    <w:multiLevelType w:val="multilevel"/>
    <w:tmpl w:val="9E86E11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3C45D88"/>
    <w:multiLevelType w:val="hybridMultilevel"/>
    <w:tmpl w:val="4CE66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65"/>
    <w:rsid w:val="00020BAA"/>
    <w:rsid w:val="0002601C"/>
    <w:rsid w:val="00031501"/>
    <w:rsid w:val="000317BB"/>
    <w:rsid w:val="00034752"/>
    <w:rsid w:val="00055D97"/>
    <w:rsid w:val="0006573E"/>
    <w:rsid w:val="000936F3"/>
    <w:rsid w:val="000C05AD"/>
    <w:rsid w:val="000D471F"/>
    <w:rsid w:val="000F534F"/>
    <w:rsid w:val="000F70A1"/>
    <w:rsid w:val="00107F27"/>
    <w:rsid w:val="00121DDB"/>
    <w:rsid w:val="001321CE"/>
    <w:rsid w:val="00132E3F"/>
    <w:rsid w:val="001336FD"/>
    <w:rsid w:val="001468A2"/>
    <w:rsid w:val="00165AA2"/>
    <w:rsid w:val="001834BD"/>
    <w:rsid w:val="001842FB"/>
    <w:rsid w:val="001C0792"/>
    <w:rsid w:val="001D08EF"/>
    <w:rsid w:val="001D1D80"/>
    <w:rsid w:val="002365B3"/>
    <w:rsid w:val="002376CB"/>
    <w:rsid w:val="00240735"/>
    <w:rsid w:val="00244EE7"/>
    <w:rsid w:val="00266F20"/>
    <w:rsid w:val="00283126"/>
    <w:rsid w:val="002B06E3"/>
    <w:rsid w:val="002B54BA"/>
    <w:rsid w:val="002C1BDE"/>
    <w:rsid w:val="002D1D11"/>
    <w:rsid w:val="002D1DF9"/>
    <w:rsid w:val="002E07B3"/>
    <w:rsid w:val="002F477C"/>
    <w:rsid w:val="00301973"/>
    <w:rsid w:val="00313488"/>
    <w:rsid w:val="00326433"/>
    <w:rsid w:val="00335578"/>
    <w:rsid w:val="0034335C"/>
    <w:rsid w:val="0034545B"/>
    <w:rsid w:val="00345FEB"/>
    <w:rsid w:val="00355509"/>
    <w:rsid w:val="00357644"/>
    <w:rsid w:val="0036195C"/>
    <w:rsid w:val="00375D2A"/>
    <w:rsid w:val="003A4B34"/>
    <w:rsid w:val="003A7AC8"/>
    <w:rsid w:val="003C2C4D"/>
    <w:rsid w:val="003F1714"/>
    <w:rsid w:val="003F2414"/>
    <w:rsid w:val="00401E55"/>
    <w:rsid w:val="00410026"/>
    <w:rsid w:val="00410CA7"/>
    <w:rsid w:val="00424FB4"/>
    <w:rsid w:val="004251A0"/>
    <w:rsid w:val="00435F0A"/>
    <w:rsid w:val="00451179"/>
    <w:rsid w:val="004520B9"/>
    <w:rsid w:val="00475657"/>
    <w:rsid w:val="004930BF"/>
    <w:rsid w:val="004B7772"/>
    <w:rsid w:val="004C1BC9"/>
    <w:rsid w:val="005177E6"/>
    <w:rsid w:val="0052309F"/>
    <w:rsid w:val="00524629"/>
    <w:rsid w:val="00531F30"/>
    <w:rsid w:val="00570132"/>
    <w:rsid w:val="00580B2E"/>
    <w:rsid w:val="00582D57"/>
    <w:rsid w:val="005830C8"/>
    <w:rsid w:val="005A2DAA"/>
    <w:rsid w:val="005D7B11"/>
    <w:rsid w:val="005E4CF4"/>
    <w:rsid w:val="00606EFC"/>
    <w:rsid w:val="00633529"/>
    <w:rsid w:val="006510B3"/>
    <w:rsid w:val="006537DD"/>
    <w:rsid w:val="00665FA3"/>
    <w:rsid w:val="00690ACA"/>
    <w:rsid w:val="0069543B"/>
    <w:rsid w:val="006B06E7"/>
    <w:rsid w:val="006E2757"/>
    <w:rsid w:val="006F576D"/>
    <w:rsid w:val="00712E0F"/>
    <w:rsid w:val="00747C4F"/>
    <w:rsid w:val="00783D24"/>
    <w:rsid w:val="00793C4A"/>
    <w:rsid w:val="007A4ED6"/>
    <w:rsid w:val="007A77C1"/>
    <w:rsid w:val="007C10B0"/>
    <w:rsid w:val="007C78B0"/>
    <w:rsid w:val="0080019A"/>
    <w:rsid w:val="008041BF"/>
    <w:rsid w:val="00805F00"/>
    <w:rsid w:val="00813A12"/>
    <w:rsid w:val="0081740C"/>
    <w:rsid w:val="008469CF"/>
    <w:rsid w:val="00851101"/>
    <w:rsid w:val="0085205F"/>
    <w:rsid w:val="00861BF7"/>
    <w:rsid w:val="0087437B"/>
    <w:rsid w:val="00876682"/>
    <w:rsid w:val="008974F3"/>
    <w:rsid w:val="008A3922"/>
    <w:rsid w:val="008B3013"/>
    <w:rsid w:val="008C1579"/>
    <w:rsid w:val="008D11F7"/>
    <w:rsid w:val="008D151B"/>
    <w:rsid w:val="0091381E"/>
    <w:rsid w:val="00922049"/>
    <w:rsid w:val="009230DF"/>
    <w:rsid w:val="00924FC6"/>
    <w:rsid w:val="009525FC"/>
    <w:rsid w:val="00952B6A"/>
    <w:rsid w:val="0097219B"/>
    <w:rsid w:val="00977345"/>
    <w:rsid w:val="009849BD"/>
    <w:rsid w:val="00987856"/>
    <w:rsid w:val="009A07B5"/>
    <w:rsid w:val="009A49F8"/>
    <w:rsid w:val="009C2919"/>
    <w:rsid w:val="009C567B"/>
    <w:rsid w:val="009D063C"/>
    <w:rsid w:val="009E4339"/>
    <w:rsid w:val="009E70BD"/>
    <w:rsid w:val="009F19CD"/>
    <w:rsid w:val="009F1FA7"/>
    <w:rsid w:val="009F28F6"/>
    <w:rsid w:val="00A127A4"/>
    <w:rsid w:val="00A36485"/>
    <w:rsid w:val="00A45EE7"/>
    <w:rsid w:val="00A46E65"/>
    <w:rsid w:val="00A65E21"/>
    <w:rsid w:val="00A75D15"/>
    <w:rsid w:val="00A765C5"/>
    <w:rsid w:val="00A91F68"/>
    <w:rsid w:val="00A92A1F"/>
    <w:rsid w:val="00A96612"/>
    <w:rsid w:val="00AB4C35"/>
    <w:rsid w:val="00AC29A0"/>
    <w:rsid w:val="00AF5CC3"/>
    <w:rsid w:val="00B0666E"/>
    <w:rsid w:val="00B20C4D"/>
    <w:rsid w:val="00B32589"/>
    <w:rsid w:val="00B47482"/>
    <w:rsid w:val="00B667FD"/>
    <w:rsid w:val="00B76954"/>
    <w:rsid w:val="00B85F21"/>
    <w:rsid w:val="00B90EBA"/>
    <w:rsid w:val="00BB3E12"/>
    <w:rsid w:val="00BC1A01"/>
    <w:rsid w:val="00BE2879"/>
    <w:rsid w:val="00BE6009"/>
    <w:rsid w:val="00C11EB5"/>
    <w:rsid w:val="00C12C3C"/>
    <w:rsid w:val="00C33598"/>
    <w:rsid w:val="00C41997"/>
    <w:rsid w:val="00C51567"/>
    <w:rsid w:val="00C5794C"/>
    <w:rsid w:val="00C677F8"/>
    <w:rsid w:val="00C7218A"/>
    <w:rsid w:val="00C83BD8"/>
    <w:rsid w:val="00C91F45"/>
    <w:rsid w:val="00C94E7F"/>
    <w:rsid w:val="00C97176"/>
    <w:rsid w:val="00CB0976"/>
    <w:rsid w:val="00CB42F2"/>
    <w:rsid w:val="00CD046B"/>
    <w:rsid w:val="00CD68A2"/>
    <w:rsid w:val="00CD69D5"/>
    <w:rsid w:val="00CF27F9"/>
    <w:rsid w:val="00CF51BF"/>
    <w:rsid w:val="00D12C22"/>
    <w:rsid w:val="00D220E4"/>
    <w:rsid w:val="00D42EB4"/>
    <w:rsid w:val="00D573B7"/>
    <w:rsid w:val="00D60818"/>
    <w:rsid w:val="00D60E26"/>
    <w:rsid w:val="00D80812"/>
    <w:rsid w:val="00D9607C"/>
    <w:rsid w:val="00DB10D3"/>
    <w:rsid w:val="00DE066B"/>
    <w:rsid w:val="00DE1752"/>
    <w:rsid w:val="00E14DA9"/>
    <w:rsid w:val="00E22681"/>
    <w:rsid w:val="00E235CD"/>
    <w:rsid w:val="00E24E41"/>
    <w:rsid w:val="00E5103F"/>
    <w:rsid w:val="00E57DEE"/>
    <w:rsid w:val="00E669C1"/>
    <w:rsid w:val="00E70D41"/>
    <w:rsid w:val="00E72B65"/>
    <w:rsid w:val="00EB64AE"/>
    <w:rsid w:val="00EB6D3F"/>
    <w:rsid w:val="00EE497F"/>
    <w:rsid w:val="00F03CB1"/>
    <w:rsid w:val="00F11EA7"/>
    <w:rsid w:val="00F308B6"/>
    <w:rsid w:val="00F574FC"/>
    <w:rsid w:val="00F86430"/>
    <w:rsid w:val="00F93873"/>
    <w:rsid w:val="00FA5D2B"/>
    <w:rsid w:val="00FB2791"/>
    <w:rsid w:val="00FE00E6"/>
    <w:rsid w:val="00FE1C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788B28F"/>
  <w15:chartTrackingRefBased/>
  <w15:docId w15:val="{EEF7099D-D608-4D2C-B892-D0C09648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 w:val="24"/>
        <w:szCs w:val="22"/>
        <w:lang w:val="en-US" w:eastAsia="zh-TW"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43B"/>
  </w:style>
  <w:style w:type="paragraph" w:styleId="Heading1">
    <w:name w:val="heading 1"/>
    <w:basedOn w:val="Normal"/>
    <w:next w:val="Normal"/>
    <w:link w:val="Heading1Char"/>
    <w:uiPriority w:val="9"/>
    <w:qFormat/>
    <w:rsid w:val="00F03C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3C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5FEB"/>
    <w:pPr>
      <w:spacing w:before="0" w:after="0"/>
      <w:outlineLvl w:val="2"/>
    </w:pPr>
    <w:rPr>
      <w:rFonts w:eastAsia="Calibri" w:cs="Times New Roman"/>
      <w:b/>
      <w:bCs/>
      <w:kern w:val="0"/>
      <w:szCs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5C5"/>
    <w:pPr>
      <w:ind w:left="720"/>
      <w:contextualSpacing/>
    </w:pPr>
  </w:style>
  <w:style w:type="character" w:customStyle="1" w:styleId="CaptionChar">
    <w:name w:val="Caption Char"/>
    <w:link w:val="Caption"/>
    <w:locked/>
    <w:rsid w:val="00132E3F"/>
    <w:rPr>
      <w:rFonts w:eastAsia="Calibri" w:cs="Times New Roman"/>
      <w:iCs/>
      <w:kern w:val="0"/>
      <w:szCs w:val="18"/>
      <w:lang w:val="en-GB" w:eastAsia="en-US"/>
      <w14:ligatures w14:val="none"/>
    </w:rPr>
  </w:style>
  <w:style w:type="paragraph" w:styleId="Caption">
    <w:name w:val="caption"/>
    <w:basedOn w:val="Normal"/>
    <w:next w:val="Normal"/>
    <w:link w:val="CaptionChar"/>
    <w:unhideWhenUsed/>
    <w:qFormat/>
    <w:rsid w:val="00132E3F"/>
    <w:pPr>
      <w:spacing w:before="0" w:after="200" w:line="240" w:lineRule="auto"/>
      <w:jc w:val="left"/>
    </w:pPr>
    <w:rPr>
      <w:rFonts w:eastAsia="Calibri" w:cs="Times New Roman"/>
      <w:iCs/>
      <w:kern w:val="0"/>
      <w:szCs w:val="18"/>
      <w:lang w:val="en-GB" w:eastAsia="en-US"/>
      <w14:ligatures w14:val="none"/>
    </w:rPr>
  </w:style>
  <w:style w:type="table" w:styleId="TableGrid">
    <w:name w:val="Table Grid"/>
    <w:basedOn w:val="TableNormal"/>
    <w:uiPriority w:val="39"/>
    <w:rsid w:val="0087668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534F"/>
    <w:pPr>
      <w:spacing w:before="100" w:beforeAutospacing="1" w:after="100" w:afterAutospacing="1" w:line="240" w:lineRule="auto"/>
      <w:jc w:val="left"/>
    </w:pPr>
    <w:rPr>
      <w:rFonts w:eastAsia="Times New Roman" w:cs="Times New Roman"/>
      <w:kern w:val="0"/>
      <w:szCs w:val="24"/>
      <w14:ligatures w14:val="none"/>
    </w:rPr>
  </w:style>
  <w:style w:type="character" w:customStyle="1" w:styleId="Heading3Char">
    <w:name w:val="Heading 3 Char"/>
    <w:basedOn w:val="DefaultParagraphFont"/>
    <w:link w:val="Heading3"/>
    <w:uiPriority w:val="9"/>
    <w:rsid w:val="00345FEB"/>
    <w:rPr>
      <w:rFonts w:eastAsia="Calibri" w:cs="Times New Roman"/>
      <w:b/>
      <w:bCs/>
      <w:kern w:val="0"/>
      <w:szCs w:val="24"/>
      <w:lang w:eastAsia="en-US"/>
      <w14:ligatures w14:val="none"/>
    </w:rPr>
  </w:style>
  <w:style w:type="character" w:styleId="Hyperlink">
    <w:name w:val="Hyperlink"/>
    <w:basedOn w:val="DefaultParagraphFont"/>
    <w:uiPriority w:val="99"/>
    <w:unhideWhenUsed/>
    <w:rsid w:val="00301973"/>
    <w:rPr>
      <w:color w:val="0563C1" w:themeColor="hyperlink"/>
      <w:u w:val="single"/>
    </w:rPr>
  </w:style>
  <w:style w:type="character" w:styleId="UnresolvedMention">
    <w:name w:val="Unresolved Mention"/>
    <w:basedOn w:val="DefaultParagraphFont"/>
    <w:uiPriority w:val="99"/>
    <w:semiHidden/>
    <w:unhideWhenUsed/>
    <w:rsid w:val="004B7772"/>
    <w:rPr>
      <w:color w:val="605E5C"/>
      <w:shd w:val="clear" w:color="auto" w:fill="E1DFDD"/>
    </w:rPr>
  </w:style>
  <w:style w:type="character" w:customStyle="1" w:styleId="Heading1Char">
    <w:name w:val="Heading 1 Char"/>
    <w:basedOn w:val="DefaultParagraphFont"/>
    <w:link w:val="Heading1"/>
    <w:uiPriority w:val="9"/>
    <w:rsid w:val="00F03C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03CB1"/>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F03CB1"/>
    <w:pPr>
      <w:tabs>
        <w:tab w:val="center" w:pos="4680"/>
        <w:tab w:val="right" w:pos="9360"/>
      </w:tabs>
      <w:spacing w:before="0" w:after="0" w:line="240" w:lineRule="auto"/>
      <w:jc w:val="left"/>
    </w:pPr>
    <w:rPr>
      <w:rFonts w:asciiTheme="minorHAnsi" w:hAnsiTheme="minorHAnsi"/>
      <w:sz w:val="22"/>
      <w:lang w:eastAsia="ja-JP"/>
    </w:rPr>
  </w:style>
  <w:style w:type="character" w:customStyle="1" w:styleId="FooterChar">
    <w:name w:val="Footer Char"/>
    <w:basedOn w:val="DefaultParagraphFont"/>
    <w:link w:val="Footer"/>
    <w:uiPriority w:val="99"/>
    <w:rsid w:val="00F03CB1"/>
    <w:rPr>
      <w:rFonts w:asciiTheme="minorHAnsi" w:hAnsiTheme="minorHAnsi"/>
      <w:sz w:val="22"/>
      <w:lang w:eastAsia="ja-JP"/>
    </w:rPr>
  </w:style>
  <w:style w:type="character" w:styleId="Emphasis">
    <w:name w:val="Emphasis"/>
    <w:qFormat/>
    <w:rsid w:val="00F03CB1"/>
    <w:rPr>
      <w:i/>
      <w:iCs/>
      <w:color w:val="000000"/>
      <w:sz w:val="16"/>
    </w:rPr>
  </w:style>
  <w:style w:type="paragraph" w:customStyle="1" w:styleId="Header1">
    <w:name w:val="Header 1"/>
    <w:basedOn w:val="Normal"/>
    <w:link w:val="Header1Char"/>
    <w:qFormat/>
    <w:rsid w:val="00F03CB1"/>
    <w:pPr>
      <w:keepNext/>
      <w:keepLines/>
      <w:spacing w:after="0" w:line="276" w:lineRule="auto"/>
      <w:jc w:val="center"/>
      <w:outlineLvl w:val="0"/>
    </w:pPr>
    <w:rPr>
      <w:rFonts w:eastAsia="Times New Roman" w:cs="Times New Roman"/>
      <w:b/>
      <w:bCs/>
      <w:color w:val="000000"/>
      <w:kern w:val="0"/>
      <w:szCs w:val="24"/>
      <w:lang w:val="en-GB" w:eastAsia="en-US"/>
    </w:rPr>
  </w:style>
  <w:style w:type="character" w:customStyle="1" w:styleId="Header1Char">
    <w:name w:val="Header 1 Char"/>
    <w:link w:val="Header1"/>
    <w:rsid w:val="00F03CB1"/>
    <w:rPr>
      <w:rFonts w:eastAsia="Times New Roman" w:cs="Times New Roman"/>
      <w:b/>
      <w:bCs/>
      <w:color w:val="000000"/>
      <w:kern w:val="0"/>
      <w:szCs w:val="24"/>
      <w:lang w:val="en-GB" w:eastAsia="en-US"/>
    </w:rPr>
  </w:style>
  <w:style w:type="table" w:customStyle="1" w:styleId="TableGrid1">
    <w:name w:val="Table Grid1"/>
    <w:basedOn w:val="TableNormal"/>
    <w:next w:val="TableGrid"/>
    <w:uiPriority w:val="39"/>
    <w:rsid w:val="00F03CB1"/>
    <w:pPr>
      <w:spacing w:before="0" w:after="0" w:line="240" w:lineRule="auto"/>
      <w:jc w:val="left"/>
    </w:pPr>
    <w:rPr>
      <w:rFonts w:ascii="Calibri" w:eastAsia="Calibri"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03CB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B3E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B3E1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3E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B3E1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98785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87856"/>
  </w:style>
  <w:style w:type="table" w:styleId="PlainTable5">
    <w:name w:val="Plain Table 5"/>
    <w:basedOn w:val="TableNormal"/>
    <w:uiPriority w:val="45"/>
    <w:rsid w:val="008469C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60536">
      <w:bodyDiv w:val="1"/>
      <w:marLeft w:val="0"/>
      <w:marRight w:val="0"/>
      <w:marTop w:val="0"/>
      <w:marBottom w:val="0"/>
      <w:divBdr>
        <w:top w:val="none" w:sz="0" w:space="0" w:color="auto"/>
        <w:left w:val="none" w:sz="0" w:space="0" w:color="auto"/>
        <w:bottom w:val="none" w:sz="0" w:space="0" w:color="auto"/>
        <w:right w:val="none" w:sz="0" w:space="0" w:color="auto"/>
      </w:divBdr>
    </w:div>
    <w:div w:id="426930628">
      <w:bodyDiv w:val="1"/>
      <w:marLeft w:val="0"/>
      <w:marRight w:val="0"/>
      <w:marTop w:val="0"/>
      <w:marBottom w:val="0"/>
      <w:divBdr>
        <w:top w:val="none" w:sz="0" w:space="0" w:color="auto"/>
        <w:left w:val="none" w:sz="0" w:space="0" w:color="auto"/>
        <w:bottom w:val="none" w:sz="0" w:space="0" w:color="auto"/>
        <w:right w:val="none" w:sz="0" w:space="0" w:color="auto"/>
      </w:divBdr>
    </w:div>
    <w:div w:id="523596367">
      <w:bodyDiv w:val="1"/>
      <w:marLeft w:val="0"/>
      <w:marRight w:val="0"/>
      <w:marTop w:val="0"/>
      <w:marBottom w:val="0"/>
      <w:divBdr>
        <w:top w:val="none" w:sz="0" w:space="0" w:color="auto"/>
        <w:left w:val="none" w:sz="0" w:space="0" w:color="auto"/>
        <w:bottom w:val="none" w:sz="0" w:space="0" w:color="auto"/>
        <w:right w:val="none" w:sz="0" w:space="0" w:color="auto"/>
      </w:divBdr>
    </w:div>
    <w:div w:id="544874614">
      <w:bodyDiv w:val="1"/>
      <w:marLeft w:val="0"/>
      <w:marRight w:val="0"/>
      <w:marTop w:val="0"/>
      <w:marBottom w:val="0"/>
      <w:divBdr>
        <w:top w:val="none" w:sz="0" w:space="0" w:color="auto"/>
        <w:left w:val="none" w:sz="0" w:space="0" w:color="auto"/>
        <w:bottom w:val="none" w:sz="0" w:space="0" w:color="auto"/>
        <w:right w:val="none" w:sz="0" w:space="0" w:color="auto"/>
      </w:divBdr>
    </w:div>
    <w:div w:id="586184922">
      <w:bodyDiv w:val="1"/>
      <w:marLeft w:val="0"/>
      <w:marRight w:val="0"/>
      <w:marTop w:val="0"/>
      <w:marBottom w:val="0"/>
      <w:divBdr>
        <w:top w:val="none" w:sz="0" w:space="0" w:color="auto"/>
        <w:left w:val="none" w:sz="0" w:space="0" w:color="auto"/>
        <w:bottom w:val="none" w:sz="0" w:space="0" w:color="auto"/>
        <w:right w:val="none" w:sz="0" w:space="0" w:color="auto"/>
      </w:divBdr>
    </w:div>
    <w:div w:id="606617243">
      <w:bodyDiv w:val="1"/>
      <w:marLeft w:val="0"/>
      <w:marRight w:val="0"/>
      <w:marTop w:val="0"/>
      <w:marBottom w:val="0"/>
      <w:divBdr>
        <w:top w:val="none" w:sz="0" w:space="0" w:color="auto"/>
        <w:left w:val="none" w:sz="0" w:space="0" w:color="auto"/>
        <w:bottom w:val="none" w:sz="0" w:space="0" w:color="auto"/>
        <w:right w:val="none" w:sz="0" w:space="0" w:color="auto"/>
      </w:divBdr>
    </w:div>
    <w:div w:id="633752201">
      <w:bodyDiv w:val="1"/>
      <w:marLeft w:val="0"/>
      <w:marRight w:val="0"/>
      <w:marTop w:val="0"/>
      <w:marBottom w:val="0"/>
      <w:divBdr>
        <w:top w:val="none" w:sz="0" w:space="0" w:color="auto"/>
        <w:left w:val="none" w:sz="0" w:space="0" w:color="auto"/>
        <w:bottom w:val="none" w:sz="0" w:space="0" w:color="auto"/>
        <w:right w:val="none" w:sz="0" w:space="0" w:color="auto"/>
      </w:divBdr>
      <w:divsChild>
        <w:div w:id="320473596">
          <w:marLeft w:val="0"/>
          <w:marRight w:val="0"/>
          <w:marTop w:val="0"/>
          <w:marBottom w:val="0"/>
          <w:divBdr>
            <w:top w:val="none" w:sz="0" w:space="0" w:color="auto"/>
            <w:left w:val="none" w:sz="0" w:space="0" w:color="auto"/>
            <w:bottom w:val="none" w:sz="0" w:space="0" w:color="auto"/>
            <w:right w:val="none" w:sz="0" w:space="0" w:color="auto"/>
          </w:divBdr>
          <w:divsChild>
            <w:div w:id="712121974">
              <w:marLeft w:val="0"/>
              <w:marRight w:val="0"/>
              <w:marTop w:val="0"/>
              <w:marBottom w:val="0"/>
              <w:divBdr>
                <w:top w:val="none" w:sz="0" w:space="0" w:color="auto"/>
                <w:left w:val="none" w:sz="0" w:space="0" w:color="auto"/>
                <w:bottom w:val="none" w:sz="0" w:space="0" w:color="auto"/>
                <w:right w:val="none" w:sz="0" w:space="0" w:color="auto"/>
              </w:divBdr>
              <w:divsChild>
                <w:div w:id="1757633625">
                  <w:marLeft w:val="-75"/>
                  <w:marRight w:val="0"/>
                  <w:marTop w:val="0"/>
                  <w:marBottom w:val="0"/>
                  <w:divBdr>
                    <w:top w:val="none" w:sz="0" w:space="0" w:color="auto"/>
                    <w:left w:val="none" w:sz="0" w:space="0" w:color="auto"/>
                    <w:bottom w:val="none" w:sz="0" w:space="0" w:color="auto"/>
                    <w:right w:val="none" w:sz="0" w:space="0" w:color="auto"/>
                  </w:divBdr>
                  <w:divsChild>
                    <w:div w:id="435175355">
                      <w:marLeft w:val="0"/>
                      <w:marRight w:val="0"/>
                      <w:marTop w:val="0"/>
                      <w:marBottom w:val="0"/>
                      <w:divBdr>
                        <w:top w:val="none" w:sz="0" w:space="0" w:color="auto"/>
                        <w:left w:val="none" w:sz="0" w:space="0" w:color="auto"/>
                        <w:bottom w:val="none" w:sz="0" w:space="0" w:color="auto"/>
                        <w:right w:val="none" w:sz="0" w:space="0" w:color="auto"/>
                      </w:divBdr>
                    </w:div>
                    <w:div w:id="45179757">
                      <w:marLeft w:val="0"/>
                      <w:marRight w:val="0"/>
                      <w:marTop w:val="0"/>
                      <w:marBottom w:val="0"/>
                      <w:divBdr>
                        <w:top w:val="none" w:sz="0" w:space="0" w:color="auto"/>
                        <w:left w:val="none" w:sz="0" w:space="0" w:color="auto"/>
                        <w:bottom w:val="none" w:sz="0" w:space="0" w:color="auto"/>
                        <w:right w:val="none" w:sz="0" w:space="0" w:color="auto"/>
                      </w:divBdr>
                      <w:divsChild>
                        <w:div w:id="4029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70267">
                  <w:marLeft w:val="0"/>
                  <w:marRight w:val="0"/>
                  <w:marTop w:val="0"/>
                  <w:marBottom w:val="0"/>
                  <w:divBdr>
                    <w:top w:val="none" w:sz="0" w:space="0" w:color="auto"/>
                    <w:left w:val="none" w:sz="0" w:space="0" w:color="auto"/>
                    <w:bottom w:val="none" w:sz="0" w:space="0" w:color="auto"/>
                    <w:right w:val="none" w:sz="0" w:space="0" w:color="auto"/>
                  </w:divBdr>
                  <w:divsChild>
                    <w:div w:id="781850380">
                      <w:marLeft w:val="0"/>
                      <w:marRight w:val="0"/>
                      <w:marTop w:val="0"/>
                      <w:marBottom w:val="75"/>
                      <w:divBdr>
                        <w:top w:val="none" w:sz="0" w:space="0" w:color="auto"/>
                        <w:left w:val="none" w:sz="0" w:space="0" w:color="auto"/>
                        <w:bottom w:val="none" w:sz="0" w:space="0" w:color="auto"/>
                        <w:right w:val="none" w:sz="0" w:space="0" w:color="auto"/>
                      </w:divBdr>
                    </w:div>
                    <w:div w:id="590702661">
                      <w:marLeft w:val="0"/>
                      <w:marRight w:val="0"/>
                      <w:marTop w:val="0"/>
                      <w:marBottom w:val="75"/>
                      <w:divBdr>
                        <w:top w:val="none" w:sz="0" w:space="0" w:color="auto"/>
                        <w:left w:val="none" w:sz="0" w:space="0" w:color="auto"/>
                        <w:bottom w:val="none" w:sz="0" w:space="0" w:color="auto"/>
                        <w:right w:val="none" w:sz="0" w:space="0" w:color="auto"/>
                      </w:divBdr>
                    </w:div>
                    <w:div w:id="1551189241">
                      <w:marLeft w:val="0"/>
                      <w:marRight w:val="0"/>
                      <w:marTop w:val="0"/>
                      <w:marBottom w:val="75"/>
                      <w:divBdr>
                        <w:top w:val="none" w:sz="0" w:space="0" w:color="auto"/>
                        <w:left w:val="none" w:sz="0" w:space="0" w:color="auto"/>
                        <w:bottom w:val="none" w:sz="0" w:space="0" w:color="auto"/>
                        <w:right w:val="none" w:sz="0" w:space="0" w:color="auto"/>
                      </w:divBdr>
                    </w:div>
                  </w:divsChild>
                </w:div>
                <w:div w:id="1558126299">
                  <w:marLeft w:val="0"/>
                  <w:marRight w:val="0"/>
                  <w:marTop w:val="150"/>
                  <w:marBottom w:val="150"/>
                  <w:divBdr>
                    <w:top w:val="none" w:sz="0" w:space="0" w:color="auto"/>
                    <w:left w:val="none" w:sz="0" w:space="0" w:color="auto"/>
                    <w:bottom w:val="none" w:sz="0" w:space="0" w:color="auto"/>
                    <w:right w:val="none" w:sz="0" w:space="0" w:color="auto"/>
                  </w:divBdr>
                </w:div>
                <w:div w:id="1945574376">
                  <w:marLeft w:val="-300"/>
                  <w:marRight w:val="0"/>
                  <w:marTop w:val="0"/>
                  <w:marBottom w:val="0"/>
                  <w:divBdr>
                    <w:top w:val="none" w:sz="0" w:space="0" w:color="auto"/>
                    <w:left w:val="none" w:sz="0" w:space="0" w:color="auto"/>
                    <w:bottom w:val="none" w:sz="0" w:space="0" w:color="auto"/>
                    <w:right w:val="none" w:sz="0" w:space="0" w:color="auto"/>
                  </w:divBdr>
                  <w:divsChild>
                    <w:div w:id="1366640915">
                      <w:marLeft w:val="0"/>
                      <w:marRight w:val="0"/>
                      <w:marTop w:val="0"/>
                      <w:marBottom w:val="0"/>
                      <w:divBdr>
                        <w:top w:val="none" w:sz="0" w:space="0" w:color="auto"/>
                        <w:left w:val="none" w:sz="0" w:space="0" w:color="auto"/>
                        <w:bottom w:val="none" w:sz="0" w:space="0" w:color="auto"/>
                        <w:right w:val="none" w:sz="0" w:space="0" w:color="auto"/>
                      </w:divBdr>
                      <w:divsChild>
                        <w:div w:id="187261357">
                          <w:marLeft w:val="0"/>
                          <w:marRight w:val="0"/>
                          <w:marTop w:val="0"/>
                          <w:marBottom w:val="0"/>
                          <w:divBdr>
                            <w:top w:val="none" w:sz="0" w:space="0" w:color="auto"/>
                            <w:left w:val="none" w:sz="0" w:space="0" w:color="auto"/>
                            <w:bottom w:val="none" w:sz="0" w:space="0" w:color="auto"/>
                            <w:right w:val="none" w:sz="0" w:space="0" w:color="auto"/>
                          </w:divBdr>
                          <w:divsChild>
                            <w:div w:id="1346858329">
                              <w:marLeft w:val="0"/>
                              <w:marRight w:val="0"/>
                              <w:marTop w:val="0"/>
                              <w:marBottom w:val="0"/>
                              <w:divBdr>
                                <w:top w:val="none" w:sz="0" w:space="0" w:color="auto"/>
                                <w:left w:val="none" w:sz="0" w:space="0" w:color="auto"/>
                                <w:bottom w:val="none" w:sz="0" w:space="0" w:color="auto"/>
                                <w:right w:val="none" w:sz="0" w:space="0" w:color="auto"/>
                              </w:divBdr>
                              <w:divsChild>
                                <w:div w:id="1227031864">
                                  <w:marLeft w:val="-150"/>
                                  <w:marRight w:val="0"/>
                                  <w:marTop w:val="0"/>
                                  <w:marBottom w:val="0"/>
                                  <w:divBdr>
                                    <w:top w:val="none" w:sz="0" w:space="0" w:color="auto"/>
                                    <w:left w:val="none" w:sz="0" w:space="0" w:color="auto"/>
                                    <w:bottom w:val="none" w:sz="0" w:space="0" w:color="auto"/>
                                    <w:right w:val="none" w:sz="0" w:space="0" w:color="auto"/>
                                  </w:divBdr>
                                  <w:divsChild>
                                    <w:div w:id="1023169714">
                                      <w:marLeft w:val="0"/>
                                      <w:marRight w:val="0"/>
                                      <w:marTop w:val="0"/>
                                      <w:marBottom w:val="0"/>
                                      <w:divBdr>
                                        <w:top w:val="none" w:sz="0" w:space="0" w:color="auto"/>
                                        <w:left w:val="none" w:sz="0" w:space="0" w:color="auto"/>
                                        <w:bottom w:val="none" w:sz="0" w:space="0" w:color="auto"/>
                                        <w:right w:val="none" w:sz="0" w:space="0" w:color="auto"/>
                                      </w:divBdr>
                                    </w:div>
                                    <w:div w:id="218324233">
                                      <w:marLeft w:val="0"/>
                                      <w:marRight w:val="0"/>
                                      <w:marTop w:val="0"/>
                                      <w:marBottom w:val="0"/>
                                      <w:divBdr>
                                        <w:top w:val="none" w:sz="0" w:space="0" w:color="auto"/>
                                        <w:left w:val="none" w:sz="0" w:space="0" w:color="auto"/>
                                        <w:bottom w:val="none" w:sz="0" w:space="0" w:color="auto"/>
                                        <w:right w:val="none" w:sz="0" w:space="0" w:color="auto"/>
                                      </w:divBdr>
                                      <w:divsChild>
                                        <w:div w:id="764615692">
                                          <w:marLeft w:val="0"/>
                                          <w:marRight w:val="0"/>
                                          <w:marTop w:val="0"/>
                                          <w:marBottom w:val="0"/>
                                          <w:divBdr>
                                            <w:top w:val="none" w:sz="0" w:space="0" w:color="auto"/>
                                            <w:left w:val="none" w:sz="0" w:space="0" w:color="auto"/>
                                            <w:bottom w:val="none" w:sz="0" w:space="0" w:color="auto"/>
                                            <w:right w:val="none" w:sz="0" w:space="0" w:color="auto"/>
                                          </w:divBdr>
                                          <w:divsChild>
                                            <w:div w:id="251202245">
                                              <w:marLeft w:val="0"/>
                                              <w:marRight w:val="0"/>
                                              <w:marTop w:val="0"/>
                                              <w:marBottom w:val="0"/>
                                              <w:divBdr>
                                                <w:top w:val="none" w:sz="0" w:space="0" w:color="auto"/>
                                                <w:left w:val="none" w:sz="0" w:space="0" w:color="auto"/>
                                                <w:bottom w:val="none" w:sz="0" w:space="0" w:color="auto"/>
                                                <w:right w:val="none" w:sz="0" w:space="0" w:color="auto"/>
                                              </w:divBdr>
                                              <w:divsChild>
                                                <w:div w:id="2105025999">
                                                  <w:marLeft w:val="0"/>
                                                  <w:marRight w:val="0"/>
                                                  <w:marTop w:val="0"/>
                                                  <w:marBottom w:val="0"/>
                                                  <w:divBdr>
                                                    <w:top w:val="none" w:sz="0" w:space="0" w:color="auto"/>
                                                    <w:left w:val="none" w:sz="0" w:space="0" w:color="auto"/>
                                                    <w:bottom w:val="none" w:sz="0" w:space="0" w:color="auto"/>
                                                    <w:right w:val="none" w:sz="0" w:space="0" w:color="auto"/>
                                                  </w:divBdr>
                                                  <w:divsChild>
                                                    <w:div w:id="319893324">
                                                      <w:marLeft w:val="0"/>
                                                      <w:marRight w:val="0"/>
                                                      <w:marTop w:val="0"/>
                                                      <w:marBottom w:val="0"/>
                                                      <w:divBdr>
                                                        <w:top w:val="none" w:sz="0" w:space="0" w:color="auto"/>
                                                        <w:left w:val="none" w:sz="0" w:space="0" w:color="auto"/>
                                                        <w:bottom w:val="none" w:sz="0" w:space="0" w:color="auto"/>
                                                        <w:right w:val="none" w:sz="0" w:space="0" w:color="auto"/>
                                                      </w:divBdr>
                                                      <w:divsChild>
                                                        <w:div w:id="12405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0409514">
      <w:bodyDiv w:val="1"/>
      <w:marLeft w:val="0"/>
      <w:marRight w:val="0"/>
      <w:marTop w:val="0"/>
      <w:marBottom w:val="0"/>
      <w:divBdr>
        <w:top w:val="none" w:sz="0" w:space="0" w:color="auto"/>
        <w:left w:val="none" w:sz="0" w:space="0" w:color="auto"/>
        <w:bottom w:val="none" w:sz="0" w:space="0" w:color="auto"/>
        <w:right w:val="none" w:sz="0" w:space="0" w:color="auto"/>
      </w:divBdr>
    </w:div>
    <w:div w:id="934285786">
      <w:bodyDiv w:val="1"/>
      <w:marLeft w:val="0"/>
      <w:marRight w:val="0"/>
      <w:marTop w:val="0"/>
      <w:marBottom w:val="0"/>
      <w:divBdr>
        <w:top w:val="none" w:sz="0" w:space="0" w:color="auto"/>
        <w:left w:val="none" w:sz="0" w:space="0" w:color="auto"/>
        <w:bottom w:val="none" w:sz="0" w:space="0" w:color="auto"/>
        <w:right w:val="none" w:sz="0" w:space="0" w:color="auto"/>
      </w:divBdr>
    </w:div>
    <w:div w:id="942954205">
      <w:bodyDiv w:val="1"/>
      <w:marLeft w:val="0"/>
      <w:marRight w:val="0"/>
      <w:marTop w:val="0"/>
      <w:marBottom w:val="0"/>
      <w:divBdr>
        <w:top w:val="none" w:sz="0" w:space="0" w:color="auto"/>
        <w:left w:val="none" w:sz="0" w:space="0" w:color="auto"/>
        <w:bottom w:val="none" w:sz="0" w:space="0" w:color="auto"/>
        <w:right w:val="none" w:sz="0" w:space="0" w:color="auto"/>
      </w:divBdr>
    </w:div>
    <w:div w:id="1014304327">
      <w:bodyDiv w:val="1"/>
      <w:marLeft w:val="0"/>
      <w:marRight w:val="0"/>
      <w:marTop w:val="0"/>
      <w:marBottom w:val="0"/>
      <w:divBdr>
        <w:top w:val="none" w:sz="0" w:space="0" w:color="auto"/>
        <w:left w:val="none" w:sz="0" w:space="0" w:color="auto"/>
        <w:bottom w:val="none" w:sz="0" w:space="0" w:color="auto"/>
        <w:right w:val="none" w:sz="0" w:space="0" w:color="auto"/>
      </w:divBdr>
    </w:div>
    <w:div w:id="1148666452">
      <w:bodyDiv w:val="1"/>
      <w:marLeft w:val="0"/>
      <w:marRight w:val="0"/>
      <w:marTop w:val="0"/>
      <w:marBottom w:val="0"/>
      <w:divBdr>
        <w:top w:val="none" w:sz="0" w:space="0" w:color="auto"/>
        <w:left w:val="none" w:sz="0" w:space="0" w:color="auto"/>
        <w:bottom w:val="none" w:sz="0" w:space="0" w:color="auto"/>
        <w:right w:val="none" w:sz="0" w:space="0" w:color="auto"/>
      </w:divBdr>
    </w:div>
    <w:div w:id="1230118420">
      <w:bodyDiv w:val="1"/>
      <w:marLeft w:val="0"/>
      <w:marRight w:val="0"/>
      <w:marTop w:val="0"/>
      <w:marBottom w:val="0"/>
      <w:divBdr>
        <w:top w:val="none" w:sz="0" w:space="0" w:color="auto"/>
        <w:left w:val="none" w:sz="0" w:space="0" w:color="auto"/>
        <w:bottom w:val="none" w:sz="0" w:space="0" w:color="auto"/>
        <w:right w:val="none" w:sz="0" w:space="0" w:color="auto"/>
      </w:divBdr>
    </w:div>
    <w:div w:id="1242178662">
      <w:bodyDiv w:val="1"/>
      <w:marLeft w:val="0"/>
      <w:marRight w:val="0"/>
      <w:marTop w:val="0"/>
      <w:marBottom w:val="0"/>
      <w:divBdr>
        <w:top w:val="none" w:sz="0" w:space="0" w:color="auto"/>
        <w:left w:val="none" w:sz="0" w:space="0" w:color="auto"/>
        <w:bottom w:val="none" w:sz="0" w:space="0" w:color="auto"/>
        <w:right w:val="none" w:sz="0" w:space="0" w:color="auto"/>
      </w:divBdr>
    </w:div>
    <w:div w:id="1461612440">
      <w:bodyDiv w:val="1"/>
      <w:marLeft w:val="0"/>
      <w:marRight w:val="0"/>
      <w:marTop w:val="0"/>
      <w:marBottom w:val="0"/>
      <w:divBdr>
        <w:top w:val="none" w:sz="0" w:space="0" w:color="auto"/>
        <w:left w:val="none" w:sz="0" w:space="0" w:color="auto"/>
        <w:bottom w:val="none" w:sz="0" w:space="0" w:color="auto"/>
        <w:right w:val="none" w:sz="0" w:space="0" w:color="auto"/>
      </w:divBdr>
      <w:divsChild>
        <w:div w:id="167527906">
          <w:marLeft w:val="0"/>
          <w:marRight w:val="0"/>
          <w:marTop w:val="0"/>
          <w:marBottom w:val="0"/>
          <w:divBdr>
            <w:top w:val="none" w:sz="0" w:space="0" w:color="auto"/>
            <w:left w:val="none" w:sz="0" w:space="0" w:color="auto"/>
            <w:bottom w:val="none" w:sz="0" w:space="0" w:color="auto"/>
            <w:right w:val="none" w:sz="0" w:space="0" w:color="auto"/>
          </w:divBdr>
          <w:divsChild>
            <w:div w:id="986133574">
              <w:marLeft w:val="0"/>
              <w:marRight w:val="0"/>
              <w:marTop w:val="0"/>
              <w:marBottom w:val="0"/>
              <w:divBdr>
                <w:top w:val="none" w:sz="0" w:space="0" w:color="auto"/>
                <w:left w:val="none" w:sz="0" w:space="0" w:color="auto"/>
                <w:bottom w:val="none" w:sz="0" w:space="0" w:color="auto"/>
                <w:right w:val="none" w:sz="0" w:space="0" w:color="auto"/>
              </w:divBdr>
              <w:divsChild>
                <w:div w:id="1589265693">
                  <w:marLeft w:val="-75"/>
                  <w:marRight w:val="0"/>
                  <w:marTop w:val="0"/>
                  <w:marBottom w:val="0"/>
                  <w:divBdr>
                    <w:top w:val="none" w:sz="0" w:space="0" w:color="auto"/>
                    <w:left w:val="none" w:sz="0" w:space="0" w:color="auto"/>
                    <w:bottom w:val="none" w:sz="0" w:space="0" w:color="auto"/>
                    <w:right w:val="none" w:sz="0" w:space="0" w:color="auto"/>
                  </w:divBdr>
                  <w:divsChild>
                    <w:div w:id="481970149">
                      <w:marLeft w:val="0"/>
                      <w:marRight w:val="0"/>
                      <w:marTop w:val="0"/>
                      <w:marBottom w:val="0"/>
                      <w:divBdr>
                        <w:top w:val="none" w:sz="0" w:space="0" w:color="auto"/>
                        <w:left w:val="none" w:sz="0" w:space="0" w:color="auto"/>
                        <w:bottom w:val="none" w:sz="0" w:space="0" w:color="auto"/>
                        <w:right w:val="none" w:sz="0" w:space="0" w:color="auto"/>
                      </w:divBdr>
                    </w:div>
                    <w:div w:id="603807990">
                      <w:marLeft w:val="0"/>
                      <w:marRight w:val="0"/>
                      <w:marTop w:val="0"/>
                      <w:marBottom w:val="0"/>
                      <w:divBdr>
                        <w:top w:val="none" w:sz="0" w:space="0" w:color="auto"/>
                        <w:left w:val="none" w:sz="0" w:space="0" w:color="auto"/>
                        <w:bottom w:val="none" w:sz="0" w:space="0" w:color="auto"/>
                        <w:right w:val="none" w:sz="0" w:space="0" w:color="auto"/>
                      </w:divBdr>
                      <w:divsChild>
                        <w:div w:id="11876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40874">
                  <w:marLeft w:val="0"/>
                  <w:marRight w:val="0"/>
                  <w:marTop w:val="0"/>
                  <w:marBottom w:val="0"/>
                  <w:divBdr>
                    <w:top w:val="none" w:sz="0" w:space="0" w:color="auto"/>
                    <w:left w:val="none" w:sz="0" w:space="0" w:color="auto"/>
                    <w:bottom w:val="none" w:sz="0" w:space="0" w:color="auto"/>
                    <w:right w:val="none" w:sz="0" w:space="0" w:color="auto"/>
                  </w:divBdr>
                  <w:divsChild>
                    <w:div w:id="1756168297">
                      <w:marLeft w:val="0"/>
                      <w:marRight w:val="0"/>
                      <w:marTop w:val="0"/>
                      <w:marBottom w:val="75"/>
                      <w:divBdr>
                        <w:top w:val="none" w:sz="0" w:space="0" w:color="auto"/>
                        <w:left w:val="none" w:sz="0" w:space="0" w:color="auto"/>
                        <w:bottom w:val="none" w:sz="0" w:space="0" w:color="auto"/>
                        <w:right w:val="none" w:sz="0" w:space="0" w:color="auto"/>
                      </w:divBdr>
                    </w:div>
                    <w:div w:id="1207182155">
                      <w:marLeft w:val="0"/>
                      <w:marRight w:val="0"/>
                      <w:marTop w:val="0"/>
                      <w:marBottom w:val="75"/>
                      <w:divBdr>
                        <w:top w:val="none" w:sz="0" w:space="0" w:color="auto"/>
                        <w:left w:val="none" w:sz="0" w:space="0" w:color="auto"/>
                        <w:bottom w:val="none" w:sz="0" w:space="0" w:color="auto"/>
                        <w:right w:val="none" w:sz="0" w:space="0" w:color="auto"/>
                      </w:divBdr>
                    </w:div>
                    <w:div w:id="903415629">
                      <w:marLeft w:val="0"/>
                      <w:marRight w:val="0"/>
                      <w:marTop w:val="0"/>
                      <w:marBottom w:val="75"/>
                      <w:divBdr>
                        <w:top w:val="none" w:sz="0" w:space="0" w:color="auto"/>
                        <w:left w:val="none" w:sz="0" w:space="0" w:color="auto"/>
                        <w:bottom w:val="none" w:sz="0" w:space="0" w:color="auto"/>
                        <w:right w:val="none" w:sz="0" w:space="0" w:color="auto"/>
                      </w:divBdr>
                    </w:div>
                  </w:divsChild>
                </w:div>
                <w:div w:id="1381248891">
                  <w:marLeft w:val="0"/>
                  <w:marRight w:val="0"/>
                  <w:marTop w:val="150"/>
                  <w:marBottom w:val="150"/>
                  <w:divBdr>
                    <w:top w:val="none" w:sz="0" w:space="0" w:color="auto"/>
                    <w:left w:val="none" w:sz="0" w:space="0" w:color="auto"/>
                    <w:bottom w:val="none" w:sz="0" w:space="0" w:color="auto"/>
                    <w:right w:val="none" w:sz="0" w:space="0" w:color="auto"/>
                  </w:divBdr>
                </w:div>
                <w:div w:id="1919096628">
                  <w:marLeft w:val="-300"/>
                  <w:marRight w:val="0"/>
                  <w:marTop w:val="0"/>
                  <w:marBottom w:val="0"/>
                  <w:divBdr>
                    <w:top w:val="none" w:sz="0" w:space="0" w:color="auto"/>
                    <w:left w:val="none" w:sz="0" w:space="0" w:color="auto"/>
                    <w:bottom w:val="none" w:sz="0" w:space="0" w:color="auto"/>
                    <w:right w:val="none" w:sz="0" w:space="0" w:color="auto"/>
                  </w:divBdr>
                  <w:divsChild>
                    <w:div w:id="172230923">
                      <w:marLeft w:val="0"/>
                      <w:marRight w:val="0"/>
                      <w:marTop w:val="0"/>
                      <w:marBottom w:val="0"/>
                      <w:divBdr>
                        <w:top w:val="none" w:sz="0" w:space="0" w:color="auto"/>
                        <w:left w:val="none" w:sz="0" w:space="0" w:color="auto"/>
                        <w:bottom w:val="none" w:sz="0" w:space="0" w:color="auto"/>
                        <w:right w:val="none" w:sz="0" w:space="0" w:color="auto"/>
                      </w:divBdr>
                      <w:divsChild>
                        <w:div w:id="481503872">
                          <w:marLeft w:val="0"/>
                          <w:marRight w:val="0"/>
                          <w:marTop w:val="0"/>
                          <w:marBottom w:val="0"/>
                          <w:divBdr>
                            <w:top w:val="none" w:sz="0" w:space="0" w:color="auto"/>
                            <w:left w:val="none" w:sz="0" w:space="0" w:color="auto"/>
                            <w:bottom w:val="none" w:sz="0" w:space="0" w:color="auto"/>
                            <w:right w:val="none" w:sz="0" w:space="0" w:color="auto"/>
                          </w:divBdr>
                          <w:divsChild>
                            <w:div w:id="1673604560">
                              <w:marLeft w:val="0"/>
                              <w:marRight w:val="0"/>
                              <w:marTop w:val="0"/>
                              <w:marBottom w:val="0"/>
                              <w:divBdr>
                                <w:top w:val="none" w:sz="0" w:space="0" w:color="auto"/>
                                <w:left w:val="none" w:sz="0" w:space="0" w:color="auto"/>
                                <w:bottom w:val="none" w:sz="0" w:space="0" w:color="auto"/>
                                <w:right w:val="none" w:sz="0" w:space="0" w:color="auto"/>
                              </w:divBdr>
                              <w:divsChild>
                                <w:div w:id="2095012906">
                                  <w:marLeft w:val="-150"/>
                                  <w:marRight w:val="0"/>
                                  <w:marTop w:val="0"/>
                                  <w:marBottom w:val="0"/>
                                  <w:divBdr>
                                    <w:top w:val="none" w:sz="0" w:space="0" w:color="auto"/>
                                    <w:left w:val="none" w:sz="0" w:space="0" w:color="auto"/>
                                    <w:bottom w:val="none" w:sz="0" w:space="0" w:color="auto"/>
                                    <w:right w:val="none" w:sz="0" w:space="0" w:color="auto"/>
                                  </w:divBdr>
                                  <w:divsChild>
                                    <w:div w:id="585655247">
                                      <w:marLeft w:val="0"/>
                                      <w:marRight w:val="0"/>
                                      <w:marTop w:val="0"/>
                                      <w:marBottom w:val="0"/>
                                      <w:divBdr>
                                        <w:top w:val="none" w:sz="0" w:space="0" w:color="auto"/>
                                        <w:left w:val="none" w:sz="0" w:space="0" w:color="auto"/>
                                        <w:bottom w:val="none" w:sz="0" w:space="0" w:color="auto"/>
                                        <w:right w:val="none" w:sz="0" w:space="0" w:color="auto"/>
                                      </w:divBdr>
                                    </w:div>
                                    <w:div w:id="1510604947">
                                      <w:marLeft w:val="0"/>
                                      <w:marRight w:val="0"/>
                                      <w:marTop w:val="0"/>
                                      <w:marBottom w:val="0"/>
                                      <w:divBdr>
                                        <w:top w:val="none" w:sz="0" w:space="0" w:color="auto"/>
                                        <w:left w:val="none" w:sz="0" w:space="0" w:color="auto"/>
                                        <w:bottom w:val="none" w:sz="0" w:space="0" w:color="auto"/>
                                        <w:right w:val="none" w:sz="0" w:space="0" w:color="auto"/>
                                      </w:divBdr>
                                      <w:divsChild>
                                        <w:div w:id="1484469084">
                                          <w:marLeft w:val="0"/>
                                          <w:marRight w:val="0"/>
                                          <w:marTop w:val="0"/>
                                          <w:marBottom w:val="0"/>
                                          <w:divBdr>
                                            <w:top w:val="none" w:sz="0" w:space="0" w:color="auto"/>
                                            <w:left w:val="none" w:sz="0" w:space="0" w:color="auto"/>
                                            <w:bottom w:val="none" w:sz="0" w:space="0" w:color="auto"/>
                                            <w:right w:val="none" w:sz="0" w:space="0" w:color="auto"/>
                                          </w:divBdr>
                                          <w:divsChild>
                                            <w:div w:id="1600867109">
                                              <w:marLeft w:val="0"/>
                                              <w:marRight w:val="0"/>
                                              <w:marTop w:val="0"/>
                                              <w:marBottom w:val="0"/>
                                              <w:divBdr>
                                                <w:top w:val="none" w:sz="0" w:space="0" w:color="auto"/>
                                                <w:left w:val="none" w:sz="0" w:space="0" w:color="auto"/>
                                                <w:bottom w:val="none" w:sz="0" w:space="0" w:color="auto"/>
                                                <w:right w:val="none" w:sz="0" w:space="0" w:color="auto"/>
                                              </w:divBdr>
                                              <w:divsChild>
                                                <w:div w:id="840198471">
                                                  <w:marLeft w:val="0"/>
                                                  <w:marRight w:val="0"/>
                                                  <w:marTop w:val="0"/>
                                                  <w:marBottom w:val="0"/>
                                                  <w:divBdr>
                                                    <w:top w:val="none" w:sz="0" w:space="0" w:color="auto"/>
                                                    <w:left w:val="none" w:sz="0" w:space="0" w:color="auto"/>
                                                    <w:bottom w:val="none" w:sz="0" w:space="0" w:color="auto"/>
                                                    <w:right w:val="none" w:sz="0" w:space="0" w:color="auto"/>
                                                  </w:divBdr>
                                                  <w:divsChild>
                                                    <w:div w:id="837229087">
                                                      <w:marLeft w:val="0"/>
                                                      <w:marRight w:val="0"/>
                                                      <w:marTop w:val="0"/>
                                                      <w:marBottom w:val="0"/>
                                                      <w:divBdr>
                                                        <w:top w:val="none" w:sz="0" w:space="0" w:color="auto"/>
                                                        <w:left w:val="none" w:sz="0" w:space="0" w:color="auto"/>
                                                        <w:bottom w:val="none" w:sz="0" w:space="0" w:color="auto"/>
                                                        <w:right w:val="none" w:sz="0" w:space="0" w:color="auto"/>
                                                      </w:divBdr>
                                                      <w:divsChild>
                                                        <w:div w:id="7144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8340160">
      <w:bodyDiv w:val="1"/>
      <w:marLeft w:val="0"/>
      <w:marRight w:val="0"/>
      <w:marTop w:val="0"/>
      <w:marBottom w:val="0"/>
      <w:divBdr>
        <w:top w:val="none" w:sz="0" w:space="0" w:color="auto"/>
        <w:left w:val="none" w:sz="0" w:space="0" w:color="auto"/>
        <w:bottom w:val="none" w:sz="0" w:space="0" w:color="auto"/>
        <w:right w:val="none" w:sz="0" w:space="0" w:color="auto"/>
      </w:divBdr>
    </w:div>
    <w:div w:id="1638295853">
      <w:bodyDiv w:val="1"/>
      <w:marLeft w:val="0"/>
      <w:marRight w:val="0"/>
      <w:marTop w:val="0"/>
      <w:marBottom w:val="0"/>
      <w:divBdr>
        <w:top w:val="none" w:sz="0" w:space="0" w:color="auto"/>
        <w:left w:val="none" w:sz="0" w:space="0" w:color="auto"/>
        <w:bottom w:val="none" w:sz="0" w:space="0" w:color="auto"/>
        <w:right w:val="none" w:sz="0" w:space="0" w:color="auto"/>
      </w:divBdr>
    </w:div>
    <w:div w:id="1678531306">
      <w:bodyDiv w:val="1"/>
      <w:marLeft w:val="0"/>
      <w:marRight w:val="0"/>
      <w:marTop w:val="0"/>
      <w:marBottom w:val="0"/>
      <w:divBdr>
        <w:top w:val="none" w:sz="0" w:space="0" w:color="auto"/>
        <w:left w:val="none" w:sz="0" w:space="0" w:color="auto"/>
        <w:bottom w:val="none" w:sz="0" w:space="0" w:color="auto"/>
        <w:right w:val="none" w:sz="0" w:space="0" w:color="auto"/>
      </w:divBdr>
    </w:div>
    <w:div w:id="1795902356">
      <w:bodyDiv w:val="1"/>
      <w:marLeft w:val="0"/>
      <w:marRight w:val="0"/>
      <w:marTop w:val="0"/>
      <w:marBottom w:val="0"/>
      <w:divBdr>
        <w:top w:val="none" w:sz="0" w:space="0" w:color="auto"/>
        <w:left w:val="none" w:sz="0" w:space="0" w:color="auto"/>
        <w:bottom w:val="none" w:sz="0" w:space="0" w:color="auto"/>
        <w:right w:val="none" w:sz="0" w:space="0" w:color="auto"/>
      </w:divBdr>
    </w:div>
    <w:div w:id="1874687712">
      <w:bodyDiv w:val="1"/>
      <w:marLeft w:val="0"/>
      <w:marRight w:val="0"/>
      <w:marTop w:val="0"/>
      <w:marBottom w:val="0"/>
      <w:divBdr>
        <w:top w:val="none" w:sz="0" w:space="0" w:color="auto"/>
        <w:left w:val="none" w:sz="0" w:space="0" w:color="auto"/>
        <w:bottom w:val="none" w:sz="0" w:space="0" w:color="auto"/>
        <w:right w:val="none" w:sz="0" w:space="0" w:color="auto"/>
      </w:divBdr>
    </w:div>
    <w:div w:id="1879269927">
      <w:bodyDiv w:val="1"/>
      <w:marLeft w:val="0"/>
      <w:marRight w:val="0"/>
      <w:marTop w:val="0"/>
      <w:marBottom w:val="0"/>
      <w:divBdr>
        <w:top w:val="none" w:sz="0" w:space="0" w:color="auto"/>
        <w:left w:val="none" w:sz="0" w:space="0" w:color="auto"/>
        <w:bottom w:val="none" w:sz="0" w:space="0" w:color="auto"/>
        <w:right w:val="none" w:sz="0" w:space="0" w:color="auto"/>
      </w:divBdr>
    </w:div>
    <w:div w:id="1918442733">
      <w:bodyDiv w:val="1"/>
      <w:marLeft w:val="0"/>
      <w:marRight w:val="0"/>
      <w:marTop w:val="0"/>
      <w:marBottom w:val="0"/>
      <w:divBdr>
        <w:top w:val="none" w:sz="0" w:space="0" w:color="auto"/>
        <w:left w:val="none" w:sz="0" w:space="0" w:color="auto"/>
        <w:bottom w:val="none" w:sz="0" w:space="0" w:color="auto"/>
        <w:right w:val="none" w:sz="0" w:space="0" w:color="auto"/>
      </w:divBdr>
    </w:div>
    <w:div w:id="1925534428">
      <w:bodyDiv w:val="1"/>
      <w:marLeft w:val="0"/>
      <w:marRight w:val="0"/>
      <w:marTop w:val="0"/>
      <w:marBottom w:val="0"/>
      <w:divBdr>
        <w:top w:val="none" w:sz="0" w:space="0" w:color="auto"/>
        <w:left w:val="none" w:sz="0" w:space="0" w:color="auto"/>
        <w:bottom w:val="none" w:sz="0" w:space="0" w:color="auto"/>
        <w:right w:val="none" w:sz="0" w:space="0" w:color="auto"/>
      </w:divBdr>
    </w:div>
    <w:div w:id="2017728194">
      <w:bodyDiv w:val="1"/>
      <w:marLeft w:val="0"/>
      <w:marRight w:val="0"/>
      <w:marTop w:val="0"/>
      <w:marBottom w:val="0"/>
      <w:divBdr>
        <w:top w:val="none" w:sz="0" w:space="0" w:color="auto"/>
        <w:left w:val="none" w:sz="0" w:space="0" w:color="auto"/>
        <w:bottom w:val="none" w:sz="0" w:space="0" w:color="auto"/>
        <w:right w:val="none" w:sz="0" w:space="0" w:color="auto"/>
      </w:divBdr>
    </w:div>
    <w:div w:id="2024234767">
      <w:bodyDiv w:val="1"/>
      <w:marLeft w:val="0"/>
      <w:marRight w:val="0"/>
      <w:marTop w:val="0"/>
      <w:marBottom w:val="0"/>
      <w:divBdr>
        <w:top w:val="none" w:sz="0" w:space="0" w:color="auto"/>
        <w:left w:val="none" w:sz="0" w:space="0" w:color="auto"/>
        <w:bottom w:val="none" w:sz="0" w:space="0" w:color="auto"/>
        <w:right w:val="none" w:sz="0" w:space="0" w:color="auto"/>
      </w:divBdr>
    </w:div>
    <w:div w:id="2057780487">
      <w:bodyDiv w:val="1"/>
      <w:marLeft w:val="0"/>
      <w:marRight w:val="0"/>
      <w:marTop w:val="0"/>
      <w:marBottom w:val="0"/>
      <w:divBdr>
        <w:top w:val="none" w:sz="0" w:space="0" w:color="auto"/>
        <w:left w:val="none" w:sz="0" w:space="0" w:color="auto"/>
        <w:bottom w:val="none" w:sz="0" w:space="0" w:color="auto"/>
        <w:right w:val="none" w:sz="0" w:space="0" w:color="auto"/>
      </w:divBdr>
    </w:div>
    <w:div w:id="2066490017">
      <w:bodyDiv w:val="1"/>
      <w:marLeft w:val="0"/>
      <w:marRight w:val="0"/>
      <w:marTop w:val="0"/>
      <w:marBottom w:val="0"/>
      <w:divBdr>
        <w:top w:val="none" w:sz="0" w:space="0" w:color="auto"/>
        <w:left w:val="none" w:sz="0" w:space="0" w:color="auto"/>
        <w:bottom w:val="none" w:sz="0" w:space="0" w:color="auto"/>
        <w:right w:val="none" w:sz="0" w:space="0" w:color="auto"/>
      </w:divBdr>
    </w:div>
    <w:div w:id="20723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dx.doi.org/10.1080/19416520.2016.1153260" TargetMode="External"/><Relationship Id="rId26" Type="http://schemas.openxmlformats.org/officeDocument/2006/relationships/hyperlink" Target="https://doi.org/10.1016/j.cedpsych.2020.101859" TargetMode="External"/><Relationship Id="rId39" Type="http://schemas.openxmlformats.org/officeDocument/2006/relationships/hyperlink" Target="https://www.jstor.org/stable/2778293" TargetMode="External"/><Relationship Id="rId21" Type="http://schemas.openxmlformats.org/officeDocument/2006/relationships/hyperlink" Target="https://doi.org/10.4135/9781529682663.n6" TargetMode="External"/><Relationship Id="rId34" Type="http://schemas.openxmlformats.org/officeDocument/2006/relationships/hyperlink" Target="https://papers.ssrn.com/sol3/papers.cfm?abstract_id=1004405" TargetMode="External"/><Relationship Id="rId42" Type="http://schemas.openxmlformats.org/officeDocument/2006/relationships/hyperlink" Target="https://www.jstor.org/stable/258610" TargetMode="External"/><Relationship Id="rId47" Type="http://schemas.openxmlformats.org/officeDocument/2006/relationships/hyperlink" Target="https://doi.org/10.1111/puar.12505" TargetMode="External"/><Relationship Id="rId50" Type="http://schemas.openxmlformats.org/officeDocument/2006/relationships/hyperlink" Target="https://doi.org/10.4324/9781482275865" TargetMode="External"/><Relationship Id="rId55" Type="http://schemas.openxmlformats.org/officeDocument/2006/relationships/hyperlink" Target="https://doi.org/10.5281/zenodo.8142286"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esearchgate.net/publication/283724291_Human_Resource_Management_in_Public_Service_Paradoxes_Problems_and_Processes" TargetMode="External"/><Relationship Id="rId29" Type="http://schemas.openxmlformats.org/officeDocument/2006/relationships/hyperlink" Target="https://psycnet.apa.org/doi/10.2307/3151312" TargetMode="External"/><Relationship Id="rId11" Type="http://schemas.openxmlformats.org/officeDocument/2006/relationships/header" Target="header3.xml"/><Relationship Id="rId24" Type="http://schemas.openxmlformats.org/officeDocument/2006/relationships/hyperlink" Target="http://www.jstor.org/stable/2095101" TargetMode="External"/><Relationship Id="rId32" Type="http://schemas.openxmlformats.org/officeDocument/2006/relationships/hyperlink" Target="https://doi.org/10.1057/9781137282729_2" TargetMode="External"/><Relationship Id="rId37" Type="http://schemas.openxmlformats.org/officeDocument/2006/relationships/hyperlink" Target="https://www.researchgate.net/publication/299450314_Political_economy_of_accounting_and_governance_in_Africa" TargetMode="External"/><Relationship Id="rId40" Type="http://schemas.openxmlformats.org/officeDocument/2006/relationships/hyperlink" Target="http://www.iapri.org.zm" TargetMode="External"/><Relationship Id="rId45" Type="http://schemas.openxmlformats.org/officeDocument/2006/relationships/hyperlink" Target="https://doi.org/10.1080/23276665.2014.892272" TargetMode="External"/><Relationship Id="rId53" Type="http://schemas.openxmlformats.org/officeDocument/2006/relationships/hyperlink" Target="https://doi.org/10.1177/0734371X14521458" TargetMode="External"/><Relationship Id="rId5" Type="http://schemas.openxmlformats.org/officeDocument/2006/relationships/footnotes" Target="footnotes.xml"/><Relationship Id="rId19" Type="http://schemas.openxmlformats.org/officeDocument/2006/relationships/hyperlink" Target="https://doi.org/10.1006/mare.2000.013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jetir.org" TargetMode="External"/><Relationship Id="rId22" Type="http://schemas.openxmlformats.org/officeDocument/2006/relationships/hyperlink" Target="https://doi.org/10.1016/j.landusepol.2019.05.027" TargetMode="External"/><Relationship Id="rId27" Type="http://schemas.openxmlformats.org/officeDocument/2006/relationships/hyperlink" Target="http://dx.doi.org/10.54254/2754-1169/54/20230868" TargetMode="External"/><Relationship Id="rId30" Type="http://schemas.openxmlformats.org/officeDocument/2006/relationships/hyperlink" Target="https://fukuyama.stanford.edu/politicalorderandpoliticaldecay" TargetMode="External"/><Relationship Id="rId35" Type="http://schemas.openxmlformats.org/officeDocument/2006/relationships/hyperlink" Target="https://www.researchgate.net/publication/246641503_Land_Management_in_Ghana_Building_on_Tradition_and_Modernity" TargetMode="External"/><Relationship Id="rId43" Type="http://schemas.openxmlformats.org/officeDocument/2006/relationships/hyperlink" Target="https://doi.org/10.29322/IJSRP.11.05.2021.p11313" TargetMode="External"/><Relationship Id="rId48" Type="http://schemas.openxmlformats.org/officeDocument/2006/relationships/hyperlink" Target="https://psycnet.apa.org/doi/10.1521/978.14625/28806" TargetMode="External"/><Relationship Id="rId56"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s://doi.org/10.1016/j.landusepol.2007.06.002"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i.org/10.1016/B978-0-444-52944-2.00006-9" TargetMode="External"/><Relationship Id="rId25" Type="http://schemas.openxmlformats.org/officeDocument/2006/relationships/hyperlink" Target="https://doi.org/10.3390/su13063226" TargetMode="External"/><Relationship Id="rId33" Type="http://schemas.openxmlformats.org/officeDocument/2006/relationships/hyperlink" Target="https://papers.ssrn.com/sol3/papers.cfm?abstract_id=2043471" TargetMode="External"/><Relationship Id="rId38" Type="http://schemas.openxmlformats.org/officeDocument/2006/relationships/hyperlink" Target="http://dx.doi.org/10.2307/20159050" TargetMode="External"/><Relationship Id="rId46" Type="http://schemas.openxmlformats.org/officeDocument/2006/relationships/hyperlink" Target="https://doi.org/10.4103/ijpvm.ijpvm_321_19" TargetMode="External"/><Relationship Id="rId20" Type="http://schemas.openxmlformats.org/officeDocument/2006/relationships/hyperlink" Target="https://doi.org/10.4324/9781351252188" TargetMode="External"/><Relationship Id="rId41" Type="http://schemas.openxmlformats.org/officeDocument/2006/relationships/hyperlink" Target="https://doi.org/10.9734/ACRI/2016/26464" TargetMode="External"/><Relationship Id="rId54" Type="http://schemas.openxmlformats.org/officeDocument/2006/relationships/hyperlink" Target="https://www.worldbank.org/en/publication/wdr201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7/978-3-030-82257-6_1" TargetMode="External"/><Relationship Id="rId23" Type="http://schemas.openxmlformats.org/officeDocument/2006/relationships/hyperlink" Target="https://documents.worldbank.org/en/publication/documents-reports/documentdetail/485171468309336484/land-policies-for-growth-and-poverty-reduction" TargetMode="External"/><Relationship Id="rId28" Type="http://schemas.openxmlformats.org/officeDocument/2006/relationships/hyperlink" Target="https://doi.org/10.1111/j.1540-6210.2006.00570.x" TargetMode="External"/><Relationship Id="rId36" Type="http://schemas.openxmlformats.org/officeDocument/2006/relationships/hyperlink" Target="https://landscommission.gov.gh/annualreport2021" TargetMode="External"/><Relationship Id="rId49" Type="http://schemas.openxmlformats.org/officeDocument/2006/relationships/hyperlink" Target="https://www.researchgate.net/publication/359691769_Barriers_to_Creative_Thinking_and_Organizational_Performance_Mediating_Role_of_Employee_Creativity" TargetMode="Externa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www.bing.com/search?q=Ghana+Statistical+Service%2C+(2021).+Ghana+Statistical+Service+Report.+Accra%3A+Ghana+Statistical+Service&amp;cvid=85825f89787f46da9f890b108072154f&amp;gs_lcrp=EgRlZGdlKgYIABBFGDkyBggAEEUYOdIBBzczMGowajmoAgiwAgE&amp;FORM=ANAB01&amp;PC=U531" TargetMode="External"/><Relationship Id="rId44" Type="http://schemas.openxmlformats.org/officeDocument/2006/relationships/hyperlink" Target="http://dx.doi.org/10.52909/jemeb.v2i1.70" TargetMode="External"/><Relationship Id="rId52" Type="http://schemas.openxmlformats.org/officeDocument/2006/relationships/hyperlink" Target="https://doi.org/10.5539/ijms.v4n1p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8146</Words>
  <Characters>46436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Kofi Sarpong</dc:creator>
  <cp:keywords/>
  <dc:description/>
  <cp:lastModifiedBy>SDI 1084</cp:lastModifiedBy>
  <cp:revision>10</cp:revision>
  <dcterms:created xsi:type="dcterms:W3CDTF">2025-05-23T23:20:00Z</dcterms:created>
  <dcterms:modified xsi:type="dcterms:W3CDTF">2025-05-24T10:47:00Z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2540d81d-a2d4-40f4-8324-9a50c5f0d403</vt:lpwstr>
  </property>
</Properties>
</file>